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style11.xml" ContentType="application/vnd.ms-office.chartstyle+xml"/>
  <Override PartName="/word/charts/chart12.xml" ContentType="application/vnd.openxmlformats-officedocument.drawingml.chart+xml"/>
  <Override PartName="/word/charts/colors10.xml" ContentType="application/vnd.ms-office.chartcolorstyle+xml"/>
  <Override PartName="/word/charts/chart13.xml" ContentType="application/vnd.openxmlformats-officedocument.drawingml.chart+xml"/>
  <Override PartName="/word/charts/colors11.xml" ContentType="application/vnd.ms-office.chartcolorstyle+xml"/>
  <Override PartName="/word/charts/style10.xml" ContentType="application/vnd.ms-office.chartstyle+xml"/>
  <Override PartName="/word/theme/themeOverride6.xml" ContentType="application/vnd.openxmlformats-officedocument.themeOverride+xml"/>
  <Override PartName="/word/charts/colors8.xml" ContentType="application/vnd.ms-office.chartcolorstyle+xml"/>
  <Override PartName="/word/theme/themeOverride5.xml" ContentType="application/vnd.openxmlformats-officedocument.themeOverride+xml"/>
  <Override PartName="/word/charts/chart11.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4.xml" ContentType="application/vnd.openxmlformats-officedocument.drawingml.chart+xml"/>
  <Override PartName="/word/charts/colors12.xml" ContentType="application/vnd.ms-office.chartcolorstyle+xml"/>
  <Override PartName="/word/charts/style8.xml" ContentType="application/vnd.ms-office.chartstyle+xml"/>
  <Override PartName="/word/theme/theme1.xml" ContentType="application/vnd.openxmlformats-officedocument.theme+xml"/>
  <Override PartName="/word/charts/style12.xml" ContentType="application/vnd.ms-office.chartstyle+xml"/>
  <Override PartName="/word/theme/themeOverride4.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colors2.xml" ContentType="application/vnd.ms-office.chartcolorstyle+xml"/>
  <Override PartName="/word/charts/style2.xml" ContentType="application/vnd.ms-office.chartsty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10.xml" ContentType="application/vnd.openxmlformats-officedocument.drawingml.chart+xml"/>
  <Override PartName="/word/charts/chart6.xml" ContentType="application/vnd.openxmlformats-officedocument.drawingml.chart+xml"/>
  <Override PartName="/word/charts/colors4.xml" ContentType="application/vnd.ms-office.chartcolorstyle+xml"/>
  <Override PartName="/word/charts/colors6.xml" ContentType="application/vnd.ms-office.chartcolorstyl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charts/style4.xml" ContentType="application/vnd.ms-office.chartstyle+xml"/>
  <Override PartName="/word/charts/style6.xml" ContentType="application/vnd.ms-office.chartstyle+xml"/>
  <Override PartName="/word/theme/themeOverride2.xml" ContentType="application/vnd.openxmlformats-officedocument.themeOverride+xml"/>
  <Override PartName="/word/charts/chart8.xml" ContentType="application/vnd.openxmlformats-officedocument.drawingml.chart+xml"/>
  <Override PartName="/word/charts/chart7.xml" ContentType="application/vnd.openxmlformats-officedocument.drawingml.chart+xml"/>
  <Override PartName="/word/charts/colors5.xml" ContentType="application/vnd.ms-office.chartcolorstyle+xml"/>
  <Override PartName="/word/theme/themeOverride3.xml" ContentType="application/vnd.openxmlformats-officedocument.themeOverride+xml"/>
  <Override PartName="/word/charts/style5.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DD2" w:rsidRPr="00030D4D" w:rsidRDefault="00F56DD2" w:rsidP="00F56DD2">
      <w:pPr>
        <w:jc w:val="center"/>
        <w:rPr>
          <w:rFonts w:ascii="Arial" w:hAnsi="Arial" w:cs="Arial"/>
          <w:b/>
        </w:rPr>
      </w:pPr>
      <w:r w:rsidRPr="00030D4D">
        <w:rPr>
          <w:rFonts w:ascii="Arial" w:hAnsi="Arial" w:cs="Arial"/>
          <w:b/>
        </w:rPr>
        <w:t>PROJETO INOVAR PARA CRESCER (BR-L 1490)</w:t>
      </w: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jc w:val="center"/>
        <w:rPr>
          <w:rFonts w:ascii="Arial" w:hAnsi="Arial" w:cs="Arial"/>
          <w:b/>
          <w:sz w:val="28"/>
          <w:szCs w:val="28"/>
        </w:rPr>
      </w:pPr>
    </w:p>
    <w:p w:rsidR="00F56DD2" w:rsidRPr="00030D4D" w:rsidRDefault="00F56DD2" w:rsidP="00F56DD2">
      <w:pPr>
        <w:jc w:val="center"/>
        <w:rPr>
          <w:rFonts w:ascii="Arial" w:hAnsi="Arial" w:cs="Arial"/>
          <w:b/>
          <w:sz w:val="28"/>
          <w:szCs w:val="28"/>
        </w:rPr>
      </w:pPr>
    </w:p>
    <w:p w:rsidR="00F56DD2" w:rsidRPr="00030D4D" w:rsidRDefault="00F56DD2" w:rsidP="00F56DD2">
      <w:pPr>
        <w:jc w:val="center"/>
        <w:rPr>
          <w:rFonts w:ascii="Arial" w:hAnsi="Arial" w:cs="Arial"/>
          <w:b/>
          <w:sz w:val="28"/>
          <w:szCs w:val="28"/>
        </w:rPr>
      </w:pPr>
    </w:p>
    <w:p w:rsidR="00F56DD2" w:rsidRPr="00030D4D" w:rsidRDefault="00F56DD2" w:rsidP="00F56DD2">
      <w:pPr>
        <w:jc w:val="center"/>
        <w:rPr>
          <w:rFonts w:ascii="Arial" w:hAnsi="Arial" w:cs="Arial"/>
          <w:b/>
          <w:sz w:val="28"/>
          <w:szCs w:val="28"/>
        </w:rPr>
      </w:pPr>
      <w:r w:rsidRPr="00030D4D">
        <w:rPr>
          <w:rFonts w:ascii="Arial" w:hAnsi="Arial" w:cs="Arial"/>
          <w:b/>
          <w:sz w:val="28"/>
          <w:szCs w:val="28"/>
        </w:rPr>
        <w:t>ESTUDO DE ESTIMAÇÃO DE DEMANDA POR FINANCIAMENTO EMPRESARIAL À INOVAÇÃO</w:t>
      </w: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jc w:val="center"/>
        <w:rPr>
          <w:rFonts w:ascii="Arial" w:hAnsi="Arial" w:cs="Arial"/>
          <w:b/>
          <w:sz w:val="28"/>
          <w:szCs w:val="28"/>
        </w:rPr>
      </w:pPr>
      <w:r w:rsidRPr="00030D4D">
        <w:rPr>
          <w:rFonts w:ascii="Arial" w:hAnsi="Arial" w:cs="Arial"/>
          <w:b/>
          <w:sz w:val="28"/>
          <w:szCs w:val="28"/>
        </w:rPr>
        <w:t>PLANO DE TRABALHO</w:t>
      </w:r>
    </w:p>
    <w:p w:rsidR="00F56DD2" w:rsidRPr="00030D4D" w:rsidRDefault="00F56DD2" w:rsidP="00F56DD2">
      <w:pPr>
        <w:rPr>
          <w:rFonts w:ascii="Arial" w:hAnsi="Arial" w:cs="Arial"/>
        </w:rPr>
      </w:pPr>
    </w:p>
    <w:p w:rsidR="00F56DD2" w:rsidRPr="00030D4D" w:rsidRDefault="00F56DD2" w:rsidP="00F56DD2">
      <w:pPr>
        <w:jc w:val="right"/>
        <w:rPr>
          <w:rFonts w:ascii="Arial" w:hAnsi="Arial" w:cs="Arial"/>
        </w:rPr>
      </w:pPr>
      <w:r w:rsidRPr="00030D4D">
        <w:rPr>
          <w:rFonts w:ascii="Arial" w:hAnsi="Arial" w:cs="Arial"/>
        </w:rPr>
        <w:t>Consultora Responsável: Solange Corder</w:t>
      </w:r>
    </w:p>
    <w:p w:rsidR="00F56DD2" w:rsidRPr="00030D4D" w:rsidRDefault="00F56DD2" w:rsidP="00F56DD2">
      <w:pPr>
        <w:jc w:val="right"/>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F56DD2" w:rsidP="00F56DD2">
      <w:pPr>
        <w:rPr>
          <w:rFonts w:ascii="Arial" w:hAnsi="Arial" w:cs="Arial"/>
        </w:rPr>
      </w:pPr>
    </w:p>
    <w:p w:rsidR="00F56DD2" w:rsidRPr="00030D4D" w:rsidRDefault="000E274C" w:rsidP="00F56DD2">
      <w:pPr>
        <w:jc w:val="center"/>
        <w:rPr>
          <w:rFonts w:ascii="Arial" w:hAnsi="Arial" w:cs="Arial"/>
        </w:rPr>
      </w:pPr>
      <w:r w:rsidRPr="00030D4D">
        <w:rPr>
          <w:rFonts w:ascii="Arial" w:hAnsi="Arial" w:cs="Arial"/>
        </w:rPr>
        <w:t>18 de maio</w:t>
      </w:r>
      <w:r w:rsidR="00F56DD2" w:rsidRPr="00030D4D">
        <w:rPr>
          <w:rFonts w:ascii="Arial" w:hAnsi="Arial" w:cs="Arial"/>
        </w:rPr>
        <w:t xml:space="preserve"> de 2017</w:t>
      </w:r>
    </w:p>
    <w:p w:rsidR="00E76C24" w:rsidRPr="00030D4D" w:rsidRDefault="00E76C24" w:rsidP="00E76C24">
      <w:pPr>
        <w:rPr>
          <w:rFonts w:ascii="Arial" w:hAnsi="Arial" w:cs="Arial"/>
        </w:rPr>
      </w:pPr>
    </w:p>
    <w:p w:rsidR="00EE7767" w:rsidRPr="00030D4D" w:rsidRDefault="00EE7767">
      <w:pPr>
        <w:spacing w:before="0" w:after="160" w:line="259" w:lineRule="auto"/>
        <w:jc w:val="left"/>
        <w:rPr>
          <w:rFonts w:ascii="Arial" w:hAnsi="Arial" w:cs="Arial"/>
          <w:b/>
        </w:rPr>
      </w:pPr>
      <w:r w:rsidRPr="00030D4D">
        <w:rPr>
          <w:rFonts w:ascii="Arial" w:hAnsi="Arial" w:cs="Arial"/>
          <w:b/>
        </w:rPr>
        <w:br w:type="page"/>
      </w:r>
    </w:p>
    <w:p w:rsidR="00CF2B12" w:rsidRPr="00030D4D" w:rsidRDefault="00533368" w:rsidP="00667B12">
      <w:pPr>
        <w:spacing w:before="0"/>
        <w:jc w:val="center"/>
        <w:rPr>
          <w:rFonts w:ascii="Arial" w:hAnsi="Arial" w:cs="Arial"/>
          <w:b/>
        </w:rPr>
      </w:pPr>
      <w:r w:rsidRPr="00030D4D">
        <w:rPr>
          <w:rFonts w:ascii="Arial" w:hAnsi="Arial" w:cs="Arial"/>
          <w:b/>
        </w:rPr>
        <w:lastRenderedPageBreak/>
        <w:t>SUMÁRIO EXECUTIVO</w:t>
      </w:r>
    </w:p>
    <w:p w:rsidR="00667B12" w:rsidRPr="00030D4D" w:rsidRDefault="00667B12" w:rsidP="004F671D">
      <w:pPr>
        <w:tabs>
          <w:tab w:val="left" w:pos="0"/>
        </w:tabs>
        <w:spacing w:line="240" w:lineRule="auto"/>
        <w:rPr>
          <w:rFonts w:ascii="Arial" w:hAnsi="Arial" w:cs="Arial"/>
          <w:b/>
        </w:rPr>
      </w:pPr>
      <w:r w:rsidRPr="00030D4D">
        <w:rPr>
          <w:rFonts w:ascii="Arial" w:hAnsi="Arial" w:cs="Arial"/>
          <w:b/>
        </w:rPr>
        <w:t xml:space="preserve">Construção e fortalecimento do Sistema Nacional de Inovação (SNI). </w:t>
      </w:r>
      <w:r w:rsidRPr="00030D4D">
        <w:rPr>
          <w:rFonts w:ascii="Arial" w:hAnsi="Arial" w:cs="Arial"/>
        </w:rPr>
        <w:t>A inovação vem ganhou espaço consistente na agenda de políticas públicas e das entidades de representação do setor privado, mas as empresas brasileiras ainda encontram dificuldades para incorporar a dinâmica inovativa como elemento capaz de promover e ampliar a competitividade em sua própria agenda e na prática cotidiana.  Nos últimos 18 anos foi feito um notável esforço para promover a inovação como alavanca do processo de desenvolvimento nacional; houve também considerável evolução do marco institucional relevante para a inovação, modernização das instituições públicas e privadas que conformam o Sistema Nacional de Inovação e a criação e fortalecimento de um conjunto de instrumentos, programas e políticas de apoio à Ciência, Tecnologia e Inovação (CT&amp;I) e à Pesquisa Desenvolvimento e Inovação (PD&amp;I). Neste contexto destaca-se o Fundo Nacional de Desenvolvimento da Ciência e Tecnologia (FNDCT), como principal fonte de recursos para financiar essa estrutura. Outras fontes de recursos como o Fundo Nacional de Telecomunicações (FUNTTEL) e a Cláusula de Investimentos em Pesquisa e Desenvolvimento nos Contratos de Concessão para Exploração, Desenvolvimento e Produção de Petróleo e Gás Natural têm apresentado um papel importante em suas áreas e setores de interesse, embora não sejam objeto deste trabalho.</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 xml:space="preserve">Importância e limites dos Fundos no SNI. </w:t>
      </w:r>
      <w:r w:rsidRPr="00030D4D">
        <w:rPr>
          <w:rFonts w:ascii="Arial" w:hAnsi="Arial" w:cs="Arial"/>
        </w:rPr>
        <w:t>Em que pese a importância dos instrumentos de apoio à PD&amp;I, a análise preliminar indica que nenhum deles, isoladamente, tem força suficiente para modificar as condições gerais que condicionam a inovação e para impactar de forma consistente nas decisões e estratégias empresariais que determinarão o rumo e o futuro da economia brasileira. No entanto, o País conta hoje com um conjunto de instrumentos que, se aplicados de forma coordenada e consistente, podem de fato mudar as bases do crescimento e reposicionar a empresa e economia brasileira no cenário internacional. O pacote é praticamente completo, e inclui crédito, subvenções, projetos cooperativos, poder de compra governamental, mecanismos da Lei de Incentivos Fiscais à PD&amp;I, entre outros, que atuam no sentido de reduzir o custo e o risco da inovação e também, para alguns setores, garantindo ex-ante mercado relevante para justificar investimentos em ampliação de capacidade produtiva e em inovação. Portanto, deve-se ter claro que o FNDCT representa apenas uma parte deste conjunto e intervem em apenas algumas das dimensões e condicionantes da inovação. Na prática todas as fontes de recursos têm limites e problemas associados tanto ao desenho como à disponibilidade de recursos e marco legal /institucional</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O Papel do FNDCT no financiamento do Ministério de Ciência Tecnologia e Inovação (MCTI)</w:t>
      </w:r>
      <w:r w:rsidRPr="00030D4D">
        <w:rPr>
          <w:rFonts w:ascii="Arial" w:hAnsi="Arial" w:cs="Arial"/>
        </w:rPr>
        <w:t xml:space="preserve">. Os recursos do FNDCT cresceram de modo significativo nos últimos anos, desde a criação dos Fundos Setoriais. No entanto, cerca de </w:t>
      </w:r>
      <w:r w:rsidR="009A1892" w:rsidRPr="00030D4D">
        <w:rPr>
          <w:rFonts w:ascii="Arial" w:hAnsi="Arial" w:cs="Arial"/>
        </w:rPr>
        <w:t>40</w:t>
      </w:r>
      <w:r w:rsidRPr="00030D4D">
        <w:rPr>
          <w:rFonts w:ascii="Arial" w:hAnsi="Arial" w:cs="Arial"/>
        </w:rPr>
        <w:t xml:space="preserve">% dos recursos arrecadados foram esterilizados entre </w:t>
      </w:r>
      <w:r w:rsidR="00B31035" w:rsidRPr="00030D4D">
        <w:rPr>
          <w:rFonts w:ascii="Arial" w:hAnsi="Arial" w:cs="Arial"/>
        </w:rPr>
        <w:t>2001</w:t>
      </w:r>
      <w:r w:rsidRPr="00030D4D">
        <w:rPr>
          <w:rFonts w:ascii="Arial" w:hAnsi="Arial" w:cs="Arial"/>
        </w:rPr>
        <w:t xml:space="preserve"> e 201</w:t>
      </w:r>
      <w:r w:rsidR="00B31035" w:rsidRPr="00030D4D">
        <w:rPr>
          <w:rFonts w:ascii="Arial" w:hAnsi="Arial" w:cs="Arial"/>
        </w:rPr>
        <w:t>6</w:t>
      </w:r>
      <w:r w:rsidRPr="00030D4D">
        <w:rPr>
          <w:rFonts w:ascii="Arial" w:hAnsi="Arial" w:cs="Arial"/>
        </w:rPr>
        <w:t xml:space="preserve">, </w:t>
      </w:r>
      <w:r w:rsidR="00B31035" w:rsidRPr="00030D4D">
        <w:rPr>
          <w:rFonts w:ascii="Arial" w:hAnsi="Arial" w:cs="Arial"/>
        </w:rPr>
        <w:t>sendo que uma parte desta diferença foi devido ao contingenciamento</w:t>
      </w:r>
      <w:r w:rsidR="00A36E7F" w:rsidRPr="00030D4D">
        <w:rPr>
          <w:rFonts w:ascii="Arial" w:hAnsi="Arial" w:cs="Arial"/>
        </w:rPr>
        <w:t xml:space="preserve"> realizado pelo governo</w:t>
      </w:r>
      <w:r w:rsidRPr="00030D4D">
        <w:rPr>
          <w:rFonts w:ascii="Arial" w:hAnsi="Arial" w:cs="Arial"/>
        </w:rPr>
        <w:t>. Ainda assim, o FNDCT e os Fundos Setoriais têm sido uma das principais fontes de financiamento da política pública de CT&amp;I neste período. A arrecadação dos Fundos Setoriais, principal fonte de apoio à PD&amp;I até 2007, quando as operações de crédito foram ampliadas, se manteve crescente até 2012, porém perdeu fôlego nos últimos anos e reduziu sua capacidade de sustentar parte do esforço de inovação necessário e desejável para colocar o Brasil como País entre os líderes mundiais. No entanto, tais fontes não são e não serão suficientes para financiar, de forma consistente, as ações gerais do MCTI em áreas estratégicas para o desenvolvimento do País, particularmente os grandes projetos na área de Ciência e Tecnologia (C&amp;T) avançada, que envolvem pesados investimentos continuados em infraestrutura e construção de capacidade intelectual. A utilização de recursos do FNDCT para financiar as atividades correntes do MCTI e de parcela destes projetos estratégicos tem reduzido o alcance potencial dos Fundos para apoiar atividades de P&amp;D nas empresas.</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Orçamento do MCTI.</w:t>
      </w:r>
      <w:r w:rsidRPr="00030D4D">
        <w:rPr>
          <w:rFonts w:ascii="Arial" w:hAnsi="Arial" w:cs="Arial"/>
        </w:rPr>
        <w:t xml:space="preserve"> A análise preliminar da evolução dos recursos disponíveis no âmbito do MCTI revela que o orçamento deste Ministério não cresceu de forma proporcional ao crescimento da importância hoje atribuída à inovação pelo próprio governo. Também revela que os Fundos Setoriais não foram capazes de elevar de forma significativa o patamar dos recursos do FNDCT em relação aos níveis vigentes antes da crise que comprometeu a disponibilidade de fundos públicos. Com a retirada do CT-Petro, que entre 2003 e 2013 representou 32% do orçamento (LOA) do FNDCT, urge a necessidade de recompor este Fundo com outras fontes de recursos. Isso porque, apesar dos problemas apresentados, ainda assim os Fundos Setoriais tiveram papel estratégico de recuperar um mínimo a capacidade de gasto do sistema MCTI e recompor o patamar anterior. Existe, portanto hoje uma demanda importante de novas fontes para financiar suas ações regulares e que, embora relevantes, não estão diretamente vinculadas aos objetivos e justificativa inicial que sustentaram a criação dos Fundos Setoriais. O FNDCT financia, hoje, ações correntes de vários institutos de pesquisa vinculados ao MCTI, contratos de gestão do MCTI com várias organizações sociais, e ao lado disto, busca fomentar as atividades de PD&amp;I.</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Aplicação dos recursos: acentuada dispersão</w:t>
      </w:r>
      <w:r w:rsidRPr="00030D4D">
        <w:rPr>
          <w:rFonts w:ascii="Arial" w:hAnsi="Arial" w:cs="Arial"/>
        </w:rPr>
        <w:t>. No âmbito do FNDCT registra-se um número elevado de projetos de baixo valor que não têm dimensão nem capacidade para modificar e ou fazer diferença, nem na área de C&amp;T e muito menos na área da inovação. Tal constatação é demonstrável (ou pelo menos sustentável) com base nos dados disponíveis. Esse argumento, no entanto, pode ser relativizado quando se pensa na dimensão regional do FNDCT, principalmente nas regiões Norte, Nordeste e Centro-Oeste. A dispersão reduz a efetividade dos gastos e o impacto sobre a capacidade de inovação das empresas.</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 xml:space="preserve">Aplicações dos recursos: Pesquisa e Desenvolvimento (P&amp;D) </w:t>
      </w:r>
      <w:r w:rsidRPr="00030D4D">
        <w:rPr>
          <w:rFonts w:ascii="Arial" w:hAnsi="Arial" w:cs="Arial"/>
          <w:b/>
          <w:i/>
        </w:rPr>
        <w:t>versus</w:t>
      </w:r>
      <w:r w:rsidRPr="00030D4D">
        <w:rPr>
          <w:rFonts w:ascii="Arial" w:hAnsi="Arial" w:cs="Arial"/>
          <w:b/>
        </w:rPr>
        <w:t xml:space="preserve"> inovação</w:t>
      </w:r>
      <w:r w:rsidRPr="00030D4D">
        <w:rPr>
          <w:rFonts w:ascii="Arial" w:hAnsi="Arial" w:cs="Arial"/>
        </w:rPr>
        <w:t>. O alcance maior do FNDCT é, inclusive por motivos legais, o apoio à P&amp;D. Este comportamento é geral: em todos os países do mundo os governos financiam e subvencionam mais intensivamente a P&amp;D do que a inovação em geral, dada a redução dos riscos e incertezas à medida em que as tecnologias e suas aplicações mais imediatas são conhecidas. Por esse motivo, os editais e programas apoiados pelo MCTI e Finep com recursos não reembolsáveis têm privilegiado a inovação intensiva em conhecimento, que demanda investimentos em P&amp;D.</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Subvenção Econômica</w:t>
      </w:r>
      <w:r w:rsidRPr="00030D4D">
        <w:rPr>
          <w:rFonts w:ascii="Arial" w:hAnsi="Arial" w:cs="Arial"/>
        </w:rPr>
        <w:t>. A exceção são os programas de subvenção, que destinam recursos a micro e pequenas empresas e, portanto, têm regras menos rígidas para a aplicação em P&amp;D</w:t>
      </w:r>
      <w:r w:rsidRPr="00030D4D">
        <w:rPr>
          <w:rStyle w:val="FootnoteReference"/>
          <w:rFonts w:ascii="Arial" w:hAnsi="Arial" w:cs="Arial"/>
        </w:rPr>
        <w:footnoteReference w:id="1"/>
      </w:r>
      <w:r w:rsidRPr="00030D4D">
        <w:rPr>
          <w:rFonts w:ascii="Arial" w:hAnsi="Arial" w:cs="Arial"/>
        </w:rPr>
        <w:t>. Por ser uma exceção, os recursos que são disponibilizados para subvencionar as empresas são muito baixos. O apoio governamental estende-se a algumas outras atividades inovativas, como as tecnologias industriais básicas (voltadas a serviços de metrologia, por exemplo), mas há certa linearidade inevitável na política, pois espera-se que, a partir dos esforços em P&amp;D, haja maiores resultados em termos inovadores. No entanto, como o número de empresas que faz P&amp;D ou que compra P&amp;D externa ainda é pequeno no país, os resultados deixam a desejar, conforme os próprios dados da Pintec/IBGE revelam.</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Limitada participação das empresas no FNDCT</w:t>
      </w:r>
      <w:r w:rsidRPr="00030D4D">
        <w:rPr>
          <w:rFonts w:ascii="Arial" w:hAnsi="Arial" w:cs="Arial"/>
        </w:rPr>
        <w:t>. A participação das empresas no FNDCT têm sido relativamente limitada, seja no âmbito dos projetos cooperativos, subvenções e crédito. As causas desta limitação deverão ser aprofundadas, mas se pode dizer que estão associadas a um conjunto de fatores que incluem desde informação até dificuldades burocráticas associadas à falta de conhecimento e prática das empresas para operar nas modalidades praticadas pelas instituições responsáveis pelas ações. Outro motivo é o grau de endividamento das empresas junto ao fisco, o que as impede de participar dos processos e chamadas públicas. Historicamente o montante gasto nos projetos em parceria com empresas e o montante destinado diretamente às empresas (via crédito e subvenção) é muito reduzido em relação ao total de recursos aplicados. A participação direta das empresas registra crescimento no período mais recente, nas linhas de crédito e subvenção, dentro dos limites acima mencionados. Relatório técnicos do Instituto de Pesquisa Ec</w:t>
      </w:r>
      <w:r w:rsidR="007B69E8">
        <w:rPr>
          <w:rFonts w:ascii="Arial" w:hAnsi="Arial" w:cs="Arial"/>
        </w:rPr>
        <w:t>onômica Aplicada (Ipea</w:t>
      </w:r>
      <w:r w:rsidRPr="00030D4D">
        <w:rPr>
          <w:rFonts w:ascii="Arial" w:hAnsi="Arial" w:cs="Arial"/>
        </w:rPr>
        <w:t>) mostra que a Financiad</w:t>
      </w:r>
      <w:r w:rsidR="007B69E8">
        <w:rPr>
          <w:rFonts w:ascii="Arial" w:hAnsi="Arial" w:cs="Arial"/>
        </w:rPr>
        <w:t>ora de Estudos e Projetos (Finep</w:t>
      </w:r>
      <w:r w:rsidRPr="00030D4D">
        <w:rPr>
          <w:rFonts w:ascii="Arial" w:hAnsi="Arial" w:cs="Arial"/>
        </w:rPr>
        <w:t>) apoiou nos últimos dez anos apenas 25% das empresas que mais gastam em P&amp;D no Brasil, ou seja sua principal clientela.</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Estímulos a P&amp;D privada</w:t>
      </w:r>
      <w:r w:rsidRPr="00030D4D">
        <w:rPr>
          <w:rFonts w:ascii="Arial" w:hAnsi="Arial" w:cs="Arial"/>
        </w:rPr>
        <w:t>. Apesar dos esforços, os gastos em P&amp;D das empresas não responderam aos estímulos como se esperava, o que revela a complexidade do assunto. Há condicionantes estruturais e conjunturais que explicam o problema:</w:t>
      </w:r>
      <w:r w:rsidRPr="00030D4D">
        <w:rPr>
          <w:rStyle w:val="FootnoteReference"/>
          <w:rFonts w:ascii="Arial" w:hAnsi="Arial" w:cs="Arial"/>
        </w:rPr>
        <w:footnoteReference w:id="2"/>
      </w:r>
      <w:r w:rsidRPr="00030D4D">
        <w:rPr>
          <w:rFonts w:ascii="Arial" w:hAnsi="Arial" w:cs="Arial"/>
        </w:rPr>
        <w:t xml:space="preserve"> 1. ênfase na inovação incremental e de processo, por meio da aquisição de máquinas e equipamentos; 2. dificuldades legais enfrentadas pelo governo para alocar recursos não reembolsáveis para os projetos inovadores; 3. possível rigidez das instituições públicas na defesa dos direitos de propriedade, dificultando acordos; 4. Os canais financeiros não são suficientes para haver alocação de recursos, pois não rompem, no curto prazo, barreiras culturais; 5. os recursos financeiros, seja por causa do contingenciamento, seja por causa da redução dos recursos orçamentários do FNDCT (fonte 100) não se ampliaram como esperado.</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Contrapartida financeira das empresas possivelmente reduzida</w:t>
      </w:r>
      <w:r w:rsidRPr="00030D4D">
        <w:rPr>
          <w:rFonts w:ascii="Arial" w:hAnsi="Arial" w:cs="Arial"/>
        </w:rPr>
        <w:t xml:space="preserve"> nos projetos cooperativos e na subvenção. Não será possível contabilizar o valor das contribuições, uma vez que não estão disponíveis nas bases dos Ministérios e nem são objeto de prestação de contas</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Instrumentos da política de incentivo e financiamento</w:t>
      </w:r>
      <w:r w:rsidRPr="00030D4D">
        <w:rPr>
          <w:rFonts w:ascii="Arial" w:hAnsi="Arial" w:cs="Arial"/>
        </w:rPr>
        <w:t>. A diversidade de instrumentos que se estabeleceu nas modalidades reembolsável, não reembolsável e de aporte de capital, assim como os próprios incentivos fiscais, levou em conta a diversidade do processo inovativo, que abarca distintas etapas, conforme o caráter mais radical ou incremental da inovação. O desafio atual já não é tanto o de criar novos instrumentos, mas de aperfeiçoar e fazer funcionar o que já existe. Para isso, tudo indica que é preciso fazer uso dos propósitos mais estratégicos que estavam na concepção dos fundos; utilizar também estrategicamente os comitês gestores. O desafio é de gestão e governança.</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Ainda é baixa capacidade de intervenção da F</w:t>
      </w:r>
      <w:r w:rsidR="007B69E8">
        <w:rPr>
          <w:rFonts w:ascii="Arial" w:hAnsi="Arial" w:cs="Arial"/>
          <w:b/>
        </w:rPr>
        <w:t>inep</w:t>
      </w:r>
      <w:r w:rsidRPr="00030D4D">
        <w:rPr>
          <w:rFonts w:ascii="Arial" w:hAnsi="Arial" w:cs="Arial"/>
        </w:rPr>
        <w:t>. Os recursos operados pela FINEP cresceram nos últimos anos, ainda assim suas operações são bloqueadas pela própria expansão. Como responsáve</w:t>
      </w:r>
      <w:r w:rsidR="007B69E8">
        <w:rPr>
          <w:rFonts w:ascii="Arial" w:hAnsi="Arial" w:cs="Arial"/>
        </w:rPr>
        <w:t>l pela operação do FNDCT a Finep</w:t>
      </w:r>
      <w:r w:rsidRPr="00030D4D">
        <w:rPr>
          <w:rFonts w:ascii="Arial" w:hAnsi="Arial" w:cs="Arial"/>
        </w:rPr>
        <w:t xml:space="preserve"> enfrenta as dificuldades decorrentes do contingenciamento dos recursos, que afeta toda a cadeia de planejamento e execução. Uma empresa que nasceu vinculada ao planejamento e que financia projetos precisa fazer planejamento de médio e longo prazo, programar com antecipação as ações dos fundos, definir um calendário para editais de subvenção e outros de projetos cooperativos </w:t>
      </w:r>
      <w:r w:rsidRPr="00030D4D">
        <w:rPr>
          <w:rFonts w:ascii="Arial" w:hAnsi="Arial" w:cs="Arial"/>
        </w:rPr>
        <w:sym w:font="Symbol" w:char="F0BE"/>
      </w:r>
      <w:r w:rsidRPr="00030D4D">
        <w:rPr>
          <w:rFonts w:ascii="Arial" w:hAnsi="Arial" w:cs="Arial"/>
        </w:rPr>
        <w:t>medida considerada básica pelas empresas para permitir o seu próprio planejamento</w:t>
      </w:r>
      <w:r w:rsidRPr="00030D4D">
        <w:rPr>
          <w:rFonts w:ascii="Arial" w:hAnsi="Arial" w:cs="Arial"/>
        </w:rPr>
        <w:sym w:font="Symbol" w:char="F0BE"/>
      </w:r>
      <w:r w:rsidRPr="00030D4D">
        <w:rPr>
          <w:rFonts w:ascii="Arial" w:hAnsi="Arial" w:cs="Arial"/>
        </w:rPr>
        <w:t xml:space="preserve"> e manter atendida a carteira de projetos e negócios. Na prática é muito difícil realizar este tipo de planejamento e coordenação sem saber de quanto dispõe e qual o nível de contingenciamento dos recursos do FNDCT. As operações de um ano de baixo contingenciamento contaminam os anos sucessivos se o nível de contingenciamento for maior, já que os recursos novos para financiar novas chamadas e contratar novos projetos fica reduzido. </w:t>
      </w:r>
    </w:p>
    <w:p w:rsidR="00667B12" w:rsidRPr="00030D4D" w:rsidRDefault="00667B12" w:rsidP="004F671D">
      <w:pPr>
        <w:tabs>
          <w:tab w:val="left" w:pos="0"/>
        </w:tabs>
        <w:spacing w:line="240" w:lineRule="auto"/>
        <w:rPr>
          <w:rFonts w:ascii="Arial" w:hAnsi="Arial" w:cs="Arial"/>
        </w:rPr>
      </w:pPr>
      <w:r w:rsidRPr="00030D4D">
        <w:rPr>
          <w:rFonts w:ascii="Arial" w:hAnsi="Arial" w:cs="Arial"/>
          <w:b/>
        </w:rPr>
        <w:t>Operações de crédito da F</w:t>
      </w:r>
      <w:r w:rsidR="007B69E8">
        <w:rPr>
          <w:rFonts w:ascii="Arial" w:hAnsi="Arial" w:cs="Arial"/>
          <w:b/>
        </w:rPr>
        <w:t>inep</w:t>
      </w:r>
      <w:r w:rsidRPr="00030D4D">
        <w:rPr>
          <w:rFonts w:ascii="Arial" w:hAnsi="Arial" w:cs="Arial"/>
        </w:rPr>
        <w:t>.</w:t>
      </w:r>
      <w:r w:rsidR="007B69E8">
        <w:rPr>
          <w:rFonts w:ascii="Arial" w:hAnsi="Arial" w:cs="Arial"/>
        </w:rPr>
        <w:t xml:space="preserve"> As operações de crédito da Finep</w:t>
      </w:r>
      <w:r w:rsidRPr="00030D4D">
        <w:rPr>
          <w:rFonts w:ascii="Arial" w:hAnsi="Arial" w:cs="Arial"/>
        </w:rPr>
        <w:t xml:space="preserve"> são realizadas com base no </w:t>
      </w:r>
      <w:r w:rsidRPr="00030D4D">
        <w:rPr>
          <w:rFonts w:ascii="Arial" w:hAnsi="Arial" w:cs="Arial"/>
          <w:i/>
        </w:rPr>
        <w:t>funding</w:t>
      </w:r>
      <w:r w:rsidRPr="00030D4D">
        <w:rPr>
          <w:rFonts w:ascii="Arial" w:hAnsi="Arial" w:cs="Arial"/>
        </w:rPr>
        <w:t xml:space="preserve"> composto com recursos próprios e de terceiros. Estes últimos variam conforme o ano fiscal, mas foram captados nos últimos anos junto ao FAT, FNDCT, Funttel e Tesouro (inclui a captação do BNDES e PSI). As operações cresceram de forma significativa, pelo menos até 2014, o que levou a Finep a diversificar as captações porque os recursos do FNDCT, seu principal financiador, bateram no li</w:t>
      </w:r>
      <w:bookmarkStart w:id="0" w:name="_GoBack"/>
      <w:r w:rsidRPr="00030D4D">
        <w:rPr>
          <w:rFonts w:ascii="Arial" w:hAnsi="Arial" w:cs="Arial"/>
        </w:rPr>
        <w:t>mi</w:t>
      </w:r>
      <w:bookmarkEnd w:id="0"/>
      <w:r w:rsidRPr="00030D4D">
        <w:rPr>
          <w:rFonts w:ascii="Arial" w:hAnsi="Arial" w:cs="Arial"/>
        </w:rPr>
        <w:t xml:space="preserve">te de 25% autorizado pela Lei n. 11.540/2007 (esta lei foi alterada recentemente). Trata-se, sem dúvida, de uma evolução positiva e importante. De um lado, o crédito pode ser o vetor de carregamento dos demais mecanismos e potencializar o impacto da subvenção e dos projetos cooperativos. Ou seja, as empresas podem utilizar vários itens do “menu pró-inovação”, associando, por exemplo, o crédito com taxa equalizada aos projetos cooperativos para reduzir o custo da P&amp;D. O lado negativo é que este mecanismo só atende um segmento pequeno de empresas, de médias para grandes, que já estão diretamente envolvidas em atividades de P&amp;D; dificilmente as pequenas e médias que ainda não têm experiência em P&amp;D poderão ou estarão dispostas a utilizar o crédito de forma mais abrangente. As operações de crédito enfrentam dois limites. O primeiro é o teto de 25%, e o segundo é o </w:t>
      </w:r>
      <w:r w:rsidRPr="00030D4D">
        <w:rPr>
          <w:rFonts w:ascii="Arial" w:hAnsi="Arial" w:cs="Arial"/>
          <w:i/>
        </w:rPr>
        <w:t>funding</w:t>
      </w:r>
      <w:r w:rsidRPr="00030D4D">
        <w:rPr>
          <w:rFonts w:ascii="Arial" w:hAnsi="Arial" w:cs="Arial"/>
        </w:rPr>
        <w:t>, que até o momento é transitório e não proporciona um cenário de estabilidade para as empresas utilizarem de forma sustentável o mecanismo.</w:t>
      </w:r>
    </w:p>
    <w:p w:rsidR="00B2341E" w:rsidRPr="00030D4D" w:rsidRDefault="00B2341E" w:rsidP="004F671D">
      <w:pPr>
        <w:tabs>
          <w:tab w:val="left" w:pos="0"/>
        </w:tabs>
        <w:spacing w:line="240" w:lineRule="auto"/>
        <w:rPr>
          <w:rFonts w:ascii="Arial" w:hAnsi="Arial" w:cs="Arial"/>
        </w:rPr>
      </w:pPr>
      <w:r w:rsidRPr="00030D4D">
        <w:rPr>
          <w:rFonts w:ascii="Arial" w:hAnsi="Arial" w:cs="Arial"/>
          <w:b/>
        </w:rPr>
        <w:t>Demanda de projetos e financeira da Finep</w:t>
      </w:r>
      <w:r w:rsidR="00E11FF4" w:rsidRPr="00030D4D">
        <w:rPr>
          <w:rFonts w:ascii="Arial" w:hAnsi="Arial" w:cs="Arial"/>
          <w:b/>
        </w:rPr>
        <w:t xml:space="preserve"> no instrumento de Crédito</w:t>
      </w:r>
      <w:r w:rsidRPr="00030D4D">
        <w:rPr>
          <w:rFonts w:ascii="Arial" w:hAnsi="Arial" w:cs="Arial"/>
        </w:rPr>
        <w:t xml:space="preserve">. </w:t>
      </w:r>
      <w:r w:rsidR="00E11FF4" w:rsidRPr="00030D4D">
        <w:rPr>
          <w:rFonts w:ascii="Arial" w:hAnsi="Arial" w:cs="Arial"/>
        </w:rPr>
        <w:t>Os dados disponibilizados pela Finep para o período 2013-2016, separado em 2 biênios (2013-2014, relacionado ao per</w:t>
      </w:r>
      <w:r w:rsidR="00630029" w:rsidRPr="00030D4D">
        <w:rPr>
          <w:rFonts w:ascii="Arial" w:hAnsi="Arial" w:cs="Arial"/>
        </w:rPr>
        <w:t>íodo do inova empresa</w:t>
      </w:r>
      <w:r w:rsidR="00E11FF4" w:rsidRPr="00030D4D">
        <w:rPr>
          <w:rFonts w:ascii="Arial" w:hAnsi="Arial" w:cs="Arial"/>
        </w:rPr>
        <w:t xml:space="preserve"> e o consecutivo</w:t>
      </w:r>
      <w:r w:rsidR="00630029" w:rsidRPr="00030D4D">
        <w:rPr>
          <w:rFonts w:ascii="Arial" w:hAnsi="Arial" w:cs="Arial"/>
        </w:rPr>
        <w:t>), e</w:t>
      </w:r>
      <w:r w:rsidR="00E11FF4" w:rsidRPr="00030D4D">
        <w:rPr>
          <w:rFonts w:ascii="Arial" w:hAnsi="Arial" w:cs="Arial"/>
        </w:rPr>
        <w:t xml:space="preserve"> </w:t>
      </w:r>
      <w:r w:rsidR="00630029" w:rsidRPr="00030D4D">
        <w:rPr>
          <w:rFonts w:ascii="Arial" w:hAnsi="Arial" w:cs="Arial"/>
        </w:rPr>
        <w:t xml:space="preserve">apresentados na seção 3.1 </w:t>
      </w:r>
      <w:r w:rsidR="00E11FF4" w:rsidRPr="00030D4D">
        <w:rPr>
          <w:rFonts w:ascii="Arial" w:hAnsi="Arial" w:cs="Arial"/>
        </w:rPr>
        <w:t>revela</w:t>
      </w:r>
      <w:r w:rsidR="00630029" w:rsidRPr="00030D4D">
        <w:rPr>
          <w:rFonts w:ascii="Arial" w:hAnsi="Arial" w:cs="Arial"/>
        </w:rPr>
        <w:t>m</w:t>
      </w:r>
      <w:r w:rsidR="00E11FF4" w:rsidRPr="00030D4D">
        <w:rPr>
          <w:rFonts w:ascii="Arial" w:hAnsi="Arial" w:cs="Arial"/>
        </w:rPr>
        <w:t xml:space="preserve"> que tanto em número como em valor, a relação </w:t>
      </w:r>
      <w:r w:rsidR="00630029" w:rsidRPr="00030D4D">
        <w:rPr>
          <w:rFonts w:ascii="Arial" w:hAnsi="Arial" w:cs="Arial"/>
        </w:rPr>
        <w:t>entre projetos apresentados e aprovados foi</w:t>
      </w:r>
      <w:r w:rsidR="00B15568" w:rsidRPr="00030D4D">
        <w:rPr>
          <w:rFonts w:ascii="Arial" w:hAnsi="Arial" w:cs="Arial"/>
        </w:rPr>
        <w:t xml:space="preserve"> de quase</w:t>
      </w:r>
      <w:r w:rsidR="00630029" w:rsidRPr="00030D4D">
        <w:rPr>
          <w:rFonts w:ascii="Arial" w:hAnsi="Arial" w:cs="Arial"/>
        </w:rPr>
        <w:t xml:space="preserve"> 1/3 (ou</w:t>
      </w:r>
      <w:r w:rsidR="00E11FF4" w:rsidRPr="00030D4D">
        <w:rPr>
          <w:rFonts w:ascii="Arial" w:hAnsi="Arial" w:cs="Arial"/>
        </w:rPr>
        <w:t xml:space="preserve"> 3:1</w:t>
      </w:r>
      <w:r w:rsidR="00630029" w:rsidRPr="00030D4D">
        <w:rPr>
          <w:rFonts w:ascii="Arial" w:hAnsi="Arial" w:cs="Arial"/>
        </w:rPr>
        <w:t>)</w:t>
      </w:r>
      <w:r w:rsidR="00E11FF4" w:rsidRPr="00030D4D">
        <w:rPr>
          <w:rFonts w:ascii="Arial" w:hAnsi="Arial" w:cs="Arial"/>
        </w:rPr>
        <w:t>, ou seja, a Finep aprovou cerca de 3</w:t>
      </w:r>
      <w:r w:rsidR="00B15568" w:rsidRPr="00030D4D">
        <w:rPr>
          <w:rFonts w:ascii="Arial" w:hAnsi="Arial" w:cs="Arial"/>
        </w:rPr>
        <w:t>2,3</w:t>
      </w:r>
      <w:r w:rsidR="00E11FF4" w:rsidRPr="00030D4D">
        <w:rPr>
          <w:rFonts w:ascii="Arial" w:hAnsi="Arial" w:cs="Arial"/>
        </w:rPr>
        <w:t>% do número de projetos apresentados</w:t>
      </w:r>
      <w:r w:rsidR="00B15568" w:rsidRPr="00030D4D">
        <w:rPr>
          <w:rFonts w:ascii="Arial" w:hAnsi="Arial" w:cs="Arial"/>
        </w:rPr>
        <w:t xml:space="preserve">. Do total aprovado, contratou cerca de 83% dos projetos. Analisados separadamente os biênios, nota-se que no segundo período o percentual de contratação foi inferior (77%) em relação aos projetos aprovados. No tocante à demanda financeira, o quadro é um pouco menos favorável. </w:t>
      </w:r>
      <w:r w:rsidR="002C003C" w:rsidRPr="00030D4D">
        <w:rPr>
          <w:rFonts w:ascii="Arial" w:hAnsi="Arial" w:cs="Arial"/>
        </w:rPr>
        <w:t>Considerados os quatro anos</w:t>
      </w:r>
      <w:r w:rsidR="00630029" w:rsidRPr="00030D4D">
        <w:rPr>
          <w:rFonts w:ascii="Arial" w:hAnsi="Arial" w:cs="Arial"/>
        </w:rPr>
        <w:t xml:space="preserve"> (2013-2016),</w:t>
      </w:r>
      <w:r w:rsidR="00E11FF4" w:rsidRPr="00030D4D">
        <w:rPr>
          <w:rFonts w:ascii="Arial" w:hAnsi="Arial" w:cs="Arial"/>
        </w:rPr>
        <w:t xml:space="preserve"> </w:t>
      </w:r>
      <w:r w:rsidR="002C003C" w:rsidRPr="00030D4D">
        <w:rPr>
          <w:rFonts w:ascii="Arial" w:hAnsi="Arial" w:cs="Arial"/>
        </w:rPr>
        <w:t xml:space="preserve">31% da demanda financeira apresentada foi aprovada e cerca de 90% </w:t>
      </w:r>
      <w:r w:rsidR="00630029" w:rsidRPr="00030D4D">
        <w:rPr>
          <w:rFonts w:ascii="Arial" w:hAnsi="Arial" w:cs="Arial"/>
        </w:rPr>
        <w:t xml:space="preserve">do montante aprovado </w:t>
      </w:r>
      <w:r w:rsidR="002C003C" w:rsidRPr="00030D4D">
        <w:rPr>
          <w:rFonts w:ascii="Arial" w:hAnsi="Arial" w:cs="Arial"/>
        </w:rPr>
        <w:t>foi contratado.</w:t>
      </w:r>
      <w:r w:rsidR="00CD07F9" w:rsidRPr="00030D4D">
        <w:rPr>
          <w:rFonts w:ascii="Arial" w:hAnsi="Arial" w:cs="Arial"/>
        </w:rPr>
        <w:t xml:space="preserve"> A contrapartida das empresas foi de 23%, o que significa que a Finep financiou, em média, cerca de 80% do valor </w:t>
      </w:r>
      <w:r w:rsidR="006A2ECA" w:rsidRPr="00030D4D">
        <w:rPr>
          <w:rFonts w:ascii="Arial" w:hAnsi="Arial" w:cs="Arial"/>
        </w:rPr>
        <w:t xml:space="preserve">total </w:t>
      </w:r>
      <w:r w:rsidR="00CD07F9" w:rsidRPr="00030D4D">
        <w:rPr>
          <w:rFonts w:ascii="Arial" w:hAnsi="Arial" w:cs="Arial"/>
        </w:rPr>
        <w:t xml:space="preserve">de cada projeto. </w:t>
      </w:r>
      <w:r w:rsidR="00BD2E7A" w:rsidRPr="00030D4D">
        <w:rPr>
          <w:rFonts w:ascii="Arial" w:hAnsi="Arial" w:cs="Arial"/>
        </w:rPr>
        <w:t xml:space="preserve">Separados os biênios, verifica-se que no segundo biênio houve uma queda de cerca de 10% no montante contratado em relação ao anterior.  </w:t>
      </w:r>
    </w:p>
    <w:p w:rsidR="004A0331" w:rsidRPr="00030D4D" w:rsidRDefault="004A0331" w:rsidP="004F671D">
      <w:pPr>
        <w:tabs>
          <w:tab w:val="left" w:pos="0"/>
        </w:tabs>
        <w:spacing w:line="240" w:lineRule="auto"/>
        <w:rPr>
          <w:rFonts w:ascii="Arial" w:hAnsi="Arial" w:cs="Arial"/>
          <w:b/>
        </w:rPr>
      </w:pPr>
      <w:r w:rsidRPr="00030D4D">
        <w:rPr>
          <w:rFonts w:ascii="Arial" w:hAnsi="Arial" w:cs="Arial"/>
          <w:b/>
        </w:rPr>
        <w:t>Demanda de projetos e financeira no instrumento não reembolsável.</w:t>
      </w:r>
      <w:r w:rsidR="004634FC" w:rsidRPr="00030D4D">
        <w:rPr>
          <w:rFonts w:ascii="Arial" w:hAnsi="Arial" w:cs="Arial"/>
          <w:b/>
        </w:rPr>
        <w:t xml:space="preserve"> </w:t>
      </w:r>
      <w:r w:rsidR="004634FC" w:rsidRPr="00030D4D">
        <w:rPr>
          <w:rFonts w:ascii="Arial" w:hAnsi="Arial" w:cs="Arial"/>
        </w:rPr>
        <w:t>A relação entre projetos apresentados e aprovados na modalidade não reembolsável foi ligeiramente inferior a 1/3 (ou 3:1). A Finep aprovou cerca de 30,6% do número de projetos apresentados e 30,2% do valor.</w:t>
      </w:r>
      <w:r w:rsidR="00B162D6" w:rsidRPr="00030D4D">
        <w:rPr>
          <w:rFonts w:ascii="Arial" w:hAnsi="Arial" w:cs="Arial"/>
        </w:rPr>
        <w:t xml:space="preserve"> Por sua vez, o valor contratado ficou em torno de 78% do aprovado. Neste caso, a diferença entre os dois biênios foi bastante expressiva. </w:t>
      </w:r>
      <w:r w:rsidR="008A395C" w:rsidRPr="00030D4D">
        <w:rPr>
          <w:rFonts w:ascii="Arial" w:hAnsi="Arial" w:cs="Arial"/>
        </w:rPr>
        <w:t>Em termos do número de projetos aprovados, a relação foi ainda pior. Cerca de 72% do número de projetos aprovados foram efetivamente contratados.</w:t>
      </w:r>
    </w:p>
    <w:p w:rsidR="00CF2B12" w:rsidRPr="00030D4D" w:rsidRDefault="00CF2B12">
      <w:pPr>
        <w:spacing w:before="0" w:after="160" w:line="259" w:lineRule="auto"/>
        <w:jc w:val="left"/>
        <w:rPr>
          <w:rFonts w:ascii="Arial" w:hAnsi="Arial" w:cs="Arial"/>
          <w:b/>
        </w:rPr>
      </w:pPr>
      <w:r w:rsidRPr="00030D4D">
        <w:rPr>
          <w:rFonts w:ascii="Arial" w:hAnsi="Arial" w:cs="Arial"/>
          <w:b/>
        </w:rPr>
        <w:br w:type="page"/>
      </w:r>
    </w:p>
    <w:sdt>
      <w:sdtPr>
        <w:rPr>
          <w:rFonts w:ascii="Arial" w:eastAsiaTheme="minorHAnsi" w:hAnsi="Arial" w:cs="Arial"/>
          <w:b w:val="0"/>
          <w:sz w:val="24"/>
          <w:szCs w:val="22"/>
          <w:lang w:eastAsia="en-US"/>
        </w:rPr>
        <w:id w:val="-779404274"/>
        <w:docPartObj>
          <w:docPartGallery w:val="Table of Contents"/>
          <w:docPartUnique/>
        </w:docPartObj>
      </w:sdtPr>
      <w:sdtEndPr>
        <w:rPr>
          <w:bCs/>
          <w:sz w:val="22"/>
        </w:rPr>
      </w:sdtEndPr>
      <w:sdtContent>
        <w:p w:rsidR="00460F65" w:rsidRPr="00030D4D" w:rsidRDefault="00460F65" w:rsidP="00E26FAA">
          <w:pPr>
            <w:pStyle w:val="TOCHeading"/>
            <w:rPr>
              <w:rFonts w:ascii="Arial" w:hAnsi="Arial" w:cs="Arial"/>
            </w:rPr>
          </w:pPr>
          <w:r w:rsidRPr="00030D4D">
            <w:rPr>
              <w:rFonts w:ascii="Arial" w:hAnsi="Arial" w:cs="Arial"/>
            </w:rPr>
            <w:t>Sumário</w:t>
          </w:r>
        </w:p>
        <w:p w:rsidR="00D50A26" w:rsidRPr="00030D4D" w:rsidRDefault="00B441D5">
          <w:pPr>
            <w:pStyle w:val="TOC1"/>
            <w:tabs>
              <w:tab w:val="right" w:leader="dot" w:pos="8494"/>
            </w:tabs>
            <w:rPr>
              <w:rFonts w:ascii="Arial" w:eastAsiaTheme="minorEastAsia" w:hAnsi="Arial" w:cs="Arial"/>
              <w:noProof/>
              <w:lang w:eastAsia="pt-BR"/>
            </w:rPr>
          </w:pPr>
          <w:r w:rsidRPr="00030D4D">
            <w:rPr>
              <w:rFonts w:ascii="Arial" w:hAnsi="Arial" w:cs="Arial"/>
            </w:rPr>
            <w:fldChar w:fldCharType="begin"/>
          </w:r>
          <w:r w:rsidRPr="00030D4D">
            <w:rPr>
              <w:rFonts w:ascii="Arial" w:hAnsi="Arial" w:cs="Arial"/>
            </w:rPr>
            <w:instrText xml:space="preserve"> TOC \h \z \t "Título 1;2;Título 2;3;Título 3;4;Título 4;5;Título;1" </w:instrText>
          </w:r>
          <w:r w:rsidRPr="00030D4D">
            <w:rPr>
              <w:rFonts w:ascii="Arial" w:hAnsi="Arial" w:cs="Arial"/>
            </w:rPr>
            <w:fldChar w:fldCharType="separate"/>
          </w:r>
          <w:hyperlink w:anchor="_Toc482828479" w:history="1">
            <w:r w:rsidR="00D50A26" w:rsidRPr="00030D4D">
              <w:rPr>
                <w:rStyle w:val="Hyperlink"/>
                <w:rFonts w:ascii="Arial" w:hAnsi="Arial" w:cs="Arial"/>
                <w:noProof/>
              </w:rPr>
              <w:t>Apresentação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_Toc482828479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10</w:t>
            </w:r>
            <w:r w:rsidR="00D50A26" w:rsidRPr="00030D4D">
              <w:rPr>
                <w:rFonts w:ascii="Arial" w:hAnsi="Arial" w:cs="Arial"/>
                <w:noProof/>
                <w:webHidden/>
              </w:rPr>
              <w:fldChar w:fldCharType="end"/>
            </w:r>
          </w:hyperlink>
        </w:p>
        <w:p w:rsidR="00D50A26" w:rsidRPr="00030D4D" w:rsidRDefault="000234F5">
          <w:pPr>
            <w:pStyle w:val="TOC2"/>
            <w:tabs>
              <w:tab w:val="left" w:pos="720"/>
              <w:tab w:val="right" w:leader="dot" w:pos="8494"/>
            </w:tabs>
            <w:rPr>
              <w:rFonts w:ascii="Arial" w:eastAsiaTheme="minorEastAsia" w:hAnsi="Arial" w:cs="Arial"/>
              <w:noProof/>
              <w:lang w:eastAsia="pt-BR"/>
            </w:rPr>
          </w:pPr>
          <w:hyperlink w:anchor="_Toc482828480" w:history="1">
            <w:r w:rsidR="00D50A26" w:rsidRPr="00030D4D">
              <w:rPr>
                <w:rStyle w:val="Hyperlink"/>
                <w:rFonts w:ascii="Arial" w:hAnsi="Arial" w:cs="Arial"/>
                <w:noProof/>
                <w:spacing w:val="-20"/>
              </w:rPr>
              <w:t>1.</w:t>
            </w:r>
            <w:r w:rsidR="00D50A26" w:rsidRPr="00030D4D">
              <w:rPr>
                <w:rFonts w:ascii="Arial" w:eastAsiaTheme="minorEastAsia" w:hAnsi="Arial" w:cs="Arial"/>
                <w:noProof/>
                <w:lang w:eastAsia="pt-BR"/>
              </w:rPr>
              <w:tab/>
            </w:r>
            <w:r w:rsidR="00D50A26" w:rsidRPr="00030D4D">
              <w:rPr>
                <w:rStyle w:val="Hyperlink"/>
                <w:rFonts w:ascii="Arial" w:hAnsi="Arial" w:cs="Arial"/>
                <w:noProof/>
              </w:rPr>
              <w:t>Fontes e Instrumentos Públicos de Financiamento à Inovação no Brasil</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_Toc482828480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10</w:t>
            </w:r>
            <w:r w:rsidR="00D50A26" w:rsidRPr="00030D4D">
              <w:rPr>
                <w:rFonts w:ascii="Arial" w:hAnsi="Arial" w:cs="Arial"/>
                <w:noProof/>
                <w:webHidden/>
              </w:rPr>
              <w:fldChar w:fldCharType="end"/>
            </w:r>
          </w:hyperlink>
        </w:p>
        <w:p w:rsidR="00D50A26" w:rsidRPr="00030D4D" w:rsidRDefault="000234F5">
          <w:pPr>
            <w:pStyle w:val="TOC3"/>
            <w:tabs>
              <w:tab w:val="left" w:pos="1100"/>
              <w:tab w:val="right" w:leader="dot" w:pos="8494"/>
            </w:tabs>
            <w:rPr>
              <w:rFonts w:ascii="Arial" w:eastAsiaTheme="minorEastAsia" w:hAnsi="Arial" w:cs="Arial"/>
              <w:noProof/>
              <w:lang w:eastAsia="pt-BR"/>
            </w:rPr>
          </w:pPr>
          <w:hyperlink w:anchor="_Toc482828481" w:history="1">
            <w:r w:rsidR="00D50A26" w:rsidRPr="00030D4D">
              <w:rPr>
                <w:rStyle w:val="Hyperlink"/>
                <w:rFonts w:ascii="Arial" w:hAnsi="Arial" w:cs="Arial"/>
                <w:noProof/>
              </w:rPr>
              <w:t>1.1</w:t>
            </w:r>
            <w:r w:rsidR="00D50A26" w:rsidRPr="00030D4D">
              <w:rPr>
                <w:rFonts w:ascii="Arial" w:eastAsiaTheme="minorEastAsia" w:hAnsi="Arial" w:cs="Arial"/>
                <w:noProof/>
                <w:lang w:eastAsia="pt-BR"/>
              </w:rPr>
              <w:tab/>
            </w:r>
            <w:r w:rsidR="00D50A26" w:rsidRPr="00030D4D">
              <w:rPr>
                <w:rStyle w:val="Hyperlink"/>
                <w:rFonts w:ascii="Arial" w:hAnsi="Arial" w:cs="Arial"/>
                <w:noProof/>
              </w:rPr>
              <w:t>Fontes de Recursos para a Inovação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_Toc482828481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11</w:t>
            </w:r>
            <w:r w:rsidR="00D50A26" w:rsidRPr="00030D4D">
              <w:rPr>
                <w:rFonts w:ascii="Arial" w:hAnsi="Arial" w:cs="Arial"/>
                <w:noProof/>
                <w:webHidden/>
              </w:rPr>
              <w:fldChar w:fldCharType="end"/>
            </w:r>
          </w:hyperlink>
        </w:p>
        <w:p w:rsidR="00D50A26" w:rsidRPr="00030D4D" w:rsidRDefault="000234F5">
          <w:pPr>
            <w:pStyle w:val="TOC3"/>
            <w:tabs>
              <w:tab w:val="left" w:pos="1100"/>
              <w:tab w:val="right" w:leader="dot" w:pos="8494"/>
            </w:tabs>
            <w:rPr>
              <w:rFonts w:ascii="Arial" w:eastAsiaTheme="minorEastAsia" w:hAnsi="Arial" w:cs="Arial"/>
              <w:noProof/>
              <w:lang w:eastAsia="pt-BR"/>
            </w:rPr>
          </w:pPr>
          <w:hyperlink w:anchor="_Toc482828482" w:history="1">
            <w:r w:rsidR="00D50A26" w:rsidRPr="00030D4D">
              <w:rPr>
                <w:rStyle w:val="Hyperlink"/>
                <w:rFonts w:ascii="Arial" w:hAnsi="Arial" w:cs="Arial"/>
                <w:noProof/>
              </w:rPr>
              <w:t>1.2</w:t>
            </w:r>
            <w:r w:rsidR="00D50A26" w:rsidRPr="00030D4D">
              <w:rPr>
                <w:rFonts w:ascii="Arial" w:eastAsiaTheme="minorEastAsia" w:hAnsi="Arial" w:cs="Arial"/>
                <w:noProof/>
                <w:lang w:eastAsia="pt-BR"/>
              </w:rPr>
              <w:tab/>
            </w:r>
            <w:r w:rsidR="00D50A26" w:rsidRPr="00030D4D">
              <w:rPr>
                <w:rStyle w:val="Hyperlink"/>
                <w:rFonts w:ascii="Arial" w:hAnsi="Arial" w:cs="Arial"/>
                <w:noProof/>
              </w:rPr>
              <w:t>Os Instrumentos de Financiamento à Inovação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_Toc482828482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14</w:t>
            </w:r>
            <w:r w:rsidR="00D50A26" w:rsidRPr="00030D4D">
              <w:rPr>
                <w:rFonts w:ascii="Arial" w:hAnsi="Arial" w:cs="Arial"/>
                <w:noProof/>
                <w:webHidden/>
              </w:rPr>
              <w:fldChar w:fldCharType="end"/>
            </w:r>
          </w:hyperlink>
        </w:p>
        <w:p w:rsidR="00D50A26" w:rsidRPr="00030D4D" w:rsidRDefault="000234F5">
          <w:pPr>
            <w:pStyle w:val="TOC4"/>
            <w:tabs>
              <w:tab w:val="left" w:pos="1540"/>
              <w:tab w:val="right" w:leader="dot" w:pos="8494"/>
            </w:tabs>
            <w:rPr>
              <w:rFonts w:ascii="Arial" w:eastAsiaTheme="minorEastAsia" w:hAnsi="Arial" w:cs="Arial"/>
              <w:noProof/>
              <w:lang w:eastAsia="pt-BR"/>
            </w:rPr>
          </w:pPr>
          <w:hyperlink w:anchor="_Toc482828483" w:history="1">
            <w:r w:rsidR="00D50A26" w:rsidRPr="00030D4D">
              <w:rPr>
                <w:rStyle w:val="Hyperlink"/>
                <w:rFonts w:ascii="Arial" w:hAnsi="Arial" w:cs="Arial"/>
                <w:noProof/>
              </w:rPr>
              <w:t>1.2.1</w:t>
            </w:r>
            <w:r w:rsidR="00D50A26" w:rsidRPr="00030D4D">
              <w:rPr>
                <w:rFonts w:ascii="Arial" w:eastAsiaTheme="minorEastAsia" w:hAnsi="Arial" w:cs="Arial"/>
                <w:noProof/>
                <w:lang w:eastAsia="pt-BR"/>
              </w:rPr>
              <w:tab/>
            </w:r>
            <w:r w:rsidR="00D50A26" w:rsidRPr="00030D4D">
              <w:rPr>
                <w:rStyle w:val="Hyperlink"/>
                <w:rFonts w:ascii="Arial" w:hAnsi="Arial" w:cs="Arial"/>
                <w:noProof/>
              </w:rPr>
              <w:t>Crédito (Reembolsável)</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_Toc482828483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15</w:t>
            </w:r>
            <w:r w:rsidR="00D50A26" w:rsidRPr="00030D4D">
              <w:rPr>
                <w:rFonts w:ascii="Arial" w:hAnsi="Arial" w:cs="Arial"/>
                <w:noProof/>
                <w:webHidden/>
              </w:rPr>
              <w:fldChar w:fldCharType="end"/>
            </w:r>
          </w:hyperlink>
        </w:p>
        <w:p w:rsidR="00D50A26" w:rsidRPr="00030D4D" w:rsidRDefault="000234F5">
          <w:pPr>
            <w:pStyle w:val="TOC4"/>
            <w:tabs>
              <w:tab w:val="left" w:pos="1540"/>
              <w:tab w:val="right" w:leader="dot" w:pos="8494"/>
            </w:tabs>
            <w:rPr>
              <w:rFonts w:ascii="Arial" w:eastAsiaTheme="minorEastAsia" w:hAnsi="Arial" w:cs="Arial"/>
              <w:noProof/>
              <w:lang w:eastAsia="pt-BR"/>
            </w:rPr>
          </w:pPr>
          <w:hyperlink w:anchor="_Toc482828484" w:history="1">
            <w:r w:rsidR="00D50A26" w:rsidRPr="00030D4D">
              <w:rPr>
                <w:rStyle w:val="Hyperlink"/>
                <w:rFonts w:ascii="Arial" w:hAnsi="Arial" w:cs="Arial"/>
                <w:noProof/>
              </w:rPr>
              <w:t>1.2.2</w:t>
            </w:r>
            <w:r w:rsidR="00D50A26" w:rsidRPr="00030D4D">
              <w:rPr>
                <w:rFonts w:ascii="Arial" w:eastAsiaTheme="minorEastAsia" w:hAnsi="Arial" w:cs="Arial"/>
                <w:noProof/>
                <w:lang w:eastAsia="pt-BR"/>
              </w:rPr>
              <w:tab/>
            </w:r>
            <w:r w:rsidR="00D50A26" w:rsidRPr="00030D4D">
              <w:rPr>
                <w:rStyle w:val="Hyperlink"/>
                <w:rFonts w:ascii="Arial" w:hAnsi="Arial" w:cs="Arial"/>
                <w:noProof/>
              </w:rPr>
              <w:t>Capital de Risco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_Toc482828484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6</w:t>
            </w:r>
            <w:r w:rsidR="00D50A26" w:rsidRPr="00030D4D">
              <w:rPr>
                <w:rFonts w:ascii="Arial" w:hAnsi="Arial" w:cs="Arial"/>
                <w:noProof/>
                <w:webHidden/>
              </w:rPr>
              <w:fldChar w:fldCharType="end"/>
            </w:r>
          </w:hyperlink>
        </w:p>
        <w:p w:rsidR="00D50A26" w:rsidRPr="00030D4D" w:rsidRDefault="000234F5">
          <w:pPr>
            <w:pStyle w:val="TOC4"/>
            <w:tabs>
              <w:tab w:val="left" w:pos="1540"/>
              <w:tab w:val="right" w:leader="dot" w:pos="8494"/>
            </w:tabs>
            <w:rPr>
              <w:rFonts w:ascii="Arial" w:eastAsiaTheme="minorEastAsia" w:hAnsi="Arial" w:cs="Arial"/>
              <w:noProof/>
              <w:lang w:eastAsia="pt-BR"/>
            </w:rPr>
          </w:pPr>
          <w:hyperlink w:anchor="_Toc482828485" w:history="1">
            <w:r w:rsidR="00D50A26" w:rsidRPr="00030D4D">
              <w:rPr>
                <w:rStyle w:val="Hyperlink"/>
                <w:rFonts w:ascii="Arial" w:hAnsi="Arial" w:cs="Arial"/>
                <w:noProof/>
              </w:rPr>
              <w:t>1.2.3</w:t>
            </w:r>
            <w:r w:rsidR="00D50A26" w:rsidRPr="00030D4D">
              <w:rPr>
                <w:rFonts w:ascii="Arial" w:eastAsiaTheme="minorEastAsia" w:hAnsi="Arial" w:cs="Arial"/>
                <w:noProof/>
                <w:lang w:eastAsia="pt-BR"/>
              </w:rPr>
              <w:tab/>
            </w:r>
            <w:r w:rsidR="00D50A26" w:rsidRPr="00030D4D">
              <w:rPr>
                <w:rStyle w:val="Hyperlink"/>
                <w:rFonts w:ascii="Arial" w:hAnsi="Arial" w:cs="Arial"/>
                <w:noProof/>
              </w:rPr>
              <w:t>Apoio Financeiro Não Reembolsável</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_Toc482828485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10</w:t>
            </w:r>
            <w:r w:rsidR="00D50A26" w:rsidRPr="00030D4D">
              <w:rPr>
                <w:rFonts w:ascii="Arial" w:hAnsi="Arial" w:cs="Arial"/>
                <w:noProof/>
                <w:webHidden/>
              </w:rPr>
              <w:fldChar w:fldCharType="end"/>
            </w:r>
          </w:hyperlink>
        </w:p>
        <w:p w:rsidR="00D50A26" w:rsidRPr="00030D4D" w:rsidRDefault="000234F5">
          <w:pPr>
            <w:pStyle w:val="TOC4"/>
            <w:tabs>
              <w:tab w:val="left" w:pos="1540"/>
              <w:tab w:val="right" w:leader="dot" w:pos="8494"/>
            </w:tabs>
            <w:rPr>
              <w:rFonts w:ascii="Arial" w:eastAsiaTheme="minorEastAsia" w:hAnsi="Arial" w:cs="Arial"/>
              <w:noProof/>
              <w:lang w:eastAsia="pt-BR"/>
            </w:rPr>
          </w:pPr>
          <w:hyperlink w:anchor="_Toc482828486" w:history="1">
            <w:r w:rsidR="00D50A26" w:rsidRPr="00030D4D">
              <w:rPr>
                <w:rStyle w:val="Hyperlink"/>
                <w:rFonts w:ascii="Arial" w:eastAsia="Cambria" w:hAnsi="Arial" w:cs="Arial"/>
                <w:noProof/>
              </w:rPr>
              <w:t>1.2.4</w:t>
            </w:r>
            <w:r w:rsidR="00D50A26" w:rsidRPr="00030D4D">
              <w:rPr>
                <w:rFonts w:ascii="Arial" w:eastAsiaTheme="minorEastAsia" w:hAnsi="Arial" w:cs="Arial"/>
                <w:noProof/>
                <w:lang w:eastAsia="pt-BR"/>
              </w:rPr>
              <w:tab/>
            </w:r>
            <w:r w:rsidR="00D50A26" w:rsidRPr="00030D4D">
              <w:rPr>
                <w:rStyle w:val="Hyperlink"/>
                <w:rFonts w:ascii="Arial" w:hAnsi="Arial" w:cs="Arial"/>
                <w:noProof/>
              </w:rPr>
              <w:t>Incentivos Fiscais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_Toc482828486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17</w:t>
            </w:r>
            <w:r w:rsidR="00D50A26" w:rsidRPr="00030D4D">
              <w:rPr>
                <w:rFonts w:ascii="Arial" w:hAnsi="Arial" w:cs="Arial"/>
                <w:noProof/>
                <w:webHidden/>
              </w:rPr>
              <w:fldChar w:fldCharType="end"/>
            </w:r>
          </w:hyperlink>
        </w:p>
        <w:p w:rsidR="00D50A26" w:rsidRPr="00030D4D" w:rsidRDefault="000234F5">
          <w:pPr>
            <w:pStyle w:val="TOC2"/>
            <w:tabs>
              <w:tab w:val="left" w:pos="720"/>
              <w:tab w:val="right" w:leader="dot" w:pos="8494"/>
            </w:tabs>
            <w:rPr>
              <w:rFonts w:ascii="Arial" w:eastAsiaTheme="minorEastAsia" w:hAnsi="Arial" w:cs="Arial"/>
              <w:noProof/>
              <w:lang w:eastAsia="pt-BR"/>
            </w:rPr>
          </w:pPr>
          <w:hyperlink w:anchor="_Toc482828487" w:history="1">
            <w:r w:rsidR="00D50A26" w:rsidRPr="00030D4D">
              <w:rPr>
                <w:rStyle w:val="Hyperlink"/>
                <w:rFonts w:ascii="Arial" w:hAnsi="Arial" w:cs="Arial"/>
                <w:noProof/>
                <w:spacing w:val="-20"/>
              </w:rPr>
              <w:t>2.</w:t>
            </w:r>
            <w:r w:rsidR="00D50A26" w:rsidRPr="00030D4D">
              <w:rPr>
                <w:rFonts w:ascii="Arial" w:eastAsiaTheme="minorEastAsia" w:hAnsi="Arial" w:cs="Arial"/>
                <w:noProof/>
                <w:lang w:eastAsia="pt-BR"/>
              </w:rPr>
              <w:tab/>
            </w:r>
            <w:r w:rsidR="00D50A26" w:rsidRPr="00030D4D">
              <w:rPr>
                <w:rStyle w:val="Hyperlink"/>
                <w:rFonts w:ascii="Arial" w:hAnsi="Arial" w:cs="Arial"/>
                <w:noProof/>
              </w:rPr>
              <w:t>O Cenário Atual do Financiamento à Inovação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_Toc482828487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19</w:t>
            </w:r>
            <w:r w:rsidR="00D50A26" w:rsidRPr="00030D4D">
              <w:rPr>
                <w:rFonts w:ascii="Arial" w:hAnsi="Arial" w:cs="Arial"/>
                <w:noProof/>
                <w:webHidden/>
              </w:rPr>
              <w:fldChar w:fldCharType="end"/>
            </w:r>
          </w:hyperlink>
        </w:p>
        <w:p w:rsidR="00D50A26" w:rsidRPr="00030D4D" w:rsidRDefault="000234F5">
          <w:pPr>
            <w:pStyle w:val="TOC2"/>
            <w:tabs>
              <w:tab w:val="left" w:pos="720"/>
              <w:tab w:val="right" w:leader="dot" w:pos="8494"/>
            </w:tabs>
            <w:rPr>
              <w:rFonts w:ascii="Arial" w:eastAsiaTheme="minorEastAsia" w:hAnsi="Arial" w:cs="Arial"/>
              <w:noProof/>
              <w:lang w:eastAsia="pt-BR"/>
            </w:rPr>
          </w:pPr>
          <w:hyperlink w:anchor="_Toc482828488" w:history="1">
            <w:r w:rsidR="00D50A26" w:rsidRPr="00030D4D">
              <w:rPr>
                <w:rStyle w:val="Hyperlink"/>
                <w:rFonts w:ascii="Arial" w:hAnsi="Arial" w:cs="Arial"/>
                <w:noProof/>
                <w:spacing w:val="-20"/>
              </w:rPr>
              <w:t>3.</w:t>
            </w:r>
            <w:r w:rsidR="00D50A26" w:rsidRPr="00030D4D">
              <w:rPr>
                <w:rFonts w:ascii="Arial" w:eastAsiaTheme="minorEastAsia" w:hAnsi="Arial" w:cs="Arial"/>
                <w:noProof/>
                <w:lang w:eastAsia="pt-BR"/>
              </w:rPr>
              <w:tab/>
            </w:r>
            <w:r w:rsidR="00D50A26" w:rsidRPr="00030D4D">
              <w:rPr>
                <w:rStyle w:val="Hyperlink"/>
                <w:rFonts w:ascii="Arial" w:hAnsi="Arial" w:cs="Arial"/>
                <w:noProof/>
              </w:rPr>
              <w:t>Capacidade da Finep de Atendimento à Demanda</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_Toc482828488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27</w:t>
            </w:r>
            <w:r w:rsidR="00D50A26" w:rsidRPr="00030D4D">
              <w:rPr>
                <w:rFonts w:ascii="Arial" w:hAnsi="Arial" w:cs="Arial"/>
                <w:noProof/>
                <w:webHidden/>
              </w:rPr>
              <w:fldChar w:fldCharType="end"/>
            </w:r>
          </w:hyperlink>
        </w:p>
        <w:p w:rsidR="00D50A26" w:rsidRPr="00030D4D" w:rsidRDefault="000234F5">
          <w:pPr>
            <w:pStyle w:val="TOC3"/>
            <w:tabs>
              <w:tab w:val="left" w:pos="1100"/>
              <w:tab w:val="right" w:leader="dot" w:pos="8494"/>
            </w:tabs>
            <w:rPr>
              <w:rFonts w:ascii="Arial" w:eastAsiaTheme="minorEastAsia" w:hAnsi="Arial" w:cs="Arial"/>
              <w:noProof/>
              <w:lang w:eastAsia="pt-BR"/>
            </w:rPr>
          </w:pPr>
          <w:hyperlink w:anchor="_Toc482828489" w:history="1">
            <w:r w:rsidR="00D50A26" w:rsidRPr="00030D4D">
              <w:rPr>
                <w:rStyle w:val="Hyperlink"/>
                <w:rFonts w:ascii="Arial" w:hAnsi="Arial" w:cs="Arial"/>
                <w:noProof/>
              </w:rPr>
              <w:t>3.1</w:t>
            </w:r>
            <w:r w:rsidR="00D50A26" w:rsidRPr="00030D4D">
              <w:rPr>
                <w:rFonts w:ascii="Arial" w:eastAsiaTheme="minorEastAsia" w:hAnsi="Arial" w:cs="Arial"/>
                <w:noProof/>
                <w:lang w:eastAsia="pt-BR"/>
              </w:rPr>
              <w:tab/>
            </w:r>
            <w:r w:rsidR="00D50A26" w:rsidRPr="00030D4D">
              <w:rPr>
                <w:rStyle w:val="Hyperlink"/>
                <w:rFonts w:ascii="Arial" w:hAnsi="Arial" w:cs="Arial"/>
                <w:noProof/>
              </w:rPr>
              <w:t>Finep. Demanda por recursos reembolsáveis – crédito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_Toc482828489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35</w:t>
            </w:r>
            <w:r w:rsidR="00D50A26" w:rsidRPr="00030D4D">
              <w:rPr>
                <w:rFonts w:ascii="Arial" w:hAnsi="Arial" w:cs="Arial"/>
                <w:noProof/>
                <w:webHidden/>
              </w:rPr>
              <w:fldChar w:fldCharType="end"/>
            </w:r>
          </w:hyperlink>
        </w:p>
        <w:p w:rsidR="00D50A26" w:rsidRPr="00030D4D" w:rsidRDefault="000234F5">
          <w:pPr>
            <w:pStyle w:val="TOC3"/>
            <w:tabs>
              <w:tab w:val="left" w:pos="1100"/>
              <w:tab w:val="right" w:leader="dot" w:pos="8494"/>
            </w:tabs>
            <w:rPr>
              <w:rFonts w:ascii="Arial" w:eastAsiaTheme="minorEastAsia" w:hAnsi="Arial" w:cs="Arial"/>
              <w:noProof/>
              <w:lang w:eastAsia="pt-BR"/>
            </w:rPr>
          </w:pPr>
          <w:hyperlink w:anchor="_Toc482828490" w:history="1">
            <w:r w:rsidR="00D50A26" w:rsidRPr="00030D4D">
              <w:rPr>
                <w:rStyle w:val="Hyperlink"/>
                <w:rFonts w:ascii="Arial" w:hAnsi="Arial" w:cs="Arial"/>
                <w:noProof/>
              </w:rPr>
              <w:t>3.2</w:t>
            </w:r>
            <w:r w:rsidR="00D50A26" w:rsidRPr="00030D4D">
              <w:rPr>
                <w:rFonts w:ascii="Arial" w:eastAsiaTheme="minorEastAsia" w:hAnsi="Arial" w:cs="Arial"/>
                <w:noProof/>
                <w:lang w:eastAsia="pt-BR"/>
              </w:rPr>
              <w:tab/>
            </w:r>
            <w:r w:rsidR="00D50A26" w:rsidRPr="00030D4D">
              <w:rPr>
                <w:rStyle w:val="Hyperlink"/>
                <w:rFonts w:ascii="Arial" w:hAnsi="Arial" w:cs="Arial"/>
                <w:noProof/>
              </w:rPr>
              <w:t>Demanda por recursos não reembolsáveis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_Toc482828490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39</w:t>
            </w:r>
            <w:r w:rsidR="00D50A26" w:rsidRPr="00030D4D">
              <w:rPr>
                <w:rFonts w:ascii="Arial" w:hAnsi="Arial" w:cs="Arial"/>
                <w:noProof/>
                <w:webHidden/>
              </w:rPr>
              <w:fldChar w:fldCharType="end"/>
            </w:r>
          </w:hyperlink>
        </w:p>
        <w:p w:rsidR="00D50A26" w:rsidRPr="00030D4D" w:rsidRDefault="000234F5">
          <w:pPr>
            <w:pStyle w:val="TOC1"/>
            <w:tabs>
              <w:tab w:val="right" w:leader="dot" w:pos="8494"/>
            </w:tabs>
            <w:rPr>
              <w:rFonts w:ascii="Arial" w:eastAsiaTheme="minorEastAsia" w:hAnsi="Arial" w:cs="Arial"/>
              <w:noProof/>
              <w:lang w:eastAsia="pt-BR"/>
            </w:rPr>
          </w:pPr>
          <w:hyperlink w:anchor="_Toc482828491" w:history="1">
            <w:r w:rsidR="00D50A26" w:rsidRPr="00030D4D">
              <w:rPr>
                <w:rStyle w:val="Hyperlink"/>
                <w:rFonts w:ascii="Arial" w:hAnsi="Arial" w:cs="Arial"/>
                <w:noProof/>
              </w:rPr>
              <w:t>Considerações Finais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_Toc482828491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44</w:t>
            </w:r>
            <w:r w:rsidR="00D50A26" w:rsidRPr="00030D4D">
              <w:rPr>
                <w:rFonts w:ascii="Arial" w:hAnsi="Arial" w:cs="Arial"/>
                <w:noProof/>
                <w:webHidden/>
              </w:rPr>
              <w:fldChar w:fldCharType="end"/>
            </w:r>
          </w:hyperlink>
        </w:p>
        <w:p w:rsidR="00D50A26" w:rsidRPr="00030D4D" w:rsidRDefault="000234F5">
          <w:pPr>
            <w:pStyle w:val="TOC1"/>
            <w:tabs>
              <w:tab w:val="right" w:leader="dot" w:pos="8494"/>
            </w:tabs>
            <w:rPr>
              <w:rFonts w:ascii="Arial" w:eastAsiaTheme="minorEastAsia" w:hAnsi="Arial" w:cs="Arial"/>
              <w:noProof/>
              <w:lang w:eastAsia="pt-BR"/>
            </w:rPr>
          </w:pPr>
          <w:hyperlink w:anchor="_Toc482828492" w:history="1">
            <w:r w:rsidR="00D50A26" w:rsidRPr="00030D4D">
              <w:rPr>
                <w:rStyle w:val="Hyperlink"/>
                <w:rFonts w:ascii="Arial" w:hAnsi="Arial" w:cs="Arial"/>
                <w:noProof/>
              </w:rPr>
              <w:t>Referências Bibliográficas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_Toc482828492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47</w:t>
            </w:r>
            <w:r w:rsidR="00D50A26" w:rsidRPr="00030D4D">
              <w:rPr>
                <w:rFonts w:ascii="Arial" w:hAnsi="Arial" w:cs="Arial"/>
                <w:noProof/>
                <w:webHidden/>
              </w:rPr>
              <w:fldChar w:fldCharType="end"/>
            </w:r>
          </w:hyperlink>
        </w:p>
        <w:p w:rsidR="00460F65" w:rsidRPr="00030D4D" w:rsidRDefault="00B441D5">
          <w:pPr>
            <w:rPr>
              <w:rFonts w:ascii="Arial" w:hAnsi="Arial" w:cs="Arial"/>
            </w:rPr>
          </w:pPr>
          <w:r w:rsidRPr="00030D4D">
            <w:rPr>
              <w:rFonts w:ascii="Arial" w:hAnsi="Arial" w:cs="Arial"/>
            </w:rPr>
            <w:fldChar w:fldCharType="end"/>
          </w:r>
        </w:p>
      </w:sdtContent>
    </w:sdt>
    <w:p w:rsidR="00460F65" w:rsidRPr="00030D4D" w:rsidRDefault="00460F65" w:rsidP="00676C70">
      <w:pPr>
        <w:spacing w:before="0" w:after="160" w:line="259" w:lineRule="auto"/>
        <w:jc w:val="center"/>
        <w:rPr>
          <w:rFonts w:ascii="Arial" w:eastAsiaTheme="majorEastAsia" w:hAnsi="Arial" w:cs="Arial"/>
          <w:b/>
          <w:spacing w:val="-10"/>
          <w:kern w:val="28"/>
          <w:szCs w:val="56"/>
        </w:rPr>
      </w:pPr>
      <w:r w:rsidRPr="00030D4D">
        <w:rPr>
          <w:rFonts w:ascii="Arial" w:hAnsi="Arial" w:cs="Arial"/>
        </w:rPr>
        <w:br w:type="page"/>
      </w:r>
      <w:r w:rsidR="00E26FAA" w:rsidRPr="00030D4D">
        <w:rPr>
          <w:rFonts w:ascii="Arial" w:eastAsiaTheme="majorEastAsia" w:hAnsi="Arial" w:cs="Arial"/>
          <w:b/>
          <w:spacing w:val="-10"/>
          <w:kern w:val="28"/>
          <w:szCs w:val="56"/>
        </w:rPr>
        <w:t>Lista de Tabelas</w:t>
      </w:r>
    </w:p>
    <w:p w:rsidR="00D50A26" w:rsidRPr="00030D4D" w:rsidRDefault="00E26FAA">
      <w:pPr>
        <w:pStyle w:val="TableofFigures"/>
        <w:tabs>
          <w:tab w:val="right" w:leader="dot" w:pos="8494"/>
        </w:tabs>
        <w:rPr>
          <w:rFonts w:ascii="Arial" w:eastAsiaTheme="minorEastAsia" w:hAnsi="Arial" w:cs="Arial"/>
          <w:noProof/>
          <w:lang w:eastAsia="pt-BR"/>
        </w:rPr>
      </w:pPr>
      <w:r w:rsidRPr="00030D4D">
        <w:rPr>
          <w:rFonts w:ascii="Arial" w:eastAsiaTheme="majorEastAsia" w:hAnsi="Arial" w:cs="Arial"/>
          <w:b/>
          <w:spacing w:val="-10"/>
          <w:kern w:val="28"/>
          <w:szCs w:val="56"/>
        </w:rPr>
        <w:fldChar w:fldCharType="begin"/>
      </w:r>
      <w:r w:rsidRPr="00030D4D">
        <w:rPr>
          <w:rFonts w:ascii="Arial" w:eastAsiaTheme="majorEastAsia" w:hAnsi="Arial" w:cs="Arial"/>
          <w:b/>
          <w:spacing w:val="-10"/>
          <w:kern w:val="28"/>
          <w:szCs w:val="56"/>
        </w:rPr>
        <w:instrText xml:space="preserve"> TOC \h \z \c "Tabela" </w:instrText>
      </w:r>
      <w:r w:rsidRPr="00030D4D">
        <w:rPr>
          <w:rFonts w:ascii="Arial" w:eastAsiaTheme="majorEastAsia" w:hAnsi="Arial" w:cs="Arial"/>
          <w:b/>
          <w:spacing w:val="-10"/>
          <w:kern w:val="28"/>
          <w:szCs w:val="56"/>
        </w:rPr>
        <w:fldChar w:fldCharType="separate"/>
      </w:r>
      <w:hyperlink w:anchor="_Toc482828493" w:history="1">
        <w:r w:rsidR="00D50A26" w:rsidRPr="00030D4D">
          <w:rPr>
            <w:rStyle w:val="Hyperlink"/>
            <w:rFonts w:ascii="Arial" w:hAnsi="Arial" w:cs="Arial"/>
            <w:noProof/>
          </w:rPr>
          <w:t>Tabela 1.  Número e valor das Operações com recursos não reembolsáveis, 2006-2013, (em R$ Milhões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_Toc482828493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17</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494" w:history="1">
        <w:r w:rsidR="00D50A26" w:rsidRPr="00030D4D">
          <w:rPr>
            <w:rStyle w:val="Hyperlink"/>
            <w:rFonts w:ascii="Arial" w:hAnsi="Arial" w:cs="Arial"/>
            <w:noProof/>
          </w:rPr>
          <w:t>Tabela 2. Orçamento do FNDCT nas operações especiais: LOA e valor liquidado, em reais, 2002-2016 (valores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_Toc482828494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24</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495" w:history="1">
        <w:r w:rsidR="00D50A26" w:rsidRPr="00030D4D">
          <w:rPr>
            <w:rStyle w:val="Hyperlink"/>
            <w:rFonts w:ascii="Arial" w:hAnsi="Arial" w:cs="Arial"/>
            <w:noProof/>
          </w:rPr>
          <w:t>Tabela 3 - Orçamento Inova Empresa, em R$ bilhões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_Toc482828495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28</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496" w:history="1">
        <w:r w:rsidR="00D50A26" w:rsidRPr="00030D4D">
          <w:rPr>
            <w:rStyle w:val="Hyperlink"/>
            <w:rFonts w:ascii="Arial" w:hAnsi="Arial" w:cs="Arial"/>
            <w:noProof/>
          </w:rPr>
          <w:t>Tabela 4 - Editais do Inova Empresa, principais resultados até dez 2013</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_Toc482828496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29</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497" w:history="1">
        <w:r w:rsidR="00D50A26" w:rsidRPr="00030D4D">
          <w:rPr>
            <w:rStyle w:val="Hyperlink"/>
            <w:rFonts w:ascii="Arial" w:hAnsi="Arial" w:cs="Arial"/>
            <w:noProof/>
          </w:rPr>
          <w:t>Tabela 5. Valor contratado no âmbito do Plano Inova Empresa, por área</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_Toc482828497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31</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498" w:history="1">
        <w:r w:rsidR="00D50A26" w:rsidRPr="00030D4D">
          <w:rPr>
            <w:rStyle w:val="Hyperlink"/>
            <w:rFonts w:ascii="Arial" w:hAnsi="Arial" w:cs="Arial"/>
            <w:noProof/>
          </w:rPr>
          <w:t>Tabela 6. Desempenho por instrumento, Finep e BNDES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_Toc482828498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32</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499" w:history="1">
        <w:r w:rsidR="00D50A26" w:rsidRPr="00030D4D">
          <w:rPr>
            <w:rStyle w:val="Hyperlink"/>
            <w:rFonts w:ascii="Arial" w:hAnsi="Arial" w:cs="Arial"/>
            <w:noProof/>
          </w:rPr>
          <w:t>Tabela 7. Valor a contratar, por instrumento, Finep e BNDES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_Toc482828499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33</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0" w:history="1">
        <w:r w:rsidR="00D50A26" w:rsidRPr="00030D4D">
          <w:rPr>
            <w:rStyle w:val="Hyperlink"/>
            <w:rFonts w:ascii="Arial" w:hAnsi="Arial" w:cs="Arial"/>
            <w:noProof/>
          </w:rPr>
          <w:t>Tabela 8. Finep. Número</w:t>
        </w:r>
        <w:r w:rsidR="00D50A26" w:rsidRPr="00030D4D">
          <w:rPr>
            <w:rStyle w:val="Hyperlink"/>
            <w:rFonts w:ascii="Arial" w:eastAsia="Times New Roman" w:hAnsi="Arial" w:cs="Arial"/>
            <w:bCs/>
            <w:noProof/>
            <w:lang w:eastAsia="pt-BR"/>
          </w:rPr>
          <w:t xml:space="preserve"> de projetos apresentados, aprovados e contratados, entre 2013 e 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_Toc482828500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35</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1" w:history="1">
        <w:r w:rsidR="00D50A26" w:rsidRPr="00030D4D">
          <w:rPr>
            <w:rStyle w:val="Hyperlink"/>
            <w:rFonts w:ascii="Arial" w:hAnsi="Arial" w:cs="Arial"/>
            <w:noProof/>
          </w:rPr>
          <w:t>Tabela 9. Finep. Instrumento de Crédito, valor de projetos apresentado, aprovado e contratado, entre 2013 e 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_Toc482828501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37</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2" w:history="1">
        <w:r w:rsidR="00D50A26" w:rsidRPr="00030D4D">
          <w:rPr>
            <w:rStyle w:val="Hyperlink"/>
            <w:rFonts w:ascii="Arial" w:hAnsi="Arial" w:cs="Arial"/>
            <w:noProof/>
          </w:rPr>
          <w:t>Tabela 10. Finep. Número</w:t>
        </w:r>
        <w:r w:rsidR="00D50A26" w:rsidRPr="00030D4D">
          <w:rPr>
            <w:rStyle w:val="Hyperlink"/>
            <w:rFonts w:ascii="Arial" w:eastAsia="Times New Roman" w:hAnsi="Arial" w:cs="Arial"/>
            <w:bCs/>
            <w:noProof/>
            <w:lang w:eastAsia="pt-BR"/>
          </w:rPr>
          <w:t xml:space="preserve"> de projetos apresentados, aprovados e contratados, entre 2013 e 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_Toc482828502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40</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3" w:history="1">
        <w:r w:rsidR="00D50A26" w:rsidRPr="00030D4D">
          <w:rPr>
            <w:rStyle w:val="Hyperlink"/>
            <w:rFonts w:ascii="Arial" w:hAnsi="Arial" w:cs="Arial"/>
            <w:noProof/>
          </w:rPr>
          <w:t>Tabela 11. Finep. Demanda de Projetos (Número), entre 2013 e 2016: relação entre apresentados, aprovados e contratados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_Toc482828503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41</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4" w:history="1">
        <w:r w:rsidR="00D50A26" w:rsidRPr="00030D4D">
          <w:rPr>
            <w:rStyle w:val="Hyperlink"/>
            <w:rFonts w:ascii="Arial" w:hAnsi="Arial" w:cs="Arial"/>
            <w:noProof/>
          </w:rPr>
          <w:t>Tabela 12. Finep. Instrumento não reembolsável, valor de projetos apresentado, aprovado e contratado, entre 2013 e 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_Toc482828504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42</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5" w:history="1">
        <w:r w:rsidR="00D50A26" w:rsidRPr="00030D4D">
          <w:rPr>
            <w:rStyle w:val="Hyperlink"/>
            <w:rFonts w:ascii="Arial" w:hAnsi="Arial" w:cs="Arial"/>
            <w:noProof/>
          </w:rPr>
          <w:t>Tabela 13. Finep. Instrumento não reembolsável: Demanda de Projetos (Financeira), entre 2013 e 2016: relação entre apresentados, aprovados e contratados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_Toc482828505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43</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6" w:history="1">
        <w:r w:rsidR="00D50A26" w:rsidRPr="00030D4D">
          <w:rPr>
            <w:rStyle w:val="Hyperlink"/>
            <w:rFonts w:ascii="Arial" w:hAnsi="Arial" w:cs="Arial"/>
            <w:noProof/>
          </w:rPr>
          <w:t>Tabela 14. Finep. Instrumento não reembolsável: Valor desembolsado por instrumento e tipo de demanda, entre 2013 e 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_Toc482828506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44</w:t>
        </w:r>
        <w:r w:rsidR="00D50A26" w:rsidRPr="00030D4D">
          <w:rPr>
            <w:rFonts w:ascii="Arial" w:hAnsi="Arial" w:cs="Arial"/>
            <w:noProof/>
            <w:webHidden/>
          </w:rPr>
          <w:fldChar w:fldCharType="end"/>
        </w:r>
      </w:hyperlink>
    </w:p>
    <w:p w:rsidR="00E26FAA" w:rsidRPr="00030D4D" w:rsidRDefault="00E26FAA">
      <w:pPr>
        <w:spacing w:before="0" w:after="160" w:line="259" w:lineRule="auto"/>
        <w:jc w:val="left"/>
        <w:rPr>
          <w:rFonts w:ascii="Arial" w:eastAsiaTheme="majorEastAsia" w:hAnsi="Arial" w:cs="Arial"/>
          <w:b/>
          <w:spacing w:val="-10"/>
          <w:kern w:val="28"/>
          <w:szCs w:val="56"/>
        </w:rPr>
      </w:pPr>
      <w:r w:rsidRPr="00030D4D">
        <w:rPr>
          <w:rFonts w:ascii="Arial" w:eastAsiaTheme="majorEastAsia" w:hAnsi="Arial" w:cs="Arial"/>
          <w:b/>
          <w:spacing w:val="-10"/>
          <w:kern w:val="28"/>
          <w:szCs w:val="56"/>
        </w:rPr>
        <w:fldChar w:fldCharType="end"/>
      </w:r>
    </w:p>
    <w:p w:rsidR="00E26FAA" w:rsidRPr="00030D4D" w:rsidRDefault="00E26FAA" w:rsidP="00676C70">
      <w:pPr>
        <w:spacing w:before="0" w:after="160" w:line="259" w:lineRule="auto"/>
        <w:jc w:val="center"/>
        <w:rPr>
          <w:rFonts w:ascii="Arial" w:eastAsiaTheme="majorEastAsia" w:hAnsi="Arial" w:cs="Arial"/>
          <w:b/>
          <w:spacing w:val="-10"/>
          <w:kern w:val="28"/>
          <w:szCs w:val="56"/>
        </w:rPr>
      </w:pPr>
      <w:r w:rsidRPr="00030D4D">
        <w:rPr>
          <w:rFonts w:ascii="Arial" w:eastAsiaTheme="majorEastAsia" w:hAnsi="Arial" w:cs="Arial"/>
          <w:b/>
          <w:spacing w:val="-10"/>
          <w:kern w:val="28"/>
          <w:szCs w:val="56"/>
        </w:rPr>
        <w:t>Lista de Gráficos</w:t>
      </w:r>
    </w:p>
    <w:p w:rsidR="00D50A26" w:rsidRPr="00030D4D" w:rsidRDefault="00E26FAA">
      <w:pPr>
        <w:pStyle w:val="TableofFigures"/>
        <w:tabs>
          <w:tab w:val="right" w:leader="dot" w:pos="8494"/>
        </w:tabs>
        <w:rPr>
          <w:rFonts w:ascii="Arial" w:eastAsiaTheme="minorEastAsia" w:hAnsi="Arial" w:cs="Arial"/>
          <w:noProof/>
          <w:lang w:eastAsia="pt-BR"/>
        </w:rPr>
      </w:pPr>
      <w:r w:rsidRPr="00030D4D">
        <w:rPr>
          <w:rFonts w:ascii="Arial" w:eastAsiaTheme="majorEastAsia" w:hAnsi="Arial" w:cs="Arial"/>
          <w:b/>
          <w:spacing w:val="-10"/>
          <w:kern w:val="28"/>
          <w:szCs w:val="56"/>
        </w:rPr>
        <w:fldChar w:fldCharType="begin"/>
      </w:r>
      <w:r w:rsidRPr="00030D4D">
        <w:rPr>
          <w:rFonts w:ascii="Arial" w:eastAsiaTheme="majorEastAsia" w:hAnsi="Arial" w:cs="Arial"/>
          <w:b/>
          <w:spacing w:val="-10"/>
          <w:kern w:val="28"/>
          <w:szCs w:val="56"/>
        </w:rPr>
        <w:instrText xml:space="preserve"> TOC \h \z \c "Gráfico" </w:instrText>
      </w:r>
      <w:r w:rsidRPr="00030D4D">
        <w:rPr>
          <w:rFonts w:ascii="Arial" w:eastAsiaTheme="majorEastAsia" w:hAnsi="Arial" w:cs="Arial"/>
          <w:b/>
          <w:spacing w:val="-10"/>
          <w:kern w:val="28"/>
          <w:szCs w:val="56"/>
        </w:rPr>
        <w:fldChar w:fldCharType="separate"/>
      </w:r>
      <w:hyperlink w:anchor="_Toc482828507" w:history="1">
        <w:r w:rsidR="00D50A26" w:rsidRPr="00030D4D">
          <w:rPr>
            <w:rStyle w:val="Hyperlink"/>
            <w:rFonts w:ascii="Arial" w:hAnsi="Arial" w:cs="Arial"/>
            <w:noProof/>
          </w:rPr>
          <w:t>Gráfico 1. Operações de Crédito da Finep: Valor Contratado, em R$ Milhões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_Toc482828507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8" w:history="1">
        <w:r w:rsidR="00D50A26" w:rsidRPr="00030D4D">
          <w:rPr>
            <w:rStyle w:val="Hyperlink"/>
            <w:rFonts w:ascii="Arial" w:hAnsi="Arial" w:cs="Arial"/>
            <w:noProof/>
          </w:rPr>
          <w:t>Gráfico 2. Operações de Crédito da Finep: Valor Médio dos Projetos Contratados, em R$ Milhões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_Toc482828508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09" w:history="1">
        <w:r w:rsidR="00D50A26" w:rsidRPr="00030D4D">
          <w:rPr>
            <w:rStyle w:val="Hyperlink"/>
            <w:rFonts w:ascii="Arial" w:hAnsi="Arial" w:cs="Arial"/>
            <w:noProof/>
          </w:rPr>
          <w:t>Gráfico 3. Operações de Crédito Voltadas à Inovação do BNDES: Valor Desembolsado nas Operações Contratadas em R$ Milhões Correntes (2006-2013)</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_Toc482828509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0" w:history="1">
        <w:r w:rsidR="00D50A26" w:rsidRPr="00030D4D">
          <w:rPr>
            <w:rStyle w:val="Hyperlink"/>
            <w:rFonts w:ascii="Arial" w:hAnsi="Arial" w:cs="Arial"/>
            <w:noProof/>
          </w:rPr>
          <w:t>Gráfico 4. Evolução Orçamentária do Investimento em Empresas Inovadoras, em R$ milhões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_Toc482828510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7</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1" w:history="1">
        <w:r w:rsidR="00D50A26" w:rsidRPr="00030D4D">
          <w:rPr>
            <w:rStyle w:val="Hyperlink"/>
            <w:rFonts w:ascii="Arial" w:hAnsi="Arial" w:cs="Arial"/>
            <w:noProof/>
          </w:rPr>
          <w:t>Gráfico 5. Número de projetos contratados pelo CNPq e pela Finep, 1997-2015, com recursos não reembolsáveis do FNDCT</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_Toc482828511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14</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2" w:history="1">
        <w:r w:rsidR="00D50A26" w:rsidRPr="00030D4D">
          <w:rPr>
            <w:rStyle w:val="Hyperlink"/>
            <w:rFonts w:ascii="Arial" w:hAnsi="Arial" w:cs="Arial"/>
            <w:noProof/>
          </w:rPr>
          <w:t>Gráfico 6. Valor contratado pelo CNPq e pela Finep, 1997-2015, com recursos não reembolsáveis do FNDCT, em milhões de reais (valores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_Toc482828512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14</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3" w:history="1">
        <w:r w:rsidR="00D50A26" w:rsidRPr="00030D4D">
          <w:rPr>
            <w:rStyle w:val="Hyperlink"/>
            <w:rFonts w:ascii="Arial" w:hAnsi="Arial" w:cs="Arial"/>
            <w:noProof/>
          </w:rPr>
          <w:t>Gráfico 7. Participação do Número e Valor de Projetos contratados com recursos do FNDCT, segundo a demanda (%)</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_Toc482828513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16</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4" w:history="1">
        <w:r w:rsidR="00D50A26" w:rsidRPr="00030D4D">
          <w:rPr>
            <w:rStyle w:val="Hyperlink"/>
            <w:rFonts w:ascii="Arial" w:hAnsi="Arial" w:cs="Arial"/>
            <w:noProof/>
          </w:rPr>
          <w:t>Gráfico 8. Renúncia Fiscal do Governo Federal Referente à Lei do Bem em R$ Milhões Correntes (2006-2015)</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_Toc482828514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18</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5" w:history="1">
        <w:r w:rsidR="00D50A26" w:rsidRPr="00030D4D">
          <w:rPr>
            <w:rStyle w:val="Hyperlink"/>
            <w:rFonts w:ascii="Arial" w:hAnsi="Arial" w:cs="Arial"/>
            <w:noProof/>
          </w:rPr>
          <w:t>Gráfico 9. Orçamento do MCTI definido e executado entre 2001-2016, em milhões de reais (valores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_Toc482828515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20</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6" w:history="1">
        <w:r w:rsidR="00D50A26" w:rsidRPr="00030D4D">
          <w:rPr>
            <w:rStyle w:val="Hyperlink"/>
            <w:rFonts w:ascii="Arial" w:hAnsi="Arial" w:cs="Arial"/>
            <w:noProof/>
          </w:rPr>
          <w:t>Gráfico 10. Orçamento do FNDCT definido e executado entre 2001-2016, em milhões de reais (valores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_Toc482828516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21</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7" w:history="1">
        <w:r w:rsidR="00D50A26" w:rsidRPr="00030D4D">
          <w:rPr>
            <w:rStyle w:val="Hyperlink"/>
            <w:rFonts w:ascii="Arial" w:hAnsi="Arial" w:cs="Arial"/>
            <w:noProof/>
          </w:rPr>
          <w:t>Gráfico 11. Recursos ordinários do Tesouro Nacional (fonte 100) destinados ao FNDCT, em mil reais (valores correntes)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_Toc482828517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22</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8" w:history="1">
        <w:r w:rsidR="00D50A26" w:rsidRPr="00030D4D">
          <w:rPr>
            <w:rStyle w:val="Hyperlink"/>
            <w:rFonts w:ascii="Arial" w:hAnsi="Arial" w:cs="Arial"/>
            <w:noProof/>
          </w:rPr>
          <w:t>Gráfico 12. Evolução Orçamentária Anual do MCTI e do FNDCT: 2001-2016, em milhões de reais (valores constantes de setembro de 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_Toc482828518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26</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19" w:history="1">
        <w:r w:rsidR="00D50A26" w:rsidRPr="00030D4D">
          <w:rPr>
            <w:rStyle w:val="Hyperlink"/>
            <w:rFonts w:ascii="Arial" w:hAnsi="Arial" w:cs="Arial"/>
            <w:noProof/>
          </w:rPr>
          <w:t>Gráfico 13. Demanda de Projetos (Número), entre 2013 e 2016: relação entre apresentados, aprovados e contratados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_Toc482828519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38</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0" w:history="1">
        <w:r w:rsidR="00D50A26" w:rsidRPr="00030D4D">
          <w:rPr>
            <w:rStyle w:val="Hyperlink"/>
            <w:rFonts w:ascii="Arial" w:hAnsi="Arial" w:cs="Arial"/>
            <w:noProof/>
          </w:rPr>
          <w:t>Gráfico 14. Demanda de Projetos (Financeira), entre 2013 e 2016: relação entre valores apresentados, aprovados e contratados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_Toc482828520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38</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1" w:history="1">
        <w:r w:rsidR="00D50A26" w:rsidRPr="00030D4D">
          <w:rPr>
            <w:rStyle w:val="Hyperlink"/>
            <w:rFonts w:ascii="Arial" w:hAnsi="Arial" w:cs="Arial"/>
            <w:noProof/>
          </w:rPr>
          <w:t>Gráfico 15. Número de chamadas públicas realizadas entre 2013-2016</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_Toc482828521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39</w:t>
        </w:r>
        <w:r w:rsidR="00D50A26" w:rsidRPr="00030D4D">
          <w:rPr>
            <w:rFonts w:ascii="Arial" w:hAnsi="Arial" w:cs="Arial"/>
            <w:noProof/>
            <w:webHidden/>
          </w:rPr>
          <w:fldChar w:fldCharType="end"/>
        </w:r>
      </w:hyperlink>
    </w:p>
    <w:p w:rsidR="003B5B0C" w:rsidRPr="00030D4D" w:rsidRDefault="00E26FAA">
      <w:pPr>
        <w:spacing w:before="0" w:after="160" w:line="259" w:lineRule="auto"/>
        <w:jc w:val="left"/>
        <w:rPr>
          <w:rFonts w:ascii="Arial" w:eastAsiaTheme="majorEastAsia" w:hAnsi="Arial" w:cs="Arial"/>
          <w:b/>
          <w:spacing w:val="-10"/>
          <w:kern w:val="28"/>
          <w:szCs w:val="56"/>
        </w:rPr>
      </w:pPr>
      <w:r w:rsidRPr="00030D4D">
        <w:rPr>
          <w:rFonts w:ascii="Arial" w:eastAsiaTheme="majorEastAsia" w:hAnsi="Arial" w:cs="Arial"/>
          <w:b/>
          <w:spacing w:val="-10"/>
          <w:kern w:val="28"/>
          <w:szCs w:val="56"/>
        </w:rPr>
        <w:fldChar w:fldCharType="end"/>
      </w:r>
    </w:p>
    <w:p w:rsidR="003B5B0C" w:rsidRPr="00030D4D" w:rsidRDefault="003B5B0C">
      <w:pPr>
        <w:spacing w:before="0" w:after="160" w:line="259" w:lineRule="auto"/>
        <w:jc w:val="left"/>
        <w:rPr>
          <w:rFonts w:ascii="Arial" w:eastAsiaTheme="majorEastAsia" w:hAnsi="Arial" w:cs="Arial"/>
          <w:b/>
          <w:spacing w:val="-10"/>
          <w:kern w:val="28"/>
          <w:szCs w:val="56"/>
        </w:rPr>
      </w:pPr>
    </w:p>
    <w:p w:rsidR="00D50A26" w:rsidRPr="00030D4D" w:rsidRDefault="003B5B0C" w:rsidP="00073E8A">
      <w:pPr>
        <w:jc w:val="center"/>
        <w:rPr>
          <w:rFonts w:ascii="Arial" w:hAnsi="Arial" w:cs="Arial"/>
          <w:noProof/>
        </w:rPr>
      </w:pPr>
      <w:r w:rsidRPr="00030D4D">
        <w:rPr>
          <w:rFonts w:ascii="Arial" w:hAnsi="Arial" w:cs="Arial"/>
          <w:b/>
        </w:rPr>
        <w:t>Lista de Quadros</w:t>
      </w:r>
      <w:r w:rsidRPr="00030D4D">
        <w:rPr>
          <w:rFonts w:ascii="Arial" w:hAnsi="Arial" w:cs="Arial"/>
        </w:rPr>
        <w:fldChar w:fldCharType="begin"/>
      </w:r>
      <w:r w:rsidRPr="00030D4D">
        <w:rPr>
          <w:rFonts w:ascii="Arial" w:hAnsi="Arial" w:cs="Arial"/>
        </w:rPr>
        <w:instrText xml:space="preserve"> TOC \h \z \c "Quadro" </w:instrText>
      </w:r>
      <w:r w:rsidRPr="00030D4D">
        <w:rPr>
          <w:rFonts w:ascii="Arial" w:hAnsi="Arial" w:cs="Arial"/>
        </w:rPr>
        <w:fldChar w:fldCharType="separate"/>
      </w:r>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2" w:history="1">
        <w:r w:rsidR="00D50A26" w:rsidRPr="00030D4D">
          <w:rPr>
            <w:rStyle w:val="Hyperlink"/>
            <w:rFonts w:ascii="Arial" w:hAnsi="Arial" w:cs="Arial"/>
            <w:noProof/>
          </w:rPr>
          <w:t>Quadro 1. A estrutura pública de financiamento à ciência, tecnologia e inovação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_Toc482828522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13</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3" w:history="1">
        <w:r w:rsidR="00D50A26" w:rsidRPr="00030D4D">
          <w:rPr>
            <w:rStyle w:val="Hyperlink"/>
            <w:rFonts w:ascii="Arial" w:hAnsi="Arial" w:cs="Arial"/>
            <w:noProof/>
          </w:rPr>
          <w:t>Quadro 2. Instrumentos de Financiamento a PD&amp;I: Categorias e Modalidades Principais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_Toc482828523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15</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4" w:history="1">
        <w:r w:rsidR="00D50A26" w:rsidRPr="00030D4D">
          <w:rPr>
            <w:rStyle w:val="Hyperlink"/>
            <w:rFonts w:ascii="Arial" w:hAnsi="Arial" w:cs="Arial"/>
            <w:noProof/>
          </w:rPr>
          <w:t>Quadro 3. Linhas de Ação da Finep, nas operações de crédito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_Toc482828524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17</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5" w:history="1">
        <w:r w:rsidR="00D50A26" w:rsidRPr="00030D4D">
          <w:rPr>
            <w:rStyle w:val="Hyperlink"/>
            <w:rFonts w:ascii="Arial" w:hAnsi="Arial" w:cs="Arial"/>
            <w:noProof/>
          </w:rPr>
          <w:t>Quadro 4. Descrição dos Mecanismos de Financiamento Reembolsável de Fomento à Inovação – Finep</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_Toc482828525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6" w:history="1">
        <w:r w:rsidR="00D50A26" w:rsidRPr="00030D4D">
          <w:rPr>
            <w:rStyle w:val="Hyperlink"/>
            <w:rFonts w:ascii="Arial" w:hAnsi="Arial" w:cs="Arial"/>
            <w:noProof/>
          </w:rPr>
          <w:t>Quadro 5. Descrição dos Mecanismos de Financiamento Reembolsável de Fomento à Inovação – BNDES</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_Toc482828526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4</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7" w:history="1">
        <w:r w:rsidR="00D50A26" w:rsidRPr="00030D4D">
          <w:rPr>
            <w:rStyle w:val="Hyperlink"/>
            <w:rFonts w:ascii="Arial" w:hAnsi="Arial" w:cs="Arial"/>
            <w:noProof/>
          </w:rPr>
          <w:t>Quadro 6. Descrição de Linhas de Capital de Risco para Fomento à Inovação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_Toc482828527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9</w:t>
        </w:r>
        <w:r w:rsidR="00D50A26" w:rsidRPr="00030D4D">
          <w:rPr>
            <w:rFonts w:ascii="Arial" w:hAnsi="Arial" w:cs="Arial"/>
            <w:noProof/>
            <w:webHidden/>
          </w:rPr>
          <w:fldChar w:fldCharType="end"/>
        </w:r>
      </w:hyperlink>
    </w:p>
    <w:p w:rsidR="00D50A26" w:rsidRPr="00030D4D" w:rsidRDefault="000234F5">
      <w:pPr>
        <w:pStyle w:val="TableofFigures"/>
        <w:tabs>
          <w:tab w:val="right" w:leader="dot" w:pos="8494"/>
        </w:tabs>
        <w:rPr>
          <w:rFonts w:ascii="Arial" w:eastAsiaTheme="minorEastAsia" w:hAnsi="Arial" w:cs="Arial"/>
          <w:noProof/>
          <w:lang w:eastAsia="pt-BR"/>
        </w:rPr>
      </w:pPr>
      <w:hyperlink w:anchor="_Toc482828528" w:history="1">
        <w:r w:rsidR="00D50A26" w:rsidRPr="00030D4D">
          <w:rPr>
            <w:rStyle w:val="Hyperlink"/>
            <w:rFonts w:ascii="Arial" w:hAnsi="Arial" w:cs="Arial"/>
            <w:noProof/>
          </w:rPr>
          <w:t>Quadro 7. Descrição de Linhas Não Reembolsáveis de Financiamento à Inovação</w:t>
        </w:r>
        <w:r w:rsidR="00D50A26" w:rsidRPr="00030D4D">
          <w:rPr>
            <w:rFonts w:ascii="Arial" w:hAnsi="Arial" w:cs="Arial"/>
            <w:noProof/>
            <w:webHidden/>
          </w:rPr>
          <w:tab/>
        </w:r>
        <w:r w:rsidR="00D50A26" w:rsidRPr="00030D4D">
          <w:rPr>
            <w:rFonts w:ascii="Arial" w:hAnsi="Arial" w:cs="Arial"/>
            <w:noProof/>
            <w:webHidden/>
          </w:rPr>
          <w:fldChar w:fldCharType="begin"/>
        </w:r>
        <w:r w:rsidR="00D50A26" w:rsidRPr="00030D4D">
          <w:rPr>
            <w:rFonts w:ascii="Arial" w:hAnsi="Arial" w:cs="Arial"/>
            <w:noProof/>
            <w:webHidden/>
          </w:rPr>
          <w:instrText xml:space="preserve"> PAGEREF _Toc482828528 \h </w:instrText>
        </w:r>
        <w:r w:rsidR="00D50A26" w:rsidRPr="00030D4D">
          <w:rPr>
            <w:rFonts w:ascii="Arial" w:hAnsi="Arial" w:cs="Arial"/>
            <w:noProof/>
            <w:webHidden/>
          </w:rPr>
        </w:r>
        <w:r w:rsidR="00D50A26" w:rsidRPr="00030D4D">
          <w:rPr>
            <w:rFonts w:ascii="Arial" w:hAnsi="Arial" w:cs="Arial"/>
            <w:noProof/>
            <w:webHidden/>
          </w:rPr>
          <w:fldChar w:fldCharType="separate"/>
        </w:r>
        <w:r w:rsidR="00D50A26" w:rsidRPr="00030D4D">
          <w:rPr>
            <w:rFonts w:ascii="Arial" w:hAnsi="Arial" w:cs="Arial"/>
            <w:noProof/>
            <w:webHidden/>
          </w:rPr>
          <w:t>12</w:t>
        </w:r>
        <w:r w:rsidR="00D50A26" w:rsidRPr="00030D4D">
          <w:rPr>
            <w:rFonts w:ascii="Arial" w:hAnsi="Arial" w:cs="Arial"/>
            <w:noProof/>
            <w:webHidden/>
          </w:rPr>
          <w:fldChar w:fldCharType="end"/>
        </w:r>
      </w:hyperlink>
    </w:p>
    <w:p w:rsidR="003B5B0C" w:rsidRPr="00030D4D" w:rsidRDefault="003B5B0C">
      <w:pPr>
        <w:spacing w:before="0" w:after="160" w:line="259" w:lineRule="auto"/>
        <w:jc w:val="left"/>
        <w:rPr>
          <w:rFonts w:ascii="Arial" w:eastAsiaTheme="majorEastAsia" w:hAnsi="Arial" w:cs="Arial"/>
          <w:b/>
          <w:spacing w:val="-10"/>
          <w:kern w:val="28"/>
          <w:szCs w:val="56"/>
        </w:rPr>
      </w:pPr>
      <w:r w:rsidRPr="00030D4D">
        <w:rPr>
          <w:rFonts w:ascii="Arial" w:hAnsi="Arial" w:cs="Arial"/>
        </w:rPr>
        <w:fldChar w:fldCharType="end"/>
      </w:r>
    </w:p>
    <w:p w:rsidR="00073E8A" w:rsidRPr="00030D4D" w:rsidRDefault="00073E8A">
      <w:pPr>
        <w:spacing w:before="0" w:after="160" w:line="259" w:lineRule="auto"/>
        <w:jc w:val="left"/>
        <w:rPr>
          <w:rFonts w:ascii="Arial" w:eastAsiaTheme="majorEastAsia" w:hAnsi="Arial" w:cs="Arial"/>
          <w:b/>
          <w:spacing w:val="-10"/>
          <w:kern w:val="28"/>
          <w:szCs w:val="56"/>
        </w:rPr>
      </w:pPr>
      <w:r w:rsidRPr="00030D4D">
        <w:rPr>
          <w:rFonts w:ascii="Arial" w:hAnsi="Arial" w:cs="Arial"/>
        </w:rPr>
        <w:br w:type="page"/>
      </w:r>
    </w:p>
    <w:p w:rsidR="00D94AD8" w:rsidRPr="00030D4D" w:rsidRDefault="00D94AD8" w:rsidP="00B5653E">
      <w:pPr>
        <w:pStyle w:val="Title"/>
        <w:rPr>
          <w:rFonts w:ascii="Arial" w:hAnsi="Arial" w:cs="Arial"/>
        </w:rPr>
      </w:pPr>
      <w:bookmarkStart w:id="1" w:name="_Toc482828479"/>
      <w:r w:rsidRPr="00030D4D">
        <w:rPr>
          <w:rFonts w:ascii="Arial" w:hAnsi="Arial" w:cs="Arial"/>
        </w:rPr>
        <w:t>Apresentação</w:t>
      </w:r>
      <w:bookmarkEnd w:id="1"/>
    </w:p>
    <w:p w:rsidR="0038386D" w:rsidRPr="00030D4D" w:rsidRDefault="00EA5C4E" w:rsidP="0038386D">
      <w:pPr>
        <w:spacing w:before="0"/>
        <w:rPr>
          <w:rFonts w:ascii="Arial" w:hAnsi="Arial" w:cs="Arial"/>
          <w:szCs w:val="24"/>
        </w:rPr>
      </w:pPr>
      <w:r w:rsidRPr="00030D4D">
        <w:rPr>
          <w:rFonts w:ascii="Arial" w:hAnsi="Arial" w:cs="Arial"/>
        </w:rPr>
        <w:t>O</w:t>
      </w:r>
      <w:r w:rsidR="00D94AD8" w:rsidRPr="00030D4D">
        <w:rPr>
          <w:rFonts w:ascii="Arial" w:hAnsi="Arial" w:cs="Arial"/>
        </w:rPr>
        <w:t xml:space="preserve"> “</w:t>
      </w:r>
      <w:r w:rsidR="00177554" w:rsidRPr="00030D4D">
        <w:rPr>
          <w:rFonts w:ascii="Arial" w:hAnsi="Arial" w:cs="Arial"/>
        </w:rPr>
        <w:t>Estudo de Estimação de Demanda por Financiamento Empresarial à Inovação</w:t>
      </w:r>
      <w:r w:rsidRPr="00030D4D">
        <w:rPr>
          <w:rFonts w:ascii="Arial" w:hAnsi="Arial" w:cs="Arial"/>
        </w:rPr>
        <w:t>” tem como p</w:t>
      </w:r>
      <w:r w:rsidR="00D94AD8" w:rsidRPr="00030D4D">
        <w:rPr>
          <w:rFonts w:ascii="Arial" w:hAnsi="Arial" w:cs="Arial"/>
        </w:rPr>
        <w:t xml:space="preserve">ropósito geral subsidiar a discussão sobre as alternativas de financiamento </w:t>
      </w:r>
      <w:r w:rsidRPr="00030D4D">
        <w:rPr>
          <w:rFonts w:ascii="Arial" w:hAnsi="Arial" w:cs="Arial"/>
        </w:rPr>
        <w:t xml:space="preserve">à inovação no Brasil. Com </w:t>
      </w:r>
      <w:r w:rsidR="008C03B6" w:rsidRPr="00030D4D">
        <w:rPr>
          <w:rFonts w:ascii="Arial" w:hAnsi="Arial" w:cs="Arial"/>
        </w:rPr>
        <w:t>o</w:t>
      </w:r>
      <w:r w:rsidRPr="00030D4D">
        <w:rPr>
          <w:rFonts w:ascii="Arial" w:hAnsi="Arial" w:cs="Arial"/>
        </w:rPr>
        <w:t xml:space="preserve"> intuito</w:t>
      </w:r>
      <w:r w:rsidR="008C03B6" w:rsidRPr="00030D4D">
        <w:rPr>
          <w:rFonts w:ascii="Arial" w:hAnsi="Arial" w:cs="Arial"/>
        </w:rPr>
        <w:t xml:space="preserve"> de dar maior foco à discussão</w:t>
      </w:r>
      <w:r w:rsidRPr="00030D4D">
        <w:rPr>
          <w:rFonts w:ascii="Arial" w:hAnsi="Arial" w:cs="Arial"/>
        </w:rPr>
        <w:t>, foram</w:t>
      </w:r>
      <w:r w:rsidR="00D94AD8" w:rsidRPr="00030D4D">
        <w:rPr>
          <w:rFonts w:ascii="Arial" w:hAnsi="Arial" w:cs="Arial"/>
        </w:rPr>
        <w:t xml:space="preserve"> </w:t>
      </w:r>
      <w:r w:rsidR="008C03B6" w:rsidRPr="00030D4D">
        <w:rPr>
          <w:rFonts w:ascii="Arial" w:hAnsi="Arial" w:cs="Arial"/>
        </w:rPr>
        <w:t>estabelecidos</w:t>
      </w:r>
      <w:r w:rsidRPr="00030D4D">
        <w:rPr>
          <w:rFonts w:ascii="Arial" w:hAnsi="Arial" w:cs="Arial"/>
        </w:rPr>
        <w:t xml:space="preserve"> dois</w:t>
      </w:r>
      <w:r w:rsidR="00D94AD8" w:rsidRPr="00030D4D">
        <w:rPr>
          <w:rFonts w:ascii="Arial" w:hAnsi="Arial" w:cs="Arial"/>
        </w:rPr>
        <w:t xml:space="preserve"> objetivos específicos: (1) </w:t>
      </w:r>
      <w:r w:rsidR="00D94AD8" w:rsidRPr="00030D4D">
        <w:rPr>
          <w:rFonts w:ascii="Arial" w:hAnsi="Arial" w:cs="Arial"/>
          <w:szCs w:val="24"/>
        </w:rPr>
        <w:t xml:space="preserve">identificar e avaliar criticamente as fontes </w:t>
      </w:r>
      <w:r w:rsidR="00345B19" w:rsidRPr="00030D4D">
        <w:rPr>
          <w:rFonts w:ascii="Arial" w:hAnsi="Arial" w:cs="Arial"/>
          <w:szCs w:val="24"/>
        </w:rPr>
        <w:t xml:space="preserve">e os instrumentos </w:t>
      </w:r>
      <w:r w:rsidR="00D94AD8" w:rsidRPr="00030D4D">
        <w:rPr>
          <w:rFonts w:ascii="Arial" w:hAnsi="Arial" w:cs="Arial"/>
          <w:szCs w:val="24"/>
        </w:rPr>
        <w:t xml:space="preserve">de financiamento </w:t>
      </w:r>
      <w:r w:rsidR="00F23E63" w:rsidRPr="00030D4D">
        <w:rPr>
          <w:rFonts w:ascii="Arial" w:hAnsi="Arial" w:cs="Arial"/>
          <w:szCs w:val="24"/>
        </w:rPr>
        <w:t xml:space="preserve">públicos </w:t>
      </w:r>
      <w:r w:rsidR="00D94AD8" w:rsidRPr="00030D4D">
        <w:rPr>
          <w:rFonts w:ascii="Arial" w:hAnsi="Arial" w:cs="Arial"/>
          <w:szCs w:val="24"/>
        </w:rPr>
        <w:t xml:space="preserve">que </w:t>
      </w:r>
      <w:r w:rsidR="00A35C00" w:rsidRPr="00030D4D">
        <w:rPr>
          <w:rFonts w:ascii="Arial" w:hAnsi="Arial" w:cs="Arial"/>
          <w:szCs w:val="24"/>
        </w:rPr>
        <w:t>têm sido</w:t>
      </w:r>
      <w:r w:rsidR="00D94AD8" w:rsidRPr="00030D4D">
        <w:rPr>
          <w:rFonts w:ascii="Arial" w:hAnsi="Arial" w:cs="Arial"/>
          <w:szCs w:val="24"/>
        </w:rPr>
        <w:t xml:space="preserve"> mobilizadas para apoiar </w:t>
      </w:r>
      <w:r w:rsidR="00177554" w:rsidRPr="00030D4D">
        <w:rPr>
          <w:rFonts w:ascii="Arial" w:hAnsi="Arial" w:cs="Arial"/>
          <w:szCs w:val="24"/>
        </w:rPr>
        <w:t xml:space="preserve">a Inovação </w:t>
      </w:r>
      <w:r w:rsidR="009F33A3" w:rsidRPr="00030D4D">
        <w:rPr>
          <w:rFonts w:ascii="Arial" w:hAnsi="Arial" w:cs="Arial"/>
          <w:szCs w:val="24"/>
        </w:rPr>
        <w:t xml:space="preserve">no Brasil, com destaque para a </w:t>
      </w:r>
      <w:r w:rsidR="00545845" w:rsidRPr="00030D4D">
        <w:rPr>
          <w:rFonts w:ascii="Arial" w:hAnsi="Arial" w:cs="Arial"/>
          <w:szCs w:val="24"/>
        </w:rPr>
        <w:t>Financiadora de Estudos e Projetos (</w:t>
      </w:r>
      <w:r w:rsidR="009F33A3" w:rsidRPr="00030D4D">
        <w:rPr>
          <w:rFonts w:ascii="Arial" w:hAnsi="Arial" w:cs="Arial"/>
          <w:szCs w:val="24"/>
        </w:rPr>
        <w:t>Finep</w:t>
      </w:r>
      <w:r w:rsidR="00545845" w:rsidRPr="00030D4D">
        <w:rPr>
          <w:rFonts w:ascii="Arial" w:hAnsi="Arial" w:cs="Arial"/>
          <w:szCs w:val="24"/>
        </w:rPr>
        <w:t>)</w:t>
      </w:r>
      <w:r w:rsidR="00DA52D8" w:rsidRPr="00030D4D">
        <w:rPr>
          <w:rFonts w:ascii="Arial" w:hAnsi="Arial" w:cs="Arial"/>
          <w:szCs w:val="24"/>
        </w:rPr>
        <w:t xml:space="preserve">; e (2) </w:t>
      </w:r>
      <w:r w:rsidR="00177554" w:rsidRPr="00030D4D">
        <w:rPr>
          <w:rFonts w:ascii="Arial" w:hAnsi="Arial" w:cs="Arial"/>
          <w:szCs w:val="24"/>
        </w:rPr>
        <w:t xml:space="preserve">Apresentar </w:t>
      </w:r>
      <w:r w:rsidR="00545845" w:rsidRPr="00030D4D">
        <w:rPr>
          <w:rFonts w:ascii="Arial" w:hAnsi="Arial" w:cs="Arial"/>
          <w:szCs w:val="24"/>
        </w:rPr>
        <w:t>a dimensão do financiamento</w:t>
      </w:r>
      <w:r w:rsidR="00B01F58" w:rsidRPr="00030D4D">
        <w:rPr>
          <w:rFonts w:ascii="Arial" w:hAnsi="Arial" w:cs="Arial"/>
          <w:szCs w:val="24"/>
        </w:rPr>
        <w:t xml:space="preserve"> frente à</w:t>
      </w:r>
      <w:r w:rsidR="00545845" w:rsidRPr="00030D4D">
        <w:rPr>
          <w:rFonts w:ascii="Arial" w:hAnsi="Arial" w:cs="Arial"/>
          <w:szCs w:val="24"/>
        </w:rPr>
        <w:t xml:space="preserve"> </w:t>
      </w:r>
      <w:r w:rsidR="00177554" w:rsidRPr="00030D4D">
        <w:rPr>
          <w:rFonts w:ascii="Arial" w:hAnsi="Arial" w:cs="Arial"/>
          <w:szCs w:val="24"/>
        </w:rPr>
        <w:t xml:space="preserve">demanda </w:t>
      </w:r>
      <w:r w:rsidR="00545845" w:rsidRPr="00030D4D">
        <w:rPr>
          <w:rFonts w:ascii="Arial" w:hAnsi="Arial" w:cs="Arial"/>
          <w:szCs w:val="24"/>
        </w:rPr>
        <w:t xml:space="preserve">do Sistema Nacional de Inovação, </w:t>
      </w:r>
      <w:r w:rsidR="00DA52D8" w:rsidRPr="00030D4D">
        <w:rPr>
          <w:rFonts w:ascii="Arial" w:hAnsi="Arial" w:cs="Arial"/>
          <w:szCs w:val="24"/>
        </w:rPr>
        <w:t>atualmente bem superior</w:t>
      </w:r>
      <w:r w:rsidR="00545845" w:rsidRPr="00030D4D">
        <w:rPr>
          <w:rFonts w:ascii="Arial" w:hAnsi="Arial" w:cs="Arial"/>
          <w:szCs w:val="24"/>
        </w:rPr>
        <w:t xml:space="preserve"> e mais complex</w:t>
      </w:r>
      <w:r w:rsidR="00DA52D8" w:rsidRPr="00030D4D">
        <w:rPr>
          <w:rFonts w:ascii="Arial" w:hAnsi="Arial" w:cs="Arial"/>
          <w:szCs w:val="24"/>
        </w:rPr>
        <w:t>a</w:t>
      </w:r>
      <w:r w:rsidR="00545845" w:rsidRPr="00030D4D">
        <w:rPr>
          <w:rFonts w:ascii="Arial" w:hAnsi="Arial" w:cs="Arial"/>
          <w:szCs w:val="24"/>
        </w:rPr>
        <w:t xml:space="preserve"> do que há </w:t>
      </w:r>
      <w:r w:rsidR="00DA52D8" w:rsidRPr="00030D4D">
        <w:rPr>
          <w:rFonts w:ascii="Arial" w:hAnsi="Arial" w:cs="Arial"/>
          <w:szCs w:val="24"/>
        </w:rPr>
        <w:t>duas décadas</w:t>
      </w:r>
      <w:r w:rsidR="00D94AD8" w:rsidRPr="00030D4D">
        <w:rPr>
          <w:rFonts w:ascii="Arial" w:hAnsi="Arial" w:cs="Arial"/>
          <w:szCs w:val="24"/>
        </w:rPr>
        <w:t xml:space="preserve">. Cada </w:t>
      </w:r>
      <w:r w:rsidR="00F97842" w:rsidRPr="00030D4D">
        <w:rPr>
          <w:rFonts w:ascii="Arial" w:hAnsi="Arial" w:cs="Arial"/>
          <w:szCs w:val="24"/>
        </w:rPr>
        <w:t>uma das seções</w:t>
      </w:r>
      <w:r w:rsidR="00D94AD8" w:rsidRPr="00030D4D">
        <w:rPr>
          <w:rFonts w:ascii="Arial" w:hAnsi="Arial" w:cs="Arial"/>
          <w:szCs w:val="24"/>
        </w:rPr>
        <w:t xml:space="preserve"> subsequentes deste </w:t>
      </w:r>
      <w:r w:rsidR="00F97842" w:rsidRPr="00030D4D">
        <w:rPr>
          <w:rFonts w:ascii="Arial" w:hAnsi="Arial" w:cs="Arial"/>
          <w:szCs w:val="24"/>
        </w:rPr>
        <w:t>documento</w:t>
      </w:r>
      <w:r w:rsidR="00D94AD8" w:rsidRPr="00030D4D">
        <w:rPr>
          <w:rFonts w:ascii="Arial" w:hAnsi="Arial" w:cs="Arial"/>
          <w:szCs w:val="24"/>
        </w:rPr>
        <w:t xml:space="preserve"> </w:t>
      </w:r>
      <w:r w:rsidR="00BA52F1" w:rsidRPr="00030D4D">
        <w:rPr>
          <w:rFonts w:ascii="Arial" w:hAnsi="Arial" w:cs="Arial"/>
          <w:szCs w:val="24"/>
        </w:rPr>
        <w:t>procura dar conta de responder a estes dois objetivos</w:t>
      </w:r>
      <w:r w:rsidR="00015AF4" w:rsidRPr="00030D4D">
        <w:rPr>
          <w:rFonts w:ascii="Arial" w:hAnsi="Arial" w:cs="Arial"/>
          <w:szCs w:val="24"/>
        </w:rPr>
        <w:t xml:space="preserve">. </w:t>
      </w:r>
      <w:r w:rsidR="00345B19" w:rsidRPr="00030D4D">
        <w:rPr>
          <w:rFonts w:ascii="Arial" w:hAnsi="Arial" w:cs="Arial"/>
          <w:szCs w:val="24"/>
        </w:rPr>
        <w:t xml:space="preserve">Na primeira seção, </w:t>
      </w:r>
      <w:r w:rsidR="00F23E63" w:rsidRPr="00030D4D">
        <w:rPr>
          <w:rFonts w:ascii="Arial" w:hAnsi="Arial" w:cs="Arial"/>
          <w:szCs w:val="24"/>
        </w:rPr>
        <w:t xml:space="preserve">é apresentada de forma breve </w:t>
      </w:r>
      <w:r w:rsidR="006404AB" w:rsidRPr="00030D4D">
        <w:rPr>
          <w:rFonts w:ascii="Arial" w:hAnsi="Arial" w:cs="Arial"/>
          <w:szCs w:val="24"/>
        </w:rPr>
        <w:t xml:space="preserve">a estrutura que foi construída </w:t>
      </w:r>
      <w:r w:rsidR="00CF0B43" w:rsidRPr="00030D4D">
        <w:rPr>
          <w:rFonts w:ascii="Arial" w:hAnsi="Arial" w:cs="Arial"/>
          <w:szCs w:val="24"/>
        </w:rPr>
        <w:t xml:space="preserve">pelo governo brasileiro </w:t>
      </w:r>
      <w:r w:rsidR="006404AB" w:rsidRPr="00030D4D">
        <w:rPr>
          <w:rFonts w:ascii="Arial" w:hAnsi="Arial" w:cs="Arial"/>
          <w:szCs w:val="24"/>
        </w:rPr>
        <w:t>ao longo dos últimos 20 anos</w:t>
      </w:r>
      <w:r w:rsidR="00761D41" w:rsidRPr="00030D4D">
        <w:rPr>
          <w:rFonts w:ascii="Arial" w:hAnsi="Arial" w:cs="Arial"/>
          <w:szCs w:val="24"/>
        </w:rPr>
        <w:t xml:space="preserve"> para financiar a inovação,</w:t>
      </w:r>
      <w:r w:rsidR="006404AB" w:rsidRPr="00030D4D">
        <w:rPr>
          <w:rFonts w:ascii="Arial" w:hAnsi="Arial" w:cs="Arial"/>
          <w:szCs w:val="24"/>
        </w:rPr>
        <w:t xml:space="preserve"> com </w:t>
      </w:r>
      <w:r w:rsidR="00761D41" w:rsidRPr="00030D4D">
        <w:rPr>
          <w:rFonts w:ascii="Arial" w:hAnsi="Arial" w:cs="Arial"/>
          <w:szCs w:val="24"/>
        </w:rPr>
        <w:t xml:space="preserve">foco nas principais fontes de </w:t>
      </w:r>
      <w:r w:rsidR="006404AB" w:rsidRPr="00030D4D">
        <w:rPr>
          <w:rFonts w:ascii="Arial" w:hAnsi="Arial" w:cs="Arial"/>
          <w:szCs w:val="24"/>
        </w:rPr>
        <w:t>recursos financeiros</w:t>
      </w:r>
      <w:r w:rsidR="00D73832" w:rsidRPr="00030D4D">
        <w:rPr>
          <w:rFonts w:ascii="Arial" w:hAnsi="Arial" w:cs="Arial"/>
          <w:szCs w:val="24"/>
        </w:rPr>
        <w:t>, nas instituições envolvidas e nos</w:t>
      </w:r>
      <w:r w:rsidR="00810EAA" w:rsidRPr="00030D4D">
        <w:rPr>
          <w:rFonts w:ascii="Arial" w:hAnsi="Arial" w:cs="Arial"/>
          <w:szCs w:val="24"/>
        </w:rPr>
        <w:t xml:space="preserve"> diferentes</w:t>
      </w:r>
      <w:r w:rsidR="006404AB" w:rsidRPr="00030D4D">
        <w:rPr>
          <w:rFonts w:ascii="Arial" w:hAnsi="Arial" w:cs="Arial"/>
          <w:szCs w:val="24"/>
        </w:rPr>
        <w:t xml:space="preserve"> </w:t>
      </w:r>
      <w:r w:rsidR="00417A65" w:rsidRPr="00030D4D">
        <w:rPr>
          <w:rFonts w:ascii="Arial" w:hAnsi="Arial" w:cs="Arial"/>
          <w:szCs w:val="24"/>
        </w:rPr>
        <w:t xml:space="preserve">instrumentos </w:t>
      </w:r>
      <w:r w:rsidR="00810EAA" w:rsidRPr="00030D4D">
        <w:rPr>
          <w:rFonts w:ascii="Arial" w:hAnsi="Arial" w:cs="Arial"/>
          <w:szCs w:val="24"/>
        </w:rPr>
        <w:t>de financiamento</w:t>
      </w:r>
      <w:r w:rsidR="00417A65" w:rsidRPr="00030D4D">
        <w:rPr>
          <w:rFonts w:ascii="Arial" w:hAnsi="Arial" w:cs="Arial"/>
          <w:szCs w:val="24"/>
        </w:rPr>
        <w:t xml:space="preserve">. </w:t>
      </w:r>
      <w:r w:rsidR="00345B19" w:rsidRPr="00030D4D">
        <w:rPr>
          <w:rFonts w:ascii="Arial" w:hAnsi="Arial" w:cs="Arial"/>
          <w:szCs w:val="24"/>
        </w:rPr>
        <w:t xml:space="preserve"> </w:t>
      </w:r>
      <w:r w:rsidR="00D04907" w:rsidRPr="00030D4D">
        <w:rPr>
          <w:rFonts w:ascii="Arial" w:hAnsi="Arial" w:cs="Arial"/>
          <w:szCs w:val="24"/>
        </w:rPr>
        <w:t xml:space="preserve">Na segunda seção </w:t>
      </w:r>
      <w:r w:rsidR="001F6293" w:rsidRPr="00030D4D">
        <w:rPr>
          <w:rFonts w:ascii="Arial" w:hAnsi="Arial" w:cs="Arial"/>
          <w:szCs w:val="24"/>
        </w:rPr>
        <w:t>discute-se o cenário atual do financiamento à inovação. Na terceira seção é analisada a capacidade que a Finep tem apresentado para atender à demanda</w:t>
      </w:r>
      <w:r w:rsidR="00183ECC" w:rsidRPr="00030D4D">
        <w:rPr>
          <w:rFonts w:ascii="Arial" w:hAnsi="Arial" w:cs="Arial"/>
          <w:szCs w:val="24"/>
        </w:rPr>
        <w:t>, em especial à demanda</w:t>
      </w:r>
      <w:r w:rsidR="001F6293" w:rsidRPr="00030D4D">
        <w:rPr>
          <w:rFonts w:ascii="Arial" w:hAnsi="Arial" w:cs="Arial"/>
          <w:szCs w:val="24"/>
        </w:rPr>
        <w:t xml:space="preserve"> por crédito. </w:t>
      </w:r>
      <w:r w:rsidR="00015AF4" w:rsidRPr="00030D4D">
        <w:rPr>
          <w:rFonts w:ascii="Arial" w:hAnsi="Arial" w:cs="Arial"/>
          <w:szCs w:val="24"/>
        </w:rPr>
        <w:t xml:space="preserve">Ao </w:t>
      </w:r>
      <w:r w:rsidR="00D94AD8" w:rsidRPr="00030D4D">
        <w:rPr>
          <w:rFonts w:ascii="Arial" w:hAnsi="Arial" w:cs="Arial"/>
          <w:szCs w:val="24"/>
        </w:rPr>
        <w:t>final</w:t>
      </w:r>
      <w:r w:rsidR="006A5899" w:rsidRPr="00030D4D">
        <w:rPr>
          <w:rFonts w:ascii="Arial" w:hAnsi="Arial" w:cs="Arial"/>
          <w:szCs w:val="24"/>
        </w:rPr>
        <w:t>, apresentam-se as</w:t>
      </w:r>
      <w:r w:rsidR="00D94AD8" w:rsidRPr="00030D4D">
        <w:rPr>
          <w:rFonts w:ascii="Arial" w:hAnsi="Arial" w:cs="Arial"/>
          <w:szCs w:val="24"/>
        </w:rPr>
        <w:t xml:space="preserve"> conclusões</w:t>
      </w:r>
      <w:r w:rsidR="006A5899" w:rsidRPr="00030D4D">
        <w:rPr>
          <w:rFonts w:ascii="Arial" w:hAnsi="Arial" w:cs="Arial"/>
          <w:szCs w:val="24"/>
        </w:rPr>
        <w:t xml:space="preserve"> do estudo</w:t>
      </w:r>
      <w:r w:rsidR="00D94AD8" w:rsidRPr="00030D4D">
        <w:rPr>
          <w:rFonts w:ascii="Arial" w:hAnsi="Arial" w:cs="Arial"/>
          <w:szCs w:val="24"/>
        </w:rPr>
        <w:t>.</w:t>
      </w:r>
    </w:p>
    <w:p w:rsidR="00537571" w:rsidRPr="00030D4D" w:rsidRDefault="00537571" w:rsidP="00537571">
      <w:pPr>
        <w:spacing w:before="0"/>
        <w:rPr>
          <w:rFonts w:ascii="Arial" w:hAnsi="Arial" w:cs="Arial"/>
        </w:rPr>
      </w:pPr>
      <w:r w:rsidRPr="00030D4D">
        <w:rPr>
          <w:rFonts w:ascii="Arial" w:hAnsi="Arial" w:cs="Arial"/>
        </w:rPr>
        <w:t xml:space="preserve">As principais fontes de consulta utilizadas para a elaboração deste documento foram, além de uma revisão da literatura pertinente, </w:t>
      </w:r>
      <w:r w:rsidRPr="00030D4D">
        <w:rPr>
          <w:rFonts w:ascii="Arial" w:hAnsi="Arial" w:cs="Arial"/>
          <w:i/>
        </w:rPr>
        <w:t>sites</w:t>
      </w:r>
      <w:r w:rsidR="00BC442D" w:rsidRPr="00030D4D">
        <w:rPr>
          <w:rFonts w:ascii="Arial" w:hAnsi="Arial" w:cs="Arial"/>
          <w:i/>
        </w:rPr>
        <w:t xml:space="preserve">, </w:t>
      </w:r>
      <w:r w:rsidR="00BC442D" w:rsidRPr="00030D4D">
        <w:rPr>
          <w:rFonts w:ascii="Arial" w:hAnsi="Arial" w:cs="Arial"/>
        </w:rPr>
        <w:t>estatísticas</w:t>
      </w:r>
      <w:r w:rsidRPr="00030D4D">
        <w:rPr>
          <w:rFonts w:ascii="Arial" w:hAnsi="Arial" w:cs="Arial"/>
        </w:rPr>
        <w:t xml:space="preserve"> e documentos das instituições responsáveis pela operação dos instrumentos de financiamento. Com o propósito de obter informa</w:t>
      </w:r>
      <w:r w:rsidR="007A563F" w:rsidRPr="00030D4D">
        <w:rPr>
          <w:rFonts w:ascii="Arial" w:hAnsi="Arial" w:cs="Arial"/>
        </w:rPr>
        <w:t>ções</w:t>
      </w:r>
      <w:r w:rsidRPr="00030D4D">
        <w:rPr>
          <w:rFonts w:ascii="Arial" w:hAnsi="Arial" w:cs="Arial"/>
        </w:rPr>
        <w:t xml:space="preserve"> </w:t>
      </w:r>
      <w:r w:rsidR="005A3700" w:rsidRPr="00030D4D">
        <w:rPr>
          <w:rFonts w:ascii="Arial" w:hAnsi="Arial" w:cs="Arial"/>
        </w:rPr>
        <w:t xml:space="preserve">adicionais </w:t>
      </w:r>
      <w:r w:rsidR="00EE300B" w:rsidRPr="00030D4D">
        <w:rPr>
          <w:rFonts w:ascii="Arial" w:hAnsi="Arial" w:cs="Arial"/>
        </w:rPr>
        <w:t xml:space="preserve">e maiores esclarecimentos sobre o material </w:t>
      </w:r>
      <w:r w:rsidR="005A3700" w:rsidRPr="00030D4D">
        <w:rPr>
          <w:rFonts w:ascii="Arial" w:hAnsi="Arial" w:cs="Arial"/>
        </w:rPr>
        <w:t xml:space="preserve">disponível </w:t>
      </w:r>
      <w:r w:rsidR="00BC442D" w:rsidRPr="00030D4D">
        <w:rPr>
          <w:rFonts w:ascii="Arial" w:hAnsi="Arial" w:cs="Arial"/>
        </w:rPr>
        <w:t>nas</w:t>
      </w:r>
      <w:r w:rsidR="005A3700" w:rsidRPr="00030D4D">
        <w:rPr>
          <w:rFonts w:ascii="Arial" w:hAnsi="Arial" w:cs="Arial"/>
        </w:rPr>
        <w:t xml:space="preserve"> fontes documentais</w:t>
      </w:r>
      <w:r w:rsidRPr="00030D4D">
        <w:rPr>
          <w:rFonts w:ascii="Arial" w:hAnsi="Arial" w:cs="Arial"/>
        </w:rPr>
        <w:t xml:space="preserve">, foram </w:t>
      </w:r>
      <w:r w:rsidR="0094207E" w:rsidRPr="00030D4D">
        <w:rPr>
          <w:rFonts w:ascii="Arial" w:hAnsi="Arial" w:cs="Arial"/>
        </w:rPr>
        <w:t>consultadas</w:t>
      </w:r>
      <w:r w:rsidRPr="00030D4D">
        <w:rPr>
          <w:rFonts w:ascii="Arial" w:hAnsi="Arial" w:cs="Arial"/>
          <w:color w:val="FF0000"/>
        </w:rPr>
        <w:t xml:space="preserve"> </w:t>
      </w:r>
      <w:r w:rsidRPr="00030D4D">
        <w:rPr>
          <w:rFonts w:ascii="Arial" w:hAnsi="Arial" w:cs="Arial"/>
        </w:rPr>
        <w:t>duas profissionais da área técnica da Finep</w:t>
      </w:r>
      <w:r w:rsidR="00481DBF" w:rsidRPr="00030D4D">
        <w:rPr>
          <w:rStyle w:val="FootnoteReference"/>
          <w:rFonts w:ascii="Arial" w:hAnsi="Arial" w:cs="Arial"/>
        </w:rPr>
        <w:footnoteReference w:id="3"/>
      </w:r>
      <w:r w:rsidRPr="00030D4D">
        <w:rPr>
          <w:rFonts w:ascii="Arial" w:hAnsi="Arial" w:cs="Arial"/>
          <w:szCs w:val="24"/>
        </w:rPr>
        <w:t xml:space="preserve">. </w:t>
      </w:r>
    </w:p>
    <w:p w:rsidR="00537571" w:rsidRPr="00030D4D" w:rsidRDefault="00537571" w:rsidP="0038386D">
      <w:pPr>
        <w:spacing w:before="0"/>
        <w:rPr>
          <w:rFonts w:ascii="Arial" w:hAnsi="Arial" w:cs="Arial"/>
        </w:rPr>
      </w:pPr>
    </w:p>
    <w:p w:rsidR="00171B87" w:rsidRPr="00030D4D" w:rsidRDefault="00E532B8" w:rsidP="00460F65">
      <w:pPr>
        <w:pStyle w:val="Heading1"/>
        <w:numPr>
          <w:ilvl w:val="0"/>
          <w:numId w:val="33"/>
        </w:numPr>
        <w:rPr>
          <w:rFonts w:ascii="Arial" w:hAnsi="Arial" w:cs="Arial"/>
        </w:rPr>
      </w:pPr>
      <w:bookmarkStart w:id="2" w:name="_Toc482828480"/>
      <w:r w:rsidRPr="00030D4D">
        <w:rPr>
          <w:rFonts w:ascii="Arial" w:hAnsi="Arial" w:cs="Arial"/>
        </w:rPr>
        <w:t xml:space="preserve">Fontes e </w:t>
      </w:r>
      <w:r w:rsidR="008A411E" w:rsidRPr="00030D4D">
        <w:rPr>
          <w:rFonts w:ascii="Arial" w:hAnsi="Arial" w:cs="Arial"/>
        </w:rPr>
        <w:t>Instrumentos</w:t>
      </w:r>
      <w:r w:rsidR="00171B87" w:rsidRPr="00030D4D">
        <w:rPr>
          <w:rFonts w:ascii="Arial" w:hAnsi="Arial" w:cs="Arial"/>
        </w:rPr>
        <w:t xml:space="preserve"> Públicos de Financiamento </w:t>
      </w:r>
      <w:r w:rsidR="00DA5C19" w:rsidRPr="00030D4D">
        <w:rPr>
          <w:rFonts w:ascii="Arial" w:hAnsi="Arial" w:cs="Arial"/>
        </w:rPr>
        <w:t xml:space="preserve">à Inovação </w:t>
      </w:r>
      <w:r w:rsidR="00171B87" w:rsidRPr="00030D4D">
        <w:rPr>
          <w:rFonts w:ascii="Arial" w:hAnsi="Arial" w:cs="Arial"/>
        </w:rPr>
        <w:t>no Brasil</w:t>
      </w:r>
      <w:bookmarkEnd w:id="2"/>
    </w:p>
    <w:p w:rsidR="00FF4820" w:rsidRPr="00030D4D" w:rsidRDefault="00244056" w:rsidP="00F22D5F">
      <w:pPr>
        <w:spacing w:before="0"/>
        <w:rPr>
          <w:rFonts w:ascii="Arial" w:hAnsi="Arial" w:cs="Arial"/>
        </w:rPr>
      </w:pPr>
      <w:r w:rsidRPr="00030D4D">
        <w:rPr>
          <w:rFonts w:ascii="Arial" w:hAnsi="Arial" w:cs="Arial"/>
        </w:rPr>
        <w:t>O</w:t>
      </w:r>
      <w:r w:rsidR="00C7784A" w:rsidRPr="00030D4D">
        <w:rPr>
          <w:rFonts w:ascii="Arial" w:hAnsi="Arial" w:cs="Arial"/>
        </w:rPr>
        <w:t xml:space="preserve"> governo brasileiro, por meio d</w:t>
      </w:r>
      <w:r w:rsidR="00485B8A" w:rsidRPr="00030D4D">
        <w:rPr>
          <w:rFonts w:ascii="Arial" w:hAnsi="Arial" w:cs="Arial"/>
        </w:rPr>
        <w:t>e</w:t>
      </w:r>
      <w:r w:rsidR="00C7784A" w:rsidRPr="00030D4D">
        <w:rPr>
          <w:rFonts w:ascii="Arial" w:hAnsi="Arial" w:cs="Arial"/>
        </w:rPr>
        <w:t xml:space="preserve"> políticas implementadas </w:t>
      </w:r>
      <w:r w:rsidR="007C434D" w:rsidRPr="00030D4D">
        <w:rPr>
          <w:rFonts w:ascii="Arial" w:hAnsi="Arial" w:cs="Arial"/>
        </w:rPr>
        <w:t>essencialmente pelo</w:t>
      </w:r>
      <w:r w:rsidR="00C7784A" w:rsidRPr="00030D4D">
        <w:rPr>
          <w:rFonts w:ascii="Arial" w:hAnsi="Arial" w:cs="Arial"/>
        </w:rPr>
        <w:t xml:space="preserve"> Ministério de Ciência e Tecnologia</w:t>
      </w:r>
      <w:r w:rsidR="00485B8A" w:rsidRPr="00030D4D">
        <w:rPr>
          <w:rFonts w:ascii="Arial" w:hAnsi="Arial" w:cs="Arial"/>
        </w:rPr>
        <w:t xml:space="preserve">, </w:t>
      </w:r>
      <w:r w:rsidR="00236AC5" w:rsidRPr="00030D4D">
        <w:rPr>
          <w:rFonts w:ascii="Arial" w:hAnsi="Arial" w:cs="Arial"/>
        </w:rPr>
        <w:t>fez um esforço interessante</w:t>
      </w:r>
      <w:r w:rsidR="00864D69" w:rsidRPr="00030D4D">
        <w:rPr>
          <w:rFonts w:ascii="Arial" w:hAnsi="Arial" w:cs="Arial"/>
        </w:rPr>
        <w:t xml:space="preserve"> </w:t>
      </w:r>
      <w:r w:rsidR="00485B8A" w:rsidRPr="00030D4D">
        <w:rPr>
          <w:rFonts w:ascii="Arial" w:hAnsi="Arial" w:cs="Arial"/>
        </w:rPr>
        <w:t>nas duas últimas décadas</w:t>
      </w:r>
      <w:r w:rsidR="00864D69" w:rsidRPr="00030D4D">
        <w:rPr>
          <w:rFonts w:ascii="Arial" w:hAnsi="Arial" w:cs="Arial"/>
        </w:rPr>
        <w:t xml:space="preserve"> para </w:t>
      </w:r>
      <w:r w:rsidR="00236AC5" w:rsidRPr="00030D4D">
        <w:rPr>
          <w:rFonts w:ascii="Arial" w:hAnsi="Arial" w:cs="Arial"/>
        </w:rPr>
        <w:t xml:space="preserve">criar um ambiente mais favorável à inovação, o que implicou </w:t>
      </w:r>
      <w:r w:rsidR="00864D69" w:rsidRPr="00030D4D">
        <w:rPr>
          <w:rFonts w:ascii="Arial" w:hAnsi="Arial" w:cs="Arial"/>
        </w:rPr>
        <w:t xml:space="preserve">preparar melhor os recursos humanos e físicos com o intuito de </w:t>
      </w:r>
      <w:r w:rsidR="001B5CAC" w:rsidRPr="00030D4D">
        <w:rPr>
          <w:rFonts w:ascii="Arial" w:hAnsi="Arial" w:cs="Arial"/>
        </w:rPr>
        <w:t xml:space="preserve">contribuir para </w:t>
      </w:r>
      <w:r w:rsidR="00864D69" w:rsidRPr="00030D4D">
        <w:rPr>
          <w:rFonts w:ascii="Arial" w:hAnsi="Arial" w:cs="Arial"/>
        </w:rPr>
        <w:t xml:space="preserve">o desenvolvimento econômico, social e ambiental baseado </w:t>
      </w:r>
      <w:r w:rsidR="00866DFB" w:rsidRPr="00030D4D">
        <w:rPr>
          <w:rFonts w:ascii="Arial" w:hAnsi="Arial" w:cs="Arial"/>
        </w:rPr>
        <w:t>nos chamados</w:t>
      </w:r>
      <w:r w:rsidR="00864D69" w:rsidRPr="00030D4D">
        <w:rPr>
          <w:rFonts w:ascii="Arial" w:hAnsi="Arial" w:cs="Arial"/>
        </w:rPr>
        <w:t xml:space="preserve"> fatores intang</w:t>
      </w:r>
      <w:r w:rsidR="00866DFB" w:rsidRPr="00030D4D">
        <w:rPr>
          <w:rFonts w:ascii="Arial" w:hAnsi="Arial" w:cs="Arial"/>
        </w:rPr>
        <w:t>íveis</w:t>
      </w:r>
      <w:r w:rsidR="00485B8A" w:rsidRPr="00030D4D">
        <w:rPr>
          <w:rStyle w:val="FootnoteReference"/>
          <w:rFonts w:ascii="Arial" w:hAnsi="Arial" w:cs="Arial"/>
        </w:rPr>
        <w:footnoteReference w:id="4"/>
      </w:r>
      <w:r w:rsidR="00866DFB" w:rsidRPr="00030D4D">
        <w:rPr>
          <w:rFonts w:ascii="Arial" w:hAnsi="Arial" w:cs="Arial"/>
        </w:rPr>
        <w:t>.</w:t>
      </w:r>
      <w:r w:rsidR="00FF4820" w:rsidRPr="00030D4D">
        <w:rPr>
          <w:rFonts w:ascii="Arial" w:hAnsi="Arial" w:cs="Arial"/>
        </w:rPr>
        <w:t xml:space="preserve"> </w:t>
      </w:r>
    </w:p>
    <w:p w:rsidR="00B05AE7" w:rsidRPr="00030D4D" w:rsidRDefault="00FF4820" w:rsidP="00F22D5F">
      <w:pPr>
        <w:spacing w:before="0"/>
        <w:rPr>
          <w:rFonts w:ascii="Arial" w:hAnsi="Arial" w:cs="Arial"/>
        </w:rPr>
      </w:pPr>
      <w:r w:rsidRPr="00030D4D">
        <w:rPr>
          <w:rFonts w:ascii="Arial" w:hAnsi="Arial" w:cs="Arial"/>
        </w:rPr>
        <w:t>O financiamento à C&amp;T, de forma mais geral, e à PD&amp;I, de forma mais específica, contribuiu em várias direções</w:t>
      </w:r>
      <w:r w:rsidR="007532FC" w:rsidRPr="00030D4D">
        <w:rPr>
          <w:rFonts w:ascii="Arial" w:hAnsi="Arial" w:cs="Arial"/>
        </w:rPr>
        <w:t xml:space="preserve">: </w:t>
      </w:r>
      <w:r w:rsidRPr="00030D4D">
        <w:rPr>
          <w:rFonts w:ascii="Arial" w:hAnsi="Arial" w:cs="Arial"/>
        </w:rPr>
        <w:t>para ampliar e modernizar a infraestrutura científica; para capacitar recursos</w:t>
      </w:r>
      <w:r w:rsidR="00415C74" w:rsidRPr="00030D4D">
        <w:rPr>
          <w:rFonts w:ascii="Arial" w:hAnsi="Arial" w:cs="Arial"/>
        </w:rPr>
        <w:t xml:space="preserve"> humanos</w:t>
      </w:r>
      <w:r w:rsidRPr="00030D4D">
        <w:rPr>
          <w:rFonts w:ascii="Arial" w:hAnsi="Arial" w:cs="Arial"/>
        </w:rPr>
        <w:t>;</w:t>
      </w:r>
      <w:r w:rsidR="00415C74" w:rsidRPr="00030D4D">
        <w:rPr>
          <w:rFonts w:ascii="Arial" w:hAnsi="Arial" w:cs="Arial"/>
        </w:rPr>
        <w:t xml:space="preserve"> </w:t>
      </w:r>
      <w:r w:rsidR="00B05AE7" w:rsidRPr="00030D4D">
        <w:rPr>
          <w:rFonts w:ascii="Arial" w:hAnsi="Arial" w:cs="Arial"/>
        </w:rPr>
        <w:t xml:space="preserve">para promover a inovação empresarial e </w:t>
      </w:r>
      <w:r w:rsidR="00415C74" w:rsidRPr="00030D4D">
        <w:rPr>
          <w:rFonts w:ascii="Arial" w:hAnsi="Arial" w:cs="Arial"/>
        </w:rPr>
        <w:t>para descentral</w:t>
      </w:r>
      <w:r w:rsidR="00B05AE7" w:rsidRPr="00030D4D">
        <w:rPr>
          <w:rFonts w:ascii="Arial" w:hAnsi="Arial" w:cs="Arial"/>
        </w:rPr>
        <w:t xml:space="preserve">izar regionalmente os recursos </w:t>
      </w:r>
      <w:r w:rsidR="00415C74" w:rsidRPr="00030D4D">
        <w:rPr>
          <w:rFonts w:ascii="Arial" w:hAnsi="Arial" w:cs="Arial"/>
        </w:rPr>
        <w:t xml:space="preserve">com o intuito de </w:t>
      </w:r>
      <w:r w:rsidRPr="00030D4D">
        <w:rPr>
          <w:rFonts w:ascii="Arial" w:hAnsi="Arial" w:cs="Arial"/>
        </w:rPr>
        <w:t>fortalecer o Sistema Nacional de Inovação</w:t>
      </w:r>
      <w:r w:rsidR="002163AD" w:rsidRPr="00030D4D">
        <w:rPr>
          <w:rFonts w:ascii="Arial" w:hAnsi="Arial" w:cs="Arial"/>
        </w:rPr>
        <w:t xml:space="preserve"> (SNI)</w:t>
      </w:r>
      <w:r w:rsidRPr="00030D4D">
        <w:rPr>
          <w:rFonts w:ascii="Arial" w:hAnsi="Arial" w:cs="Arial"/>
        </w:rPr>
        <w:t>, o que implicou</w:t>
      </w:r>
      <w:r w:rsidR="00415C74" w:rsidRPr="00030D4D">
        <w:rPr>
          <w:rFonts w:ascii="Arial" w:hAnsi="Arial" w:cs="Arial"/>
        </w:rPr>
        <w:t xml:space="preserve">, além do apoio citado, </w:t>
      </w:r>
      <w:r w:rsidR="00B05AE7" w:rsidRPr="00030D4D">
        <w:rPr>
          <w:rFonts w:ascii="Arial" w:hAnsi="Arial" w:cs="Arial"/>
        </w:rPr>
        <w:t xml:space="preserve">a formatação de </w:t>
      </w:r>
      <w:r w:rsidRPr="00030D4D">
        <w:rPr>
          <w:rFonts w:ascii="Arial" w:hAnsi="Arial" w:cs="Arial"/>
        </w:rPr>
        <w:t>estruturas espec</w:t>
      </w:r>
      <w:r w:rsidR="00415C74" w:rsidRPr="00030D4D">
        <w:rPr>
          <w:rFonts w:ascii="Arial" w:hAnsi="Arial" w:cs="Arial"/>
        </w:rPr>
        <w:t>íficas</w:t>
      </w:r>
      <w:r w:rsidRPr="00030D4D">
        <w:rPr>
          <w:rFonts w:ascii="Arial" w:hAnsi="Arial" w:cs="Arial"/>
        </w:rPr>
        <w:t xml:space="preserve"> como parques tecnológicos, incubadoras de empresas, </w:t>
      </w:r>
      <w:r w:rsidR="006A19D3" w:rsidRPr="00030D4D">
        <w:rPr>
          <w:rFonts w:ascii="Arial" w:hAnsi="Arial" w:cs="Arial"/>
        </w:rPr>
        <w:t>núcleos de inovação tecnológica</w:t>
      </w:r>
      <w:r w:rsidR="00415C74" w:rsidRPr="00030D4D">
        <w:rPr>
          <w:rFonts w:ascii="Arial" w:hAnsi="Arial" w:cs="Arial"/>
        </w:rPr>
        <w:t>, parceria universidade-empresa</w:t>
      </w:r>
      <w:r w:rsidR="00B05AE7" w:rsidRPr="00030D4D">
        <w:rPr>
          <w:rFonts w:ascii="Arial" w:hAnsi="Arial" w:cs="Arial"/>
        </w:rPr>
        <w:t>,</w:t>
      </w:r>
      <w:r w:rsidR="006A19D3" w:rsidRPr="00030D4D">
        <w:rPr>
          <w:rFonts w:ascii="Arial" w:hAnsi="Arial" w:cs="Arial"/>
        </w:rPr>
        <w:t xml:space="preserve"> </w:t>
      </w:r>
      <w:r w:rsidR="00415C74" w:rsidRPr="00030D4D">
        <w:rPr>
          <w:rFonts w:ascii="Arial" w:hAnsi="Arial" w:cs="Arial"/>
        </w:rPr>
        <w:t>dentre outros.</w:t>
      </w:r>
      <w:r w:rsidR="006A19D3" w:rsidRPr="00030D4D">
        <w:rPr>
          <w:rFonts w:ascii="Arial" w:hAnsi="Arial" w:cs="Arial"/>
        </w:rPr>
        <w:t xml:space="preserve"> </w:t>
      </w:r>
    </w:p>
    <w:p w:rsidR="00864D69" w:rsidRPr="00030D4D" w:rsidRDefault="006A19D3" w:rsidP="00F22D5F">
      <w:pPr>
        <w:spacing w:before="0"/>
        <w:rPr>
          <w:rFonts w:ascii="Arial" w:hAnsi="Arial" w:cs="Arial"/>
        </w:rPr>
      </w:pPr>
      <w:r w:rsidRPr="00030D4D">
        <w:rPr>
          <w:rFonts w:ascii="Arial" w:hAnsi="Arial" w:cs="Arial"/>
        </w:rPr>
        <w:t>A questão é que a demanda do Sistema de CT&amp;I</w:t>
      </w:r>
      <w:r w:rsidR="007532FC" w:rsidRPr="00030D4D">
        <w:rPr>
          <w:rFonts w:ascii="Arial" w:hAnsi="Arial" w:cs="Arial"/>
        </w:rPr>
        <w:t>, que</w:t>
      </w:r>
      <w:r w:rsidRPr="00030D4D">
        <w:rPr>
          <w:rFonts w:ascii="Arial" w:hAnsi="Arial" w:cs="Arial"/>
        </w:rPr>
        <w:t xml:space="preserve"> já era </w:t>
      </w:r>
      <w:r w:rsidR="007532FC" w:rsidRPr="00030D4D">
        <w:rPr>
          <w:rFonts w:ascii="Arial" w:hAnsi="Arial" w:cs="Arial"/>
        </w:rPr>
        <w:t>expressiva em fins dos anos 1990 devido ao longo período de constrangimentos macroeconômicos, ficou ainda maior</w:t>
      </w:r>
      <w:r w:rsidR="00A13CFC" w:rsidRPr="00030D4D">
        <w:rPr>
          <w:rFonts w:ascii="Arial" w:hAnsi="Arial" w:cs="Arial"/>
        </w:rPr>
        <w:t xml:space="preserve"> </w:t>
      </w:r>
      <w:r w:rsidR="007532FC" w:rsidRPr="00030D4D">
        <w:rPr>
          <w:rFonts w:ascii="Arial" w:hAnsi="Arial" w:cs="Arial"/>
        </w:rPr>
        <w:t>c</w:t>
      </w:r>
      <w:r w:rsidR="00415C74" w:rsidRPr="00030D4D">
        <w:rPr>
          <w:rFonts w:ascii="Arial" w:hAnsi="Arial" w:cs="Arial"/>
        </w:rPr>
        <w:t>om a consolidação do Sistema Nacional de Inovação</w:t>
      </w:r>
      <w:r w:rsidR="007532FC" w:rsidRPr="00030D4D">
        <w:rPr>
          <w:rFonts w:ascii="Arial" w:hAnsi="Arial" w:cs="Arial"/>
        </w:rPr>
        <w:t>, que agregou</w:t>
      </w:r>
      <w:r w:rsidR="0070382E" w:rsidRPr="00030D4D">
        <w:rPr>
          <w:rFonts w:ascii="Arial" w:hAnsi="Arial" w:cs="Arial"/>
        </w:rPr>
        <w:t xml:space="preserve"> novos atores</w:t>
      </w:r>
      <w:r w:rsidR="00A13CFC" w:rsidRPr="00030D4D">
        <w:rPr>
          <w:rFonts w:ascii="Arial" w:hAnsi="Arial" w:cs="Arial"/>
        </w:rPr>
        <w:t xml:space="preserve"> e necessidades</w:t>
      </w:r>
      <w:r w:rsidR="0070382E" w:rsidRPr="00030D4D">
        <w:rPr>
          <w:rFonts w:ascii="Arial" w:hAnsi="Arial" w:cs="Arial"/>
        </w:rPr>
        <w:t xml:space="preserve"> </w:t>
      </w:r>
      <w:r w:rsidR="007532FC" w:rsidRPr="00030D4D">
        <w:rPr>
          <w:rFonts w:ascii="Arial" w:hAnsi="Arial" w:cs="Arial"/>
        </w:rPr>
        <w:t>tornando</w:t>
      </w:r>
      <w:r w:rsidR="0070382E" w:rsidRPr="00030D4D">
        <w:rPr>
          <w:rFonts w:ascii="Arial" w:hAnsi="Arial" w:cs="Arial"/>
        </w:rPr>
        <w:t xml:space="preserve"> a sustentação desta estrutura ainda mais complexa. </w:t>
      </w:r>
    </w:p>
    <w:p w:rsidR="001C70FF" w:rsidRPr="00030D4D" w:rsidRDefault="001C70FF" w:rsidP="00F22D5F">
      <w:pPr>
        <w:spacing w:before="0"/>
        <w:rPr>
          <w:rFonts w:ascii="Arial" w:hAnsi="Arial" w:cs="Arial"/>
        </w:rPr>
      </w:pPr>
      <w:r w:rsidRPr="00030D4D">
        <w:rPr>
          <w:rFonts w:ascii="Arial" w:hAnsi="Arial" w:cs="Arial"/>
        </w:rPr>
        <w:t xml:space="preserve">O fato é que foram criadas novas fontes a fim de elevar o volume de recursos destinados a promover </w:t>
      </w:r>
      <w:r w:rsidR="00EB3E8D" w:rsidRPr="00030D4D">
        <w:rPr>
          <w:rFonts w:ascii="Arial" w:hAnsi="Arial" w:cs="Arial"/>
        </w:rPr>
        <w:t>a referida</w:t>
      </w:r>
      <w:r w:rsidRPr="00030D4D">
        <w:rPr>
          <w:rFonts w:ascii="Arial" w:hAnsi="Arial" w:cs="Arial"/>
        </w:rPr>
        <w:t xml:space="preserve"> estrutura</w:t>
      </w:r>
      <w:r w:rsidR="007E1817" w:rsidRPr="00030D4D">
        <w:rPr>
          <w:rFonts w:ascii="Arial" w:hAnsi="Arial" w:cs="Arial"/>
        </w:rPr>
        <w:t xml:space="preserve"> e f</w:t>
      </w:r>
      <w:r w:rsidRPr="00030D4D">
        <w:rPr>
          <w:rFonts w:ascii="Arial" w:hAnsi="Arial" w:cs="Arial"/>
        </w:rPr>
        <w:t xml:space="preserve">oram também criados instrumentos mais apropriados nas modalidades reembolsável, não reembolsável e </w:t>
      </w:r>
      <w:r w:rsidR="002163AD" w:rsidRPr="00030D4D">
        <w:rPr>
          <w:rFonts w:ascii="Arial" w:hAnsi="Arial" w:cs="Arial"/>
        </w:rPr>
        <w:t xml:space="preserve">de </w:t>
      </w:r>
      <w:r w:rsidRPr="00030D4D">
        <w:rPr>
          <w:rFonts w:ascii="Arial" w:hAnsi="Arial" w:cs="Arial"/>
        </w:rPr>
        <w:t>renda vari</w:t>
      </w:r>
      <w:r w:rsidR="000375F4" w:rsidRPr="00030D4D">
        <w:rPr>
          <w:rFonts w:ascii="Arial" w:hAnsi="Arial" w:cs="Arial"/>
        </w:rPr>
        <w:t>ável</w:t>
      </w:r>
      <w:r w:rsidR="00216126" w:rsidRPr="00030D4D">
        <w:rPr>
          <w:rFonts w:ascii="Arial" w:hAnsi="Arial" w:cs="Arial"/>
        </w:rPr>
        <w:t>/venture capital</w:t>
      </w:r>
      <w:r w:rsidR="000375F4" w:rsidRPr="00030D4D">
        <w:rPr>
          <w:rFonts w:ascii="Arial" w:hAnsi="Arial" w:cs="Arial"/>
        </w:rPr>
        <w:t xml:space="preserve">. </w:t>
      </w:r>
      <w:r w:rsidR="00EB3E8D" w:rsidRPr="00030D4D">
        <w:rPr>
          <w:rFonts w:ascii="Arial" w:hAnsi="Arial" w:cs="Arial"/>
        </w:rPr>
        <w:t>E apesar de todo o modelo ter sido montado para evitar a instabilidade do financiamento,</w:t>
      </w:r>
      <w:r w:rsidRPr="00030D4D">
        <w:rPr>
          <w:rFonts w:ascii="Arial" w:hAnsi="Arial" w:cs="Arial"/>
        </w:rPr>
        <w:t xml:space="preserve"> </w:t>
      </w:r>
      <w:r w:rsidR="007E1817" w:rsidRPr="00030D4D">
        <w:rPr>
          <w:rFonts w:ascii="Arial" w:hAnsi="Arial" w:cs="Arial"/>
        </w:rPr>
        <w:t>não foi possível manter a regularidade das ações</w:t>
      </w:r>
      <w:r w:rsidR="00EB3E8D" w:rsidRPr="00030D4D">
        <w:rPr>
          <w:rFonts w:ascii="Arial" w:hAnsi="Arial" w:cs="Arial"/>
        </w:rPr>
        <w:t>, pois houve mudanças nas</w:t>
      </w:r>
      <w:r w:rsidR="007E1817" w:rsidRPr="00030D4D">
        <w:rPr>
          <w:rFonts w:ascii="Arial" w:hAnsi="Arial" w:cs="Arial"/>
        </w:rPr>
        <w:t xml:space="preserve"> prioridades das políticas ao longo do tempo.</w:t>
      </w:r>
      <w:r w:rsidRPr="00030D4D">
        <w:rPr>
          <w:rFonts w:ascii="Arial" w:hAnsi="Arial" w:cs="Arial"/>
        </w:rPr>
        <w:t xml:space="preserve">  </w:t>
      </w:r>
      <w:r w:rsidR="008B76C8" w:rsidRPr="00030D4D">
        <w:rPr>
          <w:rFonts w:ascii="Arial" w:hAnsi="Arial" w:cs="Arial"/>
        </w:rPr>
        <w:t xml:space="preserve">Adicionalmente, os agravos econômicos </w:t>
      </w:r>
      <w:r w:rsidR="00096AC0" w:rsidRPr="00030D4D">
        <w:rPr>
          <w:rFonts w:ascii="Arial" w:hAnsi="Arial" w:cs="Arial"/>
        </w:rPr>
        <w:t>que pareciam superados</w:t>
      </w:r>
      <w:r w:rsidR="008B76C8" w:rsidRPr="00030D4D">
        <w:rPr>
          <w:rFonts w:ascii="Arial" w:hAnsi="Arial" w:cs="Arial"/>
        </w:rPr>
        <w:t xml:space="preserve"> voltaram a afetar </w:t>
      </w:r>
      <w:r w:rsidR="00096AC0" w:rsidRPr="00030D4D">
        <w:rPr>
          <w:rFonts w:ascii="Arial" w:hAnsi="Arial" w:cs="Arial"/>
        </w:rPr>
        <w:t>o ambiente</w:t>
      </w:r>
      <w:r w:rsidR="00EB3E8D" w:rsidRPr="00030D4D">
        <w:rPr>
          <w:rFonts w:ascii="Arial" w:hAnsi="Arial" w:cs="Arial"/>
        </w:rPr>
        <w:t xml:space="preserve"> científico, tecnológico e da inovação</w:t>
      </w:r>
      <w:r w:rsidR="00096AC0" w:rsidRPr="00030D4D">
        <w:rPr>
          <w:rFonts w:ascii="Arial" w:hAnsi="Arial" w:cs="Arial"/>
        </w:rPr>
        <w:t xml:space="preserve"> durante seu processo de consolidação.</w:t>
      </w:r>
      <w:r w:rsidR="00936F8B" w:rsidRPr="00030D4D">
        <w:rPr>
          <w:rFonts w:ascii="Arial" w:hAnsi="Arial" w:cs="Arial"/>
        </w:rPr>
        <w:t xml:space="preserve"> </w:t>
      </w:r>
    </w:p>
    <w:p w:rsidR="006403A3" w:rsidRPr="00030D4D" w:rsidRDefault="002163AD" w:rsidP="00F22D5F">
      <w:pPr>
        <w:spacing w:before="0"/>
        <w:rPr>
          <w:rFonts w:ascii="Arial" w:hAnsi="Arial" w:cs="Arial"/>
        </w:rPr>
      </w:pPr>
      <w:r w:rsidRPr="00030D4D">
        <w:rPr>
          <w:rFonts w:ascii="Arial" w:hAnsi="Arial" w:cs="Arial"/>
        </w:rPr>
        <w:t>A presente seção está estruturada em dois itens. No primeiro apresentam-se</w:t>
      </w:r>
      <w:r w:rsidR="00991BF6" w:rsidRPr="00030D4D">
        <w:rPr>
          <w:rFonts w:ascii="Arial" w:hAnsi="Arial" w:cs="Arial"/>
        </w:rPr>
        <w:t xml:space="preserve"> </w:t>
      </w:r>
      <w:r w:rsidRPr="00030D4D">
        <w:rPr>
          <w:rFonts w:ascii="Arial" w:hAnsi="Arial" w:cs="Arial"/>
        </w:rPr>
        <w:t>as</w:t>
      </w:r>
      <w:r w:rsidR="00991BF6" w:rsidRPr="00030D4D">
        <w:rPr>
          <w:rFonts w:ascii="Arial" w:hAnsi="Arial" w:cs="Arial"/>
        </w:rPr>
        <w:t xml:space="preserve"> principais </w:t>
      </w:r>
      <w:r w:rsidR="00866DFB" w:rsidRPr="00030D4D">
        <w:rPr>
          <w:rFonts w:ascii="Arial" w:hAnsi="Arial" w:cs="Arial"/>
        </w:rPr>
        <w:t>fontes de recursos</w:t>
      </w:r>
      <w:r w:rsidR="006403A3" w:rsidRPr="00030D4D">
        <w:rPr>
          <w:rFonts w:ascii="Arial" w:hAnsi="Arial" w:cs="Arial"/>
        </w:rPr>
        <w:t xml:space="preserve"> </w:t>
      </w:r>
      <w:r w:rsidRPr="00030D4D">
        <w:rPr>
          <w:rFonts w:ascii="Arial" w:hAnsi="Arial" w:cs="Arial"/>
        </w:rPr>
        <w:t>utilizadas para o financiamento do SNI. No segundo são destacado</w:t>
      </w:r>
      <w:r w:rsidR="009E4B94" w:rsidRPr="00030D4D">
        <w:rPr>
          <w:rFonts w:ascii="Arial" w:hAnsi="Arial" w:cs="Arial"/>
        </w:rPr>
        <w:t>s</w:t>
      </w:r>
      <w:r w:rsidRPr="00030D4D">
        <w:rPr>
          <w:rFonts w:ascii="Arial" w:hAnsi="Arial" w:cs="Arial"/>
        </w:rPr>
        <w:t xml:space="preserve"> os</w:t>
      </w:r>
      <w:r w:rsidR="00991BF6" w:rsidRPr="00030D4D">
        <w:rPr>
          <w:rFonts w:ascii="Arial" w:hAnsi="Arial" w:cs="Arial"/>
        </w:rPr>
        <w:t xml:space="preserve"> mecanismos de financiamento reembolsáveis, de capital de risco e não-reembolsáveis, bem como os incentivos fiscais para pesquisa, desenvolvimento e inovação (PD&amp;I</w:t>
      </w:r>
      <w:r w:rsidR="00A13CFC" w:rsidRPr="00030D4D">
        <w:rPr>
          <w:rFonts w:ascii="Arial" w:hAnsi="Arial" w:cs="Arial"/>
        </w:rPr>
        <w:t>)</w:t>
      </w:r>
      <w:r w:rsidRPr="00030D4D">
        <w:rPr>
          <w:rFonts w:ascii="Arial" w:hAnsi="Arial" w:cs="Arial"/>
        </w:rPr>
        <w:t>, procurando dar indicações das especificidades de cada um no tocante ao apoio às diferentes fa</w:t>
      </w:r>
      <w:r w:rsidR="00630DCB" w:rsidRPr="00030D4D">
        <w:rPr>
          <w:rFonts w:ascii="Arial" w:hAnsi="Arial" w:cs="Arial"/>
        </w:rPr>
        <w:t>ses</w:t>
      </w:r>
      <w:r w:rsidRPr="00030D4D">
        <w:rPr>
          <w:rFonts w:ascii="Arial" w:hAnsi="Arial" w:cs="Arial"/>
        </w:rPr>
        <w:t xml:space="preserve"> do processo </w:t>
      </w:r>
      <w:r w:rsidR="00087B15" w:rsidRPr="00030D4D">
        <w:rPr>
          <w:rFonts w:ascii="Arial" w:hAnsi="Arial" w:cs="Arial"/>
        </w:rPr>
        <w:t>envolvendo conhecimentos</w:t>
      </w:r>
      <w:r w:rsidR="00CC3EDA" w:rsidRPr="00030D4D">
        <w:rPr>
          <w:rFonts w:ascii="Arial" w:hAnsi="Arial" w:cs="Arial"/>
        </w:rPr>
        <w:t>, tecnologias</w:t>
      </w:r>
      <w:r w:rsidR="00087B15" w:rsidRPr="00030D4D">
        <w:rPr>
          <w:rFonts w:ascii="Arial" w:hAnsi="Arial" w:cs="Arial"/>
        </w:rPr>
        <w:t xml:space="preserve"> e inovações</w:t>
      </w:r>
      <w:r w:rsidR="006403A3" w:rsidRPr="00030D4D">
        <w:rPr>
          <w:rFonts w:ascii="Arial" w:hAnsi="Arial" w:cs="Arial"/>
        </w:rPr>
        <w:t xml:space="preserve">. </w:t>
      </w:r>
    </w:p>
    <w:p w:rsidR="00991BF6" w:rsidRPr="00030D4D" w:rsidRDefault="00991BF6" w:rsidP="00991BF6">
      <w:pPr>
        <w:spacing w:before="0"/>
        <w:ind w:left="360"/>
        <w:rPr>
          <w:rFonts w:ascii="Arial" w:hAnsi="Arial" w:cs="Arial"/>
          <w:b/>
        </w:rPr>
      </w:pPr>
    </w:p>
    <w:p w:rsidR="00E532B8" w:rsidRPr="00030D4D" w:rsidRDefault="00E532B8" w:rsidP="003B6205">
      <w:pPr>
        <w:pStyle w:val="Heading2"/>
        <w:numPr>
          <w:ilvl w:val="1"/>
          <w:numId w:val="19"/>
        </w:numPr>
        <w:rPr>
          <w:rFonts w:ascii="Arial" w:hAnsi="Arial" w:cs="Arial"/>
        </w:rPr>
      </w:pPr>
      <w:bookmarkStart w:id="3" w:name="_Toc482828481"/>
      <w:r w:rsidRPr="00030D4D">
        <w:rPr>
          <w:rFonts w:ascii="Arial" w:hAnsi="Arial" w:cs="Arial"/>
        </w:rPr>
        <w:t>Fontes de Recursos para a Inovação</w:t>
      </w:r>
      <w:bookmarkEnd w:id="3"/>
    </w:p>
    <w:p w:rsidR="002C3EF4" w:rsidRPr="00030D4D" w:rsidRDefault="00766FF5" w:rsidP="00FF597D">
      <w:pPr>
        <w:spacing w:before="0"/>
        <w:rPr>
          <w:rFonts w:ascii="Arial" w:hAnsi="Arial" w:cs="Arial"/>
        </w:rPr>
      </w:pPr>
      <w:r w:rsidRPr="00030D4D">
        <w:rPr>
          <w:rFonts w:ascii="Arial" w:hAnsi="Arial" w:cs="Arial"/>
        </w:rPr>
        <w:t>Os recursos para promover ações e projetos de natureza científica e tecnológica</w:t>
      </w:r>
      <w:r w:rsidR="00CF7A91" w:rsidRPr="00030D4D">
        <w:rPr>
          <w:rFonts w:ascii="Arial" w:hAnsi="Arial" w:cs="Arial"/>
        </w:rPr>
        <w:t>,</w:t>
      </w:r>
      <w:r w:rsidRPr="00030D4D">
        <w:rPr>
          <w:rFonts w:ascii="Arial" w:hAnsi="Arial" w:cs="Arial"/>
        </w:rPr>
        <w:t xml:space="preserve"> assim como investimentos em inovação empresarial </w:t>
      </w:r>
      <w:r w:rsidR="008C4B11" w:rsidRPr="00030D4D">
        <w:rPr>
          <w:rFonts w:ascii="Arial" w:hAnsi="Arial" w:cs="Arial"/>
        </w:rPr>
        <w:t xml:space="preserve">no Brasil têm sido, nos últimos vinte anos, </w:t>
      </w:r>
      <w:r w:rsidRPr="00030D4D">
        <w:rPr>
          <w:rFonts w:ascii="Arial" w:hAnsi="Arial" w:cs="Arial"/>
        </w:rPr>
        <w:t xml:space="preserve">provenientes </w:t>
      </w:r>
      <w:r w:rsidR="008C4B11" w:rsidRPr="00030D4D">
        <w:rPr>
          <w:rFonts w:ascii="Arial" w:hAnsi="Arial" w:cs="Arial"/>
        </w:rPr>
        <w:t xml:space="preserve">basicamente </w:t>
      </w:r>
      <w:r w:rsidRPr="00030D4D">
        <w:rPr>
          <w:rFonts w:ascii="Arial" w:hAnsi="Arial" w:cs="Arial"/>
        </w:rPr>
        <w:t>de duas</w:t>
      </w:r>
      <w:r w:rsidR="008C4B11" w:rsidRPr="00030D4D">
        <w:rPr>
          <w:rFonts w:ascii="Arial" w:hAnsi="Arial" w:cs="Arial"/>
        </w:rPr>
        <w:t xml:space="preserve"> fontes públicas principais: o T</w:t>
      </w:r>
      <w:r w:rsidRPr="00030D4D">
        <w:rPr>
          <w:rFonts w:ascii="Arial" w:hAnsi="Arial" w:cs="Arial"/>
        </w:rPr>
        <w:t xml:space="preserve">esouro e </w:t>
      </w:r>
      <w:r w:rsidR="008C4B11" w:rsidRPr="00030D4D">
        <w:rPr>
          <w:rFonts w:ascii="Arial" w:hAnsi="Arial" w:cs="Arial"/>
        </w:rPr>
        <w:t xml:space="preserve">o </w:t>
      </w:r>
      <w:r w:rsidR="00074E50" w:rsidRPr="00030D4D">
        <w:rPr>
          <w:rFonts w:ascii="Arial" w:hAnsi="Arial" w:cs="Arial"/>
        </w:rPr>
        <w:t>Fundo Nacional de Desenvolvimento Científico e Tecnológico (</w:t>
      </w:r>
      <w:r w:rsidRPr="00030D4D">
        <w:rPr>
          <w:rFonts w:ascii="Arial" w:hAnsi="Arial" w:cs="Arial"/>
        </w:rPr>
        <w:t>FNDCT</w:t>
      </w:r>
      <w:r w:rsidR="00074E50" w:rsidRPr="00030D4D">
        <w:rPr>
          <w:rFonts w:ascii="Arial" w:hAnsi="Arial" w:cs="Arial"/>
        </w:rPr>
        <w:t>)</w:t>
      </w:r>
      <w:r w:rsidRPr="00030D4D">
        <w:rPr>
          <w:rFonts w:ascii="Arial" w:hAnsi="Arial" w:cs="Arial"/>
        </w:rPr>
        <w:t xml:space="preserve">. </w:t>
      </w:r>
      <w:r w:rsidR="00074E50" w:rsidRPr="00030D4D">
        <w:rPr>
          <w:rFonts w:ascii="Arial" w:hAnsi="Arial" w:cs="Arial"/>
        </w:rPr>
        <w:t xml:space="preserve">A </w:t>
      </w:r>
      <w:r w:rsidR="007B5704" w:rsidRPr="00030D4D">
        <w:rPr>
          <w:rFonts w:ascii="Arial" w:hAnsi="Arial" w:cs="Arial"/>
        </w:rPr>
        <w:t>ess</w:t>
      </w:r>
      <w:r w:rsidR="002C6D83" w:rsidRPr="00030D4D">
        <w:rPr>
          <w:rFonts w:ascii="Arial" w:hAnsi="Arial" w:cs="Arial"/>
        </w:rPr>
        <w:t>as duas fontes</w:t>
      </w:r>
      <w:r w:rsidR="00277FAC" w:rsidRPr="00030D4D">
        <w:rPr>
          <w:rFonts w:ascii="Arial" w:hAnsi="Arial" w:cs="Arial"/>
        </w:rPr>
        <w:t xml:space="preserve"> somam</w:t>
      </w:r>
      <w:r w:rsidRPr="00030D4D">
        <w:rPr>
          <w:rFonts w:ascii="Arial" w:hAnsi="Arial" w:cs="Arial"/>
        </w:rPr>
        <w:t>-se</w:t>
      </w:r>
      <w:r w:rsidR="00444EE2" w:rsidRPr="00030D4D">
        <w:rPr>
          <w:rFonts w:ascii="Arial" w:hAnsi="Arial" w:cs="Arial"/>
        </w:rPr>
        <w:t xml:space="preserve"> os recursos do Fundo de Telecomunicações (Funttel)</w:t>
      </w:r>
      <w:r w:rsidR="004C51A8" w:rsidRPr="00030D4D">
        <w:rPr>
          <w:rStyle w:val="FootnoteReference"/>
          <w:rFonts w:ascii="Arial" w:hAnsi="Arial" w:cs="Arial"/>
        </w:rPr>
        <w:footnoteReference w:id="5"/>
      </w:r>
      <w:r w:rsidR="00444EE2" w:rsidRPr="00030D4D">
        <w:rPr>
          <w:rFonts w:ascii="Arial" w:hAnsi="Arial" w:cs="Arial"/>
        </w:rPr>
        <w:t xml:space="preserve">, </w:t>
      </w:r>
      <w:r w:rsidR="00CB5B1A" w:rsidRPr="00030D4D">
        <w:rPr>
          <w:rFonts w:ascii="Arial" w:hAnsi="Arial" w:cs="Arial"/>
        </w:rPr>
        <w:t>um certo</w:t>
      </w:r>
      <w:r w:rsidR="00277FAC" w:rsidRPr="00030D4D">
        <w:rPr>
          <w:rFonts w:ascii="Arial" w:hAnsi="Arial" w:cs="Arial"/>
        </w:rPr>
        <w:t xml:space="preserve"> percentual</w:t>
      </w:r>
      <w:r w:rsidR="00563F4D" w:rsidRPr="00030D4D">
        <w:rPr>
          <w:rFonts w:ascii="Arial" w:hAnsi="Arial" w:cs="Arial"/>
        </w:rPr>
        <w:t xml:space="preserve"> d</w:t>
      </w:r>
      <w:r w:rsidR="001319A1" w:rsidRPr="00030D4D">
        <w:rPr>
          <w:rFonts w:ascii="Arial" w:hAnsi="Arial" w:cs="Arial"/>
        </w:rPr>
        <w:t>o</w:t>
      </w:r>
      <w:r w:rsidRPr="00030D4D">
        <w:rPr>
          <w:rFonts w:ascii="Arial" w:hAnsi="Arial" w:cs="Arial"/>
        </w:rPr>
        <w:t xml:space="preserve"> Fundo de Amparo ao Trabalhador</w:t>
      </w:r>
      <w:r w:rsidR="00FF597D" w:rsidRPr="00030D4D">
        <w:rPr>
          <w:rFonts w:ascii="Arial" w:hAnsi="Arial" w:cs="Arial"/>
        </w:rPr>
        <w:t xml:space="preserve"> (FAT)</w:t>
      </w:r>
      <w:r w:rsidR="00563F4D" w:rsidRPr="00030D4D">
        <w:rPr>
          <w:rStyle w:val="FootnoteReference"/>
          <w:rFonts w:ascii="Arial" w:hAnsi="Arial" w:cs="Arial"/>
        </w:rPr>
        <w:footnoteReference w:id="6"/>
      </w:r>
      <w:r w:rsidR="00277FAC" w:rsidRPr="00030D4D">
        <w:rPr>
          <w:rFonts w:ascii="Arial" w:hAnsi="Arial" w:cs="Arial"/>
        </w:rPr>
        <w:t xml:space="preserve">, </w:t>
      </w:r>
      <w:r w:rsidR="007B5704" w:rsidRPr="00030D4D">
        <w:rPr>
          <w:rFonts w:ascii="Arial" w:hAnsi="Arial" w:cs="Arial"/>
        </w:rPr>
        <w:t xml:space="preserve">que </w:t>
      </w:r>
      <w:r w:rsidR="00563F4D" w:rsidRPr="00030D4D">
        <w:rPr>
          <w:rFonts w:ascii="Arial" w:hAnsi="Arial" w:cs="Arial"/>
        </w:rPr>
        <w:t>está sob a responsabilidade do</w:t>
      </w:r>
      <w:r w:rsidR="001319A1" w:rsidRPr="00030D4D">
        <w:rPr>
          <w:rFonts w:ascii="Arial" w:hAnsi="Arial" w:cs="Arial"/>
        </w:rPr>
        <w:t xml:space="preserve"> BNDES </w:t>
      </w:r>
      <w:r w:rsidR="00277FAC" w:rsidRPr="00030D4D">
        <w:rPr>
          <w:rFonts w:ascii="Arial" w:hAnsi="Arial" w:cs="Arial"/>
        </w:rPr>
        <w:t>com o propósito de</w:t>
      </w:r>
      <w:r w:rsidR="001319A1" w:rsidRPr="00030D4D">
        <w:rPr>
          <w:rFonts w:ascii="Arial" w:hAnsi="Arial" w:cs="Arial"/>
        </w:rPr>
        <w:t xml:space="preserve"> financiar programas de desenvolvimento econômico</w:t>
      </w:r>
      <w:r w:rsidR="002C3EF4" w:rsidRPr="00030D4D">
        <w:rPr>
          <w:rFonts w:ascii="Arial" w:hAnsi="Arial" w:cs="Arial"/>
        </w:rPr>
        <w:t xml:space="preserve">. </w:t>
      </w:r>
    </w:p>
    <w:p w:rsidR="00FF597D" w:rsidRPr="00030D4D" w:rsidRDefault="002C3EF4" w:rsidP="00FF597D">
      <w:pPr>
        <w:spacing w:before="0"/>
        <w:rPr>
          <w:rFonts w:ascii="Arial" w:hAnsi="Arial" w:cs="Arial"/>
          <w:szCs w:val="24"/>
        </w:rPr>
      </w:pPr>
      <w:r w:rsidRPr="00030D4D">
        <w:rPr>
          <w:rFonts w:ascii="Arial" w:hAnsi="Arial" w:cs="Arial"/>
        </w:rPr>
        <w:t xml:space="preserve">O BNDES, por sua vez, faz empréstimos dos recursos do FAT à Finep para que essa agência complemente sua base de </w:t>
      </w:r>
      <w:r w:rsidRPr="00030D4D">
        <w:rPr>
          <w:rFonts w:ascii="Arial" w:hAnsi="Arial" w:cs="Arial"/>
          <w:i/>
        </w:rPr>
        <w:t>funding</w:t>
      </w:r>
      <w:r w:rsidRPr="00030D4D">
        <w:rPr>
          <w:rFonts w:ascii="Arial" w:hAnsi="Arial" w:cs="Arial"/>
        </w:rPr>
        <w:t xml:space="preserve"> para o financiamento reembolsável às empresas. E nas duas agências federais – BNDES e Finep – </w:t>
      </w:r>
      <w:r w:rsidR="00CF7A91" w:rsidRPr="00030D4D">
        <w:rPr>
          <w:rFonts w:ascii="Arial" w:hAnsi="Arial" w:cs="Arial"/>
        </w:rPr>
        <w:t>agrega-se também o montante</w:t>
      </w:r>
      <w:r w:rsidRPr="00030D4D">
        <w:rPr>
          <w:rFonts w:ascii="Arial" w:hAnsi="Arial" w:cs="Arial"/>
        </w:rPr>
        <w:t xml:space="preserve"> que resulta d</w:t>
      </w:r>
      <w:r w:rsidRPr="00030D4D">
        <w:rPr>
          <w:rFonts w:ascii="Arial" w:hAnsi="Arial" w:cs="Arial"/>
          <w:szCs w:val="24"/>
        </w:rPr>
        <w:t>o giro das respectivas carteiras de crédito</w:t>
      </w:r>
      <w:r w:rsidRPr="00030D4D">
        <w:rPr>
          <w:rFonts w:ascii="Arial" w:hAnsi="Arial" w:cs="Arial"/>
        </w:rPr>
        <w:t xml:space="preserve"> e, </w:t>
      </w:r>
      <w:r w:rsidRPr="00030D4D">
        <w:rPr>
          <w:rFonts w:ascii="Arial" w:hAnsi="Arial" w:cs="Arial"/>
          <w:szCs w:val="24"/>
        </w:rPr>
        <w:t xml:space="preserve">quando necessário, </w:t>
      </w:r>
      <w:r w:rsidR="00CF7A91" w:rsidRPr="00030D4D">
        <w:rPr>
          <w:rFonts w:ascii="Arial" w:hAnsi="Arial" w:cs="Arial"/>
          <w:szCs w:val="24"/>
        </w:rPr>
        <w:t>faz-se</w:t>
      </w:r>
      <w:r w:rsidRPr="00030D4D">
        <w:rPr>
          <w:rFonts w:ascii="Arial" w:hAnsi="Arial" w:cs="Arial"/>
          <w:szCs w:val="24"/>
        </w:rPr>
        <w:t xml:space="preserve"> captaç</w:t>
      </w:r>
      <w:r w:rsidR="007B3C6C" w:rsidRPr="00030D4D">
        <w:rPr>
          <w:rFonts w:ascii="Arial" w:hAnsi="Arial" w:cs="Arial"/>
          <w:szCs w:val="24"/>
        </w:rPr>
        <w:t>ões de recursos adiciona</w:t>
      </w:r>
      <w:r w:rsidR="00CF7A91" w:rsidRPr="00030D4D">
        <w:rPr>
          <w:rFonts w:ascii="Arial" w:hAnsi="Arial" w:cs="Arial"/>
          <w:szCs w:val="24"/>
        </w:rPr>
        <w:t>is</w:t>
      </w:r>
      <w:r w:rsidRPr="00030D4D">
        <w:rPr>
          <w:rFonts w:ascii="Arial" w:hAnsi="Arial" w:cs="Arial"/>
          <w:szCs w:val="24"/>
        </w:rPr>
        <w:t xml:space="preserve"> no mercado.</w:t>
      </w:r>
    </w:p>
    <w:p w:rsidR="00583BF4" w:rsidRPr="00030D4D" w:rsidRDefault="00583BF4" w:rsidP="00583BF4">
      <w:pPr>
        <w:spacing w:before="0"/>
        <w:rPr>
          <w:rFonts w:ascii="Arial" w:hAnsi="Arial" w:cs="Arial"/>
          <w:szCs w:val="24"/>
        </w:rPr>
      </w:pPr>
      <w:r w:rsidRPr="00030D4D">
        <w:rPr>
          <w:rFonts w:ascii="Arial" w:hAnsi="Arial" w:cs="Arial"/>
        </w:rPr>
        <w:t>A Finep e o BNDES, instituições vinculadas respectivamente ao Ministério de Ciência, Tecnologia e Inovação (MCTI) e ao Ministério do Desenvolvimento, Indústria e Comércio Exterior (MDIC), são as instituições responsáveis pela canalização dos recursos públicos federais à PD&amp;I, por meio de diversos instrumentos. Uma terceira instituição que participa deste processo financiando as bolsas de capacitação tecnológica é o CNPq. Nas esferas estaduais e regionais é possível destacar o apoio dos Bancos de Desenvolvimento, Bancos Estaduais, Agências de Fomento e Fundações de Amparo à Pesquisa. Essas instituições atuam em parceria com o BNDES e a Finep nas chamadas</w:t>
      </w:r>
      <w:r w:rsidRPr="00030D4D">
        <w:rPr>
          <w:rFonts w:ascii="Arial" w:hAnsi="Arial" w:cs="Arial"/>
          <w:szCs w:val="24"/>
        </w:rPr>
        <w:t xml:space="preserve"> operações descentralizadas</w:t>
      </w:r>
      <w:r w:rsidRPr="00030D4D">
        <w:rPr>
          <w:rStyle w:val="FootnoteReference"/>
          <w:rFonts w:ascii="Arial" w:hAnsi="Arial" w:cs="Arial"/>
          <w:szCs w:val="24"/>
        </w:rPr>
        <w:footnoteReference w:id="7"/>
      </w:r>
      <w:r w:rsidRPr="00030D4D">
        <w:rPr>
          <w:rFonts w:ascii="Arial" w:hAnsi="Arial" w:cs="Arial"/>
          <w:szCs w:val="24"/>
        </w:rPr>
        <w:t xml:space="preserve">. </w:t>
      </w:r>
    </w:p>
    <w:p w:rsidR="00583BF4" w:rsidRPr="00030D4D" w:rsidRDefault="00583BF4" w:rsidP="00583BF4">
      <w:pPr>
        <w:spacing w:before="0"/>
        <w:rPr>
          <w:rFonts w:ascii="Arial" w:hAnsi="Arial" w:cs="Arial"/>
          <w:szCs w:val="24"/>
        </w:rPr>
      </w:pPr>
      <w:r w:rsidRPr="00030D4D">
        <w:rPr>
          <w:rFonts w:ascii="Arial" w:hAnsi="Arial" w:cs="Arial"/>
        </w:rPr>
        <w:t>O Quadro 1, a seguir, retrata, de forma sintética, a estrutura pública de financiamento à CT&amp;I</w:t>
      </w:r>
      <w:r w:rsidRPr="00030D4D">
        <w:rPr>
          <w:rStyle w:val="FootnoteReference"/>
          <w:rFonts w:ascii="Arial" w:hAnsi="Arial" w:cs="Arial"/>
        </w:rPr>
        <w:footnoteReference w:id="8"/>
      </w:r>
      <w:r w:rsidRPr="00030D4D">
        <w:rPr>
          <w:rFonts w:ascii="Arial" w:hAnsi="Arial" w:cs="Arial"/>
        </w:rPr>
        <w:t xml:space="preserve">.  </w:t>
      </w:r>
    </w:p>
    <w:p w:rsidR="00583BF4" w:rsidRPr="00030D4D" w:rsidRDefault="00583BF4" w:rsidP="00583BF4">
      <w:pPr>
        <w:spacing w:before="0" w:after="160" w:line="259" w:lineRule="auto"/>
        <w:jc w:val="left"/>
        <w:rPr>
          <w:rFonts w:ascii="Arial" w:hAnsi="Arial" w:cs="Arial"/>
          <w:b/>
          <w:iCs/>
          <w:sz w:val="20"/>
          <w:szCs w:val="20"/>
        </w:rPr>
      </w:pPr>
      <w:bookmarkStart w:id="4" w:name="_Toc455137113"/>
      <w:r w:rsidRPr="00030D4D">
        <w:rPr>
          <w:rFonts w:ascii="Arial" w:hAnsi="Arial" w:cs="Arial"/>
          <w:sz w:val="20"/>
          <w:szCs w:val="20"/>
        </w:rPr>
        <w:br w:type="page"/>
      </w:r>
    </w:p>
    <w:p w:rsidR="00583BF4" w:rsidRPr="00030D4D" w:rsidRDefault="00583BF4" w:rsidP="00583BF4">
      <w:pPr>
        <w:pStyle w:val="Caption"/>
        <w:rPr>
          <w:rFonts w:ascii="Arial" w:hAnsi="Arial" w:cs="Arial"/>
          <w:sz w:val="24"/>
          <w:szCs w:val="24"/>
        </w:rPr>
      </w:pPr>
      <w:bookmarkStart w:id="5" w:name="_Toc482828522"/>
      <w:r w:rsidRPr="00030D4D">
        <w:rPr>
          <w:rFonts w:ascii="Arial" w:hAnsi="Arial" w:cs="Arial"/>
          <w:sz w:val="24"/>
          <w:szCs w:val="24"/>
        </w:rPr>
        <w:t xml:space="preserve">Quadro </w:t>
      </w:r>
      <w:r w:rsidRPr="00030D4D">
        <w:rPr>
          <w:rFonts w:ascii="Arial" w:hAnsi="Arial" w:cs="Arial"/>
          <w:sz w:val="24"/>
          <w:szCs w:val="24"/>
        </w:rPr>
        <w:fldChar w:fldCharType="begin"/>
      </w:r>
      <w:r w:rsidRPr="00030D4D">
        <w:rPr>
          <w:rFonts w:ascii="Arial" w:hAnsi="Arial" w:cs="Arial"/>
          <w:sz w:val="24"/>
          <w:szCs w:val="24"/>
        </w:rPr>
        <w:instrText xml:space="preserve"> SEQ Quadro \* ARABIC </w:instrText>
      </w:r>
      <w:r w:rsidRPr="00030D4D">
        <w:rPr>
          <w:rFonts w:ascii="Arial" w:hAnsi="Arial" w:cs="Arial"/>
          <w:sz w:val="24"/>
          <w:szCs w:val="24"/>
        </w:rPr>
        <w:fldChar w:fldCharType="separate"/>
      </w:r>
      <w:r w:rsidR="00BE5DE3" w:rsidRPr="00030D4D">
        <w:rPr>
          <w:rFonts w:ascii="Arial" w:hAnsi="Arial" w:cs="Arial"/>
          <w:noProof/>
          <w:sz w:val="24"/>
          <w:szCs w:val="24"/>
        </w:rPr>
        <w:t>1</w:t>
      </w:r>
      <w:r w:rsidRPr="00030D4D">
        <w:rPr>
          <w:rFonts w:ascii="Arial" w:hAnsi="Arial" w:cs="Arial"/>
          <w:sz w:val="24"/>
          <w:szCs w:val="24"/>
        </w:rPr>
        <w:fldChar w:fldCharType="end"/>
      </w:r>
      <w:r w:rsidRPr="00030D4D">
        <w:rPr>
          <w:rFonts w:ascii="Arial" w:hAnsi="Arial" w:cs="Arial"/>
          <w:sz w:val="24"/>
          <w:szCs w:val="24"/>
        </w:rPr>
        <w:t>. A estrutura pública de financiamento à ciência, tecnologia e inovação</w:t>
      </w:r>
      <w:bookmarkEnd w:id="4"/>
      <w:bookmarkEnd w:id="5"/>
    </w:p>
    <w:tbl>
      <w:tblPr>
        <w:tblStyle w:val="GridTable4-Accent6"/>
        <w:tblW w:w="8642" w:type="dxa"/>
        <w:tblLook w:val="0420" w:firstRow="1" w:lastRow="0" w:firstColumn="0" w:lastColumn="0" w:noHBand="0" w:noVBand="1"/>
      </w:tblPr>
      <w:tblGrid>
        <w:gridCol w:w="2547"/>
        <w:gridCol w:w="2551"/>
        <w:gridCol w:w="3544"/>
      </w:tblGrid>
      <w:tr w:rsidR="00583BF4" w:rsidRPr="00030D4D" w:rsidTr="00F31684">
        <w:trPr>
          <w:cnfStyle w:val="100000000000" w:firstRow="1" w:lastRow="0" w:firstColumn="0" w:lastColumn="0" w:oddVBand="0" w:evenVBand="0" w:oddHBand="0" w:evenHBand="0" w:firstRowFirstColumn="0" w:firstRowLastColumn="0" w:lastRowFirstColumn="0" w:lastRowLastColumn="0"/>
          <w:trHeight w:val="532"/>
        </w:trPr>
        <w:tc>
          <w:tcPr>
            <w:tcW w:w="2547" w:type="dxa"/>
            <w:hideMark/>
          </w:tcPr>
          <w:p w:rsidR="00583BF4" w:rsidRPr="00030D4D" w:rsidRDefault="00583BF4" w:rsidP="00F31684">
            <w:pPr>
              <w:spacing w:before="0" w:after="0" w:line="240" w:lineRule="auto"/>
              <w:jc w:val="center"/>
              <w:rPr>
                <w:rFonts w:ascii="Arial" w:hAnsi="Arial" w:cs="Arial"/>
                <w:sz w:val="18"/>
                <w:szCs w:val="18"/>
              </w:rPr>
            </w:pPr>
            <w:r w:rsidRPr="00030D4D">
              <w:rPr>
                <w:rFonts w:ascii="Arial" w:hAnsi="Arial" w:cs="Arial"/>
                <w:sz w:val="18"/>
                <w:szCs w:val="18"/>
              </w:rPr>
              <w:t>Instituição</w:t>
            </w:r>
          </w:p>
        </w:tc>
        <w:tc>
          <w:tcPr>
            <w:tcW w:w="2551" w:type="dxa"/>
            <w:hideMark/>
          </w:tcPr>
          <w:p w:rsidR="00583BF4" w:rsidRPr="00030D4D" w:rsidRDefault="00583BF4" w:rsidP="00F31684">
            <w:pPr>
              <w:spacing w:before="0" w:after="0" w:line="240" w:lineRule="auto"/>
              <w:jc w:val="center"/>
              <w:rPr>
                <w:rFonts w:ascii="Arial" w:hAnsi="Arial" w:cs="Arial"/>
                <w:sz w:val="18"/>
                <w:szCs w:val="18"/>
              </w:rPr>
            </w:pPr>
            <w:r w:rsidRPr="00030D4D">
              <w:rPr>
                <w:rFonts w:ascii="Arial" w:hAnsi="Arial" w:cs="Arial"/>
                <w:sz w:val="18"/>
                <w:szCs w:val="18"/>
              </w:rPr>
              <w:t>Natureza Jurídica</w:t>
            </w:r>
          </w:p>
        </w:tc>
        <w:tc>
          <w:tcPr>
            <w:tcW w:w="3544" w:type="dxa"/>
            <w:hideMark/>
          </w:tcPr>
          <w:p w:rsidR="00583BF4" w:rsidRPr="00030D4D" w:rsidRDefault="00583BF4" w:rsidP="00F31684">
            <w:pPr>
              <w:spacing w:before="0" w:after="0" w:line="240" w:lineRule="auto"/>
              <w:jc w:val="center"/>
              <w:rPr>
                <w:rFonts w:ascii="Arial" w:hAnsi="Arial" w:cs="Arial"/>
                <w:sz w:val="18"/>
                <w:szCs w:val="18"/>
              </w:rPr>
            </w:pPr>
            <w:r w:rsidRPr="00030D4D">
              <w:rPr>
                <w:rFonts w:ascii="Arial" w:hAnsi="Arial" w:cs="Arial"/>
                <w:sz w:val="18"/>
                <w:szCs w:val="18"/>
              </w:rPr>
              <w:t>Principais Fontes de Recursos</w:t>
            </w:r>
            <w:r w:rsidR="004453CA" w:rsidRPr="00030D4D">
              <w:rPr>
                <w:rFonts w:ascii="Arial" w:hAnsi="Arial" w:cs="Arial"/>
                <w:sz w:val="18"/>
                <w:szCs w:val="18"/>
              </w:rPr>
              <w:t xml:space="preserve"> (Captação e Receita)</w:t>
            </w:r>
          </w:p>
        </w:tc>
      </w:tr>
      <w:tr w:rsidR="00583BF4" w:rsidRPr="00030D4D" w:rsidTr="00F31684">
        <w:trPr>
          <w:cnfStyle w:val="000000100000" w:firstRow="0" w:lastRow="0" w:firstColumn="0" w:lastColumn="0" w:oddVBand="0" w:evenVBand="0" w:oddHBand="1" w:evenHBand="0" w:firstRowFirstColumn="0" w:firstRowLastColumn="0" w:lastRowFirstColumn="0" w:lastRowLastColumn="0"/>
          <w:trHeight w:val="751"/>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Conselho Nacional de Desenvolvimento Científico e Tecnológico (CNPq)</w:t>
            </w:r>
          </w:p>
        </w:tc>
        <w:tc>
          <w:tcPr>
            <w:tcW w:w="2551"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Fundação pública, vinculada ao MCTI</w:t>
            </w:r>
          </w:p>
        </w:tc>
        <w:tc>
          <w:tcPr>
            <w:tcW w:w="3544"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Recursos do Tesouro; Repasses do MCTI e de Ministérios; Fundos Setoriais</w:t>
            </w:r>
          </w:p>
        </w:tc>
      </w:tr>
      <w:tr w:rsidR="00583BF4" w:rsidRPr="00030D4D" w:rsidTr="00F31684">
        <w:trPr>
          <w:trHeight w:val="708"/>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Coordenação de Aperfeiçoamento de Pessoal de Nível Superior (CAPES)</w:t>
            </w:r>
          </w:p>
        </w:tc>
        <w:tc>
          <w:tcPr>
            <w:tcW w:w="2551"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Criada em 1951. É fundação pública, desde 1992, vinculada ao MEC</w:t>
            </w:r>
          </w:p>
        </w:tc>
        <w:tc>
          <w:tcPr>
            <w:tcW w:w="3544"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Recursos do Tesouro e repasses do MEC</w:t>
            </w:r>
          </w:p>
        </w:tc>
      </w:tr>
      <w:tr w:rsidR="00583BF4" w:rsidRPr="00030D4D" w:rsidTr="00F31684">
        <w:trPr>
          <w:cnfStyle w:val="000000100000" w:firstRow="0" w:lastRow="0" w:firstColumn="0" w:lastColumn="0" w:oddVBand="0" w:evenVBand="0" w:oddHBand="1" w:evenHBand="0" w:firstRowFirstColumn="0" w:firstRowLastColumn="0" w:lastRowFirstColumn="0" w:lastRowLastColumn="0"/>
          <w:trHeight w:val="773"/>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Financiadora de Estudos e Projetos (FINEP)</w:t>
            </w:r>
          </w:p>
        </w:tc>
        <w:tc>
          <w:tcPr>
            <w:tcW w:w="2551"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Empresa pública vinculada ao MCTI</w:t>
            </w:r>
          </w:p>
        </w:tc>
        <w:tc>
          <w:tcPr>
            <w:tcW w:w="3544" w:type="dxa"/>
            <w:hideMark/>
          </w:tcPr>
          <w:p w:rsidR="00583BF4" w:rsidRPr="00030D4D" w:rsidRDefault="00583BF4" w:rsidP="00BD3F21">
            <w:pPr>
              <w:spacing w:before="0" w:after="0" w:line="240" w:lineRule="auto"/>
              <w:rPr>
                <w:rFonts w:ascii="Arial" w:hAnsi="Arial" w:cs="Arial"/>
                <w:sz w:val="18"/>
                <w:szCs w:val="18"/>
              </w:rPr>
            </w:pPr>
            <w:r w:rsidRPr="00030D4D">
              <w:rPr>
                <w:rFonts w:ascii="Arial" w:hAnsi="Arial" w:cs="Arial"/>
                <w:sz w:val="18"/>
                <w:szCs w:val="18"/>
              </w:rPr>
              <w:t>FNDCT; Recursos do Tesouro, Recursos Próprios</w:t>
            </w:r>
            <w:r w:rsidR="00BD3F21" w:rsidRPr="00030D4D">
              <w:rPr>
                <w:rFonts w:ascii="Arial" w:hAnsi="Arial" w:cs="Arial"/>
                <w:sz w:val="18"/>
                <w:szCs w:val="18"/>
              </w:rPr>
              <w:t xml:space="preserve"> (rendas Operacionais, aplicações</w:t>
            </w:r>
            <w:r w:rsidRPr="00030D4D">
              <w:rPr>
                <w:rFonts w:ascii="Arial" w:hAnsi="Arial" w:cs="Arial"/>
                <w:sz w:val="18"/>
                <w:szCs w:val="18"/>
              </w:rPr>
              <w:t>,</w:t>
            </w:r>
            <w:r w:rsidR="00BD3F21" w:rsidRPr="00030D4D">
              <w:rPr>
                <w:rFonts w:ascii="Arial" w:hAnsi="Arial" w:cs="Arial"/>
                <w:sz w:val="18"/>
                <w:szCs w:val="18"/>
              </w:rPr>
              <w:t xml:space="preserve"> etc), c</w:t>
            </w:r>
            <w:r w:rsidRPr="00030D4D">
              <w:rPr>
                <w:rFonts w:ascii="Arial" w:hAnsi="Arial" w:cs="Arial"/>
                <w:sz w:val="18"/>
                <w:szCs w:val="18"/>
              </w:rPr>
              <w:t>rédito e empréstimos de outros órgãos (Funttel, FAT e outros)</w:t>
            </w:r>
          </w:p>
        </w:tc>
      </w:tr>
      <w:tr w:rsidR="00583BF4" w:rsidRPr="00030D4D" w:rsidTr="00F31684">
        <w:trPr>
          <w:trHeight w:val="304"/>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Ministérios</w:t>
            </w:r>
          </w:p>
        </w:tc>
        <w:tc>
          <w:tcPr>
            <w:tcW w:w="2551" w:type="dxa"/>
            <w:hideMark/>
          </w:tcPr>
          <w:p w:rsidR="00583BF4" w:rsidRPr="00030D4D" w:rsidRDefault="00583BF4" w:rsidP="00F31684">
            <w:pPr>
              <w:spacing w:before="0" w:after="0" w:line="240" w:lineRule="auto"/>
              <w:rPr>
                <w:rFonts w:ascii="Arial" w:hAnsi="Arial" w:cs="Arial"/>
                <w:sz w:val="18"/>
                <w:szCs w:val="18"/>
              </w:rPr>
            </w:pPr>
          </w:p>
        </w:tc>
        <w:tc>
          <w:tcPr>
            <w:tcW w:w="3544"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Recursos do Tesouro</w:t>
            </w:r>
          </w:p>
        </w:tc>
      </w:tr>
      <w:tr w:rsidR="00583BF4" w:rsidRPr="00030D4D" w:rsidTr="00F31684">
        <w:trPr>
          <w:cnfStyle w:val="000000100000" w:firstRow="0" w:lastRow="0" w:firstColumn="0" w:lastColumn="0" w:oddVBand="0" w:evenVBand="0" w:oddHBand="1" w:evenHBand="0" w:firstRowFirstColumn="0" w:firstRowLastColumn="0" w:lastRowFirstColumn="0" w:lastRowLastColumn="0"/>
          <w:trHeight w:val="1556"/>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Banco Nacional de Desenvolvimento Econômico e Social (BNDES)</w:t>
            </w:r>
          </w:p>
        </w:tc>
        <w:tc>
          <w:tcPr>
            <w:tcW w:w="2551"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Empresa pública federal de direito privado, vinculada ao MDIC</w:t>
            </w:r>
          </w:p>
        </w:tc>
        <w:tc>
          <w:tcPr>
            <w:tcW w:w="3544"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Recursos do Tesouro; FAT - poupança compulsória formada com 60% do PIS/PASEP e dos juros pagos ao BNDES pelo uso de 40% do recurso; Recursos Próprios (Lucros e Dividendos); Parte da arrecadação do IOF</w:t>
            </w:r>
          </w:p>
        </w:tc>
      </w:tr>
      <w:tr w:rsidR="00583BF4" w:rsidRPr="00030D4D" w:rsidTr="00F31684">
        <w:trPr>
          <w:trHeight w:val="983"/>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Outros Bancos de Desenvolvimento: BNB, BASA , BRDE</w:t>
            </w:r>
          </w:p>
        </w:tc>
        <w:tc>
          <w:tcPr>
            <w:tcW w:w="2551"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BNB: Sociedade Mista</w:t>
            </w:r>
          </w:p>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BRDE: Autarquia Interestadual</w:t>
            </w:r>
          </w:p>
        </w:tc>
        <w:tc>
          <w:tcPr>
            <w:tcW w:w="3544"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 xml:space="preserve">Operação de Fundos (Ex: Fundo Constitucional de Financiamento do Norte (FNO) e Fundo de Desenvolvimento da Amazônia (FDA)  </w:t>
            </w:r>
          </w:p>
        </w:tc>
      </w:tr>
      <w:tr w:rsidR="00583BF4" w:rsidRPr="00030D4D" w:rsidTr="00F31684">
        <w:trPr>
          <w:cnfStyle w:val="000000100000" w:firstRow="0" w:lastRow="0" w:firstColumn="0" w:lastColumn="0" w:oddVBand="0" w:evenVBand="0" w:oddHBand="1" w:evenHBand="0" w:firstRowFirstColumn="0" w:firstRowLastColumn="0" w:lastRowFirstColumn="0" w:lastRowLastColumn="0"/>
          <w:trHeight w:val="724"/>
        </w:trPr>
        <w:tc>
          <w:tcPr>
            <w:tcW w:w="2547"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Fundações de Amparo à Pesquisa (FAP)</w:t>
            </w:r>
          </w:p>
        </w:tc>
        <w:tc>
          <w:tcPr>
            <w:tcW w:w="2551" w:type="dxa"/>
            <w:hideMark/>
          </w:tcPr>
          <w:p w:rsidR="00583BF4" w:rsidRPr="00030D4D" w:rsidRDefault="00583BF4" w:rsidP="00F31684">
            <w:pPr>
              <w:spacing w:before="0" w:after="0" w:line="240" w:lineRule="auto"/>
              <w:rPr>
                <w:rFonts w:ascii="Arial" w:hAnsi="Arial" w:cs="Arial"/>
                <w:sz w:val="18"/>
                <w:szCs w:val="18"/>
              </w:rPr>
            </w:pPr>
          </w:p>
        </w:tc>
        <w:tc>
          <w:tcPr>
            <w:tcW w:w="3544" w:type="dxa"/>
            <w:hideMark/>
          </w:tcPr>
          <w:p w:rsidR="00583BF4" w:rsidRPr="00030D4D" w:rsidRDefault="00583BF4" w:rsidP="00F31684">
            <w:pPr>
              <w:spacing w:before="0" w:after="0" w:line="240" w:lineRule="auto"/>
              <w:rPr>
                <w:rFonts w:ascii="Arial" w:hAnsi="Arial" w:cs="Arial"/>
                <w:sz w:val="18"/>
                <w:szCs w:val="18"/>
              </w:rPr>
            </w:pPr>
            <w:r w:rsidRPr="00030D4D">
              <w:rPr>
                <w:rFonts w:ascii="Arial" w:hAnsi="Arial" w:cs="Arial"/>
                <w:sz w:val="18"/>
                <w:szCs w:val="18"/>
              </w:rPr>
              <w:t>Percentual da receita tributária do respectivo governo estadual; Recursos do Tesouro</w:t>
            </w:r>
          </w:p>
        </w:tc>
      </w:tr>
    </w:tbl>
    <w:p w:rsidR="00583BF4" w:rsidRPr="00030D4D" w:rsidRDefault="00583BF4" w:rsidP="00583BF4">
      <w:pPr>
        <w:rPr>
          <w:rFonts w:ascii="Arial" w:hAnsi="Arial" w:cs="Arial"/>
          <w:sz w:val="20"/>
          <w:szCs w:val="20"/>
        </w:rPr>
      </w:pPr>
      <w:r w:rsidRPr="00030D4D">
        <w:rPr>
          <w:rFonts w:ascii="Arial" w:hAnsi="Arial" w:cs="Arial"/>
          <w:sz w:val="20"/>
          <w:szCs w:val="20"/>
        </w:rPr>
        <w:t>Fonte: Elaboração própria</w:t>
      </w:r>
    </w:p>
    <w:p w:rsidR="00583BF4" w:rsidRPr="00030D4D" w:rsidRDefault="00583BF4" w:rsidP="00583BF4">
      <w:pPr>
        <w:rPr>
          <w:rFonts w:ascii="Arial" w:hAnsi="Arial" w:cs="Arial"/>
        </w:rPr>
      </w:pPr>
    </w:p>
    <w:p w:rsidR="00583BF4" w:rsidRPr="00030D4D" w:rsidRDefault="00583BF4" w:rsidP="00583BF4">
      <w:pPr>
        <w:pStyle w:val="Estilo1"/>
        <w:rPr>
          <w:rFonts w:ascii="Arial" w:hAnsi="Arial" w:cs="Arial"/>
        </w:rPr>
      </w:pPr>
      <w:r w:rsidRPr="00030D4D">
        <w:rPr>
          <w:rFonts w:ascii="Arial" w:hAnsi="Arial" w:cs="Arial"/>
        </w:rPr>
        <w:t xml:space="preserve">Outras fontes de apoio à P&amp;D são aquelas que estão vinculadas a gastos compulsórios com P&amp;D pelas empresas apoiadas, incluindo as concessionárias, que estão regulamentadas por marco legal específico. É o caso, por exemplo, da lei voltada ao setor de energia elétrica (Lei </w:t>
      </w:r>
      <w:r w:rsidRPr="00030D4D">
        <w:rPr>
          <w:rFonts w:ascii="Arial" w:hAnsi="Arial" w:cs="Arial"/>
          <w:szCs w:val="24"/>
        </w:rPr>
        <w:t>n</w:t>
      </w:r>
      <w:r w:rsidRPr="00030D4D">
        <w:rPr>
          <w:rFonts w:ascii="Arial" w:hAnsi="Arial" w:cs="Arial"/>
          <w:szCs w:val="24"/>
          <w:vertAlign w:val="superscript"/>
        </w:rPr>
        <w:t>o</w:t>
      </w:r>
      <w:r w:rsidRPr="00030D4D">
        <w:rPr>
          <w:rFonts w:ascii="Arial" w:hAnsi="Arial" w:cs="Arial"/>
        </w:rPr>
        <w:t xml:space="preserve"> 9.991/00 e respectivas alterações) e da cláusula de 1% do petróleo. </w:t>
      </w:r>
    </w:p>
    <w:p w:rsidR="00583BF4" w:rsidRPr="00030D4D" w:rsidRDefault="00583BF4" w:rsidP="00583BF4">
      <w:pPr>
        <w:pStyle w:val="Estilo1"/>
        <w:rPr>
          <w:rFonts w:ascii="Arial" w:hAnsi="Arial" w:cs="Arial"/>
        </w:rPr>
      </w:pPr>
      <w:r w:rsidRPr="00030D4D">
        <w:rPr>
          <w:rFonts w:ascii="Arial" w:hAnsi="Arial" w:cs="Arial"/>
        </w:rPr>
        <w:t xml:space="preserve">O FNDCT, embora não seja a fonte mais expressiva em termos de volume de recursos, passou a ser a fonte mais consistente para o financiamento à PD&amp;I, a partir da criação dos fundos setoriais entre 1999-2002. Essa é uma afirmação que se aplica ao menos até o período mais recente. A previsão orçamentária deste Fundo (Lei de Orçamento Anual) passou de aproximadamente R$ 173 milhões, em 1999, para cerca de R$ 725 milhões, em 2001; dez anos depois já estava na casa dos R$ 2,8 bilhões. E continuou a crescer até 2015, chegando a R$ 3,6 bilhões, aproximadamente. Esse ciclo de crescimento, no entanto, foi interrompido por duas razões principais: a mudança nas prioridades governamentais, a partir de 2012, e a crise econômico-financeira. Em 2016 a previsão orçamentária já voltava para níveis próximos de 2010, ficando em torno de R$ 2,6 bilhões. </w:t>
      </w:r>
    </w:p>
    <w:p w:rsidR="00B821E5" w:rsidRPr="00030D4D" w:rsidRDefault="00BB66DD" w:rsidP="004437F1">
      <w:pPr>
        <w:pStyle w:val="Estilo1"/>
        <w:rPr>
          <w:rFonts w:ascii="Arial" w:hAnsi="Arial" w:cs="Arial"/>
        </w:rPr>
      </w:pPr>
      <w:r w:rsidRPr="00030D4D">
        <w:rPr>
          <w:rFonts w:ascii="Arial" w:hAnsi="Arial" w:cs="Arial"/>
        </w:rPr>
        <w:t xml:space="preserve">Apesar </w:t>
      </w:r>
      <w:r w:rsidR="00842B5D" w:rsidRPr="00030D4D">
        <w:rPr>
          <w:rFonts w:ascii="Arial" w:hAnsi="Arial" w:cs="Arial"/>
        </w:rPr>
        <w:t>das condições favoráveis até 2015</w:t>
      </w:r>
      <w:r w:rsidRPr="00030D4D">
        <w:rPr>
          <w:rFonts w:ascii="Arial" w:hAnsi="Arial" w:cs="Arial"/>
        </w:rPr>
        <w:t xml:space="preserve">, </w:t>
      </w:r>
      <w:r w:rsidR="00842B5D" w:rsidRPr="00030D4D">
        <w:rPr>
          <w:rFonts w:ascii="Arial" w:hAnsi="Arial" w:cs="Arial"/>
        </w:rPr>
        <w:t>a Finep, que é a Secretaria Executiva do FNDCT</w:t>
      </w:r>
      <w:r w:rsidR="004A7FF2" w:rsidRPr="00030D4D">
        <w:rPr>
          <w:rFonts w:ascii="Arial" w:hAnsi="Arial" w:cs="Arial"/>
        </w:rPr>
        <w:t>,</w:t>
      </w:r>
      <w:r w:rsidRPr="00030D4D">
        <w:rPr>
          <w:rFonts w:ascii="Arial" w:hAnsi="Arial" w:cs="Arial"/>
        </w:rPr>
        <w:t xml:space="preserve"> teve dificuldade</w:t>
      </w:r>
      <w:r w:rsidR="00842B5D" w:rsidRPr="00030D4D">
        <w:rPr>
          <w:rFonts w:ascii="Arial" w:hAnsi="Arial" w:cs="Arial"/>
        </w:rPr>
        <w:t>s</w:t>
      </w:r>
      <w:r w:rsidRPr="00030D4D">
        <w:rPr>
          <w:rFonts w:ascii="Arial" w:hAnsi="Arial" w:cs="Arial"/>
        </w:rPr>
        <w:t xml:space="preserve"> para </w:t>
      </w:r>
      <w:r w:rsidR="00757C8C" w:rsidRPr="00030D4D">
        <w:rPr>
          <w:rFonts w:ascii="Arial" w:hAnsi="Arial" w:cs="Arial"/>
        </w:rPr>
        <w:t>executar o orçamento aprovado</w:t>
      </w:r>
      <w:r w:rsidRPr="00030D4D">
        <w:rPr>
          <w:rFonts w:ascii="Arial" w:hAnsi="Arial" w:cs="Arial"/>
        </w:rPr>
        <w:t xml:space="preserve"> </w:t>
      </w:r>
      <w:r w:rsidR="00757C8C" w:rsidRPr="00030D4D">
        <w:rPr>
          <w:rFonts w:ascii="Arial" w:hAnsi="Arial" w:cs="Arial"/>
        </w:rPr>
        <w:t xml:space="preserve">devido </w:t>
      </w:r>
      <w:r w:rsidR="00303AED" w:rsidRPr="00030D4D">
        <w:rPr>
          <w:rFonts w:ascii="Arial" w:hAnsi="Arial" w:cs="Arial"/>
        </w:rPr>
        <w:t>aos contingenciamentos</w:t>
      </w:r>
      <w:r w:rsidRPr="00030D4D">
        <w:rPr>
          <w:rFonts w:ascii="Arial" w:hAnsi="Arial" w:cs="Arial"/>
        </w:rPr>
        <w:t xml:space="preserve"> realizados</w:t>
      </w:r>
      <w:r w:rsidR="00E10B7E" w:rsidRPr="00030D4D">
        <w:rPr>
          <w:rFonts w:ascii="Arial" w:hAnsi="Arial" w:cs="Arial"/>
        </w:rPr>
        <w:t xml:space="preserve"> e </w:t>
      </w:r>
      <w:r w:rsidR="00757C8C" w:rsidRPr="00030D4D">
        <w:rPr>
          <w:rFonts w:ascii="Arial" w:hAnsi="Arial" w:cs="Arial"/>
        </w:rPr>
        <w:t xml:space="preserve">aos impedimentos </w:t>
      </w:r>
      <w:r w:rsidR="001A357A" w:rsidRPr="00030D4D">
        <w:rPr>
          <w:rFonts w:ascii="Arial" w:hAnsi="Arial" w:cs="Arial"/>
        </w:rPr>
        <w:t>estabelecidos</w:t>
      </w:r>
      <w:r w:rsidR="00E10B7E" w:rsidRPr="00030D4D">
        <w:rPr>
          <w:rFonts w:ascii="Arial" w:hAnsi="Arial" w:cs="Arial"/>
        </w:rPr>
        <w:t xml:space="preserve"> para empenhar os recursos</w:t>
      </w:r>
      <w:r w:rsidRPr="00030D4D">
        <w:rPr>
          <w:rFonts w:ascii="Arial" w:hAnsi="Arial" w:cs="Arial"/>
        </w:rPr>
        <w:t xml:space="preserve">. A partir de 2010, essa situação foi se tornando </w:t>
      </w:r>
      <w:r w:rsidR="005734FD" w:rsidRPr="00030D4D">
        <w:rPr>
          <w:rFonts w:ascii="Arial" w:hAnsi="Arial" w:cs="Arial"/>
        </w:rPr>
        <w:t xml:space="preserve">ainda </w:t>
      </w:r>
      <w:r w:rsidRPr="00030D4D">
        <w:rPr>
          <w:rFonts w:ascii="Arial" w:hAnsi="Arial" w:cs="Arial"/>
        </w:rPr>
        <w:t xml:space="preserve">mais crítica. </w:t>
      </w:r>
    </w:p>
    <w:p w:rsidR="00E05509" w:rsidRPr="00030D4D" w:rsidRDefault="00B821E5" w:rsidP="004437F1">
      <w:pPr>
        <w:pStyle w:val="Estilo1"/>
        <w:rPr>
          <w:rFonts w:ascii="Arial" w:hAnsi="Arial" w:cs="Arial"/>
        </w:rPr>
      </w:pPr>
      <w:r w:rsidRPr="00030D4D">
        <w:rPr>
          <w:rFonts w:ascii="Arial" w:hAnsi="Arial" w:cs="Arial"/>
        </w:rPr>
        <w:t>Apesar</w:t>
      </w:r>
      <w:r w:rsidR="00DC2F31" w:rsidRPr="00030D4D">
        <w:rPr>
          <w:rFonts w:ascii="Arial" w:hAnsi="Arial" w:cs="Arial"/>
        </w:rPr>
        <w:t xml:space="preserve"> dos problemas</w:t>
      </w:r>
      <w:r w:rsidRPr="00030D4D">
        <w:rPr>
          <w:rFonts w:ascii="Arial" w:hAnsi="Arial" w:cs="Arial"/>
        </w:rPr>
        <w:t xml:space="preserve"> </w:t>
      </w:r>
      <w:r w:rsidR="00303AED" w:rsidRPr="00030D4D">
        <w:rPr>
          <w:rFonts w:ascii="Arial" w:hAnsi="Arial" w:cs="Arial"/>
        </w:rPr>
        <w:t>recentes</w:t>
      </w:r>
      <w:r w:rsidR="00DC2F31" w:rsidRPr="00030D4D">
        <w:rPr>
          <w:rFonts w:ascii="Arial" w:hAnsi="Arial" w:cs="Arial"/>
        </w:rPr>
        <w:t>,</w:t>
      </w:r>
      <w:r w:rsidR="00D965E6" w:rsidRPr="00030D4D">
        <w:rPr>
          <w:rFonts w:ascii="Arial" w:hAnsi="Arial" w:cs="Arial"/>
        </w:rPr>
        <w:t xml:space="preserve"> </w:t>
      </w:r>
      <w:r w:rsidRPr="00030D4D">
        <w:rPr>
          <w:rFonts w:ascii="Arial" w:hAnsi="Arial" w:cs="Arial"/>
        </w:rPr>
        <w:t xml:space="preserve">é possível afirmar que </w:t>
      </w:r>
      <w:r w:rsidR="00303AED" w:rsidRPr="00030D4D">
        <w:rPr>
          <w:rFonts w:ascii="Arial" w:hAnsi="Arial" w:cs="Arial"/>
        </w:rPr>
        <w:t xml:space="preserve">ao longo destes anos a área de </w:t>
      </w:r>
      <w:r w:rsidR="00D965E6" w:rsidRPr="00030D4D">
        <w:rPr>
          <w:rFonts w:ascii="Arial" w:hAnsi="Arial" w:cs="Arial"/>
        </w:rPr>
        <w:t xml:space="preserve">CT&amp;I </w:t>
      </w:r>
      <w:r w:rsidR="00303AED" w:rsidRPr="00030D4D">
        <w:rPr>
          <w:rFonts w:ascii="Arial" w:hAnsi="Arial" w:cs="Arial"/>
        </w:rPr>
        <w:t>deu um salto quantitativo e qualitativo</w:t>
      </w:r>
      <w:r w:rsidR="00444D25" w:rsidRPr="00030D4D">
        <w:rPr>
          <w:rFonts w:ascii="Arial" w:hAnsi="Arial" w:cs="Arial"/>
        </w:rPr>
        <w:t xml:space="preserve">. </w:t>
      </w:r>
      <w:r w:rsidR="00D96D45" w:rsidRPr="00030D4D">
        <w:rPr>
          <w:rFonts w:ascii="Arial" w:hAnsi="Arial" w:cs="Arial"/>
        </w:rPr>
        <w:t>A modernização da infraestrutura de pesquisa, a expansão das universidades públicas, a dinamização d</w:t>
      </w:r>
      <w:r w:rsidR="00B16445" w:rsidRPr="00030D4D">
        <w:rPr>
          <w:rFonts w:ascii="Arial" w:hAnsi="Arial" w:cs="Arial"/>
        </w:rPr>
        <w:t xml:space="preserve">os centros de excelência científica, o </w:t>
      </w:r>
      <w:r w:rsidR="00444D25" w:rsidRPr="00030D4D">
        <w:rPr>
          <w:rFonts w:ascii="Arial" w:hAnsi="Arial" w:cs="Arial"/>
        </w:rPr>
        <w:t xml:space="preserve">envolvimento mais amplo das empresas </w:t>
      </w:r>
      <w:r w:rsidR="00B07ECA" w:rsidRPr="00030D4D">
        <w:rPr>
          <w:rFonts w:ascii="Arial" w:hAnsi="Arial" w:cs="Arial"/>
        </w:rPr>
        <w:t>com</w:t>
      </w:r>
      <w:r w:rsidR="00CD5BF0" w:rsidRPr="00030D4D">
        <w:rPr>
          <w:rFonts w:ascii="Arial" w:hAnsi="Arial" w:cs="Arial"/>
        </w:rPr>
        <w:t xml:space="preserve"> interesse </w:t>
      </w:r>
      <w:r w:rsidR="00B07ECA" w:rsidRPr="00030D4D">
        <w:rPr>
          <w:rFonts w:ascii="Arial" w:hAnsi="Arial" w:cs="Arial"/>
        </w:rPr>
        <w:t>de</w:t>
      </w:r>
      <w:r w:rsidR="00CD5BF0" w:rsidRPr="00030D4D">
        <w:rPr>
          <w:rFonts w:ascii="Arial" w:hAnsi="Arial" w:cs="Arial"/>
        </w:rPr>
        <w:t xml:space="preserve"> ampliar </w:t>
      </w:r>
      <w:r w:rsidR="00B07ECA" w:rsidRPr="00030D4D">
        <w:rPr>
          <w:rFonts w:ascii="Arial" w:hAnsi="Arial" w:cs="Arial"/>
        </w:rPr>
        <w:t>o seu</w:t>
      </w:r>
      <w:r w:rsidR="00CD5BF0" w:rsidRPr="00030D4D">
        <w:rPr>
          <w:rFonts w:ascii="Arial" w:hAnsi="Arial" w:cs="Arial"/>
        </w:rPr>
        <w:t xml:space="preserve"> poten</w:t>
      </w:r>
      <w:r w:rsidR="00B16445" w:rsidRPr="00030D4D">
        <w:rPr>
          <w:rFonts w:ascii="Arial" w:hAnsi="Arial" w:cs="Arial"/>
        </w:rPr>
        <w:t>cial inovador</w:t>
      </w:r>
      <w:r w:rsidR="00160F43" w:rsidRPr="00030D4D">
        <w:rPr>
          <w:rFonts w:ascii="Arial" w:hAnsi="Arial" w:cs="Arial"/>
        </w:rPr>
        <w:t>,</w:t>
      </w:r>
      <w:r w:rsidR="00B07ECA" w:rsidRPr="00030D4D">
        <w:rPr>
          <w:rFonts w:ascii="Arial" w:hAnsi="Arial" w:cs="Arial"/>
        </w:rPr>
        <w:t xml:space="preserve"> o maior envolvimento das instâncias representativas empresariais</w:t>
      </w:r>
      <w:r w:rsidR="00B16445" w:rsidRPr="00030D4D">
        <w:rPr>
          <w:rFonts w:ascii="Arial" w:hAnsi="Arial" w:cs="Arial"/>
        </w:rPr>
        <w:t>, a adequação do</w:t>
      </w:r>
      <w:r w:rsidR="00D96D45" w:rsidRPr="00030D4D">
        <w:rPr>
          <w:rFonts w:ascii="Arial" w:hAnsi="Arial" w:cs="Arial"/>
        </w:rPr>
        <w:t xml:space="preserve"> marco legal </w:t>
      </w:r>
      <w:r w:rsidR="00B16445" w:rsidRPr="00030D4D">
        <w:rPr>
          <w:rFonts w:ascii="Arial" w:hAnsi="Arial" w:cs="Arial"/>
        </w:rPr>
        <w:t>com o propósito de criar</w:t>
      </w:r>
      <w:r w:rsidR="00D96D45" w:rsidRPr="00030D4D">
        <w:rPr>
          <w:rFonts w:ascii="Arial" w:hAnsi="Arial" w:cs="Arial"/>
        </w:rPr>
        <w:t xml:space="preserve"> condições favoráveis ao ambiente </w:t>
      </w:r>
      <w:r w:rsidR="00B07ECA" w:rsidRPr="00030D4D">
        <w:rPr>
          <w:rFonts w:ascii="Arial" w:hAnsi="Arial" w:cs="Arial"/>
        </w:rPr>
        <w:t>de inovação</w:t>
      </w:r>
      <w:r w:rsidR="00160F43" w:rsidRPr="00030D4D">
        <w:rPr>
          <w:rFonts w:ascii="Arial" w:hAnsi="Arial" w:cs="Arial"/>
        </w:rPr>
        <w:t xml:space="preserve">, o envolvimento do poder público na formatação de estruturas como parques tecnológicos e incubadoras de empresas </w:t>
      </w:r>
      <w:r w:rsidR="00B16445" w:rsidRPr="00030D4D">
        <w:rPr>
          <w:rFonts w:ascii="Arial" w:hAnsi="Arial" w:cs="Arial"/>
        </w:rPr>
        <w:t xml:space="preserve">são alguns dos exemplos </w:t>
      </w:r>
      <w:r w:rsidR="00E05509" w:rsidRPr="00030D4D">
        <w:rPr>
          <w:rFonts w:ascii="Arial" w:hAnsi="Arial" w:cs="Arial"/>
        </w:rPr>
        <w:t>que expressam a</w:t>
      </w:r>
      <w:r w:rsidR="00B16445" w:rsidRPr="00030D4D">
        <w:rPr>
          <w:rFonts w:ascii="Arial" w:hAnsi="Arial" w:cs="Arial"/>
        </w:rPr>
        <w:t xml:space="preserve"> </w:t>
      </w:r>
      <w:r w:rsidR="00D5039A" w:rsidRPr="00030D4D">
        <w:rPr>
          <w:rFonts w:ascii="Arial" w:hAnsi="Arial" w:cs="Arial"/>
        </w:rPr>
        <w:t xml:space="preserve">mudança de patamar </w:t>
      </w:r>
      <w:r w:rsidR="007C3F6F" w:rsidRPr="00030D4D">
        <w:rPr>
          <w:rFonts w:ascii="Arial" w:hAnsi="Arial" w:cs="Arial"/>
        </w:rPr>
        <w:t>alcançado pelo</w:t>
      </w:r>
      <w:r w:rsidR="00D5039A" w:rsidRPr="00030D4D">
        <w:rPr>
          <w:rFonts w:ascii="Arial" w:hAnsi="Arial" w:cs="Arial"/>
        </w:rPr>
        <w:t xml:space="preserve"> Sistema de Inovação.</w:t>
      </w:r>
    </w:p>
    <w:p w:rsidR="00FF597D" w:rsidRPr="00030D4D" w:rsidRDefault="009A7081" w:rsidP="00502D7B">
      <w:pPr>
        <w:pStyle w:val="Estilo1"/>
        <w:rPr>
          <w:rFonts w:ascii="Arial" w:hAnsi="Arial" w:cs="Arial"/>
        </w:rPr>
      </w:pPr>
      <w:r w:rsidRPr="00030D4D">
        <w:rPr>
          <w:rFonts w:ascii="Arial" w:hAnsi="Arial" w:cs="Arial"/>
        </w:rPr>
        <w:t>Essa expansão</w:t>
      </w:r>
      <w:r w:rsidR="00F31939" w:rsidRPr="00030D4D">
        <w:rPr>
          <w:rFonts w:ascii="Arial" w:hAnsi="Arial" w:cs="Arial"/>
        </w:rPr>
        <w:t xml:space="preserve"> significa </w:t>
      </w:r>
      <w:r w:rsidRPr="00030D4D">
        <w:rPr>
          <w:rFonts w:ascii="Arial" w:hAnsi="Arial" w:cs="Arial"/>
        </w:rPr>
        <w:t xml:space="preserve">também uma ampliação da demanda por recursos. É uma demanda mais ampla e também mais diversificada. Os novos atores trazem desafios que ampliam a complexidade da gestão </w:t>
      </w:r>
      <w:r w:rsidR="00160F43" w:rsidRPr="00030D4D">
        <w:rPr>
          <w:rFonts w:ascii="Arial" w:hAnsi="Arial" w:cs="Arial"/>
        </w:rPr>
        <w:t xml:space="preserve">e sustentabilidade </w:t>
      </w:r>
      <w:r w:rsidRPr="00030D4D">
        <w:rPr>
          <w:rFonts w:ascii="Arial" w:hAnsi="Arial" w:cs="Arial"/>
        </w:rPr>
        <w:t xml:space="preserve">deste Sistema.  </w:t>
      </w:r>
      <w:r w:rsidR="00C6404F" w:rsidRPr="00030D4D">
        <w:rPr>
          <w:rFonts w:ascii="Arial" w:hAnsi="Arial" w:cs="Arial"/>
        </w:rPr>
        <w:t xml:space="preserve">Esse maior dinamismo </w:t>
      </w:r>
      <w:r w:rsidR="00FB4EEB" w:rsidRPr="00030D4D">
        <w:rPr>
          <w:rFonts w:ascii="Arial" w:hAnsi="Arial" w:cs="Arial"/>
        </w:rPr>
        <w:t xml:space="preserve">esbarra na escassez de recursos </w:t>
      </w:r>
      <w:r w:rsidR="00456653" w:rsidRPr="00030D4D">
        <w:rPr>
          <w:rFonts w:ascii="Arial" w:hAnsi="Arial" w:cs="Arial"/>
        </w:rPr>
        <w:t>e mais ainda, esbarra numa realidade reveladora do esgotamento do modelo de financiamento que foi adotado a partir do final da década de 1990.</w:t>
      </w:r>
      <w:r w:rsidR="00FA7766" w:rsidRPr="00030D4D">
        <w:rPr>
          <w:rFonts w:ascii="Arial" w:hAnsi="Arial" w:cs="Arial"/>
        </w:rPr>
        <w:t xml:space="preserve"> </w:t>
      </w:r>
      <w:r w:rsidR="00502D7B" w:rsidRPr="00030D4D">
        <w:rPr>
          <w:rFonts w:ascii="Arial" w:hAnsi="Arial" w:cs="Arial"/>
        </w:rPr>
        <w:t>Nas seções 2 e 3 será feita uma apreciação mais ampla das dificuldades enfrentadas atualmente na estrutura de financiamento à inovação. Antes, porém, serão</w:t>
      </w:r>
      <w:r w:rsidR="00FE5414" w:rsidRPr="00030D4D">
        <w:rPr>
          <w:rFonts w:ascii="Arial" w:hAnsi="Arial" w:cs="Arial"/>
        </w:rPr>
        <w:t xml:space="preserve"> apresentados os principais mecanismos </w:t>
      </w:r>
      <w:r w:rsidR="00502D7B" w:rsidRPr="00030D4D">
        <w:rPr>
          <w:rFonts w:ascii="Arial" w:hAnsi="Arial" w:cs="Arial"/>
        </w:rPr>
        <w:t xml:space="preserve">públicos que contribuíram </w:t>
      </w:r>
      <w:r w:rsidR="00FE5414" w:rsidRPr="00030D4D">
        <w:rPr>
          <w:rFonts w:ascii="Arial" w:hAnsi="Arial" w:cs="Arial"/>
        </w:rPr>
        <w:t xml:space="preserve">para financiar PD&amp;I </w:t>
      </w:r>
      <w:r w:rsidR="005F2F79" w:rsidRPr="00030D4D">
        <w:rPr>
          <w:rFonts w:ascii="Arial" w:hAnsi="Arial" w:cs="Arial"/>
        </w:rPr>
        <w:t>ao longo do período aqui tratado (cerca de 17 anos)</w:t>
      </w:r>
      <w:r w:rsidR="00502D7B" w:rsidRPr="00030D4D">
        <w:rPr>
          <w:rFonts w:ascii="Arial" w:hAnsi="Arial" w:cs="Arial"/>
        </w:rPr>
        <w:t xml:space="preserve">. </w:t>
      </w:r>
    </w:p>
    <w:p w:rsidR="009473D9" w:rsidRPr="00030D4D" w:rsidRDefault="009473D9" w:rsidP="001441DA">
      <w:pPr>
        <w:spacing w:before="0"/>
        <w:rPr>
          <w:rFonts w:ascii="Arial" w:hAnsi="Arial" w:cs="Arial"/>
          <w:szCs w:val="24"/>
        </w:rPr>
      </w:pPr>
    </w:p>
    <w:p w:rsidR="00AF483D" w:rsidRPr="00030D4D" w:rsidRDefault="00AF483D" w:rsidP="00AF483D">
      <w:pPr>
        <w:pStyle w:val="Heading2"/>
        <w:numPr>
          <w:ilvl w:val="1"/>
          <w:numId w:val="19"/>
        </w:numPr>
        <w:rPr>
          <w:rFonts w:ascii="Arial" w:hAnsi="Arial" w:cs="Arial"/>
          <w:szCs w:val="24"/>
        </w:rPr>
      </w:pPr>
      <w:bookmarkStart w:id="6" w:name="_Toc433665370"/>
      <w:bookmarkStart w:id="7" w:name="_Toc482828482"/>
      <w:r w:rsidRPr="00030D4D">
        <w:rPr>
          <w:rFonts w:ascii="Arial" w:hAnsi="Arial" w:cs="Arial"/>
        </w:rPr>
        <w:t>Os Instrumentos de Financiamento à Inovação</w:t>
      </w:r>
      <w:bookmarkEnd w:id="6"/>
      <w:bookmarkEnd w:id="7"/>
    </w:p>
    <w:p w:rsidR="001D452D" w:rsidRPr="00030D4D" w:rsidRDefault="001D452D" w:rsidP="001441DA">
      <w:pPr>
        <w:spacing w:before="0"/>
        <w:rPr>
          <w:rFonts w:ascii="Arial" w:hAnsi="Arial" w:cs="Arial"/>
        </w:rPr>
      </w:pPr>
      <w:r w:rsidRPr="00030D4D">
        <w:rPr>
          <w:rFonts w:ascii="Arial" w:hAnsi="Arial" w:cs="Arial"/>
        </w:rPr>
        <w:t xml:space="preserve">Os instrumentos de financiamento utilizados </w:t>
      </w:r>
      <w:r w:rsidR="00583BF4" w:rsidRPr="00030D4D">
        <w:rPr>
          <w:rFonts w:ascii="Arial" w:hAnsi="Arial" w:cs="Arial"/>
        </w:rPr>
        <w:t>pelas referidas instituições</w:t>
      </w:r>
      <w:r w:rsidR="003329F5" w:rsidRPr="00030D4D">
        <w:rPr>
          <w:rFonts w:ascii="Arial" w:hAnsi="Arial" w:cs="Arial"/>
        </w:rPr>
        <w:t xml:space="preserve"> do país</w:t>
      </w:r>
      <w:r w:rsidRPr="00030D4D">
        <w:rPr>
          <w:rFonts w:ascii="Arial" w:hAnsi="Arial" w:cs="Arial"/>
        </w:rPr>
        <w:t xml:space="preserve"> </w:t>
      </w:r>
      <w:r w:rsidR="00CE127B" w:rsidRPr="00030D4D">
        <w:rPr>
          <w:rFonts w:ascii="Arial" w:hAnsi="Arial" w:cs="Arial"/>
        </w:rPr>
        <w:t xml:space="preserve">para financiar e </w:t>
      </w:r>
      <w:r w:rsidRPr="00030D4D">
        <w:rPr>
          <w:rFonts w:ascii="Arial" w:hAnsi="Arial" w:cs="Arial"/>
        </w:rPr>
        <w:t xml:space="preserve">apoiar projetos e iniciativas inovadoras podem ser divididos em duas categorias: </w:t>
      </w:r>
      <w:r w:rsidR="00EB2E96" w:rsidRPr="00030D4D">
        <w:rPr>
          <w:rFonts w:ascii="Arial" w:hAnsi="Arial" w:cs="Arial"/>
        </w:rPr>
        <w:t>instrumentos</w:t>
      </w:r>
      <w:r w:rsidRPr="00030D4D">
        <w:rPr>
          <w:rFonts w:ascii="Arial" w:hAnsi="Arial" w:cs="Arial"/>
        </w:rPr>
        <w:t xml:space="preserve"> que envolvem a concessão de recursos financeiros (e </w:t>
      </w:r>
      <w:r w:rsidR="00EB2E96" w:rsidRPr="00030D4D">
        <w:rPr>
          <w:rFonts w:ascii="Arial" w:hAnsi="Arial" w:cs="Arial"/>
        </w:rPr>
        <w:t>aqueles</w:t>
      </w:r>
      <w:r w:rsidRPr="00030D4D">
        <w:rPr>
          <w:rFonts w:ascii="Arial" w:hAnsi="Arial" w:cs="Arial"/>
        </w:rPr>
        <w:t xml:space="preserve"> que não envolvem a concessão direta de recursos financeiros, conforme apresentado no Quadro </w:t>
      </w:r>
      <w:r w:rsidR="002D1171" w:rsidRPr="00030D4D">
        <w:rPr>
          <w:rFonts w:ascii="Arial" w:hAnsi="Arial" w:cs="Arial"/>
        </w:rPr>
        <w:t>2.</w:t>
      </w:r>
    </w:p>
    <w:p w:rsidR="001D452D" w:rsidRPr="00030D4D" w:rsidRDefault="001D452D" w:rsidP="001441DA">
      <w:pPr>
        <w:spacing w:before="0" w:after="0"/>
        <w:jc w:val="left"/>
        <w:rPr>
          <w:rFonts w:ascii="Arial" w:hAnsi="Arial" w:cs="Arial"/>
          <w:b/>
          <w:iCs/>
          <w:szCs w:val="18"/>
        </w:rPr>
      </w:pPr>
      <w:bookmarkStart w:id="8" w:name="_Toc268134741"/>
    </w:p>
    <w:p w:rsidR="002D1171" w:rsidRPr="00030D4D" w:rsidRDefault="002D1171">
      <w:pPr>
        <w:spacing w:before="0" w:after="160" w:line="259" w:lineRule="auto"/>
        <w:jc w:val="left"/>
        <w:rPr>
          <w:rFonts w:ascii="Arial" w:hAnsi="Arial" w:cs="Arial"/>
          <w:b/>
          <w:iCs/>
          <w:szCs w:val="18"/>
        </w:rPr>
      </w:pPr>
      <w:r w:rsidRPr="00030D4D">
        <w:rPr>
          <w:rFonts w:ascii="Arial" w:hAnsi="Arial" w:cs="Arial"/>
        </w:rPr>
        <w:br w:type="page"/>
      </w:r>
    </w:p>
    <w:p w:rsidR="001D452D" w:rsidRPr="00030D4D" w:rsidRDefault="005A5056" w:rsidP="00134A7D">
      <w:pPr>
        <w:pStyle w:val="Caption"/>
        <w:rPr>
          <w:rFonts w:ascii="Arial" w:hAnsi="Arial" w:cs="Arial"/>
        </w:rPr>
      </w:pPr>
      <w:bookmarkStart w:id="9" w:name="_Toc482828523"/>
      <w:r w:rsidRPr="00030D4D">
        <w:rPr>
          <w:rFonts w:ascii="Arial" w:hAnsi="Arial" w:cs="Arial"/>
        </w:rPr>
        <w:t xml:space="preserve">Quadro </w:t>
      </w:r>
      <w:r w:rsidR="005271BC" w:rsidRPr="00030D4D">
        <w:rPr>
          <w:rFonts w:ascii="Arial" w:hAnsi="Arial" w:cs="Arial"/>
        </w:rPr>
        <w:fldChar w:fldCharType="begin"/>
      </w:r>
      <w:r w:rsidR="005271BC" w:rsidRPr="00030D4D">
        <w:rPr>
          <w:rFonts w:ascii="Arial" w:hAnsi="Arial" w:cs="Arial"/>
        </w:rPr>
        <w:instrText xml:space="preserve"> SEQ Quadro \* ARABIC </w:instrText>
      </w:r>
      <w:r w:rsidR="005271BC" w:rsidRPr="00030D4D">
        <w:rPr>
          <w:rFonts w:ascii="Arial" w:hAnsi="Arial" w:cs="Arial"/>
        </w:rPr>
        <w:fldChar w:fldCharType="separate"/>
      </w:r>
      <w:r w:rsidR="00BE5DE3" w:rsidRPr="00030D4D">
        <w:rPr>
          <w:rFonts w:ascii="Arial" w:hAnsi="Arial" w:cs="Arial"/>
          <w:noProof/>
        </w:rPr>
        <w:t>2</w:t>
      </w:r>
      <w:r w:rsidR="005271BC" w:rsidRPr="00030D4D">
        <w:rPr>
          <w:rFonts w:ascii="Arial" w:hAnsi="Arial" w:cs="Arial"/>
          <w:noProof/>
        </w:rPr>
        <w:fldChar w:fldCharType="end"/>
      </w:r>
      <w:r w:rsidR="00134A7D" w:rsidRPr="00030D4D">
        <w:rPr>
          <w:rFonts w:ascii="Arial" w:hAnsi="Arial" w:cs="Arial"/>
        </w:rPr>
        <w:t xml:space="preserve">. </w:t>
      </w:r>
      <w:r w:rsidR="001D452D" w:rsidRPr="00030D4D">
        <w:rPr>
          <w:rFonts w:ascii="Arial" w:hAnsi="Arial" w:cs="Arial"/>
        </w:rPr>
        <w:t xml:space="preserve">Instrumentos de Financiamento a </w:t>
      </w:r>
      <w:r w:rsidR="00171B87" w:rsidRPr="00030D4D">
        <w:rPr>
          <w:rFonts w:ascii="Arial" w:hAnsi="Arial" w:cs="Arial"/>
        </w:rPr>
        <w:t>PD&amp;I</w:t>
      </w:r>
      <w:r w:rsidR="001D452D" w:rsidRPr="00030D4D">
        <w:rPr>
          <w:rFonts w:ascii="Arial" w:hAnsi="Arial" w:cs="Arial"/>
        </w:rPr>
        <w:t>: Categorias e Modalidades Principais</w:t>
      </w:r>
      <w:bookmarkEnd w:id="8"/>
      <w:bookmarkEnd w:id="9"/>
    </w:p>
    <w:tbl>
      <w:tblPr>
        <w:tblStyle w:val="GridTable4-Accent6"/>
        <w:tblW w:w="8440" w:type="dxa"/>
        <w:tblLook w:val="04A0" w:firstRow="1" w:lastRow="0" w:firstColumn="1" w:lastColumn="0" w:noHBand="0" w:noVBand="1"/>
      </w:tblPr>
      <w:tblGrid>
        <w:gridCol w:w="3460"/>
        <w:gridCol w:w="4980"/>
      </w:tblGrid>
      <w:tr w:rsidR="001D452D" w:rsidRPr="00030D4D" w:rsidTr="00970F2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rsidR="001D452D" w:rsidRPr="00030D4D" w:rsidRDefault="001D452D" w:rsidP="007D0E0F">
            <w:pPr>
              <w:spacing w:before="0" w:after="0" w:line="240" w:lineRule="auto"/>
              <w:jc w:val="center"/>
              <w:rPr>
                <w:rFonts w:ascii="Arial" w:hAnsi="Arial" w:cs="Arial"/>
                <w:bCs w:val="0"/>
                <w:sz w:val="18"/>
                <w:szCs w:val="18"/>
              </w:rPr>
            </w:pPr>
            <w:r w:rsidRPr="00030D4D">
              <w:rPr>
                <w:rFonts w:ascii="Arial" w:hAnsi="Arial" w:cs="Arial"/>
                <w:bCs w:val="0"/>
                <w:sz w:val="18"/>
                <w:szCs w:val="18"/>
              </w:rPr>
              <w:t>Categorias</w:t>
            </w:r>
          </w:p>
        </w:tc>
        <w:tc>
          <w:tcPr>
            <w:tcW w:w="4980" w:type="dxa"/>
            <w:noWrap/>
            <w:hideMark/>
          </w:tcPr>
          <w:p w:rsidR="001D452D" w:rsidRPr="00030D4D" w:rsidRDefault="001D452D" w:rsidP="007D0E0F">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030D4D">
              <w:rPr>
                <w:rFonts w:ascii="Arial" w:hAnsi="Arial" w:cs="Arial"/>
                <w:bCs w:val="0"/>
                <w:sz w:val="18"/>
                <w:szCs w:val="18"/>
              </w:rPr>
              <w:t>Modalidades</w:t>
            </w:r>
          </w:p>
        </w:tc>
      </w:tr>
      <w:tr w:rsidR="001D452D" w:rsidRPr="00030D4D" w:rsidTr="00970F20">
        <w:trPr>
          <w:cnfStyle w:val="000000100000" w:firstRow="0" w:lastRow="0" w:firstColumn="0" w:lastColumn="0" w:oddVBand="0" w:evenVBand="0" w:oddHBand="1"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3460" w:type="dxa"/>
            <w:vMerge w:val="restart"/>
            <w:shd w:val="clear" w:color="auto" w:fill="auto"/>
            <w:hideMark/>
          </w:tcPr>
          <w:p w:rsidR="001D452D" w:rsidRPr="00030D4D" w:rsidRDefault="001D452D" w:rsidP="007D0E0F">
            <w:pPr>
              <w:spacing w:before="0" w:after="0" w:line="240" w:lineRule="auto"/>
              <w:jc w:val="center"/>
              <w:rPr>
                <w:rFonts w:ascii="Arial" w:hAnsi="Arial" w:cs="Arial"/>
                <w:b w:val="0"/>
                <w:color w:val="000000"/>
                <w:sz w:val="18"/>
                <w:szCs w:val="18"/>
              </w:rPr>
            </w:pPr>
            <w:r w:rsidRPr="00030D4D">
              <w:rPr>
                <w:rFonts w:ascii="Arial" w:hAnsi="Arial" w:cs="Arial"/>
                <w:b w:val="0"/>
                <w:color w:val="000000"/>
                <w:sz w:val="18"/>
                <w:szCs w:val="18"/>
              </w:rPr>
              <w:t>Envolvem a concessão de recursos financeiros</w:t>
            </w:r>
          </w:p>
        </w:tc>
        <w:tc>
          <w:tcPr>
            <w:tcW w:w="4980" w:type="dxa"/>
            <w:shd w:val="clear" w:color="auto" w:fill="auto"/>
            <w:noWrap/>
            <w:hideMark/>
          </w:tcPr>
          <w:p w:rsidR="001D452D" w:rsidRPr="00030D4D" w:rsidRDefault="001D452D" w:rsidP="007D0E0F">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Crédito (financiamento reembolsável)</w:t>
            </w:r>
          </w:p>
        </w:tc>
      </w:tr>
      <w:tr w:rsidR="001D452D" w:rsidRPr="00030D4D" w:rsidTr="00970F20">
        <w:trPr>
          <w:trHeight w:val="300"/>
        </w:trPr>
        <w:tc>
          <w:tcPr>
            <w:cnfStyle w:val="001000000000" w:firstRow="0" w:lastRow="0" w:firstColumn="1" w:lastColumn="0" w:oddVBand="0" w:evenVBand="0" w:oddHBand="0" w:evenHBand="0" w:firstRowFirstColumn="0" w:firstRowLastColumn="0" w:lastRowFirstColumn="0" w:lastRowLastColumn="0"/>
            <w:tcW w:w="3460" w:type="dxa"/>
            <w:vMerge/>
            <w:shd w:val="clear" w:color="auto" w:fill="auto"/>
            <w:hideMark/>
          </w:tcPr>
          <w:p w:rsidR="001D452D" w:rsidRPr="00030D4D" w:rsidRDefault="001D452D" w:rsidP="007D0E0F">
            <w:pPr>
              <w:spacing w:before="0" w:after="0" w:line="240" w:lineRule="auto"/>
              <w:rPr>
                <w:rFonts w:ascii="Arial" w:hAnsi="Arial" w:cs="Arial"/>
                <w:b w:val="0"/>
                <w:color w:val="000000"/>
                <w:sz w:val="18"/>
                <w:szCs w:val="18"/>
              </w:rPr>
            </w:pPr>
          </w:p>
        </w:tc>
        <w:tc>
          <w:tcPr>
            <w:tcW w:w="4980" w:type="dxa"/>
            <w:shd w:val="clear" w:color="auto" w:fill="auto"/>
            <w:noWrap/>
            <w:hideMark/>
          </w:tcPr>
          <w:p w:rsidR="001D452D" w:rsidRPr="00030D4D" w:rsidRDefault="001D452D" w:rsidP="007D0E0F">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Renda variável “não convencional” ou aporte de capital por meio de </w:t>
            </w:r>
            <w:r w:rsidRPr="00030D4D">
              <w:rPr>
                <w:rFonts w:ascii="Arial" w:hAnsi="Arial" w:cs="Arial"/>
                <w:i/>
                <w:color w:val="000000"/>
                <w:sz w:val="18"/>
                <w:szCs w:val="18"/>
              </w:rPr>
              <w:t>seed capital/venture capital/private equity</w:t>
            </w:r>
          </w:p>
        </w:tc>
      </w:tr>
      <w:tr w:rsidR="001D452D" w:rsidRPr="00030D4D" w:rsidTr="00970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vMerge/>
            <w:shd w:val="clear" w:color="auto" w:fill="auto"/>
            <w:hideMark/>
          </w:tcPr>
          <w:p w:rsidR="001D452D" w:rsidRPr="00030D4D" w:rsidRDefault="001D452D" w:rsidP="007D0E0F">
            <w:pPr>
              <w:spacing w:before="0" w:after="0" w:line="240" w:lineRule="auto"/>
              <w:rPr>
                <w:rFonts w:ascii="Arial" w:hAnsi="Arial" w:cs="Arial"/>
                <w:b w:val="0"/>
                <w:color w:val="000000"/>
                <w:sz w:val="18"/>
                <w:szCs w:val="18"/>
              </w:rPr>
            </w:pPr>
          </w:p>
        </w:tc>
        <w:tc>
          <w:tcPr>
            <w:tcW w:w="4980" w:type="dxa"/>
            <w:shd w:val="clear" w:color="auto" w:fill="auto"/>
            <w:noWrap/>
            <w:hideMark/>
          </w:tcPr>
          <w:p w:rsidR="001D452D" w:rsidRPr="00030D4D" w:rsidRDefault="001D452D" w:rsidP="007D0E0F">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Financiamento não reembolsável</w:t>
            </w:r>
          </w:p>
        </w:tc>
      </w:tr>
      <w:tr w:rsidR="001D452D" w:rsidRPr="00030D4D" w:rsidTr="00970F20">
        <w:trPr>
          <w:trHeight w:val="300"/>
        </w:trPr>
        <w:tc>
          <w:tcPr>
            <w:cnfStyle w:val="001000000000" w:firstRow="0" w:lastRow="0" w:firstColumn="1" w:lastColumn="0" w:oddVBand="0" w:evenVBand="0" w:oddHBand="0" w:evenHBand="0" w:firstRowFirstColumn="0" w:firstRowLastColumn="0" w:lastRowFirstColumn="0" w:lastRowLastColumn="0"/>
            <w:tcW w:w="3460" w:type="dxa"/>
            <w:vMerge w:val="restart"/>
            <w:shd w:val="clear" w:color="auto" w:fill="auto"/>
            <w:hideMark/>
          </w:tcPr>
          <w:p w:rsidR="001D452D" w:rsidRPr="00030D4D" w:rsidRDefault="001D452D" w:rsidP="007D0E0F">
            <w:pPr>
              <w:spacing w:before="0" w:after="0" w:line="240" w:lineRule="auto"/>
              <w:jc w:val="center"/>
              <w:rPr>
                <w:rFonts w:ascii="Arial" w:hAnsi="Arial" w:cs="Arial"/>
                <w:b w:val="0"/>
                <w:color w:val="000000"/>
                <w:sz w:val="18"/>
                <w:szCs w:val="18"/>
              </w:rPr>
            </w:pPr>
            <w:r w:rsidRPr="00030D4D">
              <w:rPr>
                <w:rFonts w:ascii="Arial" w:hAnsi="Arial" w:cs="Arial"/>
                <w:b w:val="0"/>
                <w:color w:val="000000"/>
                <w:sz w:val="18"/>
                <w:szCs w:val="18"/>
              </w:rPr>
              <w:t>Não envolvem a concessão de recursos financeiros (ou não diretamente)</w:t>
            </w:r>
          </w:p>
        </w:tc>
        <w:tc>
          <w:tcPr>
            <w:tcW w:w="4980" w:type="dxa"/>
            <w:shd w:val="clear" w:color="auto" w:fill="auto"/>
            <w:noWrap/>
            <w:hideMark/>
          </w:tcPr>
          <w:p w:rsidR="001D452D" w:rsidRPr="00030D4D" w:rsidRDefault="001D452D" w:rsidP="007D0E0F">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Incentivos fiscais </w:t>
            </w:r>
          </w:p>
        </w:tc>
      </w:tr>
      <w:tr w:rsidR="001D452D" w:rsidRPr="00030D4D" w:rsidTr="00970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vMerge/>
            <w:shd w:val="clear" w:color="auto" w:fill="auto"/>
            <w:hideMark/>
          </w:tcPr>
          <w:p w:rsidR="001D452D" w:rsidRPr="00030D4D" w:rsidRDefault="001D452D" w:rsidP="007D0E0F">
            <w:pPr>
              <w:spacing w:before="0" w:after="0" w:line="240" w:lineRule="auto"/>
              <w:rPr>
                <w:rFonts w:ascii="Arial" w:hAnsi="Arial" w:cs="Arial"/>
                <w:color w:val="000000"/>
                <w:sz w:val="18"/>
                <w:szCs w:val="18"/>
              </w:rPr>
            </w:pPr>
          </w:p>
        </w:tc>
        <w:tc>
          <w:tcPr>
            <w:tcW w:w="4980" w:type="dxa"/>
            <w:shd w:val="clear" w:color="auto" w:fill="auto"/>
            <w:noWrap/>
            <w:hideMark/>
          </w:tcPr>
          <w:p w:rsidR="001D452D" w:rsidRPr="00030D4D" w:rsidRDefault="001D452D" w:rsidP="007D0E0F">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Reserva de </w:t>
            </w:r>
            <w:r w:rsidR="001E1561" w:rsidRPr="00030D4D">
              <w:rPr>
                <w:rFonts w:ascii="Arial" w:hAnsi="Arial" w:cs="Arial"/>
                <w:color w:val="000000"/>
                <w:sz w:val="18"/>
                <w:szCs w:val="18"/>
              </w:rPr>
              <w:t>l</w:t>
            </w:r>
            <w:r w:rsidRPr="00030D4D">
              <w:rPr>
                <w:rFonts w:ascii="Arial" w:hAnsi="Arial" w:cs="Arial"/>
                <w:color w:val="000000"/>
                <w:sz w:val="18"/>
                <w:szCs w:val="18"/>
              </w:rPr>
              <w:t>iquidez</w:t>
            </w:r>
          </w:p>
        </w:tc>
      </w:tr>
      <w:tr w:rsidR="001D452D" w:rsidRPr="00030D4D" w:rsidTr="00970F20">
        <w:trPr>
          <w:trHeight w:val="300"/>
        </w:trPr>
        <w:tc>
          <w:tcPr>
            <w:cnfStyle w:val="001000000000" w:firstRow="0" w:lastRow="0" w:firstColumn="1" w:lastColumn="0" w:oddVBand="0" w:evenVBand="0" w:oddHBand="0" w:evenHBand="0" w:firstRowFirstColumn="0" w:firstRowLastColumn="0" w:lastRowFirstColumn="0" w:lastRowLastColumn="0"/>
            <w:tcW w:w="3460" w:type="dxa"/>
            <w:vMerge/>
            <w:shd w:val="clear" w:color="auto" w:fill="auto"/>
            <w:hideMark/>
          </w:tcPr>
          <w:p w:rsidR="001D452D" w:rsidRPr="00030D4D" w:rsidRDefault="001D452D" w:rsidP="007D0E0F">
            <w:pPr>
              <w:spacing w:before="0" w:after="0" w:line="240" w:lineRule="auto"/>
              <w:rPr>
                <w:rFonts w:ascii="Arial" w:hAnsi="Arial" w:cs="Arial"/>
                <w:color w:val="000000"/>
                <w:sz w:val="18"/>
                <w:szCs w:val="18"/>
              </w:rPr>
            </w:pPr>
          </w:p>
        </w:tc>
        <w:tc>
          <w:tcPr>
            <w:tcW w:w="4980" w:type="dxa"/>
            <w:shd w:val="clear" w:color="auto" w:fill="auto"/>
            <w:noWrap/>
            <w:hideMark/>
          </w:tcPr>
          <w:p w:rsidR="001D452D" w:rsidRPr="00030D4D" w:rsidRDefault="001D452D" w:rsidP="007D0E0F">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Compras e encomendas do governo</w:t>
            </w:r>
          </w:p>
        </w:tc>
      </w:tr>
    </w:tbl>
    <w:p w:rsidR="001D452D" w:rsidRPr="00030D4D" w:rsidRDefault="001D452D" w:rsidP="006A1218">
      <w:pPr>
        <w:spacing w:before="0" w:after="0" w:line="240" w:lineRule="auto"/>
        <w:rPr>
          <w:rFonts w:ascii="Arial" w:hAnsi="Arial" w:cs="Arial"/>
          <w:sz w:val="20"/>
          <w:szCs w:val="20"/>
        </w:rPr>
      </w:pPr>
      <w:r w:rsidRPr="00030D4D">
        <w:rPr>
          <w:rFonts w:ascii="Arial" w:hAnsi="Arial" w:cs="Arial"/>
          <w:sz w:val="20"/>
          <w:szCs w:val="20"/>
        </w:rPr>
        <w:t>Fonte: Elaboração própria</w:t>
      </w:r>
      <w:r w:rsidR="00677E25" w:rsidRPr="00030D4D">
        <w:rPr>
          <w:rFonts w:ascii="Arial" w:hAnsi="Arial" w:cs="Arial"/>
          <w:sz w:val="20"/>
          <w:szCs w:val="20"/>
        </w:rPr>
        <w:t xml:space="preserve"> com base em Corder (2004)</w:t>
      </w:r>
    </w:p>
    <w:p w:rsidR="001D452D" w:rsidRPr="00030D4D" w:rsidRDefault="001D452D" w:rsidP="001441DA">
      <w:pPr>
        <w:spacing w:before="0" w:after="0"/>
        <w:jc w:val="left"/>
        <w:rPr>
          <w:rFonts w:ascii="Arial" w:hAnsi="Arial" w:cs="Arial"/>
        </w:rPr>
      </w:pPr>
    </w:p>
    <w:p w:rsidR="001D452D" w:rsidRPr="00030D4D" w:rsidRDefault="001D452D" w:rsidP="001441DA">
      <w:pPr>
        <w:spacing w:before="0"/>
        <w:rPr>
          <w:rFonts w:ascii="Arial" w:hAnsi="Arial" w:cs="Arial"/>
          <w:szCs w:val="24"/>
        </w:rPr>
      </w:pPr>
      <w:r w:rsidRPr="00030D4D">
        <w:rPr>
          <w:rFonts w:ascii="Arial" w:hAnsi="Arial" w:cs="Arial"/>
        </w:rPr>
        <w:t xml:space="preserve">De forma sintética, </w:t>
      </w:r>
      <w:r w:rsidR="00FF597D" w:rsidRPr="00030D4D">
        <w:rPr>
          <w:rFonts w:ascii="Arial" w:hAnsi="Arial" w:cs="Arial"/>
          <w:szCs w:val="24"/>
        </w:rPr>
        <w:t>na primeira</w:t>
      </w:r>
      <w:r w:rsidRPr="00030D4D">
        <w:rPr>
          <w:rFonts w:ascii="Arial" w:hAnsi="Arial" w:cs="Arial"/>
          <w:szCs w:val="24"/>
        </w:rPr>
        <w:t xml:space="preserve"> </w:t>
      </w:r>
      <w:r w:rsidR="00FF597D" w:rsidRPr="00030D4D">
        <w:rPr>
          <w:rFonts w:ascii="Arial" w:hAnsi="Arial" w:cs="Arial"/>
          <w:szCs w:val="24"/>
        </w:rPr>
        <w:t>categoria são três os</w:t>
      </w:r>
      <w:r w:rsidRPr="00030D4D">
        <w:rPr>
          <w:rFonts w:ascii="Arial" w:hAnsi="Arial" w:cs="Arial"/>
          <w:szCs w:val="24"/>
        </w:rPr>
        <w:t xml:space="preserve"> instrumentos financeiros: </w:t>
      </w:r>
      <w:r w:rsidR="00EB2E96" w:rsidRPr="00030D4D">
        <w:rPr>
          <w:rFonts w:ascii="Arial" w:hAnsi="Arial" w:cs="Arial"/>
          <w:szCs w:val="24"/>
        </w:rPr>
        <w:t xml:space="preserve">recursos </w:t>
      </w:r>
      <w:r w:rsidRPr="00030D4D">
        <w:rPr>
          <w:rFonts w:ascii="Arial" w:hAnsi="Arial" w:cs="Arial"/>
          <w:szCs w:val="24"/>
        </w:rPr>
        <w:t>reembols</w:t>
      </w:r>
      <w:r w:rsidR="00EB2E96" w:rsidRPr="00030D4D">
        <w:rPr>
          <w:rFonts w:ascii="Arial" w:hAnsi="Arial" w:cs="Arial"/>
          <w:szCs w:val="24"/>
        </w:rPr>
        <w:t>á</w:t>
      </w:r>
      <w:r w:rsidRPr="00030D4D">
        <w:rPr>
          <w:rFonts w:ascii="Arial" w:hAnsi="Arial" w:cs="Arial"/>
          <w:szCs w:val="24"/>
        </w:rPr>
        <w:t>ve</w:t>
      </w:r>
      <w:r w:rsidR="00EB2E96" w:rsidRPr="00030D4D">
        <w:rPr>
          <w:rFonts w:ascii="Arial" w:hAnsi="Arial" w:cs="Arial"/>
          <w:szCs w:val="24"/>
        </w:rPr>
        <w:t>is</w:t>
      </w:r>
      <w:r w:rsidRPr="00030D4D">
        <w:rPr>
          <w:rFonts w:ascii="Arial" w:hAnsi="Arial" w:cs="Arial"/>
          <w:szCs w:val="24"/>
        </w:rPr>
        <w:t xml:space="preserve">; </w:t>
      </w:r>
      <w:r w:rsidR="00EB2E96" w:rsidRPr="00030D4D">
        <w:rPr>
          <w:rFonts w:ascii="Arial" w:hAnsi="Arial" w:cs="Arial"/>
          <w:szCs w:val="24"/>
        </w:rPr>
        <w:t xml:space="preserve">recursos </w:t>
      </w:r>
      <w:r w:rsidRPr="00030D4D">
        <w:rPr>
          <w:rFonts w:ascii="Arial" w:hAnsi="Arial" w:cs="Arial"/>
          <w:szCs w:val="24"/>
        </w:rPr>
        <w:t>não reembolsáve</w:t>
      </w:r>
      <w:r w:rsidR="00EB2E96" w:rsidRPr="00030D4D">
        <w:rPr>
          <w:rFonts w:ascii="Arial" w:hAnsi="Arial" w:cs="Arial"/>
          <w:szCs w:val="24"/>
        </w:rPr>
        <w:t>is</w:t>
      </w:r>
      <w:r w:rsidR="00707F81" w:rsidRPr="00030D4D">
        <w:rPr>
          <w:rFonts w:ascii="Arial" w:hAnsi="Arial" w:cs="Arial"/>
          <w:szCs w:val="24"/>
        </w:rPr>
        <w:t xml:space="preserve"> </w:t>
      </w:r>
      <w:r w:rsidRPr="00030D4D">
        <w:rPr>
          <w:rFonts w:ascii="Arial" w:hAnsi="Arial" w:cs="Arial"/>
          <w:szCs w:val="24"/>
        </w:rPr>
        <w:t>e capital</w:t>
      </w:r>
      <w:r w:rsidR="00EB2E96" w:rsidRPr="00030D4D">
        <w:rPr>
          <w:rFonts w:ascii="Arial" w:hAnsi="Arial" w:cs="Arial"/>
          <w:szCs w:val="24"/>
        </w:rPr>
        <w:t xml:space="preserve"> de risco</w:t>
      </w:r>
      <w:r w:rsidR="005B27C2" w:rsidRPr="00030D4D">
        <w:rPr>
          <w:rFonts w:ascii="Arial" w:hAnsi="Arial" w:cs="Arial"/>
          <w:szCs w:val="24"/>
        </w:rPr>
        <w:t xml:space="preserve"> ou instrumento de renda variável</w:t>
      </w:r>
      <w:r w:rsidR="00DC7BDD" w:rsidRPr="00030D4D">
        <w:rPr>
          <w:rStyle w:val="FootnoteReference"/>
          <w:rFonts w:ascii="Arial" w:hAnsi="Arial" w:cs="Arial"/>
          <w:szCs w:val="24"/>
        </w:rPr>
        <w:footnoteReference w:id="9"/>
      </w:r>
      <w:r w:rsidRPr="00030D4D">
        <w:rPr>
          <w:rFonts w:ascii="Arial" w:hAnsi="Arial" w:cs="Arial"/>
          <w:szCs w:val="24"/>
        </w:rPr>
        <w:t xml:space="preserve"> (</w:t>
      </w:r>
      <w:r w:rsidRPr="00030D4D">
        <w:rPr>
          <w:rFonts w:ascii="Arial" w:hAnsi="Arial" w:cs="Arial"/>
          <w:i/>
          <w:szCs w:val="24"/>
        </w:rPr>
        <w:t>seed capital, venture capital</w:t>
      </w:r>
      <w:r w:rsidRPr="00030D4D">
        <w:rPr>
          <w:rFonts w:ascii="Arial" w:hAnsi="Arial" w:cs="Arial"/>
          <w:szCs w:val="24"/>
        </w:rPr>
        <w:t xml:space="preserve"> e </w:t>
      </w:r>
      <w:r w:rsidRPr="00030D4D">
        <w:rPr>
          <w:rFonts w:ascii="Arial" w:hAnsi="Arial" w:cs="Arial"/>
          <w:i/>
          <w:szCs w:val="24"/>
        </w:rPr>
        <w:t>private equity</w:t>
      </w:r>
      <w:r w:rsidRPr="00030D4D">
        <w:rPr>
          <w:rFonts w:ascii="Arial" w:hAnsi="Arial" w:cs="Arial"/>
          <w:szCs w:val="24"/>
        </w:rPr>
        <w:t xml:space="preserve">). Cada </w:t>
      </w:r>
      <w:r w:rsidR="00FF597D" w:rsidRPr="00030D4D">
        <w:rPr>
          <w:rFonts w:ascii="Arial" w:hAnsi="Arial" w:cs="Arial"/>
          <w:szCs w:val="24"/>
        </w:rPr>
        <w:t xml:space="preserve">instrumento </w:t>
      </w:r>
      <w:r w:rsidR="005B27C2" w:rsidRPr="00030D4D">
        <w:rPr>
          <w:rFonts w:ascii="Arial" w:hAnsi="Arial" w:cs="Arial"/>
          <w:szCs w:val="24"/>
        </w:rPr>
        <w:t>é mais</w:t>
      </w:r>
      <w:r w:rsidRPr="00030D4D">
        <w:rPr>
          <w:rFonts w:ascii="Arial" w:hAnsi="Arial" w:cs="Arial"/>
          <w:szCs w:val="24"/>
        </w:rPr>
        <w:t xml:space="preserve"> adequad</w:t>
      </w:r>
      <w:r w:rsidR="00FF597D" w:rsidRPr="00030D4D">
        <w:rPr>
          <w:rFonts w:ascii="Arial" w:hAnsi="Arial" w:cs="Arial"/>
          <w:szCs w:val="24"/>
        </w:rPr>
        <w:t>o</w:t>
      </w:r>
      <w:r w:rsidRPr="00030D4D">
        <w:rPr>
          <w:rFonts w:ascii="Arial" w:hAnsi="Arial" w:cs="Arial"/>
          <w:szCs w:val="24"/>
        </w:rPr>
        <w:t xml:space="preserve"> a </w:t>
      </w:r>
      <w:r w:rsidR="005B27C2" w:rsidRPr="00030D4D">
        <w:rPr>
          <w:rFonts w:ascii="Arial" w:hAnsi="Arial" w:cs="Arial"/>
          <w:szCs w:val="24"/>
        </w:rPr>
        <w:t xml:space="preserve">apoiar </w:t>
      </w:r>
      <w:r w:rsidRPr="00030D4D">
        <w:rPr>
          <w:rFonts w:ascii="Arial" w:hAnsi="Arial" w:cs="Arial"/>
          <w:szCs w:val="24"/>
        </w:rPr>
        <w:t>certos tipos de projetos, estratégias</w:t>
      </w:r>
      <w:r w:rsidR="005B27C2" w:rsidRPr="00030D4D">
        <w:rPr>
          <w:rFonts w:ascii="Arial" w:hAnsi="Arial" w:cs="Arial"/>
          <w:szCs w:val="24"/>
        </w:rPr>
        <w:t xml:space="preserve"> e empreendimentos, assim como</w:t>
      </w:r>
      <w:r w:rsidRPr="00030D4D">
        <w:rPr>
          <w:rFonts w:ascii="Arial" w:hAnsi="Arial" w:cs="Arial"/>
          <w:szCs w:val="24"/>
        </w:rPr>
        <w:t xml:space="preserve"> determinadas etapas do processo inovativo. As fontes não reembolsáveis requerem contrapartida financeira por parte das empresas, a qual varia conforme o porte</w:t>
      </w:r>
      <w:r w:rsidR="00A82E66" w:rsidRPr="00030D4D">
        <w:rPr>
          <w:rFonts w:ascii="Arial" w:hAnsi="Arial" w:cs="Arial"/>
          <w:szCs w:val="24"/>
        </w:rPr>
        <w:t xml:space="preserve"> da organização</w:t>
      </w:r>
      <w:r w:rsidRPr="00030D4D">
        <w:rPr>
          <w:rFonts w:ascii="Arial" w:hAnsi="Arial" w:cs="Arial"/>
          <w:szCs w:val="24"/>
        </w:rPr>
        <w:t xml:space="preserve">.  </w:t>
      </w:r>
    </w:p>
    <w:p w:rsidR="001D452D" w:rsidRPr="00030D4D" w:rsidRDefault="00B728F1" w:rsidP="001441DA">
      <w:pPr>
        <w:spacing w:before="0"/>
        <w:rPr>
          <w:rFonts w:ascii="Arial" w:hAnsi="Arial" w:cs="Arial"/>
          <w:szCs w:val="24"/>
        </w:rPr>
      </w:pPr>
      <w:r w:rsidRPr="00030D4D">
        <w:rPr>
          <w:rFonts w:ascii="Arial" w:hAnsi="Arial" w:cs="Arial"/>
          <w:szCs w:val="24"/>
        </w:rPr>
        <w:t>N</w:t>
      </w:r>
      <w:r w:rsidR="00FF597D" w:rsidRPr="00030D4D">
        <w:rPr>
          <w:rFonts w:ascii="Arial" w:hAnsi="Arial" w:cs="Arial"/>
          <w:szCs w:val="24"/>
        </w:rPr>
        <w:t xml:space="preserve">a segunda categoria </w:t>
      </w:r>
      <w:r w:rsidR="009A1B8E" w:rsidRPr="00030D4D">
        <w:rPr>
          <w:rFonts w:ascii="Arial" w:hAnsi="Arial" w:cs="Arial"/>
        </w:rPr>
        <w:t xml:space="preserve">são incluídos os incentivos fiscais, compras e encomendas e garantia de liquidez. Há </w:t>
      </w:r>
      <w:r w:rsidR="001D452D" w:rsidRPr="00030D4D">
        <w:rPr>
          <w:rFonts w:ascii="Arial" w:hAnsi="Arial" w:cs="Arial"/>
          <w:szCs w:val="24"/>
        </w:rPr>
        <w:t>incentivo fiscal</w:t>
      </w:r>
      <w:r w:rsidR="009A1B8E" w:rsidRPr="00030D4D">
        <w:rPr>
          <w:rFonts w:ascii="Arial" w:hAnsi="Arial" w:cs="Arial"/>
          <w:szCs w:val="24"/>
        </w:rPr>
        <w:t xml:space="preserve"> </w:t>
      </w:r>
      <w:r w:rsidR="005B27C2" w:rsidRPr="00030D4D">
        <w:rPr>
          <w:rFonts w:ascii="Arial" w:hAnsi="Arial" w:cs="Arial"/>
          <w:szCs w:val="24"/>
        </w:rPr>
        <w:t>de natureza geral e setorial.</w:t>
      </w:r>
      <w:r w:rsidR="00F922F1" w:rsidRPr="00030D4D">
        <w:rPr>
          <w:rFonts w:ascii="Arial" w:hAnsi="Arial" w:cs="Arial"/>
          <w:szCs w:val="24"/>
        </w:rPr>
        <w:t xml:space="preserve"> O </w:t>
      </w:r>
      <w:r w:rsidR="005B27C2" w:rsidRPr="00030D4D">
        <w:rPr>
          <w:rFonts w:ascii="Arial" w:hAnsi="Arial" w:cs="Arial"/>
          <w:szCs w:val="24"/>
        </w:rPr>
        <w:t xml:space="preserve">instrumento fiscal </w:t>
      </w:r>
      <w:r w:rsidR="000D34C4" w:rsidRPr="00030D4D">
        <w:rPr>
          <w:rFonts w:ascii="Arial" w:hAnsi="Arial" w:cs="Arial"/>
          <w:szCs w:val="24"/>
        </w:rPr>
        <w:t>abrangente</w:t>
      </w:r>
      <w:r w:rsidR="005B27C2" w:rsidRPr="00030D4D">
        <w:rPr>
          <w:rFonts w:ascii="Arial" w:hAnsi="Arial" w:cs="Arial"/>
          <w:szCs w:val="24"/>
        </w:rPr>
        <w:t>, que atende ao conjunto de empresas dos mais diversos segmentos da produção</w:t>
      </w:r>
      <w:r w:rsidR="00F922F1" w:rsidRPr="00030D4D">
        <w:rPr>
          <w:rFonts w:ascii="Arial" w:hAnsi="Arial" w:cs="Arial"/>
          <w:szCs w:val="24"/>
        </w:rPr>
        <w:t xml:space="preserve"> foi definido</w:t>
      </w:r>
      <w:r w:rsidR="001D452D" w:rsidRPr="00030D4D">
        <w:rPr>
          <w:rFonts w:ascii="Arial" w:hAnsi="Arial" w:cs="Arial"/>
          <w:szCs w:val="24"/>
        </w:rPr>
        <w:t xml:space="preserve"> </w:t>
      </w:r>
      <w:r w:rsidR="00F922F1" w:rsidRPr="00030D4D">
        <w:rPr>
          <w:rFonts w:ascii="Arial" w:hAnsi="Arial" w:cs="Arial"/>
          <w:szCs w:val="24"/>
        </w:rPr>
        <w:t>pela</w:t>
      </w:r>
      <w:r w:rsidR="001D452D" w:rsidRPr="00030D4D">
        <w:rPr>
          <w:rFonts w:ascii="Arial" w:hAnsi="Arial" w:cs="Arial"/>
          <w:szCs w:val="24"/>
        </w:rPr>
        <w:t xml:space="preserve"> Lei n</w:t>
      </w:r>
      <w:r w:rsidR="001D452D" w:rsidRPr="00030D4D">
        <w:rPr>
          <w:rFonts w:ascii="Arial" w:hAnsi="Arial" w:cs="Arial"/>
          <w:szCs w:val="24"/>
          <w:vertAlign w:val="superscript"/>
        </w:rPr>
        <w:t>o</w:t>
      </w:r>
      <w:r w:rsidR="001D452D" w:rsidRPr="00030D4D">
        <w:rPr>
          <w:rFonts w:ascii="Arial" w:hAnsi="Arial" w:cs="Arial"/>
          <w:szCs w:val="24"/>
        </w:rPr>
        <w:t xml:space="preserve"> 11.196/05 (conhecida como Lei do Bem</w:t>
      </w:r>
      <w:r w:rsidR="005B27C2" w:rsidRPr="00030D4D">
        <w:rPr>
          <w:rFonts w:ascii="Arial" w:hAnsi="Arial" w:cs="Arial"/>
          <w:szCs w:val="24"/>
        </w:rPr>
        <w:t>, e respectivas alterações</w:t>
      </w:r>
      <w:r w:rsidR="001D452D" w:rsidRPr="00030D4D">
        <w:rPr>
          <w:rFonts w:ascii="Arial" w:hAnsi="Arial" w:cs="Arial"/>
          <w:szCs w:val="24"/>
        </w:rPr>
        <w:t xml:space="preserve">) </w:t>
      </w:r>
      <w:r w:rsidR="00F922F1" w:rsidRPr="00030D4D">
        <w:rPr>
          <w:rFonts w:ascii="Arial" w:hAnsi="Arial" w:cs="Arial"/>
          <w:szCs w:val="24"/>
        </w:rPr>
        <w:t xml:space="preserve">e </w:t>
      </w:r>
      <w:r w:rsidR="001D452D" w:rsidRPr="00030D4D">
        <w:rPr>
          <w:rFonts w:ascii="Arial" w:hAnsi="Arial" w:cs="Arial"/>
          <w:szCs w:val="24"/>
        </w:rPr>
        <w:t>destina</w:t>
      </w:r>
      <w:r w:rsidR="00F922F1" w:rsidRPr="00030D4D">
        <w:rPr>
          <w:rFonts w:ascii="Arial" w:hAnsi="Arial" w:cs="Arial"/>
          <w:szCs w:val="24"/>
        </w:rPr>
        <w:t>-se</w:t>
      </w:r>
      <w:r w:rsidR="001D452D" w:rsidRPr="00030D4D">
        <w:rPr>
          <w:rFonts w:ascii="Arial" w:hAnsi="Arial" w:cs="Arial"/>
          <w:szCs w:val="24"/>
        </w:rPr>
        <w:t xml:space="preserve"> a empresas </w:t>
      </w:r>
      <w:r w:rsidR="00EB2E96" w:rsidRPr="00030D4D">
        <w:rPr>
          <w:rFonts w:ascii="Arial" w:hAnsi="Arial" w:cs="Arial"/>
          <w:szCs w:val="24"/>
        </w:rPr>
        <w:t xml:space="preserve">que operam </w:t>
      </w:r>
      <w:r w:rsidR="001D452D" w:rsidRPr="00030D4D">
        <w:rPr>
          <w:rFonts w:ascii="Arial" w:hAnsi="Arial" w:cs="Arial"/>
          <w:szCs w:val="24"/>
        </w:rPr>
        <w:t xml:space="preserve">sob o </w:t>
      </w:r>
      <w:r w:rsidR="00EB2E96" w:rsidRPr="00030D4D">
        <w:rPr>
          <w:rFonts w:ascii="Arial" w:hAnsi="Arial" w:cs="Arial"/>
          <w:szCs w:val="24"/>
        </w:rPr>
        <w:t>regime tributário do lucro real.</w:t>
      </w:r>
      <w:r w:rsidR="001D452D" w:rsidRPr="00030D4D">
        <w:rPr>
          <w:rFonts w:ascii="Arial" w:hAnsi="Arial" w:cs="Arial"/>
          <w:szCs w:val="24"/>
        </w:rPr>
        <w:t xml:space="preserve"> </w:t>
      </w:r>
      <w:r w:rsidR="00EB2E96" w:rsidRPr="00030D4D">
        <w:rPr>
          <w:rFonts w:ascii="Arial" w:hAnsi="Arial" w:cs="Arial"/>
          <w:szCs w:val="24"/>
        </w:rPr>
        <w:t>Elas</w:t>
      </w:r>
      <w:r w:rsidR="001D452D" w:rsidRPr="00030D4D">
        <w:rPr>
          <w:rFonts w:ascii="Arial" w:hAnsi="Arial" w:cs="Arial"/>
          <w:szCs w:val="24"/>
        </w:rPr>
        <w:t xml:space="preserve"> pode</w:t>
      </w:r>
      <w:r w:rsidR="00EB2E96" w:rsidRPr="00030D4D">
        <w:rPr>
          <w:rFonts w:ascii="Arial" w:hAnsi="Arial" w:cs="Arial"/>
          <w:szCs w:val="24"/>
        </w:rPr>
        <w:t>m</w:t>
      </w:r>
      <w:r w:rsidR="001D452D" w:rsidRPr="00030D4D">
        <w:rPr>
          <w:rFonts w:ascii="Arial" w:hAnsi="Arial" w:cs="Arial"/>
          <w:szCs w:val="24"/>
        </w:rPr>
        <w:t xml:space="preserve"> deduzir dos lucros tributáveis os gastos com PD&amp;I, assim como obter desconto de IPI nos bens adquiridos para essa atividade. Não há possibilidade de uso retroativo do instrumento fiscal, ou seja, a utilização do benefício restringe-se ao período em que está sendo desenvolvido o projeto de PD&amp;I</w:t>
      </w:r>
      <w:r w:rsidR="00F82CE0" w:rsidRPr="00030D4D">
        <w:rPr>
          <w:rFonts w:ascii="Arial" w:hAnsi="Arial" w:cs="Arial"/>
          <w:szCs w:val="24"/>
        </w:rPr>
        <w:t xml:space="preserve"> </w:t>
      </w:r>
      <w:r w:rsidR="00A61306" w:rsidRPr="00030D4D">
        <w:rPr>
          <w:rFonts w:ascii="Arial" w:hAnsi="Arial" w:cs="Arial"/>
          <w:szCs w:val="24"/>
        </w:rPr>
        <w:t xml:space="preserve">e sob o qual incidirão os impostos </w:t>
      </w:r>
      <w:r w:rsidR="00F82CE0" w:rsidRPr="00030D4D">
        <w:rPr>
          <w:rFonts w:ascii="Arial" w:hAnsi="Arial" w:cs="Arial"/>
          <w:szCs w:val="24"/>
        </w:rPr>
        <w:t>(ano-base</w:t>
      </w:r>
      <w:r w:rsidR="005A58BD" w:rsidRPr="00030D4D">
        <w:rPr>
          <w:rFonts w:ascii="Arial" w:hAnsi="Arial" w:cs="Arial"/>
          <w:szCs w:val="24"/>
        </w:rPr>
        <w:t xml:space="preserve"> ou ano fiscal</w:t>
      </w:r>
      <w:r w:rsidR="00F82CE0" w:rsidRPr="00030D4D">
        <w:rPr>
          <w:rFonts w:ascii="Arial" w:hAnsi="Arial" w:cs="Arial"/>
          <w:szCs w:val="24"/>
        </w:rPr>
        <w:t>)</w:t>
      </w:r>
      <w:r w:rsidR="001D452D" w:rsidRPr="00030D4D">
        <w:rPr>
          <w:rFonts w:ascii="Arial" w:hAnsi="Arial" w:cs="Arial"/>
          <w:szCs w:val="24"/>
        </w:rPr>
        <w:t xml:space="preserve">. </w:t>
      </w:r>
      <w:r w:rsidR="004B6751" w:rsidRPr="00030D4D">
        <w:rPr>
          <w:rFonts w:ascii="Arial" w:hAnsi="Arial" w:cs="Arial"/>
        </w:rPr>
        <w:t>A</w:t>
      </w:r>
      <w:r w:rsidR="00F922F1" w:rsidRPr="00030D4D">
        <w:rPr>
          <w:rFonts w:ascii="Arial" w:hAnsi="Arial" w:cs="Arial"/>
        </w:rPr>
        <w:t xml:space="preserve"> Lei de Informática (Lei </w:t>
      </w:r>
      <w:r w:rsidR="00F922F1" w:rsidRPr="00030D4D">
        <w:rPr>
          <w:rFonts w:ascii="Arial" w:hAnsi="Arial" w:cs="Arial"/>
          <w:szCs w:val="24"/>
        </w:rPr>
        <w:t>n</w:t>
      </w:r>
      <w:r w:rsidR="00F922F1" w:rsidRPr="00030D4D">
        <w:rPr>
          <w:rFonts w:ascii="Arial" w:hAnsi="Arial" w:cs="Arial"/>
          <w:szCs w:val="24"/>
          <w:vertAlign w:val="superscript"/>
        </w:rPr>
        <w:t>o</w:t>
      </w:r>
      <w:r w:rsidR="00F922F1" w:rsidRPr="00030D4D">
        <w:rPr>
          <w:rFonts w:ascii="Arial" w:hAnsi="Arial" w:cs="Arial"/>
        </w:rPr>
        <w:t xml:space="preserve"> 10.176/01 e respectivas alterações)</w:t>
      </w:r>
      <w:r w:rsidR="004B6751" w:rsidRPr="00030D4D">
        <w:rPr>
          <w:rFonts w:ascii="Arial" w:hAnsi="Arial" w:cs="Arial"/>
        </w:rPr>
        <w:t xml:space="preserve"> corresponde a um tipo de incentivo fiscal de natureza setorial, voltado às empresas que desenvolvem P&amp;D no setor de tecnologia e informação e comunicação.</w:t>
      </w:r>
      <w:r w:rsidR="00FF597D" w:rsidRPr="00030D4D">
        <w:rPr>
          <w:rFonts w:ascii="Arial" w:hAnsi="Arial" w:cs="Arial"/>
        </w:rPr>
        <w:t xml:space="preserve"> </w:t>
      </w:r>
      <w:r w:rsidR="001D452D" w:rsidRPr="00030D4D">
        <w:rPr>
          <w:rFonts w:ascii="Arial" w:hAnsi="Arial" w:cs="Arial"/>
          <w:szCs w:val="24"/>
        </w:rPr>
        <w:t xml:space="preserve">Os principais instrumentos são apresentados de forma sucinta nesta seção. </w:t>
      </w:r>
    </w:p>
    <w:p w:rsidR="00141657" w:rsidRPr="00030D4D" w:rsidRDefault="00AF3F7C" w:rsidP="002F1D4F">
      <w:pPr>
        <w:pStyle w:val="Heading3"/>
        <w:numPr>
          <w:ilvl w:val="2"/>
          <w:numId w:val="19"/>
        </w:numPr>
        <w:rPr>
          <w:rFonts w:ascii="Arial" w:hAnsi="Arial" w:cs="Arial"/>
        </w:rPr>
      </w:pPr>
      <w:bookmarkStart w:id="10" w:name="_Toc433665371"/>
      <w:bookmarkStart w:id="11" w:name="_Toc482828483"/>
      <w:r w:rsidRPr="00030D4D">
        <w:rPr>
          <w:rFonts w:ascii="Arial" w:hAnsi="Arial" w:cs="Arial"/>
        </w:rPr>
        <w:t>Crédito</w:t>
      </w:r>
      <w:r w:rsidR="001D452D" w:rsidRPr="00030D4D">
        <w:rPr>
          <w:rFonts w:ascii="Arial" w:hAnsi="Arial" w:cs="Arial"/>
        </w:rPr>
        <w:t xml:space="preserve"> </w:t>
      </w:r>
      <w:r w:rsidR="001C3C49" w:rsidRPr="00030D4D">
        <w:rPr>
          <w:rFonts w:ascii="Arial" w:hAnsi="Arial" w:cs="Arial"/>
        </w:rPr>
        <w:t>(</w:t>
      </w:r>
      <w:r w:rsidR="001D452D" w:rsidRPr="00030D4D">
        <w:rPr>
          <w:rFonts w:ascii="Arial" w:hAnsi="Arial" w:cs="Arial"/>
        </w:rPr>
        <w:t>Reembolsável</w:t>
      </w:r>
      <w:bookmarkEnd w:id="10"/>
      <w:r w:rsidR="001C3C49" w:rsidRPr="00030D4D">
        <w:rPr>
          <w:rFonts w:ascii="Arial" w:hAnsi="Arial" w:cs="Arial"/>
        </w:rPr>
        <w:t>)</w:t>
      </w:r>
      <w:bookmarkEnd w:id="11"/>
    </w:p>
    <w:p w:rsidR="00B86C5D" w:rsidRPr="00030D4D" w:rsidRDefault="001D452D" w:rsidP="001441DA">
      <w:pPr>
        <w:spacing w:before="0"/>
        <w:rPr>
          <w:rFonts w:ascii="Arial" w:hAnsi="Arial" w:cs="Arial"/>
          <w:szCs w:val="24"/>
        </w:rPr>
      </w:pPr>
      <w:r w:rsidRPr="00030D4D">
        <w:rPr>
          <w:rFonts w:ascii="Arial" w:hAnsi="Arial" w:cs="Arial"/>
          <w:szCs w:val="24"/>
        </w:rPr>
        <w:t xml:space="preserve">A Finep é a principal agência de financiamento </w:t>
      </w:r>
      <w:r w:rsidR="001E660D" w:rsidRPr="00030D4D">
        <w:rPr>
          <w:rFonts w:ascii="Arial" w:hAnsi="Arial" w:cs="Arial"/>
          <w:szCs w:val="24"/>
        </w:rPr>
        <w:t>à</w:t>
      </w:r>
      <w:r w:rsidRPr="00030D4D">
        <w:rPr>
          <w:rFonts w:ascii="Arial" w:hAnsi="Arial" w:cs="Arial"/>
          <w:szCs w:val="24"/>
        </w:rPr>
        <w:t xml:space="preserve"> </w:t>
      </w:r>
      <w:r w:rsidR="00F922F1" w:rsidRPr="00030D4D">
        <w:rPr>
          <w:rFonts w:ascii="Arial" w:hAnsi="Arial" w:cs="Arial"/>
          <w:szCs w:val="24"/>
        </w:rPr>
        <w:t xml:space="preserve">PD&amp;I </w:t>
      </w:r>
      <w:r w:rsidR="00563B69" w:rsidRPr="00030D4D">
        <w:rPr>
          <w:rFonts w:ascii="Arial" w:hAnsi="Arial" w:cs="Arial"/>
          <w:szCs w:val="24"/>
        </w:rPr>
        <w:t>no</w:t>
      </w:r>
      <w:r w:rsidR="00F922F1" w:rsidRPr="00030D4D">
        <w:rPr>
          <w:rFonts w:ascii="Arial" w:hAnsi="Arial" w:cs="Arial"/>
          <w:szCs w:val="24"/>
        </w:rPr>
        <w:t xml:space="preserve"> Brasil</w:t>
      </w:r>
      <w:r w:rsidRPr="00030D4D">
        <w:rPr>
          <w:rFonts w:ascii="Arial" w:hAnsi="Arial" w:cs="Arial"/>
          <w:szCs w:val="24"/>
        </w:rPr>
        <w:t xml:space="preserve">, </w:t>
      </w:r>
      <w:r w:rsidR="00F922F1" w:rsidRPr="00030D4D">
        <w:rPr>
          <w:rFonts w:ascii="Arial" w:hAnsi="Arial" w:cs="Arial"/>
          <w:szCs w:val="24"/>
        </w:rPr>
        <w:t>mas</w:t>
      </w:r>
      <w:r w:rsidRPr="00030D4D">
        <w:rPr>
          <w:rFonts w:ascii="Arial" w:hAnsi="Arial" w:cs="Arial"/>
          <w:szCs w:val="24"/>
        </w:rPr>
        <w:t xml:space="preserve"> sua capacidade de </w:t>
      </w:r>
      <w:r w:rsidRPr="00030D4D">
        <w:rPr>
          <w:rFonts w:ascii="Arial" w:hAnsi="Arial" w:cs="Arial"/>
          <w:i/>
          <w:szCs w:val="24"/>
        </w:rPr>
        <w:t xml:space="preserve">funding </w:t>
      </w:r>
      <w:r w:rsidR="002A3B13" w:rsidRPr="00030D4D">
        <w:rPr>
          <w:rFonts w:ascii="Arial" w:hAnsi="Arial" w:cs="Arial"/>
          <w:szCs w:val="24"/>
        </w:rPr>
        <w:t>para</w:t>
      </w:r>
      <w:r w:rsidR="002A3B13" w:rsidRPr="00030D4D">
        <w:rPr>
          <w:rFonts w:ascii="Arial" w:hAnsi="Arial" w:cs="Arial"/>
          <w:i/>
          <w:szCs w:val="24"/>
        </w:rPr>
        <w:t xml:space="preserve"> </w:t>
      </w:r>
      <w:r w:rsidR="002A3B13" w:rsidRPr="00030D4D">
        <w:rPr>
          <w:rFonts w:ascii="Arial" w:hAnsi="Arial" w:cs="Arial"/>
          <w:szCs w:val="24"/>
        </w:rPr>
        <w:t>operar o instrumento de crédito</w:t>
      </w:r>
      <w:r w:rsidR="002A3B13" w:rsidRPr="00030D4D">
        <w:rPr>
          <w:rFonts w:ascii="Arial" w:hAnsi="Arial" w:cs="Arial"/>
          <w:i/>
          <w:szCs w:val="24"/>
        </w:rPr>
        <w:t xml:space="preserve"> </w:t>
      </w:r>
      <w:r w:rsidR="00665383" w:rsidRPr="00030D4D">
        <w:rPr>
          <w:rFonts w:ascii="Arial" w:hAnsi="Arial" w:cs="Arial"/>
          <w:szCs w:val="24"/>
        </w:rPr>
        <w:t>sempre foi limitada</w:t>
      </w:r>
      <w:r w:rsidR="00BB147C" w:rsidRPr="00030D4D">
        <w:rPr>
          <w:rFonts w:ascii="Arial" w:hAnsi="Arial" w:cs="Arial"/>
          <w:szCs w:val="24"/>
        </w:rPr>
        <w:t>, uma vez que internamente ela apenas conta com o</w:t>
      </w:r>
      <w:r w:rsidR="00295954" w:rsidRPr="00030D4D">
        <w:rPr>
          <w:rFonts w:ascii="Arial" w:hAnsi="Arial" w:cs="Arial"/>
          <w:szCs w:val="24"/>
        </w:rPr>
        <w:t>s lucros</w:t>
      </w:r>
      <w:r w:rsidR="00A554DD" w:rsidRPr="00030D4D">
        <w:rPr>
          <w:rFonts w:ascii="Arial" w:hAnsi="Arial" w:cs="Arial"/>
          <w:szCs w:val="24"/>
        </w:rPr>
        <w:t xml:space="preserve"> provenientes da </w:t>
      </w:r>
      <w:r w:rsidR="00295954" w:rsidRPr="00030D4D">
        <w:rPr>
          <w:rFonts w:ascii="Arial" w:hAnsi="Arial" w:cs="Arial"/>
          <w:szCs w:val="24"/>
        </w:rPr>
        <w:t xml:space="preserve">própria </w:t>
      </w:r>
      <w:r w:rsidR="00A554DD" w:rsidRPr="00030D4D">
        <w:rPr>
          <w:rFonts w:ascii="Arial" w:hAnsi="Arial" w:cs="Arial"/>
          <w:szCs w:val="24"/>
        </w:rPr>
        <w:t>carteira. Para ampliar essa base</w:t>
      </w:r>
      <w:r w:rsidR="00B728F1" w:rsidRPr="00030D4D">
        <w:rPr>
          <w:rFonts w:ascii="Arial" w:hAnsi="Arial" w:cs="Arial"/>
          <w:szCs w:val="24"/>
        </w:rPr>
        <w:t xml:space="preserve"> de recursos</w:t>
      </w:r>
      <w:r w:rsidR="00A554DD" w:rsidRPr="00030D4D">
        <w:rPr>
          <w:rFonts w:ascii="Arial" w:hAnsi="Arial" w:cs="Arial"/>
          <w:szCs w:val="24"/>
        </w:rPr>
        <w:t xml:space="preserve">, </w:t>
      </w:r>
      <w:r w:rsidR="00295954" w:rsidRPr="00030D4D">
        <w:rPr>
          <w:rFonts w:ascii="Arial" w:hAnsi="Arial" w:cs="Arial"/>
          <w:szCs w:val="24"/>
        </w:rPr>
        <w:t>a Agência</w:t>
      </w:r>
      <w:r w:rsidR="00A554DD" w:rsidRPr="00030D4D">
        <w:rPr>
          <w:rFonts w:ascii="Arial" w:hAnsi="Arial" w:cs="Arial"/>
          <w:szCs w:val="24"/>
        </w:rPr>
        <w:t xml:space="preserve"> capta </w:t>
      </w:r>
      <w:r w:rsidR="00F27E0D" w:rsidRPr="00030D4D">
        <w:rPr>
          <w:rFonts w:ascii="Arial" w:hAnsi="Arial" w:cs="Arial"/>
          <w:szCs w:val="24"/>
        </w:rPr>
        <w:t>recursos junto ao FNDCT</w:t>
      </w:r>
      <w:r w:rsidR="00376423" w:rsidRPr="00030D4D">
        <w:rPr>
          <w:rFonts w:ascii="Arial" w:hAnsi="Arial" w:cs="Arial"/>
          <w:szCs w:val="24"/>
        </w:rPr>
        <w:t>,</w:t>
      </w:r>
      <w:r w:rsidR="00F27E0D" w:rsidRPr="00030D4D">
        <w:rPr>
          <w:rFonts w:ascii="Arial" w:hAnsi="Arial" w:cs="Arial"/>
          <w:szCs w:val="24"/>
        </w:rPr>
        <w:t xml:space="preserve"> ao BNDES</w:t>
      </w:r>
      <w:r w:rsidR="00376423" w:rsidRPr="00030D4D">
        <w:rPr>
          <w:rFonts w:ascii="Arial" w:hAnsi="Arial" w:cs="Arial"/>
          <w:szCs w:val="24"/>
        </w:rPr>
        <w:t xml:space="preserve"> e outras instâncias nacionais e internacionais</w:t>
      </w:r>
      <w:r w:rsidR="00F27E0D" w:rsidRPr="00030D4D">
        <w:rPr>
          <w:rFonts w:ascii="Arial" w:hAnsi="Arial" w:cs="Arial"/>
          <w:szCs w:val="24"/>
        </w:rPr>
        <w:t xml:space="preserve">. </w:t>
      </w:r>
      <w:r w:rsidR="00665383" w:rsidRPr="00030D4D">
        <w:rPr>
          <w:rFonts w:ascii="Arial" w:hAnsi="Arial" w:cs="Arial"/>
          <w:szCs w:val="24"/>
        </w:rPr>
        <w:t>Com</w:t>
      </w:r>
      <w:r w:rsidRPr="00030D4D">
        <w:rPr>
          <w:rFonts w:ascii="Arial" w:hAnsi="Arial" w:cs="Arial"/>
          <w:szCs w:val="24"/>
        </w:rPr>
        <w:t xml:space="preserve"> </w:t>
      </w:r>
      <w:r w:rsidR="001E1561" w:rsidRPr="00030D4D">
        <w:rPr>
          <w:rFonts w:ascii="Arial" w:hAnsi="Arial" w:cs="Arial"/>
          <w:szCs w:val="24"/>
        </w:rPr>
        <w:t>o</w:t>
      </w:r>
      <w:r w:rsidRPr="00030D4D">
        <w:rPr>
          <w:rFonts w:ascii="Arial" w:hAnsi="Arial" w:cs="Arial"/>
          <w:szCs w:val="24"/>
        </w:rPr>
        <w:t xml:space="preserve"> advento dos </w:t>
      </w:r>
      <w:r w:rsidR="00C229EE" w:rsidRPr="00030D4D">
        <w:rPr>
          <w:rFonts w:ascii="Arial" w:hAnsi="Arial" w:cs="Arial"/>
          <w:szCs w:val="24"/>
        </w:rPr>
        <w:t>f</w:t>
      </w:r>
      <w:r w:rsidRPr="00030D4D">
        <w:rPr>
          <w:rFonts w:ascii="Arial" w:hAnsi="Arial" w:cs="Arial"/>
          <w:szCs w:val="24"/>
        </w:rPr>
        <w:t xml:space="preserve">undos </w:t>
      </w:r>
      <w:r w:rsidR="00C229EE" w:rsidRPr="00030D4D">
        <w:rPr>
          <w:rFonts w:ascii="Arial" w:hAnsi="Arial" w:cs="Arial"/>
          <w:szCs w:val="24"/>
        </w:rPr>
        <w:t>s</w:t>
      </w:r>
      <w:r w:rsidRPr="00030D4D">
        <w:rPr>
          <w:rFonts w:ascii="Arial" w:hAnsi="Arial" w:cs="Arial"/>
          <w:szCs w:val="24"/>
        </w:rPr>
        <w:t>etoriais</w:t>
      </w:r>
      <w:r w:rsidR="00563B69" w:rsidRPr="00030D4D">
        <w:rPr>
          <w:rFonts w:ascii="Arial" w:hAnsi="Arial" w:cs="Arial"/>
          <w:szCs w:val="24"/>
        </w:rPr>
        <w:t xml:space="preserve">, na segunda metade da década de 1990, </w:t>
      </w:r>
      <w:r w:rsidR="00031914" w:rsidRPr="00030D4D">
        <w:rPr>
          <w:rFonts w:ascii="Arial" w:hAnsi="Arial" w:cs="Arial"/>
          <w:szCs w:val="24"/>
        </w:rPr>
        <w:t>o</w:t>
      </w:r>
      <w:r w:rsidR="00E548DA" w:rsidRPr="00030D4D">
        <w:rPr>
          <w:rFonts w:ascii="Arial" w:hAnsi="Arial" w:cs="Arial"/>
          <w:szCs w:val="24"/>
        </w:rPr>
        <w:t xml:space="preserve">s empréstimos </w:t>
      </w:r>
      <w:r w:rsidR="00B728F1" w:rsidRPr="00030D4D">
        <w:rPr>
          <w:rFonts w:ascii="Arial" w:hAnsi="Arial" w:cs="Arial"/>
          <w:szCs w:val="24"/>
        </w:rPr>
        <w:t xml:space="preserve">tomados para fazer </w:t>
      </w:r>
      <w:r w:rsidR="00B728F1" w:rsidRPr="00030D4D">
        <w:rPr>
          <w:rFonts w:ascii="Arial" w:hAnsi="Arial" w:cs="Arial"/>
          <w:i/>
          <w:szCs w:val="24"/>
        </w:rPr>
        <w:t>funding</w:t>
      </w:r>
      <w:r w:rsidR="00B728F1" w:rsidRPr="00030D4D">
        <w:rPr>
          <w:rFonts w:ascii="Arial" w:hAnsi="Arial" w:cs="Arial"/>
          <w:szCs w:val="24"/>
        </w:rPr>
        <w:t xml:space="preserve"> </w:t>
      </w:r>
      <w:r w:rsidR="00E548DA" w:rsidRPr="00030D4D">
        <w:rPr>
          <w:rFonts w:ascii="Arial" w:hAnsi="Arial" w:cs="Arial"/>
          <w:szCs w:val="24"/>
        </w:rPr>
        <w:t>ficaram mais restritos ao FNDCT e a</w:t>
      </w:r>
      <w:r w:rsidRPr="00030D4D">
        <w:rPr>
          <w:rFonts w:ascii="Arial" w:hAnsi="Arial" w:cs="Arial"/>
          <w:szCs w:val="24"/>
        </w:rPr>
        <w:t>o BNDES</w:t>
      </w:r>
      <w:r w:rsidR="00F1501C" w:rsidRPr="00030D4D">
        <w:rPr>
          <w:rFonts w:ascii="Arial" w:hAnsi="Arial" w:cs="Arial"/>
          <w:szCs w:val="24"/>
        </w:rPr>
        <w:t xml:space="preserve"> (empréstimos do FAT)</w:t>
      </w:r>
      <w:r w:rsidR="00642A18" w:rsidRPr="00030D4D">
        <w:rPr>
          <w:rFonts w:ascii="Arial" w:hAnsi="Arial" w:cs="Arial"/>
          <w:szCs w:val="24"/>
        </w:rPr>
        <w:t xml:space="preserve"> e, em menor proporção, ao Funttel</w:t>
      </w:r>
      <w:r w:rsidR="00295954" w:rsidRPr="00030D4D">
        <w:rPr>
          <w:rFonts w:ascii="Arial" w:hAnsi="Arial" w:cs="Arial"/>
          <w:szCs w:val="24"/>
        </w:rPr>
        <w:t>, prescindindo da captação junto a outras fontes</w:t>
      </w:r>
      <w:r w:rsidRPr="00030D4D">
        <w:rPr>
          <w:rFonts w:ascii="Arial" w:hAnsi="Arial" w:cs="Arial"/>
          <w:szCs w:val="24"/>
        </w:rPr>
        <w:t xml:space="preserve">. </w:t>
      </w:r>
    </w:p>
    <w:p w:rsidR="001D452D" w:rsidRPr="00030D4D" w:rsidRDefault="007E32FD" w:rsidP="001441DA">
      <w:pPr>
        <w:spacing w:before="0"/>
        <w:rPr>
          <w:rFonts w:ascii="Arial" w:hAnsi="Arial" w:cs="Arial"/>
          <w:szCs w:val="24"/>
        </w:rPr>
      </w:pPr>
      <w:r w:rsidRPr="00030D4D">
        <w:rPr>
          <w:rFonts w:ascii="Arial" w:hAnsi="Arial" w:cs="Arial"/>
          <w:szCs w:val="24"/>
        </w:rPr>
        <w:t xml:space="preserve">Os </w:t>
      </w:r>
      <w:r w:rsidR="00B559BC" w:rsidRPr="00030D4D">
        <w:rPr>
          <w:rFonts w:ascii="Arial" w:hAnsi="Arial" w:cs="Arial"/>
          <w:szCs w:val="24"/>
        </w:rPr>
        <w:t>financiamentos (</w:t>
      </w:r>
      <w:r w:rsidRPr="00030D4D">
        <w:rPr>
          <w:rFonts w:ascii="Arial" w:hAnsi="Arial" w:cs="Arial"/>
          <w:szCs w:val="24"/>
        </w:rPr>
        <w:t>empréstimos</w:t>
      </w:r>
      <w:r w:rsidR="00B559BC" w:rsidRPr="00030D4D">
        <w:rPr>
          <w:rFonts w:ascii="Arial" w:hAnsi="Arial" w:cs="Arial"/>
          <w:szCs w:val="24"/>
        </w:rPr>
        <w:t>)</w:t>
      </w:r>
      <w:r w:rsidRPr="00030D4D">
        <w:rPr>
          <w:rFonts w:ascii="Arial" w:hAnsi="Arial" w:cs="Arial"/>
          <w:szCs w:val="24"/>
        </w:rPr>
        <w:t xml:space="preserve"> </w:t>
      </w:r>
      <w:r w:rsidR="003108E9" w:rsidRPr="00030D4D">
        <w:rPr>
          <w:rFonts w:ascii="Arial" w:hAnsi="Arial" w:cs="Arial"/>
          <w:szCs w:val="24"/>
        </w:rPr>
        <w:t xml:space="preserve">da Finep e do BNDES </w:t>
      </w:r>
      <w:r w:rsidR="00B559BC" w:rsidRPr="00030D4D">
        <w:rPr>
          <w:rFonts w:ascii="Arial" w:hAnsi="Arial" w:cs="Arial"/>
          <w:szCs w:val="24"/>
        </w:rPr>
        <w:t>a</w:t>
      </w:r>
      <w:r w:rsidR="00AF65F1" w:rsidRPr="00030D4D">
        <w:rPr>
          <w:rFonts w:ascii="Arial" w:hAnsi="Arial" w:cs="Arial"/>
          <w:szCs w:val="24"/>
        </w:rPr>
        <w:t xml:space="preserve"> projetos inovadores </w:t>
      </w:r>
      <w:r w:rsidR="003108E9" w:rsidRPr="00030D4D">
        <w:rPr>
          <w:rFonts w:ascii="Arial" w:hAnsi="Arial" w:cs="Arial"/>
          <w:szCs w:val="24"/>
        </w:rPr>
        <w:t>são</w:t>
      </w:r>
      <w:r w:rsidR="00A3407A" w:rsidRPr="00030D4D">
        <w:rPr>
          <w:rFonts w:ascii="Arial" w:hAnsi="Arial" w:cs="Arial"/>
          <w:szCs w:val="24"/>
        </w:rPr>
        <w:t xml:space="preserve"> realizados com taxas de juros inferiores às do mercado (taxas equalizadas de juros). No caso da Finep, </w:t>
      </w:r>
      <w:r w:rsidR="00730BDF" w:rsidRPr="00030D4D">
        <w:rPr>
          <w:rFonts w:ascii="Arial" w:hAnsi="Arial" w:cs="Arial"/>
          <w:szCs w:val="24"/>
        </w:rPr>
        <w:t xml:space="preserve">são </w:t>
      </w:r>
      <w:r w:rsidR="00A3407A" w:rsidRPr="00030D4D">
        <w:rPr>
          <w:rFonts w:ascii="Arial" w:hAnsi="Arial" w:cs="Arial"/>
          <w:szCs w:val="24"/>
        </w:rPr>
        <w:t>o</w:t>
      </w:r>
      <w:r w:rsidR="001D452D" w:rsidRPr="00030D4D">
        <w:rPr>
          <w:rFonts w:ascii="Arial" w:hAnsi="Arial" w:cs="Arial"/>
          <w:szCs w:val="24"/>
        </w:rPr>
        <w:t xml:space="preserve">s recursos </w:t>
      </w:r>
      <w:r w:rsidR="00730BDF" w:rsidRPr="00030D4D">
        <w:rPr>
          <w:rFonts w:ascii="Arial" w:hAnsi="Arial" w:cs="Arial"/>
          <w:szCs w:val="24"/>
        </w:rPr>
        <w:t>do Fundo Verde-Amarelo (FVA)</w:t>
      </w:r>
      <w:r w:rsidR="001D452D" w:rsidRPr="00030D4D">
        <w:rPr>
          <w:rFonts w:ascii="Arial" w:hAnsi="Arial" w:cs="Arial"/>
          <w:szCs w:val="24"/>
        </w:rPr>
        <w:t xml:space="preserve"> </w:t>
      </w:r>
      <w:r w:rsidR="00730BDF" w:rsidRPr="00030D4D">
        <w:rPr>
          <w:rFonts w:ascii="Arial" w:hAnsi="Arial" w:cs="Arial"/>
          <w:szCs w:val="24"/>
        </w:rPr>
        <w:t>que cobrem</w:t>
      </w:r>
      <w:r w:rsidR="00F922F1" w:rsidRPr="00030D4D">
        <w:rPr>
          <w:rFonts w:ascii="Arial" w:hAnsi="Arial" w:cs="Arial"/>
          <w:szCs w:val="24"/>
        </w:rPr>
        <w:t xml:space="preserve"> </w:t>
      </w:r>
      <w:r w:rsidR="003C30C3" w:rsidRPr="00030D4D">
        <w:rPr>
          <w:rFonts w:ascii="Arial" w:hAnsi="Arial" w:cs="Arial"/>
          <w:szCs w:val="24"/>
        </w:rPr>
        <w:t xml:space="preserve">a diferença </w:t>
      </w:r>
      <w:r w:rsidR="00D84C76" w:rsidRPr="00030D4D">
        <w:rPr>
          <w:rFonts w:ascii="Arial" w:hAnsi="Arial" w:cs="Arial"/>
          <w:szCs w:val="24"/>
        </w:rPr>
        <w:t xml:space="preserve">da taxa de juros </w:t>
      </w:r>
      <w:r w:rsidR="003C30C3" w:rsidRPr="00030D4D">
        <w:rPr>
          <w:rFonts w:ascii="Arial" w:hAnsi="Arial" w:cs="Arial"/>
          <w:szCs w:val="24"/>
        </w:rPr>
        <w:t>a ser subsidiada</w:t>
      </w:r>
      <w:r w:rsidR="001D452D" w:rsidRPr="00030D4D">
        <w:rPr>
          <w:rStyle w:val="FootnoteReference"/>
          <w:rFonts w:ascii="Arial" w:hAnsi="Arial" w:cs="Arial"/>
          <w:szCs w:val="24"/>
        </w:rPr>
        <w:footnoteReference w:id="10"/>
      </w:r>
      <w:r w:rsidR="001441DA" w:rsidRPr="00030D4D">
        <w:rPr>
          <w:rFonts w:ascii="Arial" w:hAnsi="Arial" w:cs="Arial"/>
          <w:szCs w:val="24"/>
        </w:rPr>
        <w:t>.</w:t>
      </w:r>
    </w:p>
    <w:p w:rsidR="003B49B0" w:rsidRPr="00030D4D" w:rsidRDefault="00E67B50" w:rsidP="00E67B50">
      <w:pPr>
        <w:spacing w:before="0"/>
        <w:rPr>
          <w:rFonts w:ascii="Arial" w:hAnsi="Arial" w:cs="Arial"/>
          <w:szCs w:val="24"/>
        </w:rPr>
      </w:pPr>
      <w:r w:rsidRPr="00030D4D">
        <w:rPr>
          <w:rFonts w:ascii="Arial" w:hAnsi="Arial" w:cs="Arial"/>
        </w:rPr>
        <w:t xml:space="preserve">A política de crédito da Finep subdivide-se em linhas </w:t>
      </w:r>
      <w:r w:rsidRPr="00030D4D">
        <w:rPr>
          <w:rFonts w:ascii="Arial" w:hAnsi="Arial" w:cs="Arial"/>
          <w:szCs w:val="24"/>
        </w:rPr>
        <w:t>e programas</w:t>
      </w:r>
      <w:r w:rsidRPr="00030D4D">
        <w:rPr>
          <w:rStyle w:val="FootnoteReference"/>
          <w:rFonts w:ascii="Arial" w:hAnsi="Arial" w:cs="Arial"/>
          <w:szCs w:val="24"/>
        </w:rPr>
        <w:footnoteReference w:id="11"/>
      </w:r>
      <w:r w:rsidRPr="00030D4D">
        <w:rPr>
          <w:rFonts w:ascii="Arial" w:hAnsi="Arial" w:cs="Arial"/>
          <w:szCs w:val="24"/>
        </w:rPr>
        <w:t xml:space="preserve">.  No âmbito das linhas, </w:t>
      </w:r>
      <w:r w:rsidR="004F581E" w:rsidRPr="00030D4D">
        <w:rPr>
          <w:rFonts w:ascii="Arial" w:hAnsi="Arial" w:cs="Arial"/>
          <w:szCs w:val="24"/>
        </w:rPr>
        <w:t>a partir de</w:t>
      </w:r>
      <w:r w:rsidRPr="00030D4D">
        <w:rPr>
          <w:rFonts w:ascii="Arial" w:hAnsi="Arial" w:cs="Arial"/>
          <w:szCs w:val="24"/>
        </w:rPr>
        <w:t xml:space="preserve"> 2013</w:t>
      </w:r>
      <w:r w:rsidR="00BC73B2" w:rsidRPr="00030D4D">
        <w:rPr>
          <w:rFonts w:ascii="Arial" w:hAnsi="Arial" w:cs="Arial"/>
          <w:szCs w:val="24"/>
        </w:rPr>
        <w:t xml:space="preserve"> </w:t>
      </w:r>
      <w:r w:rsidRPr="00030D4D">
        <w:rPr>
          <w:rFonts w:ascii="Arial" w:hAnsi="Arial" w:cs="Arial"/>
          <w:szCs w:val="24"/>
        </w:rPr>
        <w:t xml:space="preserve">a Finep instituiu </w:t>
      </w:r>
      <w:r w:rsidR="0005724A" w:rsidRPr="00030D4D">
        <w:rPr>
          <w:rFonts w:ascii="Arial" w:hAnsi="Arial" w:cs="Arial"/>
          <w:szCs w:val="24"/>
        </w:rPr>
        <w:t xml:space="preserve">entre 2013 </w:t>
      </w:r>
      <w:r w:rsidR="000029DF" w:rsidRPr="00030D4D">
        <w:rPr>
          <w:rFonts w:ascii="Arial" w:hAnsi="Arial" w:cs="Arial"/>
          <w:szCs w:val="24"/>
        </w:rPr>
        <w:t>e primeira metade de 2015</w:t>
      </w:r>
      <w:r w:rsidR="00D42BDB" w:rsidRPr="00030D4D">
        <w:rPr>
          <w:rFonts w:ascii="Arial" w:hAnsi="Arial" w:cs="Arial"/>
          <w:szCs w:val="24"/>
        </w:rPr>
        <w:t xml:space="preserve"> </w:t>
      </w:r>
      <w:r w:rsidR="003523E3" w:rsidRPr="00030D4D">
        <w:rPr>
          <w:rFonts w:ascii="Arial" w:hAnsi="Arial" w:cs="Arial"/>
          <w:szCs w:val="24"/>
        </w:rPr>
        <w:t>o “Finep 30 dias</w:t>
      </w:r>
      <w:r w:rsidRPr="00030D4D">
        <w:rPr>
          <w:rFonts w:ascii="Arial" w:hAnsi="Arial" w:cs="Arial"/>
          <w:szCs w:val="24"/>
        </w:rPr>
        <w:t>”, que faz</w:t>
      </w:r>
      <w:r w:rsidR="00BC73B2" w:rsidRPr="00030D4D">
        <w:rPr>
          <w:rFonts w:ascii="Arial" w:hAnsi="Arial" w:cs="Arial"/>
          <w:szCs w:val="24"/>
        </w:rPr>
        <w:t>ia</w:t>
      </w:r>
      <w:r w:rsidRPr="00030D4D">
        <w:rPr>
          <w:rFonts w:ascii="Arial" w:hAnsi="Arial" w:cs="Arial"/>
          <w:szCs w:val="24"/>
        </w:rPr>
        <w:t xml:space="preserve"> uso de uma metodologia específica para reduzir o prazo para análise e enquadramento das propostas. </w:t>
      </w:r>
    </w:p>
    <w:p w:rsidR="00E67B50" w:rsidRPr="00030D4D" w:rsidRDefault="00E67B50" w:rsidP="00E67B50">
      <w:pPr>
        <w:spacing w:before="0"/>
        <w:rPr>
          <w:rFonts w:ascii="Arial" w:hAnsi="Arial" w:cs="Arial"/>
          <w:szCs w:val="24"/>
        </w:rPr>
      </w:pPr>
      <w:r w:rsidRPr="00030D4D">
        <w:rPr>
          <w:rFonts w:ascii="Arial" w:hAnsi="Arial" w:cs="Arial"/>
          <w:szCs w:val="24"/>
        </w:rPr>
        <w:t xml:space="preserve">No domínio dos programas, estão vigentes o Programa Inovação em Tecnologia Assistiva, o Sibratec e </w:t>
      </w:r>
      <w:r w:rsidR="002F5381" w:rsidRPr="00030D4D">
        <w:rPr>
          <w:rFonts w:ascii="Arial" w:hAnsi="Arial" w:cs="Arial"/>
          <w:szCs w:val="24"/>
        </w:rPr>
        <w:t>o</w:t>
      </w:r>
      <w:r w:rsidRPr="00030D4D">
        <w:rPr>
          <w:rFonts w:ascii="Arial" w:hAnsi="Arial" w:cs="Arial"/>
          <w:szCs w:val="24"/>
        </w:rPr>
        <w:t xml:space="preserve"> </w:t>
      </w:r>
      <w:r w:rsidR="002F5381" w:rsidRPr="00030D4D">
        <w:rPr>
          <w:rFonts w:ascii="Arial" w:hAnsi="Arial" w:cs="Arial"/>
          <w:szCs w:val="24"/>
        </w:rPr>
        <w:t>“</w:t>
      </w:r>
      <w:r w:rsidR="00362585" w:rsidRPr="00030D4D">
        <w:rPr>
          <w:rFonts w:ascii="Arial" w:hAnsi="Arial" w:cs="Arial"/>
          <w:szCs w:val="24"/>
        </w:rPr>
        <w:t>Programa</w:t>
      </w:r>
      <w:r w:rsidRPr="00030D4D">
        <w:rPr>
          <w:rFonts w:ascii="Arial" w:hAnsi="Arial" w:cs="Arial"/>
          <w:szCs w:val="24"/>
        </w:rPr>
        <w:t xml:space="preserve"> Inova</w:t>
      </w:r>
      <w:r w:rsidR="002F5381" w:rsidRPr="00030D4D">
        <w:rPr>
          <w:rFonts w:ascii="Arial" w:hAnsi="Arial" w:cs="Arial"/>
          <w:szCs w:val="24"/>
        </w:rPr>
        <w:t>”, que abrange o</w:t>
      </w:r>
      <w:r w:rsidRPr="00030D4D">
        <w:rPr>
          <w:rFonts w:ascii="Arial" w:hAnsi="Arial" w:cs="Arial"/>
          <w:szCs w:val="24"/>
        </w:rPr>
        <w:t xml:space="preserve"> Inova Aerodefesa, Inova Agro, Inova Energia, </w:t>
      </w:r>
      <w:r w:rsidR="00B751CB" w:rsidRPr="00030D4D">
        <w:rPr>
          <w:rFonts w:ascii="Arial" w:hAnsi="Arial" w:cs="Arial"/>
          <w:szCs w:val="24"/>
        </w:rPr>
        <w:t xml:space="preserve">Inova Mineral, Inova Petro, Inova Saúde, Inova Saúde - Zika e Arbovirose, </w:t>
      </w:r>
      <w:r w:rsidR="000A4C99" w:rsidRPr="00030D4D">
        <w:rPr>
          <w:rFonts w:ascii="Arial" w:hAnsi="Arial" w:cs="Arial"/>
          <w:szCs w:val="24"/>
        </w:rPr>
        <w:t xml:space="preserve">Inova Sustentabilidade, Inova Telecom </w:t>
      </w:r>
      <w:r w:rsidRPr="00030D4D">
        <w:rPr>
          <w:rFonts w:ascii="Arial" w:hAnsi="Arial" w:cs="Arial"/>
          <w:szCs w:val="24"/>
        </w:rPr>
        <w:t>PAISS</w:t>
      </w:r>
      <w:r w:rsidR="00922C08" w:rsidRPr="00030D4D">
        <w:rPr>
          <w:rFonts w:ascii="Arial" w:hAnsi="Arial" w:cs="Arial"/>
          <w:szCs w:val="24"/>
        </w:rPr>
        <w:t xml:space="preserve"> (</w:t>
      </w:r>
      <w:r w:rsidR="00922C08" w:rsidRPr="00030D4D">
        <w:rPr>
          <w:rFonts w:ascii="Arial" w:eastAsia="Times New Roman" w:hAnsi="Arial" w:cs="Arial"/>
          <w:szCs w:val="24"/>
          <w:lang w:eastAsia="pt-BR"/>
        </w:rPr>
        <w:t>Plano de Apoio à Inovação Tecnológica Industrial dos Setores Sucroenergético e Sucroquímico)</w:t>
      </w:r>
      <w:r w:rsidRPr="00030D4D">
        <w:rPr>
          <w:rFonts w:ascii="Arial" w:hAnsi="Arial" w:cs="Arial"/>
          <w:szCs w:val="24"/>
        </w:rPr>
        <w:t>, PAISS Agrícola</w:t>
      </w:r>
      <w:r w:rsidR="000A4C99" w:rsidRPr="00030D4D">
        <w:rPr>
          <w:rFonts w:ascii="Arial" w:hAnsi="Arial" w:cs="Arial"/>
          <w:szCs w:val="24"/>
        </w:rPr>
        <w:t xml:space="preserve"> e</w:t>
      </w:r>
      <w:r w:rsidRPr="00030D4D">
        <w:rPr>
          <w:rFonts w:ascii="Arial" w:hAnsi="Arial" w:cs="Arial"/>
          <w:szCs w:val="24"/>
        </w:rPr>
        <w:t xml:space="preserve"> PADIC (Plano de Desenvolvimento e Inovação da Indústria Química</w:t>
      </w:r>
      <w:r w:rsidR="000A4C99" w:rsidRPr="00030D4D">
        <w:rPr>
          <w:rFonts w:ascii="Arial" w:hAnsi="Arial" w:cs="Arial"/>
          <w:szCs w:val="24"/>
        </w:rPr>
        <w:t>)</w:t>
      </w:r>
      <w:r w:rsidRPr="00030D4D">
        <w:rPr>
          <w:rFonts w:ascii="Arial" w:hAnsi="Arial" w:cs="Arial"/>
          <w:szCs w:val="24"/>
        </w:rPr>
        <w:t>.</w:t>
      </w:r>
    </w:p>
    <w:p w:rsidR="00340595" w:rsidRPr="00030D4D" w:rsidRDefault="009861CB" w:rsidP="00BC73B2">
      <w:pPr>
        <w:spacing w:before="0"/>
        <w:rPr>
          <w:rFonts w:ascii="Arial" w:hAnsi="Arial" w:cs="Arial"/>
          <w:szCs w:val="24"/>
        </w:rPr>
      </w:pPr>
      <w:r w:rsidRPr="00030D4D">
        <w:rPr>
          <w:rFonts w:ascii="Arial" w:hAnsi="Arial" w:cs="Arial"/>
          <w:szCs w:val="24"/>
        </w:rPr>
        <w:t xml:space="preserve">O Programa Inova </w:t>
      </w:r>
      <w:r w:rsidR="006F117F" w:rsidRPr="00030D4D">
        <w:rPr>
          <w:rFonts w:ascii="Arial" w:hAnsi="Arial" w:cs="Arial"/>
          <w:szCs w:val="24"/>
        </w:rPr>
        <w:t>foi precedido pel</w:t>
      </w:r>
      <w:r w:rsidRPr="00030D4D">
        <w:rPr>
          <w:rFonts w:ascii="Arial" w:hAnsi="Arial" w:cs="Arial"/>
          <w:szCs w:val="24"/>
        </w:rPr>
        <w:t>o “</w:t>
      </w:r>
      <w:r w:rsidR="00BC73B2" w:rsidRPr="00030D4D">
        <w:rPr>
          <w:rFonts w:ascii="Arial" w:hAnsi="Arial" w:cs="Arial"/>
          <w:szCs w:val="24"/>
        </w:rPr>
        <w:t>Plano Inova Empresa</w:t>
      </w:r>
      <w:r w:rsidRPr="00030D4D">
        <w:rPr>
          <w:rFonts w:ascii="Arial" w:hAnsi="Arial" w:cs="Arial"/>
          <w:szCs w:val="24"/>
        </w:rPr>
        <w:t>”</w:t>
      </w:r>
      <w:r w:rsidR="00BC73B2" w:rsidRPr="00030D4D">
        <w:rPr>
          <w:rFonts w:ascii="Arial" w:hAnsi="Arial" w:cs="Arial"/>
          <w:szCs w:val="24"/>
        </w:rPr>
        <w:t xml:space="preserve"> lançado e</w:t>
      </w:r>
      <w:r w:rsidR="006F117F" w:rsidRPr="00030D4D">
        <w:rPr>
          <w:rFonts w:ascii="Arial" w:hAnsi="Arial" w:cs="Arial"/>
          <w:szCs w:val="24"/>
        </w:rPr>
        <w:t>m 2013 e que perdurou até 2014. No “Inova Empresa”</w:t>
      </w:r>
      <w:r w:rsidR="00BC73B2" w:rsidRPr="00030D4D">
        <w:rPr>
          <w:rFonts w:ascii="Arial" w:hAnsi="Arial" w:cs="Arial"/>
          <w:szCs w:val="24"/>
        </w:rPr>
        <w:t xml:space="preserve"> Finep e BNDES passaram a atuar conjuntamente, disponibilizando, em simultâneo, recursos para diferentes setores e áreas estratégicas nas três modalidades (reembolsável, não reembolsável e capital de risco)</w:t>
      </w:r>
      <w:r w:rsidR="00A30B01" w:rsidRPr="00030D4D">
        <w:rPr>
          <w:rStyle w:val="FootnoteReference"/>
          <w:rFonts w:ascii="Arial" w:hAnsi="Arial" w:cs="Arial"/>
          <w:szCs w:val="24"/>
        </w:rPr>
        <w:footnoteReference w:id="12"/>
      </w:r>
      <w:r w:rsidR="00BC73B2" w:rsidRPr="00030D4D">
        <w:rPr>
          <w:rFonts w:ascii="Arial" w:hAnsi="Arial" w:cs="Arial"/>
          <w:szCs w:val="24"/>
        </w:rPr>
        <w:t>.</w:t>
      </w:r>
    </w:p>
    <w:p w:rsidR="003C3D84" w:rsidRPr="00030D4D" w:rsidRDefault="00797BBA" w:rsidP="001441DA">
      <w:pPr>
        <w:spacing w:before="0"/>
        <w:rPr>
          <w:rFonts w:ascii="Arial" w:hAnsi="Arial" w:cs="Arial"/>
        </w:rPr>
      </w:pPr>
      <w:r w:rsidRPr="00030D4D">
        <w:rPr>
          <w:rFonts w:ascii="Arial" w:hAnsi="Arial" w:cs="Arial"/>
        </w:rPr>
        <w:t xml:space="preserve">De acordo com a política operacional da Finep 2016, </w:t>
      </w:r>
      <w:r w:rsidR="00F776FA" w:rsidRPr="00030D4D">
        <w:rPr>
          <w:rFonts w:ascii="Arial" w:hAnsi="Arial" w:cs="Arial"/>
        </w:rPr>
        <w:t xml:space="preserve">no âmbito das operações reembolsáveis </w:t>
      </w:r>
      <w:r w:rsidRPr="00030D4D">
        <w:rPr>
          <w:rFonts w:ascii="Arial" w:hAnsi="Arial" w:cs="Arial"/>
        </w:rPr>
        <w:t>s</w:t>
      </w:r>
      <w:r w:rsidR="003C3D84" w:rsidRPr="00030D4D">
        <w:rPr>
          <w:rFonts w:ascii="Arial" w:hAnsi="Arial" w:cs="Arial"/>
        </w:rPr>
        <w:t xml:space="preserve">ão financiados projetos e planos de negócios, que podem obter equalização de taxas de </w:t>
      </w:r>
      <w:r w:rsidR="009C3C7A" w:rsidRPr="00030D4D">
        <w:rPr>
          <w:rFonts w:ascii="Arial" w:hAnsi="Arial" w:cs="Arial"/>
        </w:rPr>
        <w:t>juros, orientados de acordo conforme</w:t>
      </w:r>
      <w:r w:rsidR="00B31303" w:rsidRPr="00030D4D">
        <w:rPr>
          <w:rFonts w:ascii="Arial" w:hAnsi="Arial" w:cs="Arial"/>
        </w:rPr>
        <w:t xml:space="preserve"> o</w:t>
      </w:r>
      <w:r w:rsidR="009C3C7A" w:rsidRPr="00030D4D">
        <w:rPr>
          <w:rFonts w:ascii="Arial" w:hAnsi="Arial" w:cs="Arial"/>
        </w:rPr>
        <w:t xml:space="preserve"> se</w:t>
      </w:r>
      <w:r w:rsidR="00B31303" w:rsidRPr="00030D4D">
        <w:rPr>
          <w:rFonts w:ascii="Arial" w:hAnsi="Arial" w:cs="Arial"/>
        </w:rPr>
        <w:t>guinte enquadramento</w:t>
      </w:r>
      <w:r w:rsidR="003C3D84" w:rsidRPr="00030D4D">
        <w:rPr>
          <w:rFonts w:ascii="Arial" w:hAnsi="Arial" w:cs="Arial"/>
        </w:rPr>
        <w:t>:</w:t>
      </w:r>
    </w:p>
    <w:p w:rsidR="00F776FA" w:rsidRPr="00030D4D" w:rsidRDefault="00FA7CD9" w:rsidP="00FA7CD9">
      <w:pPr>
        <w:pStyle w:val="Caption"/>
        <w:rPr>
          <w:rFonts w:ascii="Arial" w:hAnsi="Arial" w:cs="Arial"/>
        </w:rPr>
      </w:pPr>
      <w:bookmarkStart w:id="12" w:name="_Toc482828524"/>
      <w:r w:rsidRPr="00030D4D">
        <w:rPr>
          <w:rFonts w:ascii="Arial" w:hAnsi="Arial" w:cs="Arial"/>
        </w:rPr>
        <w:t xml:space="preserve">Quadro </w:t>
      </w:r>
      <w:r w:rsidR="005271BC" w:rsidRPr="00030D4D">
        <w:rPr>
          <w:rFonts w:ascii="Arial" w:hAnsi="Arial" w:cs="Arial"/>
        </w:rPr>
        <w:fldChar w:fldCharType="begin"/>
      </w:r>
      <w:r w:rsidR="005271BC" w:rsidRPr="00030D4D">
        <w:rPr>
          <w:rFonts w:ascii="Arial" w:hAnsi="Arial" w:cs="Arial"/>
        </w:rPr>
        <w:instrText xml:space="preserve"> SEQ Quadro \* ARABIC </w:instrText>
      </w:r>
      <w:r w:rsidR="005271BC" w:rsidRPr="00030D4D">
        <w:rPr>
          <w:rFonts w:ascii="Arial" w:hAnsi="Arial" w:cs="Arial"/>
        </w:rPr>
        <w:fldChar w:fldCharType="separate"/>
      </w:r>
      <w:r w:rsidR="00BE5DE3" w:rsidRPr="00030D4D">
        <w:rPr>
          <w:rFonts w:ascii="Arial" w:hAnsi="Arial" w:cs="Arial"/>
          <w:noProof/>
        </w:rPr>
        <w:t>3</w:t>
      </w:r>
      <w:r w:rsidR="005271BC" w:rsidRPr="00030D4D">
        <w:rPr>
          <w:rFonts w:ascii="Arial" w:hAnsi="Arial" w:cs="Arial"/>
          <w:noProof/>
        </w:rPr>
        <w:fldChar w:fldCharType="end"/>
      </w:r>
      <w:r w:rsidRPr="00030D4D">
        <w:rPr>
          <w:rFonts w:ascii="Arial" w:hAnsi="Arial" w:cs="Arial"/>
        </w:rPr>
        <w:t xml:space="preserve">. </w:t>
      </w:r>
      <w:r w:rsidR="002E463E" w:rsidRPr="00030D4D">
        <w:rPr>
          <w:rFonts w:ascii="Arial" w:hAnsi="Arial" w:cs="Arial"/>
        </w:rPr>
        <w:t>Linhas de Ação</w:t>
      </w:r>
      <w:r w:rsidRPr="00030D4D">
        <w:rPr>
          <w:rFonts w:ascii="Arial" w:hAnsi="Arial" w:cs="Arial"/>
        </w:rPr>
        <w:t xml:space="preserve"> da Finep</w:t>
      </w:r>
      <w:r w:rsidR="002E463E" w:rsidRPr="00030D4D">
        <w:rPr>
          <w:rFonts w:ascii="Arial" w:hAnsi="Arial" w:cs="Arial"/>
        </w:rPr>
        <w:t>,</w:t>
      </w:r>
      <w:r w:rsidRPr="00030D4D">
        <w:rPr>
          <w:rFonts w:ascii="Arial" w:hAnsi="Arial" w:cs="Arial"/>
        </w:rPr>
        <w:t xml:space="preserve"> nas operações de crédito</w:t>
      </w:r>
      <w:bookmarkEnd w:id="12"/>
    </w:p>
    <w:tbl>
      <w:tblPr>
        <w:tblStyle w:val="ListTable3-Accent6"/>
        <w:tblW w:w="0" w:type="auto"/>
        <w:tblLook w:val="04A0" w:firstRow="1" w:lastRow="0" w:firstColumn="1" w:lastColumn="0" w:noHBand="0" w:noVBand="1"/>
      </w:tblPr>
      <w:tblGrid>
        <w:gridCol w:w="1838"/>
        <w:gridCol w:w="6656"/>
      </w:tblGrid>
      <w:tr w:rsidR="000F0156" w:rsidRPr="00030D4D" w:rsidTr="007D0E0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94" w:type="dxa"/>
            <w:gridSpan w:val="2"/>
          </w:tcPr>
          <w:p w:rsidR="000F0156" w:rsidRPr="00030D4D" w:rsidRDefault="000F0156" w:rsidP="000F0156">
            <w:pPr>
              <w:spacing w:before="0"/>
              <w:jc w:val="center"/>
              <w:rPr>
                <w:rFonts w:ascii="Arial" w:hAnsi="Arial" w:cs="Arial"/>
                <w:sz w:val="18"/>
                <w:szCs w:val="18"/>
              </w:rPr>
            </w:pPr>
            <w:r w:rsidRPr="00030D4D">
              <w:rPr>
                <w:rFonts w:ascii="Arial" w:hAnsi="Arial" w:cs="Arial"/>
                <w:sz w:val="18"/>
                <w:szCs w:val="18"/>
              </w:rPr>
              <w:t>Linhas de Ação</w:t>
            </w:r>
          </w:p>
        </w:tc>
      </w:tr>
      <w:tr w:rsidR="00B31303" w:rsidRPr="00030D4D" w:rsidTr="007D0E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B31303" w:rsidRPr="00030D4D" w:rsidRDefault="00B31303" w:rsidP="00257C0A">
            <w:pPr>
              <w:spacing w:before="0" w:after="0" w:line="240" w:lineRule="auto"/>
              <w:jc w:val="left"/>
              <w:rPr>
                <w:rFonts w:ascii="Arial" w:hAnsi="Arial" w:cs="Arial"/>
                <w:sz w:val="18"/>
                <w:szCs w:val="18"/>
              </w:rPr>
            </w:pPr>
            <w:r w:rsidRPr="00030D4D">
              <w:rPr>
                <w:rFonts w:ascii="Arial" w:hAnsi="Arial" w:cs="Arial"/>
                <w:sz w:val="18"/>
                <w:szCs w:val="18"/>
              </w:rPr>
              <w:t>Inovação pioneira</w:t>
            </w:r>
          </w:p>
        </w:tc>
        <w:tc>
          <w:tcPr>
            <w:tcW w:w="6656" w:type="dxa"/>
          </w:tcPr>
          <w:p w:rsidR="00B31303" w:rsidRPr="00030D4D" w:rsidRDefault="003E2759" w:rsidP="00B31303">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Planos</w:t>
            </w:r>
            <w:r w:rsidR="00B31303" w:rsidRPr="00030D4D">
              <w:rPr>
                <w:rFonts w:ascii="Arial" w:hAnsi="Arial" w:cs="Arial"/>
                <w:sz w:val="18"/>
                <w:szCs w:val="18"/>
              </w:rPr>
              <w:t xml:space="preserve"> estratégicos de inovação que apresentam elevado grau de inovação e de relevância para o setor econômico beneficiado. As propostas devem resultar em inovações por meio de produtos, processos ou serviços inéditos para o Brasil</w:t>
            </w:r>
            <w:r w:rsidR="00E86286" w:rsidRPr="00030D4D">
              <w:rPr>
                <w:rFonts w:ascii="Arial" w:hAnsi="Arial" w:cs="Arial"/>
                <w:sz w:val="18"/>
                <w:szCs w:val="18"/>
              </w:rPr>
              <w:t>.</w:t>
            </w:r>
          </w:p>
        </w:tc>
      </w:tr>
      <w:tr w:rsidR="00B31303" w:rsidRPr="00030D4D" w:rsidTr="007D0E0F">
        <w:tc>
          <w:tcPr>
            <w:cnfStyle w:val="001000000000" w:firstRow="0" w:lastRow="0" w:firstColumn="1" w:lastColumn="0" w:oddVBand="0" w:evenVBand="0" w:oddHBand="0" w:evenHBand="0" w:firstRowFirstColumn="0" w:firstRowLastColumn="0" w:lastRowFirstColumn="0" w:lastRowLastColumn="0"/>
            <w:tcW w:w="1838" w:type="dxa"/>
          </w:tcPr>
          <w:p w:rsidR="00B31303" w:rsidRPr="00030D4D" w:rsidRDefault="00B31303" w:rsidP="0026782C">
            <w:pPr>
              <w:spacing w:before="0" w:after="0" w:line="240" w:lineRule="auto"/>
              <w:jc w:val="left"/>
              <w:rPr>
                <w:rFonts w:ascii="Arial" w:hAnsi="Arial" w:cs="Arial"/>
                <w:sz w:val="18"/>
                <w:szCs w:val="18"/>
              </w:rPr>
            </w:pPr>
            <w:r w:rsidRPr="00030D4D">
              <w:rPr>
                <w:rFonts w:ascii="Arial" w:hAnsi="Arial" w:cs="Arial"/>
                <w:sz w:val="18"/>
                <w:szCs w:val="18"/>
              </w:rPr>
              <w:t xml:space="preserve">Inovação </w:t>
            </w:r>
            <w:r w:rsidR="0026782C" w:rsidRPr="00030D4D">
              <w:rPr>
                <w:rFonts w:ascii="Arial" w:hAnsi="Arial" w:cs="Arial"/>
                <w:b w:val="0"/>
                <w:sz w:val="18"/>
                <w:szCs w:val="18"/>
              </w:rPr>
              <w:t xml:space="preserve">para </w:t>
            </w:r>
            <w:r w:rsidR="0085643B" w:rsidRPr="00030D4D">
              <w:rPr>
                <w:rFonts w:ascii="Arial" w:hAnsi="Arial" w:cs="Arial"/>
                <w:b w:val="0"/>
                <w:sz w:val="18"/>
                <w:szCs w:val="18"/>
              </w:rPr>
              <w:t>competitividade</w:t>
            </w:r>
          </w:p>
        </w:tc>
        <w:tc>
          <w:tcPr>
            <w:tcW w:w="6656" w:type="dxa"/>
          </w:tcPr>
          <w:p w:rsidR="00B31303" w:rsidRPr="00030D4D" w:rsidRDefault="003E2759" w:rsidP="003945C9">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30D4D">
              <w:rPr>
                <w:rFonts w:ascii="Arial" w:hAnsi="Arial" w:cs="Arial"/>
                <w:sz w:val="18"/>
                <w:szCs w:val="18"/>
              </w:rPr>
              <w:t>Planos</w:t>
            </w:r>
            <w:r w:rsidR="003945C9" w:rsidRPr="00030D4D">
              <w:rPr>
                <w:rFonts w:ascii="Arial" w:hAnsi="Arial" w:cs="Arial"/>
                <w:sz w:val="18"/>
                <w:szCs w:val="18"/>
              </w:rPr>
              <w:t xml:space="preserve"> estratégicos de inovação centrados no desenvolvimento ou significativo aprimoramento de produtos, processos ou serviços que tenham também potencial de impactar o posicionamento competitivo da empresa no mercado.</w:t>
            </w:r>
          </w:p>
        </w:tc>
      </w:tr>
      <w:tr w:rsidR="00B31303" w:rsidRPr="00030D4D" w:rsidTr="007D0E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B31303" w:rsidRPr="00030D4D" w:rsidRDefault="00B31303" w:rsidP="0026782C">
            <w:pPr>
              <w:spacing w:before="0" w:after="0" w:line="240" w:lineRule="auto"/>
              <w:jc w:val="left"/>
              <w:rPr>
                <w:rFonts w:ascii="Arial" w:hAnsi="Arial" w:cs="Arial"/>
                <w:sz w:val="18"/>
                <w:szCs w:val="18"/>
              </w:rPr>
            </w:pPr>
            <w:r w:rsidRPr="00030D4D">
              <w:rPr>
                <w:rFonts w:ascii="Arial" w:hAnsi="Arial" w:cs="Arial"/>
                <w:sz w:val="18"/>
                <w:szCs w:val="18"/>
              </w:rPr>
              <w:t xml:space="preserve">Inovação </w:t>
            </w:r>
            <w:r w:rsidR="0026782C" w:rsidRPr="00030D4D">
              <w:rPr>
                <w:rFonts w:ascii="Arial" w:hAnsi="Arial" w:cs="Arial"/>
                <w:b w:val="0"/>
                <w:sz w:val="18"/>
                <w:szCs w:val="18"/>
              </w:rPr>
              <w:t>para desempenho</w:t>
            </w:r>
          </w:p>
        </w:tc>
        <w:tc>
          <w:tcPr>
            <w:tcW w:w="6656" w:type="dxa"/>
          </w:tcPr>
          <w:p w:rsidR="00B31303" w:rsidRPr="00030D4D" w:rsidRDefault="003E2759" w:rsidP="00AA4C3E">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Planos</w:t>
            </w:r>
            <w:r w:rsidR="00AA4C3E" w:rsidRPr="00030D4D">
              <w:rPr>
                <w:rFonts w:ascii="Arial" w:hAnsi="Arial" w:cs="Arial"/>
                <w:sz w:val="18"/>
                <w:szCs w:val="18"/>
              </w:rPr>
              <w:t xml:space="preserve"> estratégicos de inovação que resultam em inovações de produtos, processos ou serviços no âmbito da empresa. Esses planos se qualificam como uma iniciativa da organização de adotar uma estratégia de inovação, ainda que possam ter impacto limitado no setor econômico no qual estão inseridos. Podem ser centrados em atualização tecnológica, por meio da absorção ou aquisição de tecnologia, sendo capazes de impactar na produtividade da empresa, em sua estrutura de custos ou no desempenho de seus produtos e serviços.</w:t>
            </w:r>
          </w:p>
        </w:tc>
      </w:tr>
      <w:tr w:rsidR="00B31303" w:rsidRPr="00030D4D" w:rsidTr="007D0E0F">
        <w:tc>
          <w:tcPr>
            <w:cnfStyle w:val="001000000000" w:firstRow="0" w:lastRow="0" w:firstColumn="1" w:lastColumn="0" w:oddVBand="0" w:evenVBand="0" w:oddHBand="0" w:evenHBand="0" w:firstRowFirstColumn="0" w:firstRowLastColumn="0" w:lastRowFirstColumn="0" w:lastRowLastColumn="0"/>
            <w:tcW w:w="1838" w:type="dxa"/>
          </w:tcPr>
          <w:p w:rsidR="00B31303" w:rsidRPr="00030D4D" w:rsidRDefault="0026782C" w:rsidP="00257C0A">
            <w:pPr>
              <w:spacing w:before="0" w:after="0" w:line="240" w:lineRule="auto"/>
              <w:jc w:val="left"/>
              <w:rPr>
                <w:rFonts w:ascii="Arial" w:hAnsi="Arial" w:cs="Arial"/>
                <w:sz w:val="18"/>
                <w:szCs w:val="18"/>
              </w:rPr>
            </w:pPr>
            <w:r w:rsidRPr="00030D4D">
              <w:rPr>
                <w:rFonts w:ascii="Arial" w:hAnsi="Arial" w:cs="Arial"/>
                <w:sz w:val="18"/>
                <w:szCs w:val="18"/>
              </w:rPr>
              <w:t>Pré-Investimento</w:t>
            </w:r>
          </w:p>
        </w:tc>
        <w:tc>
          <w:tcPr>
            <w:tcW w:w="6656" w:type="dxa"/>
          </w:tcPr>
          <w:p w:rsidR="00B31303" w:rsidRPr="00030D4D" w:rsidRDefault="003E2759" w:rsidP="0026782C">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30D4D">
              <w:rPr>
                <w:rFonts w:ascii="Arial" w:hAnsi="Arial" w:cs="Arial"/>
                <w:sz w:val="18"/>
                <w:szCs w:val="18"/>
              </w:rPr>
              <w:t>Projetos</w:t>
            </w:r>
            <w:r w:rsidR="0026782C" w:rsidRPr="00030D4D">
              <w:rPr>
                <w:rFonts w:ascii="Arial" w:hAnsi="Arial" w:cs="Arial"/>
                <w:sz w:val="18"/>
                <w:szCs w:val="18"/>
              </w:rPr>
              <w:t xml:space="preserve"> de pré-investimento, que incluem estudos de viabilidade técnica e econômica, estudos geológicos, além de projeto básico, de detalhamento e executivo.</w:t>
            </w:r>
          </w:p>
        </w:tc>
      </w:tr>
      <w:tr w:rsidR="00B31303" w:rsidRPr="00030D4D" w:rsidTr="007D0E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B31303" w:rsidRPr="00030D4D" w:rsidRDefault="00136D6A" w:rsidP="00257C0A">
            <w:pPr>
              <w:spacing w:before="0" w:after="0" w:line="240" w:lineRule="auto"/>
              <w:jc w:val="left"/>
              <w:rPr>
                <w:rFonts w:ascii="Arial" w:hAnsi="Arial" w:cs="Arial"/>
                <w:sz w:val="18"/>
                <w:szCs w:val="18"/>
              </w:rPr>
            </w:pPr>
            <w:r w:rsidRPr="00030D4D">
              <w:rPr>
                <w:rFonts w:ascii="Arial" w:hAnsi="Arial" w:cs="Arial"/>
                <w:sz w:val="18"/>
                <w:szCs w:val="18"/>
              </w:rPr>
              <w:t>Inovação crítica</w:t>
            </w:r>
            <w:r w:rsidR="00EC0FFF" w:rsidRPr="00030D4D">
              <w:rPr>
                <w:rFonts w:ascii="Arial" w:hAnsi="Arial" w:cs="Arial"/>
                <w:sz w:val="18"/>
                <w:szCs w:val="18"/>
              </w:rPr>
              <w:t>*</w:t>
            </w:r>
          </w:p>
        </w:tc>
        <w:tc>
          <w:tcPr>
            <w:tcW w:w="6656" w:type="dxa"/>
          </w:tcPr>
          <w:p w:rsidR="00B31303" w:rsidRPr="00030D4D" w:rsidRDefault="00620FF8" w:rsidP="0061212B">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Planos</w:t>
            </w:r>
            <w:r w:rsidR="0061212B" w:rsidRPr="00030D4D">
              <w:rPr>
                <w:rFonts w:ascii="Arial" w:hAnsi="Arial" w:cs="Arial"/>
                <w:sz w:val="18"/>
                <w:szCs w:val="18"/>
              </w:rPr>
              <w:t xml:space="preserve"> estratégicos de inovação que resultam no desenvolvimento de inovações críticas. Inovações críticas são aquelas que visam atender às necessidades de autonomia tecnológica, econômicas e sociais futuras do país; têm longo prazo de maturação, demandam grande esforço de pesquisa e desenvolvimento pelas empresas e mobilizam preferencialmente universidades e institutos de pesquisa.</w:t>
            </w:r>
          </w:p>
        </w:tc>
      </w:tr>
    </w:tbl>
    <w:p w:rsidR="00B31303" w:rsidRPr="00030D4D" w:rsidRDefault="00EC0FFF" w:rsidP="00E86286">
      <w:pPr>
        <w:spacing w:before="0" w:after="0" w:line="240" w:lineRule="auto"/>
        <w:rPr>
          <w:rFonts w:ascii="Arial" w:hAnsi="Arial" w:cs="Arial"/>
          <w:sz w:val="20"/>
          <w:szCs w:val="20"/>
        </w:rPr>
      </w:pPr>
      <w:r w:rsidRPr="00030D4D">
        <w:rPr>
          <w:rFonts w:ascii="Arial" w:hAnsi="Arial" w:cs="Arial"/>
          <w:sz w:val="20"/>
          <w:szCs w:val="20"/>
        </w:rPr>
        <w:t>*</w:t>
      </w:r>
      <w:r w:rsidR="00E86286" w:rsidRPr="00030D4D">
        <w:rPr>
          <w:rFonts w:ascii="Arial" w:hAnsi="Arial" w:cs="Arial"/>
          <w:sz w:val="20"/>
          <w:szCs w:val="20"/>
        </w:rPr>
        <w:t xml:space="preserve"> Linha especial que se aplicará a propostas demandadas pelo governo que expressem a necessidade de desenvolvimento tecnológico para atendimento a prioridades nacionais de interesse estratégico. </w:t>
      </w:r>
    </w:p>
    <w:p w:rsidR="00E86286" w:rsidRPr="00030D4D" w:rsidRDefault="001240BF" w:rsidP="001240BF">
      <w:pPr>
        <w:spacing w:before="0" w:after="0" w:line="240" w:lineRule="auto"/>
        <w:rPr>
          <w:rFonts w:ascii="Arial" w:hAnsi="Arial" w:cs="Arial"/>
        </w:rPr>
      </w:pPr>
      <w:r w:rsidRPr="00030D4D">
        <w:rPr>
          <w:rFonts w:ascii="Arial" w:hAnsi="Arial" w:cs="Arial"/>
        </w:rPr>
        <w:t>Fonte: Finep.</w:t>
      </w:r>
      <w:r w:rsidR="000E1B85" w:rsidRPr="00030D4D">
        <w:rPr>
          <w:rFonts w:ascii="Arial" w:hAnsi="Arial" w:cs="Arial"/>
        </w:rPr>
        <w:t xml:space="preserve"> Política Operacional 2016, p. </w:t>
      </w:r>
      <w:r w:rsidR="002E463E" w:rsidRPr="00030D4D">
        <w:rPr>
          <w:rFonts w:ascii="Arial" w:hAnsi="Arial" w:cs="Arial"/>
        </w:rPr>
        <w:t>9</w:t>
      </w:r>
      <w:r w:rsidR="000E1B85" w:rsidRPr="00030D4D">
        <w:rPr>
          <w:rFonts w:ascii="Arial" w:hAnsi="Arial" w:cs="Arial"/>
        </w:rPr>
        <w:t>.</w:t>
      </w:r>
      <w:r w:rsidRPr="00030D4D">
        <w:rPr>
          <w:rFonts w:ascii="Arial" w:hAnsi="Arial" w:cs="Arial"/>
        </w:rPr>
        <w:t xml:space="preserve"> Disponível em: http://www.finep.gov.br/images/a-finep/politica-operacional/20_10-2016_POLITICA_OPERACIONAL_2016.pdf</w:t>
      </w:r>
    </w:p>
    <w:p w:rsidR="001240BF" w:rsidRPr="00030D4D" w:rsidRDefault="001240BF" w:rsidP="001441DA">
      <w:pPr>
        <w:spacing w:before="0"/>
        <w:rPr>
          <w:rFonts w:ascii="Arial" w:hAnsi="Arial" w:cs="Arial"/>
        </w:rPr>
      </w:pPr>
    </w:p>
    <w:p w:rsidR="00444DF4" w:rsidRPr="00030D4D" w:rsidRDefault="00366C8D" w:rsidP="001441DA">
      <w:pPr>
        <w:pStyle w:val="BIBLIOGRAFIA"/>
        <w:spacing w:before="0" w:after="120"/>
        <w:rPr>
          <w:rFonts w:ascii="Arial" w:hAnsi="Arial" w:cs="Arial"/>
          <w:color w:val="000000"/>
          <w:szCs w:val="24"/>
        </w:rPr>
      </w:pPr>
      <w:r w:rsidRPr="00030D4D">
        <w:rPr>
          <w:rFonts w:ascii="Arial" w:hAnsi="Arial" w:cs="Arial"/>
        </w:rPr>
        <w:t>No</w:t>
      </w:r>
      <w:r w:rsidR="00444DF4" w:rsidRPr="00030D4D">
        <w:rPr>
          <w:rFonts w:ascii="Arial" w:hAnsi="Arial" w:cs="Arial"/>
        </w:rPr>
        <w:t xml:space="preserve"> Quadro </w:t>
      </w:r>
      <w:r w:rsidRPr="00030D4D">
        <w:rPr>
          <w:rFonts w:ascii="Arial" w:hAnsi="Arial" w:cs="Arial"/>
        </w:rPr>
        <w:t>4</w:t>
      </w:r>
      <w:r w:rsidR="00444DF4" w:rsidRPr="00030D4D">
        <w:rPr>
          <w:rFonts w:ascii="Arial" w:hAnsi="Arial" w:cs="Arial"/>
        </w:rPr>
        <w:t xml:space="preserve"> </w:t>
      </w:r>
      <w:r w:rsidRPr="00030D4D">
        <w:rPr>
          <w:rFonts w:ascii="Arial" w:hAnsi="Arial" w:cs="Arial"/>
        </w:rPr>
        <w:t>são resumidas</w:t>
      </w:r>
      <w:r w:rsidR="00444DF4" w:rsidRPr="00030D4D">
        <w:rPr>
          <w:rFonts w:ascii="Arial" w:hAnsi="Arial" w:cs="Arial"/>
        </w:rPr>
        <w:t xml:space="preserve"> as principais características de cada uma dessas linhas, indicando </w:t>
      </w:r>
      <w:r w:rsidR="00444DF4" w:rsidRPr="00030D4D">
        <w:rPr>
          <w:rFonts w:ascii="Arial" w:hAnsi="Arial" w:cs="Arial"/>
          <w:color w:val="000000"/>
          <w:szCs w:val="24"/>
        </w:rPr>
        <w:t xml:space="preserve">usuários elegíveis, modalidade de acesso (balcão ou edital), encargos, prazos de carência, </w:t>
      </w:r>
      <w:r w:rsidR="00444DF4" w:rsidRPr="00030D4D">
        <w:rPr>
          <w:rFonts w:ascii="Arial" w:hAnsi="Arial" w:cs="Arial"/>
          <w:szCs w:val="24"/>
        </w:rPr>
        <w:t xml:space="preserve">prazo total (amortização + carência), </w:t>
      </w:r>
      <w:r w:rsidR="00444DF4" w:rsidRPr="00030D4D">
        <w:rPr>
          <w:rFonts w:ascii="Arial" w:hAnsi="Arial" w:cs="Arial"/>
          <w:color w:val="000000"/>
          <w:szCs w:val="24"/>
        </w:rPr>
        <w:t xml:space="preserve">garantias, condicionalidades, </w:t>
      </w:r>
      <w:r w:rsidR="00444DF4" w:rsidRPr="00030D4D">
        <w:rPr>
          <w:rFonts w:ascii="Arial" w:hAnsi="Arial" w:cs="Arial"/>
          <w:iCs/>
          <w:color w:val="000000"/>
          <w:szCs w:val="24"/>
        </w:rPr>
        <w:t>m</w:t>
      </w:r>
      <w:r w:rsidR="0075140A" w:rsidRPr="00030D4D">
        <w:rPr>
          <w:rFonts w:ascii="Arial" w:hAnsi="Arial" w:cs="Arial"/>
          <w:iCs/>
          <w:color w:val="000000"/>
          <w:szCs w:val="24"/>
        </w:rPr>
        <w:t>ontante</w:t>
      </w:r>
      <w:r w:rsidR="00444DF4" w:rsidRPr="00030D4D">
        <w:rPr>
          <w:rFonts w:ascii="Arial" w:hAnsi="Arial" w:cs="Arial"/>
          <w:iCs/>
          <w:color w:val="000000"/>
          <w:szCs w:val="24"/>
        </w:rPr>
        <w:t xml:space="preserve"> </w:t>
      </w:r>
      <w:r w:rsidR="00444DF4" w:rsidRPr="00030D4D">
        <w:rPr>
          <w:rFonts w:ascii="Arial" w:hAnsi="Arial" w:cs="Arial"/>
          <w:iCs/>
          <w:szCs w:val="24"/>
        </w:rPr>
        <w:t>mínimo</w:t>
      </w:r>
      <w:r w:rsidR="00444DF4" w:rsidRPr="00030D4D">
        <w:rPr>
          <w:rFonts w:ascii="Arial" w:hAnsi="Arial" w:cs="Arial"/>
          <w:color w:val="000000"/>
          <w:szCs w:val="24"/>
        </w:rPr>
        <w:t>.</w:t>
      </w:r>
    </w:p>
    <w:p w:rsidR="00536D84" w:rsidRPr="00030D4D" w:rsidRDefault="00F62856" w:rsidP="001441DA">
      <w:pPr>
        <w:pStyle w:val="BIBLIOGRAFIA"/>
        <w:spacing w:before="0" w:after="120"/>
        <w:rPr>
          <w:rFonts w:ascii="Arial" w:hAnsi="Arial" w:cs="Arial"/>
          <w:szCs w:val="24"/>
        </w:rPr>
      </w:pPr>
      <w:r w:rsidRPr="00030D4D">
        <w:rPr>
          <w:rFonts w:ascii="Arial" w:hAnsi="Arial" w:cs="Arial"/>
          <w:szCs w:val="24"/>
        </w:rPr>
        <w:t xml:space="preserve">Os encargos sobre financiamentos da Finep são compostos a partir da Taxa de Juros de Longo Prazo </w:t>
      </w:r>
      <w:r w:rsidR="005430D3" w:rsidRPr="00030D4D">
        <w:rPr>
          <w:rFonts w:ascii="Arial" w:hAnsi="Arial" w:cs="Arial"/>
          <w:szCs w:val="24"/>
        </w:rPr>
        <w:t xml:space="preserve">(TJLP) acrescida </w:t>
      </w:r>
      <w:r w:rsidR="000D7C3A" w:rsidRPr="00030D4D">
        <w:rPr>
          <w:rFonts w:ascii="Arial" w:hAnsi="Arial" w:cs="Arial"/>
          <w:szCs w:val="24"/>
        </w:rPr>
        <w:t>dos custos administrativos e taxas</w:t>
      </w:r>
      <w:r w:rsidR="000D7C3A" w:rsidRPr="00030D4D">
        <w:rPr>
          <w:rStyle w:val="FootnoteReference"/>
          <w:rFonts w:ascii="Arial" w:hAnsi="Arial" w:cs="Arial"/>
          <w:szCs w:val="24"/>
        </w:rPr>
        <w:footnoteReference w:id="13"/>
      </w:r>
      <w:r w:rsidRPr="00030D4D">
        <w:rPr>
          <w:rFonts w:ascii="Arial" w:hAnsi="Arial" w:cs="Arial"/>
          <w:szCs w:val="24"/>
        </w:rPr>
        <w:t xml:space="preserve">. </w:t>
      </w:r>
      <w:r w:rsidR="00E11562" w:rsidRPr="00030D4D">
        <w:rPr>
          <w:rFonts w:ascii="Arial" w:hAnsi="Arial" w:cs="Arial"/>
          <w:szCs w:val="24"/>
        </w:rPr>
        <w:t>O</w:t>
      </w:r>
      <w:r w:rsidR="00BF2E59" w:rsidRPr="00030D4D">
        <w:rPr>
          <w:rFonts w:ascii="Arial" w:hAnsi="Arial" w:cs="Arial"/>
          <w:szCs w:val="24"/>
        </w:rPr>
        <w:t xml:space="preserve"> valor financiado pela Finep, os prazos de carência e execução e o</w:t>
      </w:r>
      <w:r w:rsidR="00E11562" w:rsidRPr="00030D4D">
        <w:rPr>
          <w:rFonts w:ascii="Arial" w:hAnsi="Arial" w:cs="Arial"/>
          <w:szCs w:val="24"/>
        </w:rPr>
        <w:t>s custos totais</w:t>
      </w:r>
      <w:r w:rsidRPr="00030D4D">
        <w:rPr>
          <w:rFonts w:ascii="Arial" w:hAnsi="Arial" w:cs="Arial"/>
          <w:szCs w:val="24"/>
        </w:rPr>
        <w:t xml:space="preserve"> variam </w:t>
      </w:r>
      <w:r w:rsidR="00BF2E59" w:rsidRPr="00030D4D">
        <w:rPr>
          <w:rFonts w:ascii="Arial" w:hAnsi="Arial" w:cs="Arial"/>
          <w:szCs w:val="24"/>
        </w:rPr>
        <w:t>de aco</w:t>
      </w:r>
      <w:r w:rsidR="00584611" w:rsidRPr="00030D4D">
        <w:rPr>
          <w:rFonts w:ascii="Arial" w:hAnsi="Arial" w:cs="Arial"/>
          <w:szCs w:val="24"/>
        </w:rPr>
        <w:t xml:space="preserve">rdo com o projeto e com as condições macroeconômicas. </w:t>
      </w:r>
      <w:r w:rsidR="00122D1F" w:rsidRPr="00030D4D">
        <w:rPr>
          <w:rFonts w:ascii="Arial" w:hAnsi="Arial" w:cs="Arial"/>
          <w:szCs w:val="24"/>
        </w:rPr>
        <w:t xml:space="preserve">O montante mínimo </w:t>
      </w:r>
      <w:r w:rsidR="00DC3C3E" w:rsidRPr="00030D4D">
        <w:rPr>
          <w:rFonts w:ascii="Arial" w:hAnsi="Arial" w:cs="Arial"/>
          <w:szCs w:val="24"/>
        </w:rPr>
        <w:t>da proposta apresentada às linhas de crédito</w:t>
      </w:r>
      <w:r w:rsidR="00122D1F" w:rsidRPr="00030D4D">
        <w:rPr>
          <w:rFonts w:ascii="Arial" w:hAnsi="Arial" w:cs="Arial"/>
          <w:szCs w:val="24"/>
        </w:rPr>
        <w:t xml:space="preserve"> </w:t>
      </w:r>
      <w:r w:rsidR="00FE0BE4" w:rsidRPr="00030D4D">
        <w:rPr>
          <w:rFonts w:ascii="Arial" w:hAnsi="Arial" w:cs="Arial"/>
          <w:szCs w:val="24"/>
        </w:rPr>
        <w:t>foi</w:t>
      </w:r>
      <w:r w:rsidR="00122D1F" w:rsidRPr="00030D4D">
        <w:rPr>
          <w:rFonts w:ascii="Arial" w:hAnsi="Arial" w:cs="Arial"/>
          <w:szCs w:val="24"/>
        </w:rPr>
        <w:t xml:space="preserve">, desde meados dos anos 2000, </w:t>
      </w:r>
      <w:r w:rsidR="00B90C58" w:rsidRPr="00030D4D">
        <w:rPr>
          <w:rFonts w:ascii="Arial" w:hAnsi="Arial" w:cs="Arial"/>
          <w:szCs w:val="24"/>
        </w:rPr>
        <w:t xml:space="preserve">de </w:t>
      </w:r>
      <w:r w:rsidR="00122D1F" w:rsidRPr="00030D4D">
        <w:rPr>
          <w:rFonts w:ascii="Arial" w:hAnsi="Arial" w:cs="Arial"/>
          <w:szCs w:val="24"/>
        </w:rPr>
        <w:t>R$ 1 milhão</w:t>
      </w:r>
      <w:r w:rsidR="00B90C58" w:rsidRPr="00030D4D">
        <w:rPr>
          <w:rFonts w:ascii="Arial" w:hAnsi="Arial" w:cs="Arial"/>
          <w:szCs w:val="24"/>
        </w:rPr>
        <w:t>, mas na política atual não consta mais esta restrição</w:t>
      </w:r>
      <w:r w:rsidR="00122D1F" w:rsidRPr="00030D4D">
        <w:rPr>
          <w:rFonts w:ascii="Arial" w:hAnsi="Arial" w:cs="Arial"/>
          <w:szCs w:val="24"/>
        </w:rPr>
        <w:t xml:space="preserve">. </w:t>
      </w:r>
      <w:r w:rsidR="00BA16B5" w:rsidRPr="00030D4D">
        <w:rPr>
          <w:rFonts w:ascii="Arial" w:hAnsi="Arial" w:cs="Arial"/>
          <w:szCs w:val="24"/>
        </w:rPr>
        <w:t xml:space="preserve">Nos Programas voltados a empresas de menor porte, não </w:t>
      </w:r>
      <w:r w:rsidR="004C498F" w:rsidRPr="00030D4D">
        <w:rPr>
          <w:rFonts w:ascii="Arial" w:hAnsi="Arial" w:cs="Arial"/>
          <w:szCs w:val="24"/>
        </w:rPr>
        <w:t>há</w:t>
      </w:r>
      <w:r w:rsidR="00BA16B5" w:rsidRPr="00030D4D">
        <w:rPr>
          <w:rFonts w:ascii="Arial" w:hAnsi="Arial" w:cs="Arial"/>
          <w:szCs w:val="24"/>
        </w:rPr>
        <w:t xml:space="preserve"> valor mínimo para a proposta.</w:t>
      </w:r>
    </w:p>
    <w:p w:rsidR="001C3C49" w:rsidRPr="00030D4D" w:rsidRDefault="001C3C49" w:rsidP="001441DA">
      <w:pPr>
        <w:pStyle w:val="BIBLIOGRAFIA"/>
        <w:spacing w:before="0" w:after="120"/>
        <w:rPr>
          <w:rFonts w:ascii="Arial" w:hAnsi="Arial" w:cs="Arial"/>
          <w:szCs w:val="24"/>
        </w:rPr>
        <w:sectPr w:rsidR="001C3C49" w:rsidRPr="00030D4D" w:rsidSect="009F0461">
          <w:footerReference w:type="default" r:id="rId8"/>
          <w:pgSz w:w="11906" w:h="16838"/>
          <w:pgMar w:top="1417" w:right="1701" w:bottom="1417" w:left="1701" w:header="708" w:footer="708" w:gutter="0"/>
          <w:pgNumType w:start="1"/>
          <w:cols w:space="708"/>
          <w:docGrid w:linePitch="360"/>
        </w:sectPr>
      </w:pPr>
    </w:p>
    <w:p w:rsidR="001C3C49" w:rsidRPr="00030D4D" w:rsidRDefault="00AD12E8" w:rsidP="00AD12E8">
      <w:pPr>
        <w:pStyle w:val="Caption"/>
        <w:rPr>
          <w:rFonts w:ascii="Arial" w:hAnsi="Arial" w:cs="Arial"/>
        </w:rPr>
      </w:pPr>
      <w:bookmarkStart w:id="13" w:name="_Toc482828525"/>
      <w:r w:rsidRPr="00030D4D">
        <w:rPr>
          <w:rFonts w:ascii="Arial" w:hAnsi="Arial" w:cs="Arial"/>
        </w:rPr>
        <w:t xml:space="preserve">Quadro </w:t>
      </w:r>
      <w:r w:rsidR="005271BC" w:rsidRPr="00030D4D">
        <w:rPr>
          <w:rFonts w:ascii="Arial" w:hAnsi="Arial" w:cs="Arial"/>
        </w:rPr>
        <w:fldChar w:fldCharType="begin"/>
      </w:r>
      <w:r w:rsidR="005271BC" w:rsidRPr="00030D4D">
        <w:rPr>
          <w:rFonts w:ascii="Arial" w:hAnsi="Arial" w:cs="Arial"/>
        </w:rPr>
        <w:instrText xml:space="preserve"> SEQ Quadro \* ARABIC </w:instrText>
      </w:r>
      <w:r w:rsidR="005271BC" w:rsidRPr="00030D4D">
        <w:rPr>
          <w:rFonts w:ascii="Arial" w:hAnsi="Arial" w:cs="Arial"/>
        </w:rPr>
        <w:fldChar w:fldCharType="separate"/>
      </w:r>
      <w:r w:rsidRPr="00030D4D">
        <w:rPr>
          <w:rFonts w:ascii="Arial" w:hAnsi="Arial" w:cs="Arial"/>
          <w:noProof/>
        </w:rPr>
        <w:t>4</w:t>
      </w:r>
      <w:r w:rsidR="005271BC" w:rsidRPr="00030D4D">
        <w:rPr>
          <w:rFonts w:ascii="Arial" w:hAnsi="Arial" w:cs="Arial"/>
          <w:noProof/>
        </w:rPr>
        <w:fldChar w:fldCharType="end"/>
      </w:r>
      <w:r w:rsidRPr="00030D4D">
        <w:rPr>
          <w:rFonts w:ascii="Arial" w:hAnsi="Arial" w:cs="Arial"/>
        </w:rPr>
        <w:t xml:space="preserve">. Descrição dos Mecanismos de Financiamento Reembolsável de Fomento à Inovação – </w:t>
      </w:r>
      <w:r w:rsidR="000B27EF" w:rsidRPr="00030D4D">
        <w:rPr>
          <w:rFonts w:ascii="Arial" w:hAnsi="Arial" w:cs="Arial"/>
        </w:rPr>
        <w:t>Finep</w:t>
      </w:r>
      <w:bookmarkEnd w:id="13"/>
    </w:p>
    <w:tbl>
      <w:tblPr>
        <w:tblStyle w:val="GridTable4-Accent6"/>
        <w:tblW w:w="11060" w:type="dxa"/>
        <w:tblLook w:val="04A0" w:firstRow="1" w:lastRow="0" w:firstColumn="1" w:lastColumn="0" w:noHBand="0" w:noVBand="1"/>
      </w:tblPr>
      <w:tblGrid>
        <w:gridCol w:w="1808"/>
        <w:gridCol w:w="1540"/>
        <w:gridCol w:w="1772"/>
        <w:gridCol w:w="1480"/>
        <w:gridCol w:w="1540"/>
        <w:gridCol w:w="1460"/>
        <w:gridCol w:w="1460"/>
      </w:tblGrid>
      <w:tr w:rsidR="005F34FA" w:rsidRPr="00030D4D" w:rsidTr="00E24E0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vMerge w:val="restart"/>
            <w:hideMark/>
          </w:tcPr>
          <w:p w:rsidR="005F34FA" w:rsidRPr="00030D4D" w:rsidRDefault="005F34FA" w:rsidP="005F34FA">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Itens</w:t>
            </w:r>
          </w:p>
        </w:tc>
        <w:tc>
          <w:tcPr>
            <w:tcW w:w="9075" w:type="dxa"/>
            <w:gridSpan w:val="6"/>
            <w:hideMark/>
          </w:tcPr>
          <w:p w:rsidR="005F34FA" w:rsidRPr="00030D4D" w:rsidRDefault="005F34FA" w:rsidP="005F34FA">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Linhas de crédito </w:t>
            </w:r>
          </w:p>
        </w:tc>
      </w:tr>
      <w:tr w:rsidR="005F34FA" w:rsidRPr="00030D4D" w:rsidTr="00E24E0C">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985" w:type="dxa"/>
            <w:vMerge/>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p>
        </w:tc>
        <w:tc>
          <w:tcPr>
            <w:tcW w:w="154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Inovação Pioneira </w:t>
            </w:r>
          </w:p>
        </w:tc>
        <w:tc>
          <w:tcPr>
            <w:tcW w:w="1595"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Inovação e Competitividade </w:t>
            </w:r>
          </w:p>
        </w:tc>
        <w:tc>
          <w:tcPr>
            <w:tcW w:w="148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Inovação para Desempenho</w:t>
            </w:r>
          </w:p>
        </w:tc>
        <w:tc>
          <w:tcPr>
            <w:tcW w:w="154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Pré-investimento (*)</w:t>
            </w:r>
          </w:p>
        </w:tc>
        <w:tc>
          <w:tcPr>
            <w:tcW w:w="146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Inovação Crítica*</w:t>
            </w:r>
          </w:p>
        </w:tc>
        <w:tc>
          <w:tcPr>
            <w:tcW w:w="146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Funttel</w:t>
            </w:r>
          </w:p>
        </w:tc>
      </w:tr>
      <w:tr w:rsidR="005F34FA" w:rsidRPr="00030D4D" w:rsidTr="00E24E0C">
        <w:trPr>
          <w:trHeight w:val="375"/>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Usuários elegíveis</w:t>
            </w:r>
          </w:p>
        </w:tc>
        <w:tc>
          <w:tcPr>
            <w:tcW w:w="9075" w:type="dxa"/>
            <w:gridSpan w:val="6"/>
            <w:hideMark/>
          </w:tcPr>
          <w:p w:rsidR="005F34FA" w:rsidRPr="00030D4D" w:rsidRDefault="005F34FA" w:rsidP="00A355AF">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 xml:space="preserve">Empresa (pessoa jurídica de direito público ou privado) </w:t>
            </w:r>
            <w:r w:rsidR="0062448F" w:rsidRPr="00030D4D">
              <w:rPr>
                <w:rFonts w:ascii="Arial" w:eastAsia="Times New Roman" w:hAnsi="Arial" w:cs="Arial"/>
                <w:sz w:val="20"/>
                <w:szCs w:val="20"/>
                <w:lang w:eastAsia="pt-BR"/>
              </w:rPr>
              <w:t>e outras organizações interessadas</w:t>
            </w:r>
          </w:p>
        </w:tc>
      </w:tr>
      <w:tr w:rsidR="005F34FA" w:rsidRPr="00030D4D" w:rsidTr="00E24E0C">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Acesso </w:t>
            </w:r>
          </w:p>
        </w:tc>
        <w:tc>
          <w:tcPr>
            <w:tcW w:w="9075" w:type="dxa"/>
            <w:gridSpan w:val="6"/>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Balcão</w:t>
            </w:r>
          </w:p>
        </w:tc>
      </w:tr>
      <w:tr w:rsidR="00E24E0C" w:rsidRPr="00030D4D" w:rsidTr="00E24E0C">
        <w:trPr>
          <w:trHeight w:val="300"/>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sz w:val="20"/>
                <w:szCs w:val="20"/>
                <w:lang w:eastAsia="pt-BR"/>
              </w:rPr>
            </w:pPr>
            <w:r w:rsidRPr="00030D4D">
              <w:rPr>
                <w:rFonts w:ascii="Arial" w:eastAsia="Times New Roman" w:hAnsi="Arial" w:cs="Arial"/>
                <w:sz w:val="20"/>
                <w:szCs w:val="20"/>
                <w:lang w:eastAsia="pt-BR"/>
              </w:rPr>
              <w:t>Encargos</w:t>
            </w:r>
          </w:p>
        </w:tc>
        <w:tc>
          <w:tcPr>
            <w:tcW w:w="154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TJLP + 1,5% aa</w:t>
            </w:r>
          </w:p>
        </w:tc>
        <w:tc>
          <w:tcPr>
            <w:tcW w:w="1595"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TJLP + 3% aa</w:t>
            </w:r>
          </w:p>
        </w:tc>
        <w:tc>
          <w:tcPr>
            <w:tcW w:w="148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TJLP + 4% aa</w:t>
            </w:r>
          </w:p>
        </w:tc>
        <w:tc>
          <w:tcPr>
            <w:tcW w:w="154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TJLP + 5% aa</w:t>
            </w:r>
          </w:p>
        </w:tc>
        <w:tc>
          <w:tcPr>
            <w:tcW w:w="146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TJLP</w:t>
            </w:r>
          </w:p>
        </w:tc>
        <w:tc>
          <w:tcPr>
            <w:tcW w:w="146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TR+5%aa</w:t>
            </w:r>
          </w:p>
        </w:tc>
      </w:tr>
      <w:tr w:rsidR="005F34FA" w:rsidRPr="00030D4D" w:rsidTr="00E24E0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Prazos de carência</w:t>
            </w:r>
          </w:p>
        </w:tc>
        <w:tc>
          <w:tcPr>
            <w:tcW w:w="154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36 meses</w:t>
            </w:r>
          </w:p>
        </w:tc>
        <w:tc>
          <w:tcPr>
            <w:tcW w:w="1595"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36 meses</w:t>
            </w:r>
          </w:p>
        </w:tc>
        <w:tc>
          <w:tcPr>
            <w:tcW w:w="148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24 meses</w:t>
            </w:r>
          </w:p>
        </w:tc>
        <w:tc>
          <w:tcPr>
            <w:tcW w:w="154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24 meses</w:t>
            </w:r>
          </w:p>
        </w:tc>
        <w:tc>
          <w:tcPr>
            <w:tcW w:w="146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48 meses</w:t>
            </w:r>
          </w:p>
        </w:tc>
        <w:tc>
          <w:tcPr>
            <w:tcW w:w="146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48 meses</w:t>
            </w:r>
          </w:p>
        </w:tc>
      </w:tr>
      <w:tr w:rsidR="00E24E0C" w:rsidRPr="00030D4D" w:rsidTr="00E24E0C">
        <w:trPr>
          <w:trHeight w:val="780"/>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sz w:val="20"/>
                <w:szCs w:val="20"/>
                <w:lang w:eastAsia="pt-BR"/>
              </w:rPr>
            </w:pPr>
            <w:r w:rsidRPr="00030D4D">
              <w:rPr>
                <w:rFonts w:ascii="Arial" w:eastAsia="Times New Roman" w:hAnsi="Arial" w:cs="Arial"/>
                <w:sz w:val="20"/>
                <w:szCs w:val="20"/>
                <w:lang w:eastAsia="pt-BR"/>
              </w:rPr>
              <w:t>Prazo Total (amortização+ carência)</w:t>
            </w:r>
          </w:p>
        </w:tc>
        <w:tc>
          <w:tcPr>
            <w:tcW w:w="154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120 meses</w:t>
            </w:r>
          </w:p>
        </w:tc>
        <w:tc>
          <w:tcPr>
            <w:tcW w:w="1595"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120 meses</w:t>
            </w:r>
          </w:p>
        </w:tc>
        <w:tc>
          <w:tcPr>
            <w:tcW w:w="148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84 meses</w:t>
            </w:r>
          </w:p>
        </w:tc>
        <w:tc>
          <w:tcPr>
            <w:tcW w:w="154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84 meses</w:t>
            </w:r>
          </w:p>
        </w:tc>
        <w:tc>
          <w:tcPr>
            <w:tcW w:w="146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144 meses</w:t>
            </w:r>
          </w:p>
        </w:tc>
        <w:tc>
          <w:tcPr>
            <w:tcW w:w="146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120 meses</w:t>
            </w:r>
          </w:p>
        </w:tc>
      </w:tr>
      <w:tr w:rsidR="005F34FA" w:rsidRPr="00030D4D" w:rsidTr="00E24E0C">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sz w:val="20"/>
                <w:szCs w:val="20"/>
                <w:lang w:eastAsia="pt-BR"/>
              </w:rPr>
            </w:pPr>
            <w:r w:rsidRPr="00030D4D">
              <w:rPr>
                <w:rFonts w:ascii="Arial" w:eastAsia="Times New Roman" w:hAnsi="Arial" w:cs="Arial"/>
                <w:sz w:val="20"/>
                <w:szCs w:val="20"/>
                <w:lang w:eastAsia="pt-BR"/>
              </w:rPr>
              <w:t>Participação do agente financeiro</w:t>
            </w:r>
          </w:p>
        </w:tc>
        <w:tc>
          <w:tcPr>
            <w:tcW w:w="154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80%</w:t>
            </w:r>
          </w:p>
        </w:tc>
        <w:tc>
          <w:tcPr>
            <w:tcW w:w="1595"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Até 70% </w:t>
            </w:r>
          </w:p>
        </w:tc>
        <w:tc>
          <w:tcPr>
            <w:tcW w:w="148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60%</w:t>
            </w:r>
          </w:p>
        </w:tc>
        <w:tc>
          <w:tcPr>
            <w:tcW w:w="154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60%</w:t>
            </w:r>
          </w:p>
        </w:tc>
        <w:tc>
          <w:tcPr>
            <w:tcW w:w="146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Até 90% </w:t>
            </w:r>
          </w:p>
        </w:tc>
        <w:tc>
          <w:tcPr>
            <w:tcW w:w="1460" w:type="dxa"/>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Até 80%</w:t>
            </w:r>
          </w:p>
        </w:tc>
      </w:tr>
      <w:tr w:rsidR="00E24E0C" w:rsidRPr="00030D4D" w:rsidTr="00E24E0C">
        <w:trPr>
          <w:trHeight w:val="300"/>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sz w:val="20"/>
                <w:szCs w:val="20"/>
                <w:lang w:eastAsia="pt-BR"/>
              </w:rPr>
            </w:pPr>
            <w:r w:rsidRPr="00030D4D">
              <w:rPr>
                <w:rFonts w:ascii="Arial" w:eastAsia="Times New Roman" w:hAnsi="Arial" w:cs="Arial"/>
                <w:sz w:val="20"/>
                <w:szCs w:val="20"/>
                <w:lang w:eastAsia="pt-BR"/>
              </w:rPr>
              <w:t>Itens financiáveis</w:t>
            </w:r>
          </w:p>
        </w:tc>
        <w:tc>
          <w:tcPr>
            <w:tcW w:w="154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(1)</w:t>
            </w:r>
          </w:p>
        </w:tc>
        <w:tc>
          <w:tcPr>
            <w:tcW w:w="1595"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(1)</w:t>
            </w:r>
          </w:p>
        </w:tc>
        <w:tc>
          <w:tcPr>
            <w:tcW w:w="148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(1)</w:t>
            </w:r>
          </w:p>
        </w:tc>
        <w:tc>
          <w:tcPr>
            <w:tcW w:w="154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(1)</w:t>
            </w:r>
          </w:p>
        </w:tc>
        <w:tc>
          <w:tcPr>
            <w:tcW w:w="146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(1)</w:t>
            </w:r>
          </w:p>
        </w:tc>
        <w:tc>
          <w:tcPr>
            <w:tcW w:w="1460" w:type="dxa"/>
            <w:noWrap/>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t-BR"/>
              </w:rPr>
            </w:pPr>
            <w:r w:rsidRPr="00030D4D">
              <w:rPr>
                <w:rFonts w:ascii="Arial" w:eastAsia="Times New Roman" w:hAnsi="Arial" w:cs="Arial"/>
                <w:sz w:val="20"/>
                <w:szCs w:val="20"/>
                <w:lang w:eastAsia="pt-BR"/>
              </w:rPr>
              <w:t>(1)</w:t>
            </w:r>
          </w:p>
        </w:tc>
      </w:tr>
      <w:tr w:rsidR="005F34FA" w:rsidRPr="00030D4D" w:rsidTr="00E24E0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Garantias</w:t>
            </w:r>
          </w:p>
        </w:tc>
        <w:tc>
          <w:tcPr>
            <w:tcW w:w="154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1595"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148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154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146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1460" w:type="dxa"/>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w:t>
            </w:r>
          </w:p>
        </w:tc>
      </w:tr>
      <w:tr w:rsidR="005F34FA" w:rsidRPr="00030D4D" w:rsidTr="00E24E0C">
        <w:trPr>
          <w:trHeight w:val="525"/>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Montantes </w:t>
            </w:r>
            <w:r w:rsidRPr="00030D4D">
              <w:rPr>
                <w:rFonts w:ascii="Arial" w:eastAsia="Times New Roman" w:hAnsi="Arial" w:cs="Arial"/>
                <w:sz w:val="20"/>
                <w:szCs w:val="20"/>
                <w:lang w:eastAsia="pt-BR"/>
              </w:rPr>
              <w:t>(mínimo</w:t>
            </w:r>
            <w:r w:rsidRPr="00030D4D">
              <w:rPr>
                <w:rFonts w:ascii="Arial" w:eastAsia="Times New Roman" w:hAnsi="Arial" w:cs="Arial"/>
                <w:color w:val="000000"/>
                <w:sz w:val="20"/>
                <w:szCs w:val="20"/>
                <w:lang w:eastAsia="pt-BR"/>
              </w:rPr>
              <w:t xml:space="preserve"> e "típico")</w:t>
            </w:r>
          </w:p>
        </w:tc>
        <w:tc>
          <w:tcPr>
            <w:tcW w:w="9075" w:type="dxa"/>
            <w:gridSpan w:val="6"/>
            <w:hideMark/>
          </w:tcPr>
          <w:p w:rsidR="005F34FA" w:rsidRPr="00030D4D" w:rsidRDefault="005F34FA" w:rsidP="005F34F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 valor mínimo, nem típico</w:t>
            </w:r>
          </w:p>
        </w:tc>
      </w:tr>
      <w:tr w:rsidR="005F34FA" w:rsidRPr="00030D4D" w:rsidTr="00E24E0C">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985" w:type="dxa"/>
            <w:hideMark/>
          </w:tcPr>
          <w:p w:rsidR="005F34FA" w:rsidRPr="00030D4D" w:rsidRDefault="005F34FA" w:rsidP="005F34FA">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Prazo típico de tramitação</w:t>
            </w:r>
          </w:p>
        </w:tc>
        <w:tc>
          <w:tcPr>
            <w:tcW w:w="9075" w:type="dxa"/>
            <w:gridSpan w:val="6"/>
            <w:noWrap/>
            <w:hideMark/>
          </w:tcPr>
          <w:p w:rsidR="005F34FA" w:rsidRPr="00030D4D" w:rsidRDefault="005F34FA" w:rsidP="005F34F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Indefinido</w:t>
            </w:r>
          </w:p>
        </w:tc>
      </w:tr>
    </w:tbl>
    <w:p w:rsidR="005F34FA" w:rsidRPr="00030D4D" w:rsidRDefault="005F34FA" w:rsidP="005F34FA">
      <w:pPr>
        <w:pStyle w:val="BIBLIOGRAFIA"/>
        <w:spacing w:before="0" w:line="240" w:lineRule="auto"/>
        <w:rPr>
          <w:rFonts w:ascii="Arial" w:hAnsi="Arial" w:cs="Arial"/>
          <w:szCs w:val="24"/>
        </w:rPr>
      </w:pPr>
      <w:r w:rsidRPr="00030D4D">
        <w:rPr>
          <w:rFonts w:ascii="Arial" w:hAnsi="Arial" w:cs="Arial"/>
          <w:szCs w:val="24"/>
        </w:rPr>
        <w:t>Fonte: http://www.finep.gov.br/images/a-finep/politica-operacional/tabela_atualizada.pdf</w:t>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p>
    <w:p w:rsidR="005F34FA" w:rsidRPr="00030D4D" w:rsidRDefault="005F34FA" w:rsidP="005F34FA">
      <w:pPr>
        <w:pStyle w:val="BIBLIOGRAFIA"/>
        <w:spacing w:before="0" w:line="240" w:lineRule="auto"/>
        <w:rPr>
          <w:rFonts w:ascii="Arial" w:hAnsi="Arial" w:cs="Arial"/>
          <w:szCs w:val="24"/>
        </w:rPr>
      </w:pPr>
      <w:r w:rsidRPr="00030D4D">
        <w:rPr>
          <w:rFonts w:ascii="Arial" w:hAnsi="Arial" w:cs="Arial"/>
          <w:szCs w:val="24"/>
        </w:rPr>
        <w:t>OBS: TJLP: Definida trimestralmente (de abril a junho/2017: 7,0% aa)</w:t>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p>
    <w:p w:rsidR="005F34FA" w:rsidRPr="00030D4D" w:rsidRDefault="005F34FA" w:rsidP="005F34FA">
      <w:pPr>
        <w:pStyle w:val="BIBLIOGRAFIA"/>
        <w:spacing w:before="0" w:line="240" w:lineRule="auto"/>
        <w:rPr>
          <w:rFonts w:ascii="Arial" w:hAnsi="Arial" w:cs="Arial"/>
          <w:szCs w:val="24"/>
        </w:rPr>
      </w:pPr>
      <w:r w:rsidRPr="00030D4D">
        <w:rPr>
          <w:rFonts w:ascii="Arial" w:hAnsi="Arial" w:cs="Arial"/>
          <w:szCs w:val="24"/>
        </w:rPr>
        <w:t>(1) Ver link: http://www.finep.gov.br/images/a-finep/politica-operacional/20_10-2016_POLITICA_OPERACIONAL_2016.pdf</w:t>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p>
    <w:p w:rsidR="005F34FA" w:rsidRPr="00030D4D" w:rsidRDefault="005F34FA" w:rsidP="007E07BE">
      <w:pPr>
        <w:pStyle w:val="BIBLIOGRAFIA"/>
        <w:spacing w:before="0" w:after="120"/>
        <w:rPr>
          <w:rFonts w:ascii="Arial" w:hAnsi="Arial" w:cs="Arial"/>
          <w:szCs w:val="24"/>
        </w:rPr>
      </w:pPr>
    </w:p>
    <w:p w:rsidR="005F34FA" w:rsidRPr="00030D4D" w:rsidRDefault="005F34FA" w:rsidP="007E07BE">
      <w:pPr>
        <w:pStyle w:val="BIBLIOGRAFIA"/>
        <w:spacing w:before="0" w:after="120"/>
        <w:rPr>
          <w:rFonts w:ascii="Arial" w:hAnsi="Arial" w:cs="Arial"/>
          <w:szCs w:val="24"/>
        </w:rPr>
        <w:sectPr w:rsidR="005F34FA" w:rsidRPr="00030D4D" w:rsidSect="001C3C49">
          <w:pgSz w:w="16838" w:h="11906" w:orient="landscape"/>
          <w:pgMar w:top="1701" w:right="1417" w:bottom="1701" w:left="1417" w:header="708" w:footer="708" w:gutter="0"/>
          <w:pgNumType w:start="1"/>
          <w:cols w:space="708"/>
          <w:docGrid w:linePitch="360"/>
        </w:sectPr>
      </w:pPr>
    </w:p>
    <w:p w:rsidR="001C3C49" w:rsidRPr="00030D4D" w:rsidRDefault="001C3C49" w:rsidP="007E07BE">
      <w:pPr>
        <w:pStyle w:val="BIBLIOGRAFIA"/>
        <w:spacing w:before="0" w:after="120"/>
        <w:rPr>
          <w:rFonts w:ascii="Arial" w:hAnsi="Arial" w:cs="Arial"/>
          <w:szCs w:val="24"/>
        </w:rPr>
      </w:pPr>
    </w:p>
    <w:p w:rsidR="001C3C49" w:rsidRPr="00030D4D" w:rsidRDefault="001C3C49" w:rsidP="007E07BE">
      <w:pPr>
        <w:pStyle w:val="BIBLIOGRAFIA"/>
        <w:spacing w:before="0" w:after="120"/>
        <w:rPr>
          <w:rFonts w:ascii="Arial" w:hAnsi="Arial" w:cs="Arial"/>
          <w:szCs w:val="24"/>
        </w:rPr>
      </w:pPr>
    </w:p>
    <w:p w:rsidR="006E0434" w:rsidRPr="00030D4D" w:rsidRDefault="00122D1F" w:rsidP="007E07BE">
      <w:pPr>
        <w:pStyle w:val="BIBLIOGRAFIA"/>
        <w:spacing w:before="0" w:after="120"/>
        <w:rPr>
          <w:rFonts w:ascii="Arial" w:hAnsi="Arial" w:cs="Arial"/>
        </w:rPr>
      </w:pPr>
      <w:r w:rsidRPr="00030D4D">
        <w:rPr>
          <w:rFonts w:ascii="Arial" w:hAnsi="Arial" w:cs="Arial"/>
          <w:szCs w:val="24"/>
        </w:rPr>
        <w:t xml:space="preserve">Os </w:t>
      </w:r>
      <w:r w:rsidR="0075140A" w:rsidRPr="00030D4D">
        <w:rPr>
          <w:rFonts w:ascii="Arial" w:hAnsi="Arial" w:cs="Arial"/>
          <w:szCs w:val="24"/>
        </w:rPr>
        <w:t>números</w:t>
      </w:r>
      <w:r w:rsidRPr="00030D4D">
        <w:rPr>
          <w:rFonts w:ascii="Arial" w:hAnsi="Arial" w:cs="Arial"/>
          <w:szCs w:val="24"/>
        </w:rPr>
        <w:t xml:space="preserve"> do Gráfico </w:t>
      </w:r>
      <w:r w:rsidR="00B651B3" w:rsidRPr="00030D4D">
        <w:rPr>
          <w:rFonts w:ascii="Arial" w:hAnsi="Arial" w:cs="Arial"/>
          <w:szCs w:val="24"/>
        </w:rPr>
        <w:t>1</w:t>
      </w:r>
      <w:r w:rsidRPr="00030D4D">
        <w:rPr>
          <w:rFonts w:ascii="Arial" w:hAnsi="Arial" w:cs="Arial"/>
          <w:szCs w:val="24"/>
        </w:rPr>
        <w:t xml:space="preserve"> permitem inferir que</w:t>
      </w:r>
      <w:r w:rsidR="009A6B8F" w:rsidRPr="00030D4D">
        <w:rPr>
          <w:rFonts w:ascii="Arial" w:hAnsi="Arial" w:cs="Arial"/>
          <w:szCs w:val="24"/>
        </w:rPr>
        <w:t xml:space="preserve"> a partir de 2009 houve um crescimento das operações. Essa trajetória de expansão se deveu à maior disponibilidade dos recursos do Tesouro, provenientes do Plano de Sustentação do Investimento (PSI), que permitiu um aumento dos repasses do BNDES para a Finep. Assim, nota-se que já em 2009 praticamente dobrou o valor contratado em relação ao ano anterior.  Esse crescimento foi ainda mais expressivo entre 2013 e 2014, o que </w:t>
      </w:r>
      <w:r w:rsidR="009666AD" w:rsidRPr="00030D4D">
        <w:rPr>
          <w:rFonts w:ascii="Arial" w:hAnsi="Arial" w:cs="Arial"/>
          <w:szCs w:val="24"/>
        </w:rPr>
        <w:t xml:space="preserve">pode ser explicado pela política interna adotada, o “Finep 30 dias”. </w:t>
      </w:r>
    </w:p>
    <w:p w:rsidR="00371531" w:rsidRPr="00030D4D" w:rsidRDefault="00371531">
      <w:pPr>
        <w:spacing w:before="0" w:after="160" w:line="259" w:lineRule="auto"/>
        <w:jc w:val="left"/>
        <w:rPr>
          <w:rFonts w:ascii="Arial" w:hAnsi="Arial" w:cs="Arial"/>
          <w:b/>
          <w:iCs/>
          <w:szCs w:val="18"/>
        </w:rPr>
      </w:pPr>
    </w:p>
    <w:p w:rsidR="00122D1F" w:rsidRPr="00030D4D" w:rsidRDefault="00536D84" w:rsidP="00536D84">
      <w:pPr>
        <w:pStyle w:val="Caption"/>
        <w:rPr>
          <w:rFonts w:ascii="Arial" w:hAnsi="Arial" w:cs="Arial"/>
        </w:rPr>
      </w:pPr>
      <w:bookmarkStart w:id="14" w:name="_Toc482828507"/>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1</w:t>
      </w:r>
      <w:r w:rsidR="005271BC" w:rsidRPr="00030D4D">
        <w:rPr>
          <w:rFonts w:ascii="Arial" w:hAnsi="Arial" w:cs="Arial"/>
          <w:noProof/>
        </w:rPr>
        <w:fldChar w:fldCharType="end"/>
      </w:r>
      <w:r w:rsidRPr="00030D4D">
        <w:rPr>
          <w:rFonts w:ascii="Arial" w:hAnsi="Arial" w:cs="Arial"/>
        </w:rPr>
        <w:t xml:space="preserve">. </w:t>
      </w:r>
      <w:r w:rsidR="00122D1F" w:rsidRPr="00030D4D">
        <w:rPr>
          <w:rFonts w:ascii="Arial" w:hAnsi="Arial" w:cs="Arial"/>
        </w:rPr>
        <w:t>Operações de Crédito da Finep: Valor Contratado</w:t>
      </w:r>
      <w:r w:rsidR="00B651B3" w:rsidRPr="00030D4D">
        <w:rPr>
          <w:rFonts w:ascii="Arial" w:hAnsi="Arial" w:cs="Arial"/>
        </w:rPr>
        <w:t>,</w:t>
      </w:r>
      <w:r w:rsidR="00122D1F" w:rsidRPr="00030D4D">
        <w:rPr>
          <w:rFonts w:ascii="Arial" w:hAnsi="Arial" w:cs="Arial"/>
        </w:rPr>
        <w:t xml:space="preserve"> em R$ Milhões Correntes</w:t>
      </w:r>
      <w:bookmarkEnd w:id="14"/>
    </w:p>
    <w:p w:rsidR="006E4831" w:rsidRPr="00030D4D" w:rsidRDefault="006E4831" w:rsidP="006E4831">
      <w:pPr>
        <w:rPr>
          <w:rFonts w:ascii="Arial" w:hAnsi="Arial" w:cs="Arial"/>
        </w:rPr>
      </w:pPr>
      <w:r w:rsidRPr="00030D4D">
        <w:rPr>
          <w:rFonts w:ascii="Arial" w:hAnsi="Arial" w:cs="Arial"/>
          <w:noProof/>
          <w:lang w:val="en-US"/>
        </w:rPr>
        <w:drawing>
          <wp:inline distT="0" distB="0" distL="0" distR="0" wp14:anchorId="608527EC" wp14:editId="52E2762D">
            <wp:extent cx="4572000" cy="27432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22D1F" w:rsidRPr="00030D4D" w:rsidRDefault="00122D1F" w:rsidP="00122D1F">
      <w:pPr>
        <w:spacing w:before="0" w:after="0"/>
        <w:rPr>
          <w:rFonts w:ascii="Arial" w:hAnsi="Arial" w:cs="Arial"/>
          <w:sz w:val="20"/>
          <w:szCs w:val="20"/>
        </w:rPr>
      </w:pPr>
      <w:r w:rsidRPr="00030D4D">
        <w:rPr>
          <w:rFonts w:ascii="Arial" w:hAnsi="Arial" w:cs="Arial"/>
          <w:sz w:val="20"/>
          <w:szCs w:val="20"/>
        </w:rPr>
        <w:t>Fonte: Finep</w:t>
      </w:r>
    </w:p>
    <w:p w:rsidR="00B651B3" w:rsidRPr="00030D4D" w:rsidRDefault="00B651B3" w:rsidP="00122D1F">
      <w:pPr>
        <w:spacing w:before="0" w:after="0"/>
        <w:rPr>
          <w:rFonts w:ascii="Arial" w:hAnsi="Arial" w:cs="Arial"/>
          <w:sz w:val="20"/>
          <w:szCs w:val="20"/>
        </w:rPr>
      </w:pPr>
    </w:p>
    <w:p w:rsidR="009A6B8F" w:rsidRPr="00030D4D" w:rsidRDefault="00370E16" w:rsidP="009A6B8F">
      <w:pPr>
        <w:pStyle w:val="BIBLIOGRAFIA"/>
        <w:spacing w:before="0" w:after="120"/>
        <w:rPr>
          <w:rFonts w:ascii="Arial" w:hAnsi="Arial" w:cs="Arial"/>
        </w:rPr>
      </w:pPr>
      <w:r w:rsidRPr="00030D4D">
        <w:rPr>
          <w:rFonts w:ascii="Arial" w:hAnsi="Arial" w:cs="Arial"/>
          <w:szCs w:val="24"/>
        </w:rPr>
        <w:t>O</w:t>
      </w:r>
      <w:r w:rsidR="009A6B8F" w:rsidRPr="00030D4D">
        <w:rPr>
          <w:rFonts w:ascii="Arial" w:hAnsi="Arial" w:cs="Arial"/>
          <w:szCs w:val="24"/>
        </w:rPr>
        <w:t xml:space="preserve"> montante médio das operações de financiamento reembolsável da Finep</w:t>
      </w:r>
      <w:r w:rsidRPr="00030D4D">
        <w:rPr>
          <w:rFonts w:ascii="Arial" w:hAnsi="Arial" w:cs="Arial"/>
          <w:szCs w:val="24"/>
        </w:rPr>
        <w:t>, entre 2005 e 2011</w:t>
      </w:r>
      <w:r w:rsidR="009A6B8F" w:rsidRPr="00030D4D">
        <w:rPr>
          <w:rFonts w:ascii="Arial" w:hAnsi="Arial" w:cs="Arial"/>
          <w:szCs w:val="24"/>
        </w:rPr>
        <w:t xml:space="preserve"> foi de </w:t>
      </w:r>
      <w:r w:rsidRPr="00030D4D">
        <w:rPr>
          <w:rFonts w:ascii="Arial" w:hAnsi="Arial" w:cs="Arial"/>
          <w:szCs w:val="24"/>
        </w:rPr>
        <w:t xml:space="preserve">cerca de </w:t>
      </w:r>
      <w:r w:rsidR="009A6B8F" w:rsidRPr="00030D4D">
        <w:rPr>
          <w:rFonts w:ascii="Arial" w:hAnsi="Arial" w:cs="Arial"/>
          <w:szCs w:val="24"/>
        </w:rPr>
        <w:t xml:space="preserve">R$ </w:t>
      </w:r>
      <w:r w:rsidRPr="00030D4D">
        <w:rPr>
          <w:rFonts w:ascii="Arial" w:hAnsi="Arial" w:cs="Arial"/>
          <w:szCs w:val="24"/>
        </w:rPr>
        <w:t>12</w:t>
      </w:r>
      <w:r w:rsidR="009A6B8F" w:rsidRPr="00030D4D">
        <w:rPr>
          <w:rFonts w:ascii="Arial" w:hAnsi="Arial" w:cs="Arial"/>
          <w:szCs w:val="24"/>
        </w:rPr>
        <w:t xml:space="preserve"> milhões (média de valores nominais). </w:t>
      </w:r>
      <w:r w:rsidR="00C431F5" w:rsidRPr="00030D4D">
        <w:rPr>
          <w:rFonts w:ascii="Arial" w:hAnsi="Arial" w:cs="Arial"/>
          <w:szCs w:val="24"/>
        </w:rPr>
        <w:t xml:space="preserve">Entre 2012 e 2014 acelerou-se </w:t>
      </w:r>
      <w:r w:rsidR="009A6B8F" w:rsidRPr="00030D4D">
        <w:rPr>
          <w:rFonts w:ascii="Arial" w:hAnsi="Arial" w:cs="Arial"/>
          <w:szCs w:val="24"/>
        </w:rPr>
        <w:t xml:space="preserve">a trajetória de crescimento do valor médio dessas transações, que nesse </w:t>
      </w:r>
      <w:r w:rsidR="00C431F5" w:rsidRPr="00030D4D">
        <w:rPr>
          <w:rFonts w:ascii="Arial" w:hAnsi="Arial" w:cs="Arial"/>
          <w:szCs w:val="24"/>
        </w:rPr>
        <w:t>período</w:t>
      </w:r>
      <w:r w:rsidR="009A6B8F" w:rsidRPr="00030D4D">
        <w:rPr>
          <w:rFonts w:ascii="Arial" w:hAnsi="Arial" w:cs="Arial"/>
          <w:szCs w:val="24"/>
        </w:rPr>
        <w:t xml:space="preserve"> atingiu R$ </w:t>
      </w:r>
      <w:r w:rsidR="00C431F5" w:rsidRPr="00030D4D">
        <w:rPr>
          <w:rFonts w:ascii="Arial" w:hAnsi="Arial" w:cs="Arial"/>
          <w:szCs w:val="24"/>
        </w:rPr>
        <w:t>48,7</w:t>
      </w:r>
      <w:r w:rsidR="009A6B8F" w:rsidRPr="00030D4D">
        <w:rPr>
          <w:rFonts w:ascii="Arial" w:hAnsi="Arial" w:cs="Arial"/>
          <w:szCs w:val="24"/>
        </w:rPr>
        <w:t xml:space="preserve"> milhões. </w:t>
      </w:r>
      <w:r w:rsidR="00424649" w:rsidRPr="00030D4D">
        <w:rPr>
          <w:rFonts w:ascii="Arial" w:hAnsi="Arial" w:cs="Arial"/>
          <w:szCs w:val="24"/>
        </w:rPr>
        <w:t>No Gráfico 2 é possível observar valor médio anual das transações.</w:t>
      </w:r>
    </w:p>
    <w:p w:rsidR="005C51A5" w:rsidRPr="00030D4D" w:rsidRDefault="005C51A5">
      <w:pPr>
        <w:spacing w:before="0" w:after="160" w:line="259" w:lineRule="auto"/>
        <w:jc w:val="left"/>
        <w:rPr>
          <w:rFonts w:ascii="Arial" w:hAnsi="Arial" w:cs="Arial"/>
          <w:b/>
          <w:iCs/>
          <w:szCs w:val="18"/>
        </w:rPr>
      </w:pPr>
      <w:r w:rsidRPr="00030D4D">
        <w:rPr>
          <w:rFonts w:ascii="Arial" w:hAnsi="Arial" w:cs="Arial"/>
        </w:rPr>
        <w:br w:type="page"/>
      </w:r>
    </w:p>
    <w:p w:rsidR="00B651B3" w:rsidRPr="00030D4D" w:rsidRDefault="00B651B3" w:rsidP="00B651B3">
      <w:pPr>
        <w:pStyle w:val="Caption"/>
        <w:rPr>
          <w:rFonts w:ascii="Arial" w:hAnsi="Arial" w:cs="Arial"/>
        </w:rPr>
      </w:pPr>
      <w:bookmarkStart w:id="15" w:name="_Toc482828508"/>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2</w:t>
      </w:r>
      <w:r w:rsidR="005271BC" w:rsidRPr="00030D4D">
        <w:rPr>
          <w:rFonts w:ascii="Arial" w:hAnsi="Arial" w:cs="Arial"/>
          <w:noProof/>
        </w:rPr>
        <w:fldChar w:fldCharType="end"/>
      </w:r>
      <w:r w:rsidRPr="00030D4D">
        <w:rPr>
          <w:rFonts w:ascii="Arial" w:hAnsi="Arial" w:cs="Arial"/>
        </w:rPr>
        <w:t>. Operações de Crédito da Fine</w:t>
      </w:r>
      <w:r w:rsidR="00302C59" w:rsidRPr="00030D4D">
        <w:rPr>
          <w:rFonts w:ascii="Arial" w:hAnsi="Arial" w:cs="Arial"/>
        </w:rPr>
        <w:t>p: Valor Médio dos Projetos Con</w:t>
      </w:r>
      <w:r w:rsidRPr="00030D4D">
        <w:rPr>
          <w:rFonts w:ascii="Arial" w:hAnsi="Arial" w:cs="Arial"/>
        </w:rPr>
        <w:t>tratados, em R$ Milhões Correntes</w:t>
      </w:r>
      <w:bookmarkEnd w:id="15"/>
    </w:p>
    <w:p w:rsidR="00B651B3" w:rsidRPr="00030D4D" w:rsidRDefault="00B651B3" w:rsidP="00122D1F">
      <w:pPr>
        <w:spacing w:before="0" w:after="0"/>
        <w:rPr>
          <w:rFonts w:ascii="Arial" w:hAnsi="Arial" w:cs="Arial"/>
          <w:sz w:val="20"/>
          <w:szCs w:val="20"/>
        </w:rPr>
      </w:pPr>
    </w:p>
    <w:p w:rsidR="00B651B3" w:rsidRPr="00030D4D" w:rsidRDefault="00B651B3" w:rsidP="00122D1F">
      <w:pPr>
        <w:spacing w:before="0" w:after="0"/>
        <w:rPr>
          <w:rFonts w:ascii="Arial" w:hAnsi="Arial" w:cs="Arial"/>
          <w:sz w:val="20"/>
          <w:szCs w:val="20"/>
        </w:rPr>
      </w:pPr>
      <w:r w:rsidRPr="00030D4D">
        <w:rPr>
          <w:rFonts w:ascii="Arial" w:hAnsi="Arial" w:cs="Arial"/>
          <w:noProof/>
          <w:lang w:val="en-US"/>
        </w:rPr>
        <w:drawing>
          <wp:inline distT="0" distB="0" distL="0" distR="0" wp14:anchorId="67B8050C" wp14:editId="246837FC">
            <wp:extent cx="4572000" cy="274320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36D84" w:rsidRPr="00030D4D" w:rsidRDefault="00536D84" w:rsidP="001441DA">
      <w:pPr>
        <w:spacing w:before="0"/>
        <w:rPr>
          <w:rFonts w:ascii="Arial" w:hAnsi="Arial" w:cs="Arial"/>
        </w:rPr>
      </w:pPr>
    </w:p>
    <w:p w:rsidR="00F22A0E" w:rsidRPr="00030D4D" w:rsidRDefault="00370E16" w:rsidP="00370E16">
      <w:pPr>
        <w:pStyle w:val="BIBLIOGRAFIA"/>
        <w:spacing w:before="0" w:after="120"/>
        <w:rPr>
          <w:rFonts w:ascii="Arial" w:hAnsi="Arial" w:cs="Arial"/>
          <w:szCs w:val="24"/>
        </w:rPr>
      </w:pPr>
      <w:r w:rsidRPr="00030D4D">
        <w:rPr>
          <w:rFonts w:ascii="Arial" w:hAnsi="Arial" w:cs="Arial"/>
          <w:szCs w:val="24"/>
        </w:rPr>
        <w:t xml:space="preserve">Os dados mais recentes disponíveis sugerem que, ainda que </w:t>
      </w:r>
      <w:r w:rsidR="007A6912" w:rsidRPr="00030D4D">
        <w:rPr>
          <w:rFonts w:ascii="Arial" w:hAnsi="Arial" w:cs="Arial"/>
          <w:szCs w:val="24"/>
        </w:rPr>
        <w:t xml:space="preserve">o financiamento via crédito </w:t>
      </w:r>
      <w:r w:rsidRPr="00030D4D">
        <w:rPr>
          <w:rFonts w:ascii="Arial" w:hAnsi="Arial" w:cs="Arial"/>
          <w:szCs w:val="24"/>
        </w:rPr>
        <w:t xml:space="preserve">tenha se desacelerado, </w:t>
      </w:r>
      <w:r w:rsidR="00424649" w:rsidRPr="00030D4D">
        <w:rPr>
          <w:rFonts w:ascii="Arial" w:hAnsi="Arial" w:cs="Arial"/>
          <w:szCs w:val="24"/>
        </w:rPr>
        <w:t xml:space="preserve">ao menos 50% da demanda apresentada em 2015 foi atendida, em termos de valor. </w:t>
      </w:r>
      <w:r w:rsidRPr="00030D4D">
        <w:rPr>
          <w:rFonts w:ascii="Arial" w:hAnsi="Arial" w:cs="Arial"/>
          <w:szCs w:val="24"/>
        </w:rPr>
        <w:t xml:space="preserve"> </w:t>
      </w:r>
      <w:r w:rsidR="00F22A0E" w:rsidRPr="00030D4D">
        <w:rPr>
          <w:rFonts w:ascii="Arial" w:hAnsi="Arial" w:cs="Arial"/>
          <w:szCs w:val="24"/>
        </w:rPr>
        <w:t>Assim, neste último ano foram contratadas 52 novas operações, sendo 50 diretas, no valor total de R$1,512 milhão e 2 indiretas, perfazendo um total de R$ 45 mil (</w:t>
      </w:r>
      <w:r w:rsidR="00914869" w:rsidRPr="00030D4D">
        <w:rPr>
          <w:rFonts w:ascii="Arial" w:hAnsi="Arial" w:cs="Arial"/>
          <w:szCs w:val="24"/>
        </w:rPr>
        <w:t xml:space="preserve">Finep. </w:t>
      </w:r>
      <w:r w:rsidR="00F22A0E" w:rsidRPr="00030D4D">
        <w:rPr>
          <w:rFonts w:ascii="Arial" w:hAnsi="Arial" w:cs="Arial"/>
          <w:szCs w:val="24"/>
        </w:rPr>
        <w:t>Relatório de Gestão, 2015, p.</w:t>
      </w:r>
      <w:r w:rsidR="00352826" w:rsidRPr="00030D4D">
        <w:rPr>
          <w:rFonts w:ascii="Arial" w:hAnsi="Arial" w:cs="Arial"/>
          <w:szCs w:val="24"/>
        </w:rPr>
        <w:t xml:space="preserve"> 77</w:t>
      </w:r>
      <w:r w:rsidR="00F22A0E" w:rsidRPr="00030D4D">
        <w:rPr>
          <w:rFonts w:ascii="Arial" w:hAnsi="Arial" w:cs="Arial"/>
          <w:szCs w:val="24"/>
        </w:rPr>
        <w:t>)</w:t>
      </w:r>
      <w:r w:rsidR="009D5515" w:rsidRPr="00030D4D">
        <w:rPr>
          <w:rFonts w:ascii="Arial" w:hAnsi="Arial" w:cs="Arial"/>
          <w:szCs w:val="24"/>
        </w:rPr>
        <w:t xml:space="preserve">. Nota-se, no entanto, que o valor das contratações </w:t>
      </w:r>
      <w:r w:rsidR="008A129A" w:rsidRPr="00030D4D">
        <w:rPr>
          <w:rFonts w:ascii="Arial" w:hAnsi="Arial" w:cs="Arial"/>
          <w:szCs w:val="24"/>
        </w:rPr>
        <w:t xml:space="preserve">de 2015 </w:t>
      </w:r>
      <w:r w:rsidR="009D5515" w:rsidRPr="00030D4D">
        <w:rPr>
          <w:rFonts w:ascii="Arial" w:hAnsi="Arial" w:cs="Arial"/>
          <w:szCs w:val="24"/>
        </w:rPr>
        <w:t>voltou ao nível de 2010.</w:t>
      </w:r>
    </w:p>
    <w:p w:rsidR="00370E16" w:rsidRPr="00030D4D" w:rsidRDefault="00370E16" w:rsidP="00370E16">
      <w:pPr>
        <w:spacing w:before="0"/>
        <w:rPr>
          <w:rFonts w:ascii="Arial" w:hAnsi="Arial" w:cs="Arial"/>
        </w:rPr>
      </w:pPr>
      <w:r w:rsidRPr="00030D4D">
        <w:rPr>
          <w:rFonts w:ascii="Arial" w:hAnsi="Arial" w:cs="Arial"/>
        </w:rPr>
        <w:t>Além das linhas mencionadas, a Finep também opera de forma descentralizada, por meio de agen</w:t>
      </w:r>
      <w:r w:rsidR="007E27F6" w:rsidRPr="00030D4D">
        <w:rPr>
          <w:rFonts w:ascii="Arial" w:hAnsi="Arial" w:cs="Arial"/>
        </w:rPr>
        <w:t>tes financeiros credenciados</w:t>
      </w:r>
      <w:r w:rsidR="00036AB6" w:rsidRPr="00030D4D">
        <w:rPr>
          <w:rFonts w:ascii="Arial" w:hAnsi="Arial" w:cs="Arial"/>
        </w:rPr>
        <w:t xml:space="preserve"> (agentes regionais e estaduais)</w:t>
      </w:r>
      <w:r w:rsidR="007E27F6" w:rsidRPr="00030D4D">
        <w:rPr>
          <w:rFonts w:ascii="Arial" w:hAnsi="Arial" w:cs="Arial"/>
        </w:rPr>
        <w:t>, o Programa</w:t>
      </w:r>
      <w:r w:rsidRPr="00030D4D">
        <w:rPr>
          <w:rFonts w:ascii="Arial" w:hAnsi="Arial" w:cs="Arial"/>
        </w:rPr>
        <w:t xml:space="preserve"> Inovacred. </w:t>
      </w:r>
      <w:r w:rsidR="0095400F" w:rsidRPr="00030D4D">
        <w:rPr>
          <w:rFonts w:ascii="Arial" w:hAnsi="Arial" w:cs="Arial"/>
        </w:rPr>
        <w:t xml:space="preserve">Segundo as informações divulgadas, 162 empresas foram beneficiadas </w:t>
      </w:r>
      <w:r w:rsidR="00036AB6" w:rsidRPr="00030D4D">
        <w:rPr>
          <w:rFonts w:ascii="Arial" w:hAnsi="Arial" w:cs="Arial"/>
        </w:rPr>
        <w:t>neste Programa</w:t>
      </w:r>
      <w:r w:rsidR="0095400F" w:rsidRPr="00030D4D">
        <w:rPr>
          <w:rFonts w:ascii="Arial" w:hAnsi="Arial" w:cs="Arial"/>
        </w:rPr>
        <w:t>.</w:t>
      </w:r>
    </w:p>
    <w:p w:rsidR="003B4521" w:rsidRPr="00030D4D" w:rsidRDefault="0075606A" w:rsidP="001441DA">
      <w:pPr>
        <w:spacing w:before="0"/>
        <w:rPr>
          <w:rFonts w:ascii="Arial" w:hAnsi="Arial" w:cs="Arial"/>
          <w:szCs w:val="24"/>
        </w:rPr>
      </w:pPr>
      <w:r w:rsidRPr="00030D4D">
        <w:rPr>
          <w:rFonts w:ascii="Arial" w:hAnsi="Arial" w:cs="Arial"/>
        </w:rPr>
        <w:t xml:space="preserve">A partir de 2004, o BNDES </w:t>
      </w:r>
      <w:r w:rsidR="00595C7E" w:rsidRPr="00030D4D">
        <w:rPr>
          <w:rFonts w:ascii="Arial" w:hAnsi="Arial" w:cs="Arial"/>
        </w:rPr>
        <w:t>passou a</w:t>
      </w:r>
      <w:r w:rsidRPr="00030D4D">
        <w:rPr>
          <w:rFonts w:ascii="Arial" w:hAnsi="Arial" w:cs="Arial"/>
        </w:rPr>
        <w:t xml:space="preserve"> apoiar de forma mais sistemática a inovação, inicialmente através de </w:t>
      </w:r>
      <w:r w:rsidR="009301D2" w:rsidRPr="00030D4D">
        <w:rPr>
          <w:rFonts w:ascii="Arial" w:hAnsi="Arial" w:cs="Arial"/>
        </w:rPr>
        <w:t xml:space="preserve">linhas específicas e </w:t>
      </w:r>
      <w:r w:rsidRPr="00030D4D">
        <w:rPr>
          <w:rFonts w:ascii="Arial" w:hAnsi="Arial" w:cs="Arial"/>
        </w:rPr>
        <w:t>programas setoriais de crédito, como o Prosoft</w:t>
      </w:r>
      <w:r w:rsidR="009301D2" w:rsidRPr="00030D4D">
        <w:rPr>
          <w:rFonts w:ascii="Arial" w:hAnsi="Arial" w:cs="Arial"/>
        </w:rPr>
        <w:t xml:space="preserve"> e o Profarma</w:t>
      </w:r>
      <w:r w:rsidRPr="00030D4D">
        <w:rPr>
          <w:rFonts w:ascii="Arial" w:hAnsi="Arial" w:cs="Arial"/>
        </w:rPr>
        <w:t xml:space="preserve">. </w:t>
      </w:r>
      <w:r w:rsidR="00595C7E" w:rsidRPr="00030D4D">
        <w:rPr>
          <w:rFonts w:ascii="Arial" w:hAnsi="Arial" w:cs="Arial"/>
        </w:rPr>
        <w:t>Esses</w:t>
      </w:r>
      <w:r w:rsidRPr="00030D4D">
        <w:rPr>
          <w:rFonts w:ascii="Arial" w:hAnsi="Arial" w:cs="Arial"/>
        </w:rPr>
        <w:t xml:space="preserve"> programas com foco setorial e </w:t>
      </w:r>
      <w:r w:rsidR="007D3717" w:rsidRPr="00030D4D">
        <w:rPr>
          <w:rFonts w:ascii="Arial" w:hAnsi="Arial" w:cs="Arial"/>
        </w:rPr>
        <w:t>outros com orientação temática</w:t>
      </w:r>
      <w:r w:rsidR="00595C7E" w:rsidRPr="00030D4D">
        <w:rPr>
          <w:rFonts w:ascii="Arial" w:hAnsi="Arial" w:cs="Arial"/>
        </w:rPr>
        <w:t xml:space="preserve"> </w:t>
      </w:r>
      <w:r w:rsidR="00981C4B" w:rsidRPr="00030D4D">
        <w:rPr>
          <w:rFonts w:ascii="Arial" w:hAnsi="Arial" w:cs="Arial"/>
        </w:rPr>
        <w:t>foram</w:t>
      </w:r>
      <w:r w:rsidR="00595C7E" w:rsidRPr="00030D4D">
        <w:rPr>
          <w:rFonts w:ascii="Arial" w:hAnsi="Arial" w:cs="Arial"/>
        </w:rPr>
        <w:t xml:space="preserve"> amplia</w:t>
      </w:r>
      <w:r w:rsidR="00981C4B" w:rsidRPr="00030D4D">
        <w:rPr>
          <w:rFonts w:ascii="Arial" w:hAnsi="Arial" w:cs="Arial"/>
        </w:rPr>
        <w:t>dos</w:t>
      </w:r>
      <w:r w:rsidR="00595C7E" w:rsidRPr="00030D4D">
        <w:rPr>
          <w:rFonts w:ascii="Arial" w:hAnsi="Arial" w:cs="Arial"/>
        </w:rPr>
        <w:t xml:space="preserve"> ao longo os anos</w:t>
      </w:r>
      <w:r w:rsidR="007D3717" w:rsidRPr="00030D4D">
        <w:rPr>
          <w:rFonts w:ascii="Arial" w:hAnsi="Arial" w:cs="Arial"/>
        </w:rPr>
        <w:t xml:space="preserve">, além de </w:t>
      </w:r>
      <w:r w:rsidRPr="00030D4D">
        <w:rPr>
          <w:rFonts w:ascii="Arial" w:hAnsi="Arial" w:cs="Arial"/>
        </w:rPr>
        <w:t xml:space="preserve">uma linha </w:t>
      </w:r>
      <w:r w:rsidR="009301D2" w:rsidRPr="00030D4D">
        <w:rPr>
          <w:rFonts w:ascii="Arial" w:hAnsi="Arial" w:cs="Arial"/>
        </w:rPr>
        <w:t xml:space="preserve">geral </w:t>
      </w:r>
      <w:r w:rsidR="005D5F6E" w:rsidRPr="00030D4D">
        <w:rPr>
          <w:rFonts w:ascii="Arial" w:hAnsi="Arial" w:cs="Arial"/>
        </w:rPr>
        <w:t xml:space="preserve">chamada BNDES </w:t>
      </w:r>
      <w:r w:rsidRPr="00030D4D">
        <w:rPr>
          <w:rFonts w:ascii="Arial" w:hAnsi="Arial" w:cs="Arial"/>
        </w:rPr>
        <w:t>Inovação</w:t>
      </w:r>
      <w:r w:rsidR="00595C7E" w:rsidRPr="00030D4D">
        <w:rPr>
          <w:rFonts w:ascii="Arial" w:hAnsi="Arial" w:cs="Arial"/>
        </w:rPr>
        <w:t>, que simplificou o acesso</w:t>
      </w:r>
      <w:r w:rsidR="00B04A27" w:rsidRPr="00030D4D">
        <w:rPr>
          <w:rFonts w:ascii="Arial" w:hAnsi="Arial" w:cs="Arial"/>
        </w:rPr>
        <w:t xml:space="preserve"> dos interessados</w:t>
      </w:r>
      <w:r w:rsidR="00595C7E" w:rsidRPr="00030D4D">
        <w:rPr>
          <w:rFonts w:ascii="Arial" w:hAnsi="Arial" w:cs="Arial"/>
        </w:rPr>
        <w:t xml:space="preserve">. No entanto, mais recentemente houve novas alterações e as linhas estão mais diversificadas, com encargos, formas de acesso, prazos, dentre outros aspectos bem variados.  </w:t>
      </w:r>
    </w:p>
    <w:p w:rsidR="002B10E1" w:rsidRPr="00030D4D" w:rsidRDefault="00595C7E" w:rsidP="002B10E1">
      <w:pPr>
        <w:spacing w:before="0"/>
        <w:rPr>
          <w:rFonts w:ascii="Arial" w:hAnsi="Arial" w:cs="Arial"/>
          <w:szCs w:val="24"/>
        </w:rPr>
      </w:pPr>
      <w:r w:rsidRPr="00030D4D">
        <w:rPr>
          <w:rFonts w:ascii="Arial" w:hAnsi="Arial" w:cs="Arial"/>
          <w:szCs w:val="24"/>
        </w:rPr>
        <w:t>O “</w:t>
      </w:r>
      <w:r w:rsidR="002B10E1" w:rsidRPr="00030D4D">
        <w:rPr>
          <w:rFonts w:ascii="Arial" w:hAnsi="Arial" w:cs="Arial"/>
          <w:szCs w:val="24"/>
        </w:rPr>
        <w:t>Cartão BNDES Inovação</w:t>
      </w:r>
      <w:r w:rsidRPr="00030D4D">
        <w:rPr>
          <w:rFonts w:ascii="Arial" w:hAnsi="Arial" w:cs="Arial"/>
          <w:szCs w:val="24"/>
        </w:rPr>
        <w:t>”</w:t>
      </w:r>
      <w:r w:rsidR="002B10E1" w:rsidRPr="00030D4D">
        <w:rPr>
          <w:rFonts w:ascii="Arial" w:hAnsi="Arial" w:cs="Arial"/>
          <w:szCs w:val="24"/>
        </w:rPr>
        <w:t xml:space="preserve">, </w:t>
      </w:r>
      <w:r w:rsidRPr="00030D4D">
        <w:rPr>
          <w:rFonts w:ascii="Arial" w:hAnsi="Arial" w:cs="Arial"/>
          <w:szCs w:val="24"/>
        </w:rPr>
        <w:t xml:space="preserve">que era </w:t>
      </w:r>
      <w:r w:rsidR="002B10E1" w:rsidRPr="00030D4D">
        <w:rPr>
          <w:rFonts w:ascii="Arial" w:hAnsi="Arial" w:cs="Arial"/>
          <w:szCs w:val="24"/>
        </w:rPr>
        <w:t>voltado fundamentalmente para a aquisição de serviços tecnológicos e a cobertura da contrapartida financeira dos projetos financiados com recursos não reembolsáveis</w:t>
      </w:r>
      <w:r w:rsidR="00AE584F" w:rsidRPr="00030D4D">
        <w:rPr>
          <w:rFonts w:ascii="Arial" w:hAnsi="Arial" w:cs="Arial"/>
          <w:szCs w:val="24"/>
        </w:rPr>
        <w:t>, como a s</w:t>
      </w:r>
      <w:r w:rsidRPr="00030D4D">
        <w:rPr>
          <w:rFonts w:ascii="Arial" w:hAnsi="Arial" w:cs="Arial"/>
          <w:szCs w:val="24"/>
        </w:rPr>
        <w:t xml:space="preserve">ubvenção, não existe mais com essas características. Há o Cartão BNDES geral que também financia serviços de inovação e embalagens, mas não há condições especiais para esta categoria de apoio. </w:t>
      </w:r>
    </w:p>
    <w:p w:rsidR="00AE584F" w:rsidRPr="00030D4D" w:rsidRDefault="00AE584F" w:rsidP="00AE584F">
      <w:pPr>
        <w:spacing w:before="0"/>
        <w:rPr>
          <w:rFonts w:ascii="Arial" w:hAnsi="Arial" w:cs="Arial"/>
          <w:szCs w:val="24"/>
        </w:rPr>
      </w:pPr>
      <w:r w:rsidRPr="00030D4D">
        <w:rPr>
          <w:rFonts w:ascii="Arial" w:hAnsi="Arial" w:cs="Arial"/>
          <w:szCs w:val="24"/>
        </w:rPr>
        <w:t xml:space="preserve">Cabe notar também que as operações de financiamento do BNDES podem ser estruturadas combinando </w:t>
      </w:r>
      <w:r w:rsidR="00E0335E" w:rsidRPr="00030D4D">
        <w:rPr>
          <w:rFonts w:ascii="Arial" w:hAnsi="Arial" w:cs="Arial"/>
          <w:szCs w:val="24"/>
        </w:rPr>
        <w:t>o financiamento reembolsável com</w:t>
      </w:r>
      <w:r w:rsidRPr="00030D4D">
        <w:rPr>
          <w:rFonts w:ascii="Arial" w:hAnsi="Arial" w:cs="Arial"/>
          <w:szCs w:val="24"/>
        </w:rPr>
        <w:t xml:space="preserve"> a subscrição de valores mobiliários. </w:t>
      </w:r>
      <w:r w:rsidR="00786507" w:rsidRPr="00030D4D">
        <w:rPr>
          <w:rFonts w:ascii="Arial" w:hAnsi="Arial" w:cs="Arial"/>
          <w:szCs w:val="24"/>
        </w:rPr>
        <w:t>A parceria com a Finep, iniciada com o Plano Inova Empresa, em março de 2013, continua</w:t>
      </w:r>
      <w:r w:rsidR="00C33D53" w:rsidRPr="00030D4D">
        <w:rPr>
          <w:rFonts w:ascii="Arial" w:hAnsi="Arial" w:cs="Arial"/>
          <w:szCs w:val="24"/>
        </w:rPr>
        <w:t xml:space="preserve"> de forma bem menos expressiva e</w:t>
      </w:r>
      <w:r w:rsidR="00786507" w:rsidRPr="00030D4D">
        <w:rPr>
          <w:rFonts w:ascii="Arial" w:hAnsi="Arial" w:cs="Arial"/>
          <w:szCs w:val="24"/>
        </w:rPr>
        <w:t xml:space="preserve"> o único edital vigente é o Inova Mineral.</w:t>
      </w:r>
    </w:p>
    <w:p w:rsidR="00B82D5E" w:rsidRPr="00030D4D" w:rsidRDefault="00B82D5E" w:rsidP="00B82D5E">
      <w:pPr>
        <w:spacing w:before="0"/>
        <w:rPr>
          <w:rFonts w:ascii="Arial" w:hAnsi="Arial" w:cs="Arial"/>
          <w:szCs w:val="24"/>
        </w:rPr>
      </w:pPr>
      <w:r w:rsidRPr="00030D4D">
        <w:rPr>
          <w:rFonts w:ascii="Arial" w:hAnsi="Arial" w:cs="Arial"/>
          <w:szCs w:val="24"/>
        </w:rPr>
        <w:t>Assim como no caso do crédito da Finep, os recurso</w:t>
      </w:r>
      <w:r w:rsidR="002B10E1" w:rsidRPr="00030D4D">
        <w:rPr>
          <w:rFonts w:ascii="Arial" w:hAnsi="Arial" w:cs="Arial"/>
          <w:szCs w:val="24"/>
        </w:rPr>
        <w:t>s</w:t>
      </w:r>
      <w:r w:rsidRPr="00030D4D">
        <w:rPr>
          <w:rFonts w:ascii="Arial" w:hAnsi="Arial" w:cs="Arial"/>
          <w:szCs w:val="24"/>
        </w:rPr>
        <w:t xml:space="preserve"> do BNDES dedicados </w:t>
      </w:r>
      <w:r w:rsidR="002B10E1" w:rsidRPr="00030D4D">
        <w:rPr>
          <w:rFonts w:ascii="Arial" w:hAnsi="Arial" w:cs="Arial"/>
          <w:szCs w:val="24"/>
        </w:rPr>
        <w:t>à</w:t>
      </w:r>
      <w:r w:rsidRPr="00030D4D">
        <w:rPr>
          <w:rFonts w:ascii="Arial" w:hAnsi="Arial" w:cs="Arial"/>
          <w:szCs w:val="24"/>
        </w:rPr>
        <w:t xml:space="preserve"> inovação têm crescido bastante nos últimos anos. O Gráfico 1.2 apresenta-se o desempenho dos desembolsos realizados pelo BNDES nesse campo entre 2006 e 2013.</w:t>
      </w:r>
    </w:p>
    <w:p w:rsidR="005D5F6E" w:rsidRPr="00030D4D" w:rsidRDefault="00EC6BDD" w:rsidP="00EC6BDD">
      <w:pPr>
        <w:pStyle w:val="Caption"/>
        <w:rPr>
          <w:rFonts w:ascii="Arial" w:hAnsi="Arial" w:cs="Arial"/>
          <w:szCs w:val="24"/>
        </w:rPr>
      </w:pPr>
      <w:bookmarkStart w:id="16" w:name="_Toc482828509"/>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3</w:t>
      </w:r>
      <w:r w:rsidR="005271BC" w:rsidRPr="00030D4D">
        <w:rPr>
          <w:rFonts w:ascii="Arial" w:hAnsi="Arial" w:cs="Arial"/>
          <w:noProof/>
        </w:rPr>
        <w:fldChar w:fldCharType="end"/>
      </w:r>
      <w:r w:rsidRPr="00030D4D">
        <w:rPr>
          <w:rFonts w:ascii="Arial" w:hAnsi="Arial" w:cs="Arial"/>
        </w:rPr>
        <w:t xml:space="preserve">. </w:t>
      </w:r>
      <w:r w:rsidR="005D5F6E" w:rsidRPr="00030D4D">
        <w:rPr>
          <w:rFonts w:ascii="Arial" w:hAnsi="Arial" w:cs="Arial"/>
        </w:rPr>
        <w:t xml:space="preserve">Operações de Crédito </w:t>
      </w:r>
      <w:r w:rsidR="00371531" w:rsidRPr="00030D4D">
        <w:rPr>
          <w:rFonts w:ascii="Arial" w:hAnsi="Arial" w:cs="Arial"/>
        </w:rPr>
        <w:t xml:space="preserve">Voltadas à Inovação </w:t>
      </w:r>
      <w:r w:rsidR="005D5F6E" w:rsidRPr="00030D4D">
        <w:rPr>
          <w:rFonts w:ascii="Arial" w:hAnsi="Arial" w:cs="Arial"/>
        </w:rPr>
        <w:t>do BNDES: Valor Desembolsado nas Operações Contratadas em R$ Milhões Correntes (2006-2013)</w:t>
      </w:r>
      <w:bookmarkEnd w:id="16"/>
    </w:p>
    <w:p w:rsidR="005D5F6E" w:rsidRPr="00030D4D" w:rsidRDefault="005D5F6E" w:rsidP="005D5F6E">
      <w:pPr>
        <w:spacing w:before="0" w:after="160" w:line="259" w:lineRule="auto"/>
        <w:jc w:val="left"/>
        <w:rPr>
          <w:rFonts w:ascii="Arial" w:hAnsi="Arial" w:cs="Arial"/>
          <w:szCs w:val="24"/>
        </w:rPr>
      </w:pPr>
      <w:r w:rsidRPr="00030D4D">
        <w:rPr>
          <w:rFonts w:ascii="Arial" w:hAnsi="Arial" w:cs="Arial"/>
          <w:noProof/>
          <w:lang w:val="en-US"/>
        </w:rPr>
        <w:drawing>
          <wp:inline distT="0" distB="0" distL="0" distR="0" wp14:anchorId="4E74D290" wp14:editId="72BEB47A">
            <wp:extent cx="4572000" cy="2372265"/>
            <wp:effectExtent l="0" t="0" r="0"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5F6E" w:rsidRPr="00030D4D" w:rsidRDefault="005D5F6E" w:rsidP="005D5F6E">
      <w:pPr>
        <w:spacing w:before="0" w:after="0"/>
        <w:rPr>
          <w:rFonts w:ascii="Arial" w:hAnsi="Arial" w:cs="Arial"/>
          <w:sz w:val="20"/>
          <w:szCs w:val="20"/>
        </w:rPr>
      </w:pPr>
      <w:r w:rsidRPr="00030D4D">
        <w:rPr>
          <w:rFonts w:ascii="Arial" w:hAnsi="Arial" w:cs="Arial"/>
          <w:sz w:val="20"/>
          <w:szCs w:val="20"/>
        </w:rPr>
        <w:t xml:space="preserve"> Fonte: BNDES.</w:t>
      </w:r>
    </w:p>
    <w:p w:rsidR="005D5F6E" w:rsidRPr="00030D4D" w:rsidRDefault="005D5F6E" w:rsidP="005D5F6E">
      <w:pPr>
        <w:spacing w:before="0" w:after="0"/>
        <w:rPr>
          <w:rFonts w:ascii="Arial" w:hAnsi="Arial" w:cs="Arial"/>
          <w:szCs w:val="24"/>
        </w:rPr>
      </w:pPr>
    </w:p>
    <w:p w:rsidR="00FD370D" w:rsidRPr="00030D4D" w:rsidRDefault="00FD370D" w:rsidP="00FD370D">
      <w:pPr>
        <w:pStyle w:val="BIBLIOGRAFIA"/>
        <w:spacing w:before="0" w:after="120"/>
        <w:rPr>
          <w:rFonts w:ascii="Arial" w:hAnsi="Arial" w:cs="Arial"/>
          <w:color w:val="000000"/>
          <w:szCs w:val="24"/>
        </w:rPr>
      </w:pPr>
      <w:r w:rsidRPr="00030D4D">
        <w:rPr>
          <w:rFonts w:ascii="Arial" w:hAnsi="Arial" w:cs="Arial"/>
        </w:rPr>
        <w:t xml:space="preserve">No Quadro 5 são resumidas as principais condições de financiamento de cada uma das linhas destinadas à Inovação do BNDES, que estão vigentes no momento. </w:t>
      </w:r>
    </w:p>
    <w:p w:rsidR="005D5F6E" w:rsidRPr="00030D4D" w:rsidRDefault="005D5F6E" w:rsidP="00B82D5E">
      <w:pPr>
        <w:rPr>
          <w:rFonts w:ascii="Arial" w:hAnsi="Arial" w:cs="Arial"/>
          <w:szCs w:val="24"/>
        </w:rPr>
        <w:sectPr w:rsidR="005D5F6E" w:rsidRPr="00030D4D" w:rsidSect="009F0461">
          <w:footerReference w:type="default" r:id="rId12"/>
          <w:pgSz w:w="11906" w:h="16838"/>
          <w:pgMar w:top="1417" w:right="1701" w:bottom="1417" w:left="1701" w:header="708" w:footer="708" w:gutter="0"/>
          <w:pgNumType w:start="1"/>
          <w:cols w:space="708"/>
          <w:docGrid w:linePitch="360"/>
        </w:sectPr>
      </w:pPr>
    </w:p>
    <w:p w:rsidR="005D5F6E" w:rsidRPr="00030D4D" w:rsidRDefault="00FC5223" w:rsidP="00FC5223">
      <w:pPr>
        <w:pStyle w:val="Caption"/>
        <w:rPr>
          <w:rFonts w:ascii="Arial" w:hAnsi="Arial" w:cs="Arial"/>
        </w:rPr>
      </w:pPr>
      <w:bookmarkStart w:id="17" w:name="_Toc482828526"/>
      <w:r w:rsidRPr="00030D4D">
        <w:rPr>
          <w:rFonts w:ascii="Arial" w:hAnsi="Arial" w:cs="Arial"/>
        </w:rPr>
        <w:t xml:space="preserve">Quadro </w:t>
      </w:r>
      <w:r w:rsidR="005271BC" w:rsidRPr="00030D4D">
        <w:rPr>
          <w:rFonts w:ascii="Arial" w:hAnsi="Arial" w:cs="Arial"/>
        </w:rPr>
        <w:fldChar w:fldCharType="begin"/>
      </w:r>
      <w:r w:rsidR="005271BC" w:rsidRPr="00030D4D">
        <w:rPr>
          <w:rFonts w:ascii="Arial" w:hAnsi="Arial" w:cs="Arial"/>
        </w:rPr>
        <w:instrText xml:space="preserve"> SEQ Quadro \* ARABIC </w:instrText>
      </w:r>
      <w:r w:rsidR="005271BC" w:rsidRPr="00030D4D">
        <w:rPr>
          <w:rFonts w:ascii="Arial" w:hAnsi="Arial" w:cs="Arial"/>
        </w:rPr>
        <w:fldChar w:fldCharType="separate"/>
      </w:r>
      <w:r w:rsidR="00394B7F" w:rsidRPr="00030D4D">
        <w:rPr>
          <w:rFonts w:ascii="Arial" w:hAnsi="Arial" w:cs="Arial"/>
          <w:noProof/>
        </w:rPr>
        <w:t>5</w:t>
      </w:r>
      <w:r w:rsidR="005271BC" w:rsidRPr="00030D4D">
        <w:rPr>
          <w:rFonts w:ascii="Arial" w:hAnsi="Arial" w:cs="Arial"/>
          <w:noProof/>
        </w:rPr>
        <w:fldChar w:fldCharType="end"/>
      </w:r>
      <w:r w:rsidRPr="00030D4D">
        <w:rPr>
          <w:rFonts w:ascii="Arial" w:hAnsi="Arial" w:cs="Arial"/>
        </w:rPr>
        <w:t xml:space="preserve">. Descrição dos Mecanismos de Financiamento Reembolsável de Fomento à Inovação </w:t>
      </w:r>
      <w:r w:rsidR="00A912CE" w:rsidRPr="00030D4D">
        <w:rPr>
          <w:rFonts w:ascii="Arial" w:hAnsi="Arial" w:cs="Arial"/>
        </w:rPr>
        <w:t>–</w:t>
      </w:r>
      <w:r w:rsidR="001A5CAF" w:rsidRPr="00030D4D">
        <w:rPr>
          <w:rFonts w:ascii="Arial" w:hAnsi="Arial" w:cs="Arial"/>
        </w:rPr>
        <w:t xml:space="preserve"> </w:t>
      </w:r>
      <w:r w:rsidR="00BE5DE3" w:rsidRPr="00030D4D">
        <w:rPr>
          <w:rFonts w:ascii="Arial" w:hAnsi="Arial" w:cs="Arial"/>
        </w:rPr>
        <w:t>BNDES</w:t>
      </w:r>
      <w:bookmarkEnd w:id="17"/>
    </w:p>
    <w:tbl>
      <w:tblPr>
        <w:tblStyle w:val="Estilo2"/>
        <w:tblW w:w="13661" w:type="dxa"/>
        <w:tblLook w:val="04A0" w:firstRow="1" w:lastRow="0" w:firstColumn="1" w:lastColumn="0" w:noHBand="0" w:noVBand="1"/>
      </w:tblPr>
      <w:tblGrid>
        <w:gridCol w:w="1745"/>
        <w:gridCol w:w="1301"/>
        <w:gridCol w:w="1697"/>
        <w:gridCol w:w="1353"/>
        <w:gridCol w:w="1333"/>
        <w:gridCol w:w="1408"/>
        <w:gridCol w:w="1783"/>
        <w:gridCol w:w="1429"/>
        <w:gridCol w:w="1935"/>
      </w:tblGrid>
      <w:tr w:rsidR="00A912CE" w:rsidRPr="00030D4D" w:rsidTr="00BE5DE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02" w:type="dxa"/>
            <w:vMerge w:val="restart"/>
            <w:hideMark/>
          </w:tcPr>
          <w:p w:rsidR="00A912CE" w:rsidRPr="00030D4D" w:rsidRDefault="00A912CE" w:rsidP="00A912CE">
            <w:pPr>
              <w:spacing w:before="0" w:after="0" w:line="240" w:lineRule="auto"/>
              <w:jc w:val="center"/>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Itens</w:t>
            </w:r>
          </w:p>
        </w:tc>
        <w:tc>
          <w:tcPr>
            <w:tcW w:w="12059" w:type="dxa"/>
            <w:gridSpan w:val="8"/>
            <w:noWrap/>
            <w:hideMark/>
          </w:tcPr>
          <w:p w:rsidR="00A912CE" w:rsidRPr="00030D4D" w:rsidRDefault="00A912CE" w:rsidP="00A912CE">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Linhas de crédito </w:t>
            </w:r>
          </w:p>
        </w:tc>
      </w:tr>
      <w:tr w:rsidR="00BE5DE3" w:rsidRPr="00030D4D" w:rsidTr="00F74C90">
        <w:trPr>
          <w:cnfStyle w:val="000000100000" w:firstRow="0" w:lastRow="0" w:firstColumn="0" w:lastColumn="0" w:oddVBand="0" w:evenVBand="0" w:oddHBand="1"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1602" w:type="dxa"/>
            <w:vMerge/>
            <w:hideMark/>
          </w:tcPr>
          <w:p w:rsidR="00A912CE" w:rsidRPr="00030D4D" w:rsidRDefault="00A912CE" w:rsidP="00A912CE">
            <w:pPr>
              <w:spacing w:before="0" w:after="0" w:line="240" w:lineRule="auto"/>
              <w:jc w:val="left"/>
              <w:rPr>
                <w:rFonts w:ascii="Arial" w:eastAsia="Times New Roman" w:hAnsi="Arial" w:cs="Arial"/>
                <w:color w:val="000000"/>
                <w:sz w:val="18"/>
                <w:szCs w:val="18"/>
                <w:lang w:eastAsia="pt-BR"/>
              </w:rPr>
            </w:pPr>
          </w:p>
        </w:tc>
        <w:tc>
          <w:tcPr>
            <w:tcW w:w="135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Finem Inovação</w:t>
            </w:r>
          </w:p>
        </w:tc>
        <w:tc>
          <w:tcPr>
            <w:tcW w:w="1587"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MPME Inovadora</w:t>
            </w:r>
          </w:p>
        </w:tc>
        <w:tc>
          <w:tcPr>
            <w:tcW w:w="1369"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Soluções Tecnológicas</w:t>
            </w:r>
          </w:p>
        </w:tc>
        <w:tc>
          <w:tcPr>
            <w:tcW w:w="138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Exim Pré Embarque Empresa Inovadora</w:t>
            </w:r>
          </w:p>
        </w:tc>
        <w:tc>
          <w:tcPr>
            <w:tcW w:w="1465"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Finem Apoio à Engenharia Nacional</w:t>
            </w:r>
          </w:p>
        </w:tc>
        <w:tc>
          <w:tcPr>
            <w:tcW w:w="157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Finem Design e Fortalecimento de Marcas</w:t>
            </w:r>
          </w:p>
        </w:tc>
        <w:tc>
          <w:tcPr>
            <w:tcW w:w="138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Outras Linhas de Financiamento</w:t>
            </w:r>
          </w:p>
        </w:tc>
        <w:tc>
          <w:tcPr>
            <w:tcW w:w="1940"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lang w:eastAsia="pt-BR"/>
              </w:rPr>
            </w:pPr>
            <w:r w:rsidRPr="00030D4D">
              <w:rPr>
                <w:rFonts w:ascii="Arial" w:eastAsia="Times New Roman" w:hAnsi="Arial" w:cs="Arial"/>
                <w:b/>
                <w:bCs/>
                <w:color w:val="000000"/>
                <w:sz w:val="18"/>
                <w:szCs w:val="18"/>
                <w:lang w:eastAsia="pt-BR"/>
              </w:rPr>
              <w:t>Cartão BNDES</w:t>
            </w:r>
          </w:p>
        </w:tc>
      </w:tr>
      <w:tr w:rsidR="00BE5DE3" w:rsidRPr="00030D4D" w:rsidTr="00F74C90">
        <w:trPr>
          <w:cnfStyle w:val="000000010000" w:firstRow="0" w:lastRow="0" w:firstColumn="0" w:lastColumn="0" w:oddVBand="0" w:evenVBand="0" w:oddHBand="0" w:evenHBand="1" w:firstRowFirstColumn="0" w:firstRowLastColumn="0" w:lastRowFirstColumn="0" w:lastRowLastColumn="0"/>
          <w:trHeight w:val="1998"/>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Usuários elegíveis</w:t>
            </w:r>
          </w:p>
        </w:tc>
        <w:tc>
          <w:tcPr>
            <w:tcW w:w="135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Empresas, entidades e órgãos públicos</w:t>
            </w:r>
          </w:p>
        </w:tc>
        <w:tc>
          <w:tcPr>
            <w:tcW w:w="1587"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MPME</w:t>
            </w:r>
          </w:p>
        </w:tc>
        <w:tc>
          <w:tcPr>
            <w:tcW w:w="1369"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Universidades, Empresas e outras instituições fornecedoras de tecnologia e know how credenciadas no BNDES</w:t>
            </w:r>
          </w:p>
        </w:tc>
        <w:tc>
          <w:tcPr>
            <w:tcW w:w="138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Empresas produtoras e exportadoras (MPME ou média grande), com Sede e adm no Brasil</w:t>
            </w:r>
          </w:p>
        </w:tc>
        <w:tc>
          <w:tcPr>
            <w:tcW w:w="1465"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Empresas sediadas no Brasil e Autarquias</w:t>
            </w:r>
          </w:p>
        </w:tc>
        <w:tc>
          <w:tcPr>
            <w:tcW w:w="157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Empresas com Sede e adm no Brasil</w:t>
            </w:r>
          </w:p>
        </w:tc>
        <w:tc>
          <w:tcPr>
            <w:tcW w:w="138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A conferir</w:t>
            </w:r>
          </w:p>
        </w:tc>
        <w:tc>
          <w:tcPr>
            <w:tcW w:w="1940"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MPME, Microempreendedores individuais, sindicados, clubes e associações</w:t>
            </w:r>
          </w:p>
        </w:tc>
      </w:tr>
      <w:tr w:rsidR="00BE5DE3" w:rsidRPr="00030D4D" w:rsidTr="00F74C90">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Acesso </w:t>
            </w:r>
          </w:p>
        </w:tc>
        <w:tc>
          <w:tcPr>
            <w:tcW w:w="135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Consulta prévia eletrônica</w:t>
            </w:r>
          </w:p>
        </w:tc>
        <w:tc>
          <w:tcPr>
            <w:tcW w:w="1587"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Procurar Instituição credenciada</w:t>
            </w:r>
          </w:p>
        </w:tc>
        <w:tc>
          <w:tcPr>
            <w:tcW w:w="1369"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 conferir</w:t>
            </w:r>
          </w:p>
        </w:tc>
        <w:tc>
          <w:tcPr>
            <w:tcW w:w="138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Procurar Instituição credenciada</w:t>
            </w:r>
          </w:p>
        </w:tc>
        <w:tc>
          <w:tcPr>
            <w:tcW w:w="1465"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Consulta prévia eletrônica</w:t>
            </w:r>
          </w:p>
        </w:tc>
        <w:tc>
          <w:tcPr>
            <w:tcW w:w="157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Consulta prévia eletrônica</w:t>
            </w:r>
          </w:p>
        </w:tc>
        <w:tc>
          <w:tcPr>
            <w:tcW w:w="138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 conferir</w:t>
            </w:r>
          </w:p>
        </w:tc>
        <w:tc>
          <w:tcPr>
            <w:tcW w:w="1940"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Portal de Operações do Cartão BNDES</w:t>
            </w:r>
          </w:p>
        </w:tc>
      </w:tr>
      <w:tr w:rsidR="00BE5DE3" w:rsidRPr="00030D4D" w:rsidTr="00F74C90">
        <w:trPr>
          <w:cnfStyle w:val="000000010000" w:firstRow="0" w:lastRow="0" w:firstColumn="0" w:lastColumn="0" w:oddVBand="0" w:evenVBand="0" w:oddHBand="0" w:evenHBand="1" w:firstRowFirstColumn="0" w:firstRowLastColumn="0" w:lastRowFirstColumn="0" w:lastRowLastColumn="0"/>
          <w:trHeight w:val="2248"/>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sz w:val="18"/>
                <w:szCs w:val="18"/>
                <w:lang w:eastAsia="pt-BR"/>
              </w:rPr>
            </w:pPr>
            <w:r w:rsidRPr="00030D4D">
              <w:rPr>
                <w:rFonts w:ascii="Arial" w:eastAsia="Times New Roman" w:hAnsi="Arial" w:cs="Arial"/>
                <w:sz w:val="18"/>
                <w:szCs w:val="18"/>
                <w:lang w:eastAsia="pt-BR"/>
              </w:rPr>
              <w:t>Encargos</w:t>
            </w:r>
          </w:p>
        </w:tc>
        <w:tc>
          <w:tcPr>
            <w:tcW w:w="135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7%aa + taxas ( de 2,1% a 6,56, cf tamanho da empresa ou localização)</w:t>
            </w:r>
          </w:p>
        </w:tc>
        <w:tc>
          <w:tcPr>
            <w:tcW w:w="1587"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TJLP + 1,5% aa+ Taxa ag. fceiro; MPES: 75% Selic+0,5%aa+taxa ag. fceiro; Médias: 90% Selic+1,4%aa+taxa ag. fceiro</w:t>
            </w:r>
          </w:p>
        </w:tc>
        <w:tc>
          <w:tcPr>
            <w:tcW w:w="1369"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A conferir</w:t>
            </w:r>
          </w:p>
        </w:tc>
        <w:tc>
          <w:tcPr>
            <w:tcW w:w="138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TJLP + 2,1% aa+ taxa ag fceiro</w:t>
            </w:r>
          </w:p>
        </w:tc>
        <w:tc>
          <w:tcPr>
            <w:tcW w:w="1465"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TJLP+ taxas de 2,1%aa até 6,56 aa, dependendo da empresa ou da localização, nas op. Diretas. Nas op. Indiretas, inclui a taxa do ag. Fceiro</w:t>
            </w:r>
          </w:p>
        </w:tc>
        <w:tc>
          <w:tcPr>
            <w:tcW w:w="157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TJLP+6,56%aa, no apoio direto; TJLP+2,1%aa+Taxa Ag. Fceiro no apoio indireto</w:t>
            </w:r>
          </w:p>
        </w:tc>
        <w:tc>
          <w:tcPr>
            <w:tcW w:w="138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TJLP+ taxa BNDES (cf o tamanho, de 2,1 a 6,56%aa)</w:t>
            </w:r>
          </w:p>
        </w:tc>
        <w:tc>
          <w:tcPr>
            <w:tcW w:w="1940"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definidos mensalmente</w:t>
            </w:r>
          </w:p>
        </w:tc>
      </w:tr>
      <w:tr w:rsidR="00BE5DE3" w:rsidRPr="00030D4D" w:rsidTr="00F74C90">
        <w:trPr>
          <w:cnfStyle w:val="000000100000" w:firstRow="0" w:lastRow="0" w:firstColumn="0" w:lastColumn="0" w:oddVBand="0" w:evenVBand="0" w:oddHBand="1"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Prazos de carência</w:t>
            </w:r>
          </w:p>
        </w:tc>
        <w:tc>
          <w:tcPr>
            <w:tcW w:w="1353"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587"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I em geral: 4 anos; capital de giro isolado: 2 anos</w:t>
            </w:r>
          </w:p>
        </w:tc>
        <w:tc>
          <w:tcPr>
            <w:tcW w:w="1369"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2 anos</w:t>
            </w:r>
          </w:p>
        </w:tc>
        <w:tc>
          <w:tcPr>
            <w:tcW w:w="1386"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465"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Dependente da capacidade de pagamento do cliente</w:t>
            </w:r>
          </w:p>
        </w:tc>
        <w:tc>
          <w:tcPr>
            <w:tcW w:w="1576"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18 meses</w:t>
            </w:r>
          </w:p>
        </w:tc>
        <w:tc>
          <w:tcPr>
            <w:tcW w:w="138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940"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r>
      <w:tr w:rsidR="00BE5DE3" w:rsidRPr="00030D4D" w:rsidTr="00F74C90">
        <w:trPr>
          <w:cnfStyle w:val="000000010000" w:firstRow="0" w:lastRow="0" w:firstColumn="0" w:lastColumn="0" w:oddVBand="0" w:evenVBand="0" w:oddHBand="0" w:evenHBand="1"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sz w:val="18"/>
                <w:szCs w:val="18"/>
                <w:lang w:eastAsia="pt-BR"/>
              </w:rPr>
            </w:pPr>
            <w:r w:rsidRPr="00030D4D">
              <w:rPr>
                <w:rFonts w:ascii="Arial" w:eastAsia="Times New Roman" w:hAnsi="Arial" w:cs="Arial"/>
                <w:sz w:val="18"/>
                <w:szCs w:val="18"/>
                <w:lang w:eastAsia="pt-BR"/>
              </w:rPr>
              <w:t>Prazo Total (amortização+ carência)</w:t>
            </w:r>
          </w:p>
        </w:tc>
        <w:tc>
          <w:tcPr>
            <w:tcW w:w="135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Limitado a 12 anos</w:t>
            </w:r>
          </w:p>
        </w:tc>
        <w:tc>
          <w:tcPr>
            <w:tcW w:w="1587"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I em geral: 10 anos; capital de giro isolado: 5 anos</w:t>
            </w:r>
          </w:p>
        </w:tc>
        <w:tc>
          <w:tcPr>
            <w:tcW w:w="1369"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Até 5 anos</w:t>
            </w:r>
          </w:p>
        </w:tc>
        <w:tc>
          <w:tcPr>
            <w:tcW w:w="138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Máximo de 3 anos</w:t>
            </w:r>
          </w:p>
        </w:tc>
        <w:tc>
          <w:tcPr>
            <w:tcW w:w="1465"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Dependente da capacidade de pagamento do cliente</w:t>
            </w:r>
          </w:p>
        </w:tc>
        <w:tc>
          <w:tcPr>
            <w:tcW w:w="1576"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Até 5 anos</w:t>
            </w:r>
          </w:p>
        </w:tc>
        <w:tc>
          <w:tcPr>
            <w:tcW w:w="138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940"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48 prestações mensais, fixas e iguais</w:t>
            </w:r>
          </w:p>
        </w:tc>
      </w:tr>
      <w:tr w:rsidR="00BE5DE3" w:rsidRPr="00030D4D" w:rsidTr="00F74C90">
        <w:trPr>
          <w:cnfStyle w:val="000000100000" w:firstRow="0" w:lastRow="0" w:firstColumn="0" w:lastColumn="0" w:oddVBand="0" w:evenVBand="0" w:oddHBand="1" w:evenHBand="0"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sz w:val="18"/>
                <w:szCs w:val="18"/>
                <w:lang w:eastAsia="pt-BR"/>
              </w:rPr>
            </w:pPr>
            <w:r w:rsidRPr="00030D4D">
              <w:rPr>
                <w:rFonts w:ascii="Arial" w:eastAsia="Times New Roman" w:hAnsi="Arial" w:cs="Arial"/>
                <w:sz w:val="18"/>
                <w:szCs w:val="18"/>
                <w:lang w:eastAsia="pt-BR"/>
              </w:rPr>
              <w:t>Participação do agente financeiro</w:t>
            </w:r>
          </w:p>
        </w:tc>
        <w:tc>
          <w:tcPr>
            <w:tcW w:w="135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Até 80%</w:t>
            </w:r>
          </w:p>
        </w:tc>
        <w:tc>
          <w:tcPr>
            <w:tcW w:w="1587"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Até 90% </w:t>
            </w:r>
          </w:p>
        </w:tc>
        <w:tc>
          <w:tcPr>
            <w:tcW w:w="1369"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De 70% a 80%</w:t>
            </w:r>
          </w:p>
        </w:tc>
        <w:tc>
          <w:tcPr>
            <w:tcW w:w="138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465"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De 60% a 80%</w:t>
            </w:r>
          </w:p>
        </w:tc>
        <w:tc>
          <w:tcPr>
            <w:tcW w:w="157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De 60% a 80%</w:t>
            </w:r>
          </w:p>
        </w:tc>
        <w:tc>
          <w:tcPr>
            <w:tcW w:w="138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940"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100%</w:t>
            </w:r>
          </w:p>
        </w:tc>
      </w:tr>
      <w:tr w:rsidR="00BE5DE3" w:rsidRPr="00030D4D" w:rsidTr="00F74C9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sz w:val="18"/>
                <w:szCs w:val="18"/>
                <w:lang w:eastAsia="pt-BR"/>
              </w:rPr>
            </w:pPr>
            <w:r w:rsidRPr="00030D4D">
              <w:rPr>
                <w:rFonts w:ascii="Arial" w:eastAsia="Times New Roman" w:hAnsi="Arial" w:cs="Arial"/>
                <w:sz w:val="18"/>
                <w:szCs w:val="18"/>
                <w:lang w:eastAsia="pt-BR"/>
              </w:rPr>
              <w:t>Itens financiáveis</w:t>
            </w:r>
          </w:p>
        </w:tc>
        <w:tc>
          <w:tcPr>
            <w:tcW w:w="1353"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587"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369"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386"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465"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576"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383"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c>
          <w:tcPr>
            <w:tcW w:w="1940" w:type="dxa"/>
            <w:noWrap/>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(1)</w:t>
            </w:r>
          </w:p>
        </w:tc>
      </w:tr>
      <w:tr w:rsidR="00BE5DE3" w:rsidRPr="00030D4D" w:rsidTr="00F74C9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Garantias</w:t>
            </w:r>
          </w:p>
        </w:tc>
        <w:tc>
          <w:tcPr>
            <w:tcW w:w="1353"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Sim</w:t>
            </w:r>
          </w:p>
        </w:tc>
        <w:tc>
          <w:tcPr>
            <w:tcW w:w="1587"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Sim</w:t>
            </w:r>
          </w:p>
        </w:tc>
        <w:tc>
          <w:tcPr>
            <w:tcW w:w="1369"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Sim</w:t>
            </w:r>
          </w:p>
        </w:tc>
        <w:tc>
          <w:tcPr>
            <w:tcW w:w="1386"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Sim</w:t>
            </w:r>
          </w:p>
        </w:tc>
        <w:tc>
          <w:tcPr>
            <w:tcW w:w="1465"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Sim</w:t>
            </w:r>
          </w:p>
        </w:tc>
        <w:tc>
          <w:tcPr>
            <w:tcW w:w="1576"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w:t>
            </w:r>
          </w:p>
        </w:tc>
        <w:tc>
          <w:tcPr>
            <w:tcW w:w="138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Sim</w:t>
            </w:r>
          </w:p>
        </w:tc>
        <w:tc>
          <w:tcPr>
            <w:tcW w:w="1940" w:type="dxa"/>
            <w:noWrap/>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Talvez</w:t>
            </w:r>
          </w:p>
        </w:tc>
      </w:tr>
      <w:tr w:rsidR="00BE5DE3" w:rsidRPr="00030D4D" w:rsidTr="00F74C9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Condicionalidades</w:t>
            </w:r>
          </w:p>
        </w:tc>
        <w:tc>
          <w:tcPr>
            <w:tcW w:w="135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587"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369"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38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465"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576"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383"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940" w:type="dxa"/>
            <w:hideMark/>
          </w:tcPr>
          <w:p w:rsidR="00A912CE" w:rsidRPr="00030D4D" w:rsidRDefault="00A912CE" w:rsidP="00A912CE">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r>
      <w:tr w:rsidR="00BE5DE3" w:rsidRPr="00030D4D" w:rsidTr="00F74C90">
        <w:trPr>
          <w:cnfStyle w:val="000000100000" w:firstRow="0" w:lastRow="0" w:firstColumn="0" w:lastColumn="0" w:oddVBand="0" w:evenVBand="0" w:oddHBand="1" w:evenHBand="0" w:firstRowFirstColumn="0" w:firstRowLastColumn="0" w:lastRowFirstColumn="0" w:lastRowLastColumn="0"/>
          <w:trHeight w:val="1219"/>
        </w:trPr>
        <w:tc>
          <w:tcPr>
            <w:cnfStyle w:val="001000000000" w:firstRow="0" w:lastRow="0" w:firstColumn="1" w:lastColumn="0" w:oddVBand="0" w:evenVBand="0" w:oddHBand="0" w:evenHBand="0" w:firstRowFirstColumn="0" w:firstRowLastColumn="0" w:lastRowFirstColumn="0" w:lastRowLastColumn="0"/>
            <w:tcW w:w="1602" w:type="dxa"/>
            <w:hideMark/>
          </w:tcPr>
          <w:p w:rsidR="00A912CE" w:rsidRPr="00030D4D" w:rsidRDefault="00A912CE" w:rsidP="00A912CE">
            <w:pPr>
              <w:spacing w:before="0" w:after="0" w:line="240" w:lineRule="auto"/>
              <w:jc w:val="left"/>
              <w:rPr>
                <w:rFonts w:ascii="Arial" w:eastAsia="Times New Roman" w:hAnsi="Arial" w:cs="Arial"/>
                <w:i/>
                <w:iCs/>
                <w:color w:val="000000"/>
                <w:sz w:val="18"/>
                <w:szCs w:val="18"/>
                <w:lang w:eastAsia="pt-BR"/>
              </w:rPr>
            </w:pPr>
            <w:r w:rsidRPr="00030D4D">
              <w:rPr>
                <w:rFonts w:ascii="Arial" w:eastAsia="Times New Roman" w:hAnsi="Arial" w:cs="Arial"/>
                <w:i/>
                <w:iCs/>
                <w:color w:val="000000"/>
                <w:sz w:val="18"/>
                <w:szCs w:val="18"/>
                <w:lang w:eastAsia="pt-BR"/>
              </w:rPr>
              <w:t xml:space="preserve">Montantes </w:t>
            </w:r>
            <w:r w:rsidRPr="00030D4D">
              <w:rPr>
                <w:rFonts w:ascii="Arial" w:eastAsia="Times New Roman" w:hAnsi="Arial" w:cs="Arial"/>
                <w:i/>
                <w:iCs/>
                <w:sz w:val="18"/>
                <w:szCs w:val="18"/>
                <w:lang w:eastAsia="pt-BR"/>
              </w:rPr>
              <w:t xml:space="preserve">(mínimo, máximo ou </w:t>
            </w:r>
            <w:r w:rsidRPr="00030D4D">
              <w:rPr>
                <w:rFonts w:ascii="Arial" w:eastAsia="Times New Roman" w:hAnsi="Arial" w:cs="Arial"/>
                <w:i/>
                <w:iCs/>
                <w:color w:val="000000"/>
                <w:sz w:val="18"/>
                <w:szCs w:val="18"/>
                <w:lang w:eastAsia="pt-BR"/>
              </w:rPr>
              <w:t>"típico")</w:t>
            </w:r>
          </w:p>
        </w:tc>
        <w:tc>
          <w:tcPr>
            <w:tcW w:w="135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R$ 1 milhão. A partir de 5/5/17 </w:t>
            </w:r>
            <w:r w:rsidR="00D3477B" w:rsidRPr="00030D4D">
              <w:rPr>
                <w:rFonts w:ascii="Arial" w:eastAsia="Times New Roman" w:hAnsi="Arial" w:cs="Arial"/>
                <w:color w:val="000000"/>
                <w:sz w:val="18"/>
                <w:szCs w:val="18"/>
                <w:lang w:eastAsia="pt-BR"/>
              </w:rPr>
              <w:t>mínimo</w:t>
            </w:r>
            <w:r w:rsidRPr="00030D4D">
              <w:rPr>
                <w:rFonts w:ascii="Arial" w:eastAsia="Times New Roman" w:hAnsi="Arial" w:cs="Arial"/>
                <w:color w:val="000000"/>
                <w:sz w:val="18"/>
                <w:szCs w:val="18"/>
                <w:lang w:eastAsia="pt-BR"/>
              </w:rPr>
              <w:t xml:space="preserve"> de R$ 10 milhões</w:t>
            </w:r>
          </w:p>
        </w:tc>
        <w:tc>
          <w:tcPr>
            <w:tcW w:w="1587"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Valor máximo de R$ 20 milhões. Para capital de giro: R$10 milhões</w:t>
            </w:r>
          </w:p>
        </w:tc>
        <w:tc>
          <w:tcPr>
            <w:tcW w:w="1369"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A conferir</w:t>
            </w:r>
          </w:p>
        </w:tc>
        <w:tc>
          <w:tcPr>
            <w:tcW w:w="138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   -</w:t>
            </w:r>
          </w:p>
        </w:tc>
        <w:tc>
          <w:tcPr>
            <w:tcW w:w="1465"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 partir de 5/5/17, R$ 10 milhões</w:t>
            </w:r>
          </w:p>
        </w:tc>
        <w:tc>
          <w:tcPr>
            <w:tcW w:w="1576"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 partir de 5/5/17, R$ 10 milhões</w:t>
            </w:r>
          </w:p>
        </w:tc>
        <w:tc>
          <w:tcPr>
            <w:tcW w:w="1383"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 partir de 5/5/17, R$ 10 milhões</w:t>
            </w:r>
          </w:p>
        </w:tc>
        <w:tc>
          <w:tcPr>
            <w:tcW w:w="1940" w:type="dxa"/>
            <w:hideMark/>
          </w:tcPr>
          <w:p w:rsidR="00A912CE" w:rsidRPr="00030D4D" w:rsidRDefault="00A912CE" w:rsidP="00A912CE">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Valor máximo de R$ 2 milhões</w:t>
            </w:r>
          </w:p>
        </w:tc>
      </w:tr>
    </w:tbl>
    <w:p w:rsidR="00A912CE" w:rsidRPr="00030D4D" w:rsidRDefault="00A912CE" w:rsidP="00A912CE">
      <w:pPr>
        <w:spacing w:before="0" w:after="0" w:line="240" w:lineRule="auto"/>
        <w:rPr>
          <w:rFonts w:ascii="Arial" w:hAnsi="Arial" w:cs="Arial"/>
          <w:szCs w:val="24"/>
        </w:rPr>
      </w:pPr>
      <w:r w:rsidRPr="00030D4D">
        <w:rPr>
          <w:rFonts w:ascii="Arial" w:hAnsi="Arial" w:cs="Arial"/>
          <w:szCs w:val="24"/>
        </w:rPr>
        <w:t>(1) Ver link:http://www.bndes.gov.br/wps/portal/site/home/financiamento/</w:t>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p>
    <w:p w:rsidR="00C624FE" w:rsidRPr="00030D4D" w:rsidRDefault="00A912CE" w:rsidP="00A912CE">
      <w:pPr>
        <w:pStyle w:val="ListParagraph"/>
        <w:spacing w:before="0" w:after="0" w:line="240" w:lineRule="auto"/>
        <w:ind w:left="0"/>
        <w:rPr>
          <w:rFonts w:ascii="Arial" w:hAnsi="Arial" w:cs="Arial"/>
          <w:szCs w:val="24"/>
        </w:rPr>
      </w:pPr>
      <w:r w:rsidRPr="00030D4D">
        <w:rPr>
          <w:rFonts w:ascii="Arial" w:hAnsi="Arial" w:cs="Arial"/>
          <w:szCs w:val="24"/>
        </w:rPr>
        <w:t>Fonte: Elaboração própria</w:t>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r w:rsidRPr="00030D4D">
        <w:rPr>
          <w:rFonts w:ascii="Arial" w:hAnsi="Arial" w:cs="Arial"/>
          <w:szCs w:val="24"/>
        </w:rPr>
        <w:tab/>
      </w:r>
    </w:p>
    <w:p w:rsidR="005D5F6E" w:rsidRPr="00030D4D" w:rsidRDefault="005D5F6E" w:rsidP="005D5F6E">
      <w:pPr>
        <w:spacing w:before="0"/>
        <w:rPr>
          <w:rFonts w:ascii="Arial" w:hAnsi="Arial" w:cs="Arial"/>
          <w:szCs w:val="24"/>
        </w:rPr>
      </w:pPr>
    </w:p>
    <w:p w:rsidR="005D5F6E" w:rsidRPr="00030D4D" w:rsidRDefault="005D5F6E" w:rsidP="00B82D5E">
      <w:pPr>
        <w:rPr>
          <w:rFonts w:ascii="Arial" w:hAnsi="Arial" w:cs="Arial"/>
        </w:rPr>
        <w:sectPr w:rsidR="005D5F6E" w:rsidRPr="00030D4D" w:rsidSect="005D5F6E">
          <w:pgSz w:w="16838" w:h="11906" w:orient="landscape"/>
          <w:pgMar w:top="1701" w:right="1417" w:bottom="1701" w:left="1417" w:header="708" w:footer="708" w:gutter="0"/>
          <w:cols w:space="708"/>
          <w:docGrid w:linePitch="360"/>
        </w:sectPr>
      </w:pPr>
    </w:p>
    <w:p w:rsidR="00141657" w:rsidRPr="00030D4D" w:rsidRDefault="009301D2" w:rsidP="00431C7A">
      <w:pPr>
        <w:pStyle w:val="Heading3"/>
        <w:numPr>
          <w:ilvl w:val="2"/>
          <w:numId w:val="19"/>
        </w:numPr>
        <w:rPr>
          <w:rFonts w:ascii="Arial" w:hAnsi="Arial" w:cs="Arial"/>
        </w:rPr>
      </w:pPr>
      <w:bookmarkStart w:id="18" w:name="_Toc433665372"/>
      <w:bookmarkStart w:id="19" w:name="_Toc482828484"/>
      <w:r w:rsidRPr="00030D4D">
        <w:rPr>
          <w:rFonts w:ascii="Arial" w:hAnsi="Arial" w:cs="Arial"/>
        </w:rPr>
        <w:t>Capital de Risco</w:t>
      </w:r>
      <w:bookmarkEnd w:id="18"/>
      <w:bookmarkEnd w:id="19"/>
    </w:p>
    <w:p w:rsidR="00B83412" w:rsidRPr="00030D4D" w:rsidRDefault="001D452D" w:rsidP="00B968F4">
      <w:pPr>
        <w:spacing w:before="0"/>
        <w:rPr>
          <w:rFonts w:ascii="Arial" w:hAnsi="Arial" w:cs="Arial"/>
          <w:szCs w:val="24"/>
        </w:rPr>
      </w:pPr>
      <w:r w:rsidRPr="00030D4D">
        <w:rPr>
          <w:rFonts w:ascii="Arial" w:hAnsi="Arial" w:cs="Arial"/>
          <w:szCs w:val="24"/>
        </w:rPr>
        <w:t xml:space="preserve">Outro importante mecanismo de apoio aos investimentos em projetos inovadores é o aporte de capital em fundos de investimento, voltados ao </w:t>
      </w:r>
      <w:r w:rsidRPr="00030D4D">
        <w:rPr>
          <w:rFonts w:ascii="Arial" w:hAnsi="Arial" w:cs="Arial"/>
          <w:i/>
          <w:szCs w:val="24"/>
        </w:rPr>
        <w:t>seed</w:t>
      </w:r>
      <w:r w:rsidR="0086740C" w:rsidRPr="00030D4D">
        <w:rPr>
          <w:rFonts w:ascii="Arial" w:hAnsi="Arial" w:cs="Arial"/>
          <w:i/>
          <w:szCs w:val="24"/>
        </w:rPr>
        <w:t>,</w:t>
      </w:r>
      <w:r w:rsidRPr="00030D4D">
        <w:rPr>
          <w:rFonts w:ascii="Arial" w:hAnsi="Arial" w:cs="Arial"/>
          <w:i/>
          <w:szCs w:val="24"/>
        </w:rPr>
        <w:t xml:space="preserve"> venture capit</w:t>
      </w:r>
      <w:r w:rsidR="00B50C7F" w:rsidRPr="00030D4D">
        <w:rPr>
          <w:rFonts w:ascii="Arial" w:hAnsi="Arial" w:cs="Arial"/>
          <w:i/>
          <w:szCs w:val="24"/>
        </w:rPr>
        <w:t>al</w:t>
      </w:r>
      <w:r w:rsidR="0086740C" w:rsidRPr="00030D4D">
        <w:rPr>
          <w:rFonts w:ascii="Arial" w:hAnsi="Arial" w:cs="Arial"/>
          <w:szCs w:val="24"/>
        </w:rPr>
        <w:t xml:space="preserve"> e</w:t>
      </w:r>
      <w:r w:rsidR="0086740C" w:rsidRPr="00030D4D">
        <w:rPr>
          <w:rFonts w:ascii="Arial" w:hAnsi="Arial" w:cs="Arial"/>
          <w:i/>
          <w:szCs w:val="24"/>
        </w:rPr>
        <w:t xml:space="preserve"> </w:t>
      </w:r>
      <w:r w:rsidR="00B50C7F" w:rsidRPr="00030D4D">
        <w:rPr>
          <w:rFonts w:ascii="Arial" w:hAnsi="Arial" w:cs="Arial"/>
          <w:szCs w:val="24"/>
        </w:rPr>
        <w:t>também ao</w:t>
      </w:r>
      <w:r w:rsidR="00B50C7F" w:rsidRPr="00030D4D">
        <w:rPr>
          <w:rFonts w:ascii="Arial" w:hAnsi="Arial" w:cs="Arial"/>
          <w:i/>
          <w:szCs w:val="24"/>
        </w:rPr>
        <w:t xml:space="preserve"> </w:t>
      </w:r>
      <w:r w:rsidR="0086740C" w:rsidRPr="00030D4D">
        <w:rPr>
          <w:rFonts w:ascii="Arial" w:hAnsi="Arial" w:cs="Arial"/>
          <w:i/>
          <w:szCs w:val="24"/>
        </w:rPr>
        <w:t>private equity</w:t>
      </w:r>
      <w:r w:rsidR="00EB17F8" w:rsidRPr="00030D4D">
        <w:rPr>
          <w:rStyle w:val="FootnoteReference"/>
          <w:rFonts w:ascii="Arial" w:hAnsi="Arial" w:cs="Arial"/>
          <w:szCs w:val="24"/>
        </w:rPr>
        <w:footnoteReference w:id="14"/>
      </w:r>
      <w:r w:rsidR="00B968F4" w:rsidRPr="00030D4D">
        <w:rPr>
          <w:rFonts w:ascii="Arial" w:hAnsi="Arial" w:cs="Arial"/>
          <w:szCs w:val="24"/>
        </w:rPr>
        <w:t>.</w:t>
      </w:r>
    </w:p>
    <w:p w:rsidR="001D452D" w:rsidRPr="00030D4D" w:rsidRDefault="001D452D" w:rsidP="00C34FA1">
      <w:pPr>
        <w:spacing w:before="0"/>
        <w:rPr>
          <w:rFonts w:ascii="Arial" w:hAnsi="Arial" w:cs="Arial"/>
          <w:szCs w:val="24"/>
        </w:rPr>
      </w:pPr>
      <w:r w:rsidRPr="00030D4D">
        <w:rPr>
          <w:rFonts w:ascii="Arial" w:hAnsi="Arial" w:cs="Arial"/>
          <w:szCs w:val="24"/>
        </w:rPr>
        <w:t xml:space="preserve">A atuação da Finep </w:t>
      </w:r>
      <w:r w:rsidR="001F09E6" w:rsidRPr="00030D4D">
        <w:rPr>
          <w:rFonts w:ascii="Arial" w:hAnsi="Arial" w:cs="Arial"/>
          <w:szCs w:val="24"/>
        </w:rPr>
        <w:t>em</w:t>
      </w:r>
      <w:r w:rsidRPr="00030D4D">
        <w:rPr>
          <w:rFonts w:ascii="Arial" w:hAnsi="Arial" w:cs="Arial"/>
          <w:szCs w:val="24"/>
        </w:rPr>
        <w:t xml:space="preserve"> </w:t>
      </w:r>
      <w:r w:rsidR="00B968F4" w:rsidRPr="00030D4D">
        <w:rPr>
          <w:rFonts w:ascii="Arial" w:hAnsi="Arial" w:cs="Arial"/>
          <w:szCs w:val="24"/>
        </w:rPr>
        <w:t>capital de risco</w:t>
      </w:r>
      <w:r w:rsidRPr="00030D4D">
        <w:rPr>
          <w:rFonts w:ascii="Arial" w:hAnsi="Arial" w:cs="Arial"/>
          <w:szCs w:val="24"/>
        </w:rPr>
        <w:t xml:space="preserve"> se concretiza </w:t>
      </w:r>
      <w:r w:rsidR="001F09E6" w:rsidRPr="00030D4D">
        <w:rPr>
          <w:rFonts w:ascii="Arial" w:hAnsi="Arial" w:cs="Arial"/>
          <w:szCs w:val="24"/>
        </w:rPr>
        <w:t>através</w:t>
      </w:r>
      <w:r w:rsidRPr="00030D4D">
        <w:rPr>
          <w:rFonts w:ascii="Arial" w:hAnsi="Arial" w:cs="Arial"/>
          <w:szCs w:val="24"/>
        </w:rPr>
        <w:t xml:space="preserve"> d</w:t>
      </w:r>
      <w:r w:rsidR="001F09E6" w:rsidRPr="00030D4D">
        <w:rPr>
          <w:rFonts w:ascii="Arial" w:hAnsi="Arial" w:cs="Arial"/>
          <w:szCs w:val="24"/>
        </w:rPr>
        <w:t>e</w:t>
      </w:r>
      <w:r w:rsidRPr="00030D4D">
        <w:rPr>
          <w:rFonts w:ascii="Arial" w:hAnsi="Arial" w:cs="Arial"/>
          <w:szCs w:val="24"/>
        </w:rPr>
        <w:t xml:space="preserve"> recursos do </w:t>
      </w:r>
      <w:r w:rsidR="00B968F4" w:rsidRPr="00030D4D">
        <w:rPr>
          <w:rFonts w:ascii="Arial" w:hAnsi="Arial" w:cs="Arial"/>
          <w:szCs w:val="24"/>
        </w:rPr>
        <w:t>F</w:t>
      </w:r>
      <w:r w:rsidR="00194EB9" w:rsidRPr="00030D4D">
        <w:rPr>
          <w:rFonts w:ascii="Arial" w:hAnsi="Arial" w:cs="Arial"/>
          <w:szCs w:val="24"/>
        </w:rPr>
        <w:t xml:space="preserve">undo </w:t>
      </w:r>
      <w:r w:rsidR="00B968F4" w:rsidRPr="00030D4D">
        <w:rPr>
          <w:rFonts w:ascii="Arial" w:hAnsi="Arial" w:cs="Arial"/>
          <w:szCs w:val="24"/>
        </w:rPr>
        <w:t>V</w:t>
      </w:r>
      <w:r w:rsidR="00194EB9" w:rsidRPr="00030D4D">
        <w:rPr>
          <w:rFonts w:ascii="Arial" w:hAnsi="Arial" w:cs="Arial"/>
          <w:szCs w:val="24"/>
        </w:rPr>
        <w:t>erde-</w:t>
      </w:r>
      <w:r w:rsidR="00B968F4" w:rsidRPr="00030D4D">
        <w:rPr>
          <w:rFonts w:ascii="Arial" w:hAnsi="Arial" w:cs="Arial"/>
          <w:szCs w:val="24"/>
        </w:rPr>
        <w:t>A</w:t>
      </w:r>
      <w:r w:rsidR="00194EB9" w:rsidRPr="00030D4D">
        <w:rPr>
          <w:rFonts w:ascii="Arial" w:hAnsi="Arial" w:cs="Arial"/>
          <w:szCs w:val="24"/>
        </w:rPr>
        <w:t>marelo</w:t>
      </w:r>
      <w:r w:rsidRPr="00030D4D">
        <w:rPr>
          <w:rFonts w:ascii="Arial" w:hAnsi="Arial" w:cs="Arial"/>
          <w:szCs w:val="24"/>
        </w:rPr>
        <w:t>, previstos na Lei n</w:t>
      </w:r>
      <w:r w:rsidRPr="00030D4D">
        <w:rPr>
          <w:rFonts w:ascii="Arial" w:hAnsi="Arial" w:cs="Arial"/>
          <w:vertAlign w:val="superscript"/>
        </w:rPr>
        <w:t>o</w:t>
      </w:r>
      <w:r w:rsidRPr="00030D4D">
        <w:rPr>
          <w:rFonts w:ascii="Arial" w:hAnsi="Arial" w:cs="Arial"/>
          <w:szCs w:val="24"/>
        </w:rPr>
        <w:t xml:space="preserve"> 10.332/01. A Finep criou o Programa Inovar para </w:t>
      </w:r>
      <w:r w:rsidR="001F09E6" w:rsidRPr="00030D4D">
        <w:rPr>
          <w:rFonts w:ascii="Arial" w:hAnsi="Arial" w:cs="Arial"/>
          <w:szCs w:val="24"/>
        </w:rPr>
        <w:t>conduzir</w:t>
      </w:r>
      <w:r w:rsidR="00BE26A9" w:rsidRPr="00030D4D">
        <w:rPr>
          <w:rFonts w:ascii="Arial" w:hAnsi="Arial" w:cs="Arial"/>
          <w:szCs w:val="24"/>
        </w:rPr>
        <w:t xml:space="preserve"> suas atividades neste campo e </w:t>
      </w:r>
      <w:r w:rsidR="003F3948" w:rsidRPr="00030D4D">
        <w:rPr>
          <w:rFonts w:ascii="Arial" w:hAnsi="Arial" w:cs="Arial"/>
          <w:szCs w:val="24"/>
        </w:rPr>
        <w:t>fazer aportes por meio d</w:t>
      </w:r>
      <w:r w:rsidR="00BE26A9" w:rsidRPr="00030D4D">
        <w:rPr>
          <w:rFonts w:ascii="Arial" w:hAnsi="Arial" w:cs="Arial"/>
          <w:szCs w:val="24"/>
        </w:rPr>
        <w:t>e</w:t>
      </w:r>
      <w:r w:rsidRPr="00030D4D">
        <w:rPr>
          <w:rFonts w:ascii="Arial" w:hAnsi="Arial" w:cs="Arial"/>
          <w:szCs w:val="24"/>
        </w:rPr>
        <w:t xml:space="preserve"> Fundos de Investimento em Empresas Emergentes (FMIEE)</w:t>
      </w:r>
      <w:r w:rsidR="00DE23B9" w:rsidRPr="00030D4D">
        <w:rPr>
          <w:rFonts w:ascii="Arial" w:hAnsi="Arial" w:cs="Arial"/>
          <w:szCs w:val="24"/>
        </w:rPr>
        <w:t xml:space="preserve"> e, mais recentemente, </w:t>
      </w:r>
      <w:r w:rsidR="003F3948" w:rsidRPr="00030D4D">
        <w:rPr>
          <w:rFonts w:ascii="Arial" w:hAnsi="Arial" w:cs="Arial"/>
          <w:szCs w:val="24"/>
        </w:rPr>
        <w:t>d</w:t>
      </w:r>
      <w:r w:rsidR="00BE26A9" w:rsidRPr="00030D4D">
        <w:rPr>
          <w:rFonts w:ascii="Arial" w:hAnsi="Arial" w:cs="Arial"/>
          <w:szCs w:val="24"/>
        </w:rPr>
        <w:t>e</w:t>
      </w:r>
      <w:r w:rsidRPr="00030D4D">
        <w:rPr>
          <w:rFonts w:ascii="Arial" w:hAnsi="Arial" w:cs="Arial"/>
          <w:szCs w:val="24"/>
        </w:rPr>
        <w:t xml:space="preserve"> Fundos de Investimento em Participações (FIP)</w:t>
      </w:r>
      <w:r w:rsidR="00B968F4" w:rsidRPr="00030D4D">
        <w:rPr>
          <w:rStyle w:val="FootnoteReference"/>
          <w:rFonts w:ascii="Arial" w:hAnsi="Arial" w:cs="Arial"/>
          <w:szCs w:val="24"/>
        </w:rPr>
        <w:footnoteReference w:id="15"/>
      </w:r>
      <w:r w:rsidR="00BE26A9" w:rsidRPr="00030D4D">
        <w:rPr>
          <w:rFonts w:ascii="Arial" w:hAnsi="Arial" w:cs="Arial"/>
          <w:szCs w:val="24"/>
        </w:rPr>
        <w:t xml:space="preserve">, </w:t>
      </w:r>
      <w:r w:rsidR="00F227B1" w:rsidRPr="00030D4D">
        <w:rPr>
          <w:rFonts w:ascii="Arial" w:hAnsi="Arial" w:cs="Arial"/>
          <w:szCs w:val="24"/>
        </w:rPr>
        <w:t>n</w:t>
      </w:r>
      <w:r w:rsidR="00BE26A9" w:rsidRPr="00030D4D">
        <w:rPr>
          <w:rFonts w:ascii="Arial" w:hAnsi="Arial" w:cs="Arial"/>
          <w:szCs w:val="24"/>
        </w:rPr>
        <w:t>a</w:t>
      </w:r>
      <w:r w:rsidRPr="00030D4D">
        <w:rPr>
          <w:rFonts w:ascii="Arial" w:hAnsi="Arial" w:cs="Arial"/>
          <w:szCs w:val="24"/>
        </w:rPr>
        <w:t xml:space="preserve"> aquisição</w:t>
      </w:r>
      <w:r w:rsidR="001F09E6" w:rsidRPr="00030D4D">
        <w:rPr>
          <w:rFonts w:ascii="Arial" w:hAnsi="Arial" w:cs="Arial"/>
          <w:szCs w:val="24"/>
        </w:rPr>
        <w:t xml:space="preserve"> respectivamente</w:t>
      </w:r>
      <w:r w:rsidR="000F779A" w:rsidRPr="00030D4D">
        <w:rPr>
          <w:rFonts w:ascii="Arial" w:hAnsi="Arial" w:cs="Arial"/>
          <w:szCs w:val="24"/>
        </w:rPr>
        <w:t xml:space="preserve"> de valores </w:t>
      </w:r>
      <w:r w:rsidR="00BE26A9" w:rsidRPr="00030D4D">
        <w:rPr>
          <w:rFonts w:ascii="Arial" w:hAnsi="Arial" w:cs="Arial"/>
          <w:szCs w:val="24"/>
        </w:rPr>
        <w:t>mobiliários (</w:t>
      </w:r>
      <w:r w:rsidR="001F09E6" w:rsidRPr="00030D4D">
        <w:rPr>
          <w:rFonts w:ascii="Arial" w:hAnsi="Arial" w:cs="Arial"/>
          <w:szCs w:val="24"/>
        </w:rPr>
        <w:t xml:space="preserve">bônus de subscrição ou </w:t>
      </w:r>
      <w:r w:rsidR="00BE26A9" w:rsidRPr="00030D4D">
        <w:rPr>
          <w:rFonts w:ascii="Arial" w:hAnsi="Arial" w:cs="Arial"/>
          <w:szCs w:val="24"/>
        </w:rPr>
        <w:t xml:space="preserve">debêntures conversíveis, entre outros </w:t>
      </w:r>
      <w:r w:rsidR="00F227B1" w:rsidRPr="00030D4D">
        <w:rPr>
          <w:rFonts w:ascii="Arial" w:hAnsi="Arial" w:cs="Arial"/>
          <w:szCs w:val="24"/>
        </w:rPr>
        <w:t>títulos emitidos por</w:t>
      </w:r>
      <w:r w:rsidR="00BE26A9" w:rsidRPr="00030D4D">
        <w:rPr>
          <w:rFonts w:ascii="Arial" w:hAnsi="Arial" w:cs="Arial"/>
          <w:szCs w:val="24"/>
        </w:rPr>
        <w:t xml:space="preserve"> companhias de capital fechado) e </w:t>
      </w:r>
      <w:r w:rsidR="001B4DD3" w:rsidRPr="00030D4D">
        <w:rPr>
          <w:rFonts w:ascii="Arial" w:hAnsi="Arial" w:cs="Arial"/>
          <w:szCs w:val="24"/>
        </w:rPr>
        <w:t xml:space="preserve">de  </w:t>
      </w:r>
      <w:r w:rsidR="00BE26A9" w:rsidRPr="00030D4D">
        <w:rPr>
          <w:rFonts w:ascii="Arial" w:hAnsi="Arial" w:cs="Arial"/>
          <w:szCs w:val="24"/>
        </w:rPr>
        <w:t xml:space="preserve">ações. A Finep </w:t>
      </w:r>
      <w:r w:rsidRPr="00030D4D">
        <w:rPr>
          <w:rFonts w:ascii="Arial" w:hAnsi="Arial" w:cs="Arial"/>
          <w:szCs w:val="24"/>
        </w:rPr>
        <w:t>dispõe de um mecanismo de garantia cujo objetivo é dar liquidez aos investimentos dos</w:t>
      </w:r>
      <w:r w:rsidR="00B968F4" w:rsidRPr="00030D4D">
        <w:rPr>
          <w:rFonts w:ascii="Arial" w:hAnsi="Arial" w:cs="Arial"/>
          <w:szCs w:val="24"/>
        </w:rPr>
        <w:t xml:space="preserve"> fundos, em casos específicos.</w:t>
      </w:r>
    </w:p>
    <w:p w:rsidR="001D452D" w:rsidRPr="00030D4D" w:rsidRDefault="001D452D" w:rsidP="00C34FA1">
      <w:pPr>
        <w:spacing w:before="0"/>
        <w:rPr>
          <w:rFonts w:ascii="Arial" w:hAnsi="Arial" w:cs="Arial"/>
          <w:szCs w:val="24"/>
        </w:rPr>
      </w:pPr>
      <w:r w:rsidRPr="00030D4D">
        <w:rPr>
          <w:rFonts w:ascii="Arial" w:hAnsi="Arial" w:cs="Arial"/>
          <w:szCs w:val="24"/>
        </w:rPr>
        <w:t xml:space="preserve">Entre 2001 e meados de 2014, 27 fundos foram aprovados e receberam investimentos da Finep </w:t>
      </w:r>
      <w:r w:rsidR="00F227B1" w:rsidRPr="00030D4D">
        <w:rPr>
          <w:rFonts w:ascii="Arial" w:hAnsi="Arial" w:cs="Arial"/>
          <w:szCs w:val="24"/>
        </w:rPr>
        <w:t>e</w:t>
      </w:r>
      <w:r w:rsidRPr="00030D4D">
        <w:rPr>
          <w:rFonts w:ascii="Arial" w:hAnsi="Arial" w:cs="Arial"/>
          <w:szCs w:val="24"/>
        </w:rPr>
        <w:t xml:space="preserve"> outros investidores, dos quais 14 de </w:t>
      </w:r>
      <w:r w:rsidRPr="00030D4D">
        <w:rPr>
          <w:rFonts w:ascii="Arial" w:hAnsi="Arial" w:cs="Arial"/>
          <w:i/>
          <w:szCs w:val="24"/>
        </w:rPr>
        <w:t>venture capital</w:t>
      </w:r>
      <w:r w:rsidRPr="00030D4D">
        <w:rPr>
          <w:rFonts w:ascii="Arial" w:hAnsi="Arial" w:cs="Arial"/>
          <w:szCs w:val="24"/>
        </w:rPr>
        <w:t xml:space="preserve">, 8 de </w:t>
      </w:r>
      <w:r w:rsidRPr="00030D4D">
        <w:rPr>
          <w:rFonts w:ascii="Arial" w:hAnsi="Arial" w:cs="Arial"/>
          <w:i/>
          <w:szCs w:val="24"/>
        </w:rPr>
        <w:t>seed capital</w:t>
      </w:r>
      <w:r w:rsidRPr="00030D4D">
        <w:rPr>
          <w:rFonts w:ascii="Arial" w:hAnsi="Arial" w:cs="Arial"/>
          <w:szCs w:val="24"/>
        </w:rPr>
        <w:t xml:space="preserve"> e 5 de </w:t>
      </w:r>
      <w:r w:rsidRPr="00030D4D">
        <w:rPr>
          <w:rFonts w:ascii="Arial" w:hAnsi="Arial" w:cs="Arial"/>
          <w:i/>
          <w:szCs w:val="24"/>
        </w:rPr>
        <w:t>private equity</w:t>
      </w:r>
      <w:r w:rsidRPr="00030D4D">
        <w:rPr>
          <w:rFonts w:ascii="Arial" w:hAnsi="Arial" w:cs="Arial"/>
          <w:szCs w:val="24"/>
        </w:rPr>
        <w:t xml:space="preserve">. </w:t>
      </w:r>
      <w:r w:rsidRPr="00030D4D" w:rsidDel="005C6B99">
        <w:rPr>
          <w:rFonts w:ascii="Arial" w:hAnsi="Arial" w:cs="Arial"/>
          <w:szCs w:val="24"/>
        </w:rPr>
        <w:t xml:space="preserve"> </w:t>
      </w:r>
      <w:r w:rsidRPr="00030D4D">
        <w:rPr>
          <w:rFonts w:ascii="Arial" w:hAnsi="Arial" w:cs="Arial"/>
          <w:szCs w:val="24"/>
        </w:rPr>
        <w:t>De um montante total de R$ 4,4 bilhões aportados em 111 empresas, a Finep contribuiu com</w:t>
      </w:r>
      <w:r w:rsidR="00C17A8A" w:rsidRPr="00030D4D">
        <w:rPr>
          <w:rFonts w:ascii="Arial" w:hAnsi="Arial" w:cs="Arial"/>
          <w:szCs w:val="24"/>
        </w:rPr>
        <w:t xml:space="preserve"> cerca de R$ 560 milhões</w:t>
      </w:r>
      <w:r w:rsidR="00DB757A" w:rsidRPr="00030D4D">
        <w:rPr>
          <w:rFonts w:ascii="Arial" w:hAnsi="Arial" w:cs="Arial"/>
          <w:szCs w:val="24"/>
        </w:rPr>
        <w:t xml:space="preserve"> (13%)</w:t>
      </w:r>
      <w:r w:rsidR="0008795C" w:rsidRPr="00030D4D">
        <w:rPr>
          <w:rFonts w:ascii="Arial" w:hAnsi="Arial" w:cs="Arial"/>
          <w:szCs w:val="24"/>
        </w:rPr>
        <w:t xml:space="preserve"> (G</w:t>
      </w:r>
      <w:r w:rsidR="00C17A8A" w:rsidRPr="00030D4D">
        <w:rPr>
          <w:rFonts w:ascii="Arial" w:hAnsi="Arial" w:cs="Arial"/>
          <w:szCs w:val="24"/>
        </w:rPr>
        <w:t xml:space="preserve">ráfico </w:t>
      </w:r>
      <w:r w:rsidR="0008795C" w:rsidRPr="00030D4D">
        <w:rPr>
          <w:rFonts w:ascii="Arial" w:hAnsi="Arial" w:cs="Arial"/>
          <w:szCs w:val="24"/>
        </w:rPr>
        <w:t>1.</w:t>
      </w:r>
      <w:r w:rsidR="008A5359" w:rsidRPr="00030D4D">
        <w:rPr>
          <w:rFonts w:ascii="Arial" w:hAnsi="Arial" w:cs="Arial"/>
          <w:szCs w:val="24"/>
        </w:rPr>
        <w:t>3</w:t>
      </w:r>
      <w:r w:rsidR="0008795C" w:rsidRPr="00030D4D">
        <w:rPr>
          <w:rFonts w:ascii="Arial" w:hAnsi="Arial" w:cs="Arial"/>
          <w:szCs w:val="24"/>
        </w:rPr>
        <w:t>)</w:t>
      </w:r>
      <w:r w:rsidR="00C17A8A" w:rsidRPr="00030D4D">
        <w:rPr>
          <w:rFonts w:ascii="Arial" w:hAnsi="Arial" w:cs="Arial"/>
          <w:szCs w:val="24"/>
        </w:rPr>
        <w:t xml:space="preserve">. </w:t>
      </w:r>
      <w:r w:rsidRPr="00030D4D">
        <w:rPr>
          <w:rFonts w:ascii="Arial" w:hAnsi="Arial" w:cs="Arial"/>
          <w:szCs w:val="24"/>
        </w:rPr>
        <w:t xml:space="preserve"> Ainda com relação às empresas, 23 já foram desinvestidas por 13 dos 27 fundos</w:t>
      </w:r>
      <w:r w:rsidRPr="00030D4D">
        <w:rPr>
          <w:rStyle w:val="FootnoteReference"/>
          <w:rFonts w:ascii="Arial" w:hAnsi="Arial" w:cs="Arial"/>
          <w:szCs w:val="24"/>
        </w:rPr>
        <w:footnoteReference w:id="16"/>
      </w:r>
      <w:r w:rsidRPr="00030D4D">
        <w:rPr>
          <w:rFonts w:ascii="Arial" w:hAnsi="Arial" w:cs="Arial"/>
          <w:szCs w:val="24"/>
        </w:rPr>
        <w:t xml:space="preserve">. </w:t>
      </w:r>
      <w:r w:rsidR="00F03DB4" w:rsidRPr="00030D4D">
        <w:rPr>
          <w:rFonts w:ascii="Arial" w:hAnsi="Arial" w:cs="Arial"/>
          <w:szCs w:val="24"/>
        </w:rPr>
        <w:t>Note-se também que</w:t>
      </w:r>
      <w:r w:rsidR="001F09E6" w:rsidRPr="00030D4D">
        <w:rPr>
          <w:rFonts w:ascii="Arial" w:hAnsi="Arial" w:cs="Arial"/>
          <w:szCs w:val="24"/>
        </w:rPr>
        <w:t>,</w:t>
      </w:r>
      <w:r w:rsidR="00F03DB4" w:rsidRPr="00030D4D">
        <w:rPr>
          <w:rFonts w:ascii="Arial" w:hAnsi="Arial" w:cs="Arial"/>
          <w:szCs w:val="24"/>
        </w:rPr>
        <w:t xml:space="preserve"> </w:t>
      </w:r>
      <w:r w:rsidR="00F03DB4" w:rsidRPr="00030D4D">
        <w:rPr>
          <w:rFonts w:ascii="Arial" w:hAnsi="Arial" w:cs="Arial"/>
        </w:rPr>
        <w:t>em março de 2015, por meio do chamado FIP Inova Empresa, foi estabelecido um acordo com as holdings Parit e HCHT para aporte direto em duas empresas</w:t>
      </w:r>
      <w:r w:rsidR="00F227B1" w:rsidRPr="00030D4D">
        <w:rPr>
          <w:rFonts w:ascii="Arial" w:hAnsi="Arial" w:cs="Arial"/>
        </w:rPr>
        <w:t>,</w:t>
      </w:r>
      <w:r w:rsidR="00F03DB4" w:rsidRPr="00030D4D">
        <w:rPr>
          <w:rFonts w:ascii="Arial" w:hAnsi="Arial" w:cs="Arial"/>
        </w:rPr>
        <w:t xml:space="preserve"> a Altus e a HT Micron, que atuam, nos setores de tecnologia de automação industrial e encapsulamento de semicondutores</w:t>
      </w:r>
      <w:r w:rsidR="00F227B1" w:rsidRPr="00030D4D">
        <w:rPr>
          <w:rFonts w:ascii="Arial" w:hAnsi="Arial" w:cs="Arial"/>
        </w:rPr>
        <w:t>.</w:t>
      </w:r>
    </w:p>
    <w:p w:rsidR="00512A5E" w:rsidRPr="00030D4D" w:rsidRDefault="00512A5E" w:rsidP="001F09E6">
      <w:pPr>
        <w:spacing w:before="0" w:after="0"/>
        <w:jc w:val="left"/>
        <w:rPr>
          <w:rFonts w:ascii="Arial" w:hAnsi="Arial" w:cs="Arial"/>
          <w:b/>
          <w:iCs/>
          <w:szCs w:val="18"/>
        </w:rPr>
      </w:pPr>
    </w:p>
    <w:p w:rsidR="009E482A" w:rsidRPr="00030D4D" w:rsidRDefault="009E482A">
      <w:pPr>
        <w:spacing w:before="0" w:after="160" w:line="259" w:lineRule="auto"/>
        <w:jc w:val="left"/>
        <w:rPr>
          <w:rFonts w:ascii="Arial" w:hAnsi="Arial" w:cs="Arial"/>
          <w:b/>
          <w:iCs/>
          <w:szCs w:val="18"/>
        </w:rPr>
      </w:pPr>
      <w:r w:rsidRPr="00030D4D">
        <w:rPr>
          <w:rFonts w:ascii="Arial" w:hAnsi="Arial" w:cs="Arial"/>
        </w:rPr>
        <w:br w:type="page"/>
      </w:r>
    </w:p>
    <w:p w:rsidR="00A83B78" w:rsidRPr="00030D4D" w:rsidRDefault="00A83B78" w:rsidP="00A83B78">
      <w:pPr>
        <w:pStyle w:val="Caption"/>
        <w:spacing w:after="0" w:line="360" w:lineRule="auto"/>
        <w:rPr>
          <w:rFonts w:ascii="Arial" w:hAnsi="Arial" w:cs="Arial"/>
        </w:rPr>
      </w:pPr>
      <w:bookmarkStart w:id="20" w:name="_Toc482828510"/>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4</w:t>
      </w:r>
      <w:r w:rsidR="005271BC" w:rsidRPr="00030D4D">
        <w:rPr>
          <w:rFonts w:ascii="Arial" w:hAnsi="Arial" w:cs="Arial"/>
          <w:noProof/>
        </w:rPr>
        <w:fldChar w:fldCharType="end"/>
      </w:r>
      <w:r w:rsidRPr="00030D4D">
        <w:rPr>
          <w:rFonts w:ascii="Arial" w:hAnsi="Arial" w:cs="Arial"/>
        </w:rPr>
        <w:t>. Evolução Orçamentária do Investimento em Empresas Inovadoras, em R$ milhões</w:t>
      </w:r>
      <w:bookmarkEnd w:id="20"/>
    </w:p>
    <w:p w:rsidR="00C17A8A" w:rsidRPr="00030D4D" w:rsidRDefault="00C17A8A" w:rsidP="00C17A8A">
      <w:pPr>
        <w:rPr>
          <w:rFonts w:ascii="Arial" w:hAnsi="Arial" w:cs="Arial"/>
        </w:rPr>
      </w:pPr>
      <w:r w:rsidRPr="00030D4D">
        <w:rPr>
          <w:rFonts w:ascii="Arial" w:hAnsi="Arial" w:cs="Arial"/>
          <w:noProof/>
          <w:lang w:val="en-US"/>
        </w:rPr>
        <w:drawing>
          <wp:inline distT="0" distB="0" distL="0" distR="0" wp14:anchorId="2DDBD4E3" wp14:editId="6582E4C6">
            <wp:extent cx="4572000" cy="2242868"/>
            <wp:effectExtent l="0" t="0" r="0" b="508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17A8A" w:rsidRPr="00030D4D" w:rsidRDefault="00C17A8A" w:rsidP="00C17A8A">
      <w:pPr>
        <w:spacing w:after="0"/>
        <w:rPr>
          <w:rFonts w:ascii="Arial" w:hAnsi="Arial" w:cs="Arial"/>
          <w:sz w:val="20"/>
          <w:szCs w:val="20"/>
        </w:rPr>
      </w:pPr>
      <w:r w:rsidRPr="00030D4D">
        <w:rPr>
          <w:rFonts w:ascii="Arial" w:hAnsi="Arial" w:cs="Arial"/>
          <w:sz w:val="20"/>
          <w:szCs w:val="20"/>
        </w:rPr>
        <w:t xml:space="preserve">Fonte: </w:t>
      </w:r>
      <w:r w:rsidRPr="00030D4D">
        <w:rPr>
          <w:rFonts w:ascii="Arial" w:hAnsi="Arial" w:cs="Arial"/>
          <w:smallCaps/>
          <w:sz w:val="20"/>
          <w:szCs w:val="20"/>
        </w:rPr>
        <w:t>Finep</w:t>
      </w:r>
      <w:r w:rsidRPr="00030D4D">
        <w:rPr>
          <w:rFonts w:ascii="Arial" w:hAnsi="Arial" w:cs="Arial"/>
          <w:sz w:val="20"/>
          <w:szCs w:val="20"/>
        </w:rPr>
        <w:t xml:space="preserve"> (2014</w:t>
      </w:r>
      <w:r w:rsidR="00C34FA1" w:rsidRPr="00030D4D">
        <w:rPr>
          <w:rFonts w:ascii="Arial" w:hAnsi="Arial" w:cs="Arial"/>
          <w:sz w:val="20"/>
          <w:szCs w:val="20"/>
        </w:rPr>
        <w:t xml:space="preserve">: </w:t>
      </w:r>
      <w:r w:rsidRPr="00030D4D">
        <w:rPr>
          <w:rFonts w:ascii="Arial" w:hAnsi="Arial" w:cs="Arial"/>
          <w:sz w:val="20"/>
          <w:szCs w:val="20"/>
        </w:rPr>
        <w:t>10)</w:t>
      </w:r>
      <w:r w:rsidR="00C34FA1" w:rsidRPr="00030D4D">
        <w:rPr>
          <w:rFonts w:ascii="Arial" w:hAnsi="Arial" w:cs="Arial"/>
          <w:sz w:val="20"/>
          <w:szCs w:val="20"/>
        </w:rPr>
        <w:t>.</w:t>
      </w:r>
    </w:p>
    <w:p w:rsidR="00C17A8A" w:rsidRPr="00030D4D" w:rsidRDefault="00C17A8A" w:rsidP="00C17A8A">
      <w:pPr>
        <w:spacing w:before="0" w:line="240" w:lineRule="auto"/>
        <w:rPr>
          <w:rFonts w:ascii="Arial" w:hAnsi="Arial" w:cs="Arial"/>
          <w:sz w:val="20"/>
          <w:szCs w:val="20"/>
        </w:rPr>
      </w:pPr>
    </w:p>
    <w:p w:rsidR="00182F04" w:rsidRPr="00030D4D" w:rsidRDefault="00514F9F" w:rsidP="00C34FA1">
      <w:pPr>
        <w:spacing w:before="0"/>
        <w:rPr>
          <w:rFonts w:ascii="Arial" w:hAnsi="Arial" w:cs="Arial"/>
        </w:rPr>
      </w:pPr>
      <w:r w:rsidRPr="00030D4D">
        <w:rPr>
          <w:rFonts w:ascii="Arial" w:hAnsi="Arial" w:cs="Arial"/>
          <w:szCs w:val="24"/>
        </w:rPr>
        <w:t xml:space="preserve">O BNDES também aporta recursos em fundos de </w:t>
      </w:r>
      <w:r w:rsidR="00361180" w:rsidRPr="00030D4D">
        <w:rPr>
          <w:rFonts w:ascii="Arial" w:hAnsi="Arial" w:cs="Arial"/>
          <w:i/>
          <w:szCs w:val="24"/>
        </w:rPr>
        <w:t>venture capital</w:t>
      </w:r>
      <w:r w:rsidRPr="00030D4D">
        <w:rPr>
          <w:rFonts w:ascii="Arial" w:hAnsi="Arial" w:cs="Arial"/>
          <w:szCs w:val="24"/>
        </w:rPr>
        <w:t xml:space="preserve"> e </w:t>
      </w:r>
      <w:r w:rsidR="00361180" w:rsidRPr="00030D4D">
        <w:rPr>
          <w:rFonts w:ascii="Arial" w:hAnsi="Arial" w:cs="Arial"/>
          <w:i/>
          <w:szCs w:val="24"/>
        </w:rPr>
        <w:t>private equity</w:t>
      </w:r>
      <w:r w:rsidRPr="00030D4D">
        <w:rPr>
          <w:rFonts w:ascii="Arial" w:hAnsi="Arial" w:cs="Arial"/>
          <w:szCs w:val="24"/>
        </w:rPr>
        <w:t xml:space="preserve"> </w:t>
      </w:r>
      <w:r w:rsidR="00F227B1" w:rsidRPr="00030D4D">
        <w:rPr>
          <w:rFonts w:ascii="Arial" w:hAnsi="Arial" w:cs="Arial"/>
          <w:szCs w:val="24"/>
        </w:rPr>
        <w:t>por meio</w:t>
      </w:r>
      <w:r w:rsidRPr="00030D4D">
        <w:rPr>
          <w:rFonts w:ascii="Arial" w:hAnsi="Arial" w:cs="Arial"/>
          <w:szCs w:val="24"/>
        </w:rPr>
        <w:t xml:space="preserve"> d</w:t>
      </w:r>
      <w:r w:rsidR="00F227B1" w:rsidRPr="00030D4D">
        <w:rPr>
          <w:rFonts w:ascii="Arial" w:hAnsi="Arial" w:cs="Arial"/>
          <w:szCs w:val="24"/>
        </w:rPr>
        <w:t>e su</w:t>
      </w:r>
      <w:r w:rsidRPr="00030D4D">
        <w:rPr>
          <w:rFonts w:ascii="Arial" w:hAnsi="Arial" w:cs="Arial"/>
          <w:szCs w:val="24"/>
        </w:rPr>
        <w:t>a subsidiária BNDESPar.</w:t>
      </w:r>
      <w:r w:rsidR="00C10B2F" w:rsidRPr="00030D4D">
        <w:rPr>
          <w:rFonts w:ascii="Arial" w:hAnsi="Arial" w:cs="Arial"/>
          <w:szCs w:val="24"/>
        </w:rPr>
        <w:t xml:space="preserve"> Com </w:t>
      </w:r>
      <w:r w:rsidR="00367B1F" w:rsidRPr="00030D4D">
        <w:rPr>
          <w:rFonts w:ascii="Arial" w:hAnsi="Arial" w:cs="Arial"/>
          <w:szCs w:val="24"/>
        </w:rPr>
        <w:t xml:space="preserve">maior </w:t>
      </w:r>
      <w:r w:rsidR="00C10B2F" w:rsidRPr="00030D4D">
        <w:rPr>
          <w:rFonts w:ascii="Arial" w:hAnsi="Arial" w:cs="Arial"/>
          <w:szCs w:val="24"/>
        </w:rPr>
        <w:t>atuação neste mercado desde os anos 90</w:t>
      </w:r>
      <w:r w:rsidR="00367B1F" w:rsidRPr="00030D4D">
        <w:rPr>
          <w:rStyle w:val="FootnoteReference"/>
          <w:rFonts w:ascii="Arial" w:hAnsi="Arial" w:cs="Arial"/>
          <w:szCs w:val="24"/>
        </w:rPr>
        <w:footnoteReference w:id="17"/>
      </w:r>
      <w:r w:rsidR="00C10B2F" w:rsidRPr="00030D4D">
        <w:rPr>
          <w:rFonts w:ascii="Arial" w:hAnsi="Arial" w:cs="Arial"/>
          <w:szCs w:val="24"/>
        </w:rPr>
        <w:t xml:space="preserve">, foi a partir de 2007 que o Banco </w:t>
      </w:r>
      <w:r w:rsidR="00C10B2F" w:rsidRPr="00030D4D">
        <w:rPr>
          <w:rFonts w:ascii="Arial" w:hAnsi="Arial" w:cs="Arial"/>
        </w:rPr>
        <w:t>passou a apoiar etapas de maior risco dos negócios por meio do Programa de Capital Semente Criatec</w:t>
      </w:r>
      <w:r w:rsidR="006B1B1F" w:rsidRPr="00030D4D">
        <w:rPr>
          <w:rFonts w:ascii="Arial" w:hAnsi="Arial" w:cs="Arial"/>
        </w:rPr>
        <w:t xml:space="preserve">, atualmente em sua terceira edição. No Criatec I, constituído como um FMIEE, o </w:t>
      </w:r>
      <w:r w:rsidR="00C10B2F" w:rsidRPr="00030D4D">
        <w:rPr>
          <w:rFonts w:ascii="Arial" w:hAnsi="Arial" w:cs="Arial"/>
          <w:lang w:val="pt-PT" w:eastAsia="pt-BR"/>
        </w:rPr>
        <w:t xml:space="preserve">orçamento </w:t>
      </w:r>
      <w:r w:rsidR="006B1B1F" w:rsidRPr="00030D4D">
        <w:rPr>
          <w:rFonts w:ascii="Arial" w:hAnsi="Arial" w:cs="Arial"/>
          <w:lang w:val="pt-PT" w:eastAsia="pt-BR"/>
        </w:rPr>
        <w:t xml:space="preserve">inicial foi </w:t>
      </w:r>
      <w:r w:rsidR="00182F04" w:rsidRPr="00030D4D">
        <w:rPr>
          <w:rFonts w:ascii="Arial" w:hAnsi="Arial" w:cs="Arial"/>
          <w:lang w:val="pt-PT" w:eastAsia="pt-BR"/>
        </w:rPr>
        <w:t xml:space="preserve">de </w:t>
      </w:r>
      <w:r w:rsidR="00102E23" w:rsidRPr="00030D4D">
        <w:rPr>
          <w:rFonts w:ascii="Arial" w:hAnsi="Arial" w:cs="Arial"/>
          <w:lang w:val="pt-PT" w:eastAsia="pt-BR"/>
        </w:rPr>
        <w:t>R$ 100 milhões</w:t>
      </w:r>
      <w:r w:rsidR="00F03DB4" w:rsidRPr="00030D4D">
        <w:rPr>
          <w:rFonts w:ascii="Arial" w:hAnsi="Arial" w:cs="Arial"/>
          <w:lang w:val="pt-PT" w:eastAsia="pt-BR"/>
        </w:rPr>
        <w:t xml:space="preserve"> –</w:t>
      </w:r>
      <w:r w:rsidR="00102E23" w:rsidRPr="00030D4D">
        <w:rPr>
          <w:rFonts w:ascii="Arial" w:hAnsi="Arial" w:cs="Arial"/>
          <w:lang w:val="pt-PT" w:eastAsia="pt-BR"/>
        </w:rPr>
        <w:t xml:space="preserve"> </w:t>
      </w:r>
      <w:r w:rsidR="00182F04" w:rsidRPr="00030D4D">
        <w:rPr>
          <w:rFonts w:ascii="Arial" w:hAnsi="Arial" w:cs="Arial"/>
          <w:lang w:val="pt-PT" w:eastAsia="pt-BR"/>
        </w:rPr>
        <w:t xml:space="preserve">R$ 80 milhões </w:t>
      </w:r>
      <w:r w:rsidR="00102E23" w:rsidRPr="00030D4D">
        <w:rPr>
          <w:rFonts w:ascii="Arial" w:hAnsi="Arial" w:cs="Arial"/>
          <w:lang w:val="pt-PT" w:eastAsia="pt-BR"/>
        </w:rPr>
        <w:t>do BNDES e R$ 20 milhões do Banco do Nordeste do Brasil (BNB)</w:t>
      </w:r>
      <w:r w:rsidR="00F03DB4" w:rsidRPr="00030D4D">
        <w:rPr>
          <w:rFonts w:ascii="Arial" w:hAnsi="Arial" w:cs="Arial"/>
          <w:lang w:val="pt-PT" w:eastAsia="pt-BR"/>
        </w:rPr>
        <w:t xml:space="preserve"> – </w:t>
      </w:r>
      <w:r w:rsidR="006B1B1F" w:rsidRPr="00030D4D">
        <w:rPr>
          <w:rFonts w:ascii="Arial" w:hAnsi="Arial" w:cs="Arial"/>
          <w:lang w:val="pt-PT" w:eastAsia="pt-BR"/>
        </w:rPr>
        <w:t>voltados para a</w:t>
      </w:r>
      <w:r w:rsidR="00182F04" w:rsidRPr="00030D4D">
        <w:rPr>
          <w:rFonts w:ascii="Arial" w:hAnsi="Arial" w:cs="Arial"/>
          <w:lang w:val="pt-PT" w:eastAsia="pt-BR"/>
        </w:rPr>
        <w:t xml:space="preserve"> capitalização de micro e pequenas empresas inovadoras, assim como </w:t>
      </w:r>
      <w:r w:rsidR="006B1B1F" w:rsidRPr="00030D4D">
        <w:rPr>
          <w:rFonts w:ascii="Arial" w:hAnsi="Arial" w:cs="Arial"/>
          <w:lang w:val="pt-PT" w:eastAsia="pt-BR"/>
        </w:rPr>
        <w:t xml:space="preserve">para </w:t>
      </w:r>
      <w:r w:rsidR="00182F04" w:rsidRPr="00030D4D">
        <w:rPr>
          <w:rFonts w:ascii="Arial" w:hAnsi="Arial" w:cs="Arial"/>
          <w:lang w:val="pt-PT" w:eastAsia="pt-BR"/>
        </w:rPr>
        <w:t xml:space="preserve">o apoio gerencial. </w:t>
      </w:r>
      <w:r w:rsidR="00F03DB4" w:rsidRPr="00030D4D">
        <w:rPr>
          <w:rFonts w:ascii="Arial" w:hAnsi="Arial" w:cs="Arial"/>
        </w:rPr>
        <w:t>Em consonância com a política industrial, a</w:t>
      </w:r>
      <w:r w:rsidR="00182F04" w:rsidRPr="00030D4D">
        <w:rPr>
          <w:rFonts w:ascii="Arial" w:hAnsi="Arial" w:cs="Arial"/>
          <w:lang w:val="pt-PT" w:eastAsia="pt-BR"/>
        </w:rPr>
        <w:t>s</w:t>
      </w:r>
      <w:r w:rsidR="00182F04" w:rsidRPr="00030D4D">
        <w:rPr>
          <w:rFonts w:ascii="Arial" w:hAnsi="Arial" w:cs="Arial"/>
        </w:rPr>
        <w:t xml:space="preserve"> áreas privilegiadas </w:t>
      </w:r>
      <w:r w:rsidR="006B1B1F" w:rsidRPr="00030D4D">
        <w:rPr>
          <w:rFonts w:ascii="Arial" w:hAnsi="Arial" w:cs="Arial"/>
        </w:rPr>
        <w:t>foram</w:t>
      </w:r>
      <w:r w:rsidR="00F03DB4" w:rsidRPr="00030D4D">
        <w:rPr>
          <w:rFonts w:ascii="Arial" w:hAnsi="Arial" w:cs="Arial"/>
        </w:rPr>
        <w:t xml:space="preserve"> </w:t>
      </w:r>
      <w:r w:rsidR="00182F04" w:rsidRPr="00030D4D">
        <w:rPr>
          <w:rFonts w:ascii="Arial" w:hAnsi="Arial" w:cs="Arial"/>
        </w:rPr>
        <w:t>tecnologia de informação, biotecnologia, novos materiai</w:t>
      </w:r>
      <w:r w:rsidR="00F03DB4" w:rsidRPr="00030D4D">
        <w:rPr>
          <w:rFonts w:ascii="Arial" w:hAnsi="Arial" w:cs="Arial"/>
        </w:rPr>
        <w:t>s, nanotecnologia e agronegócios</w:t>
      </w:r>
      <w:r w:rsidR="00182F04" w:rsidRPr="00030D4D">
        <w:rPr>
          <w:rFonts w:ascii="Arial" w:hAnsi="Arial" w:cs="Arial"/>
        </w:rPr>
        <w:t>.</w:t>
      </w:r>
      <w:r w:rsidR="00071F5D" w:rsidRPr="00030D4D">
        <w:rPr>
          <w:rFonts w:ascii="Arial" w:hAnsi="Arial" w:cs="Arial"/>
        </w:rPr>
        <w:t xml:space="preserve"> Os aportes previstos eram de</w:t>
      </w:r>
      <w:r w:rsidR="00071F5D" w:rsidRPr="00030D4D">
        <w:rPr>
          <w:rFonts w:ascii="Arial" w:hAnsi="Arial" w:cs="Arial"/>
          <w:lang w:val="pt-PT" w:eastAsia="pt-BR"/>
        </w:rPr>
        <w:t xml:space="preserve"> R$ 1</w:t>
      </w:r>
      <w:r w:rsidR="00F03DB4" w:rsidRPr="00030D4D">
        <w:rPr>
          <w:rFonts w:ascii="Arial" w:hAnsi="Arial" w:cs="Arial"/>
          <w:lang w:val="pt-PT" w:eastAsia="pt-BR"/>
        </w:rPr>
        <w:t xml:space="preserve"> milhão</w:t>
      </w:r>
      <w:r w:rsidR="00071F5D" w:rsidRPr="00030D4D">
        <w:rPr>
          <w:rFonts w:ascii="Arial" w:hAnsi="Arial" w:cs="Arial"/>
          <w:lang w:val="pt-PT" w:eastAsia="pt-BR"/>
        </w:rPr>
        <w:t xml:space="preserve"> a </w:t>
      </w:r>
      <w:r w:rsidR="00F03DB4" w:rsidRPr="00030D4D">
        <w:rPr>
          <w:rFonts w:ascii="Arial" w:hAnsi="Arial" w:cs="Arial"/>
          <w:lang w:val="pt-PT" w:eastAsia="pt-BR"/>
        </w:rPr>
        <w:t xml:space="preserve">R$ </w:t>
      </w:r>
      <w:r w:rsidR="00071F5D" w:rsidRPr="00030D4D">
        <w:rPr>
          <w:rFonts w:ascii="Arial" w:hAnsi="Arial" w:cs="Arial"/>
          <w:lang w:val="pt-PT" w:eastAsia="pt-BR"/>
        </w:rPr>
        <w:t>1,5 milhão por empresa</w:t>
      </w:r>
      <w:r w:rsidR="00F03DB4" w:rsidRPr="00030D4D">
        <w:rPr>
          <w:rFonts w:ascii="Arial" w:hAnsi="Arial" w:cs="Arial"/>
          <w:lang w:val="pt-PT" w:eastAsia="pt-BR"/>
        </w:rPr>
        <w:t xml:space="preserve">, </w:t>
      </w:r>
      <w:r w:rsidR="00071F5D" w:rsidRPr="00030D4D">
        <w:rPr>
          <w:rFonts w:ascii="Arial" w:hAnsi="Arial" w:cs="Arial"/>
          <w:lang w:val="pt-PT" w:eastAsia="pt-BR"/>
        </w:rPr>
        <w:t xml:space="preserve">podendo chegar a R$ </w:t>
      </w:r>
      <w:r w:rsidR="00F03DB4" w:rsidRPr="00030D4D">
        <w:rPr>
          <w:rFonts w:ascii="Arial" w:hAnsi="Arial" w:cs="Arial"/>
          <w:lang w:val="pt-PT" w:eastAsia="pt-BR"/>
        </w:rPr>
        <w:t>5 milhões em algumas delas</w:t>
      </w:r>
      <w:r w:rsidR="00071F5D" w:rsidRPr="00030D4D">
        <w:rPr>
          <w:rFonts w:ascii="Arial" w:hAnsi="Arial" w:cs="Arial"/>
          <w:lang w:val="pt-PT" w:eastAsia="pt-BR"/>
        </w:rPr>
        <w:t>.</w:t>
      </w:r>
    </w:p>
    <w:p w:rsidR="00733FFB" w:rsidRPr="00030D4D" w:rsidRDefault="00B41AD0" w:rsidP="00733FFB">
      <w:pPr>
        <w:spacing w:before="0"/>
        <w:rPr>
          <w:rFonts w:ascii="Arial" w:eastAsia="Times New Roman" w:hAnsi="Arial" w:cs="Arial"/>
          <w:color w:val="000000"/>
          <w:szCs w:val="24"/>
          <w:lang w:eastAsia="pt-BR"/>
        </w:rPr>
      </w:pPr>
      <w:r w:rsidRPr="00030D4D">
        <w:rPr>
          <w:rFonts w:ascii="Arial" w:hAnsi="Arial" w:cs="Arial"/>
          <w:lang w:val="pt-PT" w:eastAsia="pt-BR"/>
        </w:rPr>
        <w:t>E</w:t>
      </w:r>
      <w:r w:rsidR="006B1B1F" w:rsidRPr="00030D4D">
        <w:rPr>
          <w:rFonts w:ascii="Arial" w:hAnsi="Arial" w:cs="Arial"/>
          <w:lang w:val="pt-PT" w:eastAsia="pt-BR"/>
        </w:rPr>
        <w:t>m agosto de 201</w:t>
      </w:r>
      <w:r w:rsidR="00882A17" w:rsidRPr="00030D4D">
        <w:rPr>
          <w:rFonts w:ascii="Arial" w:hAnsi="Arial" w:cs="Arial"/>
          <w:lang w:val="pt-PT" w:eastAsia="pt-BR"/>
        </w:rPr>
        <w:t>2</w:t>
      </w:r>
      <w:r w:rsidR="00C34FA1" w:rsidRPr="00030D4D">
        <w:rPr>
          <w:rFonts w:ascii="Arial" w:hAnsi="Arial" w:cs="Arial"/>
          <w:lang w:val="pt-PT" w:eastAsia="pt-BR"/>
        </w:rPr>
        <w:t>,</w:t>
      </w:r>
      <w:r w:rsidR="00882A17" w:rsidRPr="00030D4D">
        <w:rPr>
          <w:rFonts w:ascii="Arial" w:hAnsi="Arial" w:cs="Arial"/>
          <w:lang w:val="pt-PT" w:eastAsia="pt-BR"/>
        </w:rPr>
        <w:t xml:space="preserve"> o BNDES lançou o Criatec II, registrado como FIP,</w:t>
      </w:r>
      <w:r w:rsidR="006B1B1F" w:rsidRPr="00030D4D">
        <w:rPr>
          <w:rFonts w:ascii="Arial" w:hAnsi="Arial" w:cs="Arial"/>
          <w:lang w:val="pt-PT" w:eastAsia="pt-BR"/>
        </w:rPr>
        <w:t xml:space="preserve"> </w:t>
      </w:r>
      <w:r w:rsidR="00F03DB4" w:rsidRPr="00030D4D">
        <w:rPr>
          <w:rFonts w:ascii="Arial" w:hAnsi="Arial" w:cs="Arial"/>
          <w:lang w:val="pt-PT" w:eastAsia="pt-BR"/>
        </w:rPr>
        <w:t xml:space="preserve">com </w:t>
      </w:r>
      <w:r w:rsidR="006B1B1F" w:rsidRPr="00030D4D">
        <w:rPr>
          <w:rFonts w:ascii="Arial" w:hAnsi="Arial" w:cs="Arial"/>
          <w:lang w:val="pt-PT" w:eastAsia="pt-BR"/>
        </w:rPr>
        <w:t xml:space="preserve">capital </w:t>
      </w:r>
      <w:r w:rsidR="00882A17" w:rsidRPr="00030D4D">
        <w:rPr>
          <w:rFonts w:ascii="Arial" w:hAnsi="Arial" w:cs="Arial"/>
          <w:lang w:val="pt-PT" w:eastAsia="pt-BR"/>
        </w:rPr>
        <w:t>comprometido no valor de</w:t>
      </w:r>
      <w:r w:rsidR="006B1B1F" w:rsidRPr="00030D4D">
        <w:rPr>
          <w:rFonts w:ascii="Arial" w:hAnsi="Arial" w:cs="Arial"/>
          <w:lang w:val="pt-PT" w:eastAsia="pt-BR"/>
        </w:rPr>
        <w:t xml:space="preserve"> R$ </w:t>
      </w:r>
      <w:r w:rsidR="00882A17" w:rsidRPr="00030D4D">
        <w:rPr>
          <w:rFonts w:ascii="Arial" w:hAnsi="Arial" w:cs="Arial"/>
          <w:lang w:val="pt-PT" w:eastAsia="pt-BR"/>
        </w:rPr>
        <w:t>186</w:t>
      </w:r>
      <w:r w:rsidR="006B1B1F" w:rsidRPr="00030D4D">
        <w:rPr>
          <w:rFonts w:ascii="Arial" w:hAnsi="Arial" w:cs="Arial"/>
          <w:lang w:val="pt-PT" w:eastAsia="pt-BR"/>
        </w:rPr>
        <w:t xml:space="preserve"> milhões</w:t>
      </w:r>
      <w:r w:rsidR="00F227B1" w:rsidRPr="00030D4D">
        <w:rPr>
          <w:rFonts w:ascii="Arial" w:hAnsi="Arial" w:cs="Arial"/>
          <w:lang w:val="pt-PT" w:eastAsia="pt-BR"/>
        </w:rPr>
        <w:t xml:space="preserve"> e foco</w:t>
      </w:r>
      <w:r w:rsidR="009A72AE" w:rsidRPr="00030D4D">
        <w:rPr>
          <w:rFonts w:ascii="Arial" w:hAnsi="Arial" w:cs="Arial"/>
          <w:lang w:val="pt-PT" w:eastAsia="pt-BR"/>
        </w:rPr>
        <w:t xml:space="preserve"> nos setores de </w:t>
      </w:r>
      <w:r w:rsidR="00F03DB4" w:rsidRPr="00030D4D">
        <w:rPr>
          <w:rFonts w:ascii="Arial" w:hAnsi="Arial" w:cs="Arial"/>
          <w:lang w:val="pt-PT" w:eastAsia="pt-BR"/>
        </w:rPr>
        <w:t>t</w:t>
      </w:r>
      <w:r w:rsidR="009A72AE" w:rsidRPr="00030D4D">
        <w:rPr>
          <w:rFonts w:ascii="Arial" w:hAnsi="Arial" w:cs="Arial"/>
          <w:lang w:val="pt-PT" w:eastAsia="pt-BR"/>
        </w:rPr>
        <w:t xml:space="preserve">ecnologia de </w:t>
      </w:r>
      <w:r w:rsidR="00F03DB4" w:rsidRPr="00030D4D">
        <w:rPr>
          <w:rFonts w:ascii="Arial" w:hAnsi="Arial" w:cs="Arial"/>
          <w:lang w:val="pt-PT" w:eastAsia="pt-BR"/>
        </w:rPr>
        <w:t>i</w:t>
      </w:r>
      <w:r w:rsidR="009A72AE" w:rsidRPr="00030D4D">
        <w:rPr>
          <w:rFonts w:ascii="Arial" w:hAnsi="Arial" w:cs="Arial"/>
          <w:lang w:val="pt-PT" w:eastAsia="pt-BR"/>
        </w:rPr>
        <w:t xml:space="preserve">nformação e </w:t>
      </w:r>
      <w:r w:rsidR="00F03DB4" w:rsidRPr="00030D4D">
        <w:rPr>
          <w:rFonts w:ascii="Arial" w:hAnsi="Arial" w:cs="Arial"/>
          <w:lang w:val="pt-PT" w:eastAsia="pt-BR"/>
        </w:rPr>
        <w:t>comunicação, a</w:t>
      </w:r>
      <w:r w:rsidR="009A72AE" w:rsidRPr="00030D4D">
        <w:rPr>
          <w:rFonts w:ascii="Arial" w:hAnsi="Arial" w:cs="Arial"/>
          <w:lang w:val="pt-PT" w:eastAsia="pt-BR"/>
        </w:rPr>
        <w:t xml:space="preserve">gronegócios, </w:t>
      </w:r>
      <w:r w:rsidR="00F03DB4" w:rsidRPr="00030D4D">
        <w:rPr>
          <w:rFonts w:ascii="Arial" w:hAnsi="Arial" w:cs="Arial"/>
          <w:lang w:val="pt-PT" w:eastAsia="pt-BR"/>
        </w:rPr>
        <w:t>n</w:t>
      </w:r>
      <w:r w:rsidR="009A72AE" w:rsidRPr="00030D4D">
        <w:rPr>
          <w:rFonts w:ascii="Arial" w:hAnsi="Arial" w:cs="Arial"/>
          <w:lang w:val="pt-PT" w:eastAsia="pt-BR"/>
        </w:rPr>
        <w:t xml:space="preserve">anotecnologia, </w:t>
      </w:r>
      <w:r w:rsidR="00F03DB4" w:rsidRPr="00030D4D">
        <w:rPr>
          <w:rFonts w:ascii="Arial" w:hAnsi="Arial" w:cs="Arial"/>
          <w:lang w:val="pt-PT" w:eastAsia="pt-BR"/>
        </w:rPr>
        <w:t>b</w:t>
      </w:r>
      <w:r w:rsidR="009A72AE" w:rsidRPr="00030D4D">
        <w:rPr>
          <w:rFonts w:ascii="Arial" w:hAnsi="Arial" w:cs="Arial"/>
          <w:lang w:val="pt-PT" w:eastAsia="pt-BR"/>
        </w:rPr>
        <w:t xml:space="preserve">iotecnologia e </w:t>
      </w:r>
      <w:r w:rsidR="00F03DB4" w:rsidRPr="00030D4D">
        <w:rPr>
          <w:rFonts w:ascii="Arial" w:hAnsi="Arial" w:cs="Arial"/>
          <w:lang w:val="pt-PT" w:eastAsia="pt-BR"/>
        </w:rPr>
        <w:t>n</w:t>
      </w:r>
      <w:r w:rsidR="009A72AE" w:rsidRPr="00030D4D">
        <w:rPr>
          <w:rFonts w:ascii="Arial" w:hAnsi="Arial" w:cs="Arial"/>
          <w:lang w:val="pt-PT" w:eastAsia="pt-BR"/>
        </w:rPr>
        <w:t xml:space="preserve">ovos </w:t>
      </w:r>
      <w:r w:rsidR="00F03DB4" w:rsidRPr="00030D4D">
        <w:rPr>
          <w:rFonts w:ascii="Arial" w:hAnsi="Arial" w:cs="Arial"/>
          <w:lang w:val="pt-PT" w:eastAsia="pt-BR"/>
        </w:rPr>
        <w:t>m</w:t>
      </w:r>
      <w:r w:rsidR="009A72AE" w:rsidRPr="00030D4D">
        <w:rPr>
          <w:rFonts w:ascii="Arial" w:hAnsi="Arial" w:cs="Arial"/>
          <w:lang w:val="pt-PT" w:eastAsia="pt-BR"/>
        </w:rPr>
        <w:t>ateriais.</w:t>
      </w:r>
      <w:r w:rsidR="006B1B1F" w:rsidRPr="00030D4D">
        <w:rPr>
          <w:rFonts w:ascii="Arial" w:hAnsi="Arial" w:cs="Arial"/>
          <w:lang w:val="pt-PT" w:eastAsia="pt-BR"/>
        </w:rPr>
        <w:t xml:space="preserve"> Nes</w:t>
      </w:r>
      <w:r w:rsidR="009A72AE" w:rsidRPr="00030D4D">
        <w:rPr>
          <w:rFonts w:ascii="Arial" w:hAnsi="Arial" w:cs="Arial"/>
          <w:lang w:val="pt-PT" w:eastAsia="pt-BR"/>
        </w:rPr>
        <w:t>sa segunda</w:t>
      </w:r>
      <w:r w:rsidR="006B1B1F" w:rsidRPr="00030D4D">
        <w:rPr>
          <w:rFonts w:ascii="Arial" w:hAnsi="Arial" w:cs="Arial"/>
          <w:lang w:val="pt-PT" w:eastAsia="pt-BR"/>
        </w:rPr>
        <w:t xml:space="preserve"> edição, o Programa con</w:t>
      </w:r>
      <w:r w:rsidRPr="00030D4D">
        <w:rPr>
          <w:rFonts w:ascii="Arial" w:hAnsi="Arial" w:cs="Arial"/>
          <w:lang w:val="pt-PT" w:eastAsia="pt-BR"/>
        </w:rPr>
        <w:t>tou</w:t>
      </w:r>
      <w:r w:rsidR="006B1B1F" w:rsidRPr="00030D4D">
        <w:rPr>
          <w:rFonts w:ascii="Arial" w:hAnsi="Arial" w:cs="Arial"/>
          <w:lang w:val="pt-PT" w:eastAsia="pt-BR"/>
        </w:rPr>
        <w:t xml:space="preserve">, além da BNDESPar </w:t>
      </w:r>
      <w:r w:rsidR="00882A17" w:rsidRPr="00030D4D">
        <w:rPr>
          <w:rFonts w:ascii="Arial" w:hAnsi="Arial" w:cs="Arial"/>
          <w:lang w:val="pt-PT" w:eastAsia="pt-BR"/>
        </w:rPr>
        <w:t xml:space="preserve">(R$ 123,7 milhões) </w:t>
      </w:r>
      <w:r w:rsidR="006B1B1F" w:rsidRPr="00030D4D">
        <w:rPr>
          <w:rFonts w:ascii="Arial" w:hAnsi="Arial" w:cs="Arial"/>
          <w:lang w:val="pt-PT" w:eastAsia="pt-BR"/>
        </w:rPr>
        <w:t xml:space="preserve">e </w:t>
      </w:r>
      <w:r w:rsidR="00102E23" w:rsidRPr="00030D4D">
        <w:rPr>
          <w:rFonts w:ascii="Arial" w:hAnsi="Arial" w:cs="Arial"/>
          <w:lang w:val="pt-PT" w:eastAsia="pt-BR"/>
        </w:rPr>
        <w:t>do BNB</w:t>
      </w:r>
      <w:r w:rsidR="00882A17" w:rsidRPr="00030D4D">
        <w:rPr>
          <w:rFonts w:ascii="Arial" w:hAnsi="Arial" w:cs="Arial"/>
          <w:lang w:val="pt-PT" w:eastAsia="pt-BR"/>
        </w:rPr>
        <w:t xml:space="preserve"> (R$ 30 milhões)</w:t>
      </w:r>
      <w:r w:rsidR="006B1B1F" w:rsidRPr="00030D4D">
        <w:rPr>
          <w:rFonts w:ascii="Arial" w:hAnsi="Arial" w:cs="Arial"/>
          <w:lang w:val="pt-PT" w:eastAsia="pt-BR"/>
        </w:rPr>
        <w:t>, com</w:t>
      </w:r>
      <w:r w:rsidR="009A72AE" w:rsidRPr="00030D4D">
        <w:rPr>
          <w:rFonts w:ascii="Arial" w:hAnsi="Arial" w:cs="Arial"/>
          <w:lang w:val="pt-PT" w:eastAsia="pt-BR"/>
        </w:rPr>
        <w:t xml:space="preserve"> recursos do</w:t>
      </w:r>
      <w:r w:rsidR="00882A17" w:rsidRPr="00030D4D">
        <w:rPr>
          <w:rFonts w:ascii="Arial" w:hAnsi="Arial" w:cs="Arial"/>
          <w:lang w:val="pt-PT" w:eastAsia="pt-BR"/>
        </w:rPr>
        <w:t xml:space="preserve"> </w:t>
      </w:r>
      <w:r w:rsidR="00444CAA" w:rsidRPr="00030D4D">
        <w:rPr>
          <w:rFonts w:ascii="Arial" w:hAnsi="Arial" w:cs="Arial"/>
          <w:lang w:val="pt-PT" w:eastAsia="pt-BR"/>
        </w:rPr>
        <w:t xml:space="preserve">BDMG – </w:t>
      </w:r>
      <w:r w:rsidR="00882A17" w:rsidRPr="00030D4D">
        <w:rPr>
          <w:rFonts w:ascii="Arial" w:hAnsi="Arial" w:cs="Arial"/>
          <w:lang w:val="pt-PT" w:eastAsia="pt-BR"/>
        </w:rPr>
        <w:t>B</w:t>
      </w:r>
      <w:r w:rsidR="00F03DB4" w:rsidRPr="00030D4D">
        <w:rPr>
          <w:rFonts w:ascii="Arial" w:hAnsi="Arial" w:cs="Arial"/>
          <w:lang w:val="pt-PT" w:eastAsia="pt-BR"/>
        </w:rPr>
        <w:t>anco de Deseenvolvimento</w:t>
      </w:r>
      <w:r w:rsidR="00882A17" w:rsidRPr="00030D4D">
        <w:rPr>
          <w:rFonts w:ascii="Arial" w:hAnsi="Arial" w:cs="Arial"/>
          <w:lang w:val="pt-PT" w:eastAsia="pt-BR"/>
        </w:rPr>
        <w:t xml:space="preserve"> de Minas Gerais (R$ 10 milhões),  do B</w:t>
      </w:r>
      <w:r w:rsidR="00444CAA" w:rsidRPr="00030D4D">
        <w:rPr>
          <w:rFonts w:ascii="Arial" w:hAnsi="Arial" w:cs="Arial"/>
          <w:lang w:val="pt-PT" w:eastAsia="pt-BR"/>
        </w:rPr>
        <w:t>adesul (RS)</w:t>
      </w:r>
      <w:r w:rsidR="00882A17" w:rsidRPr="00030D4D">
        <w:rPr>
          <w:rFonts w:ascii="Arial" w:hAnsi="Arial" w:cs="Arial"/>
          <w:lang w:val="pt-PT" w:eastAsia="pt-BR"/>
        </w:rPr>
        <w:t xml:space="preserve"> (R$ 10 milhões),  </w:t>
      </w:r>
      <w:r w:rsidR="006B1B1F" w:rsidRPr="00030D4D">
        <w:rPr>
          <w:rFonts w:ascii="Arial" w:hAnsi="Arial" w:cs="Arial"/>
          <w:lang w:val="pt-PT" w:eastAsia="pt-BR"/>
        </w:rPr>
        <w:t xml:space="preserve">e </w:t>
      </w:r>
      <w:r w:rsidR="00882A17" w:rsidRPr="00030D4D">
        <w:rPr>
          <w:rFonts w:ascii="Arial" w:hAnsi="Arial" w:cs="Arial"/>
          <w:lang w:val="pt-PT" w:eastAsia="pt-BR"/>
        </w:rPr>
        <w:t>d</w:t>
      </w:r>
      <w:r w:rsidR="00444CAA" w:rsidRPr="00030D4D">
        <w:rPr>
          <w:rFonts w:ascii="Arial" w:hAnsi="Arial" w:cs="Arial"/>
          <w:lang w:val="pt-PT" w:eastAsia="pt-BR"/>
        </w:rPr>
        <w:t>o</w:t>
      </w:r>
      <w:r w:rsidR="006B1B1F" w:rsidRPr="00030D4D">
        <w:rPr>
          <w:rFonts w:ascii="Arial" w:hAnsi="Arial" w:cs="Arial"/>
          <w:lang w:val="pt-PT" w:eastAsia="pt-BR"/>
        </w:rPr>
        <w:t xml:space="preserve"> B</w:t>
      </w:r>
      <w:r w:rsidR="00444CAA" w:rsidRPr="00030D4D">
        <w:rPr>
          <w:rFonts w:ascii="Arial" w:hAnsi="Arial" w:cs="Arial"/>
          <w:lang w:val="pt-PT" w:eastAsia="pt-BR"/>
        </w:rPr>
        <w:t>RB – Banco</w:t>
      </w:r>
      <w:r w:rsidR="006B1B1F" w:rsidRPr="00030D4D">
        <w:rPr>
          <w:rFonts w:ascii="Arial" w:hAnsi="Arial" w:cs="Arial"/>
          <w:lang w:val="pt-PT" w:eastAsia="pt-BR"/>
        </w:rPr>
        <w:t xml:space="preserve"> de Brasília</w:t>
      </w:r>
      <w:r w:rsidR="00882A17" w:rsidRPr="00030D4D">
        <w:rPr>
          <w:rFonts w:ascii="Arial" w:hAnsi="Arial" w:cs="Arial"/>
          <w:lang w:val="pt-PT" w:eastAsia="pt-BR"/>
        </w:rPr>
        <w:t xml:space="preserve"> (R$ 10 milhões), assim como R$ 2,3 milhões da gestora Bozano Investimentos.</w:t>
      </w:r>
      <w:r w:rsidR="00733FFB" w:rsidRPr="00030D4D">
        <w:rPr>
          <w:rFonts w:ascii="Arial" w:hAnsi="Arial" w:cs="Arial"/>
          <w:lang w:val="pt-PT" w:eastAsia="pt-BR"/>
        </w:rPr>
        <w:t xml:space="preserve"> </w:t>
      </w:r>
      <w:r w:rsidR="00733FFB" w:rsidRPr="00030D4D">
        <w:rPr>
          <w:rFonts w:ascii="Arial" w:eastAsia="Times New Roman" w:hAnsi="Arial" w:cs="Arial"/>
          <w:color w:val="000000"/>
          <w:szCs w:val="24"/>
          <w:lang w:eastAsia="pt-BR"/>
        </w:rPr>
        <w:t>O Criatec I e o II não farão aportes em novas empresas. O primeiro já está encerrado e o segundo está em fase de investimentos, para os quais as empresas já foram selecionadas.</w:t>
      </w:r>
    </w:p>
    <w:p w:rsidR="00733FFB" w:rsidRPr="00030D4D" w:rsidRDefault="00444CAA" w:rsidP="00C34FA1">
      <w:pPr>
        <w:spacing w:before="0"/>
        <w:rPr>
          <w:rFonts w:ascii="Arial" w:hAnsi="Arial" w:cs="Arial"/>
        </w:rPr>
      </w:pPr>
      <w:r w:rsidRPr="00030D4D">
        <w:rPr>
          <w:rFonts w:ascii="Arial" w:hAnsi="Arial" w:cs="Arial"/>
          <w:lang w:val="pt-PT" w:eastAsia="pt-BR"/>
        </w:rPr>
        <w:t xml:space="preserve">O Criatec III </w:t>
      </w:r>
      <w:r w:rsidR="00EA1DAD" w:rsidRPr="00030D4D">
        <w:rPr>
          <w:rFonts w:ascii="Arial" w:hAnsi="Arial" w:cs="Arial"/>
          <w:lang w:val="pt-PT" w:eastAsia="pt-BR"/>
        </w:rPr>
        <w:t xml:space="preserve">foi lançado em </w:t>
      </w:r>
      <w:r w:rsidR="00D97774" w:rsidRPr="00030D4D">
        <w:rPr>
          <w:rFonts w:ascii="Arial" w:hAnsi="Arial" w:cs="Arial"/>
          <w:lang w:val="pt-PT" w:eastAsia="pt-BR"/>
        </w:rPr>
        <w:t xml:space="preserve">2014. Para este Fundo foi previsto um patrimônio comprometido de </w:t>
      </w:r>
      <w:r w:rsidR="00C422C0" w:rsidRPr="00030D4D">
        <w:rPr>
          <w:rFonts w:ascii="Arial" w:hAnsi="Arial" w:cs="Arial"/>
          <w:lang w:val="pt-PT" w:eastAsia="pt-BR"/>
        </w:rPr>
        <w:t xml:space="preserve">R$ 200 milhões. Manifestaram interesse de atuar como cotistas do </w:t>
      </w:r>
      <w:r w:rsidRPr="00030D4D">
        <w:rPr>
          <w:rFonts w:ascii="Arial" w:hAnsi="Arial" w:cs="Arial"/>
          <w:lang w:val="pt-PT" w:eastAsia="pt-BR"/>
        </w:rPr>
        <w:t>f</w:t>
      </w:r>
      <w:r w:rsidR="00C422C0" w:rsidRPr="00030D4D">
        <w:rPr>
          <w:rFonts w:ascii="Arial" w:hAnsi="Arial" w:cs="Arial"/>
          <w:lang w:val="pt-PT" w:eastAsia="pt-BR"/>
        </w:rPr>
        <w:t xml:space="preserve">undo juntamente com a </w:t>
      </w:r>
      <w:r w:rsidR="00D97774" w:rsidRPr="00030D4D">
        <w:rPr>
          <w:rFonts w:ascii="Arial" w:hAnsi="Arial" w:cs="Arial"/>
          <w:lang w:val="pt-PT" w:eastAsia="pt-BR"/>
        </w:rPr>
        <w:t>BNDESPAR</w:t>
      </w:r>
      <w:r w:rsidR="00C422C0" w:rsidRPr="00030D4D">
        <w:rPr>
          <w:rFonts w:ascii="Arial" w:hAnsi="Arial" w:cs="Arial"/>
          <w:lang w:val="pt-PT" w:eastAsia="pt-BR"/>
        </w:rPr>
        <w:t>:</w:t>
      </w:r>
      <w:r w:rsidR="00D97774" w:rsidRPr="00030D4D">
        <w:rPr>
          <w:rFonts w:ascii="Arial" w:hAnsi="Arial" w:cs="Arial"/>
          <w:lang w:val="pt-PT" w:eastAsia="pt-BR"/>
        </w:rPr>
        <w:t xml:space="preserve"> AFEAM (Agência de Fomento do Estado do Amazonas); BANDES (Banco de Des</w:t>
      </w:r>
      <w:r w:rsidRPr="00030D4D">
        <w:rPr>
          <w:rFonts w:ascii="Arial" w:hAnsi="Arial" w:cs="Arial"/>
          <w:lang w:val="pt-PT" w:eastAsia="pt-BR"/>
        </w:rPr>
        <w:t>envolvimento do Espirito Santo</w:t>
      </w:r>
      <w:r w:rsidR="00D97774" w:rsidRPr="00030D4D">
        <w:rPr>
          <w:rFonts w:ascii="Arial" w:hAnsi="Arial" w:cs="Arial"/>
          <w:lang w:val="pt-PT" w:eastAsia="pt-BR"/>
        </w:rPr>
        <w:t xml:space="preserve">); BDMG; BRDE (Banco Regional de Desenvolvimento do Extremo Sul); e </w:t>
      </w:r>
      <w:r w:rsidRPr="00030D4D">
        <w:rPr>
          <w:rFonts w:ascii="Arial" w:hAnsi="Arial" w:cs="Arial"/>
          <w:lang w:val="pt-PT" w:eastAsia="pt-BR"/>
        </w:rPr>
        <w:t xml:space="preserve">a </w:t>
      </w:r>
      <w:r w:rsidR="00D97774" w:rsidRPr="00030D4D">
        <w:rPr>
          <w:rFonts w:ascii="Arial" w:hAnsi="Arial" w:cs="Arial"/>
          <w:lang w:val="pt-PT" w:eastAsia="pt-BR"/>
        </w:rPr>
        <w:t>V</w:t>
      </w:r>
      <w:r w:rsidR="00506103" w:rsidRPr="00030D4D">
        <w:rPr>
          <w:rFonts w:ascii="Arial" w:hAnsi="Arial" w:cs="Arial"/>
          <w:lang w:val="pt-PT" w:eastAsia="pt-BR"/>
        </w:rPr>
        <w:t>alid, uma empresa privada</w:t>
      </w:r>
      <w:r w:rsidR="00D97774" w:rsidRPr="00030D4D">
        <w:rPr>
          <w:rFonts w:ascii="Arial" w:hAnsi="Arial" w:cs="Arial"/>
          <w:lang w:val="pt-PT" w:eastAsia="pt-BR"/>
        </w:rPr>
        <w:t>.</w:t>
      </w:r>
      <w:r w:rsidR="00D33941" w:rsidRPr="00030D4D">
        <w:rPr>
          <w:rFonts w:ascii="Arial" w:hAnsi="Arial" w:cs="Arial"/>
          <w:lang w:val="pt-PT" w:eastAsia="pt-BR"/>
        </w:rPr>
        <w:t xml:space="preserve"> A gestão está a cargo da</w:t>
      </w:r>
      <w:r w:rsidR="00473B27" w:rsidRPr="00030D4D">
        <w:rPr>
          <w:rFonts w:ascii="Arial" w:hAnsi="Arial" w:cs="Arial"/>
          <w:lang w:val="pt-PT" w:eastAsia="pt-BR"/>
        </w:rPr>
        <w:t xml:space="preserve"> Inseed Investimentos </w:t>
      </w:r>
      <w:r w:rsidRPr="00030D4D">
        <w:rPr>
          <w:rFonts w:ascii="Arial" w:hAnsi="Arial" w:cs="Arial"/>
          <w:lang w:val="pt-PT" w:eastAsia="pt-BR"/>
        </w:rPr>
        <w:t>e o fundo está aberto para</w:t>
      </w:r>
      <w:r w:rsidR="00473B27" w:rsidRPr="00030D4D">
        <w:rPr>
          <w:rFonts w:ascii="Arial" w:hAnsi="Arial" w:cs="Arial"/>
        </w:rPr>
        <w:t xml:space="preserve"> recebimento de propostas de novos negócios</w:t>
      </w:r>
      <w:r w:rsidR="00506103" w:rsidRPr="00030D4D">
        <w:rPr>
          <w:rFonts w:ascii="Arial" w:hAnsi="Arial" w:cs="Arial"/>
        </w:rPr>
        <w:t>.</w:t>
      </w:r>
    </w:p>
    <w:p w:rsidR="00185DF3" w:rsidRPr="00030D4D" w:rsidRDefault="00185DF3" w:rsidP="00C34FA1">
      <w:pPr>
        <w:spacing w:before="0"/>
        <w:rPr>
          <w:rFonts w:ascii="Arial" w:hAnsi="Arial" w:cs="Arial"/>
          <w:szCs w:val="24"/>
        </w:rPr>
      </w:pPr>
      <w:r w:rsidRPr="00030D4D">
        <w:rPr>
          <w:rFonts w:ascii="Arial" w:hAnsi="Arial" w:cs="Arial"/>
          <w:szCs w:val="24"/>
        </w:rPr>
        <w:t xml:space="preserve">O acesso </w:t>
      </w:r>
      <w:r w:rsidR="00084161" w:rsidRPr="00030D4D">
        <w:rPr>
          <w:rFonts w:ascii="Arial" w:hAnsi="Arial" w:cs="Arial"/>
          <w:szCs w:val="24"/>
        </w:rPr>
        <w:t>ao</w:t>
      </w:r>
      <w:r w:rsidR="00444CAA" w:rsidRPr="00030D4D">
        <w:rPr>
          <w:rFonts w:ascii="Arial" w:hAnsi="Arial" w:cs="Arial"/>
          <w:szCs w:val="24"/>
        </w:rPr>
        <w:t>s</w:t>
      </w:r>
      <w:r w:rsidR="00084161" w:rsidRPr="00030D4D">
        <w:rPr>
          <w:rFonts w:ascii="Arial" w:hAnsi="Arial" w:cs="Arial"/>
          <w:szCs w:val="24"/>
        </w:rPr>
        <w:t xml:space="preserve"> instrumento</w:t>
      </w:r>
      <w:r w:rsidR="00444CAA" w:rsidRPr="00030D4D">
        <w:rPr>
          <w:rFonts w:ascii="Arial" w:hAnsi="Arial" w:cs="Arial"/>
          <w:szCs w:val="24"/>
        </w:rPr>
        <w:t>s</w:t>
      </w:r>
      <w:r w:rsidR="00084161" w:rsidRPr="00030D4D">
        <w:rPr>
          <w:rFonts w:ascii="Arial" w:hAnsi="Arial" w:cs="Arial"/>
          <w:szCs w:val="24"/>
        </w:rPr>
        <w:t xml:space="preserve"> </w:t>
      </w:r>
      <w:r w:rsidR="00444CAA" w:rsidRPr="00030D4D">
        <w:rPr>
          <w:rFonts w:ascii="Arial" w:hAnsi="Arial" w:cs="Arial"/>
          <w:szCs w:val="24"/>
        </w:rPr>
        <w:t>de capital de risco</w:t>
      </w:r>
      <w:r w:rsidR="00084161" w:rsidRPr="00030D4D">
        <w:rPr>
          <w:rFonts w:ascii="Arial" w:hAnsi="Arial" w:cs="Arial"/>
          <w:szCs w:val="24"/>
        </w:rPr>
        <w:t xml:space="preserve"> é </w:t>
      </w:r>
      <w:r w:rsidR="00063D6E" w:rsidRPr="00030D4D">
        <w:rPr>
          <w:rFonts w:ascii="Arial" w:hAnsi="Arial" w:cs="Arial"/>
          <w:szCs w:val="24"/>
        </w:rPr>
        <w:t>possível</w:t>
      </w:r>
      <w:r w:rsidR="00444CAA" w:rsidRPr="00030D4D">
        <w:rPr>
          <w:rFonts w:ascii="Arial" w:hAnsi="Arial" w:cs="Arial"/>
          <w:szCs w:val="24"/>
        </w:rPr>
        <w:t>, portanto,</w:t>
      </w:r>
      <w:r w:rsidR="00063D6E" w:rsidRPr="00030D4D">
        <w:rPr>
          <w:rFonts w:ascii="Arial" w:hAnsi="Arial" w:cs="Arial"/>
          <w:szCs w:val="24"/>
        </w:rPr>
        <w:t xml:space="preserve"> por meio dos</w:t>
      </w:r>
      <w:r w:rsidR="00084161" w:rsidRPr="00030D4D">
        <w:rPr>
          <w:rFonts w:ascii="Arial" w:hAnsi="Arial" w:cs="Arial"/>
          <w:szCs w:val="24"/>
        </w:rPr>
        <w:t xml:space="preserve"> programas espec</w:t>
      </w:r>
      <w:r w:rsidR="00063D6E" w:rsidRPr="00030D4D">
        <w:rPr>
          <w:rFonts w:ascii="Arial" w:hAnsi="Arial" w:cs="Arial"/>
          <w:szCs w:val="24"/>
        </w:rPr>
        <w:t>íficos da Finep (Programa Inovar) e BNDES (Criatec)</w:t>
      </w:r>
      <w:r w:rsidR="00084161" w:rsidRPr="00030D4D">
        <w:rPr>
          <w:rFonts w:ascii="Arial" w:hAnsi="Arial" w:cs="Arial"/>
          <w:szCs w:val="24"/>
        </w:rPr>
        <w:t xml:space="preserve">. </w:t>
      </w:r>
      <w:r w:rsidR="00063D6E" w:rsidRPr="00030D4D">
        <w:rPr>
          <w:rFonts w:ascii="Arial" w:hAnsi="Arial" w:cs="Arial"/>
          <w:szCs w:val="24"/>
        </w:rPr>
        <w:t xml:space="preserve"> Essas agências costumam lançar</w:t>
      </w:r>
      <w:r w:rsidR="001802BE" w:rsidRPr="00030D4D">
        <w:rPr>
          <w:rFonts w:ascii="Arial" w:hAnsi="Arial" w:cs="Arial"/>
          <w:szCs w:val="24"/>
        </w:rPr>
        <w:t xml:space="preserve"> editais ou chamadas públicas para seleção dos </w:t>
      </w:r>
      <w:r w:rsidR="00444CAA" w:rsidRPr="00030D4D">
        <w:rPr>
          <w:rFonts w:ascii="Arial" w:hAnsi="Arial" w:cs="Arial"/>
          <w:szCs w:val="24"/>
        </w:rPr>
        <w:t>f</w:t>
      </w:r>
      <w:r w:rsidR="00F227B1" w:rsidRPr="00030D4D">
        <w:rPr>
          <w:rFonts w:ascii="Arial" w:hAnsi="Arial" w:cs="Arial"/>
          <w:szCs w:val="24"/>
        </w:rPr>
        <w:t>undos. N</w:t>
      </w:r>
      <w:r w:rsidR="001802BE" w:rsidRPr="00030D4D">
        <w:rPr>
          <w:rFonts w:ascii="Arial" w:hAnsi="Arial" w:cs="Arial"/>
          <w:szCs w:val="24"/>
        </w:rPr>
        <w:t xml:space="preserve">o caso </w:t>
      </w:r>
      <w:r w:rsidR="00063D6E" w:rsidRPr="00030D4D">
        <w:rPr>
          <w:rFonts w:ascii="Arial" w:hAnsi="Arial" w:cs="Arial"/>
          <w:szCs w:val="24"/>
        </w:rPr>
        <w:t>d</w:t>
      </w:r>
      <w:r w:rsidR="001802BE" w:rsidRPr="00030D4D">
        <w:rPr>
          <w:rFonts w:ascii="Arial" w:hAnsi="Arial" w:cs="Arial"/>
          <w:szCs w:val="24"/>
        </w:rPr>
        <w:t>o</w:t>
      </w:r>
      <w:r w:rsidR="00084161" w:rsidRPr="00030D4D">
        <w:rPr>
          <w:rFonts w:ascii="Arial" w:hAnsi="Arial" w:cs="Arial"/>
          <w:szCs w:val="24"/>
        </w:rPr>
        <w:t xml:space="preserve"> BNDES, </w:t>
      </w:r>
      <w:r w:rsidR="00F227B1" w:rsidRPr="00030D4D">
        <w:rPr>
          <w:rFonts w:ascii="Arial" w:hAnsi="Arial" w:cs="Arial"/>
          <w:szCs w:val="24"/>
        </w:rPr>
        <w:t xml:space="preserve">a seleção limita-se </w:t>
      </w:r>
      <w:r w:rsidR="00063D6E" w:rsidRPr="00030D4D">
        <w:rPr>
          <w:rFonts w:ascii="Arial" w:hAnsi="Arial" w:cs="Arial"/>
          <w:szCs w:val="24"/>
        </w:rPr>
        <w:t>a</w:t>
      </w:r>
      <w:r w:rsidR="00084161" w:rsidRPr="00030D4D">
        <w:rPr>
          <w:rFonts w:ascii="Arial" w:hAnsi="Arial" w:cs="Arial"/>
          <w:szCs w:val="24"/>
        </w:rPr>
        <w:t xml:space="preserve"> </w:t>
      </w:r>
      <w:r w:rsidR="001802BE" w:rsidRPr="00030D4D">
        <w:rPr>
          <w:rFonts w:ascii="Arial" w:hAnsi="Arial" w:cs="Arial"/>
          <w:szCs w:val="24"/>
        </w:rPr>
        <w:t xml:space="preserve">um </w:t>
      </w:r>
      <w:r w:rsidR="00444CAA" w:rsidRPr="00030D4D">
        <w:rPr>
          <w:rFonts w:ascii="Arial" w:hAnsi="Arial" w:cs="Arial"/>
          <w:szCs w:val="24"/>
        </w:rPr>
        <w:t>f</w:t>
      </w:r>
      <w:r w:rsidR="001802BE" w:rsidRPr="00030D4D">
        <w:rPr>
          <w:rFonts w:ascii="Arial" w:hAnsi="Arial" w:cs="Arial"/>
          <w:szCs w:val="24"/>
        </w:rPr>
        <w:t>undo</w:t>
      </w:r>
      <w:r w:rsidR="00084161" w:rsidRPr="00030D4D">
        <w:rPr>
          <w:rFonts w:ascii="Arial" w:hAnsi="Arial" w:cs="Arial"/>
          <w:szCs w:val="24"/>
        </w:rPr>
        <w:t xml:space="preserve"> </w:t>
      </w:r>
      <w:r w:rsidR="00506103" w:rsidRPr="00030D4D">
        <w:rPr>
          <w:rFonts w:ascii="Arial" w:hAnsi="Arial" w:cs="Arial"/>
          <w:szCs w:val="24"/>
        </w:rPr>
        <w:t>a</w:t>
      </w:r>
      <w:r w:rsidR="00084161" w:rsidRPr="00030D4D">
        <w:rPr>
          <w:rFonts w:ascii="Arial" w:hAnsi="Arial" w:cs="Arial"/>
          <w:szCs w:val="24"/>
        </w:rPr>
        <w:t xml:space="preserve"> cada ediç</w:t>
      </w:r>
      <w:r w:rsidR="00063D6E" w:rsidRPr="00030D4D">
        <w:rPr>
          <w:rFonts w:ascii="Arial" w:hAnsi="Arial" w:cs="Arial"/>
          <w:szCs w:val="24"/>
        </w:rPr>
        <w:t xml:space="preserve">ão do </w:t>
      </w:r>
      <w:r w:rsidR="00444CAA" w:rsidRPr="00030D4D">
        <w:rPr>
          <w:rFonts w:ascii="Arial" w:hAnsi="Arial" w:cs="Arial"/>
          <w:szCs w:val="24"/>
        </w:rPr>
        <w:t>p</w:t>
      </w:r>
      <w:r w:rsidR="00063D6E" w:rsidRPr="00030D4D">
        <w:rPr>
          <w:rFonts w:ascii="Arial" w:hAnsi="Arial" w:cs="Arial"/>
          <w:szCs w:val="24"/>
        </w:rPr>
        <w:t xml:space="preserve">rograma, cabendo aos gestores </w:t>
      </w:r>
      <w:r w:rsidR="00444CAA" w:rsidRPr="00030D4D">
        <w:rPr>
          <w:rFonts w:ascii="Arial" w:hAnsi="Arial" w:cs="Arial"/>
          <w:szCs w:val="24"/>
        </w:rPr>
        <w:t xml:space="preserve">dos fundos apoiados </w:t>
      </w:r>
      <w:r w:rsidR="00063D6E" w:rsidRPr="00030D4D">
        <w:rPr>
          <w:rFonts w:ascii="Arial" w:hAnsi="Arial" w:cs="Arial"/>
          <w:szCs w:val="24"/>
        </w:rPr>
        <w:t>a prospecção</w:t>
      </w:r>
      <w:r w:rsidR="00F227B1" w:rsidRPr="00030D4D">
        <w:rPr>
          <w:rFonts w:ascii="Arial" w:hAnsi="Arial" w:cs="Arial"/>
          <w:szCs w:val="24"/>
        </w:rPr>
        <w:t>,</w:t>
      </w:r>
      <w:r w:rsidR="00506103" w:rsidRPr="00030D4D">
        <w:rPr>
          <w:rFonts w:ascii="Arial" w:hAnsi="Arial" w:cs="Arial"/>
          <w:szCs w:val="24"/>
        </w:rPr>
        <w:t xml:space="preserve"> dentro de prazo específico</w:t>
      </w:r>
      <w:r w:rsidR="00F227B1" w:rsidRPr="00030D4D">
        <w:rPr>
          <w:rFonts w:ascii="Arial" w:hAnsi="Arial" w:cs="Arial"/>
          <w:szCs w:val="24"/>
        </w:rPr>
        <w:t>,</w:t>
      </w:r>
      <w:r w:rsidR="00063D6E" w:rsidRPr="00030D4D">
        <w:rPr>
          <w:rFonts w:ascii="Arial" w:hAnsi="Arial" w:cs="Arial"/>
          <w:szCs w:val="24"/>
        </w:rPr>
        <w:t xml:space="preserve"> d</w:t>
      </w:r>
      <w:r w:rsidR="00F227B1" w:rsidRPr="00030D4D">
        <w:rPr>
          <w:rFonts w:ascii="Arial" w:hAnsi="Arial" w:cs="Arial"/>
          <w:szCs w:val="24"/>
        </w:rPr>
        <w:t>os</w:t>
      </w:r>
      <w:r w:rsidR="00063D6E" w:rsidRPr="00030D4D">
        <w:rPr>
          <w:rFonts w:ascii="Arial" w:hAnsi="Arial" w:cs="Arial"/>
          <w:szCs w:val="24"/>
        </w:rPr>
        <w:t xml:space="preserve"> novos neg</w:t>
      </w:r>
      <w:r w:rsidR="00F91DA8" w:rsidRPr="00030D4D">
        <w:rPr>
          <w:rFonts w:ascii="Arial" w:hAnsi="Arial" w:cs="Arial"/>
          <w:szCs w:val="24"/>
        </w:rPr>
        <w:t xml:space="preserve">ócios </w:t>
      </w:r>
      <w:r w:rsidR="00F227B1" w:rsidRPr="00030D4D">
        <w:rPr>
          <w:rFonts w:ascii="Arial" w:hAnsi="Arial" w:cs="Arial"/>
          <w:szCs w:val="24"/>
        </w:rPr>
        <w:t>que receberão investimentos</w:t>
      </w:r>
      <w:r w:rsidR="002F4DBA" w:rsidRPr="00030D4D">
        <w:rPr>
          <w:rFonts w:ascii="Arial" w:hAnsi="Arial" w:cs="Arial"/>
          <w:szCs w:val="24"/>
        </w:rPr>
        <w:t>.</w:t>
      </w:r>
    </w:p>
    <w:p w:rsidR="003B1DA9" w:rsidRPr="00030D4D" w:rsidRDefault="00FE1A72" w:rsidP="00F227B1">
      <w:pPr>
        <w:rPr>
          <w:rFonts w:ascii="Arial" w:hAnsi="Arial" w:cs="Arial"/>
          <w:shd w:val="clear" w:color="auto" w:fill="FFFFFF"/>
        </w:rPr>
        <w:sectPr w:rsidR="003B1DA9" w:rsidRPr="00030D4D" w:rsidSect="005D5F6E">
          <w:pgSz w:w="11906" w:h="16838"/>
          <w:pgMar w:top="1417" w:right="1701" w:bottom="1417" w:left="1701" w:header="708" w:footer="708" w:gutter="0"/>
          <w:cols w:space="708"/>
          <w:docGrid w:linePitch="360"/>
        </w:sectPr>
      </w:pPr>
      <w:r w:rsidRPr="00030D4D">
        <w:rPr>
          <w:rFonts w:ascii="Arial" w:hAnsi="Arial" w:cs="Arial"/>
          <w:shd w:val="clear" w:color="auto" w:fill="FFFFFF"/>
        </w:rPr>
        <w:t xml:space="preserve">O Quadro 1.3 retrata a operação indireta por meio de fundos de investimento. Os parâmetros de investimentos via fundos da Finep são estabelecidos nos anexos das chamadas públicas. O investimento direto em empresas inovadoras consiste em promover operações de aquisição de participação societária em empresas instaladas no território nacional, visando a capitalização e o desenvolvimento de empresas inovadoras com alto potencial de crescimento e retorno.  </w:t>
      </w:r>
      <w:r w:rsidR="00506103" w:rsidRPr="00030D4D">
        <w:rPr>
          <w:rFonts w:ascii="Arial" w:hAnsi="Arial" w:cs="Arial"/>
          <w:shd w:val="clear" w:color="auto" w:fill="FFFFFF"/>
        </w:rPr>
        <w:t>Fóruns periódicos (</w:t>
      </w:r>
      <w:r w:rsidRPr="00030D4D">
        <w:rPr>
          <w:rFonts w:ascii="Arial" w:hAnsi="Arial" w:cs="Arial"/>
          <w:shd w:val="clear" w:color="auto" w:fill="FFFFFF"/>
        </w:rPr>
        <w:t xml:space="preserve">Venture </w:t>
      </w:r>
      <w:r w:rsidR="00506103" w:rsidRPr="00030D4D">
        <w:rPr>
          <w:rFonts w:ascii="Arial" w:hAnsi="Arial" w:cs="Arial"/>
          <w:shd w:val="clear" w:color="auto" w:fill="FFFFFF"/>
        </w:rPr>
        <w:t>Forum)</w:t>
      </w:r>
      <w:r w:rsidRPr="00030D4D">
        <w:rPr>
          <w:rFonts w:ascii="Arial" w:hAnsi="Arial" w:cs="Arial"/>
          <w:shd w:val="clear" w:color="auto" w:fill="FFFFFF"/>
        </w:rPr>
        <w:t xml:space="preserve"> são </w:t>
      </w:r>
      <w:r w:rsidR="00506103" w:rsidRPr="00030D4D">
        <w:rPr>
          <w:rFonts w:ascii="Arial" w:hAnsi="Arial" w:cs="Arial"/>
          <w:shd w:val="clear" w:color="auto" w:fill="FFFFFF"/>
        </w:rPr>
        <w:t>realizados para ampliar as</w:t>
      </w:r>
      <w:r w:rsidRPr="00030D4D">
        <w:rPr>
          <w:rFonts w:ascii="Arial" w:hAnsi="Arial" w:cs="Arial"/>
          <w:shd w:val="clear" w:color="auto" w:fill="FFFFFF"/>
        </w:rPr>
        <w:t xml:space="preserve"> possibilidades para negociações entre Finep, potenciais investidores e empreendedores. O BNDES tem uma estrutura um pouco distinta, cabendo ao gestor d</w:t>
      </w:r>
      <w:r w:rsidR="00F227B1" w:rsidRPr="00030D4D">
        <w:rPr>
          <w:rFonts w:ascii="Arial" w:hAnsi="Arial" w:cs="Arial"/>
          <w:shd w:val="clear" w:color="auto" w:fill="FFFFFF"/>
        </w:rPr>
        <w:t>e cada</w:t>
      </w:r>
      <w:r w:rsidRPr="00030D4D">
        <w:rPr>
          <w:rFonts w:ascii="Arial" w:hAnsi="Arial" w:cs="Arial"/>
          <w:shd w:val="clear" w:color="auto" w:fill="FFFFFF"/>
        </w:rPr>
        <w:t xml:space="preserve"> fundo fazer a pros</w:t>
      </w:r>
      <w:r w:rsidR="00F227B1" w:rsidRPr="00030D4D">
        <w:rPr>
          <w:rFonts w:ascii="Arial" w:hAnsi="Arial" w:cs="Arial"/>
          <w:shd w:val="clear" w:color="auto" w:fill="FFFFFF"/>
        </w:rPr>
        <w:t>pecção dos potenciais negócios.</w:t>
      </w:r>
    </w:p>
    <w:p w:rsidR="00A83B78" w:rsidRPr="00030D4D" w:rsidRDefault="00A83B78" w:rsidP="00A83B78">
      <w:pPr>
        <w:pStyle w:val="Caption"/>
        <w:rPr>
          <w:rFonts w:ascii="Arial" w:hAnsi="Arial" w:cs="Arial"/>
        </w:rPr>
      </w:pPr>
      <w:bookmarkStart w:id="21" w:name="_Toc482828527"/>
      <w:r w:rsidRPr="00030D4D">
        <w:rPr>
          <w:rFonts w:ascii="Arial" w:hAnsi="Arial" w:cs="Arial"/>
        </w:rPr>
        <w:t xml:space="preserve">Quadro </w:t>
      </w:r>
      <w:r w:rsidR="005271BC" w:rsidRPr="00030D4D">
        <w:rPr>
          <w:rFonts w:ascii="Arial" w:hAnsi="Arial" w:cs="Arial"/>
        </w:rPr>
        <w:fldChar w:fldCharType="begin"/>
      </w:r>
      <w:r w:rsidR="005271BC" w:rsidRPr="00030D4D">
        <w:rPr>
          <w:rFonts w:ascii="Arial" w:hAnsi="Arial" w:cs="Arial"/>
        </w:rPr>
        <w:instrText xml:space="preserve"> SEQ Quadro \* ARABIC </w:instrText>
      </w:r>
      <w:r w:rsidR="005271BC" w:rsidRPr="00030D4D">
        <w:rPr>
          <w:rFonts w:ascii="Arial" w:hAnsi="Arial" w:cs="Arial"/>
        </w:rPr>
        <w:fldChar w:fldCharType="separate"/>
      </w:r>
      <w:r w:rsidR="003B5B0C" w:rsidRPr="00030D4D">
        <w:rPr>
          <w:rFonts w:ascii="Arial" w:hAnsi="Arial" w:cs="Arial"/>
          <w:noProof/>
        </w:rPr>
        <w:t>6</w:t>
      </w:r>
      <w:r w:rsidR="005271BC" w:rsidRPr="00030D4D">
        <w:rPr>
          <w:rFonts w:ascii="Arial" w:hAnsi="Arial" w:cs="Arial"/>
          <w:noProof/>
        </w:rPr>
        <w:fldChar w:fldCharType="end"/>
      </w:r>
      <w:r w:rsidRPr="00030D4D">
        <w:rPr>
          <w:rFonts w:ascii="Arial" w:hAnsi="Arial" w:cs="Arial"/>
        </w:rPr>
        <w:t>. Descrição de Linhas de Capital de Risco para Fomento à Inovação</w:t>
      </w:r>
      <w:bookmarkEnd w:id="21"/>
    </w:p>
    <w:tbl>
      <w:tblPr>
        <w:tblStyle w:val="GridTable4-Accent6"/>
        <w:tblW w:w="9098" w:type="dxa"/>
        <w:tblLook w:val="04A0" w:firstRow="1" w:lastRow="0" w:firstColumn="1" w:lastColumn="0" w:noHBand="0" w:noVBand="1"/>
      </w:tblPr>
      <w:tblGrid>
        <w:gridCol w:w="1754"/>
        <w:gridCol w:w="1834"/>
        <w:gridCol w:w="1834"/>
        <w:gridCol w:w="2084"/>
        <w:gridCol w:w="2055"/>
      </w:tblGrid>
      <w:tr w:rsidR="008A5359" w:rsidRPr="00030D4D" w:rsidTr="0045023B">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785" w:type="dxa"/>
            <w:hideMark/>
          </w:tcPr>
          <w:p w:rsidR="008A5359" w:rsidRPr="00030D4D" w:rsidRDefault="006565B0" w:rsidP="00334F2D">
            <w:pPr>
              <w:spacing w:before="0" w:after="0" w:line="240" w:lineRule="auto"/>
              <w:jc w:val="center"/>
              <w:rPr>
                <w:rFonts w:ascii="Arial" w:eastAsia="Times New Roman" w:hAnsi="Arial" w:cs="Arial"/>
                <w:bCs w:val="0"/>
                <w:sz w:val="18"/>
                <w:szCs w:val="18"/>
                <w:lang w:eastAsia="pt-BR"/>
              </w:rPr>
            </w:pPr>
            <w:r w:rsidRPr="00030D4D">
              <w:rPr>
                <w:rFonts w:ascii="Arial" w:eastAsia="Times New Roman" w:hAnsi="Arial" w:cs="Arial"/>
                <w:bCs w:val="0"/>
                <w:sz w:val="18"/>
                <w:szCs w:val="18"/>
                <w:lang w:eastAsia="pt-BR"/>
              </w:rPr>
              <w:t>Características</w:t>
            </w:r>
          </w:p>
        </w:tc>
        <w:tc>
          <w:tcPr>
            <w:tcW w:w="1775" w:type="dxa"/>
            <w:hideMark/>
          </w:tcPr>
          <w:p w:rsidR="008A5359" w:rsidRPr="00030D4D" w:rsidRDefault="008A5359" w:rsidP="00334F2D">
            <w:pPr>
              <w:spacing w:before="0" w:after="0" w:line="240" w:lineRule="auto"/>
              <w:ind w:right="567"/>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18"/>
                <w:szCs w:val="18"/>
                <w:lang w:eastAsia="pt-BR"/>
              </w:rPr>
            </w:pPr>
            <w:r w:rsidRPr="00030D4D">
              <w:rPr>
                <w:rFonts w:ascii="Arial" w:eastAsia="Times New Roman" w:hAnsi="Arial" w:cs="Arial"/>
                <w:bCs w:val="0"/>
                <w:sz w:val="18"/>
                <w:szCs w:val="18"/>
                <w:lang w:eastAsia="pt-BR"/>
              </w:rPr>
              <w:t>Seed Capital</w:t>
            </w:r>
          </w:p>
        </w:tc>
        <w:tc>
          <w:tcPr>
            <w:tcW w:w="1775" w:type="dxa"/>
            <w:hideMark/>
          </w:tcPr>
          <w:p w:rsidR="008A5359" w:rsidRPr="00030D4D" w:rsidRDefault="008A5359" w:rsidP="00334F2D">
            <w:pPr>
              <w:spacing w:before="0" w:after="0" w:line="240" w:lineRule="auto"/>
              <w:ind w:right="567"/>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18"/>
                <w:szCs w:val="18"/>
                <w:lang w:eastAsia="pt-BR"/>
              </w:rPr>
            </w:pPr>
            <w:r w:rsidRPr="00030D4D">
              <w:rPr>
                <w:rFonts w:ascii="Arial" w:eastAsia="Times New Roman" w:hAnsi="Arial" w:cs="Arial"/>
                <w:bCs w:val="0"/>
                <w:sz w:val="18"/>
                <w:szCs w:val="18"/>
                <w:lang w:eastAsia="pt-BR"/>
              </w:rPr>
              <w:t>Venture Capital</w:t>
            </w:r>
          </w:p>
        </w:tc>
        <w:tc>
          <w:tcPr>
            <w:tcW w:w="1896" w:type="dxa"/>
            <w:hideMark/>
          </w:tcPr>
          <w:p w:rsidR="008A5359" w:rsidRPr="00030D4D" w:rsidRDefault="008A5359" w:rsidP="00334F2D">
            <w:pPr>
              <w:spacing w:before="0" w:after="0" w:line="240" w:lineRule="auto"/>
              <w:ind w:right="567"/>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18"/>
                <w:szCs w:val="18"/>
                <w:lang w:eastAsia="pt-BR"/>
              </w:rPr>
            </w:pPr>
            <w:r w:rsidRPr="00030D4D">
              <w:rPr>
                <w:rFonts w:ascii="Arial" w:eastAsia="Times New Roman" w:hAnsi="Arial" w:cs="Arial"/>
                <w:bCs w:val="0"/>
                <w:sz w:val="18"/>
                <w:szCs w:val="18"/>
                <w:lang w:eastAsia="pt-BR"/>
              </w:rPr>
              <w:t>Private Equity</w:t>
            </w:r>
          </w:p>
        </w:tc>
        <w:tc>
          <w:tcPr>
            <w:tcW w:w="1867" w:type="dxa"/>
            <w:hideMark/>
          </w:tcPr>
          <w:p w:rsidR="008A5359" w:rsidRPr="00030D4D" w:rsidRDefault="008A5359" w:rsidP="00334F2D">
            <w:pPr>
              <w:spacing w:before="0" w:after="0" w:line="240" w:lineRule="auto"/>
              <w:ind w:right="567"/>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18"/>
                <w:szCs w:val="18"/>
                <w:lang w:eastAsia="pt-BR"/>
              </w:rPr>
            </w:pPr>
            <w:r w:rsidRPr="00030D4D">
              <w:rPr>
                <w:rFonts w:ascii="Arial" w:eastAsia="Times New Roman" w:hAnsi="Arial" w:cs="Arial"/>
                <w:bCs w:val="0"/>
                <w:sz w:val="18"/>
                <w:szCs w:val="18"/>
                <w:lang w:eastAsia="pt-BR"/>
              </w:rPr>
              <w:t>Criatec III (*)</w:t>
            </w:r>
          </w:p>
        </w:tc>
      </w:tr>
      <w:tr w:rsidR="008A252F" w:rsidRPr="00030D4D" w:rsidTr="0045023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785" w:type="dxa"/>
            <w:hideMark/>
          </w:tcPr>
          <w:p w:rsidR="008A5359" w:rsidRPr="00030D4D" w:rsidRDefault="008A5359" w:rsidP="00334F2D">
            <w:pPr>
              <w:spacing w:before="0" w:after="0" w:line="240" w:lineRule="auto"/>
              <w:jc w:val="center"/>
              <w:rPr>
                <w:rFonts w:ascii="Arial" w:eastAsia="Times New Roman" w:hAnsi="Arial" w:cs="Arial"/>
                <w:sz w:val="18"/>
                <w:szCs w:val="18"/>
                <w:lang w:eastAsia="pt-BR"/>
              </w:rPr>
            </w:pPr>
            <w:r w:rsidRPr="00030D4D">
              <w:rPr>
                <w:rFonts w:ascii="Arial" w:eastAsia="Times New Roman" w:hAnsi="Arial" w:cs="Arial"/>
                <w:sz w:val="18"/>
                <w:szCs w:val="18"/>
                <w:lang w:eastAsia="pt-BR"/>
              </w:rPr>
              <w:t>Instituição</w:t>
            </w:r>
          </w:p>
        </w:tc>
        <w:tc>
          <w:tcPr>
            <w:tcW w:w="1775" w:type="dxa"/>
            <w:hideMark/>
          </w:tcPr>
          <w:p w:rsidR="008A5359" w:rsidRPr="00030D4D" w:rsidRDefault="008A5359" w:rsidP="00334F2D">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t-BR"/>
              </w:rPr>
            </w:pPr>
            <w:r w:rsidRPr="00030D4D">
              <w:rPr>
                <w:rFonts w:ascii="Arial" w:eastAsia="Times New Roman" w:hAnsi="Arial" w:cs="Arial"/>
                <w:b/>
                <w:sz w:val="18"/>
                <w:szCs w:val="18"/>
                <w:lang w:eastAsia="pt-BR"/>
              </w:rPr>
              <w:t>Finep</w:t>
            </w:r>
          </w:p>
        </w:tc>
        <w:tc>
          <w:tcPr>
            <w:tcW w:w="1775" w:type="dxa"/>
            <w:hideMark/>
          </w:tcPr>
          <w:p w:rsidR="008A5359" w:rsidRPr="00030D4D" w:rsidRDefault="008A5359" w:rsidP="00334F2D">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t-BR"/>
              </w:rPr>
            </w:pPr>
            <w:r w:rsidRPr="00030D4D">
              <w:rPr>
                <w:rFonts w:ascii="Arial" w:eastAsia="Times New Roman" w:hAnsi="Arial" w:cs="Arial"/>
                <w:b/>
                <w:sz w:val="18"/>
                <w:szCs w:val="18"/>
                <w:lang w:eastAsia="pt-BR"/>
              </w:rPr>
              <w:t>Finep</w:t>
            </w:r>
          </w:p>
        </w:tc>
        <w:tc>
          <w:tcPr>
            <w:tcW w:w="1896" w:type="dxa"/>
            <w:hideMark/>
          </w:tcPr>
          <w:p w:rsidR="008A5359" w:rsidRPr="00030D4D" w:rsidRDefault="008A5359" w:rsidP="00334F2D">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t-BR"/>
              </w:rPr>
            </w:pPr>
            <w:r w:rsidRPr="00030D4D">
              <w:rPr>
                <w:rFonts w:ascii="Arial" w:eastAsia="Times New Roman" w:hAnsi="Arial" w:cs="Arial"/>
                <w:b/>
                <w:sz w:val="18"/>
                <w:szCs w:val="18"/>
                <w:lang w:eastAsia="pt-BR"/>
              </w:rPr>
              <w:t>Finep</w:t>
            </w:r>
          </w:p>
        </w:tc>
        <w:tc>
          <w:tcPr>
            <w:tcW w:w="1867" w:type="dxa"/>
            <w:hideMark/>
          </w:tcPr>
          <w:p w:rsidR="008A5359" w:rsidRPr="00030D4D" w:rsidRDefault="008A5359" w:rsidP="00334F2D">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t-BR"/>
              </w:rPr>
            </w:pPr>
            <w:r w:rsidRPr="00030D4D">
              <w:rPr>
                <w:rFonts w:ascii="Arial" w:eastAsia="Times New Roman" w:hAnsi="Arial" w:cs="Arial"/>
                <w:b/>
                <w:sz w:val="18"/>
                <w:szCs w:val="18"/>
                <w:lang w:eastAsia="pt-BR"/>
              </w:rPr>
              <w:t>BNDES</w:t>
            </w:r>
          </w:p>
        </w:tc>
      </w:tr>
      <w:tr w:rsidR="008A5359" w:rsidRPr="00030D4D" w:rsidTr="0045023B">
        <w:trPr>
          <w:trHeight w:val="2597"/>
        </w:trPr>
        <w:tc>
          <w:tcPr>
            <w:cnfStyle w:val="001000000000" w:firstRow="0" w:lastRow="0" w:firstColumn="1" w:lastColumn="0" w:oddVBand="0" w:evenVBand="0" w:oddHBand="0" w:evenHBand="0" w:firstRowFirstColumn="0" w:firstRowLastColumn="0" w:lastRowFirstColumn="0" w:lastRowLastColumn="0"/>
            <w:tcW w:w="1785" w:type="dxa"/>
            <w:hideMark/>
          </w:tcPr>
          <w:p w:rsidR="008A5359" w:rsidRPr="00030D4D" w:rsidRDefault="008A5359" w:rsidP="008A252F">
            <w:pPr>
              <w:spacing w:before="0" w:after="0" w:line="240" w:lineRule="auto"/>
              <w:ind w:right="567"/>
              <w:jc w:val="left"/>
              <w:rPr>
                <w:rFonts w:ascii="Arial" w:eastAsia="Times New Roman" w:hAnsi="Arial" w:cs="Arial"/>
                <w:b w:val="0"/>
                <w:color w:val="000000"/>
                <w:sz w:val="18"/>
                <w:szCs w:val="18"/>
                <w:lang w:eastAsia="pt-BR"/>
              </w:rPr>
            </w:pPr>
            <w:r w:rsidRPr="00030D4D">
              <w:rPr>
                <w:rFonts w:ascii="Arial" w:eastAsia="Times New Roman" w:hAnsi="Arial" w:cs="Arial"/>
                <w:b w:val="0"/>
                <w:color w:val="000000"/>
                <w:sz w:val="18"/>
                <w:szCs w:val="18"/>
                <w:lang w:eastAsia="pt-BR"/>
              </w:rPr>
              <w:t>Institu</w:t>
            </w:r>
            <w:r w:rsidR="003B1DA9" w:rsidRPr="00030D4D">
              <w:rPr>
                <w:rFonts w:ascii="Arial" w:eastAsia="Times New Roman" w:hAnsi="Arial" w:cs="Arial"/>
                <w:b w:val="0"/>
                <w:color w:val="000000"/>
                <w:sz w:val="18"/>
                <w:szCs w:val="18"/>
                <w:lang w:eastAsia="pt-BR"/>
              </w:rPr>
              <w:t>ição responsável pela operação</w:t>
            </w:r>
          </w:p>
        </w:tc>
        <w:tc>
          <w:tcPr>
            <w:tcW w:w="1775"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Fundos Múltiplos de Investimento em Empresas Emergentes (FMIEE). Os fundos selecionarão as empresas da carteira</w:t>
            </w:r>
          </w:p>
        </w:tc>
        <w:tc>
          <w:tcPr>
            <w:tcW w:w="1775"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Fundos de Investimento (FMIEE) e S/As capitalizadas por meio de Fundos FIP (apoio direto Finep)</w:t>
            </w:r>
          </w:p>
        </w:tc>
        <w:tc>
          <w:tcPr>
            <w:tcW w:w="1896"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Fundos de Investimento (FMIEE) e S/As capitalizadas por meio de Fundos de Investimento em Participação (FIP), correspondendo a uma forma de apoio direto Finep</w:t>
            </w:r>
          </w:p>
        </w:tc>
        <w:tc>
          <w:tcPr>
            <w:tcW w:w="1867"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Fundo de Investimento em Participações (FIP)</w:t>
            </w:r>
          </w:p>
        </w:tc>
      </w:tr>
      <w:tr w:rsidR="008A5359" w:rsidRPr="00030D4D" w:rsidTr="0045023B">
        <w:trPr>
          <w:cnfStyle w:val="000000100000" w:firstRow="0" w:lastRow="0" w:firstColumn="0" w:lastColumn="0" w:oddVBand="0" w:evenVBand="0" w:oddHBand="1" w:evenHBand="0" w:firstRowFirstColumn="0" w:firstRowLastColumn="0" w:lastRowFirstColumn="0" w:lastRowLastColumn="0"/>
          <w:trHeight w:val="1896"/>
        </w:trPr>
        <w:tc>
          <w:tcPr>
            <w:cnfStyle w:val="001000000000" w:firstRow="0" w:lastRow="0" w:firstColumn="1" w:lastColumn="0" w:oddVBand="0" w:evenVBand="0" w:oddHBand="0" w:evenHBand="0" w:firstRowFirstColumn="0" w:firstRowLastColumn="0" w:lastRowFirstColumn="0" w:lastRowLastColumn="0"/>
            <w:tcW w:w="1785" w:type="dxa"/>
            <w:hideMark/>
          </w:tcPr>
          <w:p w:rsidR="008A5359" w:rsidRPr="00030D4D" w:rsidRDefault="008A5359" w:rsidP="008A252F">
            <w:pPr>
              <w:spacing w:before="0" w:after="0" w:line="240" w:lineRule="auto"/>
              <w:ind w:right="567"/>
              <w:jc w:val="left"/>
              <w:rPr>
                <w:rFonts w:ascii="Arial" w:eastAsia="Times New Roman" w:hAnsi="Arial" w:cs="Arial"/>
                <w:b w:val="0"/>
                <w:color w:val="000000"/>
                <w:sz w:val="18"/>
                <w:szCs w:val="18"/>
                <w:lang w:eastAsia="pt-BR"/>
              </w:rPr>
            </w:pPr>
            <w:r w:rsidRPr="00030D4D">
              <w:rPr>
                <w:rFonts w:ascii="Arial" w:eastAsia="Times New Roman" w:hAnsi="Arial" w:cs="Arial"/>
                <w:b w:val="0"/>
                <w:color w:val="000000"/>
                <w:sz w:val="18"/>
                <w:szCs w:val="18"/>
                <w:lang w:eastAsia="pt-BR"/>
              </w:rPr>
              <w:t>Etapa do negócio</w:t>
            </w:r>
          </w:p>
        </w:tc>
        <w:tc>
          <w:tcPr>
            <w:tcW w:w="1775"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Fase semente</w:t>
            </w:r>
          </w:p>
        </w:tc>
        <w:tc>
          <w:tcPr>
            <w:tcW w:w="1775"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Empresas </w:t>
            </w:r>
            <w:r w:rsidR="00F227B1" w:rsidRPr="00030D4D">
              <w:rPr>
                <w:rFonts w:ascii="Arial" w:eastAsia="Times New Roman" w:hAnsi="Arial" w:cs="Arial"/>
                <w:color w:val="000000"/>
                <w:sz w:val="18"/>
                <w:szCs w:val="18"/>
                <w:lang w:eastAsia="pt-BR"/>
              </w:rPr>
              <w:t>e</w:t>
            </w:r>
            <w:r w:rsidRPr="00030D4D">
              <w:rPr>
                <w:rFonts w:ascii="Arial" w:eastAsia="Times New Roman" w:hAnsi="Arial" w:cs="Arial"/>
                <w:color w:val="000000"/>
                <w:sz w:val="18"/>
                <w:szCs w:val="18"/>
                <w:lang w:eastAsia="pt-BR"/>
              </w:rPr>
              <w:t>mergentes</w:t>
            </w:r>
          </w:p>
        </w:tc>
        <w:tc>
          <w:tcPr>
            <w:tcW w:w="1896"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Expansão e consolidação</w:t>
            </w:r>
          </w:p>
        </w:tc>
        <w:tc>
          <w:tcPr>
            <w:tcW w:w="1867"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 xml:space="preserve">Empresas inovadoras com receita operacional líquida anual de até R$ 12 milhões dos setores de </w:t>
            </w:r>
            <w:r w:rsidR="00506103" w:rsidRPr="00030D4D">
              <w:rPr>
                <w:rFonts w:ascii="Arial" w:eastAsia="Times New Roman" w:hAnsi="Arial" w:cs="Arial"/>
                <w:color w:val="000000"/>
                <w:sz w:val="18"/>
                <w:szCs w:val="18"/>
                <w:lang w:eastAsia="pt-BR"/>
              </w:rPr>
              <w:t>TIC, a</w:t>
            </w:r>
            <w:r w:rsidRPr="00030D4D">
              <w:rPr>
                <w:rFonts w:ascii="Arial" w:eastAsia="Times New Roman" w:hAnsi="Arial" w:cs="Arial"/>
                <w:color w:val="000000"/>
                <w:sz w:val="18"/>
                <w:szCs w:val="18"/>
                <w:lang w:eastAsia="pt-BR"/>
              </w:rPr>
              <w:t xml:space="preserve">gronegócios, </w:t>
            </w:r>
            <w:r w:rsidR="00506103" w:rsidRPr="00030D4D">
              <w:rPr>
                <w:rFonts w:ascii="Arial" w:eastAsia="Times New Roman" w:hAnsi="Arial" w:cs="Arial"/>
                <w:color w:val="000000"/>
                <w:sz w:val="18"/>
                <w:szCs w:val="18"/>
                <w:lang w:eastAsia="pt-BR"/>
              </w:rPr>
              <w:t>n</w:t>
            </w:r>
            <w:r w:rsidRPr="00030D4D">
              <w:rPr>
                <w:rFonts w:ascii="Arial" w:eastAsia="Times New Roman" w:hAnsi="Arial" w:cs="Arial"/>
                <w:color w:val="000000"/>
                <w:sz w:val="18"/>
                <w:szCs w:val="18"/>
                <w:lang w:eastAsia="pt-BR"/>
              </w:rPr>
              <w:t xml:space="preserve">anotecnologia, </w:t>
            </w:r>
            <w:r w:rsidR="00506103" w:rsidRPr="00030D4D">
              <w:rPr>
                <w:rFonts w:ascii="Arial" w:eastAsia="Times New Roman" w:hAnsi="Arial" w:cs="Arial"/>
                <w:color w:val="000000"/>
                <w:sz w:val="18"/>
                <w:szCs w:val="18"/>
                <w:lang w:eastAsia="pt-BR"/>
              </w:rPr>
              <w:t>b</w:t>
            </w:r>
            <w:r w:rsidRPr="00030D4D">
              <w:rPr>
                <w:rFonts w:ascii="Arial" w:eastAsia="Times New Roman" w:hAnsi="Arial" w:cs="Arial"/>
                <w:color w:val="000000"/>
                <w:sz w:val="18"/>
                <w:szCs w:val="18"/>
                <w:lang w:eastAsia="pt-BR"/>
              </w:rPr>
              <w:t xml:space="preserve">iotecnologia e </w:t>
            </w:r>
            <w:r w:rsidR="00506103" w:rsidRPr="00030D4D">
              <w:rPr>
                <w:rFonts w:ascii="Arial" w:eastAsia="Times New Roman" w:hAnsi="Arial" w:cs="Arial"/>
                <w:color w:val="000000"/>
                <w:sz w:val="18"/>
                <w:szCs w:val="18"/>
                <w:lang w:eastAsia="pt-BR"/>
              </w:rPr>
              <w:t>n</w:t>
            </w:r>
            <w:r w:rsidRPr="00030D4D">
              <w:rPr>
                <w:rFonts w:ascii="Arial" w:eastAsia="Times New Roman" w:hAnsi="Arial" w:cs="Arial"/>
                <w:color w:val="000000"/>
                <w:sz w:val="18"/>
                <w:szCs w:val="18"/>
                <w:lang w:eastAsia="pt-BR"/>
              </w:rPr>
              <w:t xml:space="preserve">ovos </w:t>
            </w:r>
            <w:r w:rsidR="00506103" w:rsidRPr="00030D4D">
              <w:rPr>
                <w:rFonts w:ascii="Arial" w:eastAsia="Times New Roman" w:hAnsi="Arial" w:cs="Arial"/>
                <w:color w:val="000000"/>
                <w:sz w:val="18"/>
                <w:szCs w:val="18"/>
                <w:lang w:eastAsia="pt-BR"/>
              </w:rPr>
              <w:t>materiais</w:t>
            </w:r>
          </w:p>
        </w:tc>
      </w:tr>
      <w:tr w:rsidR="008A5359" w:rsidRPr="00030D4D" w:rsidTr="0045023B">
        <w:trPr>
          <w:trHeight w:val="762"/>
        </w:trPr>
        <w:tc>
          <w:tcPr>
            <w:cnfStyle w:val="001000000000" w:firstRow="0" w:lastRow="0" w:firstColumn="1" w:lastColumn="0" w:oddVBand="0" w:evenVBand="0" w:oddHBand="0" w:evenHBand="0" w:firstRowFirstColumn="0" w:firstRowLastColumn="0" w:lastRowFirstColumn="0" w:lastRowLastColumn="0"/>
            <w:tcW w:w="1785" w:type="dxa"/>
            <w:hideMark/>
          </w:tcPr>
          <w:p w:rsidR="008A5359" w:rsidRPr="00030D4D" w:rsidRDefault="008A5359" w:rsidP="008A252F">
            <w:pPr>
              <w:spacing w:before="0" w:after="0" w:line="240" w:lineRule="auto"/>
              <w:ind w:right="567"/>
              <w:jc w:val="left"/>
              <w:rPr>
                <w:rFonts w:ascii="Arial" w:eastAsia="Times New Roman" w:hAnsi="Arial" w:cs="Arial"/>
                <w:b w:val="0"/>
                <w:color w:val="000000"/>
                <w:sz w:val="18"/>
                <w:szCs w:val="18"/>
                <w:lang w:eastAsia="pt-BR"/>
              </w:rPr>
            </w:pPr>
            <w:r w:rsidRPr="00030D4D">
              <w:rPr>
                <w:rFonts w:ascii="Arial" w:eastAsia="Times New Roman" w:hAnsi="Arial" w:cs="Arial"/>
                <w:b w:val="0"/>
                <w:color w:val="000000"/>
                <w:sz w:val="18"/>
                <w:szCs w:val="18"/>
                <w:lang w:eastAsia="pt-BR"/>
              </w:rPr>
              <w:t>Usuários elegíveis</w:t>
            </w:r>
          </w:p>
        </w:tc>
        <w:tc>
          <w:tcPr>
            <w:tcW w:w="1775"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Sociedades anônimas de capital fechado; sociedades limitadas</w:t>
            </w:r>
          </w:p>
        </w:tc>
        <w:tc>
          <w:tcPr>
            <w:tcW w:w="1775"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Sociedades anônimas de capital fechado; sociedades limitadas</w:t>
            </w:r>
          </w:p>
        </w:tc>
        <w:tc>
          <w:tcPr>
            <w:tcW w:w="1896"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 xml:space="preserve">Sociedades </w:t>
            </w:r>
            <w:r w:rsidR="00506103" w:rsidRPr="00030D4D">
              <w:rPr>
                <w:rFonts w:ascii="Arial" w:eastAsia="Times New Roman" w:hAnsi="Arial" w:cs="Arial"/>
                <w:sz w:val="18"/>
                <w:szCs w:val="18"/>
                <w:lang w:eastAsia="pt-BR"/>
              </w:rPr>
              <w:t>a</w:t>
            </w:r>
            <w:r w:rsidRPr="00030D4D">
              <w:rPr>
                <w:rFonts w:ascii="Arial" w:eastAsia="Times New Roman" w:hAnsi="Arial" w:cs="Arial"/>
                <w:sz w:val="18"/>
                <w:szCs w:val="18"/>
                <w:lang w:eastAsia="pt-BR"/>
              </w:rPr>
              <w:t>nônimas de capital fechado ou aberto</w:t>
            </w:r>
          </w:p>
        </w:tc>
        <w:tc>
          <w:tcPr>
            <w:tcW w:w="1867" w:type="dxa"/>
            <w:hideMark/>
          </w:tcPr>
          <w:p w:rsidR="008A5359" w:rsidRPr="00030D4D" w:rsidRDefault="008A5359" w:rsidP="008A252F">
            <w:pPr>
              <w:spacing w:before="0" w:after="0" w:line="240" w:lineRule="auto"/>
              <w:ind w:right="567"/>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pt-BR"/>
              </w:rPr>
            </w:pPr>
            <w:r w:rsidRPr="00030D4D">
              <w:rPr>
                <w:rFonts w:ascii="Arial" w:eastAsia="Times New Roman" w:hAnsi="Arial" w:cs="Arial"/>
                <w:sz w:val="18"/>
                <w:szCs w:val="18"/>
                <w:lang w:eastAsia="pt-BR"/>
              </w:rPr>
              <w:t xml:space="preserve">Sociedades </w:t>
            </w:r>
            <w:r w:rsidR="00506103" w:rsidRPr="00030D4D">
              <w:rPr>
                <w:rFonts w:ascii="Arial" w:eastAsia="Times New Roman" w:hAnsi="Arial" w:cs="Arial"/>
                <w:sz w:val="18"/>
                <w:szCs w:val="18"/>
                <w:lang w:eastAsia="pt-BR"/>
              </w:rPr>
              <w:t>a</w:t>
            </w:r>
            <w:r w:rsidRPr="00030D4D">
              <w:rPr>
                <w:rFonts w:ascii="Arial" w:eastAsia="Times New Roman" w:hAnsi="Arial" w:cs="Arial"/>
                <w:sz w:val="18"/>
                <w:szCs w:val="18"/>
                <w:lang w:eastAsia="pt-BR"/>
              </w:rPr>
              <w:t>nônimas de capital fechado ou aberto</w:t>
            </w:r>
          </w:p>
        </w:tc>
      </w:tr>
      <w:tr w:rsidR="008A5359" w:rsidRPr="00030D4D" w:rsidTr="0045023B">
        <w:trPr>
          <w:cnfStyle w:val="000000100000" w:firstRow="0" w:lastRow="0" w:firstColumn="0" w:lastColumn="0" w:oddVBand="0" w:evenVBand="0" w:oddHBand="1" w:evenHBand="0" w:firstRowFirstColumn="0" w:firstRowLastColumn="0" w:lastRowFirstColumn="0" w:lastRowLastColumn="0"/>
          <w:trHeight w:val="1511"/>
        </w:trPr>
        <w:tc>
          <w:tcPr>
            <w:cnfStyle w:val="001000000000" w:firstRow="0" w:lastRow="0" w:firstColumn="1" w:lastColumn="0" w:oddVBand="0" w:evenVBand="0" w:oddHBand="0" w:evenHBand="0" w:firstRowFirstColumn="0" w:firstRowLastColumn="0" w:lastRowFirstColumn="0" w:lastRowLastColumn="0"/>
            <w:tcW w:w="1785" w:type="dxa"/>
            <w:hideMark/>
          </w:tcPr>
          <w:p w:rsidR="008A5359" w:rsidRPr="00030D4D" w:rsidRDefault="008A5359" w:rsidP="008A252F">
            <w:pPr>
              <w:spacing w:before="0" w:after="0" w:line="240" w:lineRule="auto"/>
              <w:ind w:right="567"/>
              <w:jc w:val="left"/>
              <w:rPr>
                <w:rFonts w:ascii="Arial" w:eastAsia="Times New Roman" w:hAnsi="Arial" w:cs="Arial"/>
                <w:b w:val="0"/>
                <w:color w:val="000000"/>
                <w:sz w:val="18"/>
                <w:szCs w:val="18"/>
                <w:lang w:eastAsia="pt-BR"/>
              </w:rPr>
            </w:pPr>
            <w:r w:rsidRPr="00030D4D">
              <w:rPr>
                <w:rFonts w:ascii="Arial" w:eastAsia="Times New Roman" w:hAnsi="Arial" w:cs="Arial"/>
                <w:b w:val="0"/>
                <w:color w:val="000000"/>
                <w:sz w:val="18"/>
                <w:szCs w:val="18"/>
                <w:lang w:eastAsia="pt-BR"/>
              </w:rPr>
              <w:t>Acesso</w:t>
            </w:r>
          </w:p>
        </w:tc>
        <w:tc>
          <w:tcPr>
            <w:tcW w:w="1775"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Valor mobiliário (debêntures conversíveis, bônus de subscrição de empresas emergentes, entre outros)</w:t>
            </w:r>
          </w:p>
        </w:tc>
        <w:tc>
          <w:tcPr>
            <w:tcW w:w="1775"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Valor mobiliário (debêntures conversíveis, bônus de subscrição de empresas emergentes, entre outros)</w:t>
            </w:r>
          </w:p>
        </w:tc>
        <w:tc>
          <w:tcPr>
            <w:tcW w:w="1896"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Ações ou outro valor mobiliário (debêntures conversíveis, bônus de subscrição de empresas emergentes, entre outros)</w:t>
            </w:r>
          </w:p>
        </w:tc>
        <w:tc>
          <w:tcPr>
            <w:tcW w:w="1867" w:type="dxa"/>
            <w:hideMark/>
          </w:tcPr>
          <w:p w:rsidR="008A5359" w:rsidRPr="00030D4D" w:rsidRDefault="008A5359" w:rsidP="008A252F">
            <w:pPr>
              <w:spacing w:before="0" w:after="0" w:line="240" w:lineRule="auto"/>
              <w:ind w:right="567"/>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pt-BR"/>
              </w:rPr>
            </w:pPr>
            <w:r w:rsidRPr="00030D4D">
              <w:rPr>
                <w:rFonts w:ascii="Arial" w:eastAsia="Times New Roman" w:hAnsi="Arial" w:cs="Arial"/>
                <w:color w:val="000000"/>
                <w:sz w:val="18"/>
                <w:szCs w:val="18"/>
                <w:lang w:eastAsia="pt-BR"/>
              </w:rPr>
              <w:t>Valor mobiliário (debêntures conversíveis, bônus de subscrição de empresas emergentes, entre outros)</w:t>
            </w:r>
          </w:p>
        </w:tc>
      </w:tr>
    </w:tbl>
    <w:p w:rsidR="00AE4809" w:rsidRPr="00030D4D" w:rsidRDefault="00AE4809" w:rsidP="00733FFB">
      <w:pPr>
        <w:spacing w:before="0" w:after="0" w:line="240" w:lineRule="auto"/>
        <w:rPr>
          <w:rFonts w:ascii="Arial" w:hAnsi="Arial" w:cs="Arial"/>
          <w:sz w:val="20"/>
          <w:szCs w:val="20"/>
          <w:shd w:val="clear" w:color="auto" w:fill="FFFFFF"/>
        </w:rPr>
      </w:pPr>
      <w:r w:rsidRPr="00030D4D">
        <w:rPr>
          <w:rFonts w:ascii="Arial" w:hAnsi="Arial" w:cs="Arial"/>
          <w:sz w:val="20"/>
          <w:szCs w:val="20"/>
          <w:shd w:val="clear" w:color="auto" w:fill="FFFFFF"/>
        </w:rPr>
        <w:t>Fonte: Elaboração própria</w:t>
      </w:r>
    </w:p>
    <w:p w:rsidR="00733FFB" w:rsidRPr="00030D4D" w:rsidRDefault="00733FFB" w:rsidP="00733FFB">
      <w:pPr>
        <w:spacing w:before="0" w:after="0"/>
        <w:rPr>
          <w:rFonts w:ascii="Arial" w:hAnsi="Arial" w:cs="Arial"/>
          <w:shd w:val="clear" w:color="auto" w:fill="FFFFFF"/>
        </w:rPr>
      </w:pPr>
    </w:p>
    <w:p w:rsidR="009C3431" w:rsidRPr="00030D4D" w:rsidRDefault="009C3431">
      <w:pPr>
        <w:spacing w:before="0" w:after="160" w:line="259" w:lineRule="auto"/>
        <w:jc w:val="left"/>
        <w:rPr>
          <w:rFonts w:ascii="Arial" w:eastAsiaTheme="majorEastAsia" w:hAnsi="Arial" w:cs="Arial"/>
          <w:b/>
          <w:i/>
          <w:szCs w:val="24"/>
        </w:rPr>
      </w:pPr>
      <w:bookmarkStart w:id="22" w:name="_Toc433665373"/>
      <w:r w:rsidRPr="00030D4D">
        <w:rPr>
          <w:rFonts w:ascii="Arial" w:hAnsi="Arial" w:cs="Arial"/>
        </w:rPr>
        <w:br w:type="page"/>
      </w:r>
    </w:p>
    <w:p w:rsidR="00141657" w:rsidRPr="00030D4D" w:rsidRDefault="00E87308" w:rsidP="00431C7A">
      <w:pPr>
        <w:pStyle w:val="Heading3"/>
        <w:numPr>
          <w:ilvl w:val="2"/>
          <w:numId w:val="19"/>
        </w:numPr>
        <w:rPr>
          <w:rFonts w:ascii="Arial" w:hAnsi="Arial" w:cs="Arial"/>
          <w:i w:val="0"/>
        </w:rPr>
      </w:pPr>
      <w:bookmarkStart w:id="23" w:name="_Toc482828485"/>
      <w:r w:rsidRPr="00030D4D">
        <w:rPr>
          <w:rFonts w:ascii="Arial" w:hAnsi="Arial" w:cs="Arial"/>
        </w:rPr>
        <w:t>A</w:t>
      </w:r>
      <w:r w:rsidR="001D452D" w:rsidRPr="00030D4D">
        <w:rPr>
          <w:rFonts w:ascii="Arial" w:hAnsi="Arial" w:cs="Arial"/>
        </w:rPr>
        <w:t xml:space="preserve">poio </w:t>
      </w:r>
      <w:r w:rsidR="009301D2" w:rsidRPr="00030D4D">
        <w:rPr>
          <w:rFonts w:ascii="Arial" w:hAnsi="Arial" w:cs="Arial"/>
        </w:rPr>
        <w:t>F</w:t>
      </w:r>
      <w:r w:rsidR="001D452D" w:rsidRPr="00030D4D">
        <w:rPr>
          <w:rFonts w:ascii="Arial" w:hAnsi="Arial" w:cs="Arial"/>
        </w:rPr>
        <w:t xml:space="preserve">inanceiro </w:t>
      </w:r>
      <w:r w:rsidR="009301D2" w:rsidRPr="00030D4D">
        <w:rPr>
          <w:rFonts w:ascii="Arial" w:hAnsi="Arial" w:cs="Arial"/>
        </w:rPr>
        <w:t>N</w:t>
      </w:r>
      <w:r w:rsidR="001D452D" w:rsidRPr="00030D4D">
        <w:rPr>
          <w:rFonts w:ascii="Arial" w:hAnsi="Arial" w:cs="Arial"/>
        </w:rPr>
        <w:t xml:space="preserve">ão </w:t>
      </w:r>
      <w:r w:rsidR="009301D2" w:rsidRPr="00030D4D">
        <w:rPr>
          <w:rFonts w:ascii="Arial" w:hAnsi="Arial" w:cs="Arial"/>
        </w:rPr>
        <w:t>R</w:t>
      </w:r>
      <w:r w:rsidR="001D452D" w:rsidRPr="00030D4D">
        <w:rPr>
          <w:rFonts w:ascii="Arial" w:hAnsi="Arial" w:cs="Arial"/>
        </w:rPr>
        <w:t>eembolsável</w:t>
      </w:r>
      <w:bookmarkEnd w:id="22"/>
      <w:bookmarkEnd w:id="23"/>
    </w:p>
    <w:p w:rsidR="0080152D" w:rsidRPr="00030D4D" w:rsidRDefault="00881843" w:rsidP="00C34FA1">
      <w:pPr>
        <w:spacing w:before="0"/>
        <w:rPr>
          <w:rFonts w:ascii="Arial" w:hAnsi="Arial" w:cs="Arial"/>
          <w:szCs w:val="24"/>
        </w:rPr>
      </w:pPr>
      <w:r w:rsidRPr="00030D4D">
        <w:rPr>
          <w:rFonts w:ascii="Arial" w:hAnsi="Arial" w:cs="Arial"/>
          <w:szCs w:val="24"/>
        </w:rPr>
        <w:t>Na promoção da inovação, o</w:t>
      </w:r>
      <w:r w:rsidR="001D452D" w:rsidRPr="00030D4D">
        <w:rPr>
          <w:rFonts w:ascii="Arial" w:hAnsi="Arial" w:cs="Arial"/>
          <w:szCs w:val="24"/>
        </w:rPr>
        <w:t xml:space="preserve"> montante mais expressivo de recursos de natureza não reembolsável é</w:t>
      </w:r>
      <w:r w:rsidR="0080152D" w:rsidRPr="00030D4D">
        <w:rPr>
          <w:rFonts w:ascii="Arial" w:hAnsi="Arial" w:cs="Arial"/>
          <w:szCs w:val="24"/>
        </w:rPr>
        <w:t>, sem dúvida,</w:t>
      </w:r>
      <w:r w:rsidR="001D452D" w:rsidRPr="00030D4D">
        <w:rPr>
          <w:rFonts w:ascii="Arial" w:hAnsi="Arial" w:cs="Arial"/>
          <w:szCs w:val="24"/>
        </w:rPr>
        <w:t xml:space="preserve"> proveniente da Finep. </w:t>
      </w:r>
      <w:r w:rsidR="0080152D" w:rsidRPr="00030D4D">
        <w:rPr>
          <w:rFonts w:ascii="Arial" w:hAnsi="Arial" w:cs="Arial"/>
          <w:szCs w:val="24"/>
        </w:rPr>
        <w:t>Por isso, neste tópico instrumentos geridos por essa agência são privilegiados.</w:t>
      </w:r>
    </w:p>
    <w:p w:rsidR="001D452D" w:rsidRPr="00030D4D" w:rsidRDefault="00F356B2" w:rsidP="00C34FA1">
      <w:pPr>
        <w:spacing w:before="0"/>
        <w:rPr>
          <w:rFonts w:ascii="Arial" w:hAnsi="Arial" w:cs="Arial"/>
          <w:szCs w:val="24"/>
        </w:rPr>
      </w:pPr>
      <w:r w:rsidRPr="00030D4D">
        <w:rPr>
          <w:rFonts w:ascii="Arial" w:hAnsi="Arial" w:cs="Arial"/>
          <w:szCs w:val="24"/>
        </w:rPr>
        <w:t>A</w:t>
      </w:r>
      <w:r w:rsidR="001D452D" w:rsidRPr="00030D4D">
        <w:rPr>
          <w:rFonts w:ascii="Arial" w:hAnsi="Arial" w:cs="Arial"/>
          <w:szCs w:val="24"/>
        </w:rPr>
        <w:t xml:space="preserve"> partir de 2007</w:t>
      </w:r>
      <w:r w:rsidR="00F81C54" w:rsidRPr="00030D4D">
        <w:rPr>
          <w:rFonts w:ascii="Arial" w:hAnsi="Arial" w:cs="Arial"/>
          <w:szCs w:val="24"/>
        </w:rPr>
        <w:t>, o Plano de Ação em Ciência, Tecnologia e Inovação (PACTI</w:t>
      </w:r>
      <w:r w:rsidR="00EF62BB" w:rsidRPr="00030D4D">
        <w:rPr>
          <w:rFonts w:ascii="Arial" w:hAnsi="Arial" w:cs="Arial"/>
          <w:szCs w:val="24"/>
        </w:rPr>
        <w:t>)</w:t>
      </w:r>
      <w:r w:rsidR="001D452D" w:rsidRPr="00030D4D">
        <w:rPr>
          <w:rFonts w:ascii="Arial" w:hAnsi="Arial" w:cs="Arial"/>
          <w:szCs w:val="24"/>
        </w:rPr>
        <w:t xml:space="preserve"> estabelec</w:t>
      </w:r>
      <w:r w:rsidR="00F81C54" w:rsidRPr="00030D4D">
        <w:rPr>
          <w:rFonts w:ascii="Arial" w:hAnsi="Arial" w:cs="Arial"/>
          <w:szCs w:val="24"/>
        </w:rPr>
        <w:t>eu</w:t>
      </w:r>
      <w:r w:rsidR="001D452D" w:rsidRPr="00030D4D">
        <w:rPr>
          <w:rFonts w:ascii="Arial" w:hAnsi="Arial" w:cs="Arial"/>
          <w:szCs w:val="24"/>
        </w:rPr>
        <w:t xml:space="preserve"> um conjunto de prioridades para orientar os gastos</w:t>
      </w:r>
      <w:r w:rsidR="00F81C54" w:rsidRPr="00030D4D">
        <w:rPr>
          <w:rFonts w:ascii="Arial" w:hAnsi="Arial" w:cs="Arial"/>
          <w:szCs w:val="24"/>
        </w:rPr>
        <w:t>. M</w:t>
      </w:r>
      <w:r w:rsidR="001D452D" w:rsidRPr="00030D4D">
        <w:rPr>
          <w:rFonts w:ascii="Arial" w:hAnsi="Arial" w:cs="Arial"/>
          <w:szCs w:val="24"/>
        </w:rPr>
        <w:t>ais recentemente</w:t>
      </w:r>
      <w:r w:rsidR="00F81C54" w:rsidRPr="00030D4D">
        <w:rPr>
          <w:rFonts w:ascii="Arial" w:hAnsi="Arial" w:cs="Arial"/>
          <w:szCs w:val="24"/>
        </w:rPr>
        <w:t>, a</w:t>
      </w:r>
      <w:r w:rsidR="001D452D" w:rsidRPr="00030D4D">
        <w:rPr>
          <w:rFonts w:ascii="Arial" w:hAnsi="Arial" w:cs="Arial"/>
          <w:szCs w:val="24"/>
        </w:rPr>
        <w:t>s prioridades foram revisadas no âmbito da ENCTI (Estratégia Nacional de Ciência, Tecnologia e Inovação) definida</w:t>
      </w:r>
      <w:r w:rsidR="001D452D" w:rsidRPr="00030D4D">
        <w:rPr>
          <w:rFonts w:ascii="Arial" w:hAnsi="Arial" w:cs="Arial"/>
        </w:rPr>
        <w:t xml:space="preserve"> para o </w:t>
      </w:r>
      <w:r w:rsidR="00825502" w:rsidRPr="00030D4D">
        <w:rPr>
          <w:rFonts w:ascii="Arial" w:hAnsi="Arial" w:cs="Arial"/>
          <w:szCs w:val="24"/>
        </w:rPr>
        <w:t>período 2012-2015.</w:t>
      </w:r>
    </w:p>
    <w:p w:rsidR="005F4B0A" w:rsidRPr="00030D4D" w:rsidRDefault="001D452D" w:rsidP="00C34FA1">
      <w:pPr>
        <w:spacing w:before="0"/>
        <w:rPr>
          <w:rFonts w:ascii="Arial" w:hAnsi="Arial" w:cs="Arial"/>
          <w:szCs w:val="24"/>
        </w:rPr>
      </w:pPr>
      <w:r w:rsidRPr="00030D4D">
        <w:rPr>
          <w:rFonts w:ascii="Arial" w:hAnsi="Arial" w:cs="Arial"/>
          <w:szCs w:val="24"/>
        </w:rPr>
        <w:t>Os recursos não reembolsáveis financiam projetos</w:t>
      </w:r>
      <w:r w:rsidR="001E0454" w:rsidRPr="00030D4D">
        <w:rPr>
          <w:rFonts w:ascii="Arial" w:hAnsi="Arial" w:cs="Arial"/>
          <w:szCs w:val="24"/>
        </w:rPr>
        <w:t xml:space="preserve"> de</w:t>
      </w:r>
      <w:r w:rsidR="001C54EA" w:rsidRPr="00030D4D">
        <w:rPr>
          <w:rFonts w:ascii="Arial" w:hAnsi="Arial" w:cs="Arial"/>
          <w:szCs w:val="24"/>
        </w:rPr>
        <w:t xml:space="preserve">: </w:t>
      </w:r>
      <w:r w:rsidR="00F81C54" w:rsidRPr="00030D4D">
        <w:rPr>
          <w:rFonts w:ascii="Arial" w:hAnsi="Arial" w:cs="Arial"/>
          <w:szCs w:val="24"/>
        </w:rPr>
        <w:t>(1</w:t>
      </w:r>
      <w:r w:rsidR="001C54EA" w:rsidRPr="00030D4D">
        <w:rPr>
          <w:rFonts w:ascii="Arial" w:hAnsi="Arial" w:cs="Arial"/>
          <w:szCs w:val="24"/>
        </w:rPr>
        <w:t>)</w:t>
      </w:r>
      <w:r w:rsidR="001E0454" w:rsidRPr="00030D4D">
        <w:rPr>
          <w:rFonts w:ascii="Arial" w:hAnsi="Arial" w:cs="Arial"/>
          <w:szCs w:val="24"/>
        </w:rPr>
        <w:t xml:space="preserve"> </w:t>
      </w:r>
      <w:r w:rsidRPr="00030D4D">
        <w:rPr>
          <w:rFonts w:ascii="Arial" w:hAnsi="Arial" w:cs="Arial"/>
          <w:szCs w:val="24"/>
        </w:rPr>
        <w:t>instituições científicas e tecnológicas (ICT)</w:t>
      </w:r>
      <w:r w:rsidR="001E0454" w:rsidRPr="00030D4D">
        <w:rPr>
          <w:rFonts w:ascii="Arial" w:hAnsi="Arial" w:cs="Arial"/>
          <w:szCs w:val="24"/>
        </w:rPr>
        <w:t>,</w:t>
      </w:r>
      <w:r w:rsidRPr="00030D4D">
        <w:rPr>
          <w:rFonts w:ascii="Arial" w:hAnsi="Arial" w:cs="Arial"/>
          <w:szCs w:val="24"/>
        </w:rPr>
        <w:t xml:space="preserve"> com ou sem parceria com empresas</w:t>
      </w:r>
      <w:r w:rsidR="00D20CEA" w:rsidRPr="00030D4D">
        <w:rPr>
          <w:rFonts w:ascii="Arial" w:hAnsi="Arial" w:cs="Arial"/>
          <w:szCs w:val="24"/>
        </w:rPr>
        <w:t xml:space="preserve">, sendo que a </w:t>
      </w:r>
      <w:r w:rsidRPr="00030D4D">
        <w:rPr>
          <w:rFonts w:ascii="Arial" w:hAnsi="Arial" w:cs="Arial"/>
          <w:szCs w:val="24"/>
        </w:rPr>
        <w:t>p</w:t>
      </w:r>
      <w:r w:rsidR="007B0787" w:rsidRPr="00030D4D">
        <w:rPr>
          <w:rFonts w:ascii="Arial" w:hAnsi="Arial" w:cs="Arial"/>
          <w:szCs w:val="24"/>
        </w:rPr>
        <w:t>articipação</w:t>
      </w:r>
      <w:r w:rsidRPr="00030D4D">
        <w:rPr>
          <w:rFonts w:ascii="Arial" w:hAnsi="Arial" w:cs="Arial"/>
          <w:szCs w:val="24"/>
        </w:rPr>
        <w:t xml:space="preserve"> da empresa no projeto implica a alocação de uma contrapartida financeira</w:t>
      </w:r>
      <w:r w:rsidR="007B0787" w:rsidRPr="00030D4D">
        <w:rPr>
          <w:rStyle w:val="FootnoteReference"/>
          <w:rFonts w:ascii="Arial" w:hAnsi="Arial" w:cs="Arial"/>
          <w:szCs w:val="24"/>
        </w:rPr>
        <w:footnoteReference w:id="18"/>
      </w:r>
      <w:r w:rsidR="00F81C54" w:rsidRPr="00030D4D">
        <w:rPr>
          <w:rFonts w:ascii="Arial" w:hAnsi="Arial" w:cs="Arial"/>
          <w:szCs w:val="24"/>
        </w:rPr>
        <w:t>; (2</w:t>
      </w:r>
      <w:r w:rsidR="001E0454" w:rsidRPr="00030D4D">
        <w:rPr>
          <w:rFonts w:ascii="Arial" w:hAnsi="Arial" w:cs="Arial"/>
          <w:szCs w:val="24"/>
        </w:rPr>
        <w:t>) empresas com fins lucrativos por meio do</w:t>
      </w:r>
      <w:r w:rsidRPr="00030D4D">
        <w:rPr>
          <w:rFonts w:ascii="Arial" w:hAnsi="Arial" w:cs="Arial"/>
          <w:szCs w:val="24"/>
        </w:rPr>
        <w:t xml:space="preserve"> instrumento da </w:t>
      </w:r>
      <w:r w:rsidRPr="00030D4D">
        <w:rPr>
          <w:rFonts w:ascii="Arial" w:hAnsi="Arial" w:cs="Arial"/>
          <w:szCs w:val="24"/>
          <w:u w:val="single"/>
        </w:rPr>
        <w:t xml:space="preserve">subvenção </w:t>
      </w:r>
      <w:r w:rsidR="007B0787" w:rsidRPr="00030D4D">
        <w:rPr>
          <w:rFonts w:ascii="Arial" w:hAnsi="Arial" w:cs="Arial"/>
          <w:szCs w:val="24"/>
          <w:u w:val="single"/>
        </w:rPr>
        <w:t>econômica</w:t>
      </w:r>
      <w:r w:rsidR="00F81C54" w:rsidRPr="00030D4D">
        <w:rPr>
          <w:rFonts w:ascii="Arial" w:hAnsi="Arial" w:cs="Arial"/>
          <w:szCs w:val="24"/>
        </w:rPr>
        <w:t xml:space="preserve">, situação que </w:t>
      </w:r>
      <w:r w:rsidR="007B0787" w:rsidRPr="00030D4D">
        <w:rPr>
          <w:rFonts w:ascii="Arial" w:hAnsi="Arial" w:cs="Arial"/>
          <w:szCs w:val="24"/>
        </w:rPr>
        <w:t xml:space="preserve">também </w:t>
      </w:r>
      <w:r w:rsidR="00F81C54" w:rsidRPr="00030D4D">
        <w:rPr>
          <w:rFonts w:ascii="Arial" w:hAnsi="Arial" w:cs="Arial"/>
          <w:szCs w:val="24"/>
        </w:rPr>
        <w:t>requer</w:t>
      </w:r>
      <w:r w:rsidR="007B0787" w:rsidRPr="00030D4D">
        <w:rPr>
          <w:rFonts w:ascii="Arial" w:hAnsi="Arial" w:cs="Arial"/>
          <w:szCs w:val="24"/>
        </w:rPr>
        <w:t xml:space="preserve"> a alocação de contrapartida financeira</w:t>
      </w:r>
      <w:r w:rsidR="00345E3D" w:rsidRPr="00030D4D">
        <w:rPr>
          <w:rFonts w:ascii="Arial" w:hAnsi="Arial" w:cs="Arial"/>
          <w:szCs w:val="24"/>
        </w:rPr>
        <w:t xml:space="preserve"> por parte da organização</w:t>
      </w:r>
      <w:r w:rsidRPr="00030D4D">
        <w:rPr>
          <w:rFonts w:ascii="Arial" w:hAnsi="Arial" w:cs="Arial"/>
          <w:szCs w:val="24"/>
        </w:rPr>
        <w:t xml:space="preserve">.  </w:t>
      </w:r>
      <w:r w:rsidR="00F52A0A" w:rsidRPr="00030D4D">
        <w:rPr>
          <w:rFonts w:ascii="Arial" w:hAnsi="Arial" w:cs="Arial"/>
        </w:rPr>
        <w:t>O marco legal que instituiu o instrumento da subvenção econômica é o capítulo 4 da Lei n</w:t>
      </w:r>
      <w:r w:rsidR="00F52A0A" w:rsidRPr="00030D4D">
        <w:rPr>
          <w:rFonts w:ascii="Arial" w:hAnsi="Arial" w:cs="Arial"/>
          <w:vertAlign w:val="superscript"/>
        </w:rPr>
        <w:t>o</w:t>
      </w:r>
      <w:r w:rsidR="00F52A0A" w:rsidRPr="00030D4D">
        <w:rPr>
          <w:rFonts w:ascii="Arial" w:hAnsi="Arial" w:cs="Arial"/>
        </w:rPr>
        <w:t xml:space="preserve"> 10.973/04, mais conhecida como Lei da Inovação, que foi regulamentada pelo Decreto n</w:t>
      </w:r>
      <w:r w:rsidR="00F52A0A" w:rsidRPr="00030D4D">
        <w:rPr>
          <w:rFonts w:ascii="Arial" w:hAnsi="Arial" w:cs="Arial"/>
          <w:vertAlign w:val="superscript"/>
        </w:rPr>
        <w:t>o</w:t>
      </w:r>
      <w:r w:rsidR="00F52A0A" w:rsidRPr="00030D4D">
        <w:rPr>
          <w:rFonts w:ascii="Arial" w:hAnsi="Arial" w:cs="Arial"/>
        </w:rPr>
        <w:t xml:space="preserve"> 5.563, de 11/10/2005. </w:t>
      </w:r>
      <w:r w:rsidR="00F52A0A" w:rsidRPr="00030D4D">
        <w:rPr>
          <w:rFonts w:ascii="Arial" w:hAnsi="Arial" w:cs="Arial"/>
          <w:szCs w:val="24"/>
        </w:rPr>
        <w:t xml:space="preserve">O projeto que contempla recursos da subvenção pode ser apresentado em parceria com uma ICT ou exclusivamente pela empresa. </w:t>
      </w:r>
      <w:r w:rsidR="005F4B0A" w:rsidRPr="00030D4D">
        <w:rPr>
          <w:rFonts w:ascii="Arial" w:hAnsi="Arial" w:cs="Arial"/>
          <w:szCs w:val="24"/>
        </w:rPr>
        <w:t xml:space="preserve">O instrumento da subvenção econômica somente é operado pela Finep e seus </w:t>
      </w:r>
      <w:r w:rsidRPr="00030D4D">
        <w:rPr>
          <w:rFonts w:ascii="Arial" w:hAnsi="Arial" w:cs="Arial"/>
          <w:szCs w:val="24"/>
        </w:rPr>
        <w:t>recursos financiam custeio de projetos de PD</w:t>
      </w:r>
      <w:r w:rsidR="00F81C54" w:rsidRPr="00030D4D">
        <w:rPr>
          <w:rFonts w:ascii="Arial" w:hAnsi="Arial" w:cs="Arial"/>
          <w:szCs w:val="24"/>
        </w:rPr>
        <w:t>&amp;</w:t>
      </w:r>
      <w:r w:rsidRPr="00030D4D">
        <w:rPr>
          <w:rFonts w:ascii="Arial" w:hAnsi="Arial" w:cs="Arial"/>
          <w:szCs w:val="24"/>
        </w:rPr>
        <w:t>I</w:t>
      </w:r>
      <w:r w:rsidRPr="00030D4D">
        <w:rPr>
          <w:rStyle w:val="FootnoteReference"/>
          <w:rFonts w:ascii="Arial" w:hAnsi="Arial" w:cs="Arial"/>
          <w:szCs w:val="24"/>
        </w:rPr>
        <w:footnoteReference w:id="19"/>
      </w:r>
      <w:r w:rsidRPr="00030D4D">
        <w:rPr>
          <w:rFonts w:ascii="Arial" w:hAnsi="Arial" w:cs="Arial"/>
          <w:szCs w:val="24"/>
        </w:rPr>
        <w:t xml:space="preserve">.  </w:t>
      </w:r>
    </w:p>
    <w:p w:rsidR="001D452D" w:rsidRPr="00030D4D" w:rsidRDefault="00F81C54" w:rsidP="00C34FA1">
      <w:pPr>
        <w:spacing w:before="0"/>
        <w:rPr>
          <w:rFonts w:ascii="Arial" w:hAnsi="Arial" w:cs="Arial"/>
          <w:szCs w:val="24"/>
        </w:rPr>
      </w:pPr>
      <w:r w:rsidRPr="00030D4D">
        <w:rPr>
          <w:rFonts w:ascii="Arial" w:hAnsi="Arial" w:cs="Arial"/>
          <w:szCs w:val="24"/>
        </w:rPr>
        <w:t>O</w:t>
      </w:r>
      <w:r w:rsidR="005F4B0A" w:rsidRPr="00030D4D">
        <w:rPr>
          <w:rFonts w:ascii="Arial" w:hAnsi="Arial" w:cs="Arial"/>
          <w:szCs w:val="24"/>
        </w:rPr>
        <w:t>utro instrumento de</w:t>
      </w:r>
      <w:r w:rsidR="001D452D" w:rsidRPr="00030D4D">
        <w:rPr>
          <w:rFonts w:ascii="Arial" w:hAnsi="Arial" w:cs="Arial"/>
          <w:szCs w:val="24"/>
        </w:rPr>
        <w:t xml:space="preserve"> subvenção</w:t>
      </w:r>
      <w:r w:rsidR="005F4B0A" w:rsidRPr="00030D4D">
        <w:rPr>
          <w:rFonts w:ascii="Arial" w:hAnsi="Arial" w:cs="Arial"/>
          <w:szCs w:val="24"/>
        </w:rPr>
        <w:t xml:space="preserve">, conhecido como </w:t>
      </w:r>
      <w:r w:rsidR="005F4B0A" w:rsidRPr="00030D4D">
        <w:rPr>
          <w:rFonts w:ascii="Arial" w:hAnsi="Arial" w:cs="Arial"/>
          <w:szCs w:val="24"/>
          <w:u w:val="single"/>
        </w:rPr>
        <w:t>subvenção a pesquisador</w:t>
      </w:r>
      <w:r w:rsidR="001D452D" w:rsidRPr="00030D4D">
        <w:rPr>
          <w:rFonts w:ascii="Arial" w:hAnsi="Arial" w:cs="Arial"/>
          <w:szCs w:val="24"/>
        </w:rPr>
        <w:t>, permite que entre 40% a 60% da remuneração de pesquisadores seja paga com recursos não reembolsáveis e o valor desta remuneração pode variar conforme a região</w:t>
      </w:r>
      <w:r w:rsidR="005F4B0A" w:rsidRPr="00030D4D">
        <w:rPr>
          <w:rStyle w:val="FootnoteReference"/>
          <w:rFonts w:ascii="Arial" w:hAnsi="Arial" w:cs="Arial"/>
          <w:szCs w:val="24"/>
        </w:rPr>
        <w:footnoteReference w:id="20"/>
      </w:r>
      <w:r w:rsidR="001D452D" w:rsidRPr="00030D4D">
        <w:rPr>
          <w:rFonts w:ascii="Arial" w:hAnsi="Arial" w:cs="Arial"/>
          <w:szCs w:val="24"/>
        </w:rPr>
        <w:t xml:space="preserve">.  No caso do Nordeste, o valor subvencionado chega a 60%. </w:t>
      </w:r>
      <w:r w:rsidR="00C243ED" w:rsidRPr="00030D4D">
        <w:rPr>
          <w:rFonts w:ascii="Arial" w:hAnsi="Arial" w:cs="Arial"/>
          <w:szCs w:val="24"/>
        </w:rPr>
        <w:t xml:space="preserve">A Finep criou programas para descentralizar os recursos da Subvenção. Primeiramente, recebeu a terminologia de Pappe-Subvenção e, mais recentemente, passou a ser chamado de </w:t>
      </w:r>
      <w:r w:rsidR="007E27F6" w:rsidRPr="00030D4D">
        <w:rPr>
          <w:rFonts w:ascii="Arial" w:hAnsi="Arial" w:cs="Arial"/>
        </w:rPr>
        <w:t xml:space="preserve">Tecnova, </w:t>
      </w:r>
      <w:r w:rsidR="00C243ED" w:rsidRPr="00030D4D">
        <w:rPr>
          <w:rFonts w:ascii="Arial" w:hAnsi="Arial" w:cs="Arial"/>
        </w:rPr>
        <w:t>que consiste em</w:t>
      </w:r>
      <w:r w:rsidR="007E27F6" w:rsidRPr="00030D4D">
        <w:rPr>
          <w:rFonts w:ascii="Arial" w:hAnsi="Arial" w:cs="Arial"/>
        </w:rPr>
        <w:t xml:space="preserve"> redes de agentes operacionais estaduais com o apoio eventual do Sebrae.</w:t>
      </w:r>
    </w:p>
    <w:p w:rsidR="001D452D" w:rsidRPr="00030D4D" w:rsidRDefault="004932C5" w:rsidP="00C34FA1">
      <w:pPr>
        <w:pStyle w:val="ListParagraph"/>
        <w:spacing w:before="0" w:after="120" w:line="360" w:lineRule="auto"/>
        <w:ind w:left="0"/>
        <w:contextualSpacing w:val="0"/>
        <w:rPr>
          <w:rFonts w:ascii="Arial" w:eastAsia="Cambria" w:hAnsi="Arial" w:cs="Arial"/>
          <w:szCs w:val="24"/>
        </w:rPr>
      </w:pPr>
      <w:r w:rsidRPr="00030D4D">
        <w:rPr>
          <w:rFonts w:ascii="Arial" w:eastAsia="Cambria" w:hAnsi="Arial" w:cs="Arial"/>
          <w:szCs w:val="24"/>
        </w:rPr>
        <w:t>As</w:t>
      </w:r>
      <w:r w:rsidR="001D452D" w:rsidRPr="00030D4D">
        <w:rPr>
          <w:rFonts w:ascii="Arial" w:eastAsia="Cambria" w:hAnsi="Arial" w:cs="Arial"/>
          <w:szCs w:val="24"/>
        </w:rPr>
        <w:t xml:space="preserve"> bolsas de capacitação</w:t>
      </w:r>
      <w:r w:rsidRPr="00030D4D">
        <w:rPr>
          <w:rFonts w:ascii="Arial" w:eastAsia="Cambria" w:hAnsi="Arial" w:cs="Arial"/>
          <w:szCs w:val="24"/>
        </w:rPr>
        <w:t xml:space="preserve"> (classificadas como “bolsas tecnológicas”) também consistem numa forma de apoio não reembolsável e podem ser usufruídas por projetos de empresas de duas formas: </w:t>
      </w:r>
      <w:r w:rsidR="00F81C54" w:rsidRPr="00030D4D">
        <w:rPr>
          <w:rFonts w:ascii="Arial" w:eastAsia="Cambria" w:hAnsi="Arial" w:cs="Arial"/>
          <w:szCs w:val="24"/>
        </w:rPr>
        <w:t>(1</w:t>
      </w:r>
      <w:r w:rsidRPr="00030D4D">
        <w:rPr>
          <w:rFonts w:ascii="Arial" w:eastAsia="Cambria" w:hAnsi="Arial" w:cs="Arial"/>
          <w:szCs w:val="24"/>
        </w:rPr>
        <w:t xml:space="preserve">) por meio do </w:t>
      </w:r>
      <w:r w:rsidR="001D452D" w:rsidRPr="00030D4D">
        <w:rPr>
          <w:rFonts w:ascii="Arial" w:eastAsia="Cambria" w:hAnsi="Arial" w:cs="Arial"/>
          <w:szCs w:val="24"/>
        </w:rPr>
        <w:t xml:space="preserve">Programa RHAE do CNPq, </w:t>
      </w:r>
      <w:r w:rsidRPr="00030D4D">
        <w:rPr>
          <w:rFonts w:ascii="Arial" w:eastAsia="Cambria" w:hAnsi="Arial" w:cs="Arial"/>
          <w:szCs w:val="24"/>
        </w:rPr>
        <w:t xml:space="preserve">um programa que existe há muitos anos e que desde 2007 intitula-se “RHAE Pesquisador na Empresa”; </w:t>
      </w:r>
      <w:r w:rsidR="00F81C54" w:rsidRPr="00030D4D">
        <w:rPr>
          <w:rFonts w:ascii="Arial" w:eastAsia="Cambria" w:hAnsi="Arial" w:cs="Arial"/>
          <w:szCs w:val="24"/>
        </w:rPr>
        <w:t>(2</w:t>
      </w:r>
      <w:r w:rsidRPr="00030D4D">
        <w:rPr>
          <w:rFonts w:ascii="Arial" w:eastAsia="Cambria" w:hAnsi="Arial" w:cs="Arial"/>
          <w:szCs w:val="24"/>
        </w:rPr>
        <w:t xml:space="preserve">) por meio de articulação da Finep com o CNPq. Neste caso, quando um projeto </w:t>
      </w:r>
      <w:r w:rsidR="001B7DEE" w:rsidRPr="00030D4D">
        <w:rPr>
          <w:rFonts w:ascii="Arial" w:eastAsia="Cambria" w:hAnsi="Arial" w:cs="Arial"/>
          <w:szCs w:val="24"/>
        </w:rPr>
        <w:t>aprovado pela</w:t>
      </w:r>
      <w:r w:rsidRPr="00030D4D">
        <w:rPr>
          <w:rFonts w:ascii="Arial" w:eastAsia="Cambria" w:hAnsi="Arial" w:cs="Arial"/>
          <w:szCs w:val="24"/>
        </w:rPr>
        <w:t xml:space="preserve"> Finep prevê a demanda por </w:t>
      </w:r>
      <w:r w:rsidR="001D452D" w:rsidRPr="00030D4D">
        <w:rPr>
          <w:rFonts w:ascii="Arial" w:eastAsia="Cambria" w:hAnsi="Arial" w:cs="Arial"/>
          <w:szCs w:val="24"/>
        </w:rPr>
        <w:t xml:space="preserve">bolsas de natureza tecnológica </w:t>
      </w:r>
      <w:r w:rsidRPr="00030D4D">
        <w:rPr>
          <w:rFonts w:ascii="Arial" w:eastAsia="Cambria" w:hAnsi="Arial" w:cs="Arial"/>
          <w:szCs w:val="24"/>
        </w:rPr>
        <w:t xml:space="preserve">(em geral essa possibilidade está prevista no corpo do edital), </w:t>
      </w:r>
      <w:r w:rsidR="001B7DEE" w:rsidRPr="00030D4D">
        <w:rPr>
          <w:rFonts w:ascii="Arial" w:eastAsia="Cambria" w:hAnsi="Arial" w:cs="Arial"/>
          <w:szCs w:val="24"/>
        </w:rPr>
        <w:t xml:space="preserve">é a própria Finep que define </w:t>
      </w:r>
      <w:r w:rsidRPr="00030D4D">
        <w:rPr>
          <w:rFonts w:ascii="Arial" w:eastAsia="Cambria" w:hAnsi="Arial" w:cs="Arial"/>
          <w:szCs w:val="24"/>
        </w:rPr>
        <w:t>o valor aprovado</w:t>
      </w:r>
      <w:r w:rsidR="001B7DEE" w:rsidRPr="00030D4D">
        <w:rPr>
          <w:rFonts w:ascii="Arial" w:eastAsia="Cambria" w:hAnsi="Arial" w:cs="Arial"/>
          <w:szCs w:val="24"/>
        </w:rPr>
        <w:t xml:space="preserve">, que </w:t>
      </w:r>
      <w:r w:rsidR="00F81C54" w:rsidRPr="00030D4D">
        <w:rPr>
          <w:rFonts w:ascii="Arial" w:eastAsia="Cambria" w:hAnsi="Arial" w:cs="Arial"/>
          <w:szCs w:val="24"/>
        </w:rPr>
        <w:t>é</w:t>
      </w:r>
      <w:r w:rsidR="001B7DEE" w:rsidRPr="00030D4D">
        <w:rPr>
          <w:rFonts w:ascii="Arial" w:eastAsia="Cambria" w:hAnsi="Arial" w:cs="Arial"/>
          <w:szCs w:val="24"/>
        </w:rPr>
        <w:t xml:space="preserve"> somado ao valor total do projeto,</w:t>
      </w:r>
      <w:r w:rsidRPr="00030D4D">
        <w:rPr>
          <w:rFonts w:ascii="Arial" w:eastAsia="Cambria" w:hAnsi="Arial" w:cs="Arial"/>
          <w:szCs w:val="24"/>
        </w:rPr>
        <w:t xml:space="preserve"> e a</w:t>
      </w:r>
      <w:r w:rsidR="001B7DEE" w:rsidRPr="00030D4D">
        <w:rPr>
          <w:rFonts w:ascii="Arial" w:eastAsia="Cambria" w:hAnsi="Arial" w:cs="Arial"/>
          <w:szCs w:val="24"/>
        </w:rPr>
        <w:t>s</w:t>
      </w:r>
      <w:r w:rsidRPr="00030D4D">
        <w:rPr>
          <w:rFonts w:ascii="Arial" w:eastAsia="Cambria" w:hAnsi="Arial" w:cs="Arial"/>
          <w:szCs w:val="24"/>
        </w:rPr>
        <w:t xml:space="preserve"> modalidade</w:t>
      </w:r>
      <w:r w:rsidR="001B7DEE" w:rsidRPr="00030D4D">
        <w:rPr>
          <w:rFonts w:ascii="Arial" w:eastAsia="Cambria" w:hAnsi="Arial" w:cs="Arial"/>
          <w:szCs w:val="24"/>
        </w:rPr>
        <w:t>s</w:t>
      </w:r>
      <w:r w:rsidRPr="00030D4D">
        <w:rPr>
          <w:rFonts w:ascii="Arial" w:eastAsia="Cambria" w:hAnsi="Arial" w:cs="Arial"/>
          <w:szCs w:val="24"/>
        </w:rPr>
        <w:t xml:space="preserve"> da</w:t>
      </w:r>
      <w:r w:rsidR="001B7DEE" w:rsidRPr="00030D4D">
        <w:rPr>
          <w:rFonts w:ascii="Arial" w:eastAsia="Cambria" w:hAnsi="Arial" w:cs="Arial"/>
          <w:szCs w:val="24"/>
        </w:rPr>
        <w:t>s</w:t>
      </w:r>
      <w:r w:rsidRPr="00030D4D">
        <w:rPr>
          <w:rFonts w:ascii="Arial" w:eastAsia="Cambria" w:hAnsi="Arial" w:cs="Arial"/>
          <w:szCs w:val="24"/>
        </w:rPr>
        <w:t xml:space="preserve"> bolsa</w:t>
      </w:r>
      <w:r w:rsidR="001B7DEE" w:rsidRPr="00030D4D">
        <w:rPr>
          <w:rFonts w:ascii="Arial" w:eastAsia="Cambria" w:hAnsi="Arial" w:cs="Arial"/>
          <w:szCs w:val="24"/>
        </w:rPr>
        <w:t>s</w:t>
      </w:r>
      <w:r w:rsidR="00B8505D" w:rsidRPr="00030D4D">
        <w:rPr>
          <w:rFonts w:ascii="Arial" w:eastAsia="Cambria" w:hAnsi="Arial" w:cs="Arial"/>
          <w:szCs w:val="24"/>
        </w:rPr>
        <w:t xml:space="preserve"> </w:t>
      </w:r>
      <w:r w:rsidR="0064580E" w:rsidRPr="00030D4D">
        <w:rPr>
          <w:rFonts w:ascii="Arial" w:eastAsia="Cambria" w:hAnsi="Arial" w:cs="Arial"/>
          <w:szCs w:val="24"/>
        </w:rPr>
        <w:t>solicitadas</w:t>
      </w:r>
      <w:r w:rsidR="001B7DEE" w:rsidRPr="00030D4D">
        <w:rPr>
          <w:rFonts w:ascii="Arial" w:eastAsia="Cambria" w:hAnsi="Arial" w:cs="Arial"/>
          <w:szCs w:val="24"/>
        </w:rPr>
        <w:t>,</w:t>
      </w:r>
      <w:r w:rsidRPr="00030D4D">
        <w:rPr>
          <w:rFonts w:ascii="Arial" w:eastAsia="Cambria" w:hAnsi="Arial" w:cs="Arial"/>
          <w:szCs w:val="24"/>
        </w:rPr>
        <w:t xml:space="preserve"> seg</w:t>
      </w:r>
      <w:r w:rsidR="001B7DEE" w:rsidRPr="00030D4D">
        <w:rPr>
          <w:rFonts w:ascii="Arial" w:eastAsia="Cambria" w:hAnsi="Arial" w:cs="Arial"/>
          <w:szCs w:val="24"/>
        </w:rPr>
        <w:t xml:space="preserve">undo a capacitação dos candidatos. Isto acertado, o próximo passo é a articulação com o CNPq, que responde pela implementação das bolsas e pelo repasse mensal feito </w:t>
      </w:r>
      <w:r w:rsidRPr="00030D4D">
        <w:rPr>
          <w:rFonts w:ascii="Arial" w:eastAsia="Cambria" w:hAnsi="Arial" w:cs="Arial"/>
          <w:szCs w:val="24"/>
        </w:rPr>
        <w:t xml:space="preserve">diretamente ao </w:t>
      </w:r>
      <w:r w:rsidR="001B7DEE" w:rsidRPr="00030D4D">
        <w:rPr>
          <w:rFonts w:ascii="Arial" w:eastAsia="Cambria" w:hAnsi="Arial" w:cs="Arial"/>
          <w:szCs w:val="24"/>
        </w:rPr>
        <w:t>pesquisador.</w:t>
      </w:r>
    </w:p>
    <w:p w:rsidR="00C34FA1" w:rsidRPr="00030D4D" w:rsidRDefault="00690A2D" w:rsidP="00C34FA1">
      <w:pPr>
        <w:pStyle w:val="ListParagraph"/>
        <w:spacing w:before="0" w:after="120" w:line="360" w:lineRule="auto"/>
        <w:ind w:left="0"/>
        <w:contextualSpacing w:val="0"/>
        <w:rPr>
          <w:rFonts w:ascii="Arial" w:hAnsi="Arial" w:cs="Arial"/>
          <w:szCs w:val="24"/>
        </w:rPr>
      </w:pPr>
      <w:r w:rsidRPr="00030D4D">
        <w:rPr>
          <w:rFonts w:ascii="Arial" w:eastAsia="Cambria" w:hAnsi="Arial" w:cs="Arial"/>
          <w:szCs w:val="24"/>
        </w:rPr>
        <w:t xml:space="preserve">O </w:t>
      </w:r>
      <w:r w:rsidR="00167EF2" w:rsidRPr="00030D4D">
        <w:rPr>
          <w:rFonts w:ascii="Arial" w:eastAsia="Cambria" w:hAnsi="Arial" w:cs="Arial"/>
          <w:szCs w:val="24"/>
        </w:rPr>
        <w:t>Q</w:t>
      </w:r>
      <w:r w:rsidRPr="00030D4D">
        <w:rPr>
          <w:rFonts w:ascii="Arial" w:eastAsia="Cambria" w:hAnsi="Arial" w:cs="Arial"/>
          <w:szCs w:val="24"/>
        </w:rPr>
        <w:t xml:space="preserve">uadro 1.4 sintetiza as linhas de financiamento </w:t>
      </w:r>
      <w:r w:rsidR="00A40760" w:rsidRPr="00030D4D">
        <w:rPr>
          <w:rFonts w:ascii="Arial" w:eastAsia="Cambria" w:hAnsi="Arial" w:cs="Arial"/>
          <w:szCs w:val="24"/>
        </w:rPr>
        <w:t xml:space="preserve">não </w:t>
      </w:r>
      <w:r w:rsidRPr="00030D4D">
        <w:rPr>
          <w:rFonts w:ascii="Arial" w:eastAsia="Cambria" w:hAnsi="Arial" w:cs="Arial"/>
          <w:szCs w:val="24"/>
        </w:rPr>
        <w:t>reembolsáveis</w:t>
      </w:r>
      <w:r w:rsidR="007910FC" w:rsidRPr="00030D4D">
        <w:rPr>
          <w:rFonts w:ascii="Arial" w:hAnsi="Arial" w:cs="Arial"/>
          <w:szCs w:val="24"/>
        </w:rPr>
        <w:t xml:space="preserve"> atualmente disponíveis, </w:t>
      </w:r>
      <w:r w:rsidR="00167EF2" w:rsidRPr="00030D4D">
        <w:rPr>
          <w:rFonts w:ascii="Arial" w:hAnsi="Arial" w:cs="Arial"/>
          <w:szCs w:val="24"/>
        </w:rPr>
        <w:t>apont</w:t>
      </w:r>
      <w:r w:rsidR="007910FC" w:rsidRPr="00030D4D">
        <w:rPr>
          <w:rFonts w:ascii="Arial" w:hAnsi="Arial" w:cs="Arial"/>
          <w:szCs w:val="24"/>
        </w:rPr>
        <w:t>ando suas principais características.</w:t>
      </w:r>
    </w:p>
    <w:p w:rsidR="0080152D" w:rsidRPr="00030D4D" w:rsidRDefault="0080152D" w:rsidP="0080152D">
      <w:pPr>
        <w:pStyle w:val="ListParagraph"/>
        <w:spacing w:before="0" w:after="120" w:line="360" w:lineRule="auto"/>
        <w:ind w:left="0"/>
        <w:rPr>
          <w:rFonts w:ascii="Arial" w:eastAsia="Cambria" w:hAnsi="Arial" w:cs="Arial"/>
          <w:b/>
          <w:szCs w:val="24"/>
        </w:rPr>
      </w:pPr>
    </w:p>
    <w:p w:rsidR="00B943BF" w:rsidRPr="00030D4D" w:rsidRDefault="00B943BF" w:rsidP="00C34FA1">
      <w:pPr>
        <w:pStyle w:val="ListParagraph"/>
        <w:spacing w:before="240" w:after="120" w:line="360" w:lineRule="auto"/>
        <w:ind w:left="0"/>
        <w:contextualSpacing w:val="0"/>
        <w:rPr>
          <w:rFonts w:ascii="Arial" w:hAnsi="Arial" w:cs="Arial"/>
          <w:b/>
          <w:szCs w:val="24"/>
        </w:rPr>
        <w:sectPr w:rsidR="00B943BF" w:rsidRPr="00030D4D" w:rsidSect="005D5F6E">
          <w:pgSz w:w="11906" w:h="16838"/>
          <w:pgMar w:top="1417" w:right="1701" w:bottom="1417" w:left="1701" w:header="708" w:footer="708" w:gutter="0"/>
          <w:cols w:space="708"/>
          <w:docGrid w:linePitch="360"/>
        </w:sectPr>
      </w:pPr>
    </w:p>
    <w:p w:rsidR="00B943BF" w:rsidRPr="00030D4D" w:rsidRDefault="00C5099B" w:rsidP="00C5099B">
      <w:pPr>
        <w:pStyle w:val="Caption"/>
        <w:rPr>
          <w:rFonts w:ascii="Arial" w:hAnsi="Arial" w:cs="Arial"/>
        </w:rPr>
      </w:pPr>
      <w:bookmarkStart w:id="24" w:name="_Toc482828528"/>
      <w:r w:rsidRPr="00030D4D">
        <w:rPr>
          <w:rFonts w:ascii="Arial" w:hAnsi="Arial" w:cs="Arial"/>
        </w:rPr>
        <w:t xml:space="preserve">Quadro </w:t>
      </w:r>
      <w:r w:rsidR="005271BC" w:rsidRPr="00030D4D">
        <w:rPr>
          <w:rFonts w:ascii="Arial" w:hAnsi="Arial" w:cs="Arial"/>
        </w:rPr>
        <w:fldChar w:fldCharType="begin"/>
      </w:r>
      <w:r w:rsidR="005271BC" w:rsidRPr="00030D4D">
        <w:rPr>
          <w:rFonts w:ascii="Arial" w:hAnsi="Arial" w:cs="Arial"/>
        </w:rPr>
        <w:instrText xml:space="preserve"> SEQ Quadro \* ARABIC </w:instrText>
      </w:r>
      <w:r w:rsidR="005271BC" w:rsidRPr="00030D4D">
        <w:rPr>
          <w:rFonts w:ascii="Arial" w:hAnsi="Arial" w:cs="Arial"/>
        </w:rPr>
        <w:fldChar w:fldCharType="separate"/>
      </w:r>
      <w:r w:rsidR="00895397" w:rsidRPr="00030D4D">
        <w:rPr>
          <w:rFonts w:ascii="Arial" w:hAnsi="Arial" w:cs="Arial"/>
          <w:noProof/>
        </w:rPr>
        <w:t>7</w:t>
      </w:r>
      <w:r w:rsidR="005271BC" w:rsidRPr="00030D4D">
        <w:rPr>
          <w:rFonts w:ascii="Arial" w:hAnsi="Arial" w:cs="Arial"/>
          <w:noProof/>
        </w:rPr>
        <w:fldChar w:fldCharType="end"/>
      </w:r>
      <w:r w:rsidRPr="00030D4D">
        <w:rPr>
          <w:rFonts w:ascii="Arial" w:hAnsi="Arial" w:cs="Arial"/>
        </w:rPr>
        <w:t xml:space="preserve">. </w:t>
      </w:r>
      <w:r w:rsidR="00B943BF" w:rsidRPr="00030D4D">
        <w:rPr>
          <w:rFonts w:ascii="Arial" w:hAnsi="Arial" w:cs="Arial"/>
        </w:rPr>
        <w:t xml:space="preserve">Descrição </w:t>
      </w:r>
      <w:r w:rsidR="00167EF2" w:rsidRPr="00030D4D">
        <w:rPr>
          <w:rFonts w:ascii="Arial" w:hAnsi="Arial" w:cs="Arial"/>
        </w:rPr>
        <w:t xml:space="preserve">de Linhas </w:t>
      </w:r>
      <w:r w:rsidR="00B943BF" w:rsidRPr="00030D4D">
        <w:rPr>
          <w:rFonts w:ascii="Arial" w:hAnsi="Arial" w:cs="Arial"/>
        </w:rPr>
        <w:t xml:space="preserve">Não Reembolsáveis de Financiamento </w:t>
      </w:r>
      <w:r w:rsidR="00167EF2" w:rsidRPr="00030D4D">
        <w:rPr>
          <w:rFonts w:ascii="Arial" w:hAnsi="Arial" w:cs="Arial"/>
        </w:rPr>
        <w:t>à</w:t>
      </w:r>
      <w:r w:rsidR="00B943BF" w:rsidRPr="00030D4D">
        <w:rPr>
          <w:rFonts w:ascii="Arial" w:hAnsi="Arial" w:cs="Arial"/>
        </w:rPr>
        <w:t xml:space="preserve"> Inovação</w:t>
      </w:r>
      <w:bookmarkEnd w:id="24"/>
    </w:p>
    <w:tbl>
      <w:tblPr>
        <w:tblStyle w:val="Estilo2"/>
        <w:tblW w:w="14000" w:type="dxa"/>
        <w:tblLook w:val="04A0" w:firstRow="1" w:lastRow="0" w:firstColumn="1" w:lastColumn="0" w:noHBand="0" w:noVBand="1"/>
      </w:tblPr>
      <w:tblGrid>
        <w:gridCol w:w="2100"/>
        <w:gridCol w:w="2440"/>
        <w:gridCol w:w="2620"/>
        <w:gridCol w:w="2180"/>
        <w:gridCol w:w="2280"/>
        <w:gridCol w:w="2380"/>
      </w:tblGrid>
      <w:tr w:rsidR="00B943BF" w:rsidRPr="00030D4D" w:rsidTr="000A643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745F89">
            <w:pPr>
              <w:spacing w:before="0" w:after="0" w:line="240" w:lineRule="auto"/>
              <w:jc w:val="center"/>
              <w:rPr>
                <w:rFonts w:ascii="Arial" w:eastAsia="Times New Roman" w:hAnsi="Arial" w:cs="Arial"/>
                <w:bCs w:val="0"/>
                <w:sz w:val="20"/>
                <w:szCs w:val="20"/>
                <w:lang w:eastAsia="pt-BR"/>
              </w:rPr>
            </w:pPr>
            <w:r w:rsidRPr="00030D4D">
              <w:rPr>
                <w:rFonts w:ascii="Arial" w:eastAsia="Times New Roman" w:hAnsi="Arial" w:cs="Arial"/>
                <w:bCs w:val="0"/>
                <w:sz w:val="20"/>
                <w:szCs w:val="20"/>
                <w:lang w:eastAsia="pt-BR"/>
              </w:rPr>
              <w:t>Características</w:t>
            </w:r>
          </w:p>
        </w:tc>
        <w:tc>
          <w:tcPr>
            <w:tcW w:w="2440" w:type="dxa"/>
            <w:hideMark/>
          </w:tcPr>
          <w:p w:rsidR="00B943BF" w:rsidRPr="00030D4D" w:rsidRDefault="00B943BF" w:rsidP="00745F89">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pt-BR"/>
              </w:rPr>
            </w:pPr>
            <w:r w:rsidRPr="00030D4D">
              <w:rPr>
                <w:rFonts w:ascii="Arial" w:eastAsia="Times New Roman" w:hAnsi="Arial" w:cs="Arial"/>
                <w:bCs w:val="0"/>
                <w:sz w:val="20"/>
                <w:szCs w:val="20"/>
                <w:lang w:eastAsia="pt-BR"/>
              </w:rPr>
              <w:t>Subvenção Econômica</w:t>
            </w:r>
          </w:p>
        </w:tc>
        <w:tc>
          <w:tcPr>
            <w:tcW w:w="2620" w:type="dxa"/>
            <w:hideMark/>
          </w:tcPr>
          <w:p w:rsidR="00B943BF" w:rsidRPr="00030D4D" w:rsidRDefault="00B943BF" w:rsidP="00745F89">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pt-BR"/>
              </w:rPr>
            </w:pPr>
            <w:r w:rsidRPr="00030D4D">
              <w:rPr>
                <w:rFonts w:ascii="Arial" w:eastAsia="Times New Roman" w:hAnsi="Arial" w:cs="Arial"/>
                <w:bCs w:val="0"/>
                <w:sz w:val="20"/>
                <w:szCs w:val="20"/>
                <w:lang w:eastAsia="pt-BR"/>
              </w:rPr>
              <w:t>Subvenção Pesquisador na Empresa</w:t>
            </w:r>
          </w:p>
        </w:tc>
        <w:tc>
          <w:tcPr>
            <w:tcW w:w="2180" w:type="dxa"/>
            <w:hideMark/>
          </w:tcPr>
          <w:p w:rsidR="00B943BF" w:rsidRPr="00030D4D" w:rsidRDefault="00B943BF" w:rsidP="00745F89">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pt-BR"/>
              </w:rPr>
            </w:pPr>
            <w:r w:rsidRPr="00030D4D">
              <w:rPr>
                <w:rFonts w:ascii="Arial" w:eastAsia="Times New Roman" w:hAnsi="Arial" w:cs="Arial"/>
                <w:bCs w:val="0"/>
                <w:sz w:val="20"/>
                <w:szCs w:val="20"/>
                <w:lang w:eastAsia="pt-BR"/>
              </w:rPr>
              <w:t>Convênios</w:t>
            </w:r>
          </w:p>
        </w:tc>
        <w:tc>
          <w:tcPr>
            <w:tcW w:w="2280" w:type="dxa"/>
            <w:hideMark/>
          </w:tcPr>
          <w:p w:rsidR="00B943BF" w:rsidRPr="00030D4D" w:rsidRDefault="00B943BF" w:rsidP="00745F89">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pt-BR"/>
              </w:rPr>
            </w:pPr>
            <w:r w:rsidRPr="00030D4D">
              <w:rPr>
                <w:rFonts w:ascii="Arial" w:eastAsia="Times New Roman" w:hAnsi="Arial" w:cs="Arial"/>
                <w:bCs w:val="0"/>
                <w:sz w:val="20"/>
                <w:szCs w:val="20"/>
                <w:lang w:eastAsia="pt-BR"/>
              </w:rPr>
              <w:t>Projetos Cooperativos</w:t>
            </w:r>
          </w:p>
        </w:tc>
        <w:tc>
          <w:tcPr>
            <w:tcW w:w="2380" w:type="dxa"/>
            <w:hideMark/>
          </w:tcPr>
          <w:p w:rsidR="00B943BF" w:rsidRPr="00030D4D" w:rsidRDefault="00B943BF" w:rsidP="00745F89">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pt-BR"/>
              </w:rPr>
            </w:pPr>
            <w:r w:rsidRPr="00030D4D">
              <w:rPr>
                <w:rFonts w:ascii="Arial" w:eastAsia="Times New Roman" w:hAnsi="Arial" w:cs="Arial"/>
                <w:bCs w:val="0"/>
                <w:sz w:val="20"/>
                <w:szCs w:val="20"/>
                <w:lang w:eastAsia="pt-BR"/>
              </w:rPr>
              <w:t>Funtec (*)</w:t>
            </w:r>
          </w:p>
        </w:tc>
      </w:tr>
      <w:tr w:rsidR="00B943BF" w:rsidRPr="00030D4D" w:rsidTr="000A643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745F89">
            <w:pPr>
              <w:spacing w:before="0" w:after="0" w:line="240" w:lineRule="auto"/>
              <w:jc w:val="center"/>
              <w:rPr>
                <w:rFonts w:ascii="Arial" w:eastAsia="Times New Roman" w:hAnsi="Arial" w:cs="Arial"/>
                <w:sz w:val="20"/>
                <w:szCs w:val="20"/>
                <w:lang w:eastAsia="pt-BR"/>
              </w:rPr>
            </w:pPr>
            <w:r w:rsidRPr="00030D4D">
              <w:rPr>
                <w:rFonts w:ascii="Arial" w:eastAsia="Times New Roman" w:hAnsi="Arial" w:cs="Arial"/>
                <w:sz w:val="20"/>
                <w:szCs w:val="20"/>
                <w:lang w:eastAsia="pt-BR"/>
              </w:rPr>
              <w:t>Instituição responsável pela operação</w:t>
            </w:r>
          </w:p>
        </w:tc>
        <w:tc>
          <w:tcPr>
            <w:tcW w:w="2440" w:type="dxa"/>
            <w:hideMark/>
          </w:tcPr>
          <w:p w:rsidR="00B943BF" w:rsidRPr="00030D4D" w:rsidRDefault="00B943BF" w:rsidP="00745F8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pt-BR"/>
              </w:rPr>
            </w:pPr>
            <w:r w:rsidRPr="00030D4D">
              <w:rPr>
                <w:rFonts w:ascii="Arial" w:eastAsia="Times New Roman" w:hAnsi="Arial" w:cs="Arial"/>
                <w:b/>
                <w:sz w:val="20"/>
                <w:szCs w:val="20"/>
                <w:lang w:eastAsia="pt-BR"/>
              </w:rPr>
              <w:t>Finep</w:t>
            </w:r>
          </w:p>
        </w:tc>
        <w:tc>
          <w:tcPr>
            <w:tcW w:w="2620" w:type="dxa"/>
            <w:hideMark/>
          </w:tcPr>
          <w:p w:rsidR="00B943BF" w:rsidRPr="00030D4D" w:rsidRDefault="00B943BF" w:rsidP="00745F8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pt-BR"/>
              </w:rPr>
            </w:pPr>
            <w:r w:rsidRPr="00030D4D">
              <w:rPr>
                <w:rFonts w:ascii="Arial" w:eastAsia="Times New Roman" w:hAnsi="Arial" w:cs="Arial"/>
                <w:b/>
                <w:sz w:val="20"/>
                <w:szCs w:val="20"/>
                <w:lang w:eastAsia="pt-BR"/>
              </w:rPr>
              <w:t>Finep</w:t>
            </w:r>
          </w:p>
        </w:tc>
        <w:tc>
          <w:tcPr>
            <w:tcW w:w="2180" w:type="dxa"/>
            <w:hideMark/>
          </w:tcPr>
          <w:p w:rsidR="00B943BF" w:rsidRPr="00030D4D" w:rsidRDefault="00B943BF" w:rsidP="00745F8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pt-BR"/>
              </w:rPr>
            </w:pPr>
            <w:r w:rsidRPr="00030D4D">
              <w:rPr>
                <w:rFonts w:ascii="Arial" w:eastAsia="Times New Roman" w:hAnsi="Arial" w:cs="Arial"/>
                <w:b/>
                <w:sz w:val="20"/>
                <w:szCs w:val="20"/>
                <w:lang w:eastAsia="pt-BR"/>
              </w:rPr>
              <w:t>Finep</w:t>
            </w:r>
          </w:p>
        </w:tc>
        <w:tc>
          <w:tcPr>
            <w:tcW w:w="2280" w:type="dxa"/>
            <w:hideMark/>
          </w:tcPr>
          <w:p w:rsidR="00B943BF" w:rsidRPr="00030D4D" w:rsidRDefault="00B943BF" w:rsidP="00745F8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pt-BR"/>
              </w:rPr>
            </w:pPr>
            <w:r w:rsidRPr="00030D4D">
              <w:rPr>
                <w:rFonts w:ascii="Arial" w:eastAsia="Times New Roman" w:hAnsi="Arial" w:cs="Arial"/>
                <w:b/>
                <w:sz w:val="20"/>
                <w:szCs w:val="20"/>
                <w:lang w:eastAsia="pt-BR"/>
              </w:rPr>
              <w:t>Finep</w:t>
            </w:r>
          </w:p>
        </w:tc>
        <w:tc>
          <w:tcPr>
            <w:tcW w:w="2380" w:type="dxa"/>
            <w:hideMark/>
          </w:tcPr>
          <w:p w:rsidR="00B943BF" w:rsidRPr="00030D4D" w:rsidRDefault="00B943BF" w:rsidP="00745F8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pt-BR"/>
              </w:rPr>
            </w:pPr>
            <w:r w:rsidRPr="00030D4D">
              <w:rPr>
                <w:rFonts w:ascii="Arial" w:eastAsia="Times New Roman" w:hAnsi="Arial" w:cs="Arial"/>
                <w:b/>
                <w:sz w:val="20"/>
                <w:szCs w:val="20"/>
                <w:lang w:eastAsia="pt-BR"/>
              </w:rPr>
              <w:t>BNDES</w:t>
            </w:r>
          </w:p>
        </w:tc>
      </w:tr>
      <w:tr w:rsidR="00B943BF" w:rsidRPr="00030D4D" w:rsidTr="000A643D">
        <w:trPr>
          <w:cnfStyle w:val="000000010000" w:firstRow="0" w:lastRow="0" w:firstColumn="0" w:lastColumn="0" w:oddVBand="0" w:evenVBand="0" w:oddHBand="0" w:evenHBand="1" w:firstRowFirstColumn="0" w:firstRowLastColumn="0" w:lastRowFirstColumn="0" w:lastRowLastColumn="0"/>
          <w:trHeight w:val="26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color w:val="000000"/>
                <w:sz w:val="20"/>
                <w:szCs w:val="20"/>
                <w:lang w:eastAsia="pt-BR"/>
              </w:rPr>
            </w:pPr>
            <w:r w:rsidRPr="00030D4D">
              <w:rPr>
                <w:rFonts w:ascii="Arial" w:eastAsia="Times New Roman" w:hAnsi="Arial" w:cs="Arial"/>
                <w:b w:val="0"/>
                <w:color w:val="000000"/>
                <w:sz w:val="20"/>
                <w:szCs w:val="20"/>
                <w:lang w:eastAsia="pt-BR"/>
              </w:rPr>
              <w:t>Usuários elegíveis</w:t>
            </w:r>
          </w:p>
        </w:tc>
        <w:tc>
          <w:tcPr>
            <w:tcW w:w="244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Empresas (organizações públicas e privadas) com fins lucrativos</w:t>
            </w:r>
          </w:p>
        </w:tc>
        <w:tc>
          <w:tcPr>
            <w:tcW w:w="262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Pesquisador com título de mestre ou doutor contratado por empresas</w:t>
            </w:r>
          </w:p>
        </w:tc>
        <w:tc>
          <w:tcPr>
            <w:tcW w:w="21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Instituições Científicas e Tecnológicas (Universidades, Centros, Laboratórios de Pesquisa) e demais organizações de pesquisa e/ou desenvolvimento privadas sem fins lucrativos</w:t>
            </w:r>
          </w:p>
        </w:tc>
        <w:tc>
          <w:tcPr>
            <w:tcW w:w="22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Instituições Científicas e Tecnológicas (Universidades, Centros, Laboratórios de Pesquisa) e demais organizações de pesquisa e/ou desenvolvimento privadas sem fins lucrativos</w:t>
            </w:r>
          </w:p>
        </w:tc>
        <w:tc>
          <w:tcPr>
            <w:tcW w:w="23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Instituições Científicas e Tecnológicas (Universidades, Centros, Laboratórios de Pesquisa) e demais organizações de pesquisa e/ou desenvolvimento privadas sem fins lucrativos</w:t>
            </w:r>
          </w:p>
        </w:tc>
      </w:tr>
      <w:tr w:rsidR="00B943BF" w:rsidRPr="00030D4D" w:rsidTr="000A643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color w:val="000000"/>
                <w:sz w:val="20"/>
                <w:szCs w:val="20"/>
                <w:lang w:eastAsia="pt-BR"/>
              </w:rPr>
            </w:pPr>
            <w:r w:rsidRPr="00030D4D">
              <w:rPr>
                <w:rFonts w:ascii="Arial" w:eastAsia="Times New Roman" w:hAnsi="Arial" w:cs="Arial"/>
                <w:b w:val="0"/>
                <w:color w:val="000000"/>
                <w:sz w:val="20"/>
                <w:szCs w:val="20"/>
                <w:lang w:eastAsia="pt-BR"/>
              </w:rPr>
              <w:t>Acesso</w:t>
            </w:r>
          </w:p>
        </w:tc>
        <w:tc>
          <w:tcPr>
            <w:tcW w:w="2440" w:type="dxa"/>
            <w:hideMark/>
          </w:tcPr>
          <w:p w:rsidR="00B943BF" w:rsidRPr="00030D4D" w:rsidRDefault="00B943BF" w:rsidP="00394B7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Edital, chamada pública ou balcão (encomenda)</w:t>
            </w:r>
          </w:p>
        </w:tc>
        <w:tc>
          <w:tcPr>
            <w:tcW w:w="2620" w:type="dxa"/>
            <w:hideMark/>
          </w:tcPr>
          <w:p w:rsidR="00B943BF" w:rsidRPr="00030D4D" w:rsidRDefault="00B943BF" w:rsidP="00394B7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Edital, chamada pública ou balcão (encomenda)</w:t>
            </w:r>
          </w:p>
        </w:tc>
        <w:tc>
          <w:tcPr>
            <w:tcW w:w="2180" w:type="dxa"/>
            <w:hideMark/>
          </w:tcPr>
          <w:p w:rsidR="00B943BF" w:rsidRPr="00030D4D" w:rsidRDefault="00B943BF" w:rsidP="00394B7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Edital, chamada pública ou balcão (encomenda)</w:t>
            </w:r>
          </w:p>
        </w:tc>
        <w:tc>
          <w:tcPr>
            <w:tcW w:w="2280" w:type="dxa"/>
            <w:hideMark/>
          </w:tcPr>
          <w:p w:rsidR="00B943BF" w:rsidRPr="00030D4D" w:rsidRDefault="00B943BF" w:rsidP="00394B7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Edital, chamada pública ou balcão (encomenda)</w:t>
            </w:r>
          </w:p>
        </w:tc>
        <w:tc>
          <w:tcPr>
            <w:tcW w:w="2380" w:type="dxa"/>
            <w:hideMark/>
          </w:tcPr>
          <w:p w:rsidR="00B943BF" w:rsidRPr="00030D4D" w:rsidRDefault="00B943BF" w:rsidP="00394B7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Balcão</w:t>
            </w:r>
            <w:r w:rsidR="00C2392C" w:rsidRPr="00030D4D">
              <w:rPr>
                <w:rFonts w:ascii="Arial" w:eastAsia="Times New Roman" w:hAnsi="Arial" w:cs="Arial"/>
                <w:color w:val="000000"/>
                <w:sz w:val="20"/>
                <w:szCs w:val="20"/>
                <w:lang w:eastAsia="pt-BR"/>
              </w:rPr>
              <w:t>, com datas pré-definidas</w:t>
            </w:r>
            <w:r w:rsidRPr="00030D4D">
              <w:rPr>
                <w:rFonts w:ascii="Arial" w:eastAsia="Times New Roman" w:hAnsi="Arial" w:cs="Arial"/>
                <w:color w:val="000000"/>
                <w:sz w:val="20"/>
                <w:szCs w:val="20"/>
                <w:lang w:eastAsia="pt-BR"/>
              </w:rPr>
              <w:t xml:space="preserve"> (1)</w:t>
            </w:r>
          </w:p>
        </w:tc>
      </w:tr>
      <w:tr w:rsidR="00B943BF" w:rsidRPr="00030D4D" w:rsidTr="000A643D">
        <w:trPr>
          <w:cnfStyle w:val="000000010000" w:firstRow="0" w:lastRow="0" w:firstColumn="0" w:lastColumn="0" w:oddVBand="0" w:evenVBand="0" w:oddHBand="0" w:evenHBand="1"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color w:val="000000"/>
                <w:sz w:val="20"/>
                <w:szCs w:val="20"/>
                <w:lang w:eastAsia="pt-BR"/>
              </w:rPr>
            </w:pPr>
            <w:r w:rsidRPr="00030D4D">
              <w:rPr>
                <w:rFonts w:ascii="Arial" w:eastAsia="Times New Roman" w:hAnsi="Arial" w:cs="Arial"/>
                <w:b w:val="0"/>
                <w:color w:val="000000"/>
                <w:sz w:val="20"/>
                <w:szCs w:val="20"/>
                <w:lang w:eastAsia="pt-BR"/>
              </w:rPr>
              <w:t>Itens financiáveis</w:t>
            </w:r>
          </w:p>
        </w:tc>
        <w:tc>
          <w:tcPr>
            <w:tcW w:w="2440" w:type="dxa"/>
            <w:hideMark/>
          </w:tcPr>
          <w:p w:rsidR="00B943BF" w:rsidRPr="00030D4D" w:rsidRDefault="00B943BF" w:rsidP="00F85FB1">
            <w:pPr>
              <w:spacing w:before="0" w:after="0" w:line="240" w:lineRule="auto"/>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Custeio: pessoal, matérias-primas, serviços de terceiros, patentes, despesas de conservação e adaptação de bens imóveis (2)</w:t>
            </w:r>
          </w:p>
        </w:tc>
        <w:tc>
          <w:tcPr>
            <w:tcW w:w="262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c>
          <w:tcPr>
            <w:tcW w:w="21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c>
          <w:tcPr>
            <w:tcW w:w="22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c>
          <w:tcPr>
            <w:tcW w:w="23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r>
      <w:tr w:rsidR="00B943BF" w:rsidRPr="00030D4D" w:rsidTr="000A643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color w:val="000000"/>
                <w:sz w:val="20"/>
                <w:szCs w:val="20"/>
                <w:lang w:eastAsia="pt-BR"/>
              </w:rPr>
            </w:pPr>
            <w:r w:rsidRPr="00030D4D">
              <w:rPr>
                <w:rFonts w:ascii="Arial" w:eastAsia="Times New Roman" w:hAnsi="Arial" w:cs="Arial"/>
                <w:b w:val="0"/>
                <w:color w:val="000000"/>
                <w:sz w:val="20"/>
                <w:szCs w:val="20"/>
                <w:lang w:eastAsia="pt-BR"/>
              </w:rPr>
              <w:t>Contrapartidas</w:t>
            </w:r>
          </w:p>
        </w:tc>
        <w:tc>
          <w:tcPr>
            <w:tcW w:w="244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262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21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22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c>
          <w:tcPr>
            <w:tcW w:w="23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Sim</w:t>
            </w:r>
          </w:p>
        </w:tc>
      </w:tr>
      <w:tr w:rsidR="00B943BF" w:rsidRPr="00030D4D" w:rsidTr="000A643D">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sz w:val="20"/>
                <w:szCs w:val="20"/>
                <w:lang w:eastAsia="pt-BR"/>
              </w:rPr>
            </w:pPr>
            <w:r w:rsidRPr="00030D4D">
              <w:rPr>
                <w:rFonts w:ascii="Arial" w:eastAsia="Times New Roman" w:hAnsi="Arial" w:cs="Arial"/>
                <w:b w:val="0"/>
                <w:sz w:val="20"/>
                <w:szCs w:val="20"/>
                <w:lang w:eastAsia="pt-BR"/>
              </w:rPr>
              <w:t>Dotação disponível</w:t>
            </w:r>
          </w:p>
        </w:tc>
        <w:tc>
          <w:tcPr>
            <w:tcW w:w="2440" w:type="dxa"/>
            <w:hideMark/>
          </w:tcPr>
          <w:p w:rsidR="00B943BF" w:rsidRPr="00030D4D" w:rsidRDefault="00B943BF" w:rsidP="00F85FB1">
            <w:pPr>
              <w:spacing w:before="0" w:after="0" w:line="240" w:lineRule="auto"/>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Definida no edital ou chamada</w:t>
            </w:r>
          </w:p>
        </w:tc>
        <w:tc>
          <w:tcPr>
            <w:tcW w:w="2620" w:type="dxa"/>
            <w:hideMark/>
          </w:tcPr>
          <w:p w:rsidR="00B943BF" w:rsidRPr="00030D4D" w:rsidRDefault="00B943BF" w:rsidP="00F85FB1">
            <w:pPr>
              <w:spacing w:before="0" w:after="0" w:line="240" w:lineRule="auto"/>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Definida no edital ou chamada</w:t>
            </w:r>
          </w:p>
        </w:tc>
        <w:tc>
          <w:tcPr>
            <w:tcW w:w="2180" w:type="dxa"/>
            <w:hideMark/>
          </w:tcPr>
          <w:p w:rsidR="00B943BF" w:rsidRPr="00030D4D" w:rsidRDefault="00B943BF" w:rsidP="00F85FB1">
            <w:pPr>
              <w:spacing w:before="0" w:after="0" w:line="240" w:lineRule="auto"/>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Definida no edital ou chamada</w:t>
            </w:r>
          </w:p>
        </w:tc>
        <w:tc>
          <w:tcPr>
            <w:tcW w:w="2280" w:type="dxa"/>
            <w:hideMark/>
          </w:tcPr>
          <w:p w:rsidR="00B943BF" w:rsidRPr="00030D4D" w:rsidRDefault="00B943BF" w:rsidP="00F85FB1">
            <w:pPr>
              <w:spacing w:before="0" w:after="0" w:line="240" w:lineRule="auto"/>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Definida no edital ou chamada</w:t>
            </w:r>
          </w:p>
        </w:tc>
        <w:tc>
          <w:tcPr>
            <w:tcW w:w="2380" w:type="dxa"/>
            <w:hideMark/>
          </w:tcPr>
          <w:p w:rsidR="00B943BF" w:rsidRPr="00030D4D" w:rsidRDefault="00B943BF" w:rsidP="00F85FB1">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r>
      <w:tr w:rsidR="00B943BF" w:rsidRPr="00030D4D" w:rsidTr="000A643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iCs/>
                <w:sz w:val="20"/>
                <w:szCs w:val="20"/>
                <w:lang w:eastAsia="pt-BR"/>
              </w:rPr>
            </w:pPr>
            <w:r w:rsidRPr="00030D4D">
              <w:rPr>
                <w:rFonts w:ascii="Arial" w:eastAsia="Times New Roman" w:hAnsi="Arial" w:cs="Arial"/>
                <w:b w:val="0"/>
                <w:iCs/>
                <w:sz w:val="20"/>
                <w:szCs w:val="20"/>
                <w:lang w:eastAsia="pt-BR"/>
              </w:rPr>
              <w:t>Montantes (mínimo e "típico")</w:t>
            </w:r>
          </w:p>
        </w:tc>
        <w:tc>
          <w:tcPr>
            <w:tcW w:w="2440" w:type="dxa"/>
            <w:hideMark/>
          </w:tcPr>
          <w:p w:rsidR="00B943BF" w:rsidRPr="00030D4D" w:rsidRDefault="00B943BF" w:rsidP="00F85FB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Definido no edital ou chamada</w:t>
            </w:r>
          </w:p>
        </w:tc>
        <w:tc>
          <w:tcPr>
            <w:tcW w:w="2620" w:type="dxa"/>
            <w:hideMark/>
          </w:tcPr>
          <w:p w:rsidR="00B943BF" w:rsidRPr="00030D4D" w:rsidRDefault="00B943BF" w:rsidP="00F85FB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Definido no edital ou chamada</w:t>
            </w:r>
          </w:p>
        </w:tc>
        <w:tc>
          <w:tcPr>
            <w:tcW w:w="2180" w:type="dxa"/>
            <w:hideMark/>
          </w:tcPr>
          <w:p w:rsidR="00B943BF" w:rsidRPr="00030D4D" w:rsidRDefault="00B943BF" w:rsidP="00F85FB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Definido no edital ou chamada</w:t>
            </w:r>
          </w:p>
        </w:tc>
        <w:tc>
          <w:tcPr>
            <w:tcW w:w="2280" w:type="dxa"/>
            <w:hideMark/>
          </w:tcPr>
          <w:p w:rsidR="00B943BF" w:rsidRPr="00030D4D" w:rsidRDefault="00B943BF" w:rsidP="00F85FB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Definido no edital ou chamada</w:t>
            </w:r>
          </w:p>
        </w:tc>
        <w:tc>
          <w:tcPr>
            <w:tcW w:w="23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r>
      <w:tr w:rsidR="00922C08" w:rsidRPr="00030D4D" w:rsidTr="000A643D">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922C08" w:rsidRPr="00030D4D" w:rsidRDefault="00922C08" w:rsidP="00171B87">
            <w:pPr>
              <w:spacing w:before="0" w:after="0" w:line="240" w:lineRule="auto"/>
              <w:jc w:val="left"/>
              <w:rPr>
                <w:rFonts w:ascii="Arial" w:eastAsia="Times New Roman" w:hAnsi="Arial" w:cs="Arial"/>
                <w:b w:val="0"/>
                <w:iCs/>
                <w:sz w:val="20"/>
                <w:szCs w:val="20"/>
                <w:lang w:eastAsia="pt-BR"/>
              </w:rPr>
            </w:pPr>
            <w:r w:rsidRPr="00030D4D">
              <w:rPr>
                <w:rFonts w:ascii="Arial" w:eastAsia="Times New Roman" w:hAnsi="Arial" w:cs="Arial"/>
                <w:b w:val="0"/>
                <w:iCs/>
                <w:sz w:val="20"/>
                <w:szCs w:val="20"/>
                <w:lang w:eastAsia="pt-BR"/>
              </w:rPr>
              <w:t>Prazo típico de tramitação</w:t>
            </w:r>
          </w:p>
        </w:tc>
        <w:tc>
          <w:tcPr>
            <w:tcW w:w="2440" w:type="dxa"/>
            <w:hideMark/>
          </w:tcPr>
          <w:p w:rsidR="00922C08" w:rsidRPr="00030D4D" w:rsidRDefault="00922C08" w:rsidP="00171B87">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620" w:type="dxa"/>
            <w:hideMark/>
          </w:tcPr>
          <w:p w:rsidR="00922C08" w:rsidRPr="00030D4D" w:rsidRDefault="00922C08" w:rsidP="00171B87">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180" w:type="dxa"/>
            <w:hideMark/>
          </w:tcPr>
          <w:p w:rsidR="00922C08" w:rsidRPr="00030D4D" w:rsidRDefault="00922C08" w:rsidP="00171B87">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280" w:type="dxa"/>
            <w:hideMark/>
          </w:tcPr>
          <w:p w:rsidR="00922C08" w:rsidRPr="00030D4D" w:rsidRDefault="00922C08" w:rsidP="00171B87">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380" w:type="dxa"/>
            <w:hideMark/>
          </w:tcPr>
          <w:p w:rsidR="00922C08" w:rsidRPr="00030D4D" w:rsidRDefault="00922C08" w:rsidP="00171B87">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r>
      <w:tr w:rsidR="0055171B" w:rsidRPr="00030D4D" w:rsidTr="000A643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55171B" w:rsidRPr="00030D4D" w:rsidRDefault="0055171B" w:rsidP="0055171B">
            <w:pPr>
              <w:spacing w:before="0" w:after="0" w:line="240" w:lineRule="auto"/>
              <w:jc w:val="center"/>
              <w:rPr>
                <w:rFonts w:ascii="Arial" w:eastAsia="Times New Roman" w:hAnsi="Arial" w:cs="Arial"/>
                <w:bCs w:val="0"/>
                <w:color w:val="FFFFFF" w:themeColor="background1"/>
                <w:sz w:val="20"/>
                <w:szCs w:val="20"/>
                <w:lang w:eastAsia="pt-BR"/>
              </w:rPr>
            </w:pPr>
            <w:r w:rsidRPr="00030D4D">
              <w:rPr>
                <w:rFonts w:ascii="Arial" w:eastAsia="Times New Roman" w:hAnsi="Arial" w:cs="Arial"/>
                <w:bCs w:val="0"/>
                <w:color w:val="FFFFFF" w:themeColor="background1"/>
                <w:sz w:val="20"/>
                <w:szCs w:val="20"/>
                <w:lang w:eastAsia="pt-BR"/>
              </w:rPr>
              <w:t>Características</w:t>
            </w:r>
          </w:p>
        </w:tc>
        <w:tc>
          <w:tcPr>
            <w:tcW w:w="2440" w:type="dxa"/>
            <w:hideMark/>
          </w:tcPr>
          <w:p w:rsidR="0055171B" w:rsidRPr="00030D4D" w:rsidRDefault="0055171B" w:rsidP="0055171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FFFF" w:themeColor="background1"/>
                <w:sz w:val="20"/>
                <w:szCs w:val="20"/>
                <w:lang w:eastAsia="pt-BR"/>
              </w:rPr>
            </w:pPr>
            <w:r w:rsidRPr="00030D4D">
              <w:rPr>
                <w:rFonts w:ascii="Arial" w:eastAsia="Times New Roman" w:hAnsi="Arial" w:cs="Arial"/>
                <w:b/>
                <w:bCs/>
                <w:color w:val="FFFFFF" w:themeColor="background1"/>
                <w:sz w:val="20"/>
                <w:szCs w:val="20"/>
                <w:lang w:eastAsia="pt-BR"/>
              </w:rPr>
              <w:t>Subvenção Econômica</w:t>
            </w:r>
          </w:p>
        </w:tc>
        <w:tc>
          <w:tcPr>
            <w:tcW w:w="2620" w:type="dxa"/>
            <w:hideMark/>
          </w:tcPr>
          <w:p w:rsidR="0055171B" w:rsidRPr="00030D4D" w:rsidRDefault="0055171B" w:rsidP="0055171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FFFF" w:themeColor="background1"/>
                <w:sz w:val="20"/>
                <w:szCs w:val="20"/>
                <w:lang w:eastAsia="pt-BR"/>
              </w:rPr>
            </w:pPr>
            <w:r w:rsidRPr="00030D4D">
              <w:rPr>
                <w:rFonts w:ascii="Arial" w:eastAsia="Times New Roman" w:hAnsi="Arial" w:cs="Arial"/>
                <w:b/>
                <w:bCs/>
                <w:color w:val="FFFFFF" w:themeColor="background1"/>
                <w:sz w:val="20"/>
                <w:szCs w:val="20"/>
                <w:lang w:eastAsia="pt-BR"/>
              </w:rPr>
              <w:t>Subvenção Pesquisador na Empresa</w:t>
            </w:r>
          </w:p>
        </w:tc>
        <w:tc>
          <w:tcPr>
            <w:tcW w:w="2180" w:type="dxa"/>
            <w:hideMark/>
          </w:tcPr>
          <w:p w:rsidR="0055171B" w:rsidRPr="00030D4D" w:rsidRDefault="0055171B" w:rsidP="0055171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FFFF" w:themeColor="background1"/>
                <w:sz w:val="20"/>
                <w:szCs w:val="20"/>
                <w:lang w:eastAsia="pt-BR"/>
              </w:rPr>
            </w:pPr>
            <w:r w:rsidRPr="00030D4D">
              <w:rPr>
                <w:rFonts w:ascii="Arial" w:eastAsia="Times New Roman" w:hAnsi="Arial" w:cs="Arial"/>
                <w:b/>
                <w:bCs/>
                <w:color w:val="FFFFFF" w:themeColor="background1"/>
                <w:sz w:val="20"/>
                <w:szCs w:val="20"/>
                <w:lang w:eastAsia="pt-BR"/>
              </w:rPr>
              <w:t>Convênios</w:t>
            </w:r>
          </w:p>
        </w:tc>
        <w:tc>
          <w:tcPr>
            <w:tcW w:w="2280" w:type="dxa"/>
            <w:hideMark/>
          </w:tcPr>
          <w:p w:rsidR="0055171B" w:rsidRPr="00030D4D" w:rsidRDefault="0055171B" w:rsidP="0055171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FFFF" w:themeColor="background1"/>
                <w:sz w:val="20"/>
                <w:szCs w:val="20"/>
                <w:lang w:eastAsia="pt-BR"/>
              </w:rPr>
            </w:pPr>
            <w:r w:rsidRPr="00030D4D">
              <w:rPr>
                <w:rFonts w:ascii="Arial" w:eastAsia="Times New Roman" w:hAnsi="Arial" w:cs="Arial"/>
                <w:b/>
                <w:bCs/>
                <w:color w:val="FFFFFF" w:themeColor="background1"/>
                <w:sz w:val="20"/>
                <w:szCs w:val="20"/>
                <w:lang w:eastAsia="pt-BR"/>
              </w:rPr>
              <w:t>Projetos Cooperativos</w:t>
            </w:r>
          </w:p>
        </w:tc>
        <w:tc>
          <w:tcPr>
            <w:tcW w:w="2380" w:type="dxa"/>
            <w:hideMark/>
          </w:tcPr>
          <w:p w:rsidR="0055171B" w:rsidRPr="00030D4D" w:rsidRDefault="0055171B" w:rsidP="0055171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FFFF" w:themeColor="background1"/>
                <w:sz w:val="20"/>
                <w:szCs w:val="20"/>
                <w:lang w:eastAsia="pt-BR"/>
              </w:rPr>
            </w:pPr>
            <w:r w:rsidRPr="00030D4D">
              <w:rPr>
                <w:rFonts w:ascii="Arial" w:eastAsia="Times New Roman" w:hAnsi="Arial" w:cs="Arial"/>
                <w:b/>
                <w:bCs/>
                <w:color w:val="FFFFFF" w:themeColor="background1"/>
                <w:sz w:val="20"/>
                <w:szCs w:val="20"/>
                <w:lang w:eastAsia="pt-BR"/>
              </w:rPr>
              <w:t>Funtec (*)</w:t>
            </w:r>
          </w:p>
        </w:tc>
      </w:tr>
      <w:tr w:rsidR="0055171B" w:rsidRPr="00030D4D" w:rsidTr="000A643D">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tcPr>
          <w:p w:rsidR="0055171B" w:rsidRPr="00030D4D" w:rsidRDefault="0055171B" w:rsidP="0055171B">
            <w:pPr>
              <w:spacing w:before="0" w:after="0" w:line="240" w:lineRule="auto"/>
              <w:jc w:val="center"/>
              <w:rPr>
                <w:rFonts w:ascii="Arial" w:eastAsia="Times New Roman" w:hAnsi="Arial" w:cs="Arial"/>
                <w:color w:val="FFFFFF" w:themeColor="background1"/>
                <w:sz w:val="20"/>
                <w:szCs w:val="20"/>
                <w:lang w:eastAsia="pt-BR"/>
              </w:rPr>
            </w:pPr>
            <w:r w:rsidRPr="00030D4D">
              <w:rPr>
                <w:rFonts w:ascii="Arial" w:eastAsia="Times New Roman" w:hAnsi="Arial" w:cs="Arial"/>
                <w:color w:val="FFFFFF" w:themeColor="background1"/>
                <w:sz w:val="20"/>
                <w:szCs w:val="20"/>
                <w:lang w:eastAsia="pt-BR"/>
              </w:rPr>
              <w:t>Instituição responsável pela operação</w:t>
            </w:r>
          </w:p>
        </w:tc>
        <w:tc>
          <w:tcPr>
            <w:tcW w:w="2440" w:type="dxa"/>
          </w:tcPr>
          <w:p w:rsidR="0055171B" w:rsidRPr="00030D4D" w:rsidRDefault="0055171B" w:rsidP="0055171B">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color w:val="FFFFFF" w:themeColor="background1"/>
                <w:sz w:val="20"/>
                <w:szCs w:val="20"/>
                <w:lang w:eastAsia="pt-BR"/>
              </w:rPr>
            </w:pPr>
            <w:r w:rsidRPr="00030D4D">
              <w:rPr>
                <w:rFonts w:ascii="Arial" w:eastAsia="Times New Roman" w:hAnsi="Arial" w:cs="Arial"/>
                <w:b/>
                <w:color w:val="FFFFFF" w:themeColor="background1"/>
                <w:sz w:val="20"/>
                <w:szCs w:val="20"/>
                <w:lang w:eastAsia="pt-BR"/>
              </w:rPr>
              <w:t>Finep</w:t>
            </w:r>
          </w:p>
        </w:tc>
        <w:tc>
          <w:tcPr>
            <w:tcW w:w="2620" w:type="dxa"/>
          </w:tcPr>
          <w:p w:rsidR="0055171B" w:rsidRPr="00030D4D" w:rsidRDefault="0055171B" w:rsidP="0055171B">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color w:val="FFFFFF" w:themeColor="background1"/>
                <w:sz w:val="20"/>
                <w:szCs w:val="20"/>
                <w:lang w:eastAsia="pt-BR"/>
              </w:rPr>
            </w:pPr>
            <w:r w:rsidRPr="00030D4D">
              <w:rPr>
                <w:rFonts w:ascii="Arial" w:eastAsia="Times New Roman" w:hAnsi="Arial" w:cs="Arial"/>
                <w:b/>
                <w:color w:val="FFFFFF" w:themeColor="background1"/>
                <w:sz w:val="20"/>
                <w:szCs w:val="20"/>
                <w:lang w:eastAsia="pt-BR"/>
              </w:rPr>
              <w:t>Finep</w:t>
            </w:r>
          </w:p>
        </w:tc>
        <w:tc>
          <w:tcPr>
            <w:tcW w:w="2180" w:type="dxa"/>
          </w:tcPr>
          <w:p w:rsidR="0055171B" w:rsidRPr="00030D4D" w:rsidRDefault="0055171B" w:rsidP="0055171B">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color w:val="FFFFFF" w:themeColor="background1"/>
                <w:sz w:val="20"/>
                <w:szCs w:val="20"/>
                <w:lang w:eastAsia="pt-BR"/>
              </w:rPr>
            </w:pPr>
            <w:r w:rsidRPr="00030D4D">
              <w:rPr>
                <w:rFonts w:ascii="Arial" w:eastAsia="Times New Roman" w:hAnsi="Arial" w:cs="Arial"/>
                <w:b/>
                <w:color w:val="FFFFFF" w:themeColor="background1"/>
                <w:sz w:val="20"/>
                <w:szCs w:val="20"/>
                <w:lang w:eastAsia="pt-BR"/>
              </w:rPr>
              <w:t>Finep</w:t>
            </w:r>
          </w:p>
        </w:tc>
        <w:tc>
          <w:tcPr>
            <w:tcW w:w="2280" w:type="dxa"/>
          </w:tcPr>
          <w:p w:rsidR="0055171B" w:rsidRPr="00030D4D" w:rsidRDefault="0055171B" w:rsidP="0055171B">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color w:val="FFFFFF" w:themeColor="background1"/>
                <w:sz w:val="20"/>
                <w:szCs w:val="20"/>
                <w:lang w:eastAsia="pt-BR"/>
              </w:rPr>
            </w:pPr>
            <w:r w:rsidRPr="00030D4D">
              <w:rPr>
                <w:rFonts w:ascii="Arial" w:eastAsia="Times New Roman" w:hAnsi="Arial" w:cs="Arial"/>
                <w:b/>
                <w:color w:val="FFFFFF" w:themeColor="background1"/>
                <w:sz w:val="20"/>
                <w:szCs w:val="20"/>
                <w:lang w:eastAsia="pt-BR"/>
              </w:rPr>
              <w:t>Finep</w:t>
            </w:r>
          </w:p>
        </w:tc>
        <w:tc>
          <w:tcPr>
            <w:tcW w:w="2380" w:type="dxa"/>
          </w:tcPr>
          <w:p w:rsidR="0055171B" w:rsidRPr="00030D4D" w:rsidRDefault="0055171B" w:rsidP="0055171B">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color w:val="FFFFFF" w:themeColor="background1"/>
                <w:sz w:val="20"/>
                <w:szCs w:val="20"/>
                <w:lang w:eastAsia="pt-BR"/>
              </w:rPr>
            </w:pPr>
            <w:r w:rsidRPr="00030D4D">
              <w:rPr>
                <w:rFonts w:ascii="Arial" w:eastAsia="Times New Roman" w:hAnsi="Arial" w:cs="Arial"/>
                <w:b/>
                <w:color w:val="FFFFFF" w:themeColor="background1"/>
                <w:sz w:val="20"/>
                <w:szCs w:val="20"/>
                <w:lang w:eastAsia="pt-BR"/>
              </w:rPr>
              <w:t>BNDES</w:t>
            </w:r>
          </w:p>
        </w:tc>
      </w:tr>
      <w:tr w:rsidR="00B943BF" w:rsidRPr="00030D4D" w:rsidTr="000A643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00" w:type="dxa"/>
            <w:hideMark/>
          </w:tcPr>
          <w:p w:rsidR="00B943BF" w:rsidRPr="00030D4D" w:rsidRDefault="00B943BF" w:rsidP="006565B0">
            <w:pPr>
              <w:spacing w:before="0" w:after="0" w:line="240" w:lineRule="auto"/>
              <w:jc w:val="left"/>
              <w:rPr>
                <w:rFonts w:ascii="Arial" w:eastAsia="Times New Roman" w:hAnsi="Arial" w:cs="Arial"/>
                <w:b w:val="0"/>
                <w:iCs/>
                <w:sz w:val="20"/>
                <w:szCs w:val="20"/>
                <w:lang w:eastAsia="pt-BR"/>
              </w:rPr>
            </w:pPr>
            <w:r w:rsidRPr="00030D4D">
              <w:rPr>
                <w:rFonts w:ascii="Arial" w:eastAsia="Times New Roman" w:hAnsi="Arial" w:cs="Arial"/>
                <w:b w:val="0"/>
                <w:iCs/>
                <w:sz w:val="20"/>
                <w:szCs w:val="20"/>
                <w:lang w:eastAsia="pt-BR"/>
              </w:rPr>
              <w:t>Prazo típico de tramitação</w:t>
            </w:r>
          </w:p>
        </w:tc>
        <w:tc>
          <w:tcPr>
            <w:tcW w:w="244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62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1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2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Não há</w:t>
            </w:r>
          </w:p>
        </w:tc>
        <w:tc>
          <w:tcPr>
            <w:tcW w:w="2380" w:type="dxa"/>
            <w:hideMark/>
          </w:tcPr>
          <w:p w:rsidR="00B943BF" w:rsidRPr="00030D4D" w:rsidRDefault="00B943BF" w:rsidP="00F85FB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r>
    </w:tbl>
    <w:p w:rsidR="001B5FD8" w:rsidRPr="00030D4D" w:rsidRDefault="001B5FD8" w:rsidP="001B5FD8">
      <w:pPr>
        <w:pStyle w:val="ListParagraph"/>
        <w:spacing w:before="0"/>
        <w:rPr>
          <w:rFonts w:ascii="Arial" w:hAnsi="Arial" w:cs="Arial"/>
          <w:szCs w:val="24"/>
        </w:rPr>
      </w:pPr>
      <w:r w:rsidRPr="00030D4D">
        <w:rPr>
          <w:rFonts w:ascii="Arial" w:hAnsi="Arial" w:cs="Arial"/>
          <w:szCs w:val="24"/>
        </w:rPr>
        <w:t>(*) O recebimento de projetos está temporariamente suspenso</w:t>
      </w:r>
    </w:p>
    <w:p w:rsidR="00B26BA5" w:rsidRPr="00030D4D" w:rsidRDefault="00B26BA5" w:rsidP="001B5FD8">
      <w:pPr>
        <w:pStyle w:val="ListParagraph"/>
        <w:spacing w:before="0"/>
        <w:rPr>
          <w:rFonts w:ascii="Arial" w:hAnsi="Arial" w:cs="Arial"/>
          <w:szCs w:val="24"/>
        </w:rPr>
      </w:pPr>
      <w:r w:rsidRPr="00030D4D">
        <w:rPr>
          <w:rFonts w:ascii="Arial" w:hAnsi="Arial" w:cs="Arial"/>
          <w:szCs w:val="24"/>
        </w:rPr>
        <w:t xml:space="preserve">(1) </w:t>
      </w:r>
      <w:r w:rsidR="004A13B9" w:rsidRPr="00030D4D">
        <w:rPr>
          <w:rFonts w:ascii="Arial" w:hAnsi="Arial" w:cs="Arial"/>
          <w:szCs w:val="24"/>
        </w:rPr>
        <w:t xml:space="preserve">Ver datas-limite e detalhamentos em </w:t>
      </w:r>
      <w:r w:rsidRPr="00030D4D">
        <w:rPr>
          <w:rFonts w:ascii="Arial" w:hAnsi="Arial" w:cs="Arial"/>
          <w:szCs w:val="24"/>
        </w:rPr>
        <w:t>http://www.bndes.gov.br/wps/portal/site/home/financiamento/produto/bndes-funtec</w:t>
      </w:r>
    </w:p>
    <w:p w:rsidR="001B5FD8" w:rsidRPr="00030D4D" w:rsidRDefault="001B5FD8" w:rsidP="001B5FD8">
      <w:pPr>
        <w:pStyle w:val="ListParagraph"/>
        <w:spacing w:before="0"/>
        <w:rPr>
          <w:rFonts w:ascii="Arial" w:hAnsi="Arial" w:cs="Arial"/>
          <w:szCs w:val="24"/>
        </w:rPr>
        <w:sectPr w:rsidR="001B5FD8" w:rsidRPr="00030D4D" w:rsidSect="005F5A18">
          <w:pgSz w:w="16838" w:h="11906" w:orient="landscape"/>
          <w:pgMar w:top="1701" w:right="1417" w:bottom="1701" w:left="1417" w:header="708" w:footer="708" w:gutter="0"/>
          <w:cols w:space="708"/>
          <w:docGrid w:linePitch="360"/>
        </w:sectPr>
      </w:pPr>
      <w:r w:rsidRPr="00030D4D">
        <w:rPr>
          <w:rFonts w:ascii="Arial" w:hAnsi="Arial" w:cs="Arial"/>
          <w:szCs w:val="24"/>
        </w:rPr>
        <w:t>(2) Ver Manual de Programa Subvenção Econômica: http://download.finep.gov.br/formulariosManuais/manual_subvencao_2010.pdf</w:t>
      </w:r>
      <w:r w:rsidRPr="00030D4D">
        <w:rPr>
          <w:rFonts w:ascii="Arial" w:hAnsi="Arial" w:cs="Arial"/>
          <w:szCs w:val="24"/>
        </w:rPr>
        <w:cr/>
      </w:r>
    </w:p>
    <w:p w:rsidR="0027630D" w:rsidRPr="00030D4D" w:rsidRDefault="0027630D" w:rsidP="0027630D">
      <w:pPr>
        <w:rPr>
          <w:rFonts w:ascii="Arial" w:hAnsi="Arial" w:cs="Arial"/>
        </w:rPr>
      </w:pPr>
      <w:r w:rsidRPr="00030D4D">
        <w:rPr>
          <w:rFonts w:ascii="Arial" w:hAnsi="Arial" w:cs="Arial"/>
        </w:rPr>
        <w:t>Através do instrumento não reembolsável foram contratados 42.633 projetos entre 1997-2015, sendo 9.576 pela Finep e 33.057 pelo CNPq</w:t>
      </w:r>
      <w:r w:rsidRPr="00030D4D">
        <w:rPr>
          <w:rStyle w:val="FootnoteReference"/>
          <w:rFonts w:ascii="Arial" w:hAnsi="Arial" w:cs="Arial"/>
        </w:rPr>
        <w:footnoteReference w:id="21"/>
      </w:r>
      <w:r w:rsidRPr="00030D4D">
        <w:rPr>
          <w:rFonts w:ascii="Arial" w:hAnsi="Arial" w:cs="Arial"/>
        </w:rPr>
        <w:t>. Esses números não são exatos, correspondem a uma proxi razoável da realidade.</w:t>
      </w:r>
      <w:r w:rsidR="0077137D" w:rsidRPr="00030D4D">
        <w:rPr>
          <w:rFonts w:ascii="Arial" w:hAnsi="Arial" w:cs="Arial"/>
        </w:rPr>
        <w:t xml:space="preserve"> </w:t>
      </w:r>
      <w:r w:rsidRPr="00030D4D">
        <w:rPr>
          <w:rFonts w:ascii="Arial" w:hAnsi="Arial" w:cs="Arial"/>
        </w:rPr>
        <w:t>No caso da Finep, foi entre 2004 e 2006 que as contratações foram mais expressivas em termos quantitativos. No caso do CNPq, o melhor desempenho foi entre 2007 e 2013, porém esses contratos não necessariamente se referem a projetos de pesquisa, con</w:t>
      </w:r>
      <w:r w:rsidR="0077137D" w:rsidRPr="00030D4D">
        <w:rPr>
          <w:rFonts w:ascii="Arial" w:hAnsi="Arial" w:cs="Arial"/>
        </w:rPr>
        <w:t>figura</w:t>
      </w:r>
      <w:r w:rsidRPr="00030D4D">
        <w:rPr>
          <w:rFonts w:ascii="Arial" w:hAnsi="Arial" w:cs="Arial"/>
        </w:rPr>
        <w:t>ndo-se como recursos para pagamento de pesquisadores, seja para atuar nos projetos de pesquisa contratados pela Finep, seja para participar de eventos de natureza científica e tecnológica (</w:t>
      </w:r>
      <w:r w:rsidR="00F40DDB" w:rsidRPr="00030D4D">
        <w:rPr>
          <w:rFonts w:ascii="Arial" w:hAnsi="Arial" w:cs="Arial"/>
        </w:rPr>
        <w:t xml:space="preserve">Gráfico </w:t>
      </w:r>
      <w:r w:rsidR="0078235E" w:rsidRPr="00030D4D">
        <w:rPr>
          <w:rFonts w:ascii="Arial" w:hAnsi="Arial" w:cs="Arial"/>
        </w:rPr>
        <w:t>5</w:t>
      </w:r>
      <w:r w:rsidRPr="00030D4D">
        <w:rPr>
          <w:rFonts w:ascii="Arial" w:hAnsi="Arial" w:cs="Arial"/>
        </w:rPr>
        <w:t xml:space="preserve">). </w:t>
      </w:r>
    </w:p>
    <w:p w:rsidR="0027630D" w:rsidRPr="00030D4D" w:rsidRDefault="004725D1" w:rsidP="004725D1">
      <w:pPr>
        <w:pStyle w:val="Caption"/>
        <w:rPr>
          <w:rFonts w:ascii="Arial" w:hAnsi="Arial" w:cs="Arial"/>
        </w:rPr>
      </w:pPr>
      <w:bookmarkStart w:id="25" w:name="_Toc472516369"/>
      <w:bookmarkStart w:id="26" w:name="_Toc478833647"/>
      <w:bookmarkStart w:id="27" w:name="_Toc482828511"/>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5</w:t>
      </w:r>
      <w:r w:rsidR="005271BC" w:rsidRPr="00030D4D">
        <w:rPr>
          <w:rFonts w:ascii="Arial" w:hAnsi="Arial" w:cs="Arial"/>
          <w:noProof/>
        </w:rPr>
        <w:fldChar w:fldCharType="end"/>
      </w:r>
      <w:r w:rsidR="0027630D" w:rsidRPr="00030D4D">
        <w:rPr>
          <w:rFonts w:ascii="Arial" w:hAnsi="Arial" w:cs="Arial"/>
        </w:rPr>
        <w:t>. Número de projetos contratados pelo CNPq e pela Finep, 1997-2015</w:t>
      </w:r>
      <w:bookmarkEnd w:id="25"/>
      <w:r w:rsidR="0027630D" w:rsidRPr="00030D4D">
        <w:rPr>
          <w:rFonts w:ascii="Arial" w:hAnsi="Arial" w:cs="Arial"/>
        </w:rPr>
        <w:t>, com recursos não reembolsáveis do FNDCT</w:t>
      </w:r>
      <w:bookmarkEnd w:id="26"/>
      <w:bookmarkEnd w:id="27"/>
    </w:p>
    <w:p w:rsidR="0027630D" w:rsidRPr="00030D4D" w:rsidRDefault="0027630D" w:rsidP="0027630D">
      <w:pPr>
        <w:rPr>
          <w:rFonts w:ascii="Arial" w:hAnsi="Arial" w:cs="Arial"/>
        </w:rPr>
      </w:pPr>
      <w:r w:rsidRPr="00030D4D">
        <w:rPr>
          <w:rFonts w:ascii="Arial" w:hAnsi="Arial" w:cs="Arial"/>
          <w:noProof/>
          <w:lang w:val="en-US"/>
        </w:rPr>
        <w:drawing>
          <wp:inline distT="0" distB="0" distL="0" distR="0">
            <wp:extent cx="5019675" cy="2681605"/>
            <wp:effectExtent l="0" t="0" r="9525" b="4445"/>
            <wp:docPr id="16" name="Gráfico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7630D" w:rsidRPr="00030D4D" w:rsidRDefault="0027630D" w:rsidP="0027630D">
      <w:pPr>
        <w:rPr>
          <w:rFonts w:ascii="Arial" w:hAnsi="Arial" w:cs="Arial"/>
        </w:rPr>
      </w:pPr>
      <w:r w:rsidRPr="00030D4D">
        <w:rPr>
          <w:rFonts w:ascii="Arial" w:hAnsi="Arial" w:cs="Arial"/>
        </w:rPr>
        <w:t>Fonte: MCTI. Pesquisa realizada em 30/03/2017</w:t>
      </w:r>
    </w:p>
    <w:p w:rsidR="0027630D" w:rsidRPr="00030D4D" w:rsidRDefault="0027630D" w:rsidP="0027630D">
      <w:pPr>
        <w:rPr>
          <w:rFonts w:ascii="Arial" w:hAnsi="Arial" w:cs="Arial"/>
        </w:rPr>
      </w:pPr>
      <w:r w:rsidRPr="00030D4D">
        <w:rPr>
          <w:rFonts w:ascii="Arial" w:hAnsi="Arial" w:cs="Arial"/>
        </w:rPr>
        <w:t xml:space="preserve">O valor total dos contratos </w:t>
      </w:r>
      <w:r w:rsidR="00F31684" w:rsidRPr="00030D4D">
        <w:rPr>
          <w:rFonts w:ascii="Arial" w:hAnsi="Arial" w:cs="Arial"/>
        </w:rPr>
        <w:t xml:space="preserve">no período analisado </w:t>
      </w:r>
      <w:r w:rsidRPr="00030D4D">
        <w:rPr>
          <w:rFonts w:ascii="Arial" w:hAnsi="Arial" w:cs="Arial"/>
        </w:rPr>
        <w:t xml:space="preserve">foi de cerca de R$ 16,2 bilhões, sendo R$13,7 </w:t>
      </w:r>
      <w:r w:rsidR="00A51F4A" w:rsidRPr="00030D4D">
        <w:rPr>
          <w:rFonts w:ascii="Arial" w:hAnsi="Arial" w:cs="Arial"/>
        </w:rPr>
        <w:t xml:space="preserve">bilhões </w:t>
      </w:r>
      <w:r w:rsidRPr="00030D4D">
        <w:rPr>
          <w:rFonts w:ascii="Arial" w:hAnsi="Arial" w:cs="Arial"/>
        </w:rPr>
        <w:t>referentes aos projetos de PD&amp;I apoiados pela Finep e R$ 2,5 bilhões pelo CNPq (</w:t>
      </w:r>
      <w:r w:rsidR="0078235E" w:rsidRPr="00030D4D">
        <w:rPr>
          <w:rFonts w:ascii="Arial" w:hAnsi="Arial" w:cs="Arial"/>
        </w:rPr>
        <w:t>Gráfico</w:t>
      </w:r>
      <w:r w:rsidRPr="00030D4D">
        <w:rPr>
          <w:rFonts w:ascii="Arial" w:hAnsi="Arial" w:cs="Arial"/>
        </w:rPr>
        <w:t xml:space="preserve"> </w:t>
      </w:r>
      <w:r w:rsidR="0078235E" w:rsidRPr="00030D4D">
        <w:rPr>
          <w:rFonts w:ascii="Arial" w:hAnsi="Arial" w:cs="Arial"/>
        </w:rPr>
        <w:t>6</w:t>
      </w:r>
      <w:r w:rsidRPr="00030D4D">
        <w:rPr>
          <w:rFonts w:ascii="Arial" w:hAnsi="Arial" w:cs="Arial"/>
        </w:rPr>
        <w:t xml:space="preserve">). Nota-se que houve um movimento crescente até 2010 e a partir de então </w:t>
      </w:r>
      <w:r w:rsidR="00A51F4A" w:rsidRPr="00030D4D">
        <w:rPr>
          <w:rFonts w:ascii="Arial" w:hAnsi="Arial" w:cs="Arial"/>
        </w:rPr>
        <w:t xml:space="preserve">apresentou-se certa </w:t>
      </w:r>
      <w:r w:rsidRPr="00030D4D">
        <w:rPr>
          <w:rFonts w:ascii="Arial" w:hAnsi="Arial" w:cs="Arial"/>
        </w:rPr>
        <w:t>instabilidade, que se acentuou bastante em 2015.</w:t>
      </w:r>
    </w:p>
    <w:p w:rsidR="0027630D" w:rsidRPr="00030D4D" w:rsidRDefault="004725D1" w:rsidP="004725D1">
      <w:pPr>
        <w:pStyle w:val="Caption"/>
        <w:rPr>
          <w:rFonts w:ascii="Arial" w:hAnsi="Arial" w:cs="Arial"/>
        </w:rPr>
      </w:pPr>
      <w:bookmarkStart w:id="28" w:name="_Toc472516370"/>
      <w:bookmarkStart w:id="29" w:name="_Toc478833648"/>
      <w:bookmarkStart w:id="30" w:name="_Toc482828512"/>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6</w:t>
      </w:r>
      <w:r w:rsidR="005271BC" w:rsidRPr="00030D4D">
        <w:rPr>
          <w:rFonts w:ascii="Arial" w:hAnsi="Arial" w:cs="Arial"/>
          <w:noProof/>
        </w:rPr>
        <w:fldChar w:fldCharType="end"/>
      </w:r>
      <w:r w:rsidR="0027630D" w:rsidRPr="00030D4D">
        <w:rPr>
          <w:rFonts w:ascii="Arial" w:hAnsi="Arial" w:cs="Arial"/>
        </w:rPr>
        <w:t>. Valor contratado pelo CNPq e pela Finep, 1997-2015, com recursos não reembolsáveis do FNDCT, em milhões de reais (valores correntes)</w:t>
      </w:r>
      <w:bookmarkEnd w:id="28"/>
      <w:bookmarkEnd w:id="29"/>
      <w:bookmarkEnd w:id="30"/>
    </w:p>
    <w:p w:rsidR="0027630D" w:rsidRPr="00030D4D" w:rsidRDefault="0027630D" w:rsidP="0027630D">
      <w:pPr>
        <w:rPr>
          <w:rFonts w:ascii="Arial" w:hAnsi="Arial" w:cs="Arial"/>
        </w:rPr>
      </w:pPr>
    </w:p>
    <w:p w:rsidR="0027630D" w:rsidRPr="00030D4D" w:rsidRDefault="0027630D" w:rsidP="0027630D">
      <w:pPr>
        <w:rPr>
          <w:rFonts w:ascii="Arial" w:hAnsi="Arial" w:cs="Arial"/>
        </w:rPr>
      </w:pPr>
      <w:r w:rsidRPr="00030D4D">
        <w:rPr>
          <w:rFonts w:ascii="Arial" w:hAnsi="Arial" w:cs="Arial"/>
          <w:noProof/>
          <w:lang w:val="en-US"/>
        </w:rPr>
        <w:drawing>
          <wp:inline distT="0" distB="0" distL="0" distR="0">
            <wp:extent cx="4959985" cy="2741295"/>
            <wp:effectExtent l="0" t="0" r="12065" b="1905"/>
            <wp:docPr id="15" name="Gráfico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7630D" w:rsidRPr="00030D4D" w:rsidRDefault="0027630D" w:rsidP="0027630D">
      <w:pPr>
        <w:rPr>
          <w:rFonts w:ascii="Arial" w:hAnsi="Arial" w:cs="Arial"/>
        </w:rPr>
      </w:pPr>
      <w:r w:rsidRPr="00030D4D">
        <w:rPr>
          <w:rFonts w:ascii="Arial" w:hAnsi="Arial" w:cs="Arial"/>
        </w:rPr>
        <w:t>Fonte: MCTI. Pesquisa realizada em 30/03/2017</w:t>
      </w:r>
    </w:p>
    <w:p w:rsidR="004F2875" w:rsidRPr="00030D4D" w:rsidRDefault="00DF1A0D" w:rsidP="0027630D">
      <w:pPr>
        <w:rPr>
          <w:rFonts w:ascii="Arial" w:hAnsi="Arial" w:cs="Arial"/>
          <w:szCs w:val="24"/>
        </w:rPr>
      </w:pPr>
      <w:r w:rsidRPr="00030D4D">
        <w:rPr>
          <w:rFonts w:ascii="Arial" w:hAnsi="Arial" w:cs="Arial"/>
          <w:szCs w:val="24"/>
        </w:rPr>
        <w:t>O acesso aos</w:t>
      </w:r>
      <w:r w:rsidR="004F2875" w:rsidRPr="00030D4D">
        <w:rPr>
          <w:rFonts w:ascii="Arial" w:hAnsi="Arial" w:cs="Arial"/>
          <w:szCs w:val="24"/>
        </w:rPr>
        <w:t xml:space="preserve"> recursos não reembolsáveis </w:t>
      </w:r>
      <w:r w:rsidRPr="00030D4D">
        <w:rPr>
          <w:rFonts w:ascii="Arial" w:hAnsi="Arial" w:cs="Arial"/>
          <w:szCs w:val="24"/>
        </w:rPr>
        <w:t>ocorre</w:t>
      </w:r>
      <w:r w:rsidR="004F2875" w:rsidRPr="00030D4D">
        <w:rPr>
          <w:rFonts w:ascii="Arial" w:hAnsi="Arial" w:cs="Arial"/>
          <w:szCs w:val="24"/>
        </w:rPr>
        <w:t xml:space="preserve"> por meio de editais (ou chamadas públicas), encomendas e cartas-convite. As chamadas públicas e cartas-convite requerem que seja feito o monitoramento frequente no site da Finep. O acesso via encomendas pode ser obtido através de negociação direta com a agência e dependerá da elegibilidade do projeto.</w:t>
      </w:r>
    </w:p>
    <w:p w:rsidR="0027630D" w:rsidRPr="00030D4D" w:rsidRDefault="007F3219" w:rsidP="0027630D">
      <w:pPr>
        <w:rPr>
          <w:rFonts w:ascii="Arial" w:hAnsi="Arial" w:cs="Arial"/>
        </w:rPr>
      </w:pPr>
      <w:r w:rsidRPr="00030D4D">
        <w:rPr>
          <w:rFonts w:ascii="Arial" w:hAnsi="Arial" w:cs="Arial"/>
        </w:rPr>
        <w:t>C</w:t>
      </w:r>
      <w:r w:rsidR="0027630D" w:rsidRPr="00030D4D">
        <w:rPr>
          <w:rFonts w:ascii="Arial" w:hAnsi="Arial" w:cs="Arial"/>
        </w:rPr>
        <w:t>erca de 44,7% do</w:t>
      </w:r>
      <w:r w:rsidRPr="00030D4D">
        <w:rPr>
          <w:rFonts w:ascii="Arial" w:hAnsi="Arial" w:cs="Arial"/>
        </w:rPr>
        <w:t xml:space="preserve"> número de</w:t>
      </w:r>
      <w:r w:rsidR="0027630D" w:rsidRPr="00030D4D">
        <w:rPr>
          <w:rFonts w:ascii="Arial" w:hAnsi="Arial" w:cs="Arial"/>
        </w:rPr>
        <w:t xml:space="preserve"> projetos contratados pela Finep e 98,4 % dos projetos contratados pelo CNPq se deram por meio das chamadas públicas. As contratações via encomenda corresponderam a 32% no caso da Finep e a 1,2% no caso do CNPq. Em torno de 19% dos projetos contratados pela Finep corresponderam a eventos</w:t>
      </w:r>
      <w:r w:rsidRPr="00030D4D">
        <w:rPr>
          <w:rFonts w:ascii="Arial" w:hAnsi="Arial" w:cs="Arial"/>
        </w:rPr>
        <w:t xml:space="preserve"> e 4% foram via carta-convite.  </w:t>
      </w:r>
      <w:r w:rsidR="0027630D" w:rsidRPr="00030D4D">
        <w:rPr>
          <w:rFonts w:ascii="Arial" w:hAnsi="Arial" w:cs="Arial"/>
        </w:rPr>
        <w:t>Em termos de valor, 43% foram distribuídos para projetos aprovados em chamadas públicas. Os projetos aprovados por meio de encomendas concentraram 50% do valor contratado. No caso do CNPq, os projetos submetidos por meio de chamadas absorveram 87,6% do valor contratado (</w:t>
      </w:r>
      <w:r w:rsidR="0078235E" w:rsidRPr="00030D4D">
        <w:rPr>
          <w:rFonts w:ascii="Arial" w:hAnsi="Arial" w:cs="Arial"/>
        </w:rPr>
        <w:t>Gráfico</w:t>
      </w:r>
      <w:r w:rsidR="0027630D" w:rsidRPr="00030D4D">
        <w:rPr>
          <w:rFonts w:ascii="Arial" w:hAnsi="Arial" w:cs="Arial"/>
        </w:rPr>
        <w:t xml:space="preserve"> </w:t>
      </w:r>
      <w:r w:rsidR="0078235E" w:rsidRPr="00030D4D">
        <w:rPr>
          <w:rFonts w:ascii="Arial" w:hAnsi="Arial" w:cs="Arial"/>
        </w:rPr>
        <w:t>7</w:t>
      </w:r>
      <w:r w:rsidR="0027630D" w:rsidRPr="00030D4D">
        <w:rPr>
          <w:rFonts w:ascii="Arial" w:hAnsi="Arial" w:cs="Arial"/>
        </w:rPr>
        <w:t>).</w:t>
      </w:r>
    </w:p>
    <w:p w:rsidR="0078235E" w:rsidRPr="00030D4D" w:rsidRDefault="0078235E">
      <w:pPr>
        <w:spacing w:before="0" w:after="160" w:line="259" w:lineRule="auto"/>
        <w:jc w:val="left"/>
        <w:rPr>
          <w:rFonts w:ascii="Arial" w:hAnsi="Arial" w:cs="Arial"/>
          <w:b/>
          <w:iCs/>
          <w:szCs w:val="18"/>
        </w:rPr>
      </w:pPr>
      <w:bookmarkStart w:id="31" w:name="_Toc478833649"/>
      <w:r w:rsidRPr="00030D4D">
        <w:rPr>
          <w:rFonts w:ascii="Arial" w:hAnsi="Arial" w:cs="Arial"/>
        </w:rPr>
        <w:br w:type="page"/>
      </w:r>
    </w:p>
    <w:p w:rsidR="0027630D" w:rsidRPr="00030D4D" w:rsidRDefault="004725D1" w:rsidP="004725D1">
      <w:pPr>
        <w:pStyle w:val="Caption"/>
        <w:rPr>
          <w:rFonts w:ascii="Arial" w:hAnsi="Arial" w:cs="Arial"/>
        </w:rPr>
      </w:pPr>
      <w:bookmarkStart w:id="32" w:name="_Toc482828513"/>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7</w:t>
      </w:r>
      <w:r w:rsidR="005271BC" w:rsidRPr="00030D4D">
        <w:rPr>
          <w:rFonts w:ascii="Arial" w:hAnsi="Arial" w:cs="Arial"/>
          <w:noProof/>
        </w:rPr>
        <w:fldChar w:fldCharType="end"/>
      </w:r>
      <w:r w:rsidR="0027630D" w:rsidRPr="00030D4D">
        <w:rPr>
          <w:rFonts w:ascii="Arial" w:hAnsi="Arial" w:cs="Arial"/>
        </w:rPr>
        <w:t>. Participação do Número e Valor de Projetos contratados com recursos do FNDCT, segundo a demanda (%)</w:t>
      </w:r>
      <w:bookmarkEnd w:id="31"/>
      <w:bookmarkEnd w:id="32"/>
    </w:p>
    <w:p w:rsidR="0027630D" w:rsidRPr="00030D4D" w:rsidRDefault="0027630D" w:rsidP="0027630D">
      <w:pPr>
        <w:spacing w:before="0"/>
        <w:rPr>
          <w:rFonts w:ascii="Arial" w:hAnsi="Arial" w:cs="Arial"/>
        </w:rPr>
      </w:pPr>
    </w:p>
    <w:p w:rsidR="0027630D" w:rsidRPr="00030D4D" w:rsidRDefault="0027630D" w:rsidP="0027630D">
      <w:pPr>
        <w:spacing w:before="0"/>
        <w:rPr>
          <w:rFonts w:ascii="Arial" w:hAnsi="Arial" w:cs="Arial"/>
        </w:rPr>
      </w:pPr>
      <w:r w:rsidRPr="00030D4D">
        <w:rPr>
          <w:rFonts w:ascii="Arial" w:hAnsi="Arial" w:cs="Arial"/>
          <w:noProof/>
          <w:lang w:val="en-US"/>
        </w:rPr>
        <w:drawing>
          <wp:inline distT="0" distB="0" distL="0" distR="0">
            <wp:extent cx="4568825" cy="2740025"/>
            <wp:effectExtent l="0" t="0" r="3175" b="3175"/>
            <wp:docPr id="12"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7630D" w:rsidRPr="00030D4D" w:rsidRDefault="0027630D" w:rsidP="0027630D">
      <w:pPr>
        <w:spacing w:before="0"/>
        <w:rPr>
          <w:rFonts w:ascii="Arial" w:hAnsi="Arial" w:cs="Arial"/>
        </w:rPr>
      </w:pPr>
    </w:p>
    <w:p w:rsidR="0027630D" w:rsidRPr="00030D4D" w:rsidRDefault="0027630D" w:rsidP="0027630D">
      <w:pPr>
        <w:spacing w:before="0"/>
        <w:rPr>
          <w:rFonts w:ascii="Arial" w:hAnsi="Arial" w:cs="Arial"/>
        </w:rPr>
      </w:pPr>
      <w:r w:rsidRPr="00030D4D">
        <w:rPr>
          <w:rFonts w:ascii="Arial" w:hAnsi="Arial" w:cs="Arial"/>
        </w:rPr>
        <w:t>*Inclui 42 projetos contratados no âmbito do Inova Empresa, sob forma de subvenção</w:t>
      </w:r>
    </w:p>
    <w:p w:rsidR="0027630D" w:rsidRPr="00030D4D" w:rsidRDefault="0027630D" w:rsidP="0027630D">
      <w:pPr>
        <w:spacing w:before="0"/>
        <w:rPr>
          <w:rFonts w:ascii="Arial" w:hAnsi="Arial" w:cs="Arial"/>
        </w:rPr>
      </w:pPr>
      <w:r w:rsidRPr="00030D4D">
        <w:rPr>
          <w:rFonts w:ascii="Arial" w:hAnsi="Arial" w:cs="Arial"/>
        </w:rPr>
        <w:t>Fonte: MCTI. Dados levantados em 30/03/2017</w:t>
      </w:r>
    </w:p>
    <w:p w:rsidR="0027630D" w:rsidRPr="00030D4D" w:rsidRDefault="0027630D" w:rsidP="0027630D">
      <w:pPr>
        <w:rPr>
          <w:rFonts w:ascii="Arial" w:hAnsi="Arial" w:cs="Arial"/>
        </w:rPr>
      </w:pPr>
    </w:p>
    <w:p w:rsidR="0027630D" w:rsidRPr="00030D4D" w:rsidRDefault="0027630D" w:rsidP="0027630D">
      <w:pPr>
        <w:rPr>
          <w:rFonts w:ascii="Arial" w:hAnsi="Arial" w:cs="Arial"/>
        </w:rPr>
      </w:pPr>
      <w:r w:rsidRPr="00030D4D">
        <w:rPr>
          <w:rFonts w:ascii="Arial" w:hAnsi="Arial" w:cs="Arial"/>
        </w:rPr>
        <w:t>O valor médio anual dos projetos contratados pela Finep ficou em torno de R$1,4 milhão e o valor médio dos projetos contratados pelo CNPq foi de cerca de R$75.309 (lembrando que boa parte desse valor corresponde ao pagamento de bolsas para os pesquisadores envolvidos nos projetos financiados pela Finep).</w:t>
      </w:r>
    </w:p>
    <w:p w:rsidR="00FF773B" w:rsidRPr="00030D4D" w:rsidRDefault="00FF773B" w:rsidP="001239EE">
      <w:pPr>
        <w:shd w:val="clear" w:color="auto" w:fill="FFFFFF"/>
        <w:spacing w:before="0"/>
        <w:rPr>
          <w:rFonts w:ascii="Arial" w:hAnsi="Arial" w:cs="Arial"/>
          <w:color w:val="000000"/>
          <w:shd w:val="clear" w:color="auto" w:fill="FFFFFF"/>
        </w:rPr>
      </w:pPr>
      <w:r w:rsidRPr="00030D4D">
        <w:rPr>
          <w:rFonts w:ascii="Arial" w:hAnsi="Arial" w:cs="Arial"/>
          <w:szCs w:val="24"/>
        </w:rPr>
        <w:t>H</w:t>
      </w:r>
      <w:r w:rsidR="005E222B" w:rsidRPr="00030D4D">
        <w:rPr>
          <w:rFonts w:ascii="Arial" w:hAnsi="Arial" w:cs="Arial"/>
          <w:szCs w:val="24"/>
        </w:rPr>
        <w:t>ouve a</w:t>
      </w:r>
      <w:r w:rsidR="001239EE" w:rsidRPr="00030D4D">
        <w:rPr>
          <w:rFonts w:ascii="Arial" w:hAnsi="Arial" w:cs="Arial"/>
          <w:color w:val="000000"/>
          <w:shd w:val="clear" w:color="auto" w:fill="FFFFFF"/>
        </w:rPr>
        <w:t xml:space="preserve"> alocação de um grande volume de recursos nos editais </w:t>
      </w:r>
      <w:r w:rsidR="005E222B" w:rsidRPr="00030D4D">
        <w:rPr>
          <w:rFonts w:ascii="Arial" w:hAnsi="Arial" w:cs="Arial"/>
          <w:color w:val="000000"/>
          <w:shd w:val="clear" w:color="auto" w:fill="FFFFFF"/>
        </w:rPr>
        <w:t>lançados em</w:t>
      </w:r>
      <w:r w:rsidR="001239EE" w:rsidRPr="00030D4D">
        <w:rPr>
          <w:rFonts w:ascii="Arial" w:hAnsi="Arial" w:cs="Arial"/>
          <w:color w:val="000000"/>
          <w:shd w:val="clear" w:color="auto" w:fill="FFFFFF"/>
        </w:rPr>
        <w:t xml:space="preserve"> 2013</w:t>
      </w:r>
      <w:r w:rsidRPr="00030D4D">
        <w:rPr>
          <w:rFonts w:ascii="Arial" w:hAnsi="Arial" w:cs="Arial"/>
          <w:color w:val="000000"/>
          <w:shd w:val="clear" w:color="auto" w:fill="FFFFFF"/>
        </w:rPr>
        <w:t xml:space="preserve"> e em 2015 ainda </w:t>
      </w:r>
      <w:r w:rsidR="005E222B" w:rsidRPr="00030D4D">
        <w:rPr>
          <w:rFonts w:ascii="Arial" w:hAnsi="Arial" w:cs="Arial"/>
          <w:color w:val="000000"/>
          <w:shd w:val="clear" w:color="auto" w:fill="FFFFFF"/>
        </w:rPr>
        <w:t>estavam</w:t>
      </w:r>
      <w:r w:rsidR="001239EE" w:rsidRPr="00030D4D">
        <w:rPr>
          <w:rFonts w:ascii="Arial" w:hAnsi="Arial" w:cs="Arial"/>
          <w:color w:val="000000"/>
          <w:shd w:val="clear" w:color="auto" w:fill="FFFFFF"/>
        </w:rPr>
        <w:t xml:space="preserve"> sendo pagos projetos contratados em 2010</w:t>
      </w:r>
      <w:r w:rsidR="00D51903" w:rsidRPr="00030D4D">
        <w:rPr>
          <w:rFonts w:ascii="Arial" w:hAnsi="Arial" w:cs="Arial"/>
          <w:color w:val="000000"/>
          <w:shd w:val="clear" w:color="auto" w:fill="FFFFFF"/>
        </w:rPr>
        <w:t>.</w:t>
      </w:r>
      <w:r w:rsidR="001239EE" w:rsidRPr="00030D4D">
        <w:rPr>
          <w:rFonts w:ascii="Arial" w:hAnsi="Arial" w:cs="Arial"/>
          <w:color w:val="000000"/>
          <w:shd w:val="clear" w:color="auto" w:fill="FFFFFF"/>
        </w:rPr>
        <w:t xml:space="preserve"> </w:t>
      </w:r>
      <w:r w:rsidRPr="00030D4D">
        <w:rPr>
          <w:rFonts w:ascii="Arial" w:hAnsi="Arial" w:cs="Arial"/>
          <w:color w:val="000000"/>
          <w:shd w:val="clear" w:color="auto" w:fill="FFFFFF"/>
        </w:rPr>
        <w:t>Em função da escassez de novos recursos, foram poucos os editais lançados em 2015 e 2016</w:t>
      </w:r>
      <w:r w:rsidR="000224F6" w:rsidRPr="00030D4D">
        <w:rPr>
          <w:rFonts w:ascii="Arial" w:hAnsi="Arial" w:cs="Arial"/>
          <w:color w:val="000000"/>
          <w:shd w:val="clear" w:color="auto" w:fill="FFFFFF"/>
        </w:rPr>
        <w:t xml:space="preserve"> prevendo recursos do FNDCT</w:t>
      </w:r>
      <w:r w:rsidRPr="00030D4D">
        <w:rPr>
          <w:rFonts w:ascii="Arial" w:hAnsi="Arial" w:cs="Arial"/>
          <w:color w:val="000000"/>
          <w:shd w:val="clear" w:color="auto" w:fill="FFFFFF"/>
        </w:rPr>
        <w:t xml:space="preserve">. </w:t>
      </w:r>
      <w:r w:rsidR="000224F6" w:rsidRPr="00030D4D">
        <w:rPr>
          <w:rFonts w:ascii="Arial" w:hAnsi="Arial" w:cs="Arial"/>
          <w:color w:val="000000"/>
          <w:shd w:val="clear" w:color="auto" w:fill="FFFFFF"/>
        </w:rPr>
        <w:t>Uma</w:t>
      </w:r>
      <w:r w:rsidR="005E222B" w:rsidRPr="00030D4D">
        <w:rPr>
          <w:rFonts w:ascii="Arial" w:hAnsi="Arial" w:cs="Arial"/>
          <w:color w:val="000000"/>
          <w:shd w:val="clear" w:color="auto" w:fill="FFFFFF"/>
        </w:rPr>
        <w:t xml:space="preserve"> chamada foi aberta em </w:t>
      </w:r>
      <w:r w:rsidR="001239EE" w:rsidRPr="00030D4D">
        <w:rPr>
          <w:rFonts w:ascii="Arial" w:hAnsi="Arial" w:cs="Arial"/>
          <w:color w:val="000000"/>
          <w:shd w:val="clear" w:color="auto" w:fill="FFFFFF"/>
        </w:rPr>
        <w:t>2016</w:t>
      </w:r>
      <w:r w:rsidR="005E222B" w:rsidRPr="00030D4D">
        <w:rPr>
          <w:rFonts w:ascii="Arial" w:hAnsi="Arial" w:cs="Arial"/>
          <w:color w:val="000000"/>
          <w:shd w:val="clear" w:color="auto" w:fill="FFFFFF"/>
        </w:rPr>
        <w:t xml:space="preserve"> em parceria com o BNDES, no âmbito do Inova Mineral</w:t>
      </w:r>
      <w:r w:rsidRPr="00030D4D">
        <w:rPr>
          <w:rFonts w:ascii="Arial" w:hAnsi="Arial" w:cs="Arial"/>
          <w:color w:val="000000"/>
          <w:shd w:val="clear" w:color="auto" w:fill="FFFFFF"/>
        </w:rPr>
        <w:t>; três chamadas feitas no âmbito das parcerias internacionais e um edital de subvenção econômica</w:t>
      </w:r>
      <w:r w:rsidR="006A1A5E" w:rsidRPr="00030D4D">
        <w:rPr>
          <w:rStyle w:val="FootnoteReference"/>
          <w:rFonts w:ascii="Arial" w:hAnsi="Arial" w:cs="Arial"/>
          <w:color w:val="000000"/>
          <w:shd w:val="clear" w:color="auto" w:fill="FFFFFF"/>
        </w:rPr>
        <w:footnoteReference w:id="22"/>
      </w:r>
      <w:r w:rsidRPr="00030D4D">
        <w:rPr>
          <w:rFonts w:ascii="Arial" w:hAnsi="Arial" w:cs="Arial"/>
          <w:color w:val="000000"/>
          <w:shd w:val="clear" w:color="auto" w:fill="FFFFFF"/>
        </w:rPr>
        <w:t xml:space="preserve">. </w:t>
      </w:r>
    </w:p>
    <w:p w:rsidR="000708CB" w:rsidRPr="00030D4D" w:rsidRDefault="005041E2" w:rsidP="000708CB">
      <w:pPr>
        <w:spacing w:before="0"/>
        <w:rPr>
          <w:rFonts w:ascii="Arial" w:hAnsi="Arial" w:cs="Arial"/>
          <w:szCs w:val="24"/>
        </w:rPr>
      </w:pPr>
      <w:r w:rsidRPr="00030D4D">
        <w:rPr>
          <w:rFonts w:ascii="Arial" w:hAnsi="Arial" w:cs="Arial"/>
          <w:color w:val="FF0000"/>
          <w:szCs w:val="24"/>
        </w:rPr>
        <w:t>O</w:t>
      </w:r>
      <w:r w:rsidR="000708CB" w:rsidRPr="00030D4D">
        <w:rPr>
          <w:rFonts w:ascii="Arial" w:hAnsi="Arial" w:cs="Arial"/>
          <w:color w:val="FF0000"/>
          <w:szCs w:val="24"/>
        </w:rPr>
        <w:t xml:space="preserve"> BNDES conta com o Fundo Tecnológico (Funtec)</w:t>
      </w:r>
      <w:r w:rsidRPr="00030D4D">
        <w:rPr>
          <w:rFonts w:ascii="Arial" w:hAnsi="Arial" w:cs="Arial"/>
          <w:color w:val="FF0000"/>
          <w:szCs w:val="24"/>
        </w:rPr>
        <w:t xml:space="preserve">, cujo objetivo </w:t>
      </w:r>
      <w:r w:rsidR="000708CB" w:rsidRPr="00030D4D">
        <w:rPr>
          <w:rFonts w:ascii="Arial" w:hAnsi="Arial" w:cs="Arial"/>
          <w:color w:val="FF0000"/>
          <w:szCs w:val="24"/>
        </w:rPr>
        <w:t xml:space="preserve">é apoiar projetos cooperativos </w:t>
      </w:r>
      <w:r w:rsidR="000708CB" w:rsidRPr="00030D4D">
        <w:rPr>
          <w:rFonts w:ascii="Arial" w:hAnsi="Arial" w:cs="Arial"/>
          <w:szCs w:val="24"/>
        </w:rPr>
        <w:t>de desenvolvimento tecnológico de novos produtos e processos por instituições tecnológicas em parceria com empresas. Entre 2006 e 2013, R$ 396,2 milhões foram alocados pelo Funtec em 154 projetos, segundo dados do BNDES. Empresas localizadas em parques podem apresentar projetos no âmbito do Funtec. Em entrevista para este estudo, Luciana Capanema, do BNDES, declarou que “</w:t>
      </w:r>
      <w:r w:rsidR="000708CB" w:rsidRPr="00030D4D">
        <w:rPr>
          <w:rFonts w:ascii="Arial" w:eastAsia="Times New Roman" w:hAnsi="Arial" w:cs="Arial"/>
          <w:color w:val="000000"/>
          <w:lang w:eastAsia="pt-BR"/>
        </w:rPr>
        <w:t>o fundo está processando sua carteira ativa em 2015 [e que] novos temas e ações no âmbito do Funtec para 2016, estão sendo discutidos internamente”.</w:t>
      </w:r>
      <w:r w:rsidR="000708CB" w:rsidRPr="00030D4D">
        <w:rPr>
          <w:rFonts w:ascii="Arial" w:hAnsi="Arial" w:cs="Arial"/>
          <w:szCs w:val="24"/>
        </w:rPr>
        <w:t xml:space="preserve"> Na prática, pode-se avaliar que, neste momento o Funtec não está aberto a nova demandas.</w:t>
      </w:r>
    </w:p>
    <w:p w:rsidR="00B04D52" w:rsidRPr="00030D4D" w:rsidRDefault="00B04D52" w:rsidP="000708CB">
      <w:pPr>
        <w:rPr>
          <w:rFonts w:ascii="Arial" w:hAnsi="Arial" w:cs="Arial"/>
        </w:rPr>
      </w:pPr>
      <w:r w:rsidRPr="00030D4D">
        <w:rPr>
          <w:rFonts w:ascii="Arial" w:hAnsi="Arial" w:cs="Arial"/>
        </w:rPr>
        <w:t xml:space="preserve">Os desembolsos efetuados pelo Funtec entre 2006 e 2013 podem ser conferidos na </w:t>
      </w:r>
      <w:r w:rsidRPr="00030D4D">
        <w:rPr>
          <w:rFonts w:ascii="Arial" w:hAnsi="Arial" w:cs="Arial"/>
        </w:rPr>
        <w:fldChar w:fldCharType="begin"/>
      </w:r>
      <w:r w:rsidRPr="00030D4D">
        <w:rPr>
          <w:rFonts w:ascii="Arial" w:hAnsi="Arial" w:cs="Arial"/>
        </w:rPr>
        <w:instrText xml:space="preserve"> REF _Ref258421537 \h </w:instrText>
      </w:r>
      <w:r w:rsidR="00030D4D">
        <w:rPr>
          <w:rFonts w:ascii="Arial" w:hAnsi="Arial" w:cs="Arial"/>
        </w:rPr>
        <w:instrText xml:space="preserve"> \* MERGEFORMAT </w:instrText>
      </w:r>
      <w:r w:rsidRPr="00030D4D">
        <w:rPr>
          <w:rFonts w:ascii="Arial" w:hAnsi="Arial" w:cs="Arial"/>
        </w:rPr>
      </w:r>
      <w:r w:rsidRPr="00030D4D">
        <w:rPr>
          <w:rFonts w:ascii="Arial" w:hAnsi="Arial" w:cs="Arial"/>
        </w:rPr>
        <w:fldChar w:fldCharType="separate"/>
      </w:r>
      <w:r w:rsidR="00BE5DE3" w:rsidRPr="00030D4D">
        <w:rPr>
          <w:rFonts w:ascii="Arial" w:hAnsi="Arial" w:cs="Arial"/>
        </w:rPr>
        <w:t xml:space="preserve">Tabela </w:t>
      </w:r>
      <w:r w:rsidR="00BE5DE3" w:rsidRPr="00030D4D">
        <w:rPr>
          <w:rFonts w:ascii="Arial" w:hAnsi="Arial" w:cs="Arial"/>
          <w:noProof/>
        </w:rPr>
        <w:t>1</w:t>
      </w:r>
      <w:r w:rsidRPr="00030D4D">
        <w:rPr>
          <w:rFonts w:ascii="Arial" w:hAnsi="Arial" w:cs="Arial"/>
        </w:rPr>
        <w:fldChar w:fldCharType="end"/>
      </w:r>
      <w:r w:rsidRPr="00030D4D">
        <w:rPr>
          <w:rFonts w:ascii="Arial" w:hAnsi="Arial" w:cs="Arial"/>
        </w:rPr>
        <w:t>.  Verifica-se que houve um crescimento significativo do valor das operações ao longo dos anos, financiando projetos de maior envergadura. Mas o total anual não deverá passar muito dos R$ 100 milhões em função das limitações do Banco para usar parte dos lucros dos investidores sob a forma não reembolsável em atividades de natureza social, cultural e tecnológica.</w:t>
      </w:r>
    </w:p>
    <w:p w:rsidR="00B04D52" w:rsidRPr="00030D4D" w:rsidRDefault="00290199" w:rsidP="00290199">
      <w:pPr>
        <w:pStyle w:val="Caption"/>
        <w:rPr>
          <w:rFonts w:ascii="Arial" w:hAnsi="Arial" w:cs="Arial"/>
        </w:rPr>
      </w:pPr>
      <w:bookmarkStart w:id="33" w:name="_Ref258421537"/>
      <w:bookmarkStart w:id="34" w:name="_Toc384544423"/>
      <w:bookmarkStart w:id="35" w:name="_Toc482828493"/>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1</w:t>
      </w:r>
      <w:r w:rsidR="005271BC" w:rsidRPr="00030D4D">
        <w:rPr>
          <w:rFonts w:ascii="Arial" w:hAnsi="Arial" w:cs="Arial"/>
          <w:noProof/>
        </w:rPr>
        <w:fldChar w:fldCharType="end"/>
      </w:r>
      <w:bookmarkEnd w:id="33"/>
      <w:r w:rsidRPr="00030D4D">
        <w:rPr>
          <w:rFonts w:ascii="Arial" w:hAnsi="Arial" w:cs="Arial"/>
        </w:rPr>
        <w:t xml:space="preserve">. </w:t>
      </w:r>
      <w:r w:rsidR="00B04D52" w:rsidRPr="00030D4D">
        <w:rPr>
          <w:rFonts w:ascii="Arial" w:hAnsi="Arial" w:cs="Arial"/>
        </w:rPr>
        <w:t xml:space="preserve"> Número e valor das Operações com recursos não reembolsáveis, 2006-2013, (em R$ Milhões correntes)</w:t>
      </w:r>
      <w:bookmarkEnd w:id="34"/>
      <w:bookmarkEnd w:id="35"/>
    </w:p>
    <w:p w:rsidR="00B04D52" w:rsidRPr="00030D4D" w:rsidRDefault="00B04D52" w:rsidP="00B04D52">
      <w:pPr>
        <w:pStyle w:val="Leganda"/>
        <w:rPr>
          <w:rFonts w:ascii="Arial" w:hAnsi="Arial"/>
        </w:rPr>
      </w:pPr>
      <w:r w:rsidRPr="00030D4D">
        <w:rPr>
          <w:rFonts w:ascii="Arial" w:hAnsi="Arial"/>
          <w:noProof/>
          <w:lang w:val="en-US"/>
        </w:rPr>
        <w:drawing>
          <wp:inline distT="0" distB="0" distL="0" distR="0" wp14:anchorId="2A505F4D" wp14:editId="6864C4F1">
            <wp:extent cx="3072130" cy="2599055"/>
            <wp:effectExtent l="19050" t="0" r="0" b="0"/>
            <wp:docPr id="1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3072130" cy="2599055"/>
                    </a:xfrm>
                    <a:prstGeom prst="rect">
                      <a:avLst/>
                    </a:prstGeom>
                    <a:noFill/>
                    <a:ln w="9525">
                      <a:noFill/>
                      <a:miter lim="800000"/>
                      <a:headEnd/>
                      <a:tailEnd/>
                    </a:ln>
                  </pic:spPr>
                </pic:pic>
              </a:graphicData>
            </a:graphic>
          </wp:inline>
        </w:drawing>
      </w:r>
    </w:p>
    <w:p w:rsidR="00B04D52" w:rsidRPr="00030D4D" w:rsidRDefault="00B04D52" w:rsidP="00B04D52">
      <w:pPr>
        <w:pStyle w:val="Fonte"/>
        <w:rPr>
          <w:rFonts w:ascii="Arial" w:hAnsi="Arial" w:cs="Arial"/>
        </w:rPr>
      </w:pPr>
      <w:r w:rsidRPr="00030D4D">
        <w:rPr>
          <w:rFonts w:ascii="Arial" w:hAnsi="Arial" w:cs="Arial"/>
        </w:rPr>
        <w:t>Fonte: BNDES.</w:t>
      </w:r>
    </w:p>
    <w:p w:rsidR="00B04D52" w:rsidRPr="00030D4D" w:rsidRDefault="00B04D52" w:rsidP="001239EE">
      <w:pPr>
        <w:shd w:val="clear" w:color="auto" w:fill="FFFFFF"/>
        <w:spacing w:before="0"/>
        <w:rPr>
          <w:rFonts w:ascii="Arial" w:hAnsi="Arial" w:cs="Arial"/>
          <w:color w:val="000000"/>
          <w:shd w:val="clear" w:color="auto" w:fill="FFFFFF"/>
        </w:rPr>
      </w:pPr>
    </w:p>
    <w:p w:rsidR="00141657" w:rsidRPr="00030D4D" w:rsidRDefault="001D452D" w:rsidP="00431C7A">
      <w:pPr>
        <w:pStyle w:val="Heading3"/>
        <w:numPr>
          <w:ilvl w:val="2"/>
          <w:numId w:val="19"/>
        </w:numPr>
        <w:rPr>
          <w:rFonts w:ascii="Arial" w:eastAsia="Cambria" w:hAnsi="Arial" w:cs="Arial"/>
        </w:rPr>
      </w:pPr>
      <w:bookmarkStart w:id="36" w:name="_Toc482828486"/>
      <w:r w:rsidRPr="00030D4D">
        <w:rPr>
          <w:rFonts w:ascii="Arial" w:hAnsi="Arial" w:cs="Arial"/>
        </w:rPr>
        <w:t>Incentivos Fiscais</w:t>
      </w:r>
      <w:bookmarkEnd w:id="36"/>
    </w:p>
    <w:p w:rsidR="001D452D" w:rsidRPr="00030D4D" w:rsidRDefault="001D452D" w:rsidP="001D452D">
      <w:pPr>
        <w:spacing w:before="0"/>
        <w:rPr>
          <w:rFonts w:ascii="Arial" w:hAnsi="Arial" w:cs="Arial"/>
        </w:rPr>
      </w:pPr>
      <w:r w:rsidRPr="00030D4D">
        <w:rPr>
          <w:rFonts w:ascii="Arial" w:hAnsi="Arial" w:cs="Arial"/>
        </w:rPr>
        <w:t>A Lei n</w:t>
      </w:r>
      <w:r w:rsidRPr="00030D4D">
        <w:rPr>
          <w:rFonts w:ascii="Arial" w:hAnsi="Arial" w:cs="Arial"/>
          <w:vertAlign w:val="superscript"/>
        </w:rPr>
        <w:t>o</w:t>
      </w:r>
      <w:r w:rsidRPr="00030D4D">
        <w:rPr>
          <w:rFonts w:ascii="Arial" w:hAnsi="Arial" w:cs="Arial"/>
        </w:rPr>
        <w:t xml:space="preserve"> 11.196/05, conhecida como “Lei do Bem”, em seu capítulo </w:t>
      </w:r>
      <w:r w:rsidR="00967DDE" w:rsidRPr="00030D4D">
        <w:rPr>
          <w:rFonts w:ascii="Arial" w:hAnsi="Arial" w:cs="Arial"/>
        </w:rPr>
        <w:t>3</w:t>
      </w:r>
      <w:r w:rsidRPr="00030D4D">
        <w:rPr>
          <w:rFonts w:ascii="Arial" w:hAnsi="Arial" w:cs="Arial"/>
        </w:rPr>
        <w:t xml:space="preserve">, dispõe sobre os principais mecanismos de incentivo fiscal para a inovação </w:t>
      </w:r>
      <w:r w:rsidR="00C633DD" w:rsidRPr="00030D4D">
        <w:rPr>
          <w:rFonts w:ascii="Arial" w:hAnsi="Arial" w:cs="Arial"/>
        </w:rPr>
        <w:t>disponíveis</w:t>
      </w:r>
      <w:r w:rsidRPr="00030D4D">
        <w:rPr>
          <w:rFonts w:ascii="Arial" w:hAnsi="Arial" w:cs="Arial"/>
        </w:rPr>
        <w:t xml:space="preserve"> no </w:t>
      </w:r>
      <w:r w:rsidR="00F01F35" w:rsidRPr="00030D4D">
        <w:rPr>
          <w:rFonts w:ascii="Arial" w:hAnsi="Arial" w:cs="Arial"/>
        </w:rPr>
        <w:t>País</w:t>
      </w:r>
      <w:r w:rsidRPr="00030D4D">
        <w:rPr>
          <w:rFonts w:ascii="Arial" w:hAnsi="Arial" w:cs="Arial"/>
        </w:rPr>
        <w:t>,</w:t>
      </w:r>
      <w:r w:rsidR="00C633DD" w:rsidRPr="00030D4D">
        <w:rPr>
          <w:rFonts w:ascii="Arial" w:hAnsi="Arial" w:cs="Arial"/>
        </w:rPr>
        <w:t xml:space="preserve"> indistintamente de setor de atuação, ainda que</w:t>
      </w:r>
      <w:r w:rsidRPr="00030D4D">
        <w:rPr>
          <w:rFonts w:ascii="Arial" w:hAnsi="Arial" w:cs="Arial"/>
        </w:rPr>
        <w:t xml:space="preserve"> destinados a empresas que operam sob o regime </w:t>
      </w:r>
      <w:r w:rsidR="00C633DD" w:rsidRPr="00030D4D">
        <w:rPr>
          <w:rFonts w:ascii="Arial" w:hAnsi="Arial" w:cs="Arial"/>
        </w:rPr>
        <w:t xml:space="preserve">tributário </w:t>
      </w:r>
      <w:r w:rsidRPr="00030D4D">
        <w:rPr>
          <w:rFonts w:ascii="Arial" w:hAnsi="Arial" w:cs="Arial"/>
        </w:rPr>
        <w:t>do lucro real. Ao substituir a Lei n</w:t>
      </w:r>
      <w:r w:rsidRPr="00030D4D">
        <w:rPr>
          <w:rFonts w:ascii="Arial" w:hAnsi="Arial" w:cs="Arial"/>
          <w:vertAlign w:val="superscript"/>
        </w:rPr>
        <w:t>o</w:t>
      </w:r>
      <w:r w:rsidRPr="00030D4D">
        <w:rPr>
          <w:rFonts w:ascii="Arial" w:hAnsi="Arial" w:cs="Arial"/>
        </w:rPr>
        <w:t xml:space="preserve"> 8.661/93, </w:t>
      </w:r>
      <w:r w:rsidR="00C633DD" w:rsidRPr="00030D4D">
        <w:rPr>
          <w:rFonts w:ascii="Arial" w:hAnsi="Arial" w:cs="Arial"/>
        </w:rPr>
        <w:t>eliminou</w:t>
      </w:r>
      <w:r w:rsidRPr="00030D4D">
        <w:rPr>
          <w:rFonts w:ascii="Arial" w:hAnsi="Arial" w:cs="Arial"/>
        </w:rPr>
        <w:t xml:space="preserve"> a exigência de aprovação prévia de projeto de P&amp;D para acionar o incentivo e ampliou o alcance dos projetos, antes restritos à P&amp;D, com a introdução do conceito de inovação. As Leis n</w:t>
      </w:r>
      <w:r w:rsidRPr="00030D4D">
        <w:rPr>
          <w:rFonts w:ascii="Arial" w:hAnsi="Arial" w:cs="Arial"/>
          <w:vertAlign w:val="superscript"/>
        </w:rPr>
        <w:t>o</w:t>
      </w:r>
      <w:r w:rsidRPr="00030D4D">
        <w:rPr>
          <w:rFonts w:ascii="Arial" w:hAnsi="Arial" w:cs="Arial"/>
        </w:rPr>
        <w:t xml:space="preserve"> 11.487/07, 11.774/08, 12.350/10 e 12.546/11, por sua vez, alteraram o texto original da Lei n</w:t>
      </w:r>
      <w:r w:rsidRPr="00030D4D">
        <w:rPr>
          <w:rFonts w:ascii="Arial" w:hAnsi="Arial" w:cs="Arial"/>
          <w:vertAlign w:val="superscript"/>
        </w:rPr>
        <w:t>o</w:t>
      </w:r>
      <w:r w:rsidRPr="00030D4D">
        <w:rPr>
          <w:rFonts w:ascii="Arial" w:hAnsi="Arial" w:cs="Arial"/>
        </w:rPr>
        <w:t xml:space="preserve"> 11.196/05 e, entre outras providências, elevaram as porcentagens do benefício fiscal e contribuíram para reduzir a burocracia e a incerteza jurídica, além de gerarem novos benefícios, como a possibilidade de descontar os prêmios por registro de patentes, pela contratação de profissionais com dedicação exclusiva para as atividades de P&amp;D nas empresas e pela instalação de unidades próprias de P&amp;D. Note-se ainda que a Lei do Bem </w:t>
      </w:r>
      <w:r w:rsidR="006D2E58" w:rsidRPr="00030D4D">
        <w:rPr>
          <w:rFonts w:ascii="Arial" w:hAnsi="Arial" w:cs="Arial"/>
        </w:rPr>
        <w:t xml:space="preserve">é </w:t>
      </w:r>
      <w:r w:rsidRPr="00030D4D">
        <w:rPr>
          <w:rFonts w:ascii="Arial" w:hAnsi="Arial" w:cs="Arial"/>
        </w:rPr>
        <w:t>complementa</w:t>
      </w:r>
      <w:r w:rsidR="006D2E58" w:rsidRPr="00030D4D">
        <w:rPr>
          <w:rFonts w:ascii="Arial" w:hAnsi="Arial" w:cs="Arial"/>
        </w:rPr>
        <w:t>da pel</w:t>
      </w:r>
      <w:r w:rsidRPr="00030D4D">
        <w:rPr>
          <w:rFonts w:ascii="Arial" w:hAnsi="Arial" w:cs="Arial"/>
        </w:rPr>
        <w:t>a Lei n</w:t>
      </w:r>
      <w:r w:rsidRPr="00030D4D">
        <w:rPr>
          <w:rFonts w:ascii="Arial" w:hAnsi="Arial" w:cs="Arial"/>
          <w:vertAlign w:val="superscript"/>
        </w:rPr>
        <w:t>o</w:t>
      </w:r>
      <w:r w:rsidRPr="00030D4D">
        <w:rPr>
          <w:rFonts w:ascii="Arial" w:hAnsi="Arial" w:cs="Arial"/>
        </w:rPr>
        <w:t xml:space="preserve"> </w:t>
      </w:r>
      <w:r w:rsidRPr="00030D4D">
        <w:rPr>
          <w:rFonts w:ascii="Arial" w:hAnsi="Arial" w:cs="Arial"/>
          <w:bCs/>
        </w:rPr>
        <w:t>11.487/07, conhecida como “Lei Rouanet do Bem”, que permite deduzir os gastos em P&amp;D</w:t>
      </w:r>
      <w:r w:rsidRPr="00030D4D">
        <w:rPr>
          <w:rFonts w:ascii="Arial" w:hAnsi="Arial" w:cs="Arial"/>
        </w:rPr>
        <w:t xml:space="preserve"> realizados por meio da contratação de uma ICT. </w:t>
      </w:r>
    </w:p>
    <w:p w:rsidR="001D452D" w:rsidRPr="00030D4D" w:rsidRDefault="001D452D" w:rsidP="001D452D">
      <w:pPr>
        <w:spacing w:before="0"/>
        <w:rPr>
          <w:rFonts w:ascii="Arial" w:hAnsi="Arial" w:cs="Arial"/>
        </w:rPr>
      </w:pPr>
      <w:r w:rsidRPr="00030D4D">
        <w:rPr>
          <w:rFonts w:ascii="Arial" w:hAnsi="Arial" w:cs="Arial"/>
        </w:rPr>
        <w:t>Os incentivos fiscais são uma forma de apoio público que vem sendo utilizada de forma crescente pelas empresas que desenvolvem inovações. Seu aproveitamento entre os setores reflete, em grande medida, a dinâmica econômica de cada um,</w:t>
      </w:r>
      <w:r w:rsidR="00C633DD" w:rsidRPr="00030D4D">
        <w:rPr>
          <w:rFonts w:ascii="Arial" w:hAnsi="Arial" w:cs="Arial"/>
        </w:rPr>
        <w:t xml:space="preserve"> os respectivos marcos regulatórios,</w:t>
      </w:r>
      <w:r w:rsidRPr="00030D4D">
        <w:rPr>
          <w:rFonts w:ascii="Arial" w:hAnsi="Arial" w:cs="Arial"/>
        </w:rPr>
        <w:t xml:space="preserve"> a intensidade tec</w:t>
      </w:r>
      <w:r w:rsidR="00C633DD" w:rsidRPr="00030D4D">
        <w:rPr>
          <w:rFonts w:ascii="Arial" w:hAnsi="Arial" w:cs="Arial"/>
        </w:rPr>
        <w:t>nológica e o tamanho das empresas</w:t>
      </w:r>
      <w:r w:rsidRPr="00030D4D">
        <w:rPr>
          <w:rFonts w:ascii="Arial" w:hAnsi="Arial" w:cs="Arial"/>
        </w:rPr>
        <w:t xml:space="preserve">. No Brasil, o valor da renúncia </w:t>
      </w:r>
      <w:r w:rsidR="00A978B1" w:rsidRPr="00030D4D">
        <w:rPr>
          <w:rFonts w:ascii="Arial" w:hAnsi="Arial" w:cs="Arial"/>
        </w:rPr>
        <w:t xml:space="preserve">relacionada à Lei do Bem </w:t>
      </w:r>
      <w:r w:rsidRPr="00030D4D">
        <w:rPr>
          <w:rFonts w:ascii="Arial" w:hAnsi="Arial" w:cs="Arial"/>
        </w:rPr>
        <w:t xml:space="preserve">quase decuplicou </w:t>
      </w:r>
      <w:r w:rsidR="00143389" w:rsidRPr="00030D4D">
        <w:rPr>
          <w:rFonts w:ascii="Arial" w:hAnsi="Arial" w:cs="Arial"/>
        </w:rPr>
        <w:t>a partir de</w:t>
      </w:r>
      <w:r w:rsidR="003F71A0" w:rsidRPr="00030D4D">
        <w:rPr>
          <w:rFonts w:ascii="Arial" w:hAnsi="Arial" w:cs="Arial"/>
        </w:rPr>
        <w:t xml:space="preserve"> 2006 e essa</w:t>
      </w:r>
      <w:r w:rsidRPr="00030D4D">
        <w:rPr>
          <w:rFonts w:ascii="Arial" w:hAnsi="Arial" w:cs="Arial"/>
        </w:rPr>
        <w:t xml:space="preserve"> evolução pode ser conferid</w:t>
      </w:r>
      <w:r w:rsidR="003F71A0" w:rsidRPr="00030D4D">
        <w:rPr>
          <w:rFonts w:ascii="Arial" w:hAnsi="Arial" w:cs="Arial"/>
        </w:rPr>
        <w:t xml:space="preserve">a </w:t>
      </w:r>
      <w:r w:rsidRPr="00030D4D">
        <w:rPr>
          <w:rFonts w:ascii="Arial" w:hAnsi="Arial" w:cs="Arial"/>
        </w:rPr>
        <w:t xml:space="preserve">no Gráfico </w:t>
      </w:r>
      <w:r w:rsidR="0078235E" w:rsidRPr="00030D4D">
        <w:rPr>
          <w:rFonts w:ascii="Arial" w:hAnsi="Arial" w:cs="Arial"/>
        </w:rPr>
        <w:t>8</w:t>
      </w:r>
      <w:r w:rsidRPr="00030D4D">
        <w:rPr>
          <w:rFonts w:ascii="Arial" w:hAnsi="Arial" w:cs="Arial"/>
        </w:rPr>
        <w:t>.</w:t>
      </w:r>
    </w:p>
    <w:p w:rsidR="001D452D" w:rsidRPr="00030D4D" w:rsidRDefault="000669BF" w:rsidP="000669BF">
      <w:pPr>
        <w:pStyle w:val="Caption"/>
        <w:rPr>
          <w:rFonts w:ascii="Arial" w:hAnsi="Arial" w:cs="Arial"/>
        </w:rPr>
      </w:pPr>
      <w:bookmarkStart w:id="37" w:name="_Toc482828514"/>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8</w:t>
      </w:r>
      <w:r w:rsidR="005271BC" w:rsidRPr="00030D4D">
        <w:rPr>
          <w:rFonts w:ascii="Arial" w:hAnsi="Arial" w:cs="Arial"/>
          <w:noProof/>
        </w:rPr>
        <w:fldChar w:fldCharType="end"/>
      </w:r>
      <w:r w:rsidRPr="00030D4D">
        <w:rPr>
          <w:rFonts w:ascii="Arial" w:hAnsi="Arial" w:cs="Arial"/>
        </w:rPr>
        <w:t xml:space="preserve">. </w:t>
      </w:r>
      <w:r w:rsidR="001D452D" w:rsidRPr="00030D4D">
        <w:rPr>
          <w:rFonts w:ascii="Arial" w:hAnsi="Arial" w:cs="Arial"/>
        </w:rPr>
        <w:t>Renúncia Fiscal do Governo Federal Referente à Lei do Bem em R$ Milhões Correntes (2006-201</w:t>
      </w:r>
      <w:r w:rsidR="00B73F66" w:rsidRPr="00030D4D">
        <w:rPr>
          <w:rFonts w:ascii="Arial" w:hAnsi="Arial" w:cs="Arial"/>
        </w:rPr>
        <w:t>5</w:t>
      </w:r>
      <w:r w:rsidR="001D452D" w:rsidRPr="00030D4D">
        <w:rPr>
          <w:rFonts w:ascii="Arial" w:hAnsi="Arial" w:cs="Arial"/>
        </w:rPr>
        <w:t>)</w:t>
      </w:r>
      <w:bookmarkEnd w:id="37"/>
    </w:p>
    <w:p w:rsidR="00B73F66" w:rsidRPr="00030D4D" w:rsidRDefault="00B73F66" w:rsidP="00B73F66">
      <w:pPr>
        <w:rPr>
          <w:rFonts w:ascii="Arial" w:hAnsi="Arial" w:cs="Arial"/>
        </w:rPr>
      </w:pPr>
      <w:r w:rsidRPr="00030D4D">
        <w:rPr>
          <w:rFonts w:ascii="Arial" w:hAnsi="Arial" w:cs="Arial"/>
          <w:noProof/>
          <w:lang w:val="en-US"/>
        </w:rPr>
        <w:drawing>
          <wp:inline distT="0" distB="0" distL="0" distR="0" wp14:anchorId="26029974" wp14:editId="580F4B79">
            <wp:extent cx="4572000" cy="2743200"/>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D452D" w:rsidRPr="00030D4D" w:rsidRDefault="001D452D" w:rsidP="001D452D">
      <w:pPr>
        <w:spacing w:before="0" w:after="0" w:line="240" w:lineRule="auto"/>
        <w:jc w:val="left"/>
        <w:rPr>
          <w:rFonts w:ascii="Arial" w:hAnsi="Arial" w:cs="Arial"/>
          <w:sz w:val="20"/>
          <w:szCs w:val="20"/>
        </w:rPr>
      </w:pPr>
      <w:r w:rsidRPr="00030D4D">
        <w:rPr>
          <w:rFonts w:ascii="Arial" w:hAnsi="Arial" w:cs="Arial"/>
          <w:sz w:val="20"/>
          <w:szCs w:val="20"/>
        </w:rPr>
        <w:t>Fonte: MCT</w:t>
      </w:r>
      <w:r w:rsidR="001617EF" w:rsidRPr="00030D4D">
        <w:rPr>
          <w:rFonts w:ascii="Arial" w:hAnsi="Arial" w:cs="Arial"/>
          <w:sz w:val="20"/>
          <w:szCs w:val="20"/>
        </w:rPr>
        <w:t xml:space="preserve">I. </w:t>
      </w:r>
      <w:r w:rsidRPr="00030D4D">
        <w:rPr>
          <w:rFonts w:ascii="Arial" w:hAnsi="Arial" w:cs="Arial"/>
          <w:sz w:val="20"/>
          <w:szCs w:val="20"/>
        </w:rPr>
        <w:t>Elaboração: Coordenação-Geral de Indicadores (CGIN) - ASCAV/SEXEC - Ministério da Ciência, Tecnologia e Inovação (MCTI).</w:t>
      </w:r>
    </w:p>
    <w:p w:rsidR="001D452D" w:rsidRPr="00030D4D" w:rsidRDefault="001D452D" w:rsidP="001D452D">
      <w:pPr>
        <w:spacing w:before="0" w:after="0" w:line="240" w:lineRule="auto"/>
        <w:jc w:val="left"/>
        <w:rPr>
          <w:rFonts w:ascii="Arial" w:hAnsi="Arial" w:cs="Arial"/>
          <w:sz w:val="20"/>
          <w:szCs w:val="20"/>
        </w:rPr>
      </w:pPr>
      <w:r w:rsidRPr="00030D4D">
        <w:rPr>
          <w:rFonts w:ascii="Arial" w:hAnsi="Arial" w:cs="Arial"/>
          <w:sz w:val="20"/>
          <w:szCs w:val="20"/>
        </w:rPr>
        <w:t>N</w:t>
      </w:r>
      <w:r w:rsidR="001617EF" w:rsidRPr="00030D4D">
        <w:rPr>
          <w:rFonts w:ascii="Arial" w:hAnsi="Arial" w:cs="Arial"/>
          <w:sz w:val="20"/>
          <w:szCs w:val="20"/>
        </w:rPr>
        <w:t xml:space="preserve">ota: </w:t>
      </w:r>
      <w:r w:rsidRPr="00030D4D">
        <w:rPr>
          <w:rFonts w:ascii="Arial" w:hAnsi="Arial" w:cs="Arial"/>
          <w:sz w:val="20"/>
          <w:szCs w:val="20"/>
        </w:rPr>
        <w:t>Valores estimados pela Receita Federal do Brasil (RFB).  Demonstrativo dos Gastos Tributários (DGT) e Projeto de Lei Orçamentária Anual (PLOA).</w:t>
      </w:r>
    </w:p>
    <w:p w:rsidR="001D452D" w:rsidRPr="00030D4D" w:rsidRDefault="001D452D" w:rsidP="001D452D">
      <w:pPr>
        <w:spacing w:before="0" w:after="0" w:line="240" w:lineRule="auto"/>
        <w:jc w:val="left"/>
        <w:rPr>
          <w:rFonts w:ascii="Arial" w:hAnsi="Arial" w:cs="Arial"/>
          <w:sz w:val="20"/>
          <w:szCs w:val="20"/>
        </w:rPr>
      </w:pPr>
      <w:r w:rsidRPr="00030D4D">
        <w:rPr>
          <w:rFonts w:ascii="Arial" w:hAnsi="Arial" w:cs="Arial"/>
          <w:sz w:val="20"/>
          <w:szCs w:val="20"/>
        </w:rPr>
        <w:t>Disponível em: http://www.mct.gov.br/index.php/content/view/9252/Brasil_Valor_da_renuncia_fiscal_do_governo_federal_segundo_as_leis_de_incentivo_a_pesquisa_desenvolvimento_e_capacitacao_tecnologica.html</w:t>
      </w:r>
    </w:p>
    <w:p w:rsidR="001D452D" w:rsidRPr="00030D4D" w:rsidRDefault="001D452D" w:rsidP="00C34FA1">
      <w:pPr>
        <w:spacing w:before="0" w:after="0"/>
        <w:rPr>
          <w:rFonts w:ascii="Arial" w:hAnsi="Arial" w:cs="Arial"/>
        </w:rPr>
      </w:pPr>
    </w:p>
    <w:p w:rsidR="001D452D" w:rsidRPr="00030D4D" w:rsidRDefault="00C9655F" w:rsidP="00C34FA1">
      <w:pPr>
        <w:spacing w:before="0"/>
        <w:rPr>
          <w:rFonts w:ascii="Arial" w:hAnsi="Arial" w:cs="Arial"/>
          <w:szCs w:val="24"/>
        </w:rPr>
      </w:pPr>
      <w:r w:rsidRPr="00030D4D">
        <w:rPr>
          <w:rFonts w:ascii="Arial" w:hAnsi="Arial" w:cs="Arial"/>
          <w:szCs w:val="24"/>
        </w:rPr>
        <w:t xml:space="preserve">Conforme mencionado, </w:t>
      </w:r>
      <w:r w:rsidR="001D452D" w:rsidRPr="00030D4D">
        <w:rPr>
          <w:rFonts w:ascii="Arial" w:hAnsi="Arial" w:cs="Arial"/>
          <w:szCs w:val="24"/>
        </w:rPr>
        <w:t>não h</w:t>
      </w:r>
      <w:r w:rsidRPr="00030D4D">
        <w:rPr>
          <w:rFonts w:ascii="Arial" w:hAnsi="Arial" w:cs="Arial"/>
          <w:szCs w:val="24"/>
        </w:rPr>
        <w:t>á</w:t>
      </w:r>
      <w:r w:rsidR="001D452D" w:rsidRPr="00030D4D">
        <w:rPr>
          <w:rFonts w:ascii="Arial" w:hAnsi="Arial" w:cs="Arial"/>
          <w:szCs w:val="24"/>
        </w:rPr>
        <w:t xml:space="preserve"> necessidade</w:t>
      </w:r>
      <w:r w:rsidR="00C633DD" w:rsidRPr="00030D4D">
        <w:rPr>
          <w:rFonts w:ascii="Arial" w:hAnsi="Arial" w:cs="Arial"/>
          <w:szCs w:val="24"/>
        </w:rPr>
        <w:t xml:space="preserve"> de aprovação prévia de projeto</w:t>
      </w:r>
      <w:r w:rsidRPr="00030D4D">
        <w:rPr>
          <w:rFonts w:ascii="Arial" w:hAnsi="Arial" w:cs="Arial"/>
          <w:szCs w:val="24"/>
        </w:rPr>
        <w:t>, tal como ocorrria com o marco legal anterior (Lei 8.661/93)</w:t>
      </w:r>
      <w:r w:rsidR="00C633DD" w:rsidRPr="00030D4D">
        <w:rPr>
          <w:rFonts w:ascii="Arial" w:hAnsi="Arial" w:cs="Arial"/>
          <w:szCs w:val="24"/>
        </w:rPr>
        <w:t>. Basta atender o</w:t>
      </w:r>
      <w:r w:rsidR="001D452D" w:rsidRPr="00030D4D">
        <w:rPr>
          <w:rFonts w:ascii="Arial" w:hAnsi="Arial" w:cs="Arial"/>
          <w:szCs w:val="24"/>
        </w:rPr>
        <w:t xml:space="preserve"> compromisso de, em julho </w:t>
      </w:r>
      <w:r w:rsidR="00C633DD" w:rsidRPr="00030D4D">
        <w:rPr>
          <w:rFonts w:ascii="Arial" w:hAnsi="Arial" w:cs="Arial"/>
          <w:szCs w:val="24"/>
        </w:rPr>
        <w:t>de cada ano</w:t>
      </w:r>
      <w:r w:rsidR="001D452D" w:rsidRPr="00030D4D">
        <w:rPr>
          <w:rFonts w:ascii="Arial" w:hAnsi="Arial" w:cs="Arial"/>
          <w:szCs w:val="24"/>
        </w:rPr>
        <w:t>, apresentar as características do projeto em curso ao MCTI, por meio do preenchimento de formulário disponibilizado em formato eletrônico (Ver: http://formpd.mct.gov.br/fontes/php/index.php).</w:t>
      </w:r>
    </w:p>
    <w:p w:rsidR="00141657" w:rsidRPr="00030D4D" w:rsidRDefault="00043603" w:rsidP="00C34FA1">
      <w:pPr>
        <w:spacing w:before="0"/>
        <w:rPr>
          <w:rFonts w:ascii="Arial" w:hAnsi="Arial" w:cs="Arial"/>
          <w:shd w:val="clear" w:color="auto" w:fill="FFFFFF"/>
        </w:rPr>
      </w:pPr>
      <w:r w:rsidRPr="00030D4D">
        <w:rPr>
          <w:rFonts w:ascii="Arial" w:hAnsi="Arial" w:cs="Arial"/>
          <w:shd w:val="clear" w:color="auto" w:fill="FFFFFF"/>
        </w:rPr>
        <w:t>A utilização dos incentivos fiscais da Lei 11.196/05, regulamentada pelo Decreto n</w:t>
      </w:r>
      <w:r w:rsidRPr="00030D4D">
        <w:rPr>
          <w:rFonts w:ascii="Arial" w:hAnsi="Arial" w:cs="Arial"/>
          <w:shd w:val="clear" w:color="auto" w:fill="FFFFFF"/>
          <w:vertAlign w:val="superscript"/>
        </w:rPr>
        <w:t>o</w:t>
      </w:r>
      <w:r w:rsidRPr="00030D4D">
        <w:rPr>
          <w:rFonts w:ascii="Arial" w:hAnsi="Arial" w:cs="Arial"/>
          <w:shd w:val="clear" w:color="auto" w:fill="FFFFFF"/>
        </w:rPr>
        <w:t xml:space="preserve"> 5.798/2006</w:t>
      </w:r>
      <w:r w:rsidR="00361180" w:rsidRPr="00030D4D">
        <w:rPr>
          <w:rFonts w:ascii="Arial" w:hAnsi="Arial" w:cs="Arial"/>
          <w:shd w:val="clear" w:color="auto" w:fill="FFFFFF"/>
        </w:rPr>
        <w:t xml:space="preserve"> requer alterações nos procedimentos contábeis, pois implica a necessidade </w:t>
      </w:r>
      <w:r w:rsidR="00C633DD" w:rsidRPr="00030D4D">
        <w:rPr>
          <w:rFonts w:ascii="Arial" w:hAnsi="Arial" w:cs="Arial"/>
          <w:shd w:val="clear" w:color="auto" w:fill="FFFFFF"/>
        </w:rPr>
        <w:t xml:space="preserve">de </w:t>
      </w:r>
      <w:r w:rsidR="00361180" w:rsidRPr="00030D4D">
        <w:rPr>
          <w:rFonts w:ascii="Arial" w:hAnsi="Arial" w:cs="Arial"/>
          <w:shd w:val="clear" w:color="auto" w:fill="FFFFFF"/>
        </w:rPr>
        <w:t>contabilizar de modo separado os custos do projeto que será o fato gerador do benefício fiscal.</w:t>
      </w:r>
      <w:r w:rsidR="00C633DD" w:rsidRPr="00030D4D">
        <w:rPr>
          <w:rFonts w:ascii="Arial" w:hAnsi="Arial" w:cs="Arial"/>
          <w:shd w:val="clear" w:color="auto" w:fill="FFFFFF"/>
        </w:rPr>
        <w:t xml:space="preserve"> </w:t>
      </w:r>
    </w:p>
    <w:p w:rsidR="00C633DD" w:rsidRPr="00030D4D" w:rsidRDefault="00C633DD">
      <w:pPr>
        <w:spacing w:before="0" w:after="160" w:line="259" w:lineRule="auto"/>
        <w:jc w:val="left"/>
        <w:rPr>
          <w:rFonts w:ascii="Arial" w:hAnsi="Arial" w:cs="Arial"/>
          <w:szCs w:val="24"/>
        </w:rPr>
      </w:pPr>
    </w:p>
    <w:p w:rsidR="0013573B" w:rsidRPr="00030D4D" w:rsidRDefault="00232254" w:rsidP="00F06E1A">
      <w:pPr>
        <w:pStyle w:val="Heading1"/>
        <w:rPr>
          <w:rFonts w:ascii="Arial" w:hAnsi="Arial" w:cs="Arial"/>
        </w:rPr>
      </w:pPr>
      <w:bookmarkStart w:id="38" w:name="_Toc482828487"/>
      <w:r w:rsidRPr="00030D4D">
        <w:rPr>
          <w:rFonts w:ascii="Arial" w:hAnsi="Arial" w:cs="Arial"/>
        </w:rPr>
        <w:t xml:space="preserve">O Cenário Atual </w:t>
      </w:r>
      <w:r w:rsidR="00982540" w:rsidRPr="00030D4D">
        <w:rPr>
          <w:rFonts w:ascii="Arial" w:hAnsi="Arial" w:cs="Arial"/>
        </w:rPr>
        <w:t>do</w:t>
      </w:r>
      <w:r w:rsidR="006854DE" w:rsidRPr="00030D4D">
        <w:rPr>
          <w:rFonts w:ascii="Arial" w:hAnsi="Arial" w:cs="Arial"/>
        </w:rPr>
        <w:t xml:space="preserve"> Financiamento à </w:t>
      </w:r>
      <w:r w:rsidR="002239B3" w:rsidRPr="00030D4D">
        <w:rPr>
          <w:rFonts w:ascii="Arial" w:hAnsi="Arial" w:cs="Arial"/>
        </w:rPr>
        <w:t>Inovação</w:t>
      </w:r>
      <w:bookmarkEnd w:id="38"/>
    </w:p>
    <w:p w:rsidR="00A82F90" w:rsidRPr="00030D4D" w:rsidRDefault="00A82F90" w:rsidP="00A82F90">
      <w:pPr>
        <w:rPr>
          <w:rFonts w:ascii="Arial" w:hAnsi="Arial" w:cs="Arial"/>
        </w:rPr>
      </w:pPr>
      <w:r w:rsidRPr="00030D4D">
        <w:rPr>
          <w:rFonts w:ascii="Arial" w:hAnsi="Arial" w:cs="Arial"/>
        </w:rPr>
        <w:t xml:space="preserve">Como se pode observar através da análise dos instrumentos de financiamento e apoio apresentada, o país constituiu uma estrutura relativamente organizada para incentivar a PD&amp;I. Ainda assim, há muito a ser feito e os resultados mais gerais revelam que este esforço não foi suficiente e, ainda pior, o padrão adotado vem dando sinais de esgotamento. </w:t>
      </w:r>
    </w:p>
    <w:p w:rsidR="00A82F90" w:rsidRPr="00030D4D" w:rsidRDefault="00A82F90" w:rsidP="00A82F90">
      <w:pPr>
        <w:rPr>
          <w:rFonts w:ascii="Arial" w:hAnsi="Arial" w:cs="Arial"/>
        </w:rPr>
      </w:pPr>
      <w:r w:rsidRPr="00030D4D">
        <w:rPr>
          <w:rFonts w:ascii="Arial" w:hAnsi="Arial" w:cs="Arial"/>
        </w:rPr>
        <w:t xml:space="preserve">A Finep elevou significativamente suas operações de crédito, mesmo porque durante vários anos o governo injetou recursos na economia com propósitos anticíclicos. Esses recursos “transbordaram” para a área de C&amp;T através dos empréstimos do BNDES à Finep. Adicionalmente, a Finep tomou empréstimos do FNDCT, cujos recursos também foram crescentes ao longo dos anos. Mas desde 2012 vem havendo um arrefecimento desse fôlego e, em 2014 o fluxo praticamente se exauriu pegando a instituição com um grau elevado de </w:t>
      </w:r>
      <w:r w:rsidR="00D66851" w:rsidRPr="00030D4D">
        <w:rPr>
          <w:rFonts w:ascii="Arial" w:hAnsi="Arial" w:cs="Arial"/>
        </w:rPr>
        <w:t>comprometimento</w:t>
      </w:r>
      <w:r w:rsidRPr="00030D4D">
        <w:rPr>
          <w:rFonts w:ascii="Arial" w:hAnsi="Arial" w:cs="Arial"/>
        </w:rPr>
        <w:t xml:space="preserve">, representando o retorno da instabilidade financeira para a área de CT&amp;I. Na seção que se segue é feita uma discussão sobre o padrão de financiamento adotado e o revés sofrido nos últimos anos. </w:t>
      </w:r>
    </w:p>
    <w:p w:rsidR="001D34CF" w:rsidRPr="00030D4D" w:rsidRDefault="001D34CF" w:rsidP="001D34CF">
      <w:pPr>
        <w:rPr>
          <w:rFonts w:ascii="Arial" w:hAnsi="Arial" w:cs="Arial"/>
        </w:rPr>
      </w:pPr>
      <w:r w:rsidRPr="00030D4D">
        <w:rPr>
          <w:rFonts w:ascii="Arial" w:hAnsi="Arial" w:cs="Arial"/>
        </w:rPr>
        <w:t xml:space="preserve">Os fundos setoriais trouxeram a esperança, numa economia tão carente de recursos como a brasileira, de que seria possível pelo menos reduzir a restrição financeira, que sempre foi um impedimento para o avanço sustentável das ações voltadas para a área de C&amp;T. Foi também um alento para aqueles que imaginavam que seria possível alavancar um novo salto industrial, com a projeção de atrair investimentos em setores mais intensivos em tecnologia demandante de inovações, e mais ainda, que seria possível contar com uma produção industrial e de serviços baseada em tecnologias desenvolvidas internamente. Em um contexto de internacionalização crescente, o relançamento da indústria representava as possibilidades do país voltar ao velho sonho de alcançar alguma autonomia tecnológica e, para os mais ambiciosos, fazer o </w:t>
      </w:r>
      <w:r w:rsidRPr="00030D4D">
        <w:rPr>
          <w:rFonts w:ascii="Arial" w:hAnsi="Arial" w:cs="Arial"/>
          <w:i/>
        </w:rPr>
        <w:t>catching-up</w:t>
      </w:r>
      <w:r w:rsidRPr="00030D4D">
        <w:rPr>
          <w:rFonts w:ascii="Arial" w:hAnsi="Arial" w:cs="Arial"/>
        </w:rPr>
        <w:t xml:space="preserve"> ao menos em relação às chamadas economias emergentes, grupo do qual o Brasil parecia estar muito próximo.</w:t>
      </w:r>
    </w:p>
    <w:p w:rsidR="001D34CF" w:rsidRPr="00030D4D" w:rsidRDefault="001D34CF" w:rsidP="001D34CF">
      <w:pPr>
        <w:rPr>
          <w:rFonts w:ascii="Arial" w:hAnsi="Arial" w:cs="Arial"/>
        </w:rPr>
      </w:pPr>
      <w:r w:rsidRPr="00030D4D">
        <w:rPr>
          <w:rFonts w:ascii="Arial" w:hAnsi="Arial" w:cs="Arial"/>
        </w:rPr>
        <w:t>Sabia-se que o dinheiro dos fundos setoriais, embora permitisse mais do que dobrar o orçamento do FNDCT, seria insuficiente se as empresas não aderissem de forma ampla e sustentada ao projeto incentivador dos investimentos em novas tecnologias baseadas em ciência. Os recursos para financiar o risco e as incertezas tecnológicas de</w:t>
      </w:r>
      <w:r w:rsidR="00A22294" w:rsidRPr="00030D4D">
        <w:rPr>
          <w:rFonts w:ascii="Arial" w:hAnsi="Arial" w:cs="Arial"/>
        </w:rPr>
        <w:t>veriam ser bem mais expressivos</w:t>
      </w:r>
      <w:r w:rsidRPr="00030D4D">
        <w:rPr>
          <w:rFonts w:ascii="Arial" w:hAnsi="Arial" w:cs="Arial"/>
        </w:rPr>
        <w:t xml:space="preserve"> </w:t>
      </w:r>
      <w:r w:rsidR="00A22294" w:rsidRPr="00030D4D">
        <w:rPr>
          <w:rFonts w:ascii="Arial" w:hAnsi="Arial" w:cs="Arial"/>
        </w:rPr>
        <w:t>e</w:t>
      </w:r>
      <w:r w:rsidRPr="00030D4D">
        <w:rPr>
          <w:rFonts w:ascii="Arial" w:hAnsi="Arial" w:cs="Arial"/>
        </w:rPr>
        <w:t xml:space="preserve"> para isso </w:t>
      </w:r>
      <w:r w:rsidR="00A22294" w:rsidRPr="00030D4D">
        <w:rPr>
          <w:rFonts w:ascii="Arial" w:hAnsi="Arial" w:cs="Arial"/>
        </w:rPr>
        <w:t>seria</w:t>
      </w:r>
      <w:r w:rsidRPr="00030D4D">
        <w:rPr>
          <w:rFonts w:ascii="Arial" w:hAnsi="Arial" w:cs="Arial"/>
        </w:rPr>
        <w:t xml:space="preserve"> necessário mobilizar fontes adicionais provenientes do mercado de crédito, cujos custos de juros poderiam ser reduzidos via subvenção, e do mercado de venture capital, mais moderno e adequado ao longo prazo por conta de não representar endividamento</w:t>
      </w:r>
      <w:r w:rsidR="00A22294" w:rsidRPr="00030D4D">
        <w:rPr>
          <w:rFonts w:ascii="Arial" w:hAnsi="Arial" w:cs="Arial"/>
        </w:rPr>
        <w:t xml:space="preserve"> para as empresas. Enfim, o</w:t>
      </w:r>
      <w:r w:rsidRPr="00030D4D">
        <w:rPr>
          <w:rFonts w:ascii="Arial" w:hAnsi="Arial" w:cs="Arial"/>
        </w:rPr>
        <w:t xml:space="preserve"> compartilhamento financeiro entre setor público e privado </w:t>
      </w:r>
      <w:r w:rsidR="00CE4879" w:rsidRPr="00030D4D">
        <w:rPr>
          <w:rFonts w:ascii="Arial" w:hAnsi="Arial" w:cs="Arial"/>
        </w:rPr>
        <w:t xml:space="preserve">poderia dar </w:t>
      </w:r>
      <w:r w:rsidRPr="00030D4D">
        <w:rPr>
          <w:rFonts w:ascii="Arial" w:hAnsi="Arial" w:cs="Arial"/>
        </w:rPr>
        <w:t>conta do recado, mesmo porque a expectativa era que os investidores privados teriam grande interesse em participar de investimentos com elevado potencial de lucratividade.</w:t>
      </w:r>
    </w:p>
    <w:p w:rsidR="001D34CF" w:rsidRPr="00030D4D" w:rsidRDefault="001D34CF" w:rsidP="001D34CF">
      <w:pPr>
        <w:rPr>
          <w:rFonts w:ascii="Arial" w:hAnsi="Arial" w:cs="Arial"/>
        </w:rPr>
      </w:pPr>
      <w:r w:rsidRPr="00030D4D">
        <w:rPr>
          <w:rFonts w:ascii="Arial" w:hAnsi="Arial" w:cs="Arial"/>
        </w:rPr>
        <w:t>A própria perspectiva da consolidação da democracia com a mudança de governo, cujo projeto previa uma maior inserção das camadas de renda mais baixa da população no consumo, parecia fomentar ainda mais o otimismo, que já estava em recuperação após o choque inicial do Plano Real e com a paulatina melhoria das condições macroeconômicas em meio às turbulências das crises internacionais de 1997 e 1999. Foi, inclusive, esse cenário animador que possibilitou a construção de toda essa estrutura de apoio a CT&amp;I e que deveria dar uma nova con</w:t>
      </w:r>
      <w:r w:rsidR="00AD747E" w:rsidRPr="00030D4D">
        <w:rPr>
          <w:rFonts w:ascii="Arial" w:hAnsi="Arial" w:cs="Arial"/>
        </w:rPr>
        <w:t>figura</w:t>
      </w:r>
      <w:r w:rsidRPr="00030D4D">
        <w:rPr>
          <w:rFonts w:ascii="Arial" w:hAnsi="Arial" w:cs="Arial"/>
        </w:rPr>
        <w:t xml:space="preserve">ção ao Sistema de Inovação brasileiro. </w:t>
      </w:r>
    </w:p>
    <w:p w:rsidR="001D34CF" w:rsidRPr="00030D4D" w:rsidRDefault="001D34CF" w:rsidP="001D34CF">
      <w:pPr>
        <w:rPr>
          <w:rFonts w:ascii="Arial" w:hAnsi="Arial" w:cs="Arial"/>
        </w:rPr>
      </w:pPr>
      <w:r w:rsidRPr="00030D4D">
        <w:rPr>
          <w:rFonts w:ascii="Arial" w:hAnsi="Arial" w:cs="Arial"/>
        </w:rPr>
        <w:t>Mas o que se viu e os frutos que estão sendo colhidos são bem menos viçosos do que o esperado. O que era impensável no início dos anos 2000 é mais do que real no período 2014-2016. O encolhimento do apoio financeiro é uma realidade e compromete não só a trajetória futura, mas também o que foi construído, em parte a duras penas, pois o processo também não foi tão positivo como se esperava. Os contingenciamentos e as reorientações que foram dadas aos recursos também foram fatores que frustraram as expectativas.</w:t>
      </w:r>
    </w:p>
    <w:p w:rsidR="001D34CF" w:rsidRPr="00030D4D" w:rsidRDefault="001D34CF" w:rsidP="001D34CF">
      <w:pPr>
        <w:rPr>
          <w:rFonts w:ascii="Arial" w:hAnsi="Arial" w:cs="Arial"/>
        </w:rPr>
      </w:pPr>
      <w:r w:rsidRPr="00030D4D">
        <w:rPr>
          <w:rFonts w:ascii="Arial" w:hAnsi="Arial" w:cs="Arial"/>
        </w:rPr>
        <w:t>Entre 2001-2016, o orçamento do MCTI</w:t>
      </w:r>
      <w:r w:rsidRPr="00030D4D">
        <w:rPr>
          <w:rStyle w:val="FootnoteReference"/>
          <w:rFonts w:ascii="Arial" w:hAnsi="Arial" w:cs="Arial"/>
        </w:rPr>
        <w:footnoteReference w:id="23"/>
      </w:r>
      <w:r w:rsidRPr="00030D4D">
        <w:rPr>
          <w:rFonts w:ascii="Arial" w:hAnsi="Arial" w:cs="Arial"/>
        </w:rPr>
        <w:t xml:space="preserve"> foi de cerca de R$100 bilhões. Deste total, 86,3% foram empenhados e 70,6% liquidados, isto é, disponibilizados para o gasto, como pode ser visto na </w:t>
      </w:r>
      <w:r w:rsidR="0078235E" w:rsidRPr="00030D4D">
        <w:rPr>
          <w:rFonts w:ascii="Arial" w:hAnsi="Arial" w:cs="Arial"/>
        </w:rPr>
        <w:t>Gráfico</w:t>
      </w:r>
      <w:r w:rsidRPr="00030D4D">
        <w:rPr>
          <w:rFonts w:ascii="Arial" w:hAnsi="Arial" w:cs="Arial"/>
        </w:rPr>
        <w:t xml:space="preserve"> 1, abaixo. Essa distribuição revela que quase 30% do orçamento não pôde ser alocado nas atividades previstas, representando uma perda significativa para o Sistema de CT&amp;I, que dependia desses recursos, nos 15 anos analisados. </w:t>
      </w:r>
    </w:p>
    <w:p w:rsidR="001D34CF" w:rsidRPr="00030D4D" w:rsidRDefault="001237BA" w:rsidP="001237BA">
      <w:pPr>
        <w:pStyle w:val="Caption"/>
        <w:rPr>
          <w:rFonts w:ascii="Arial" w:hAnsi="Arial" w:cs="Arial"/>
        </w:rPr>
      </w:pPr>
      <w:bookmarkStart w:id="39" w:name="_Toc472516365"/>
      <w:bookmarkStart w:id="40" w:name="_Toc478833653"/>
      <w:bookmarkStart w:id="41" w:name="_Toc482828515"/>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9</w:t>
      </w:r>
      <w:r w:rsidR="005271BC" w:rsidRPr="00030D4D">
        <w:rPr>
          <w:rFonts w:ascii="Arial" w:hAnsi="Arial" w:cs="Arial"/>
          <w:noProof/>
        </w:rPr>
        <w:fldChar w:fldCharType="end"/>
      </w:r>
      <w:r w:rsidR="001D34CF" w:rsidRPr="00030D4D">
        <w:rPr>
          <w:rFonts w:ascii="Arial" w:hAnsi="Arial" w:cs="Arial"/>
        </w:rPr>
        <w:t>. Orçamento do MCTI definido e executado entre 2001-2016, em milhões de reais (valores correntes)</w:t>
      </w:r>
      <w:bookmarkEnd w:id="39"/>
      <w:bookmarkEnd w:id="40"/>
      <w:bookmarkEnd w:id="41"/>
    </w:p>
    <w:p w:rsidR="001D34CF" w:rsidRPr="00030D4D" w:rsidRDefault="001D34CF" w:rsidP="00916C6A">
      <w:pPr>
        <w:jc w:val="left"/>
        <w:rPr>
          <w:rFonts w:ascii="Arial" w:hAnsi="Arial" w:cs="Arial"/>
        </w:rPr>
      </w:pPr>
      <w:r w:rsidRPr="00030D4D">
        <w:rPr>
          <w:rFonts w:ascii="Arial" w:hAnsi="Arial" w:cs="Arial"/>
          <w:noProof/>
          <w:lang w:val="en-US"/>
        </w:rPr>
        <w:drawing>
          <wp:inline distT="0" distB="0" distL="0" distR="0">
            <wp:extent cx="4245142" cy="2225040"/>
            <wp:effectExtent l="0" t="0" r="3175" b="381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51891" cy="2228578"/>
                    </a:xfrm>
                    <a:prstGeom prst="rect">
                      <a:avLst/>
                    </a:prstGeom>
                    <a:noFill/>
                    <a:ln>
                      <a:noFill/>
                    </a:ln>
                  </pic:spPr>
                </pic:pic>
              </a:graphicData>
            </a:graphic>
          </wp:inline>
        </w:drawing>
      </w:r>
    </w:p>
    <w:p w:rsidR="001D34CF" w:rsidRPr="00030D4D" w:rsidRDefault="001D34CF" w:rsidP="001D34CF">
      <w:pPr>
        <w:rPr>
          <w:rFonts w:ascii="Arial" w:hAnsi="Arial" w:cs="Arial"/>
        </w:rPr>
      </w:pPr>
      <w:r w:rsidRPr="00030D4D">
        <w:rPr>
          <w:rFonts w:ascii="Arial" w:hAnsi="Arial" w:cs="Arial"/>
        </w:rPr>
        <w:t>Fonte: Ministério do Planejamento</w:t>
      </w:r>
    </w:p>
    <w:p w:rsidR="001D34CF" w:rsidRPr="00030D4D" w:rsidRDefault="001D34CF" w:rsidP="001D34CF">
      <w:pPr>
        <w:rPr>
          <w:rFonts w:ascii="Arial" w:hAnsi="Arial" w:cs="Arial"/>
        </w:rPr>
      </w:pPr>
    </w:p>
    <w:p w:rsidR="001D34CF" w:rsidRPr="00030D4D" w:rsidRDefault="001D34CF" w:rsidP="001D34CF">
      <w:pPr>
        <w:rPr>
          <w:rFonts w:ascii="Arial" w:hAnsi="Arial" w:cs="Arial"/>
        </w:rPr>
      </w:pPr>
      <w:r w:rsidRPr="00030D4D">
        <w:rPr>
          <w:rFonts w:ascii="Arial" w:hAnsi="Arial" w:cs="Arial"/>
        </w:rPr>
        <w:t>Neste mesmo período, o orçamento do FNDCT foi de cerca de R$37 bilhões. Deste valor, 65% foram empenhados e apenas 46% liquidados, ou seja, quase 54% do orçamento do FNDCT não pôde ser alocado nas atividades previstas, representando uma perda para a inovação, e mais ainda, para o SNI, nos 15 anos analisados (</w:t>
      </w:r>
      <w:r w:rsidR="0078235E" w:rsidRPr="00030D4D">
        <w:rPr>
          <w:rFonts w:ascii="Arial" w:hAnsi="Arial" w:cs="Arial"/>
        </w:rPr>
        <w:t>Gráfico</w:t>
      </w:r>
      <w:r w:rsidRPr="00030D4D">
        <w:rPr>
          <w:rFonts w:ascii="Arial" w:hAnsi="Arial" w:cs="Arial"/>
        </w:rPr>
        <w:t xml:space="preserve"> </w:t>
      </w:r>
      <w:r w:rsidR="0078235E" w:rsidRPr="00030D4D">
        <w:rPr>
          <w:rFonts w:ascii="Arial" w:hAnsi="Arial" w:cs="Arial"/>
        </w:rPr>
        <w:t>10</w:t>
      </w:r>
      <w:r w:rsidRPr="00030D4D">
        <w:rPr>
          <w:rFonts w:ascii="Arial" w:hAnsi="Arial" w:cs="Arial"/>
        </w:rPr>
        <w:t>). Quando se trata do Orçamento Geral da União (OGU) é sempre possível argumentar que o orçamento tem como base uma previsão de receita e que o contingenciamento é usado para adequar os gastos às frustrações de receita</w:t>
      </w:r>
      <w:r w:rsidRPr="00030D4D">
        <w:rPr>
          <w:rStyle w:val="FootnoteReference"/>
          <w:rFonts w:ascii="Arial" w:hAnsi="Arial" w:cs="Arial"/>
        </w:rPr>
        <w:footnoteReference w:id="24"/>
      </w:r>
      <w:r w:rsidRPr="00030D4D">
        <w:rPr>
          <w:rFonts w:ascii="Arial" w:hAnsi="Arial" w:cs="Arial"/>
        </w:rPr>
        <w:t xml:space="preserve">. </w:t>
      </w:r>
    </w:p>
    <w:p w:rsidR="001D34CF" w:rsidRPr="00030D4D" w:rsidRDefault="001237BA" w:rsidP="001237BA">
      <w:pPr>
        <w:pStyle w:val="Caption"/>
        <w:rPr>
          <w:rFonts w:ascii="Arial" w:hAnsi="Arial" w:cs="Arial"/>
        </w:rPr>
      </w:pPr>
      <w:bookmarkStart w:id="42" w:name="_Toc472516366"/>
      <w:bookmarkStart w:id="43" w:name="_Toc478833654"/>
      <w:bookmarkStart w:id="44" w:name="_Toc482828516"/>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10</w:t>
      </w:r>
      <w:r w:rsidR="005271BC" w:rsidRPr="00030D4D">
        <w:rPr>
          <w:rFonts w:ascii="Arial" w:hAnsi="Arial" w:cs="Arial"/>
          <w:noProof/>
        </w:rPr>
        <w:fldChar w:fldCharType="end"/>
      </w:r>
      <w:r w:rsidR="001D34CF" w:rsidRPr="00030D4D">
        <w:rPr>
          <w:rFonts w:ascii="Arial" w:hAnsi="Arial" w:cs="Arial"/>
        </w:rPr>
        <w:t>. Orçamento do FNDCT definido e executado entre 2001-2016, em milhões de reais (valores correntes)</w:t>
      </w:r>
      <w:bookmarkEnd w:id="42"/>
      <w:bookmarkEnd w:id="43"/>
      <w:bookmarkEnd w:id="44"/>
    </w:p>
    <w:p w:rsidR="001D34CF" w:rsidRPr="00030D4D" w:rsidRDefault="001D34CF" w:rsidP="001D34CF">
      <w:pPr>
        <w:rPr>
          <w:rFonts w:ascii="Arial" w:hAnsi="Arial" w:cs="Arial"/>
        </w:rPr>
      </w:pPr>
      <w:r w:rsidRPr="00030D4D">
        <w:rPr>
          <w:rFonts w:ascii="Arial" w:hAnsi="Arial" w:cs="Arial"/>
          <w:noProof/>
          <w:lang w:val="en-US"/>
        </w:rPr>
        <w:drawing>
          <wp:inline distT="0" distB="0" distL="0" distR="0">
            <wp:extent cx="4734560" cy="2468880"/>
            <wp:effectExtent l="0" t="0" r="8890" b="7620"/>
            <wp:docPr id="10"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D34CF" w:rsidRPr="00030D4D" w:rsidRDefault="001D34CF" w:rsidP="001D34CF">
      <w:pPr>
        <w:rPr>
          <w:rFonts w:ascii="Arial" w:hAnsi="Arial" w:cs="Arial"/>
        </w:rPr>
      </w:pPr>
      <w:r w:rsidRPr="00030D4D">
        <w:rPr>
          <w:rFonts w:ascii="Arial" w:hAnsi="Arial" w:cs="Arial"/>
        </w:rPr>
        <w:t>Fonte: Ministério do Planejamento</w:t>
      </w:r>
    </w:p>
    <w:p w:rsidR="001D34CF" w:rsidRPr="00030D4D" w:rsidRDefault="001D34CF" w:rsidP="001D34CF">
      <w:pPr>
        <w:rPr>
          <w:rFonts w:ascii="Arial" w:hAnsi="Arial" w:cs="Arial"/>
        </w:rPr>
      </w:pPr>
    </w:p>
    <w:p w:rsidR="001D34CF" w:rsidRPr="00030D4D" w:rsidRDefault="001D34CF" w:rsidP="001D34CF">
      <w:pPr>
        <w:rPr>
          <w:rFonts w:ascii="Arial" w:hAnsi="Arial" w:cs="Arial"/>
        </w:rPr>
      </w:pPr>
      <w:r w:rsidRPr="00030D4D">
        <w:rPr>
          <w:rFonts w:ascii="Arial" w:hAnsi="Arial" w:cs="Arial"/>
        </w:rPr>
        <w:t xml:space="preserve">O FNDCT representou cerca de 37% do orçamento total do MCTI, no período. Do valor total do Fundo, cerca de 94% foram procedentes dos fundos setoriais e apenas 5,8% das fontes ordinárias do Tesouro Nacional. Ao longo dos anos, o valor empenhado pelo Tesouro ficou em torno de R$33-34 milhões, representando uma participação relativa decrescente à medida em que os recursos dos fundos setoriais iam crescendo, como mostra a </w:t>
      </w:r>
      <w:r w:rsidR="0078235E" w:rsidRPr="00030D4D">
        <w:rPr>
          <w:rFonts w:ascii="Arial" w:hAnsi="Arial" w:cs="Arial"/>
        </w:rPr>
        <w:t>Gráfico</w:t>
      </w:r>
      <w:r w:rsidRPr="00030D4D">
        <w:rPr>
          <w:rFonts w:ascii="Arial" w:hAnsi="Arial" w:cs="Arial"/>
        </w:rPr>
        <w:t xml:space="preserve"> </w:t>
      </w:r>
      <w:r w:rsidR="00483621" w:rsidRPr="00030D4D">
        <w:rPr>
          <w:rFonts w:ascii="Arial" w:hAnsi="Arial" w:cs="Arial"/>
        </w:rPr>
        <w:t>11,</w:t>
      </w:r>
      <w:r w:rsidRPr="00030D4D">
        <w:rPr>
          <w:rFonts w:ascii="Arial" w:hAnsi="Arial" w:cs="Arial"/>
        </w:rPr>
        <w:t xml:space="preserve"> abaixo. É possível observar, segundo os dados divulgados pelo Ministério do Planejamento, que em 2012 e em 2016 praticamente não houve orçamento do Tesouro para o FNDCT. Criados como fonte adicional de financiamento, na prática os fundos setoriais foram aos poucos substituindo os recursos regulares do Tesouro. O aumento do valor empenhado no ano de 2015 foi algo excepcional e mesmo assim ficou longe do esperado quando houve a aprovação da LOA. </w:t>
      </w:r>
    </w:p>
    <w:p w:rsidR="001D34CF" w:rsidRPr="00030D4D" w:rsidRDefault="001237BA" w:rsidP="001237BA">
      <w:pPr>
        <w:pStyle w:val="Caption"/>
        <w:rPr>
          <w:rFonts w:ascii="Arial" w:hAnsi="Arial" w:cs="Arial"/>
        </w:rPr>
      </w:pPr>
      <w:bookmarkStart w:id="45" w:name="_Toc472516367"/>
      <w:bookmarkStart w:id="46" w:name="_Toc478833655"/>
      <w:bookmarkStart w:id="47" w:name="_Toc482828517"/>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11</w:t>
      </w:r>
      <w:r w:rsidR="005271BC" w:rsidRPr="00030D4D">
        <w:rPr>
          <w:rFonts w:ascii="Arial" w:hAnsi="Arial" w:cs="Arial"/>
          <w:noProof/>
        </w:rPr>
        <w:fldChar w:fldCharType="end"/>
      </w:r>
      <w:r w:rsidR="001D34CF" w:rsidRPr="00030D4D">
        <w:rPr>
          <w:rFonts w:ascii="Arial" w:hAnsi="Arial" w:cs="Arial"/>
        </w:rPr>
        <w:t>. Recursos ordinários do Tesouro Nacional (fonte 100) destinados ao FNDCT, em mil reais (valores correntes)</w:t>
      </w:r>
      <w:bookmarkEnd w:id="45"/>
      <w:bookmarkEnd w:id="46"/>
      <w:bookmarkEnd w:id="47"/>
    </w:p>
    <w:p w:rsidR="001D34CF" w:rsidRPr="00030D4D" w:rsidRDefault="001D34CF" w:rsidP="001D34CF">
      <w:pPr>
        <w:rPr>
          <w:rFonts w:ascii="Arial" w:hAnsi="Arial" w:cs="Arial"/>
        </w:rPr>
      </w:pPr>
      <w:r w:rsidRPr="00030D4D">
        <w:rPr>
          <w:rFonts w:ascii="Arial" w:hAnsi="Arial" w:cs="Arial"/>
          <w:noProof/>
          <w:lang w:val="en-US"/>
        </w:rPr>
        <w:drawing>
          <wp:inline distT="0" distB="0" distL="0" distR="0">
            <wp:extent cx="4907280" cy="2621280"/>
            <wp:effectExtent l="0" t="0" r="7620" b="7620"/>
            <wp:docPr id="9"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D34CF" w:rsidRPr="00030D4D" w:rsidRDefault="001D34CF" w:rsidP="001D34CF">
      <w:pPr>
        <w:rPr>
          <w:rFonts w:ascii="Arial" w:hAnsi="Arial" w:cs="Arial"/>
        </w:rPr>
      </w:pPr>
      <w:r w:rsidRPr="00030D4D">
        <w:rPr>
          <w:rFonts w:ascii="Arial" w:hAnsi="Arial" w:cs="Arial"/>
        </w:rPr>
        <w:t>Fonte: Ministério do Planejamento</w:t>
      </w:r>
    </w:p>
    <w:p w:rsidR="001D34CF" w:rsidRPr="00030D4D" w:rsidRDefault="001D34CF" w:rsidP="001D34CF">
      <w:pPr>
        <w:rPr>
          <w:rFonts w:ascii="Arial" w:hAnsi="Arial" w:cs="Arial"/>
        </w:rPr>
      </w:pPr>
    </w:p>
    <w:p w:rsidR="001D34CF" w:rsidRPr="00030D4D" w:rsidRDefault="001D34CF" w:rsidP="001D34CF">
      <w:pPr>
        <w:rPr>
          <w:rStyle w:val="apple-converted-space"/>
          <w:rFonts w:ascii="Arial" w:hAnsi="Arial" w:cs="Arial"/>
          <w:shd w:val="clear" w:color="auto" w:fill="FFFFFF"/>
        </w:rPr>
      </w:pPr>
      <w:r w:rsidRPr="00030D4D">
        <w:rPr>
          <w:rFonts w:ascii="Arial" w:hAnsi="Arial" w:cs="Arial"/>
        </w:rPr>
        <w:t>As dificuldades de executar o orçamento aprovado podem ser melhor identificadas quando analisadas as</w:t>
      </w:r>
      <w:r w:rsidRPr="00030D4D">
        <w:rPr>
          <w:rStyle w:val="apple-converted-space"/>
          <w:rFonts w:ascii="Arial" w:hAnsi="Arial" w:cs="Arial"/>
          <w:shd w:val="clear" w:color="auto" w:fill="FFFFFF"/>
        </w:rPr>
        <w:t xml:space="preserve"> operações especiais, que envolvem a alocação dos recursos do FNDCT nos instrumentos de apoio à inovação, como a equalização de juros, subvenção e investimentos em </w:t>
      </w:r>
      <w:r w:rsidRPr="00030D4D">
        <w:rPr>
          <w:rStyle w:val="apple-converted-space"/>
          <w:rFonts w:ascii="Arial" w:hAnsi="Arial" w:cs="Arial"/>
          <w:i/>
          <w:shd w:val="clear" w:color="auto" w:fill="FFFFFF"/>
        </w:rPr>
        <w:t>venture capital</w:t>
      </w:r>
      <w:r w:rsidRPr="00030D4D">
        <w:rPr>
          <w:rStyle w:val="apple-converted-space"/>
          <w:rFonts w:ascii="Arial" w:hAnsi="Arial" w:cs="Arial"/>
          <w:shd w:val="clear" w:color="auto" w:fill="FFFFFF"/>
        </w:rPr>
        <w:t xml:space="preserve">, incluindo a garantia de liquidez. Os dados revelam que apenas cerca de 66,5% do que foi definido na lei orçamentária (LOA) para essas operações foram efetivamente destinados para os projetos e atividades relacionadas. </w:t>
      </w:r>
    </w:p>
    <w:p w:rsidR="001D34CF" w:rsidRPr="00030D4D" w:rsidRDefault="001D34CF" w:rsidP="001D34CF">
      <w:pPr>
        <w:rPr>
          <w:rStyle w:val="apple-converted-space"/>
          <w:rFonts w:ascii="Arial" w:hAnsi="Arial" w:cs="Arial"/>
          <w:shd w:val="clear" w:color="auto" w:fill="FFFFFF"/>
        </w:rPr>
      </w:pPr>
      <w:r w:rsidRPr="00030D4D">
        <w:rPr>
          <w:rStyle w:val="apple-converted-space"/>
          <w:rFonts w:ascii="Arial" w:hAnsi="Arial" w:cs="Arial"/>
          <w:shd w:val="clear" w:color="auto" w:fill="FFFFFF"/>
        </w:rPr>
        <w:t xml:space="preserve">A equalização de juros foi o instrumento que sofreu menos cortes, tanto que 95% dos recursos que foram aprovados na lei do orçamento foram efetivamente liquidados. O instrumento de subvenção econômica, em seus dois momentos – o período em que prevaleciam as regras estabelecidas pela lei n. 10.332/01 e o período em que passa a vigorar o texto da lei de inovação (Lei n. 10.973/04) -, sofreu cortes mais expressivos. No primeiro caso, o valor liquidado representou 45% do que foi aprovado em lei e, no segundo, 54,6% do que foi aprovado. A parte de </w:t>
      </w:r>
      <w:r w:rsidRPr="00030D4D">
        <w:rPr>
          <w:rStyle w:val="apple-converted-space"/>
          <w:rFonts w:ascii="Arial" w:hAnsi="Arial" w:cs="Arial"/>
          <w:i/>
          <w:shd w:val="clear" w:color="auto" w:fill="FFFFFF"/>
        </w:rPr>
        <w:t>venture capital</w:t>
      </w:r>
      <w:r w:rsidRPr="00030D4D">
        <w:rPr>
          <w:rStyle w:val="apple-converted-space"/>
          <w:rFonts w:ascii="Arial" w:hAnsi="Arial" w:cs="Arial"/>
          <w:shd w:val="clear" w:color="auto" w:fill="FFFFFF"/>
        </w:rPr>
        <w:t xml:space="preserve"> foi ainda mais afetada. Apenas 34,8% do que foi previsto pela LOA foi efetivamente liberado para o gasto. Para garantia de liquidez foi autorizado gastar apenas 51% do orçamento aprovado, no período que se estende de 2002 a 2016, como mostra a Tabela a seguir.</w:t>
      </w:r>
    </w:p>
    <w:p w:rsidR="00452E53" w:rsidRPr="00030D4D" w:rsidRDefault="00452E53">
      <w:pPr>
        <w:spacing w:before="0" w:after="160" w:line="259" w:lineRule="auto"/>
        <w:jc w:val="left"/>
        <w:rPr>
          <w:rFonts w:ascii="Arial" w:hAnsi="Arial" w:cs="Arial"/>
          <w:b/>
          <w:iCs/>
          <w:szCs w:val="18"/>
        </w:rPr>
      </w:pPr>
      <w:bookmarkStart w:id="48" w:name="_Toc472516377"/>
      <w:bookmarkStart w:id="49" w:name="_Toc478833657"/>
      <w:r w:rsidRPr="00030D4D">
        <w:rPr>
          <w:rFonts w:ascii="Arial" w:hAnsi="Arial" w:cs="Arial"/>
        </w:rPr>
        <w:br w:type="page"/>
      </w:r>
    </w:p>
    <w:p w:rsidR="001D34CF" w:rsidRPr="00030D4D" w:rsidRDefault="001D34CF" w:rsidP="001D34CF">
      <w:pPr>
        <w:pStyle w:val="Caption"/>
        <w:rPr>
          <w:rFonts w:ascii="Arial" w:hAnsi="Arial" w:cs="Arial"/>
        </w:rPr>
      </w:pPr>
      <w:bookmarkStart w:id="50" w:name="_Toc482828494"/>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2</w:t>
      </w:r>
      <w:r w:rsidR="005271BC" w:rsidRPr="00030D4D">
        <w:rPr>
          <w:rFonts w:ascii="Arial" w:hAnsi="Arial" w:cs="Arial"/>
          <w:noProof/>
        </w:rPr>
        <w:fldChar w:fldCharType="end"/>
      </w:r>
      <w:r w:rsidRPr="00030D4D">
        <w:rPr>
          <w:rFonts w:ascii="Arial" w:hAnsi="Arial" w:cs="Arial"/>
        </w:rPr>
        <w:t>. Orçamento do FNDCT nas operações especiais: LOA e valor liquidado, em reais, 2002-2016 (valores correntes)</w:t>
      </w:r>
      <w:bookmarkEnd w:id="48"/>
      <w:bookmarkEnd w:id="49"/>
      <w:bookmarkEnd w:id="50"/>
    </w:p>
    <w:tbl>
      <w:tblPr>
        <w:tblStyle w:val="Estilo2"/>
        <w:tblW w:w="7975" w:type="dxa"/>
        <w:tblLook w:val="04A0" w:firstRow="1" w:lastRow="0" w:firstColumn="1" w:lastColumn="0" w:noHBand="0" w:noVBand="1"/>
      </w:tblPr>
      <w:tblGrid>
        <w:gridCol w:w="3733"/>
        <w:gridCol w:w="1368"/>
        <w:gridCol w:w="1368"/>
        <w:gridCol w:w="1506"/>
      </w:tblGrid>
      <w:tr w:rsidR="001D34CF" w:rsidRPr="00030D4D" w:rsidTr="00AD5446">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4101" w:type="dxa"/>
            <w:hideMark/>
          </w:tcPr>
          <w:p w:rsidR="001D34CF" w:rsidRPr="00030D4D" w:rsidRDefault="001D34CF" w:rsidP="00AD5446">
            <w:pPr>
              <w:spacing w:before="0" w:after="0" w:line="240" w:lineRule="auto"/>
              <w:jc w:val="center"/>
              <w:rPr>
                <w:rFonts w:ascii="Arial" w:hAnsi="Arial" w:cs="Arial"/>
                <w:bCs w:val="0"/>
                <w:color w:val="FFFFFF"/>
                <w:sz w:val="18"/>
                <w:szCs w:val="18"/>
              </w:rPr>
            </w:pPr>
            <w:r w:rsidRPr="00030D4D">
              <w:rPr>
                <w:rFonts w:ascii="Arial" w:hAnsi="Arial" w:cs="Arial"/>
                <w:bCs w:val="0"/>
                <w:color w:val="FFFFFF"/>
                <w:sz w:val="18"/>
                <w:szCs w:val="18"/>
              </w:rPr>
              <w:t>Código e Tipo de Operação Especial</w:t>
            </w:r>
          </w:p>
        </w:tc>
        <w:tc>
          <w:tcPr>
            <w:tcW w:w="1264" w:type="dxa"/>
            <w:noWrap/>
            <w:hideMark/>
          </w:tcPr>
          <w:p w:rsidR="001D34CF" w:rsidRPr="00030D4D" w:rsidRDefault="001D34CF" w:rsidP="00AD544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sz w:val="18"/>
                <w:szCs w:val="18"/>
              </w:rPr>
            </w:pPr>
            <w:r w:rsidRPr="00030D4D">
              <w:rPr>
                <w:rFonts w:ascii="Arial" w:hAnsi="Arial" w:cs="Arial"/>
                <w:bCs w:val="0"/>
                <w:color w:val="FFFFFF"/>
                <w:sz w:val="18"/>
                <w:szCs w:val="18"/>
              </w:rPr>
              <w:t>LOA</w:t>
            </w:r>
          </w:p>
        </w:tc>
        <w:tc>
          <w:tcPr>
            <w:tcW w:w="1273" w:type="dxa"/>
            <w:noWrap/>
            <w:hideMark/>
          </w:tcPr>
          <w:p w:rsidR="001D34CF" w:rsidRPr="00030D4D" w:rsidRDefault="001D34CF" w:rsidP="00AD544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sz w:val="18"/>
                <w:szCs w:val="18"/>
              </w:rPr>
            </w:pPr>
            <w:r w:rsidRPr="00030D4D">
              <w:rPr>
                <w:rFonts w:ascii="Arial" w:hAnsi="Arial" w:cs="Arial"/>
                <w:bCs w:val="0"/>
                <w:color w:val="FFFFFF"/>
                <w:sz w:val="18"/>
                <w:szCs w:val="18"/>
              </w:rPr>
              <w:t>Liquidado</w:t>
            </w:r>
          </w:p>
        </w:tc>
        <w:tc>
          <w:tcPr>
            <w:tcW w:w="1337" w:type="dxa"/>
            <w:noWrap/>
            <w:hideMark/>
          </w:tcPr>
          <w:p w:rsidR="001D34CF" w:rsidRPr="00030D4D" w:rsidRDefault="001D34CF" w:rsidP="00AD544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sz w:val="18"/>
                <w:szCs w:val="18"/>
              </w:rPr>
            </w:pPr>
            <w:r w:rsidRPr="00030D4D">
              <w:rPr>
                <w:rFonts w:ascii="Arial" w:hAnsi="Arial" w:cs="Arial"/>
                <w:bCs w:val="0"/>
                <w:color w:val="FFFFFF"/>
                <w:sz w:val="18"/>
                <w:szCs w:val="18"/>
              </w:rPr>
              <w:t>Liquidado/LOA</w:t>
            </w:r>
          </w:p>
        </w:tc>
      </w:tr>
      <w:tr w:rsidR="001D34CF" w:rsidRPr="00030D4D" w:rsidTr="00AD5446">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4101" w:type="dxa"/>
            <w:hideMark/>
          </w:tcPr>
          <w:p w:rsidR="001D34CF" w:rsidRPr="00030D4D" w:rsidRDefault="001D34CF" w:rsidP="00AD5446">
            <w:pPr>
              <w:spacing w:before="0" w:after="0" w:line="240" w:lineRule="auto"/>
              <w:jc w:val="left"/>
              <w:rPr>
                <w:rFonts w:ascii="Arial" w:hAnsi="Arial" w:cs="Arial"/>
                <w:b w:val="0"/>
                <w:bCs w:val="0"/>
                <w:sz w:val="18"/>
                <w:szCs w:val="18"/>
              </w:rPr>
            </w:pPr>
            <w:r w:rsidRPr="00030D4D">
              <w:rPr>
                <w:rFonts w:ascii="Arial" w:hAnsi="Arial" w:cs="Arial"/>
                <w:b w:val="0"/>
                <w:bCs w:val="0"/>
                <w:sz w:val="18"/>
                <w:szCs w:val="18"/>
              </w:rPr>
              <w:t>0741 - Equalização de Taxa de Juros em Financiamento à Inovação Tecnológica (Lei nº 10.332, de 2001)</w:t>
            </w:r>
          </w:p>
        </w:tc>
        <w:tc>
          <w:tcPr>
            <w:tcW w:w="1264"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2.087.340.455</w:t>
            </w:r>
          </w:p>
        </w:tc>
        <w:tc>
          <w:tcPr>
            <w:tcW w:w="1273"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1.987.951.336</w:t>
            </w:r>
          </w:p>
        </w:tc>
        <w:tc>
          <w:tcPr>
            <w:tcW w:w="1337"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95,2%</w:t>
            </w:r>
          </w:p>
        </w:tc>
      </w:tr>
      <w:tr w:rsidR="001D34CF" w:rsidRPr="00030D4D" w:rsidTr="00AD5446">
        <w:trPr>
          <w:cnfStyle w:val="000000010000" w:firstRow="0" w:lastRow="0" w:firstColumn="0" w:lastColumn="0" w:oddVBand="0" w:evenVBand="0" w:oddHBand="0" w:evenHBand="1" w:firstRowFirstColumn="0" w:firstRowLastColumn="0" w:lastRowFirstColumn="0" w:lastRowLastColumn="0"/>
          <w:trHeight w:val="989"/>
        </w:trPr>
        <w:tc>
          <w:tcPr>
            <w:cnfStyle w:val="001000000000" w:firstRow="0" w:lastRow="0" w:firstColumn="1" w:lastColumn="0" w:oddVBand="0" w:evenVBand="0" w:oddHBand="0" w:evenHBand="0" w:firstRowFirstColumn="0" w:firstRowLastColumn="0" w:lastRowFirstColumn="0" w:lastRowLastColumn="0"/>
            <w:tcW w:w="4101" w:type="dxa"/>
            <w:shd w:val="clear" w:color="auto" w:fill="E2EFD9" w:themeFill="accent6" w:themeFillTint="33"/>
            <w:hideMark/>
          </w:tcPr>
          <w:p w:rsidR="001D34CF" w:rsidRPr="00030D4D" w:rsidRDefault="001D34CF" w:rsidP="00AD5446">
            <w:pPr>
              <w:spacing w:before="0" w:after="0" w:line="240" w:lineRule="auto"/>
              <w:jc w:val="left"/>
              <w:rPr>
                <w:rFonts w:ascii="Arial" w:hAnsi="Arial" w:cs="Arial"/>
                <w:b w:val="0"/>
                <w:bCs w:val="0"/>
                <w:sz w:val="18"/>
                <w:szCs w:val="18"/>
              </w:rPr>
            </w:pPr>
            <w:r w:rsidRPr="00030D4D">
              <w:rPr>
                <w:rFonts w:ascii="Arial" w:hAnsi="Arial" w:cs="Arial"/>
                <w:b w:val="0"/>
                <w:bCs w:val="0"/>
                <w:sz w:val="18"/>
                <w:szCs w:val="18"/>
              </w:rPr>
              <w:t>0743 - Subvenção Econômica a Empresas que Executam Programa de Desenvolvimento Tecnológico Industrial (PDTI) ou Programa de Desenvolvimento Tecnológico Agropecuário (PDTA - CT-Verde Amarelo - Lei nº 10.332/01)</w:t>
            </w:r>
          </w:p>
        </w:tc>
        <w:tc>
          <w:tcPr>
            <w:tcW w:w="1264"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30D4D">
              <w:rPr>
                <w:rFonts w:ascii="Arial" w:hAnsi="Arial" w:cs="Arial"/>
                <w:sz w:val="18"/>
                <w:szCs w:val="18"/>
              </w:rPr>
              <w:t>54.621.169</w:t>
            </w:r>
          </w:p>
        </w:tc>
        <w:tc>
          <w:tcPr>
            <w:tcW w:w="1273"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30D4D">
              <w:rPr>
                <w:rFonts w:ascii="Arial" w:hAnsi="Arial" w:cs="Arial"/>
                <w:sz w:val="18"/>
                <w:szCs w:val="18"/>
              </w:rPr>
              <w:t>24.572.426</w:t>
            </w:r>
          </w:p>
        </w:tc>
        <w:tc>
          <w:tcPr>
            <w:tcW w:w="1337"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30D4D">
              <w:rPr>
                <w:rFonts w:ascii="Arial" w:hAnsi="Arial" w:cs="Arial"/>
                <w:sz w:val="18"/>
                <w:szCs w:val="18"/>
              </w:rPr>
              <w:t>45,0%</w:t>
            </w:r>
          </w:p>
        </w:tc>
      </w:tr>
      <w:tr w:rsidR="001D34CF" w:rsidRPr="00030D4D" w:rsidTr="00AD5446">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4101" w:type="dxa"/>
            <w:hideMark/>
          </w:tcPr>
          <w:p w:rsidR="001D34CF" w:rsidRPr="00030D4D" w:rsidRDefault="001D34CF" w:rsidP="00AD5446">
            <w:pPr>
              <w:spacing w:before="0" w:after="0" w:line="240" w:lineRule="auto"/>
              <w:jc w:val="left"/>
              <w:rPr>
                <w:rFonts w:ascii="Arial" w:hAnsi="Arial" w:cs="Arial"/>
                <w:b w:val="0"/>
                <w:bCs w:val="0"/>
                <w:sz w:val="18"/>
                <w:szCs w:val="18"/>
              </w:rPr>
            </w:pPr>
            <w:r w:rsidRPr="00030D4D">
              <w:rPr>
                <w:rFonts w:ascii="Arial" w:hAnsi="Arial" w:cs="Arial"/>
                <w:b w:val="0"/>
                <w:bCs w:val="0"/>
                <w:sz w:val="18"/>
                <w:szCs w:val="18"/>
              </w:rPr>
              <w:t>0A29 - Subvenção Econômica a Projetos de Desenvolvimento Tecnológico (Lei nº 10.973, de 2004)</w:t>
            </w:r>
          </w:p>
        </w:tc>
        <w:tc>
          <w:tcPr>
            <w:tcW w:w="1264"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3.233.739.089</w:t>
            </w:r>
          </w:p>
        </w:tc>
        <w:tc>
          <w:tcPr>
            <w:tcW w:w="1273"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1.765.296.776</w:t>
            </w:r>
          </w:p>
        </w:tc>
        <w:tc>
          <w:tcPr>
            <w:tcW w:w="1337"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54,6%</w:t>
            </w:r>
          </w:p>
        </w:tc>
      </w:tr>
      <w:tr w:rsidR="001D34CF" w:rsidRPr="00030D4D" w:rsidTr="00AD5446">
        <w:trPr>
          <w:cnfStyle w:val="000000010000" w:firstRow="0" w:lastRow="0" w:firstColumn="0" w:lastColumn="0" w:oddVBand="0" w:evenVBand="0" w:oddHBand="0" w:evenHBand="1" w:firstRowFirstColumn="0" w:firstRowLastColumn="0" w:lastRowFirstColumn="0" w:lastRowLastColumn="0"/>
          <w:trHeight w:val="742"/>
        </w:trPr>
        <w:tc>
          <w:tcPr>
            <w:cnfStyle w:val="001000000000" w:firstRow="0" w:lastRow="0" w:firstColumn="1" w:lastColumn="0" w:oddVBand="0" w:evenVBand="0" w:oddHBand="0" w:evenHBand="0" w:firstRowFirstColumn="0" w:firstRowLastColumn="0" w:lastRowFirstColumn="0" w:lastRowLastColumn="0"/>
            <w:tcW w:w="4101" w:type="dxa"/>
            <w:shd w:val="clear" w:color="auto" w:fill="E2EFD9" w:themeFill="accent6" w:themeFillTint="33"/>
            <w:hideMark/>
          </w:tcPr>
          <w:p w:rsidR="001D34CF" w:rsidRPr="00030D4D" w:rsidRDefault="001D34CF" w:rsidP="00AD5446">
            <w:pPr>
              <w:spacing w:before="0" w:after="0" w:line="240" w:lineRule="auto"/>
              <w:jc w:val="left"/>
              <w:rPr>
                <w:rFonts w:ascii="Arial" w:hAnsi="Arial" w:cs="Arial"/>
                <w:b w:val="0"/>
                <w:bCs w:val="0"/>
                <w:sz w:val="18"/>
                <w:szCs w:val="18"/>
              </w:rPr>
            </w:pPr>
            <w:r w:rsidRPr="00030D4D">
              <w:rPr>
                <w:rFonts w:ascii="Arial" w:hAnsi="Arial" w:cs="Arial"/>
                <w:b w:val="0"/>
                <w:bCs w:val="0"/>
                <w:sz w:val="18"/>
                <w:szCs w:val="18"/>
              </w:rPr>
              <w:t>0745 - Estímulo às Empresas de Base Tecnológica Mediante Participação no Capital - CT - Verde Amarelo (Lei nº 10.332/01) e/ou Investimento em empresas inovadoras</w:t>
            </w:r>
          </w:p>
        </w:tc>
        <w:tc>
          <w:tcPr>
            <w:tcW w:w="1264"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30D4D">
              <w:rPr>
                <w:rFonts w:ascii="Arial" w:hAnsi="Arial" w:cs="Arial"/>
                <w:sz w:val="18"/>
                <w:szCs w:val="18"/>
              </w:rPr>
              <w:t>630.978.722</w:t>
            </w:r>
          </w:p>
        </w:tc>
        <w:tc>
          <w:tcPr>
            <w:tcW w:w="1273"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30D4D">
              <w:rPr>
                <w:rFonts w:ascii="Arial" w:hAnsi="Arial" w:cs="Arial"/>
                <w:sz w:val="18"/>
                <w:szCs w:val="18"/>
              </w:rPr>
              <w:t>219.727.436</w:t>
            </w:r>
          </w:p>
        </w:tc>
        <w:tc>
          <w:tcPr>
            <w:tcW w:w="1337"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30D4D">
              <w:rPr>
                <w:rFonts w:ascii="Arial" w:hAnsi="Arial" w:cs="Arial"/>
                <w:sz w:val="18"/>
                <w:szCs w:val="18"/>
              </w:rPr>
              <w:t>34,8%</w:t>
            </w:r>
          </w:p>
        </w:tc>
      </w:tr>
      <w:tr w:rsidR="001D34CF" w:rsidRPr="00030D4D" w:rsidTr="00AD5446">
        <w:trPr>
          <w:cnfStyle w:val="000000100000" w:firstRow="0" w:lastRow="0" w:firstColumn="0" w:lastColumn="0" w:oddVBand="0" w:evenVBand="0" w:oddHBand="1" w:evenHBand="0" w:firstRowFirstColumn="0" w:firstRowLastColumn="0" w:lastRowFirstColumn="0" w:lastRowLastColumn="0"/>
          <w:trHeight w:val="742"/>
        </w:trPr>
        <w:tc>
          <w:tcPr>
            <w:cnfStyle w:val="001000000000" w:firstRow="0" w:lastRow="0" w:firstColumn="1" w:lastColumn="0" w:oddVBand="0" w:evenVBand="0" w:oddHBand="0" w:evenHBand="0" w:firstRowFirstColumn="0" w:firstRowLastColumn="0" w:lastRowFirstColumn="0" w:lastRowLastColumn="0"/>
            <w:tcW w:w="4101" w:type="dxa"/>
            <w:hideMark/>
          </w:tcPr>
          <w:p w:rsidR="001D34CF" w:rsidRPr="00030D4D" w:rsidRDefault="001D34CF" w:rsidP="00AD5446">
            <w:pPr>
              <w:spacing w:before="0" w:after="0" w:line="240" w:lineRule="auto"/>
              <w:jc w:val="left"/>
              <w:rPr>
                <w:rFonts w:ascii="Arial" w:hAnsi="Arial" w:cs="Arial"/>
                <w:b w:val="0"/>
                <w:bCs w:val="0"/>
                <w:sz w:val="18"/>
                <w:szCs w:val="18"/>
              </w:rPr>
            </w:pPr>
            <w:r w:rsidRPr="00030D4D">
              <w:rPr>
                <w:rFonts w:ascii="Arial" w:hAnsi="Arial" w:cs="Arial"/>
                <w:b w:val="0"/>
                <w:bCs w:val="0"/>
                <w:sz w:val="18"/>
                <w:szCs w:val="18"/>
              </w:rPr>
              <w:t>0748 - Incentivo ao Investimento em Ciência e Tecnologia pela Implementação de Instrumentos de Garantia de Liquidez (CT-Verde Amarelo - Lei nº 10.332, de 2001)</w:t>
            </w:r>
          </w:p>
        </w:tc>
        <w:tc>
          <w:tcPr>
            <w:tcW w:w="1264"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37.065.847</w:t>
            </w:r>
          </w:p>
        </w:tc>
        <w:tc>
          <w:tcPr>
            <w:tcW w:w="1273"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18.956.769</w:t>
            </w:r>
          </w:p>
        </w:tc>
        <w:tc>
          <w:tcPr>
            <w:tcW w:w="1337" w:type="dxa"/>
            <w:noWrap/>
            <w:hideMark/>
          </w:tcPr>
          <w:p w:rsidR="001D34CF" w:rsidRPr="00030D4D" w:rsidRDefault="001D34CF" w:rsidP="00AD5446">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30D4D">
              <w:rPr>
                <w:rFonts w:ascii="Arial" w:hAnsi="Arial" w:cs="Arial"/>
                <w:sz w:val="18"/>
                <w:szCs w:val="18"/>
              </w:rPr>
              <w:t>51,1%</w:t>
            </w:r>
          </w:p>
        </w:tc>
      </w:tr>
      <w:tr w:rsidR="001D34CF" w:rsidRPr="00030D4D" w:rsidTr="00AD5446">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4101" w:type="dxa"/>
            <w:shd w:val="clear" w:color="auto" w:fill="E2EFD9" w:themeFill="accent6" w:themeFillTint="33"/>
            <w:hideMark/>
          </w:tcPr>
          <w:p w:rsidR="001D34CF" w:rsidRPr="00030D4D" w:rsidRDefault="001D34CF" w:rsidP="00AD5446">
            <w:pPr>
              <w:spacing w:before="0" w:after="0" w:line="240" w:lineRule="auto"/>
              <w:jc w:val="left"/>
              <w:rPr>
                <w:rFonts w:ascii="Arial" w:hAnsi="Arial" w:cs="Arial"/>
                <w:bCs w:val="0"/>
                <w:sz w:val="18"/>
                <w:szCs w:val="18"/>
              </w:rPr>
            </w:pPr>
            <w:r w:rsidRPr="00030D4D">
              <w:rPr>
                <w:rFonts w:ascii="Arial" w:hAnsi="Arial" w:cs="Arial"/>
                <w:bCs w:val="0"/>
                <w:sz w:val="18"/>
                <w:szCs w:val="18"/>
              </w:rPr>
              <w:t>Total Geral</w:t>
            </w:r>
          </w:p>
        </w:tc>
        <w:tc>
          <w:tcPr>
            <w:tcW w:w="1264"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030D4D">
              <w:rPr>
                <w:rFonts w:ascii="Arial" w:hAnsi="Arial" w:cs="Arial"/>
                <w:b/>
                <w:sz w:val="18"/>
                <w:szCs w:val="18"/>
              </w:rPr>
              <w:t>6.043.745.282</w:t>
            </w:r>
          </w:p>
        </w:tc>
        <w:tc>
          <w:tcPr>
            <w:tcW w:w="1273"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030D4D">
              <w:rPr>
                <w:rFonts w:ascii="Arial" w:hAnsi="Arial" w:cs="Arial"/>
                <w:b/>
                <w:sz w:val="18"/>
                <w:szCs w:val="18"/>
              </w:rPr>
              <w:t>4.016.504.744</w:t>
            </w:r>
          </w:p>
        </w:tc>
        <w:tc>
          <w:tcPr>
            <w:tcW w:w="1337" w:type="dxa"/>
            <w:shd w:val="clear" w:color="auto" w:fill="E2EFD9" w:themeFill="accent6" w:themeFillTint="33"/>
            <w:noWrap/>
            <w:hideMark/>
          </w:tcPr>
          <w:p w:rsidR="001D34CF" w:rsidRPr="00030D4D" w:rsidRDefault="001D34CF" w:rsidP="00AD5446">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030D4D">
              <w:rPr>
                <w:rFonts w:ascii="Arial" w:hAnsi="Arial" w:cs="Arial"/>
                <w:b/>
                <w:sz w:val="18"/>
                <w:szCs w:val="18"/>
              </w:rPr>
              <w:t>66,5%</w:t>
            </w:r>
          </w:p>
        </w:tc>
      </w:tr>
    </w:tbl>
    <w:p w:rsidR="001D34CF" w:rsidRPr="00030D4D" w:rsidRDefault="001D34CF" w:rsidP="001D34CF">
      <w:pPr>
        <w:rPr>
          <w:rFonts w:ascii="Arial" w:hAnsi="Arial" w:cs="Arial"/>
        </w:rPr>
      </w:pPr>
      <w:r w:rsidRPr="00030D4D">
        <w:rPr>
          <w:rFonts w:ascii="Arial" w:hAnsi="Arial" w:cs="Arial"/>
        </w:rPr>
        <w:t>Fonte: Ministério do Planejamento</w:t>
      </w:r>
    </w:p>
    <w:p w:rsidR="001D34CF" w:rsidRPr="00030D4D" w:rsidRDefault="001D34CF" w:rsidP="001D34CF">
      <w:pPr>
        <w:rPr>
          <w:rFonts w:ascii="Arial" w:hAnsi="Arial" w:cs="Arial"/>
        </w:rPr>
      </w:pPr>
    </w:p>
    <w:p w:rsidR="001D34CF" w:rsidRPr="00030D4D" w:rsidRDefault="001D34CF" w:rsidP="001D34CF">
      <w:pPr>
        <w:rPr>
          <w:rFonts w:ascii="Arial" w:hAnsi="Arial" w:cs="Arial"/>
        </w:rPr>
      </w:pPr>
      <w:r w:rsidRPr="00030D4D">
        <w:rPr>
          <w:rFonts w:ascii="Arial" w:hAnsi="Arial" w:cs="Arial"/>
        </w:rPr>
        <w:t>Não é demais observar que o valor do orçamento de todas as operações especiais entre 2002-2016 – cerca de R$ 6,0 bilhões - é menor do que o montante da “reserva de contingencia”, que conforme visto anteriormente, ficou definido em R$ 8,1 bilhões.</w:t>
      </w:r>
    </w:p>
    <w:p w:rsidR="001D34CF" w:rsidRPr="00030D4D" w:rsidRDefault="001D34CF" w:rsidP="001D34CF">
      <w:pPr>
        <w:rPr>
          <w:rFonts w:ascii="Arial" w:hAnsi="Arial" w:cs="Arial"/>
        </w:rPr>
      </w:pPr>
      <w:r w:rsidRPr="00030D4D">
        <w:rPr>
          <w:rFonts w:ascii="Arial" w:hAnsi="Arial" w:cs="Arial"/>
        </w:rPr>
        <w:t>A análise da evolução das receitas e da execução do orçamento revela que na prática os fundos setoriais não aportaram o montante significativo de recursos novos e estáveis para o sistema como se esperava. Eles substituíram boa parte do aporte regular do Tesouro e foram submetidos à mesma lógica de planejamento e execução orçamentária da União, que já se mostrava incompatível com as necessidades de financiamento do Sistema de CT&amp;I.</w:t>
      </w:r>
    </w:p>
    <w:p w:rsidR="001D34CF" w:rsidRPr="00030D4D" w:rsidRDefault="001D34CF" w:rsidP="001D34CF">
      <w:pPr>
        <w:rPr>
          <w:rFonts w:ascii="Arial" w:hAnsi="Arial" w:cs="Arial"/>
        </w:rPr>
      </w:pPr>
      <w:r w:rsidRPr="00030D4D">
        <w:rPr>
          <w:rFonts w:ascii="Arial" w:hAnsi="Arial" w:cs="Arial"/>
        </w:rPr>
        <w:t>A evolução da participação do FNDCT no orçamento do MCTI, que poderia ser objeto de leitura positiva, é na verdade um indicador do “desvio de função e finalidade” dos fundos setoriais. Esta distorção se reflete diretamente na alocação de recursos dos fundos, que originalmente deveriam financiar projetos e programas específicos, principalmente aqueles destinados a incentivar a inovação, e que aos poucos passaram a financiar atividades mais amplas do Ministério, incluindo atividades-meio para manutenção do sistema</w:t>
      </w:r>
    </w:p>
    <w:p w:rsidR="001D34CF" w:rsidRPr="00030D4D" w:rsidRDefault="001D34CF" w:rsidP="001D34CF">
      <w:pPr>
        <w:rPr>
          <w:rFonts w:ascii="Arial" w:hAnsi="Arial" w:cs="Arial"/>
        </w:rPr>
      </w:pPr>
      <w:r w:rsidRPr="00030D4D">
        <w:rPr>
          <w:rFonts w:ascii="Arial" w:hAnsi="Arial" w:cs="Arial"/>
        </w:rPr>
        <w:t>Numa perspectiva mais realista, na qual os orçamentos do MCTI e do FNDCT são analisados nos mesmos 15 anos, mas agora considerando a inflação acumulada no período, de 127,67%, de acordo com o IGP-DI, verifica-se que, no caso do MCTI, o orçamento apresentou crescimento real até 2005, mas a partir daí houve oscilações em torno de um valor relativamente estável (cerca de R$9-10 bilhões). No caso do FNDCT, o orçamento de 2008 era praticamente o dobro do de 2001 - ano da aprovação da Lei n.10.332/01, no qual uma série de fundos setoriais importantes foi lançada, incluindo o Fundo Verde-Amarelo -, mas daquele ano em diante houve uma estagnação que só foi alterada em 2015, para uma condição pior, de perda de recursos. O orçamento aprovado para 2016 revela uma inflexão na curva e o volume de recursos do Fundo volta para um nível inferior ao de 2003 (</w:t>
      </w:r>
      <w:r w:rsidR="0078235E" w:rsidRPr="00030D4D">
        <w:rPr>
          <w:rFonts w:ascii="Arial" w:hAnsi="Arial" w:cs="Arial"/>
        </w:rPr>
        <w:t>Gráfico</w:t>
      </w:r>
      <w:r w:rsidRPr="00030D4D">
        <w:rPr>
          <w:rFonts w:ascii="Arial" w:hAnsi="Arial" w:cs="Arial"/>
        </w:rPr>
        <w:t xml:space="preserve"> 1</w:t>
      </w:r>
      <w:r w:rsidR="009565C3" w:rsidRPr="00030D4D">
        <w:rPr>
          <w:rFonts w:ascii="Arial" w:hAnsi="Arial" w:cs="Arial"/>
        </w:rPr>
        <w:t>2</w:t>
      </w:r>
      <w:r w:rsidRPr="00030D4D">
        <w:rPr>
          <w:rFonts w:ascii="Arial" w:hAnsi="Arial" w:cs="Arial"/>
        </w:rPr>
        <w:t>).</w:t>
      </w:r>
    </w:p>
    <w:p w:rsidR="009565C3" w:rsidRPr="00030D4D" w:rsidRDefault="009565C3">
      <w:pPr>
        <w:spacing w:before="0" w:after="160" w:line="259" w:lineRule="auto"/>
        <w:jc w:val="left"/>
        <w:rPr>
          <w:rFonts w:ascii="Arial" w:hAnsi="Arial" w:cs="Arial"/>
          <w:b/>
          <w:iCs/>
          <w:szCs w:val="18"/>
        </w:rPr>
      </w:pPr>
      <w:bookmarkStart w:id="51" w:name="_Toc478833656"/>
      <w:r w:rsidRPr="00030D4D">
        <w:rPr>
          <w:rFonts w:ascii="Arial" w:hAnsi="Arial" w:cs="Arial"/>
        </w:rPr>
        <w:br w:type="page"/>
      </w:r>
    </w:p>
    <w:p w:rsidR="001D34CF" w:rsidRPr="00030D4D" w:rsidRDefault="00232254" w:rsidP="00232254">
      <w:pPr>
        <w:pStyle w:val="Caption"/>
        <w:rPr>
          <w:rFonts w:ascii="Arial" w:hAnsi="Arial" w:cs="Arial"/>
        </w:rPr>
      </w:pPr>
      <w:bookmarkStart w:id="52" w:name="_Toc482828518"/>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12</w:t>
      </w:r>
      <w:r w:rsidR="005271BC" w:rsidRPr="00030D4D">
        <w:rPr>
          <w:rFonts w:ascii="Arial" w:hAnsi="Arial" w:cs="Arial"/>
          <w:noProof/>
        </w:rPr>
        <w:fldChar w:fldCharType="end"/>
      </w:r>
      <w:r w:rsidR="001D34CF" w:rsidRPr="00030D4D">
        <w:rPr>
          <w:rFonts w:ascii="Arial" w:hAnsi="Arial" w:cs="Arial"/>
        </w:rPr>
        <w:t>. Evolução Orçamentária Anual do MCTI e do FNDCT: 2001-2016, em milhões de reais (valores constantes de setembro de 2016)</w:t>
      </w:r>
      <w:bookmarkEnd w:id="51"/>
      <w:bookmarkEnd w:id="52"/>
    </w:p>
    <w:p w:rsidR="001D34CF" w:rsidRPr="00030D4D" w:rsidRDefault="001D34CF" w:rsidP="001D34CF">
      <w:pPr>
        <w:rPr>
          <w:rFonts w:ascii="Arial" w:hAnsi="Arial" w:cs="Arial"/>
        </w:rPr>
      </w:pPr>
      <w:r w:rsidRPr="00030D4D">
        <w:rPr>
          <w:rFonts w:ascii="Arial" w:hAnsi="Arial" w:cs="Arial"/>
          <w:noProof/>
          <w:lang w:val="en-US"/>
        </w:rPr>
        <w:drawing>
          <wp:inline distT="0" distB="0" distL="0" distR="0">
            <wp:extent cx="4511040" cy="2641600"/>
            <wp:effectExtent l="0" t="0" r="3810" b="6350"/>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D34CF" w:rsidRPr="00030D4D" w:rsidRDefault="001D34CF" w:rsidP="004844B9">
      <w:pPr>
        <w:spacing w:before="0" w:after="0" w:line="240" w:lineRule="auto"/>
        <w:rPr>
          <w:rFonts w:ascii="Arial" w:hAnsi="Arial" w:cs="Arial"/>
        </w:rPr>
      </w:pPr>
      <w:r w:rsidRPr="00030D4D">
        <w:rPr>
          <w:rFonts w:ascii="Arial" w:hAnsi="Arial" w:cs="Arial"/>
        </w:rPr>
        <w:t>Deflator: IGP-DI, indicador acumulado de janeiro a dezembro, coletado em dezembro de cada ano, exceto para 2016, cujo indicador é o acumulado de janeiro a setembro.</w:t>
      </w:r>
    </w:p>
    <w:p w:rsidR="001D34CF" w:rsidRPr="00030D4D" w:rsidRDefault="001D34CF" w:rsidP="004844B9">
      <w:pPr>
        <w:spacing w:before="0" w:after="0" w:line="240" w:lineRule="auto"/>
        <w:rPr>
          <w:rFonts w:ascii="Arial" w:hAnsi="Arial" w:cs="Arial"/>
        </w:rPr>
      </w:pPr>
      <w:r w:rsidRPr="00030D4D">
        <w:rPr>
          <w:rFonts w:ascii="Arial" w:hAnsi="Arial" w:cs="Arial"/>
        </w:rPr>
        <w:t>Fonte: Ministério do Planejamento</w:t>
      </w:r>
    </w:p>
    <w:p w:rsidR="001D34CF" w:rsidRPr="00030D4D" w:rsidRDefault="001D34CF" w:rsidP="00245D08">
      <w:pPr>
        <w:pStyle w:val="Heading1"/>
        <w:numPr>
          <w:ilvl w:val="0"/>
          <w:numId w:val="0"/>
        </w:numPr>
        <w:ind w:left="360" w:hanging="360"/>
        <w:rPr>
          <w:rFonts w:ascii="Arial" w:hAnsi="Arial" w:cs="Arial"/>
        </w:rPr>
      </w:pPr>
    </w:p>
    <w:p w:rsidR="001D34CF" w:rsidRPr="00030D4D" w:rsidRDefault="001D34CF" w:rsidP="001D34CF">
      <w:pPr>
        <w:rPr>
          <w:rFonts w:ascii="Arial" w:hAnsi="Arial" w:cs="Arial"/>
        </w:rPr>
      </w:pPr>
      <w:r w:rsidRPr="00030D4D">
        <w:rPr>
          <w:rFonts w:ascii="Arial" w:hAnsi="Arial" w:cs="Arial"/>
        </w:rPr>
        <w:t xml:space="preserve">Como se indicou no início deste trabalho, nos últimos 17 anos o Sistema de Inovação cresceu exponencialmente e estabeleceu uma demanda que é muito superior aos recursos financeiros disponíveis, cujo crescimento real não passou de 50% quando se considera o melhor ano, 2013. Na maior parte do período, no entanto, o crescimento real dos recursos ficou entre 25% e 30% em relação ao disponível em 2001, antes do lançamento </w:t>
      </w:r>
      <w:r w:rsidR="00B55B62" w:rsidRPr="00030D4D">
        <w:rPr>
          <w:rFonts w:ascii="Arial" w:hAnsi="Arial" w:cs="Arial"/>
        </w:rPr>
        <w:t xml:space="preserve">e operação </w:t>
      </w:r>
      <w:r w:rsidRPr="00030D4D">
        <w:rPr>
          <w:rFonts w:ascii="Arial" w:hAnsi="Arial" w:cs="Arial"/>
        </w:rPr>
        <w:t>de todos os fundos. O descompasso entre o crescimento do sistema e da demanda, de um lado, e o crescimento e disponibilidade de recursos, de outro, compromete seriamente a capacidade de ação do Estado, coloca toda essa estrutura em risco e expõe os atores a situação semelhante à enfrentada pela comunidade científica no final dos 90, quando os fundos setoriais foram criados como uma tábua de salvação.</w:t>
      </w:r>
    </w:p>
    <w:p w:rsidR="001D34CF" w:rsidRPr="00030D4D" w:rsidRDefault="001D34CF" w:rsidP="001D34CF">
      <w:pPr>
        <w:rPr>
          <w:rFonts w:ascii="Arial" w:hAnsi="Arial" w:cs="Arial"/>
        </w:rPr>
      </w:pPr>
      <w:r w:rsidRPr="00030D4D">
        <w:rPr>
          <w:rFonts w:ascii="Arial" w:hAnsi="Arial" w:cs="Arial"/>
        </w:rPr>
        <w:t>Este descompasso agravou-se a partir de 2014, quando recursos do CT-Petro (“Compensações Financeiras pela Exploração de Petróleo ou Gás Natural”, Fonte 142) deixaram de se</w:t>
      </w:r>
      <w:r w:rsidR="00B55B62" w:rsidRPr="00030D4D">
        <w:rPr>
          <w:rFonts w:ascii="Arial" w:hAnsi="Arial" w:cs="Arial"/>
        </w:rPr>
        <w:t>r garantidos ao FNDCT. A</w:t>
      </w:r>
      <w:r w:rsidRPr="00030D4D">
        <w:rPr>
          <w:rFonts w:ascii="Arial" w:hAnsi="Arial" w:cs="Arial"/>
        </w:rPr>
        <w:t xml:space="preserve"> instabilidade de financiamento do Sistema de CT&amp;I, que em alguns momentos se revelou sutil e conjuntural, ganhou contornos mais permanentes. Não é demais lembrar que no período 1999-2012 o CT-Petro respondeu por cerca de 37% dos recursos arrecadados pelo FNDCT, segundo dados divulgados pela ASCAP/SEXEX/MCT, mas eles foram destinados ao Fundo Social em meio às perspectivas abertas pela descoberta do pré-sal</w:t>
      </w:r>
      <w:r w:rsidRPr="00030D4D">
        <w:rPr>
          <w:rStyle w:val="FootnoteReference"/>
          <w:rFonts w:ascii="Arial" w:hAnsi="Arial" w:cs="Arial"/>
        </w:rPr>
        <w:footnoteReference w:id="25"/>
      </w:r>
      <w:r w:rsidRPr="00030D4D">
        <w:rPr>
          <w:rFonts w:ascii="Arial" w:hAnsi="Arial" w:cs="Arial"/>
        </w:rPr>
        <w:t>. Segundo a Finep, “</w:t>
      </w:r>
      <w:r w:rsidRPr="00030D4D">
        <w:rPr>
          <w:rFonts w:ascii="Arial" w:hAnsi="Arial" w:cs="Arial"/>
          <w:i/>
        </w:rPr>
        <w:t>há no Supremo Tribunal Federal (STF) uma Ação Direta de Inconstitucionalidade (Adin), ainda sem julgamento, que impede o uso destes recursos e mantém em aberto a possibilidade de que eles possam retornar ao FNDCT, seu fim original</w:t>
      </w:r>
      <w:r w:rsidRPr="00030D4D">
        <w:rPr>
          <w:rFonts w:ascii="Arial" w:hAnsi="Arial" w:cs="Arial"/>
        </w:rPr>
        <w:t>” (FNDCT, Relatório de Gestão, 2015, p. 41).</w:t>
      </w:r>
    </w:p>
    <w:p w:rsidR="00B010C3" w:rsidRPr="00030D4D" w:rsidRDefault="00B010C3" w:rsidP="00B010C3">
      <w:pPr>
        <w:rPr>
          <w:rFonts w:ascii="Arial" w:hAnsi="Arial" w:cs="Arial"/>
        </w:rPr>
      </w:pPr>
    </w:p>
    <w:p w:rsidR="006854DE" w:rsidRPr="00030D4D" w:rsidRDefault="00463779" w:rsidP="00BB0C84">
      <w:pPr>
        <w:pStyle w:val="Heading1"/>
        <w:rPr>
          <w:rFonts w:ascii="Arial" w:hAnsi="Arial" w:cs="Arial"/>
        </w:rPr>
      </w:pPr>
      <w:bookmarkStart w:id="53" w:name="_Toc482828488"/>
      <w:r w:rsidRPr="00030D4D">
        <w:rPr>
          <w:rFonts w:ascii="Arial" w:hAnsi="Arial" w:cs="Arial"/>
        </w:rPr>
        <w:t>Capacidade da Finep de Atendimento à</w:t>
      </w:r>
      <w:r w:rsidR="006854DE" w:rsidRPr="00030D4D">
        <w:rPr>
          <w:rFonts w:ascii="Arial" w:hAnsi="Arial" w:cs="Arial"/>
        </w:rPr>
        <w:t xml:space="preserve"> Demanda</w:t>
      </w:r>
      <w:bookmarkEnd w:id="53"/>
      <w:r w:rsidR="006854DE" w:rsidRPr="00030D4D">
        <w:rPr>
          <w:rFonts w:ascii="Arial" w:hAnsi="Arial" w:cs="Arial"/>
        </w:rPr>
        <w:t xml:space="preserve"> </w:t>
      </w:r>
    </w:p>
    <w:p w:rsidR="007C4902" w:rsidRPr="00030D4D" w:rsidRDefault="007C4902" w:rsidP="00912046">
      <w:pPr>
        <w:rPr>
          <w:rFonts w:ascii="Arial" w:hAnsi="Arial" w:cs="Arial"/>
          <w:lang w:val="pt-PT"/>
        </w:rPr>
      </w:pPr>
      <w:r w:rsidRPr="00030D4D">
        <w:rPr>
          <w:rFonts w:ascii="Arial" w:hAnsi="Arial" w:cs="Arial"/>
        </w:rPr>
        <w:t xml:space="preserve">Em 2011 o BNDES lançou o PAISS, um programa destinado ao setor sucroenergético com novo formato, fazendo uso dos três instrumentos integrados (reembolsável, não reembolsável e renda variável) e em parceria com Finep, voltado para o apoio a planos de negócios. </w:t>
      </w:r>
      <w:r w:rsidR="00075AE0" w:rsidRPr="00030D4D">
        <w:rPr>
          <w:rFonts w:ascii="Arial" w:hAnsi="Arial" w:cs="Arial"/>
          <w:lang w:val="pt-PT"/>
        </w:rPr>
        <w:t>Um ano depois foi lançado o</w:t>
      </w:r>
      <w:r w:rsidRPr="00030D4D">
        <w:rPr>
          <w:rFonts w:ascii="Arial" w:hAnsi="Arial" w:cs="Arial"/>
          <w:lang w:val="pt-PT"/>
        </w:rPr>
        <w:t xml:space="preserve"> InovaPetro, nos mesmos moldes do PAISS e, em 2013 o modelo foi replicado no âmbito das operações do Plano Inova Empresa, uma iniciativa do governo federal encabeçada pelo Ministério de Ciência, Tecnologia e Inovação (MCTI) do qual o B</w:t>
      </w:r>
      <w:r w:rsidR="00C3792A" w:rsidRPr="00030D4D">
        <w:rPr>
          <w:rFonts w:ascii="Arial" w:hAnsi="Arial" w:cs="Arial"/>
          <w:lang w:val="pt-PT"/>
        </w:rPr>
        <w:t>NDES</w:t>
      </w:r>
      <w:r w:rsidRPr="00030D4D">
        <w:rPr>
          <w:rFonts w:ascii="Arial" w:hAnsi="Arial" w:cs="Arial"/>
          <w:lang w:val="pt-PT"/>
        </w:rPr>
        <w:t xml:space="preserve"> participa</w:t>
      </w:r>
      <w:r w:rsidR="00C3792A" w:rsidRPr="00030D4D">
        <w:rPr>
          <w:rFonts w:ascii="Arial" w:hAnsi="Arial" w:cs="Arial"/>
          <w:lang w:val="pt-PT"/>
        </w:rPr>
        <w:t>ria</w:t>
      </w:r>
      <w:r w:rsidRPr="00030D4D">
        <w:rPr>
          <w:rFonts w:ascii="Arial" w:hAnsi="Arial" w:cs="Arial"/>
          <w:lang w:val="pt-PT"/>
        </w:rPr>
        <w:t xml:space="preserve"> com cerca de 50% dos recursos financeiros. Participam também a Finep, alguns Ministérios e agências reguladoras (Aneel, Anatel, ANP) e Sebrae.</w:t>
      </w:r>
    </w:p>
    <w:p w:rsidR="001952F9" w:rsidRPr="00030D4D" w:rsidRDefault="007C4902" w:rsidP="00BE2FE6">
      <w:pPr>
        <w:spacing w:before="0" w:after="160"/>
        <w:jc w:val="left"/>
        <w:rPr>
          <w:rFonts w:ascii="Arial" w:hAnsi="Arial" w:cs="Arial"/>
        </w:rPr>
      </w:pPr>
      <w:r w:rsidRPr="00030D4D">
        <w:rPr>
          <w:rFonts w:ascii="Arial" w:hAnsi="Arial" w:cs="Arial"/>
        </w:rPr>
        <w:t xml:space="preserve">O orçamento do governo para o Inova Empresa </w:t>
      </w:r>
      <w:r w:rsidR="00C3792A" w:rsidRPr="00030D4D">
        <w:rPr>
          <w:rFonts w:ascii="Arial" w:hAnsi="Arial" w:cs="Arial"/>
        </w:rPr>
        <w:t>foi</w:t>
      </w:r>
      <w:r w:rsidRPr="00030D4D">
        <w:rPr>
          <w:rFonts w:ascii="Arial" w:hAnsi="Arial" w:cs="Arial"/>
        </w:rPr>
        <w:t xml:space="preserve"> de R$ 28,5 bilhões que, somado aos R$ 4,4 bilhões previstos para os parceiros, ating</w:t>
      </w:r>
      <w:r w:rsidR="00C3792A" w:rsidRPr="00030D4D">
        <w:rPr>
          <w:rFonts w:ascii="Arial" w:hAnsi="Arial" w:cs="Arial"/>
        </w:rPr>
        <w:t>ia</w:t>
      </w:r>
      <w:r w:rsidRPr="00030D4D">
        <w:rPr>
          <w:rFonts w:ascii="Arial" w:hAnsi="Arial" w:cs="Arial"/>
        </w:rPr>
        <w:t xml:space="preserve"> o montante de R$ 32,9 bilhões (</w:t>
      </w:r>
      <w:r w:rsidR="001952F9" w:rsidRPr="00030D4D">
        <w:rPr>
          <w:rFonts w:ascii="Arial" w:hAnsi="Arial" w:cs="Arial"/>
        </w:rPr>
        <w:t>Tabela 3)</w:t>
      </w:r>
    </w:p>
    <w:p w:rsidR="007C4902" w:rsidRPr="00030D4D" w:rsidRDefault="007C4902" w:rsidP="007C4902">
      <w:pPr>
        <w:ind w:firstLine="709"/>
        <w:rPr>
          <w:rFonts w:ascii="Arial" w:hAnsi="Arial" w:cs="Arial"/>
        </w:rPr>
      </w:pPr>
      <w:r w:rsidRPr="00030D4D">
        <w:rPr>
          <w:rFonts w:ascii="Arial" w:hAnsi="Arial" w:cs="Arial"/>
        </w:rPr>
        <w:t xml:space="preserve"> </w:t>
      </w:r>
    </w:p>
    <w:p w:rsidR="008A252F" w:rsidRPr="00030D4D" w:rsidRDefault="008A252F">
      <w:pPr>
        <w:spacing w:before="0" w:after="160" w:line="259" w:lineRule="auto"/>
        <w:jc w:val="left"/>
        <w:rPr>
          <w:rFonts w:ascii="Arial" w:hAnsi="Arial" w:cs="Arial"/>
          <w:b/>
          <w:iCs/>
          <w:szCs w:val="18"/>
        </w:rPr>
      </w:pPr>
      <w:bookmarkStart w:id="54" w:name="_Ref258422399"/>
      <w:bookmarkStart w:id="55" w:name="_Toc384544428"/>
      <w:r w:rsidRPr="00030D4D">
        <w:rPr>
          <w:rFonts w:ascii="Arial" w:hAnsi="Arial" w:cs="Arial"/>
        </w:rPr>
        <w:br w:type="page"/>
      </w:r>
    </w:p>
    <w:p w:rsidR="007C4902" w:rsidRPr="00030D4D" w:rsidRDefault="007C4902" w:rsidP="007C4902">
      <w:pPr>
        <w:pStyle w:val="Caption"/>
        <w:rPr>
          <w:rFonts w:ascii="Arial" w:hAnsi="Arial" w:cs="Arial"/>
        </w:rPr>
      </w:pPr>
      <w:bookmarkStart w:id="56" w:name="_Toc482828495"/>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3</w:t>
      </w:r>
      <w:r w:rsidR="005271BC" w:rsidRPr="00030D4D">
        <w:rPr>
          <w:rFonts w:ascii="Arial" w:hAnsi="Arial" w:cs="Arial"/>
          <w:noProof/>
        </w:rPr>
        <w:fldChar w:fldCharType="end"/>
      </w:r>
      <w:bookmarkEnd w:id="54"/>
      <w:r w:rsidRPr="00030D4D">
        <w:rPr>
          <w:rFonts w:ascii="Arial" w:hAnsi="Arial" w:cs="Arial"/>
        </w:rPr>
        <w:t xml:space="preserve"> - Orçamento Inova Empresa, em R$ bilhões correntes</w:t>
      </w:r>
      <w:bookmarkEnd w:id="55"/>
      <w:bookmarkEnd w:id="56"/>
    </w:p>
    <w:p w:rsidR="007C4902" w:rsidRPr="00030D4D" w:rsidRDefault="007C4902" w:rsidP="00854FD2">
      <w:pPr>
        <w:jc w:val="left"/>
        <w:rPr>
          <w:rFonts w:ascii="Arial" w:hAnsi="Arial" w:cs="Arial"/>
        </w:rPr>
      </w:pPr>
      <w:r w:rsidRPr="00030D4D">
        <w:rPr>
          <w:rFonts w:ascii="Arial" w:hAnsi="Arial" w:cs="Arial"/>
          <w:noProof/>
          <w:lang w:val="en-US"/>
        </w:rPr>
        <w:drawing>
          <wp:inline distT="0" distB="0" distL="0" distR="0" wp14:anchorId="42FDAC97" wp14:editId="18D2F32D">
            <wp:extent cx="4176697" cy="3423920"/>
            <wp:effectExtent l="0" t="0" r="0" b="5080"/>
            <wp:docPr id="3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rcRect/>
                    <a:stretch>
                      <a:fillRect/>
                    </a:stretch>
                  </pic:blipFill>
                  <pic:spPr bwMode="auto">
                    <a:xfrm>
                      <a:off x="0" y="0"/>
                      <a:ext cx="4180578" cy="3427102"/>
                    </a:xfrm>
                    <a:prstGeom prst="rect">
                      <a:avLst/>
                    </a:prstGeom>
                    <a:noFill/>
                    <a:ln w="9525">
                      <a:noFill/>
                      <a:miter lim="800000"/>
                      <a:headEnd/>
                      <a:tailEnd/>
                    </a:ln>
                  </pic:spPr>
                </pic:pic>
              </a:graphicData>
            </a:graphic>
          </wp:inline>
        </w:drawing>
      </w:r>
    </w:p>
    <w:p w:rsidR="007C4902" w:rsidRPr="00030D4D" w:rsidRDefault="007C4902" w:rsidP="00854FD2">
      <w:pPr>
        <w:pStyle w:val="Fonte"/>
        <w:spacing w:after="0"/>
        <w:rPr>
          <w:rFonts w:ascii="Arial" w:hAnsi="Arial" w:cs="Arial"/>
        </w:rPr>
      </w:pPr>
      <w:r w:rsidRPr="00030D4D">
        <w:rPr>
          <w:rFonts w:ascii="Arial" w:hAnsi="Arial" w:cs="Arial"/>
        </w:rPr>
        <w:t>Fonte: MCTI.</w:t>
      </w:r>
    </w:p>
    <w:p w:rsidR="007C4902" w:rsidRPr="00030D4D" w:rsidRDefault="007C4902" w:rsidP="00621EB2">
      <w:pPr>
        <w:spacing w:before="360"/>
        <w:rPr>
          <w:rFonts w:ascii="Arial" w:hAnsi="Arial" w:cs="Arial"/>
        </w:rPr>
      </w:pPr>
      <w:r w:rsidRPr="00030D4D">
        <w:rPr>
          <w:rFonts w:ascii="Arial" w:hAnsi="Arial" w:cs="Arial"/>
        </w:rPr>
        <w:t xml:space="preserve">Até dezembro de 2013 foram lançados vários editais no âmbito do Inova Empresa, </w:t>
      </w:r>
      <w:r w:rsidR="005A4B07" w:rsidRPr="00030D4D">
        <w:rPr>
          <w:rFonts w:ascii="Arial" w:hAnsi="Arial" w:cs="Arial"/>
        </w:rPr>
        <w:t xml:space="preserve">conforme proposto, </w:t>
      </w:r>
      <w:r w:rsidRPr="00030D4D">
        <w:rPr>
          <w:rFonts w:ascii="Arial" w:hAnsi="Arial" w:cs="Arial"/>
        </w:rPr>
        <w:t>a maior parte prevendo a integração dos instrumentos, com exceção dos editais de Subvenção, lançados exclusivamente pela Finep. São eles: Inova Energia.; Inova Aerodefesa; PAISS; Inova Saúde/Biofármacos; Inova Saúde/Eq. Médicos; Inova Saúde/Eq. Médicos/Cooperativo; TI Maior,</w:t>
      </w:r>
      <w:r w:rsidR="00AA12B8" w:rsidRPr="00030D4D">
        <w:rPr>
          <w:rFonts w:ascii="Arial" w:hAnsi="Arial" w:cs="Arial"/>
        </w:rPr>
        <w:t xml:space="preserve"> Tecnova; Parques Tecnológicos;</w:t>
      </w:r>
      <w:r w:rsidRPr="00030D4D">
        <w:rPr>
          <w:rFonts w:ascii="Arial" w:hAnsi="Arial" w:cs="Arial"/>
        </w:rPr>
        <w:t xml:space="preserve"> Subvenção-Nanotec; Subvenção Construção sustentável e saneamento ambiental; Subvenção Biotecnologia; Subvenção Tecn. Assistiva. Posteriormente, foi lançado o Edital do Inova Auto.</w:t>
      </w:r>
    </w:p>
    <w:p w:rsidR="001C0E8B" w:rsidRPr="00030D4D" w:rsidRDefault="007C4902" w:rsidP="00621EB2">
      <w:pPr>
        <w:rPr>
          <w:rFonts w:ascii="Arial" w:hAnsi="Arial" w:cs="Arial"/>
        </w:rPr>
      </w:pPr>
      <w:r w:rsidRPr="00030D4D">
        <w:rPr>
          <w:rFonts w:ascii="Arial" w:hAnsi="Arial" w:cs="Arial"/>
        </w:rPr>
        <w:t xml:space="preserve">Os principais resultados, segundo os registros da Finep e do BNDES, revelam que para a grande maioria dos editais dos Inova a demanda por recursos foi maior do que a oferta. </w:t>
      </w:r>
      <w:r w:rsidR="00AA12B8" w:rsidRPr="00030D4D">
        <w:rPr>
          <w:rFonts w:ascii="Arial" w:hAnsi="Arial" w:cs="Arial"/>
        </w:rPr>
        <w:t>Esta demanda crescente já era observada no início de 2014</w:t>
      </w:r>
      <w:r w:rsidR="00A30110" w:rsidRPr="00030D4D">
        <w:rPr>
          <w:rFonts w:ascii="Arial" w:hAnsi="Arial" w:cs="Arial"/>
        </w:rPr>
        <w:t xml:space="preserve">, conforme destacou o próprio </w:t>
      </w:r>
      <w:r w:rsidR="00AA12B8" w:rsidRPr="00030D4D">
        <w:rPr>
          <w:rFonts w:ascii="Arial" w:hAnsi="Arial" w:cs="Arial"/>
        </w:rPr>
        <w:t>Presidente da Finep</w:t>
      </w:r>
      <w:r w:rsidR="00A30110" w:rsidRPr="00030D4D">
        <w:rPr>
          <w:rStyle w:val="FootnoteReference"/>
          <w:rFonts w:ascii="Arial" w:hAnsi="Arial" w:cs="Arial"/>
        </w:rPr>
        <w:footnoteReference w:id="26"/>
      </w:r>
      <w:r w:rsidR="00A30110" w:rsidRPr="00030D4D">
        <w:rPr>
          <w:rFonts w:ascii="Arial" w:hAnsi="Arial" w:cs="Arial"/>
        </w:rPr>
        <w:t xml:space="preserve"> e </w:t>
      </w:r>
      <w:r w:rsidR="00AA12B8" w:rsidRPr="00030D4D">
        <w:rPr>
          <w:rFonts w:ascii="Arial" w:hAnsi="Arial" w:cs="Arial"/>
        </w:rPr>
        <w:t>o próprio MCTI. Na época (fevereiro de 2014), técnicos e assessores do Ministério haviam feito um levantamento da situação do Inova Empresa e as informações apontavam que para os editais cuja seleção já estava encerrada, a demanda foi bastante superior à oferta de recursos</w:t>
      </w:r>
      <w:r w:rsidR="00A30110" w:rsidRPr="00030D4D">
        <w:rPr>
          <w:rFonts w:ascii="Arial" w:hAnsi="Arial" w:cs="Arial"/>
        </w:rPr>
        <w:t>. O déficit total identificado naquele momento, considerando os editais exclusivos da Finep no âmbito do Plano, foi de R$8,1 bilhões, o que trazia um alerta para o governo a respeito da pressão do sistema de inovação sobre os recursos públicos e a necessidade de revisar e ampliar a dimensão da oferta</w:t>
      </w:r>
      <w:r w:rsidR="001954D9" w:rsidRPr="00030D4D">
        <w:rPr>
          <w:rFonts w:ascii="Arial" w:hAnsi="Arial" w:cs="Arial"/>
        </w:rPr>
        <w:t xml:space="preserve"> (Tab</w:t>
      </w:r>
      <w:r w:rsidR="00A30110" w:rsidRPr="00030D4D">
        <w:rPr>
          <w:rFonts w:ascii="Arial" w:hAnsi="Arial" w:cs="Arial"/>
        </w:rPr>
        <w:t>ela</w:t>
      </w:r>
      <w:r w:rsidR="001954D9" w:rsidRPr="00030D4D">
        <w:rPr>
          <w:rFonts w:ascii="Arial" w:hAnsi="Arial" w:cs="Arial"/>
        </w:rPr>
        <w:t xml:space="preserve"> 4)</w:t>
      </w:r>
      <w:r w:rsidRPr="00030D4D">
        <w:rPr>
          <w:rFonts w:ascii="Arial" w:hAnsi="Arial" w:cs="Arial"/>
        </w:rPr>
        <w:t>.</w:t>
      </w:r>
      <w:r w:rsidR="001C0E8B" w:rsidRPr="00030D4D">
        <w:rPr>
          <w:rFonts w:ascii="Arial" w:hAnsi="Arial" w:cs="Arial"/>
        </w:rPr>
        <w:t xml:space="preserve"> Como os valores ofertados nos editais de Parques Tecnológicos </w:t>
      </w:r>
      <w:r w:rsidR="004E40B3" w:rsidRPr="00030D4D">
        <w:rPr>
          <w:rFonts w:ascii="Arial" w:hAnsi="Arial" w:cs="Arial"/>
        </w:rPr>
        <w:t>(R$</w:t>
      </w:r>
      <w:r w:rsidR="00A65DE2" w:rsidRPr="00030D4D">
        <w:rPr>
          <w:rFonts w:ascii="Arial" w:hAnsi="Arial" w:cs="Arial"/>
        </w:rPr>
        <w:t>640</w:t>
      </w:r>
      <w:r w:rsidR="004E40B3" w:rsidRPr="00030D4D">
        <w:rPr>
          <w:rFonts w:ascii="Arial" w:hAnsi="Arial" w:cs="Arial"/>
        </w:rPr>
        <w:t xml:space="preserve"> milhões) </w:t>
      </w:r>
      <w:r w:rsidR="001C0E8B" w:rsidRPr="00030D4D">
        <w:rPr>
          <w:rFonts w:ascii="Arial" w:hAnsi="Arial" w:cs="Arial"/>
        </w:rPr>
        <w:t xml:space="preserve">e de </w:t>
      </w:r>
      <w:r w:rsidR="004E40B3" w:rsidRPr="00030D4D">
        <w:rPr>
          <w:rFonts w:ascii="Arial" w:hAnsi="Arial" w:cs="Arial"/>
        </w:rPr>
        <w:t xml:space="preserve">TI </w:t>
      </w:r>
      <w:r w:rsidR="00A65DE2" w:rsidRPr="00030D4D">
        <w:rPr>
          <w:rFonts w:ascii="Arial" w:hAnsi="Arial" w:cs="Arial"/>
        </w:rPr>
        <w:t xml:space="preserve">Maior (R$244 milhões) </w:t>
      </w:r>
      <w:r w:rsidR="001C0E8B" w:rsidRPr="00030D4D">
        <w:rPr>
          <w:rFonts w:ascii="Arial" w:hAnsi="Arial" w:cs="Arial"/>
        </w:rPr>
        <w:t>foram alterados, o déficit inicial em relação à demanda ficou em R$7,3 bilhões.</w:t>
      </w:r>
      <w:r w:rsidR="00EA0DA5" w:rsidRPr="00030D4D">
        <w:rPr>
          <w:rFonts w:ascii="Arial" w:hAnsi="Arial" w:cs="Arial"/>
        </w:rPr>
        <w:t xml:space="preserve"> </w:t>
      </w:r>
      <w:r w:rsidR="004E40B3" w:rsidRPr="00030D4D">
        <w:rPr>
          <w:rFonts w:ascii="Arial" w:hAnsi="Arial" w:cs="Arial"/>
        </w:rPr>
        <w:t>Obviamente que, analisados os projetos e qualificada a demanda, este valor foi reduzido.</w:t>
      </w:r>
    </w:p>
    <w:p w:rsidR="007C4902" w:rsidRPr="00030D4D" w:rsidRDefault="007C4902" w:rsidP="007C4902">
      <w:pPr>
        <w:pStyle w:val="Leganda"/>
        <w:rPr>
          <w:rFonts w:ascii="Arial" w:hAnsi="Arial"/>
        </w:rPr>
      </w:pPr>
      <w:bookmarkStart w:id="57" w:name="_Toc482828496"/>
      <w:r w:rsidRPr="00030D4D">
        <w:rPr>
          <w:rFonts w:ascii="Arial" w:hAnsi="Arial"/>
        </w:rPr>
        <w:t xml:space="preserve">Tabela </w:t>
      </w:r>
      <w:r w:rsidR="005271BC" w:rsidRPr="00030D4D">
        <w:rPr>
          <w:rFonts w:ascii="Arial" w:hAnsi="Arial"/>
        </w:rPr>
        <w:fldChar w:fldCharType="begin"/>
      </w:r>
      <w:r w:rsidR="005271BC" w:rsidRPr="00030D4D">
        <w:rPr>
          <w:rFonts w:ascii="Arial" w:hAnsi="Arial"/>
        </w:rPr>
        <w:instrText xml:space="preserve"> SEQ Tabela \* ARABIC </w:instrText>
      </w:r>
      <w:r w:rsidR="005271BC" w:rsidRPr="00030D4D">
        <w:rPr>
          <w:rFonts w:ascii="Arial" w:hAnsi="Arial"/>
        </w:rPr>
        <w:fldChar w:fldCharType="separate"/>
      </w:r>
      <w:r w:rsidR="009F3BDC" w:rsidRPr="00030D4D">
        <w:rPr>
          <w:rFonts w:ascii="Arial" w:hAnsi="Arial"/>
          <w:noProof/>
        </w:rPr>
        <w:t>4</w:t>
      </w:r>
      <w:r w:rsidR="005271BC" w:rsidRPr="00030D4D">
        <w:rPr>
          <w:rFonts w:ascii="Arial" w:hAnsi="Arial"/>
          <w:noProof/>
        </w:rPr>
        <w:fldChar w:fldCharType="end"/>
      </w:r>
      <w:r w:rsidRPr="00030D4D">
        <w:rPr>
          <w:rFonts w:ascii="Arial" w:hAnsi="Arial"/>
        </w:rPr>
        <w:t xml:space="preserve"> - Editais do Inova Empresa, principais resultados até dez 2013</w:t>
      </w:r>
      <w:bookmarkEnd w:id="57"/>
    </w:p>
    <w:p w:rsidR="007C4902" w:rsidRPr="00030D4D" w:rsidRDefault="007C4902" w:rsidP="007C4902">
      <w:pPr>
        <w:pStyle w:val="Leganda"/>
        <w:rPr>
          <w:rFonts w:ascii="Arial" w:hAnsi="Arial"/>
        </w:rPr>
      </w:pPr>
      <w:r w:rsidRPr="00030D4D">
        <w:rPr>
          <w:rFonts w:ascii="Arial" w:hAnsi="Arial"/>
          <w:noProof/>
          <w:lang w:val="en-US"/>
        </w:rPr>
        <w:drawing>
          <wp:inline distT="0" distB="0" distL="0" distR="0" wp14:anchorId="6FC7C269" wp14:editId="5D7A37C5">
            <wp:extent cx="5099232" cy="4907280"/>
            <wp:effectExtent l="0" t="0" r="6350" b="7620"/>
            <wp:docPr id="38"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5101313" cy="4909283"/>
                    </a:xfrm>
                    <a:prstGeom prst="rect">
                      <a:avLst/>
                    </a:prstGeom>
                    <a:noFill/>
                    <a:ln w="9525">
                      <a:noFill/>
                      <a:miter lim="800000"/>
                      <a:headEnd/>
                      <a:tailEnd/>
                    </a:ln>
                  </pic:spPr>
                </pic:pic>
              </a:graphicData>
            </a:graphic>
          </wp:inline>
        </w:drawing>
      </w:r>
    </w:p>
    <w:p w:rsidR="007C4902" w:rsidRPr="00030D4D" w:rsidRDefault="007C4902" w:rsidP="007C4902">
      <w:pPr>
        <w:rPr>
          <w:rFonts w:ascii="Arial" w:hAnsi="Arial" w:cs="Arial"/>
        </w:rPr>
      </w:pPr>
    </w:p>
    <w:p w:rsidR="00280302" w:rsidRPr="00030D4D" w:rsidRDefault="00565531" w:rsidP="00565531">
      <w:pPr>
        <w:rPr>
          <w:rStyle w:val="apple-converted-space"/>
          <w:rFonts w:ascii="Arial" w:hAnsi="Arial" w:cs="Arial"/>
          <w:shd w:val="clear" w:color="auto" w:fill="FFFFFF"/>
        </w:rPr>
      </w:pPr>
      <w:r w:rsidRPr="00030D4D">
        <w:rPr>
          <w:rStyle w:val="apple-converted-space"/>
          <w:rFonts w:ascii="Arial" w:hAnsi="Arial" w:cs="Arial"/>
          <w:shd w:val="clear" w:color="auto" w:fill="FFFFFF"/>
        </w:rPr>
        <w:t>Entre 2013 e 2014 foram lançados 21 editais e chamadas públicas, incluindo o PAISS, o Inova-Petro e o lançamento do Fundo de Investimento em Participações (FIP Inova Empresa)</w:t>
      </w:r>
      <w:r w:rsidRPr="00030D4D">
        <w:rPr>
          <w:rStyle w:val="FootnoteReference"/>
          <w:rFonts w:ascii="Arial" w:hAnsi="Arial" w:cs="Arial"/>
          <w:shd w:val="clear" w:color="auto" w:fill="FFFFFF"/>
        </w:rPr>
        <w:footnoteReference w:id="27"/>
      </w:r>
      <w:r w:rsidRPr="00030D4D">
        <w:rPr>
          <w:rStyle w:val="apple-converted-space"/>
          <w:rFonts w:ascii="Arial" w:hAnsi="Arial" w:cs="Arial"/>
          <w:shd w:val="clear" w:color="auto" w:fill="FFFFFF"/>
        </w:rPr>
        <w:t>. Neste conjunto de editais e chamadas foi comprometido um montante de aproximadamente R$22 bilhões, cerca de 67% do inicialmente previsto, sendo R$12,7 bilhões pela Finep, R$ 8,4 bilhões pelo BNDES e pouco mais de R$ 1 bilhão pelos demais parceiros.</w:t>
      </w:r>
    </w:p>
    <w:p w:rsidR="00625707" w:rsidRPr="00030D4D" w:rsidRDefault="006F3B52" w:rsidP="000A6F67">
      <w:pPr>
        <w:rPr>
          <w:rFonts w:ascii="Arial" w:hAnsi="Arial" w:cs="Arial"/>
        </w:rPr>
      </w:pPr>
      <w:r w:rsidRPr="00030D4D">
        <w:rPr>
          <w:rStyle w:val="apple-converted-space"/>
          <w:rFonts w:ascii="Arial" w:hAnsi="Arial" w:cs="Arial"/>
          <w:shd w:val="clear" w:color="auto" w:fill="FFFFFF"/>
        </w:rPr>
        <w:t xml:space="preserve">Os editais lançados pela Finep entre 2013 e 2014, incluindo os editais do Plano Inova Empresa previram um gasto de mais de R$ 13 bilhões de reais por parte da Agência. Um valor próximo de R$ 7 bilhões correspondeu à contraparte do BNDES no Plano para o mesmo período.  </w:t>
      </w:r>
      <w:r w:rsidR="000A6F67" w:rsidRPr="00030D4D">
        <w:rPr>
          <w:rStyle w:val="apple-converted-space"/>
          <w:rFonts w:ascii="Arial" w:hAnsi="Arial" w:cs="Arial"/>
          <w:shd w:val="clear" w:color="auto" w:fill="FFFFFF"/>
        </w:rPr>
        <w:t xml:space="preserve">Deste total, em </w:t>
      </w:r>
      <w:r w:rsidR="00565531" w:rsidRPr="00030D4D">
        <w:rPr>
          <w:rFonts w:ascii="Arial" w:hAnsi="Arial" w:cs="Arial"/>
        </w:rPr>
        <w:t>2013 foram ofertados R$18,12 bilhões, dos quais R$11,2 (cerca de 62%) provenientes da Finep. Esse valor foi bem inferior à demanda, que chegou a R$ 68,2 bilhões provenientes de mais de 2.500 empresas e 200 instituições de pesquisa. Ainda em 2013 foi lançado o Fundo de Investimento em Participações (FIP-Inova Empresa), com uma dotação inicial de R$ 200 milhões para investimento em empresas com elevado risco tecnológico. Em 2014 a demanda foi de mais R$ 30,5 bilhões, perfazendo um valor total nos dois anos (2013 e 2014) de R$ 98,7 bilhões</w:t>
      </w:r>
      <w:r w:rsidR="000A6F67" w:rsidRPr="00030D4D">
        <w:rPr>
          <w:rFonts w:ascii="Arial" w:hAnsi="Arial" w:cs="Arial"/>
        </w:rPr>
        <w:t xml:space="preserve"> (Relatório de Gestão da Finep, 2013 e 2014).</w:t>
      </w:r>
    </w:p>
    <w:p w:rsidR="000A6F67" w:rsidRPr="00030D4D" w:rsidRDefault="00565531" w:rsidP="00565531">
      <w:pPr>
        <w:rPr>
          <w:rFonts w:ascii="Arial" w:hAnsi="Arial" w:cs="Arial"/>
        </w:rPr>
      </w:pPr>
      <w:r w:rsidRPr="00030D4D">
        <w:rPr>
          <w:rFonts w:ascii="Arial" w:hAnsi="Arial" w:cs="Arial"/>
        </w:rPr>
        <w:t xml:space="preserve">Em 2014, 215 empresas e 22 instituições de pesquisa demandaram recursos via Inova Empresa, elevando a demanda total do período para 2.715 empresas e 233 instituições de pesquisa. Em resposta a esta demanda, Finep e BNDES elevaram o volume total de recursos de R$ 28,5 bilhões </w:t>
      </w:r>
      <w:r w:rsidR="000A6F67" w:rsidRPr="00030D4D">
        <w:rPr>
          <w:rFonts w:ascii="Arial" w:hAnsi="Arial" w:cs="Arial"/>
        </w:rPr>
        <w:t xml:space="preserve">(inicialmente previstos) </w:t>
      </w:r>
      <w:r w:rsidRPr="00030D4D">
        <w:rPr>
          <w:rFonts w:ascii="Arial" w:hAnsi="Arial" w:cs="Arial"/>
        </w:rPr>
        <w:t xml:space="preserve">para R$ 51,31 bilhões, e até o final de 2014 R$35,4 bilhões haviam sido contratados (69%), conforme apresentado na Tabela </w:t>
      </w:r>
      <w:r w:rsidR="00D07BD1" w:rsidRPr="00030D4D">
        <w:rPr>
          <w:rFonts w:ascii="Arial" w:hAnsi="Arial" w:cs="Arial"/>
        </w:rPr>
        <w:t>5</w:t>
      </w:r>
      <w:r w:rsidRPr="00030D4D">
        <w:rPr>
          <w:rFonts w:ascii="Arial" w:hAnsi="Arial" w:cs="Arial"/>
        </w:rPr>
        <w:t xml:space="preserve"> (Finep, Relatório de Gestão, 2014). </w:t>
      </w:r>
    </w:p>
    <w:p w:rsidR="008950ED" w:rsidRPr="00030D4D" w:rsidRDefault="008950ED" w:rsidP="008950ED">
      <w:pPr>
        <w:rPr>
          <w:rFonts w:ascii="Arial" w:hAnsi="Arial" w:cs="Arial"/>
        </w:rPr>
      </w:pPr>
      <w:r w:rsidRPr="00030D4D">
        <w:rPr>
          <w:rFonts w:ascii="Arial" w:hAnsi="Arial" w:cs="Arial"/>
        </w:rPr>
        <w:t xml:space="preserve">Trata-se, sem dúvida, de um montante expressivo e inédito alocado para projetos com conteúdo inovador no país, e todo o processo mereceria um acompanhamento cuidadoso para avaliar os resultados diretos e indiretos do financiamento, e ponderar os ganhos efetivos que validam (ou não) as condições especiais e o ônus assumido pelo Tesouro. </w:t>
      </w:r>
    </w:p>
    <w:p w:rsidR="00565531" w:rsidRPr="00030D4D" w:rsidRDefault="00565531" w:rsidP="00565531">
      <w:pPr>
        <w:rPr>
          <w:rFonts w:ascii="Arial" w:hAnsi="Arial" w:cs="Arial"/>
        </w:rPr>
      </w:pPr>
    </w:p>
    <w:p w:rsidR="00565531" w:rsidRPr="00030D4D" w:rsidRDefault="00565531" w:rsidP="00565531">
      <w:pPr>
        <w:rPr>
          <w:rFonts w:ascii="Arial" w:hAnsi="Arial" w:cs="Arial"/>
        </w:rPr>
      </w:pPr>
      <w:r w:rsidRPr="00030D4D">
        <w:rPr>
          <w:rFonts w:ascii="Arial" w:hAnsi="Arial" w:cs="Arial"/>
        </w:rPr>
        <w:br w:type="page"/>
      </w:r>
    </w:p>
    <w:p w:rsidR="00565531" w:rsidRPr="00030D4D" w:rsidRDefault="00565531" w:rsidP="00565531">
      <w:pPr>
        <w:pStyle w:val="Caption"/>
        <w:rPr>
          <w:rFonts w:ascii="Arial" w:hAnsi="Arial" w:cs="Arial"/>
        </w:rPr>
      </w:pPr>
      <w:bookmarkStart w:id="58" w:name="_Toc482828497"/>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5</w:t>
      </w:r>
      <w:r w:rsidR="005271BC" w:rsidRPr="00030D4D">
        <w:rPr>
          <w:rFonts w:ascii="Arial" w:hAnsi="Arial" w:cs="Arial"/>
          <w:noProof/>
        </w:rPr>
        <w:fldChar w:fldCharType="end"/>
      </w:r>
      <w:r w:rsidRPr="00030D4D">
        <w:rPr>
          <w:rFonts w:ascii="Arial" w:hAnsi="Arial" w:cs="Arial"/>
        </w:rPr>
        <w:t>. Valor contratado no âmbito do Plano Inova Empresa, por área</w:t>
      </w:r>
      <w:bookmarkEnd w:id="58"/>
    </w:p>
    <w:p w:rsidR="00565531" w:rsidRPr="00030D4D" w:rsidRDefault="00565531" w:rsidP="00565531">
      <w:pPr>
        <w:jc w:val="right"/>
        <w:rPr>
          <w:rFonts w:ascii="Arial" w:hAnsi="Arial" w:cs="Arial"/>
        </w:rPr>
      </w:pPr>
      <w:r w:rsidRPr="00030D4D">
        <w:rPr>
          <w:rFonts w:ascii="Arial" w:hAnsi="Arial" w:cs="Arial"/>
        </w:rPr>
        <w:t>Em R$ bilhões</w:t>
      </w:r>
    </w:p>
    <w:tbl>
      <w:tblPr>
        <w:tblStyle w:val="ListTable3-Accent1"/>
        <w:tblW w:w="8507" w:type="dxa"/>
        <w:tblLook w:val="04A0" w:firstRow="1" w:lastRow="0" w:firstColumn="1" w:lastColumn="0" w:noHBand="0" w:noVBand="1"/>
      </w:tblPr>
      <w:tblGrid>
        <w:gridCol w:w="1548"/>
        <w:gridCol w:w="1597"/>
        <w:gridCol w:w="667"/>
        <w:gridCol w:w="917"/>
        <w:gridCol w:w="887"/>
        <w:gridCol w:w="667"/>
        <w:gridCol w:w="917"/>
        <w:gridCol w:w="887"/>
        <w:gridCol w:w="667"/>
        <w:gridCol w:w="917"/>
        <w:gridCol w:w="887"/>
      </w:tblGrid>
      <w:tr w:rsidR="00565531" w:rsidRPr="00030D4D" w:rsidTr="00435392">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Área</w:t>
            </w:r>
          </w:p>
        </w:tc>
        <w:tc>
          <w:tcPr>
            <w:tcW w:w="1363" w:type="dxa"/>
            <w:vMerge w:val="restart"/>
            <w:hideMark/>
          </w:tcPr>
          <w:p w:rsidR="00565531" w:rsidRPr="00030D4D" w:rsidRDefault="00565531" w:rsidP="00435392">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Ações</w:t>
            </w:r>
          </w:p>
        </w:tc>
        <w:tc>
          <w:tcPr>
            <w:tcW w:w="1966" w:type="dxa"/>
            <w:gridSpan w:val="3"/>
            <w:noWrap/>
            <w:hideMark/>
          </w:tcPr>
          <w:p w:rsidR="00565531" w:rsidRPr="00030D4D" w:rsidRDefault="00565531" w:rsidP="00435392">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Carteira Total</w:t>
            </w:r>
          </w:p>
        </w:tc>
        <w:tc>
          <w:tcPr>
            <w:tcW w:w="1966" w:type="dxa"/>
            <w:gridSpan w:val="3"/>
            <w:noWrap/>
            <w:hideMark/>
          </w:tcPr>
          <w:p w:rsidR="00565531" w:rsidRPr="00030D4D" w:rsidRDefault="00565531" w:rsidP="00435392">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Contratado</w:t>
            </w:r>
          </w:p>
        </w:tc>
        <w:tc>
          <w:tcPr>
            <w:tcW w:w="1966" w:type="dxa"/>
            <w:gridSpan w:val="3"/>
            <w:noWrap/>
            <w:hideMark/>
          </w:tcPr>
          <w:p w:rsidR="00565531" w:rsidRPr="00030D4D" w:rsidRDefault="00565531" w:rsidP="00435392">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A contratar</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vMerge/>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p>
        </w:tc>
        <w:tc>
          <w:tcPr>
            <w:tcW w:w="611"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Total</w:t>
            </w:r>
          </w:p>
        </w:tc>
        <w:tc>
          <w:tcPr>
            <w:tcW w:w="668"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BNDES*</w:t>
            </w:r>
          </w:p>
        </w:tc>
        <w:tc>
          <w:tcPr>
            <w:tcW w:w="686"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FINEP**</w:t>
            </w:r>
          </w:p>
        </w:tc>
        <w:tc>
          <w:tcPr>
            <w:tcW w:w="611"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Total</w:t>
            </w:r>
          </w:p>
        </w:tc>
        <w:tc>
          <w:tcPr>
            <w:tcW w:w="668"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BNDES*</w:t>
            </w:r>
          </w:p>
        </w:tc>
        <w:tc>
          <w:tcPr>
            <w:tcW w:w="686"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FINEP**</w:t>
            </w:r>
          </w:p>
        </w:tc>
        <w:tc>
          <w:tcPr>
            <w:tcW w:w="611"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Total</w:t>
            </w:r>
          </w:p>
        </w:tc>
        <w:tc>
          <w:tcPr>
            <w:tcW w:w="668"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BNDES*</w:t>
            </w:r>
          </w:p>
        </w:tc>
        <w:tc>
          <w:tcPr>
            <w:tcW w:w="686"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FINEP**</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Energia</w:t>
            </w: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PAISS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4,28</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2,58</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1,70</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4,28</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2,58</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1,70</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 </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 </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Energia</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2,70</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2,30</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0,40</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0,27</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0,04</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0,23</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2,43</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2,26</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0,17</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3,59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1,00</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2,60</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3,09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0,72</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2,38</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0,50</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0,28</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0,22</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Petróleo e Gás</w:t>
            </w: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Inove Petro (1º edital)</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0,14</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0,03</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0,11</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0,10</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0,03</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0,07</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0,04</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0,04</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Petro (2º edital)</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2,51</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0,60</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1,91</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2,13</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0,59</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1,54</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0,38</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0,01</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0,37</w:t>
            </w:r>
          </w:p>
        </w:tc>
      </w:tr>
      <w:tr w:rsidR="00565531" w:rsidRPr="00030D4D" w:rsidTr="00435392">
        <w:trPr>
          <w:trHeight w:val="346"/>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Complexo da Saúde</w:t>
            </w: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Saúde - Fármacos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1,27</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1,27</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1,20</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1,20</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0,08</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0,08</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Saúde - Equipamentos</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0,37</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0,16</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0,22</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0,13</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0,04</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0,09</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0,25</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0,12</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0,13</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4,13</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2,51</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1,63</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3,52</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1,97</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1,55</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0,62</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0,53</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0,08</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Complexa Aeroespacial e Defesa</w:t>
            </w: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Aerodefesa</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1,90</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1,23</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0,67</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0,17</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0,01</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0,16</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1,74</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1,22</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0,52</w:t>
            </w:r>
          </w:p>
        </w:tc>
      </w:tr>
      <w:tr w:rsidR="00565531" w:rsidRPr="00030D4D" w:rsidTr="00435392">
        <w:trPr>
          <w:trHeight w:val="303"/>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3,48</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2,66</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0,82</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3,35</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2,66</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0,69</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0,13</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0,13</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TICs</w:t>
            </w: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Telecom</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1,05</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0,75</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0,30</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0,12</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 </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0,12</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0,93</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0,75</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0,18</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5,60</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3,69</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1,90</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4,34</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3,37</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0,96</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1,26</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0,32</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0,94</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Sustentabilidade Socioambiental</w:t>
            </w: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Sustentabilidade</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1,38</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0,79</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0,58</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0,26</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0,24</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0,02</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1,11</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0,55</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0,56</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3,21</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0,56</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2,64</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1,89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0,53</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1,36</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1,32</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0,04</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1,28</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Cadeia Agropecuária</w:t>
            </w: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 Agro</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1,08</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0,59</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0,49</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0,35</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0,24</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0,11</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0,73</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0,35</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0,38</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PAISS Agrícola</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0,80</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0,29</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0,40</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0,40</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 </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0,40</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0,29</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Demais Ações</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1,74</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0,15</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1,59</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1,33</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0,08</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1,26</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0,41</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0,07</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0,34</w:t>
            </w:r>
          </w:p>
        </w:tc>
      </w:tr>
      <w:tr w:rsidR="00565531" w:rsidRPr="00030D4D" w:rsidTr="00435392">
        <w:trPr>
          <w:trHeight w:val="288"/>
        </w:trPr>
        <w:tc>
          <w:tcPr>
            <w:cnfStyle w:val="001000000000" w:firstRow="0" w:lastRow="0" w:firstColumn="1" w:lastColumn="0" w:oddVBand="0" w:evenVBand="0" w:oddHBand="0" w:evenHBand="0" w:firstRowFirstColumn="0" w:firstRowLastColumn="0" w:lastRowFirstColumn="0" w:lastRowLastColumn="0"/>
            <w:tcW w:w="1246" w:type="dxa"/>
            <w:vMerge w:val="restart"/>
            <w:hideMark/>
          </w:tcPr>
          <w:p w:rsidR="00565531" w:rsidRPr="00030D4D" w:rsidRDefault="00565531" w:rsidP="00435392">
            <w:pPr>
              <w:spacing w:before="0" w:line="240" w:lineRule="auto"/>
              <w:jc w:val="center"/>
              <w:rPr>
                <w:rFonts w:ascii="Arial" w:hAnsi="Arial" w:cs="Arial"/>
                <w:b w:val="0"/>
                <w:bCs w:val="0"/>
                <w:color w:val="000000"/>
                <w:sz w:val="18"/>
                <w:szCs w:val="18"/>
              </w:rPr>
            </w:pPr>
            <w:r w:rsidRPr="00030D4D">
              <w:rPr>
                <w:rFonts w:ascii="Arial" w:hAnsi="Arial" w:cs="Arial"/>
                <w:b w:val="0"/>
                <w:bCs w:val="0"/>
                <w:color w:val="000000"/>
                <w:sz w:val="18"/>
                <w:szCs w:val="18"/>
              </w:rPr>
              <w:t>Ações Transversais</w:t>
            </w: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Inovação e Engenharia</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9,56</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5,38</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4,19</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6,35</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3,55</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2,81</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3,21</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1,83</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1,38</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Descentralização para MPEs</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1,48</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0,31</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1,17</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1,47</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0,30</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1,17</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0,01</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0,01</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 </w:t>
            </w:r>
          </w:p>
        </w:tc>
      </w:tr>
      <w:tr w:rsidR="00565531" w:rsidRPr="00030D4D" w:rsidTr="00435392">
        <w:trPr>
          <w:trHeight w:val="332"/>
        </w:trPr>
        <w:tc>
          <w:tcPr>
            <w:cnfStyle w:val="001000000000" w:firstRow="0" w:lastRow="0" w:firstColumn="1" w:lastColumn="0" w:oddVBand="0" w:evenVBand="0" w:oddHBand="0" w:evenHBand="0" w:firstRowFirstColumn="0" w:firstRowLastColumn="0" w:lastRowFirstColumn="0" w:lastRowLastColumn="0"/>
            <w:tcW w:w="1246"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1363" w:type="dxa"/>
            <w:hideMark/>
          </w:tcPr>
          <w:p w:rsidR="00565531" w:rsidRPr="00030D4D" w:rsidRDefault="00565531" w:rsidP="00435392">
            <w:pPr>
              <w:spacing w:before="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Infraestrutura para Inovação</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0,73</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0,54</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0,19</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0,64</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0,47</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0,17</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0,07</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0,02</w:t>
            </w:r>
          </w:p>
        </w:tc>
      </w:tr>
      <w:tr w:rsidR="00565531" w:rsidRPr="00030D4D" w:rsidTr="0043539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610" w:type="dxa"/>
            <w:gridSpan w:val="2"/>
            <w:hideMark/>
          </w:tcPr>
          <w:p w:rsidR="00565531" w:rsidRPr="00030D4D" w:rsidRDefault="00565531" w:rsidP="00435392">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Total</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51,31</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26,62</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24,69</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35,40</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17,80</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17,60</w:t>
            </w:r>
          </w:p>
        </w:tc>
        <w:tc>
          <w:tcPr>
            <w:tcW w:w="611"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15,91</w:t>
            </w:r>
          </w:p>
        </w:tc>
        <w:tc>
          <w:tcPr>
            <w:tcW w:w="668"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8,82</w:t>
            </w:r>
          </w:p>
        </w:tc>
        <w:tc>
          <w:tcPr>
            <w:tcW w:w="686" w:type="dxa"/>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7,10</w:t>
            </w:r>
          </w:p>
        </w:tc>
      </w:tr>
      <w:tr w:rsidR="00565531" w:rsidRPr="00030D4D" w:rsidTr="00435392">
        <w:trPr>
          <w:trHeight w:val="303"/>
        </w:trPr>
        <w:tc>
          <w:tcPr>
            <w:cnfStyle w:val="001000000000" w:firstRow="0" w:lastRow="0" w:firstColumn="1" w:lastColumn="0" w:oddVBand="0" w:evenVBand="0" w:oddHBand="0" w:evenHBand="0" w:firstRowFirstColumn="0" w:firstRowLastColumn="0" w:lastRowFirstColumn="0" w:lastRowLastColumn="0"/>
            <w:tcW w:w="2610" w:type="dxa"/>
            <w:gridSpan w:val="2"/>
            <w:hideMark/>
          </w:tcPr>
          <w:p w:rsidR="00565531" w:rsidRPr="00030D4D" w:rsidRDefault="00565531" w:rsidP="00435392">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Subtotal editais conjuntos</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17,48</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10,08</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7,41</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9,39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4,34</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5,05</w:t>
            </w:r>
          </w:p>
        </w:tc>
        <w:tc>
          <w:tcPr>
            <w:tcW w:w="611"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8,09</w:t>
            </w:r>
          </w:p>
        </w:tc>
        <w:tc>
          <w:tcPr>
            <w:tcW w:w="668"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5,73</w:t>
            </w:r>
          </w:p>
        </w:tc>
        <w:tc>
          <w:tcPr>
            <w:tcW w:w="686" w:type="dxa"/>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2,36</w:t>
            </w:r>
          </w:p>
        </w:tc>
      </w:tr>
    </w:tbl>
    <w:p w:rsidR="00565531" w:rsidRPr="00030D4D" w:rsidRDefault="00565531" w:rsidP="00565531">
      <w:pPr>
        <w:spacing w:before="0" w:line="240" w:lineRule="auto"/>
        <w:rPr>
          <w:rFonts w:ascii="Arial" w:hAnsi="Arial" w:cs="Arial"/>
          <w:sz w:val="20"/>
          <w:szCs w:val="20"/>
        </w:rPr>
      </w:pPr>
      <w:r w:rsidRPr="00030D4D">
        <w:rPr>
          <w:rFonts w:ascii="Arial" w:hAnsi="Arial" w:cs="Arial"/>
          <w:sz w:val="20"/>
          <w:szCs w:val="20"/>
        </w:rPr>
        <w:t>OBS: Data base das informações: 30/12/2014 (BNDES) e 12/12/2014 (Finep)</w:t>
      </w:r>
    </w:p>
    <w:p w:rsidR="00565531" w:rsidRPr="00030D4D" w:rsidRDefault="00565531" w:rsidP="000A6F67">
      <w:pPr>
        <w:spacing w:before="0" w:after="0" w:line="240" w:lineRule="auto"/>
        <w:rPr>
          <w:rFonts w:ascii="Arial" w:hAnsi="Arial" w:cs="Arial"/>
          <w:sz w:val="20"/>
          <w:szCs w:val="20"/>
        </w:rPr>
      </w:pPr>
      <w:r w:rsidRPr="00030D4D">
        <w:rPr>
          <w:rFonts w:ascii="Arial" w:hAnsi="Arial" w:cs="Arial"/>
          <w:sz w:val="20"/>
          <w:szCs w:val="20"/>
        </w:rPr>
        <w:t>*Trata-se de valor total do projeto. Desses, na média, 35% correspondem à contrapartida das empresas/ICT</w:t>
      </w:r>
    </w:p>
    <w:p w:rsidR="00565531" w:rsidRPr="00030D4D" w:rsidRDefault="00565531" w:rsidP="000A6F67">
      <w:pPr>
        <w:spacing w:before="0" w:after="0" w:line="240" w:lineRule="auto"/>
        <w:rPr>
          <w:rFonts w:ascii="Arial" w:hAnsi="Arial" w:cs="Arial"/>
          <w:sz w:val="20"/>
          <w:szCs w:val="20"/>
        </w:rPr>
      </w:pPr>
      <w:r w:rsidRPr="00030D4D">
        <w:rPr>
          <w:rFonts w:ascii="Arial" w:hAnsi="Arial" w:cs="Arial"/>
          <w:sz w:val="20"/>
          <w:szCs w:val="20"/>
        </w:rPr>
        <w:t>** Trata-se de valor total do projeto. Desses, na média, 32% correspondem à contrapartida das empresas/ICT</w:t>
      </w:r>
    </w:p>
    <w:p w:rsidR="00565531" w:rsidRPr="00030D4D" w:rsidRDefault="00565531" w:rsidP="000A6F67">
      <w:pPr>
        <w:spacing w:before="0" w:after="0" w:line="240" w:lineRule="auto"/>
        <w:rPr>
          <w:rFonts w:ascii="Arial" w:hAnsi="Arial" w:cs="Arial"/>
          <w:sz w:val="20"/>
          <w:szCs w:val="20"/>
        </w:rPr>
      </w:pPr>
      <w:r w:rsidRPr="00030D4D">
        <w:rPr>
          <w:rFonts w:ascii="Arial" w:hAnsi="Arial" w:cs="Arial"/>
          <w:sz w:val="20"/>
          <w:szCs w:val="20"/>
        </w:rPr>
        <w:t>Fonte: GAPR. Ver F</w:t>
      </w:r>
      <w:r w:rsidR="004E4DEF" w:rsidRPr="00030D4D">
        <w:rPr>
          <w:rFonts w:ascii="Arial" w:hAnsi="Arial" w:cs="Arial"/>
          <w:sz w:val="20"/>
          <w:szCs w:val="20"/>
        </w:rPr>
        <w:t>inep, Relatório de Gestão, 2014, p.71</w:t>
      </w:r>
    </w:p>
    <w:p w:rsidR="00565531" w:rsidRPr="00030D4D" w:rsidRDefault="00565531" w:rsidP="00565531">
      <w:pPr>
        <w:spacing w:before="0" w:line="240" w:lineRule="auto"/>
        <w:jc w:val="left"/>
        <w:rPr>
          <w:rFonts w:ascii="Arial" w:hAnsi="Arial" w:cs="Arial"/>
        </w:rPr>
      </w:pPr>
    </w:p>
    <w:p w:rsidR="00565531" w:rsidRPr="00030D4D" w:rsidRDefault="00565531" w:rsidP="00565531">
      <w:pPr>
        <w:rPr>
          <w:rFonts w:ascii="Arial" w:hAnsi="Arial" w:cs="Arial"/>
        </w:rPr>
      </w:pPr>
      <w:r w:rsidRPr="00030D4D">
        <w:rPr>
          <w:rFonts w:ascii="Arial" w:hAnsi="Arial" w:cs="Arial"/>
        </w:rPr>
        <w:t xml:space="preserve">Para algumas áreas, porém, o valor contratado foi pouco representativo, caso do Inova Energia, Aerodefesa e Sustentabilidade, com algo em torno de 10% dos projetos contratados, e o Inova Saúde Equipamentos Médicos, Inova Agro e Paiss, com cerca de 35% dos projetos contratados. </w:t>
      </w:r>
    </w:p>
    <w:p w:rsidR="00565531" w:rsidRPr="00030D4D" w:rsidRDefault="00565531" w:rsidP="00565531">
      <w:pPr>
        <w:rPr>
          <w:rFonts w:ascii="Arial" w:hAnsi="Arial" w:cs="Arial"/>
        </w:rPr>
      </w:pPr>
      <w:r w:rsidRPr="00030D4D">
        <w:rPr>
          <w:rFonts w:ascii="Arial" w:hAnsi="Arial" w:cs="Arial"/>
        </w:rPr>
        <w:t xml:space="preserve">A tabela </w:t>
      </w:r>
      <w:r w:rsidR="00D07BD1" w:rsidRPr="00030D4D">
        <w:rPr>
          <w:rFonts w:ascii="Arial" w:hAnsi="Arial" w:cs="Arial"/>
        </w:rPr>
        <w:t>6</w:t>
      </w:r>
      <w:r w:rsidRPr="00030D4D">
        <w:rPr>
          <w:rFonts w:ascii="Arial" w:hAnsi="Arial" w:cs="Arial"/>
        </w:rPr>
        <w:t xml:space="preserve"> apresenta </w:t>
      </w:r>
      <w:r w:rsidR="00586A28" w:rsidRPr="00030D4D">
        <w:rPr>
          <w:rFonts w:ascii="Arial" w:hAnsi="Arial" w:cs="Arial"/>
        </w:rPr>
        <w:t>o valor contratado, segundo o instrumento, dando uma ideia da distribuição da demanda</w:t>
      </w:r>
      <w:r w:rsidRPr="00030D4D">
        <w:rPr>
          <w:rFonts w:ascii="Arial" w:hAnsi="Arial" w:cs="Arial"/>
        </w:rPr>
        <w:t xml:space="preserve">: dos R$ 35,4 bilhões contratados, 86% são recursos reembolsáveis, 8% renda variável e 6% não reembolsável (incluindo a subvenção).  É evidente o desequilíbrio entre </w:t>
      </w:r>
      <w:r w:rsidR="00586A28" w:rsidRPr="00030D4D">
        <w:rPr>
          <w:rFonts w:ascii="Arial" w:hAnsi="Arial" w:cs="Arial"/>
        </w:rPr>
        <w:t>os instrumentos</w:t>
      </w:r>
      <w:r w:rsidRPr="00030D4D">
        <w:rPr>
          <w:rFonts w:ascii="Arial" w:hAnsi="Arial" w:cs="Arial"/>
        </w:rPr>
        <w:t>, fato que influencia a seleção dos projetos e restringe a viabilidade de propostas que envolvam inovações mais radicais. Isso por conta dos elevados custos financeiros envolvidos no financiamento com base no crédito.  Ainda que não se tenha informações mais detalhadas sobre o perfil dos projetos aprovados, é razoável supor que se tratem de projetos de modernização, que incorporam atividades de P&amp;D para adaptar e ajustar tecnologia e modelos de negócios já conhecidos, e que configuram inovações para as empresas demandantes e para o mercado nacional.</w:t>
      </w:r>
    </w:p>
    <w:p w:rsidR="00565531" w:rsidRPr="00030D4D" w:rsidRDefault="00565531" w:rsidP="00565531">
      <w:pPr>
        <w:rPr>
          <w:rFonts w:ascii="Arial" w:hAnsi="Arial" w:cs="Arial"/>
          <w:b/>
          <w:iCs/>
          <w:szCs w:val="18"/>
        </w:rPr>
      </w:pPr>
    </w:p>
    <w:p w:rsidR="00565531" w:rsidRPr="00030D4D" w:rsidRDefault="00565531" w:rsidP="00565531">
      <w:pPr>
        <w:pStyle w:val="Caption"/>
        <w:rPr>
          <w:rFonts w:ascii="Arial" w:hAnsi="Arial" w:cs="Arial"/>
        </w:rPr>
      </w:pPr>
      <w:bookmarkStart w:id="59" w:name="_Toc482828498"/>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6</w:t>
      </w:r>
      <w:r w:rsidR="005271BC" w:rsidRPr="00030D4D">
        <w:rPr>
          <w:rFonts w:ascii="Arial" w:hAnsi="Arial" w:cs="Arial"/>
          <w:noProof/>
        </w:rPr>
        <w:fldChar w:fldCharType="end"/>
      </w:r>
      <w:r w:rsidRPr="00030D4D">
        <w:rPr>
          <w:rFonts w:ascii="Arial" w:hAnsi="Arial" w:cs="Arial"/>
        </w:rPr>
        <w:t>. Desempenho por instrumento, Finep e BNDES</w:t>
      </w:r>
      <w:bookmarkEnd w:id="59"/>
    </w:p>
    <w:p w:rsidR="00565531" w:rsidRPr="00030D4D" w:rsidRDefault="00565531" w:rsidP="00565531">
      <w:pPr>
        <w:spacing w:before="0" w:line="240" w:lineRule="auto"/>
        <w:ind w:left="4248" w:firstLine="708"/>
        <w:jc w:val="center"/>
        <w:rPr>
          <w:rFonts w:ascii="Arial" w:hAnsi="Arial" w:cs="Arial"/>
        </w:rPr>
      </w:pPr>
      <w:r w:rsidRPr="00030D4D">
        <w:rPr>
          <w:rFonts w:ascii="Arial" w:hAnsi="Arial" w:cs="Arial"/>
        </w:rPr>
        <w:t>Em R$ bilhões</w:t>
      </w:r>
    </w:p>
    <w:tbl>
      <w:tblPr>
        <w:tblStyle w:val="GridTable4-Accent6"/>
        <w:tblW w:w="7580" w:type="dxa"/>
        <w:tblLook w:val="04A0" w:firstRow="1" w:lastRow="0" w:firstColumn="1" w:lastColumn="0" w:noHBand="0" w:noVBand="1"/>
      </w:tblPr>
      <w:tblGrid>
        <w:gridCol w:w="1820"/>
        <w:gridCol w:w="960"/>
        <w:gridCol w:w="960"/>
        <w:gridCol w:w="960"/>
        <w:gridCol w:w="960"/>
        <w:gridCol w:w="960"/>
        <w:gridCol w:w="960"/>
      </w:tblGrid>
      <w:tr w:rsidR="00565531" w:rsidRPr="00030D4D" w:rsidTr="00C7011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20" w:type="dxa"/>
            <w:vMerge w:val="restart"/>
            <w:noWrap/>
            <w:hideMark/>
          </w:tcPr>
          <w:p w:rsidR="00565531" w:rsidRPr="00030D4D" w:rsidRDefault="00565531" w:rsidP="00435392">
            <w:pPr>
              <w:spacing w:before="0" w:line="240" w:lineRule="auto"/>
              <w:jc w:val="center"/>
              <w:rPr>
                <w:rFonts w:ascii="Arial" w:hAnsi="Arial" w:cs="Arial"/>
                <w:bCs w:val="0"/>
                <w:sz w:val="18"/>
                <w:szCs w:val="18"/>
              </w:rPr>
            </w:pPr>
            <w:r w:rsidRPr="00030D4D">
              <w:rPr>
                <w:rFonts w:ascii="Arial" w:hAnsi="Arial" w:cs="Arial"/>
                <w:bCs w:val="0"/>
                <w:sz w:val="18"/>
                <w:szCs w:val="18"/>
              </w:rPr>
              <w:t>Instrumento</w:t>
            </w:r>
          </w:p>
        </w:tc>
        <w:tc>
          <w:tcPr>
            <w:tcW w:w="2880" w:type="dxa"/>
            <w:gridSpan w:val="3"/>
            <w:noWrap/>
            <w:hideMark/>
          </w:tcPr>
          <w:p w:rsidR="00565531" w:rsidRPr="00030D4D" w:rsidRDefault="00565531" w:rsidP="00435392">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030D4D">
              <w:rPr>
                <w:rFonts w:ascii="Arial" w:hAnsi="Arial" w:cs="Arial"/>
                <w:bCs w:val="0"/>
                <w:sz w:val="18"/>
                <w:szCs w:val="18"/>
              </w:rPr>
              <w:t>Contratado</w:t>
            </w:r>
          </w:p>
        </w:tc>
        <w:tc>
          <w:tcPr>
            <w:tcW w:w="2880" w:type="dxa"/>
            <w:gridSpan w:val="3"/>
            <w:noWrap/>
            <w:hideMark/>
          </w:tcPr>
          <w:p w:rsidR="00565531" w:rsidRPr="00030D4D" w:rsidRDefault="00565531" w:rsidP="00435392">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030D4D">
              <w:rPr>
                <w:rFonts w:ascii="Arial" w:hAnsi="Arial" w:cs="Arial"/>
                <w:bCs w:val="0"/>
                <w:sz w:val="18"/>
                <w:szCs w:val="18"/>
              </w:rPr>
              <w:t>A contratar</w:t>
            </w:r>
          </w:p>
        </w:tc>
      </w:tr>
      <w:tr w:rsidR="00565531" w:rsidRPr="00030D4D" w:rsidTr="00C7011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20" w:type="dxa"/>
            <w:vMerge/>
            <w:hideMark/>
          </w:tcPr>
          <w:p w:rsidR="00565531" w:rsidRPr="00030D4D" w:rsidRDefault="00565531" w:rsidP="00435392">
            <w:pPr>
              <w:spacing w:before="0" w:line="240" w:lineRule="auto"/>
              <w:jc w:val="left"/>
              <w:rPr>
                <w:rFonts w:ascii="Arial" w:hAnsi="Arial" w:cs="Arial"/>
                <w:b w:val="0"/>
                <w:bCs w:val="0"/>
                <w:color w:val="000000"/>
                <w:sz w:val="18"/>
                <w:szCs w:val="18"/>
              </w:rPr>
            </w:pPr>
          </w:p>
        </w:tc>
        <w:tc>
          <w:tcPr>
            <w:tcW w:w="960"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Total</w:t>
            </w:r>
          </w:p>
        </w:tc>
        <w:tc>
          <w:tcPr>
            <w:tcW w:w="960"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BNDES*</w:t>
            </w:r>
          </w:p>
        </w:tc>
        <w:tc>
          <w:tcPr>
            <w:tcW w:w="960"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FINEP**</w:t>
            </w:r>
          </w:p>
        </w:tc>
        <w:tc>
          <w:tcPr>
            <w:tcW w:w="960"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Total</w:t>
            </w:r>
          </w:p>
        </w:tc>
        <w:tc>
          <w:tcPr>
            <w:tcW w:w="960"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BNDES*</w:t>
            </w:r>
          </w:p>
        </w:tc>
        <w:tc>
          <w:tcPr>
            <w:tcW w:w="960" w:type="dxa"/>
            <w:hideMark/>
          </w:tcPr>
          <w:p w:rsidR="00565531" w:rsidRPr="00030D4D" w:rsidRDefault="00565531" w:rsidP="00435392">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FINEP**</w:t>
            </w:r>
          </w:p>
        </w:tc>
      </w:tr>
      <w:tr w:rsidR="00565531" w:rsidRPr="00030D4D" w:rsidTr="00C70117">
        <w:trPr>
          <w:trHeight w:val="300"/>
        </w:trPr>
        <w:tc>
          <w:tcPr>
            <w:cnfStyle w:val="001000000000" w:firstRow="0" w:lastRow="0" w:firstColumn="1" w:lastColumn="0" w:oddVBand="0" w:evenVBand="0" w:oddHBand="0" w:evenHBand="0" w:firstRowFirstColumn="0" w:firstRowLastColumn="0" w:lastRowFirstColumn="0" w:lastRowLastColumn="0"/>
            <w:tcW w:w="1820" w:type="dxa"/>
            <w:noWrap/>
            <w:hideMark/>
          </w:tcPr>
          <w:p w:rsidR="00565531" w:rsidRPr="00030D4D" w:rsidRDefault="00565531" w:rsidP="00435392">
            <w:pPr>
              <w:spacing w:before="0" w:line="240" w:lineRule="auto"/>
              <w:jc w:val="left"/>
              <w:rPr>
                <w:rFonts w:ascii="Arial" w:hAnsi="Arial" w:cs="Arial"/>
                <w:b w:val="0"/>
                <w:color w:val="000000"/>
                <w:sz w:val="18"/>
                <w:szCs w:val="18"/>
              </w:rPr>
            </w:pPr>
            <w:r w:rsidRPr="00030D4D">
              <w:rPr>
                <w:rFonts w:ascii="Arial" w:hAnsi="Arial" w:cs="Arial"/>
                <w:b w:val="0"/>
                <w:color w:val="000000"/>
                <w:sz w:val="18"/>
                <w:szCs w:val="18"/>
              </w:rPr>
              <w:t>Crédito</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30,47</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14,47</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16,00</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13,42</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7,80</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5,62</w:t>
            </w:r>
          </w:p>
        </w:tc>
      </w:tr>
      <w:tr w:rsidR="00565531" w:rsidRPr="00030D4D" w:rsidTr="00C7011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20" w:type="dxa"/>
            <w:noWrap/>
            <w:hideMark/>
          </w:tcPr>
          <w:p w:rsidR="00565531" w:rsidRPr="00030D4D" w:rsidRDefault="00565531" w:rsidP="00435392">
            <w:pPr>
              <w:spacing w:before="0" w:line="240" w:lineRule="auto"/>
              <w:jc w:val="left"/>
              <w:rPr>
                <w:rFonts w:ascii="Arial" w:hAnsi="Arial" w:cs="Arial"/>
                <w:b w:val="0"/>
                <w:color w:val="000000"/>
                <w:sz w:val="18"/>
                <w:szCs w:val="18"/>
              </w:rPr>
            </w:pPr>
            <w:r w:rsidRPr="00030D4D">
              <w:rPr>
                <w:rFonts w:ascii="Arial" w:hAnsi="Arial" w:cs="Arial"/>
                <w:b w:val="0"/>
                <w:color w:val="000000"/>
                <w:sz w:val="18"/>
                <w:szCs w:val="18"/>
              </w:rPr>
              <w:t>Renda Variável</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2,67</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2,59</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0,08</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1,00</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0,50</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0,50</w:t>
            </w:r>
          </w:p>
        </w:tc>
      </w:tr>
      <w:tr w:rsidR="00565531" w:rsidRPr="00030D4D" w:rsidTr="00C70117">
        <w:trPr>
          <w:trHeight w:val="300"/>
        </w:trPr>
        <w:tc>
          <w:tcPr>
            <w:cnfStyle w:val="001000000000" w:firstRow="0" w:lastRow="0" w:firstColumn="1" w:lastColumn="0" w:oddVBand="0" w:evenVBand="0" w:oddHBand="0" w:evenHBand="0" w:firstRowFirstColumn="0" w:firstRowLastColumn="0" w:lastRowFirstColumn="0" w:lastRowLastColumn="0"/>
            <w:tcW w:w="1820" w:type="dxa"/>
            <w:noWrap/>
            <w:hideMark/>
          </w:tcPr>
          <w:p w:rsidR="00565531" w:rsidRPr="00030D4D" w:rsidRDefault="00565531" w:rsidP="00435392">
            <w:pPr>
              <w:spacing w:before="0" w:line="240" w:lineRule="auto"/>
              <w:jc w:val="left"/>
              <w:rPr>
                <w:rFonts w:ascii="Arial" w:hAnsi="Arial" w:cs="Arial"/>
                <w:b w:val="0"/>
                <w:color w:val="000000"/>
                <w:sz w:val="18"/>
                <w:szCs w:val="18"/>
              </w:rPr>
            </w:pPr>
            <w:r w:rsidRPr="00030D4D">
              <w:rPr>
                <w:rFonts w:ascii="Arial" w:hAnsi="Arial" w:cs="Arial"/>
                <w:b w:val="0"/>
                <w:color w:val="000000"/>
                <w:sz w:val="18"/>
                <w:szCs w:val="18"/>
              </w:rPr>
              <w:t>Não Reembolsável</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1,23</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0,74</w:t>
            </w:r>
          </w:p>
        </w:tc>
        <w:tc>
          <w:tcPr>
            <w:tcW w:w="960" w:type="dxa"/>
            <w:noWrap/>
            <w:hideMark/>
          </w:tcPr>
          <w:p w:rsidR="00565531" w:rsidRPr="00030D4D" w:rsidRDefault="00371A8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1,03</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0,62</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0,51</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0,11</w:t>
            </w:r>
          </w:p>
        </w:tc>
      </w:tr>
      <w:tr w:rsidR="00565531" w:rsidRPr="00030D4D" w:rsidTr="00C7011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20" w:type="dxa"/>
            <w:noWrap/>
            <w:hideMark/>
          </w:tcPr>
          <w:p w:rsidR="00565531" w:rsidRPr="00030D4D" w:rsidRDefault="00565531" w:rsidP="00435392">
            <w:pPr>
              <w:spacing w:before="0" w:line="240" w:lineRule="auto"/>
              <w:jc w:val="left"/>
              <w:rPr>
                <w:rFonts w:ascii="Arial" w:hAnsi="Arial" w:cs="Arial"/>
                <w:b w:val="0"/>
                <w:color w:val="000000"/>
                <w:sz w:val="18"/>
                <w:szCs w:val="18"/>
              </w:rPr>
            </w:pPr>
            <w:r w:rsidRPr="00030D4D">
              <w:rPr>
                <w:rFonts w:ascii="Arial" w:hAnsi="Arial" w:cs="Arial"/>
                <w:b w:val="0"/>
                <w:color w:val="000000"/>
                <w:sz w:val="18"/>
                <w:szCs w:val="18"/>
              </w:rPr>
              <w:t>Subvenção</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1,03</w:t>
            </w:r>
          </w:p>
        </w:tc>
        <w:tc>
          <w:tcPr>
            <w:tcW w:w="960" w:type="dxa"/>
            <w:noWrap/>
            <w:hideMark/>
          </w:tcPr>
          <w:p w:rsidR="00565531" w:rsidRPr="00030D4D" w:rsidRDefault="00565531" w:rsidP="006C4B3F">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960" w:type="dxa"/>
            <w:noWrap/>
            <w:hideMark/>
          </w:tcPr>
          <w:p w:rsidR="00565531" w:rsidRPr="00030D4D" w:rsidRDefault="00371A8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0,49</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0,87</w:t>
            </w:r>
          </w:p>
        </w:tc>
        <w:tc>
          <w:tcPr>
            <w:tcW w:w="960" w:type="dxa"/>
            <w:noWrap/>
            <w:hideMark/>
          </w:tcPr>
          <w:p w:rsidR="00565531" w:rsidRPr="00030D4D" w:rsidRDefault="00565531" w:rsidP="006C4B3F">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 xml:space="preserve"> -</w:t>
            </w:r>
          </w:p>
        </w:tc>
        <w:tc>
          <w:tcPr>
            <w:tcW w:w="960" w:type="dxa"/>
            <w:noWrap/>
            <w:hideMark/>
          </w:tcPr>
          <w:p w:rsidR="00565531" w:rsidRPr="00030D4D" w:rsidRDefault="00565531" w:rsidP="00435392">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30D4D">
              <w:rPr>
                <w:rFonts w:ascii="Arial" w:hAnsi="Arial" w:cs="Arial"/>
                <w:color w:val="000000"/>
                <w:sz w:val="18"/>
                <w:szCs w:val="18"/>
              </w:rPr>
              <w:t>0,87</w:t>
            </w:r>
          </w:p>
        </w:tc>
      </w:tr>
      <w:tr w:rsidR="00565531" w:rsidRPr="00030D4D" w:rsidTr="00C70117">
        <w:trPr>
          <w:trHeight w:val="300"/>
        </w:trPr>
        <w:tc>
          <w:tcPr>
            <w:cnfStyle w:val="001000000000" w:firstRow="0" w:lastRow="0" w:firstColumn="1" w:lastColumn="0" w:oddVBand="0" w:evenVBand="0" w:oddHBand="0" w:evenHBand="0" w:firstRowFirstColumn="0" w:firstRowLastColumn="0" w:lastRowFirstColumn="0" w:lastRowLastColumn="0"/>
            <w:tcW w:w="1820" w:type="dxa"/>
            <w:noWrap/>
            <w:hideMark/>
          </w:tcPr>
          <w:p w:rsidR="00565531" w:rsidRPr="00030D4D" w:rsidRDefault="00565531" w:rsidP="00435392">
            <w:pPr>
              <w:spacing w:before="0" w:line="240" w:lineRule="auto"/>
              <w:jc w:val="left"/>
              <w:rPr>
                <w:rFonts w:ascii="Arial" w:hAnsi="Arial" w:cs="Arial"/>
                <w:bCs w:val="0"/>
                <w:color w:val="000000"/>
                <w:sz w:val="18"/>
                <w:szCs w:val="18"/>
              </w:rPr>
            </w:pPr>
            <w:r w:rsidRPr="00030D4D">
              <w:rPr>
                <w:rFonts w:ascii="Arial" w:hAnsi="Arial" w:cs="Arial"/>
                <w:bCs w:val="0"/>
                <w:color w:val="000000"/>
                <w:sz w:val="18"/>
                <w:szCs w:val="18"/>
              </w:rPr>
              <w:t>Total</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35,40</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17,80</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17,60</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15,91</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8,81</w:t>
            </w:r>
          </w:p>
        </w:tc>
        <w:tc>
          <w:tcPr>
            <w:tcW w:w="960" w:type="dxa"/>
            <w:noWrap/>
            <w:hideMark/>
          </w:tcPr>
          <w:p w:rsidR="00565531" w:rsidRPr="00030D4D" w:rsidRDefault="00565531" w:rsidP="00435392">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030D4D">
              <w:rPr>
                <w:rFonts w:ascii="Arial" w:hAnsi="Arial" w:cs="Arial"/>
                <w:b/>
                <w:bCs/>
                <w:color w:val="000000"/>
                <w:sz w:val="18"/>
                <w:szCs w:val="18"/>
              </w:rPr>
              <w:t>7,10</w:t>
            </w:r>
          </w:p>
        </w:tc>
      </w:tr>
    </w:tbl>
    <w:p w:rsidR="00565531" w:rsidRPr="00030D4D" w:rsidRDefault="00565531" w:rsidP="008950ED">
      <w:pPr>
        <w:spacing w:before="0" w:after="0" w:line="240" w:lineRule="auto"/>
        <w:rPr>
          <w:rFonts w:ascii="Arial" w:hAnsi="Arial" w:cs="Arial"/>
          <w:sz w:val="20"/>
          <w:szCs w:val="20"/>
        </w:rPr>
      </w:pPr>
      <w:r w:rsidRPr="00030D4D">
        <w:rPr>
          <w:rFonts w:ascii="Arial" w:hAnsi="Arial" w:cs="Arial"/>
          <w:sz w:val="20"/>
          <w:szCs w:val="20"/>
        </w:rPr>
        <w:t>OBS: Data base das informações: 30/12/2014 (BNDES) e 12/12/2014 (Finep)</w:t>
      </w:r>
    </w:p>
    <w:p w:rsidR="00565531" w:rsidRPr="00030D4D" w:rsidRDefault="00565531" w:rsidP="008950ED">
      <w:pPr>
        <w:spacing w:before="0" w:after="0" w:line="240" w:lineRule="auto"/>
        <w:rPr>
          <w:rFonts w:ascii="Arial" w:hAnsi="Arial" w:cs="Arial"/>
          <w:sz w:val="20"/>
          <w:szCs w:val="20"/>
        </w:rPr>
      </w:pPr>
      <w:r w:rsidRPr="00030D4D">
        <w:rPr>
          <w:rFonts w:ascii="Arial" w:hAnsi="Arial" w:cs="Arial"/>
          <w:sz w:val="20"/>
          <w:szCs w:val="20"/>
        </w:rPr>
        <w:t>*Trata-se de valor total do projeto. Desses, na média, 31% correspondem à contrapartida das empresas/ICT</w:t>
      </w:r>
    </w:p>
    <w:p w:rsidR="00565531" w:rsidRPr="00030D4D" w:rsidRDefault="00565531" w:rsidP="008950ED">
      <w:pPr>
        <w:spacing w:before="0" w:after="0" w:line="240" w:lineRule="auto"/>
        <w:rPr>
          <w:rFonts w:ascii="Arial" w:hAnsi="Arial" w:cs="Arial"/>
          <w:sz w:val="20"/>
          <w:szCs w:val="20"/>
        </w:rPr>
      </w:pPr>
      <w:r w:rsidRPr="00030D4D">
        <w:rPr>
          <w:rFonts w:ascii="Arial" w:hAnsi="Arial" w:cs="Arial"/>
          <w:sz w:val="20"/>
          <w:szCs w:val="20"/>
        </w:rPr>
        <w:t>** Trata-se de valor total do projeto. Desses, na média, 32% correspondem à contrapartida das empresas/ICT</w:t>
      </w:r>
    </w:p>
    <w:p w:rsidR="00371A81" w:rsidRPr="00030D4D" w:rsidRDefault="00565531" w:rsidP="008950ED">
      <w:pPr>
        <w:spacing w:before="0" w:after="0" w:line="240" w:lineRule="auto"/>
        <w:rPr>
          <w:rFonts w:ascii="Arial" w:hAnsi="Arial" w:cs="Arial"/>
          <w:sz w:val="20"/>
          <w:szCs w:val="20"/>
        </w:rPr>
      </w:pPr>
      <w:r w:rsidRPr="00030D4D">
        <w:rPr>
          <w:rFonts w:ascii="Arial" w:hAnsi="Arial" w:cs="Arial"/>
          <w:sz w:val="20"/>
          <w:szCs w:val="20"/>
        </w:rPr>
        <w:t>Fonte: GAPR. Ver F</w:t>
      </w:r>
      <w:r w:rsidR="009D651E" w:rsidRPr="00030D4D">
        <w:rPr>
          <w:rFonts w:ascii="Arial" w:hAnsi="Arial" w:cs="Arial"/>
          <w:sz w:val="20"/>
          <w:szCs w:val="20"/>
        </w:rPr>
        <w:t>inep, Relatório de Gestão, 2014, p.71</w:t>
      </w:r>
      <w:r w:rsidR="00371A81" w:rsidRPr="00030D4D">
        <w:rPr>
          <w:rStyle w:val="FootnoteReference"/>
          <w:rFonts w:ascii="Arial" w:hAnsi="Arial" w:cs="Arial"/>
          <w:sz w:val="20"/>
          <w:szCs w:val="20"/>
        </w:rPr>
        <w:footnoteReference w:id="28"/>
      </w:r>
    </w:p>
    <w:p w:rsidR="00565531" w:rsidRPr="00030D4D" w:rsidRDefault="00565531" w:rsidP="00565531">
      <w:pPr>
        <w:spacing w:before="0" w:line="240" w:lineRule="auto"/>
        <w:jc w:val="left"/>
        <w:rPr>
          <w:rFonts w:ascii="Arial" w:hAnsi="Arial" w:cs="Arial"/>
        </w:rPr>
      </w:pPr>
    </w:p>
    <w:p w:rsidR="00C70117" w:rsidRPr="00030D4D" w:rsidRDefault="009F6A0B" w:rsidP="00C70117">
      <w:pPr>
        <w:spacing w:before="0" w:after="160" w:line="259" w:lineRule="auto"/>
        <w:rPr>
          <w:rFonts w:ascii="Arial" w:hAnsi="Arial" w:cs="Arial"/>
        </w:rPr>
      </w:pPr>
      <w:r w:rsidRPr="00030D4D">
        <w:rPr>
          <w:rFonts w:ascii="Arial" w:hAnsi="Arial" w:cs="Arial"/>
        </w:rPr>
        <w:t>Segundo as previsões financeiras, ainda faltava contratar cerca de R$16 bilhões de reais.</w:t>
      </w:r>
    </w:p>
    <w:p w:rsidR="00C70117" w:rsidRPr="00030D4D" w:rsidRDefault="00C70117" w:rsidP="00C70117">
      <w:pPr>
        <w:spacing w:before="0" w:after="160" w:line="259" w:lineRule="auto"/>
        <w:jc w:val="left"/>
        <w:rPr>
          <w:rFonts w:ascii="Arial" w:hAnsi="Arial" w:cs="Arial"/>
        </w:rPr>
      </w:pPr>
      <w:r w:rsidRPr="00030D4D">
        <w:rPr>
          <w:rFonts w:ascii="Arial" w:hAnsi="Arial" w:cs="Arial"/>
        </w:rPr>
        <w:t>Inova Empresa Desempenho por instrumento - valor a contratar</w:t>
      </w:r>
    </w:p>
    <w:p w:rsidR="00D07BD1" w:rsidRPr="00030D4D" w:rsidRDefault="00D07BD1" w:rsidP="00D07BD1">
      <w:pPr>
        <w:pStyle w:val="Caption"/>
        <w:rPr>
          <w:rFonts w:ascii="Arial" w:hAnsi="Arial" w:cs="Arial"/>
        </w:rPr>
      </w:pPr>
    </w:p>
    <w:p w:rsidR="00D07BD1" w:rsidRPr="00030D4D" w:rsidRDefault="00D07BD1">
      <w:pPr>
        <w:spacing w:before="0" w:after="160" w:line="259" w:lineRule="auto"/>
        <w:jc w:val="left"/>
        <w:rPr>
          <w:rFonts w:ascii="Arial" w:hAnsi="Arial" w:cs="Arial"/>
          <w:b/>
          <w:iCs/>
          <w:szCs w:val="18"/>
        </w:rPr>
      </w:pPr>
      <w:r w:rsidRPr="00030D4D">
        <w:rPr>
          <w:rFonts w:ascii="Arial" w:hAnsi="Arial" w:cs="Arial"/>
        </w:rPr>
        <w:br w:type="page"/>
      </w:r>
    </w:p>
    <w:p w:rsidR="00D07BD1" w:rsidRPr="00030D4D" w:rsidRDefault="00D07BD1" w:rsidP="00D07BD1">
      <w:pPr>
        <w:pStyle w:val="Caption"/>
        <w:rPr>
          <w:rFonts w:ascii="Arial" w:hAnsi="Arial" w:cs="Arial"/>
        </w:rPr>
      </w:pPr>
      <w:bookmarkStart w:id="60" w:name="_Toc482828499"/>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7</w:t>
      </w:r>
      <w:r w:rsidR="005271BC" w:rsidRPr="00030D4D">
        <w:rPr>
          <w:rFonts w:ascii="Arial" w:hAnsi="Arial" w:cs="Arial"/>
          <w:noProof/>
        </w:rPr>
        <w:fldChar w:fldCharType="end"/>
      </w:r>
      <w:r w:rsidRPr="00030D4D">
        <w:rPr>
          <w:rFonts w:ascii="Arial" w:hAnsi="Arial" w:cs="Arial"/>
        </w:rPr>
        <w:t>. Valor a contratar, por instrumento, Finep e BNDES</w:t>
      </w:r>
      <w:bookmarkEnd w:id="60"/>
    </w:p>
    <w:tbl>
      <w:tblPr>
        <w:tblStyle w:val="Estilo2"/>
        <w:tblW w:w="7960" w:type="dxa"/>
        <w:tblLook w:val="04A0" w:firstRow="1" w:lastRow="0" w:firstColumn="1" w:lastColumn="0" w:noHBand="0" w:noVBand="1"/>
      </w:tblPr>
      <w:tblGrid>
        <w:gridCol w:w="1761"/>
        <w:gridCol w:w="933"/>
        <w:gridCol w:w="1007"/>
        <w:gridCol w:w="933"/>
        <w:gridCol w:w="1406"/>
        <w:gridCol w:w="960"/>
        <w:gridCol w:w="960"/>
      </w:tblGrid>
      <w:tr w:rsidR="00C70117" w:rsidRPr="00030D4D" w:rsidTr="00C7011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61" w:type="dxa"/>
            <w:noWrap/>
            <w:hideMark/>
          </w:tcPr>
          <w:p w:rsidR="00C70117" w:rsidRPr="00030D4D" w:rsidRDefault="00C70117" w:rsidP="00C70117">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 </w:t>
            </w:r>
          </w:p>
        </w:tc>
        <w:tc>
          <w:tcPr>
            <w:tcW w:w="933" w:type="dxa"/>
            <w:noWrap/>
            <w:hideMark/>
          </w:tcPr>
          <w:p w:rsidR="00C70117" w:rsidRPr="00030D4D" w:rsidRDefault="00C70117" w:rsidP="00C70117">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Total</w:t>
            </w:r>
          </w:p>
        </w:tc>
        <w:tc>
          <w:tcPr>
            <w:tcW w:w="1007" w:type="dxa"/>
            <w:noWrap/>
            <w:hideMark/>
          </w:tcPr>
          <w:p w:rsidR="00C70117" w:rsidRPr="00030D4D" w:rsidRDefault="00C70117" w:rsidP="00C70117">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Bndes</w:t>
            </w:r>
          </w:p>
        </w:tc>
        <w:tc>
          <w:tcPr>
            <w:tcW w:w="933" w:type="dxa"/>
            <w:noWrap/>
            <w:hideMark/>
          </w:tcPr>
          <w:p w:rsidR="00C70117" w:rsidRPr="00030D4D" w:rsidRDefault="00C70117" w:rsidP="00C70117">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Finep</w:t>
            </w:r>
          </w:p>
        </w:tc>
        <w:tc>
          <w:tcPr>
            <w:tcW w:w="1406" w:type="dxa"/>
            <w:noWrap/>
            <w:hideMark/>
          </w:tcPr>
          <w:p w:rsidR="00C70117" w:rsidRPr="00030D4D" w:rsidRDefault="00C70117" w:rsidP="00C70117">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Bndes</w:t>
            </w:r>
          </w:p>
        </w:tc>
        <w:tc>
          <w:tcPr>
            <w:tcW w:w="960" w:type="dxa"/>
            <w:noWrap/>
            <w:hideMark/>
          </w:tcPr>
          <w:p w:rsidR="00C70117" w:rsidRPr="00030D4D" w:rsidRDefault="00C70117" w:rsidP="00C70117">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Finep</w:t>
            </w:r>
          </w:p>
        </w:tc>
        <w:tc>
          <w:tcPr>
            <w:tcW w:w="960" w:type="dxa"/>
            <w:noWrap/>
            <w:hideMark/>
          </w:tcPr>
          <w:p w:rsidR="00C70117" w:rsidRPr="00030D4D" w:rsidRDefault="00C70117" w:rsidP="00C70117">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030D4D">
              <w:rPr>
                <w:rFonts w:ascii="Arial" w:hAnsi="Arial" w:cs="Arial"/>
                <w:bCs w:val="0"/>
                <w:color w:val="000000"/>
                <w:sz w:val="18"/>
                <w:szCs w:val="18"/>
              </w:rPr>
              <w:t>total</w:t>
            </w:r>
          </w:p>
        </w:tc>
      </w:tr>
      <w:tr w:rsidR="00C70117" w:rsidRPr="00030D4D" w:rsidTr="00C7011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61" w:type="dxa"/>
            <w:noWrap/>
            <w:hideMark/>
          </w:tcPr>
          <w:p w:rsidR="00C70117" w:rsidRPr="00030D4D" w:rsidRDefault="00C70117" w:rsidP="00C70117">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Crédito</w:t>
            </w:r>
          </w:p>
        </w:tc>
        <w:tc>
          <w:tcPr>
            <w:tcW w:w="933"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13,42</w:t>
            </w:r>
          </w:p>
        </w:tc>
        <w:tc>
          <w:tcPr>
            <w:tcW w:w="1007"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7,8</w:t>
            </w:r>
          </w:p>
        </w:tc>
        <w:tc>
          <w:tcPr>
            <w:tcW w:w="933"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5,62</w:t>
            </w:r>
          </w:p>
        </w:tc>
        <w:tc>
          <w:tcPr>
            <w:tcW w:w="1406"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88,54%</w:t>
            </w:r>
          </w:p>
        </w:tc>
        <w:tc>
          <w:tcPr>
            <w:tcW w:w="960"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79,15%</w:t>
            </w:r>
          </w:p>
        </w:tc>
        <w:tc>
          <w:tcPr>
            <w:tcW w:w="960"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84,35%</w:t>
            </w:r>
          </w:p>
        </w:tc>
      </w:tr>
      <w:tr w:rsidR="00C70117" w:rsidRPr="00030D4D" w:rsidTr="00C7011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61" w:type="dxa"/>
            <w:noWrap/>
            <w:hideMark/>
          </w:tcPr>
          <w:p w:rsidR="00C70117" w:rsidRPr="00030D4D" w:rsidRDefault="00C70117" w:rsidP="00C70117">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RV</w:t>
            </w:r>
          </w:p>
        </w:tc>
        <w:tc>
          <w:tcPr>
            <w:tcW w:w="933"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1,00</w:t>
            </w:r>
          </w:p>
        </w:tc>
        <w:tc>
          <w:tcPr>
            <w:tcW w:w="1007"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0,5</w:t>
            </w:r>
          </w:p>
        </w:tc>
        <w:tc>
          <w:tcPr>
            <w:tcW w:w="933"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0,5</w:t>
            </w:r>
          </w:p>
        </w:tc>
        <w:tc>
          <w:tcPr>
            <w:tcW w:w="1406"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5,68%</w:t>
            </w:r>
          </w:p>
        </w:tc>
        <w:tc>
          <w:tcPr>
            <w:tcW w:w="960"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7,04%</w:t>
            </w:r>
          </w:p>
        </w:tc>
        <w:tc>
          <w:tcPr>
            <w:tcW w:w="960"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6,29%</w:t>
            </w:r>
          </w:p>
        </w:tc>
      </w:tr>
      <w:tr w:rsidR="00C70117" w:rsidRPr="00030D4D" w:rsidTr="00C7011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61" w:type="dxa"/>
            <w:noWrap/>
            <w:hideMark/>
          </w:tcPr>
          <w:p w:rsidR="00C70117" w:rsidRPr="00030D4D" w:rsidRDefault="00C70117" w:rsidP="00C70117">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NR</w:t>
            </w:r>
          </w:p>
        </w:tc>
        <w:tc>
          <w:tcPr>
            <w:tcW w:w="933"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0,62</w:t>
            </w:r>
          </w:p>
        </w:tc>
        <w:tc>
          <w:tcPr>
            <w:tcW w:w="1007"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0,51</w:t>
            </w:r>
          </w:p>
        </w:tc>
        <w:tc>
          <w:tcPr>
            <w:tcW w:w="933"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0,11</w:t>
            </w:r>
          </w:p>
        </w:tc>
        <w:tc>
          <w:tcPr>
            <w:tcW w:w="1406"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5,79%</w:t>
            </w:r>
          </w:p>
        </w:tc>
        <w:tc>
          <w:tcPr>
            <w:tcW w:w="960"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1,55%</w:t>
            </w:r>
          </w:p>
        </w:tc>
        <w:tc>
          <w:tcPr>
            <w:tcW w:w="960"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3,90%</w:t>
            </w:r>
          </w:p>
        </w:tc>
      </w:tr>
      <w:tr w:rsidR="00C70117" w:rsidRPr="00030D4D" w:rsidTr="00C7011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61" w:type="dxa"/>
            <w:noWrap/>
            <w:hideMark/>
          </w:tcPr>
          <w:p w:rsidR="00C70117" w:rsidRPr="00030D4D" w:rsidRDefault="00C70117" w:rsidP="00C70117">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Subvenção</w:t>
            </w:r>
          </w:p>
        </w:tc>
        <w:tc>
          <w:tcPr>
            <w:tcW w:w="933"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0,87</w:t>
            </w:r>
          </w:p>
        </w:tc>
        <w:tc>
          <w:tcPr>
            <w:tcW w:w="1007"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 </w:t>
            </w:r>
          </w:p>
        </w:tc>
        <w:tc>
          <w:tcPr>
            <w:tcW w:w="933"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0,87</w:t>
            </w:r>
          </w:p>
        </w:tc>
        <w:tc>
          <w:tcPr>
            <w:tcW w:w="1406"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0,00%</w:t>
            </w:r>
          </w:p>
        </w:tc>
        <w:tc>
          <w:tcPr>
            <w:tcW w:w="960"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12,25%</w:t>
            </w:r>
          </w:p>
        </w:tc>
        <w:tc>
          <w:tcPr>
            <w:tcW w:w="960" w:type="dxa"/>
            <w:noWrap/>
            <w:hideMark/>
          </w:tcPr>
          <w:p w:rsidR="00C70117" w:rsidRPr="00030D4D" w:rsidRDefault="00C70117" w:rsidP="00C70117">
            <w:pPr>
              <w:spacing w:before="0" w:line="240"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5,47%</w:t>
            </w:r>
          </w:p>
        </w:tc>
      </w:tr>
      <w:tr w:rsidR="00C70117" w:rsidRPr="00030D4D" w:rsidTr="00C7011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61" w:type="dxa"/>
            <w:noWrap/>
            <w:hideMark/>
          </w:tcPr>
          <w:p w:rsidR="00C70117" w:rsidRPr="00030D4D" w:rsidRDefault="00C70117" w:rsidP="00C70117">
            <w:pPr>
              <w:spacing w:before="0" w:line="240" w:lineRule="auto"/>
              <w:jc w:val="center"/>
              <w:rPr>
                <w:rFonts w:ascii="Arial" w:hAnsi="Arial" w:cs="Arial"/>
                <w:bCs w:val="0"/>
                <w:color w:val="000000"/>
                <w:sz w:val="18"/>
                <w:szCs w:val="18"/>
              </w:rPr>
            </w:pPr>
            <w:r w:rsidRPr="00030D4D">
              <w:rPr>
                <w:rFonts w:ascii="Arial" w:hAnsi="Arial" w:cs="Arial"/>
                <w:bCs w:val="0"/>
                <w:color w:val="000000"/>
                <w:sz w:val="18"/>
                <w:szCs w:val="18"/>
              </w:rPr>
              <w:t>total</w:t>
            </w:r>
          </w:p>
        </w:tc>
        <w:tc>
          <w:tcPr>
            <w:tcW w:w="933"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15,91</w:t>
            </w:r>
          </w:p>
        </w:tc>
        <w:tc>
          <w:tcPr>
            <w:tcW w:w="1007"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8,81</w:t>
            </w:r>
          </w:p>
        </w:tc>
        <w:tc>
          <w:tcPr>
            <w:tcW w:w="933"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7,1</w:t>
            </w:r>
          </w:p>
        </w:tc>
        <w:tc>
          <w:tcPr>
            <w:tcW w:w="1406"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100,00%</w:t>
            </w:r>
          </w:p>
        </w:tc>
        <w:tc>
          <w:tcPr>
            <w:tcW w:w="960"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100,00%</w:t>
            </w:r>
          </w:p>
        </w:tc>
        <w:tc>
          <w:tcPr>
            <w:tcW w:w="960" w:type="dxa"/>
            <w:noWrap/>
            <w:hideMark/>
          </w:tcPr>
          <w:p w:rsidR="00C70117" w:rsidRPr="00030D4D" w:rsidRDefault="00C70117" w:rsidP="00C70117">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030D4D">
              <w:rPr>
                <w:rFonts w:ascii="Arial" w:hAnsi="Arial" w:cs="Arial"/>
                <w:bCs/>
                <w:color w:val="000000"/>
                <w:sz w:val="18"/>
                <w:szCs w:val="18"/>
              </w:rPr>
              <w:t>100,00%</w:t>
            </w:r>
          </w:p>
        </w:tc>
      </w:tr>
    </w:tbl>
    <w:p w:rsidR="00EE7D88" w:rsidRPr="00030D4D" w:rsidRDefault="00EE7D88" w:rsidP="00EE7D88">
      <w:pPr>
        <w:spacing w:before="0" w:after="0" w:line="240" w:lineRule="auto"/>
        <w:rPr>
          <w:rFonts w:ascii="Arial" w:hAnsi="Arial" w:cs="Arial"/>
          <w:sz w:val="20"/>
          <w:szCs w:val="20"/>
        </w:rPr>
      </w:pPr>
      <w:r w:rsidRPr="00030D4D">
        <w:rPr>
          <w:rFonts w:ascii="Arial" w:hAnsi="Arial" w:cs="Arial"/>
          <w:sz w:val="20"/>
          <w:szCs w:val="20"/>
        </w:rPr>
        <w:t>Fonte: GAPR. Ver Finep, Relatório de Gestão, 2014, p.71</w:t>
      </w:r>
      <w:r w:rsidRPr="00030D4D">
        <w:rPr>
          <w:rStyle w:val="FootnoteReference"/>
          <w:rFonts w:ascii="Arial" w:hAnsi="Arial" w:cs="Arial"/>
          <w:sz w:val="20"/>
          <w:szCs w:val="20"/>
        </w:rPr>
        <w:footnoteReference w:id="29"/>
      </w:r>
    </w:p>
    <w:p w:rsidR="00C70117" w:rsidRPr="00030D4D" w:rsidRDefault="00C70117" w:rsidP="00565531">
      <w:pPr>
        <w:spacing w:before="0" w:line="240" w:lineRule="auto"/>
        <w:jc w:val="left"/>
        <w:rPr>
          <w:rFonts w:ascii="Arial" w:hAnsi="Arial" w:cs="Arial"/>
        </w:rPr>
      </w:pPr>
    </w:p>
    <w:p w:rsidR="00565531" w:rsidRPr="00030D4D" w:rsidRDefault="00565531" w:rsidP="008950ED">
      <w:pPr>
        <w:rPr>
          <w:rFonts w:ascii="Arial" w:hAnsi="Arial" w:cs="Arial"/>
        </w:rPr>
      </w:pPr>
      <w:r w:rsidRPr="00030D4D">
        <w:rPr>
          <w:rFonts w:ascii="Arial" w:hAnsi="Arial" w:cs="Arial"/>
        </w:rPr>
        <w:t>Nota-se que o Inova Empresa ficou concentrado, em função do perfil do financiamento, em empresas de maior porte, capazes de disponibilizar contrapartidas financeiras expressivas e de assegurar garantias aos empréstimos obtidos</w:t>
      </w:r>
      <w:r w:rsidRPr="00030D4D">
        <w:rPr>
          <w:rStyle w:val="FootnoteReference"/>
          <w:rFonts w:ascii="Arial" w:hAnsi="Arial" w:cs="Arial"/>
        </w:rPr>
        <w:footnoteReference w:id="30"/>
      </w:r>
      <w:r w:rsidRPr="00030D4D">
        <w:rPr>
          <w:rFonts w:ascii="Arial" w:hAnsi="Arial" w:cs="Arial"/>
        </w:rPr>
        <w:t>. O Inovacred, que favorece empresas de menor porte com financiamentos de valor inferior a R$ 1 milhão (que era o valor mínimo financiado pelo Programa de Crédito da Finep), somado ao Tecnova, programa de subvenção, perfazem uma disponibilidade de recursos de R$ 1 bilhão, montante bastante reduzido em relação àquele destinado às empresas de maior porte e estrutura financeira.</w:t>
      </w:r>
      <w:r w:rsidRPr="00030D4D">
        <w:rPr>
          <w:rStyle w:val="FootnoteReference"/>
          <w:rFonts w:ascii="Arial" w:hAnsi="Arial" w:cs="Arial"/>
        </w:rPr>
        <w:footnoteReference w:id="31"/>
      </w:r>
    </w:p>
    <w:p w:rsidR="00565531" w:rsidRPr="00030D4D" w:rsidRDefault="00565531" w:rsidP="00565531">
      <w:pPr>
        <w:rPr>
          <w:rFonts w:ascii="Arial" w:hAnsi="Arial" w:cs="Arial"/>
        </w:rPr>
      </w:pPr>
      <w:r w:rsidRPr="00030D4D">
        <w:rPr>
          <w:rFonts w:ascii="Arial" w:hAnsi="Arial" w:cs="Arial"/>
        </w:rPr>
        <w:t xml:space="preserve">Ainda que seja muito cedo para avaliar o Inova Empresa, é possível afirmar que o desequilíbrio entre os recursos alocados sob a forma de crédito e sob a forma de subvenção revela que </w:t>
      </w:r>
      <w:r w:rsidR="00F87468" w:rsidRPr="00030D4D">
        <w:rPr>
          <w:rFonts w:ascii="Arial" w:hAnsi="Arial" w:cs="Arial"/>
        </w:rPr>
        <w:t>este Plano (ou Programa)</w:t>
      </w:r>
      <w:r w:rsidRPr="00030D4D">
        <w:rPr>
          <w:rFonts w:ascii="Arial" w:hAnsi="Arial" w:cs="Arial"/>
        </w:rPr>
        <w:t xml:space="preserve"> não se distingue das linhas de financiamento que vinham sendo disponibilizadas no âmbito do Plano de Sustentação do Investimento (PSI), o programa de apoio aos investimentos operacionalizado pelo BNDES, que financiou até dezembro de 2015 investimentos com taxas de juros especiais, subsidiadas pelo Tesouro Nacional</w:t>
      </w:r>
      <w:r w:rsidRPr="00030D4D">
        <w:rPr>
          <w:rStyle w:val="FootnoteReference"/>
          <w:rFonts w:ascii="Arial" w:hAnsi="Arial" w:cs="Arial"/>
        </w:rPr>
        <w:footnoteReference w:id="32"/>
      </w:r>
      <w:r w:rsidRPr="00030D4D">
        <w:rPr>
          <w:rFonts w:ascii="Arial" w:hAnsi="Arial" w:cs="Arial"/>
        </w:rPr>
        <w:t>. As condições atuais para a execução dos contratos de crédito não são as mais confortáveis, tanto para a Finep como para o BNDES, dada a elevação recente dos custos financeiros</w:t>
      </w:r>
      <w:r w:rsidRPr="00030D4D">
        <w:rPr>
          <w:rStyle w:val="FootnoteReference"/>
          <w:rFonts w:ascii="Arial" w:hAnsi="Arial" w:cs="Arial"/>
        </w:rPr>
        <w:footnoteReference w:id="33"/>
      </w:r>
      <w:r w:rsidRPr="00030D4D">
        <w:rPr>
          <w:rFonts w:ascii="Arial" w:hAnsi="Arial" w:cs="Arial"/>
        </w:rPr>
        <w:t>.</w:t>
      </w:r>
    </w:p>
    <w:p w:rsidR="00565531" w:rsidRPr="00030D4D" w:rsidRDefault="00565531" w:rsidP="00565531">
      <w:pPr>
        <w:rPr>
          <w:rFonts w:ascii="Arial" w:hAnsi="Arial" w:cs="Arial"/>
        </w:rPr>
      </w:pPr>
      <w:r w:rsidRPr="00030D4D">
        <w:rPr>
          <w:rFonts w:ascii="Arial" w:hAnsi="Arial" w:cs="Arial"/>
        </w:rPr>
        <w:t>O problema é que não há perspectivas de mudança no perfil da distribuição entre os instrumentos de financiamento, dadas as condições atuais do FNDCT. Isto é, os recursos para financiamento não reembolsáveis são exíguos e as fontes do FNDCT têm sido alteradas elevando-se o percentual de participação do Tesouro com o intuito de substituir a queda das fontes dos fundos setoriais, mais precisamente, do CT-Petro.</w:t>
      </w:r>
    </w:p>
    <w:p w:rsidR="000D05E9" w:rsidRPr="00030D4D" w:rsidRDefault="00F87468" w:rsidP="00565531">
      <w:pPr>
        <w:rPr>
          <w:rFonts w:ascii="Arial" w:hAnsi="Arial" w:cs="Arial"/>
        </w:rPr>
      </w:pPr>
      <w:r w:rsidRPr="00030D4D">
        <w:rPr>
          <w:rFonts w:ascii="Arial" w:hAnsi="Arial" w:cs="Arial"/>
        </w:rPr>
        <w:t xml:space="preserve">Nos itens </w:t>
      </w:r>
      <w:r w:rsidR="00F00C13" w:rsidRPr="00030D4D">
        <w:rPr>
          <w:rFonts w:ascii="Arial" w:hAnsi="Arial" w:cs="Arial"/>
        </w:rPr>
        <w:t>3.1 e 3.2</w:t>
      </w:r>
      <w:r w:rsidRPr="00030D4D">
        <w:rPr>
          <w:rFonts w:ascii="Arial" w:hAnsi="Arial" w:cs="Arial"/>
        </w:rPr>
        <w:t xml:space="preserve"> é feita uma atualização das informações relacionadas à Finep apresentadas </w:t>
      </w:r>
      <w:r w:rsidR="00F00C13" w:rsidRPr="00030D4D">
        <w:rPr>
          <w:rFonts w:ascii="Arial" w:hAnsi="Arial" w:cs="Arial"/>
        </w:rPr>
        <w:t>na introdução desta</w:t>
      </w:r>
      <w:r w:rsidRPr="00030D4D">
        <w:rPr>
          <w:rFonts w:ascii="Arial" w:hAnsi="Arial" w:cs="Arial"/>
        </w:rPr>
        <w:t xml:space="preserve"> seção. </w:t>
      </w:r>
      <w:r w:rsidR="00D97634" w:rsidRPr="00030D4D">
        <w:rPr>
          <w:rFonts w:ascii="Arial" w:hAnsi="Arial" w:cs="Arial"/>
        </w:rPr>
        <w:t xml:space="preserve">Para fins comparativos, procurou-se separar as informações em dois períodos: 1) 2013 e 2014, Plano Inova Empresa e 2) 2014 e 2015. </w:t>
      </w:r>
      <w:r w:rsidRPr="00030D4D">
        <w:rPr>
          <w:rFonts w:ascii="Arial" w:hAnsi="Arial" w:cs="Arial"/>
        </w:rPr>
        <w:t>Em função</w:t>
      </w:r>
      <w:r w:rsidR="000D05E9" w:rsidRPr="00030D4D">
        <w:rPr>
          <w:rFonts w:ascii="Arial" w:hAnsi="Arial" w:cs="Arial"/>
        </w:rPr>
        <w:t xml:space="preserve"> </w:t>
      </w:r>
      <w:r w:rsidR="00F00C13" w:rsidRPr="00030D4D">
        <w:rPr>
          <w:rFonts w:ascii="Arial" w:hAnsi="Arial" w:cs="Arial"/>
        </w:rPr>
        <w:t xml:space="preserve">da forma de coleta dos dados, </w:t>
      </w:r>
      <w:r w:rsidR="0049469A" w:rsidRPr="00030D4D">
        <w:rPr>
          <w:rFonts w:ascii="Arial" w:hAnsi="Arial" w:cs="Arial"/>
        </w:rPr>
        <w:t>há diferenças</w:t>
      </w:r>
      <w:r w:rsidRPr="00030D4D">
        <w:rPr>
          <w:rFonts w:ascii="Arial" w:hAnsi="Arial" w:cs="Arial"/>
        </w:rPr>
        <w:t xml:space="preserve"> </w:t>
      </w:r>
      <w:r w:rsidR="0049469A" w:rsidRPr="00030D4D">
        <w:rPr>
          <w:rFonts w:ascii="Arial" w:hAnsi="Arial" w:cs="Arial"/>
        </w:rPr>
        <w:t>entre as informações apresentadas neste item 3.1 e as coletadas</w:t>
      </w:r>
      <w:r w:rsidR="00D834FB" w:rsidRPr="00030D4D">
        <w:rPr>
          <w:rFonts w:ascii="Arial" w:hAnsi="Arial" w:cs="Arial"/>
        </w:rPr>
        <w:t xml:space="preserve"> </w:t>
      </w:r>
      <w:r w:rsidR="0049469A" w:rsidRPr="00030D4D">
        <w:rPr>
          <w:rFonts w:ascii="Arial" w:hAnsi="Arial" w:cs="Arial"/>
        </w:rPr>
        <w:t xml:space="preserve">no Relatório de Atividades, </w:t>
      </w:r>
      <w:r w:rsidR="00F00C13" w:rsidRPr="00030D4D">
        <w:rPr>
          <w:rFonts w:ascii="Arial" w:hAnsi="Arial" w:cs="Arial"/>
        </w:rPr>
        <w:t>acima apresentadas</w:t>
      </w:r>
      <w:r w:rsidR="0049469A" w:rsidRPr="00030D4D">
        <w:rPr>
          <w:rFonts w:ascii="Arial" w:hAnsi="Arial" w:cs="Arial"/>
        </w:rPr>
        <w:t xml:space="preserve">. </w:t>
      </w:r>
    </w:p>
    <w:p w:rsidR="000D05E9" w:rsidRPr="00030D4D" w:rsidRDefault="000D05E9" w:rsidP="000D05E9">
      <w:pPr>
        <w:shd w:val="clear" w:color="auto" w:fill="FFFFFF"/>
        <w:rPr>
          <w:rFonts w:ascii="Arial" w:eastAsia="Times New Roman" w:hAnsi="Arial" w:cs="Arial"/>
          <w:color w:val="000000"/>
          <w:lang w:eastAsia="pt-BR"/>
        </w:rPr>
      </w:pPr>
      <w:r w:rsidRPr="00030D4D">
        <w:rPr>
          <w:rFonts w:ascii="Arial" w:eastAsia="Times New Roman" w:hAnsi="Arial" w:cs="Arial"/>
          <w:color w:val="000000"/>
          <w:lang w:eastAsia="pt-BR"/>
        </w:rPr>
        <w:t xml:space="preserve">Isso porque, segundo </w:t>
      </w:r>
      <w:r w:rsidR="0073336D" w:rsidRPr="00030D4D">
        <w:rPr>
          <w:rFonts w:ascii="Arial" w:eastAsia="Times New Roman" w:hAnsi="Arial" w:cs="Arial"/>
          <w:color w:val="000000"/>
          <w:lang w:eastAsia="pt-BR"/>
        </w:rPr>
        <w:t>a</w:t>
      </w:r>
      <w:r w:rsidRPr="00030D4D">
        <w:rPr>
          <w:rFonts w:ascii="Arial" w:eastAsia="Times New Roman" w:hAnsi="Arial" w:cs="Arial"/>
          <w:color w:val="000000"/>
          <w:lang w:eastAsia="pt-BR"/>
        </w:rPr>
        <w:t xml:space="preserve"> Finep, “diferentemente do Relatório de Gestão da Finep de 2014 que considerou todas as operações contratadas no Plano Inova Empresa (incluindo, portanto, os projetos apresentados em anos anteriores), o levantamento realizado</w:t>
      </w:r>
      <w:r w:rsidR="009B64F9" w:rsidRPr="00030D4D">
        <w:rPr>
          <w:rFonts w:ascii="Arial" w:eastAsia="Times New Roman" w:hAnsi="Arial" w:cs="Arial"/>
          <w:color w:val="000000"/>
          <w:lang w:eastAsia="pt-BR"/>
        </w:rPr>
        <w:t xml:space="preserve"> (para este trabalho)</w:t>
      </w:r>
      <w:r w:rsidR="009B64F9" w:rsidRPr="00030D4D">
        <w:rPr>
          <w:rStyle w:val="FootnoteReference"/>
          <w:rFonts w:ascii="Arial" w:eastAsia="Times New Roman" w:hAnsi="Arial" w:cs="Arial"/>
          <w:color w:val="000000"/>
          <w:lang w:eastAsia="pt-BR"/>
        </w:rPr>
        <w:footnoteReference w:id="34"/>
      </w:r>
      <w:r w:rsidRPr="00030D4D">
        <w:rPr>
          <w:rFonts w:ascii="Arial" w:eastAsia="Times New Roman" w:hAnsi="Arial" w:cs="Arial"/>
          <w:color w:val="000000"/>
          <w:lang w:eastAsia="pt-BR"/>
        </w:rPr>
        <w:t xml:space="preserve"> considerou as operações que foram apresentadas nos anos de 2013 e 2014. No Relatório de Gestão </w:t>
      </w:r>
      <w:r w:rsidR="009B64F9" w:rsidRPr="00030D4D">
        <w:rPr>
          <w:rFonts w:ascii="Arial" w:eastAsia="Times New Roman" w:hAnsi="Arial" w:cs="Arial"/>
          <w:color w:val="000000"/>
          <w:lang w:eastAsia="pt-BR"/>
        </w:rPr>
        <w:t xml:space="preserve">da </w:t>
      </w:r>
      <w:r w:rsidRPr="00030D4D">
        <w:rPr>
          <w:rFonts w:ascii="Arial" w:eastAsia="Times New Roman" w:hAnsi="Arial" w:cs="Arial"/>
          <w:color w:val="000000"/>
          <w:lang w:eastAsia="pt-BR"/>
        </w:rPr>
        <w:t>Finep de 2014, por exemplo, estão incluídas as contratações oriundas do PAISS realizado em 2011, cujas propostas foram apresentadas em 2012 e as contratações realizadas a partir de 2013.  O Plano Inova Empresa engloba todas as operações da Finep realizadas nos anos de 2013 e 2014 e os Editais Conjuntos (demanda estruturada) apenas os editais realizados com outras instituições e com mais de um instrumento (crédito, subvenção, cooperativo e investimento).”</w:t>
      </w:r>
    </w:p>
    <w:p w:rsidR="000D05E9" w:rsidRPr="00030D4D" w:rsidRDefault="009B64F9" w:rsidP="000D05E9">
      <w:pPr>
        <w:shd w:val="clear" w:color="auto" w:fill="FFFFFF"/>
        <w:rPr>
          <w:rFonts w:ascii="Arial" w:eastAsia="Times New Roman" w:hAnsi="Arial" w:cs="Arial"/>
          <w:color w:val="000000"/>
          <w:lang w:eastAsia="pt-BR"/>
        </w:rPr>
      </w:pPr>
      <w:r w:rsidRPr="00030D4D">
        <w:rPr>
          <w:rFonts w:ascii="Arial" w:eastAsia="Times New Roman" w:hAnsi="Arial" w:cs="Arial"/>
          <w:color w:val="000000"/>
          <w:lang w:eastAsia="pt-BR"/>
        </w:rPr>
        <w:t>E, ainda, “</w:t>
      </w:r>
      <w:r w:rsidR="000D05E9" w:rsidRPr="00030D4D">
        <w:rPr>
          <w:rFonts w:ascii="Arial" w:eastAsia="Times New Roman" w:hAnsi="Arial" w:cs="Arial"/>
          <w:color w:val="000000"/>
          <w:lang w:eastAsia="pt-BR"/>
        </w:rPr>
        <w:t>o uso intensivo da expressão "inova" tem causado muita imprecisão na análise dos dados. Por esse motivo, considero que um dos principais resultados do Seminário de Avaliação realizado em abril de 2016 foi a consolidação dos dados em torno de uma nomenclatura comum entre a Finep e o BNDES”</w:t>
      </w:r>
      <w:r w:rsidR="0073336D" w:rsidRPr="00030D4D">
        <w:rPr>
          <w:rStyle w:val="FootnoteReference"/>
          <w:rFonts w:ascii="Arial" w:eastAsia="Times New Roman" w:hAnsi="Arial" w:cs="Arial"/>
          <w:color w:val="000000"/>
          <w:lang w:eastAsia="pt-BR"/>
        </w:rPr>
        <w:footnoteReference w:id="35"/>
      </w:r>
      <w:r w:rsidR="000D05E9" w:rsidRPr="00030D4D">
        <w:rPr>
          <w:rFonts w:ascii="Arial" w:eastAsia="Times New Roman" w:hAnsi="Arial" w:cs="Arial"/>
          <w:color w:val="000000"/>
          <w:lang w:eastAsia="pt-BR"/>
        </w:rPr>
        <w:t>.</w:t>
      </w:r>
    </w:p>
    <w:p w:rsidR="0049469A" w:rsidRPr="00030D4D" w:rsidRDefault="0016255E" w:rsidP="00565531">
      <w:pPr>
        <w:rPr>
          <w:rFonts w:ascii="Arial" w:hAnsi="Arial" w:cs="Arial"/>
        </w:rPr>
      </w:pPr>
      <w:r w:rsidRPr="00030D4D">
        <w:rPr>
          <w:rFonts w:ascii="Arial" w:hAnsi="Arial" w:cs="Arial"/>
        </w:rPr>
        <w:t>O</w:t>
      </w:r>
      <w:r w:rsidR="00F87468" w:rsidRPr="00030D4D">
        <w:rPr>
          <w:rFonts w:ascii="Arial" w:hAnsi="Arial" w:cs="Arial"/>
        </w:rPr>
        <w:t xml:space="preserve"> importante é </w:t>
      </w:r>
      <w:r w:rsidR="0049469A" w:rsidRPr="00030D4D">
        <w:rPr>
          <w:rFonts w:ascii="Arial" w:hAnsi="Arial" w:cs="Arial"/>
        </w:rPr>
        <w:t>notar que com as informações fornecidas diretamente pela Finep torna-se</w:t>
      </w:r>
      <w:r w:rsidR="00F87468" w:rsidRPr="00030D4D">
        <w:rPr>
          <w:rFonts w:ascii="Arial" w:hAnsi="Arial" w:cs="Arial"/>
        </w:rPr>
        <w:t xml:space="preserve"> possível analisar com um pouco mais de detalhe a relação entre oferta e demanda de recursos nas modalidades reembolsável e não reembolsável</w:t>
      </w:r>
      <w:r w:rsidR="0049469A" w:rsidRPr="00030D4D">
        <w:rPr>
          <w:rFonts w:ascii="Arial" w:hAnsi="Arial" w:cs="Arial"/>
        </w:rPr>
        <w:t>.</w:t>
      </w:r>
      <w:r w:rsidRPr="00030D4D">
        <w:rPr>
          <w:rFonts w:ascii="Arial" w:hAnsi="Arial" w:cs="Arial"/>
        </w:rPr>
        <w:t xml:space="preserve"> </w:t>
      </w:r>
      <w:r w:rsidR="0049469A" w:rsidRPr="00030D4D">
        <w:rPr>
          <w:rFonts w:ascii="Arial" w:hAnsi="Arial" w:cs="Arial"/>
        </w:rPr>
        <w:t>No final de cada item, procura-se juntar os dois períodos e fazer uma análise agregada de relação entre oferta e demanda para cada instrumento.</w:t>
      </w:r>
    </w:p>
    <w:p w:rsidR="005B04DA" w:rsidRPr="00030D4D" w:rsidRDefault="005B04DA" w:rsidP="005B04DA">
      <w:pPr>
        <w:pStyle w:val="Heading2"/>
        <w:numPr>
          <w:ilvl w:val="1"/>
          <w:numId w:val="19"/>
        </w:numPr>
        <w:rPr>
          <w:rFonts w:ascii="Arial" w:hAnsi="Arial" w:cs="Arial"/>
        </w:rPr>
      </w:pPr>
      <w:bookmarkStart w:id="61" w:name="_Toc482828489"/>
      <w:r w:rsidRPr="00030D4D">
        <w:rPr>
          <w:rFonts w:ascii="Arial" w:hAnsi="Arial" w:cs="Arial"/>
        </w:rPr>
        <w:t xml:space="preserve">Finep. Demanda por recursos reembolsáveis </w:t>
      </w:r>
      <w:r w:rsidR="0049469A" w:rsidRPr="00030D4D">
        <w:rPr>
          <w:rFonts w:ascii="Arial" w:hAnsi="Arial" w:cs="Arial"/>
        </w:rPr>
        <w:t>–</w:t>
      </w:r>
      <w:r w:rsidRPr="00030D4D">
        <w:rPr>
          <w:rFonts w:ascii="Arial" w:hAnsi="Arial" w:cs="Arial"/>
        </w:rPr>
        <w:t xml:space="preserve"> crédito</w:t>
      </w:r>
      <w:bookmarkEnd w:id="61"/>
    </w:p>
    <w:p w:rsidR="004B4533" w:rsidRPr="00030D4D" w:rsidRDefault="004B4533" w:rsidP="00096311">
      <w:pPr>
        <w:rPr>
          <w:rFonts w:ascii="Arial" w:hAnsi="Arial" w:cs="Arial"/>
        </w:rPr>
      </w:pPr>
      <w:r w:rsidRPr="00030D4D">
        <w:rPr>
          <w:rFonts w:ascii="Arial" w:hAnsi="Arial" w:cs="Arial"/>
        </w:rPr>
        <w:t>Entre 2013 e 2016 a demanda total por crédito foi de 1.188 projetos</w:t>
      </w:r>
      <w:r w:rsidR="00FB1A20" w:rsidRPr="00030D4D">
        <w:rPr>
          <w:rFonts w:ascii="Arial" w:hAnsi="Arial" w:cs="Arial"/>
        </w:rPr>
        <w:t xml:space="preserve">. Deste total, </w:t>
      </w:r>
      <w:r w:rsidR="00AF0E3A" w:rsidRPr="00030D4D">
        <w:rPr>
          <w:rFonts w:ascii="Arial" w:hAnsi="Arial" w:cs="Arial"/>
        </w:rPr>
        <w:t>384 (</w:t>
      </w:r>
      <w:r w:rsidR="00FB1A20" w:rsidRPr="00030D4D">
        <w:rPr>
          <w:rFonts w:ascii="Arial" w:hAnsi="Arial" w:cs="Arial"/>
        </w:rPr>
        <w:t>32,</w:t>
      </w:r>
      <w:r w:rsidR="00AF0E3A" w:rsidRPr="00030D4D">
        <w:rPr>
          <w:rFonts w:ascii="Arial" w:hAnsi="Arial" w:cs="Arial"/>
        </w:rPr>
        <w:t xml:space="preserve">3%) </w:t>
      </w:r>
      <w:r w:rsidR="00FB1A20" w:rsidRPr="00030D4D">
        <w:rPr>
          <w:rFonts w:ascii="Arial" w:hAnsi="Arial" w:cs="Arial"/>
        </w:rPr>
        <w:t xml:space="preserve">foram aprovados e </w:t>
      </w:r>
      <w:r w:rsidR="00AF0E3A" w:rsidRPr="00030D4D">
        <w:rPr>
          <w:rFonts w:ascii="Arial" w:hAnsi="Arial" w:cs="Arial"/>
        </w:rPr>
        <w:t>320 (</w:t>
      </w:r>
      <w:r w:rsidR="00FB1A20" w:rsidRPr="00030D4D">
        <w:rPr>
          <w:rFonts w:ascii="Arial" w:hAnsi="Arial" w:cs="Arial"/>
        </w:rPr>
        <w:t>83,3%</w:t>
      </w:r>
      <w:r w:rsidR="00AF0E3A" w:rsidRPr="00030D4D">
        <w:rPr>
          <w:rFonts w:ascii="Arial" w:hAnsi="Arial" w:cs="Arial"/>
        </w:rPr>
        <w:t>)</w:t>
      </w:r>
      <w:r w:rsidR="00FB1A20" w:rsidRPr="00030D4D">
        <w:rPr>
          <w:rFonts w:ascii="Arial" w:hAnsi="Arial" w:cs="Arial"/>
        </w:rPr>
        <w:t xml:space="preserve"> do total aprovado foi efetivamente contratado</w:t>
      </w:r>
      <w:r w:rsidR="00905265" w:rsidRPr="00030D4D">
        <w:rPr>
          <w:rFonts w:ascii="Arial" w:hAnsi="Arial" w:cs="Arial"/>
        </w:rPr>
        <w:t xml:space="preserve"> (Tabela 8)</w:t>
      </w:r>
      <w:r w:rsidR="00FB1A20" w:rsidRPr="00030D4D">
        <w:rPr>
          <w:rFonts w:ascii="Arial" w:hAnsi="Arial" w:cs="Arial"/>
        </w:rPr>
        <w:t>.</w:t>
      </w:r>
    </w:p>
    <w:p w:rsidR="004F2396" w:rsidRPr="00030D4D" w:rsidRDefault="002D5F5E" w:rsidP="0049469A">
      <w:pPr>
        <w:rPr>
          <w:rFonts w:ascii="Arial" w:hAnsi="Arial" w:cs="Arial"/>
        </w:rPr>
      </w:pPr>
      <w:r w:rsidRPr="00030D4D">
        <w:rPr>
          <w:rFonts w:ascii="Arial" w:hAnsi="Arial" w:cs="Arial"/>
        </w:rPr>
        <w:t>No período do Plano Inova Empresa (2013 e 2014), h</w:t>
      </w:r>
      <w:r w:rsidR="00E13A60" w:rsidRPr="00030D4D">
        <w:rPr>
          <w:rFonts w:ascii="Arial" w:hAnsi="Arial" w:cs="Arial"/>
        </w:rPr>
        <w:t xml:space="preserve">ouve uma demanda total por crédito </w:t>
      </w:r>
      <w:r w:rsidRPr="00030D4D">
        <w:rPr>
          <w:rFonts w:ascii="Arial" w:hAnsi="Arial" w:cs="Arial"/>
        </w:rPr>
        <w:t>de 907 projetos</w:t>
      </w:r>
      <w:r w:rsidR="00E13A60" w:rsidRPr="00030D4D">
        <w:rPr>
          <w:rFonts w:ascii="Arial" w:hAnsi="Arial" w:cs="Arial"/>
        </w:rPr>
        <w:t>. Deste total, 666 corresponderam à demanda espontânea</w:t>
      </w:r>
      <w:r w:rsidR="00470110" w:rsidRPr="00030D4D">
        <w:rPr>
          <w:rFonts w:ascii="Arial" w:hAnsi="Arial" w:cs="Arial"/>
        </w:rPr>
        <w:t>;</w:t>
      </w:r>
      <w:r w:rsidR="00E13A60" w:rsidRPr="00030D4D">
        <w:rPr>
          <w:rFonts w:ascii="Arial" w:hAnsi="Arial" w:cs="Arial"/>
        </w:rPr>
        <w:t xml:space="preserve"> 223 à demanda estrutura</w:t>
      </w:r>
      <w:r w:rsidR="00542391" w:rsidRPr="00030D4D">
        <w:rPr>
          <w:rFonts w:ascii="Arial" w:hAnsi="Arial" w:cs="Arial"/>
        </w:rPr>
        <w:t>da</w:t>
      </w:r>
      <w:r w:rsidR="00E13A60" w:rsidRPr="00030D4D">
        <w:rPr>
          <w:rFonts w:ascii="Arial" w:hAnsi="Arial" w:cs="Arial"/>
        </w:rPr>
        <w:t xml:space="preserve">, isto é, </w:t>
      </w:r>
      <w:r w:rsidR="00542391" w:rsidRPr="00030D4D">
        <w:rPr>
          <w:rFonts w:ascii="Arial" w:hAnsi="Arial" w:cs="Arial"/>
        </w:rPr>
        <w:t>projetos apresentados no âmbito dos</w:t>
      </w:r>
      <w:r w:rsidR="00E13A60" w:rsidRPr="00030D4D">
        <w:rPr>
          <w:rFonts w:ascii="Arial" w:hAnsi="Arial" w:cs="Arial"/>
        </w:rPr>
        <w:t xml:space="preserve"> editais e chamadas públicas e 18 demandas descentralizadas</w:t>
      </w:r>
      <w:r w:rsidR="00470110" w:rsidRPr="00030D4D">
        <w:rPr>
          <w:rFonts w:ascii="Arial" w:hAnsi="Arial" w:cs="Arial"/>
        </w:rPr>
        <w:t>, cujos projetos foram contratados</w:t>
      </w:r>
      <w:r w:rsidR="00E13A60" w:rsidRPr="00030D4D">
        <w:rPr>
          <w:rFonts w:ascii="Arial" w:hAnsi="Arial" w:cs="Arial"/>
        </w:rPr>
        <w:t xml:space="preserve"> por agentes financeiros parceiros da Finep no âmbito do Inovacred.</w:t>
      </w:r>
      <w:r w:rsidR="004F2396" w:rsidRPr="00030D4D">
        <w:rPr>
          <w:rFonts w:ascii="Arial" w:hAnsi="Arial" w:cs="Arial"/>
        </w:rPr>
        <w:t xml:space="preserve"> Do total apresentado, 32,6% foi aprovado (296 projetos), sendo 32,4% na demanda espontânea (216 projetos) e 27,8% na demanda estruturada (62 projetos).</w:t>
      </w:r>
      <w:r w:rsidR="00725C36" w:rsidRPr="00030D4D">
        <w:rPr>
          <w:rFonts w:ascii="Arial" w:hAnsi="Arial" w:cs="Arial"/>
        </w:rPr>
        <w:t xml:space="preserve"> </w:t>
      </w:r>
      <w:r w:rsidR="004F2396" w:rsidRPr="00030D4D">
        <w:rPr>
          <w:rFonts w:ascii="Arial" w:hAnsi="Arial" w:cs="Arial"/>
        </w:rPr>
        <w:t>Foram contratados 193 projetos no âmbito da demanda espontânea (89,4% do aprovado) e 41 no âmbito da demanda estruturada (66,1%), perfazendo um total de 252 projetos contratados, o correspondente a 85% do total aprovado.</w:t>
      </w:r>
    </w:p>
    <w:p w:rsidR="00E23E8F" w:rsidRPr="00030D4D" w:rsidRDefault="0008517A" w:rsidP="0049469A">
      <w:pPr>
        <w:rPr>
          <w:rFonts w:ascii="Arial" w:hAnsi="Arial" w:cs="Arial"/>
        </w:rPr>
      </w:pPr>
      <w:r w:rsidRPr="00030D4D">
        <w:rPr>
          <w:rFonts w:ascii="Arial" w:hAnsi="Arial" w:cs="Arial"/>
        </w:rPr>
        <w:t>A crise do período seguinte foi expressa no número de projetos apresentados à Finep. Houve uma queda de cerca de 69% e o número total</w:t>
      </w:r>
      <w:r w:rsidR="00A0023A" w:rsidRPr="00030D4D">
        <w:rPr>
          <w:rFonts w:ascii="Arial" w:hAnsi="Arial" w:cs="Arial"/>
        </w:rPr>
        <w:t xml:space="preserve"> de projetos apresentados foi</w:t>
      </w:r>
      <w:r w:rsidRPr="00030D4D">
        <w:rPr>
          <w:rFonts w:ascii="Arial" w:hAnsi="Arial" w:cs="Arial"/>
        </w:rPr>
        <w:t xml:space="preserve"> 281. </w:t>
      </w:r>
      <w:r w:rsidR="00A0023A" w:rsidRPr="00030D4D">
        <w:rPr>
          <w:rFonts w:ascii="Arial" w:hAnsi="Arial" w:cs="Arial"/>
        </w:rPr>
        <w:t xml:space="preserve">Deste total, 88 </w:t>
      </w:r>
      <w:r w:rsidR="00886C25" w:rsidRPr="00030D4D">
        <w:rPr>
          <w:rFonts w:ascii="Arial" w:hAnsi="Arial" w:cs="Arial"/>
        </w:rPr>
        <w:t xml:space="preserve">(31,3%) </w:t>
      </w:r>
      <w:r w:rsidR="00A0023A" w:rsidRPr="00030D4D">
        <w:rPr>
          <w:rFonts w:ascii="Arial" w:hAnsi="Arial" w:cs="Arial"/>
        </w:rPr>
        <w:t>foram aprovados e 68 contratados</w:t>
      </w:r>
      <w:r w:rsidR="00886C25" w:rsidRPr="00030D4D">
        <w:rPr>
          <w:rFonts w:ascii="Arial" w:hAnsi="Arial" w:cs="Arial"/>
        </w:rPr>
        <w:t xml:space="preserve"> (83,3% do total aprovado)</w:t>
      </w:r>
      <w:r w:rsidR="00A0023A" w:rsidRPr="00030D4D">
        <w:rPr>
          <w:rFonts w:ascii="Arial" w:hAnsi="Arial" w:cs="Arial"/>
        </w:rPr>
        <w:t xml:space="preserve">. </w:t>
      </w:r>
      <w:r w:rsidR="00E23E8F" w:rsidRPr="00030D4D">
        <w:rPr>
          <w:rFonts w:ascii="Arial" w:hAnsi="Arial" w:cs="Arial"/>
        </w:rPr>
        <w:t xml:space="preserve">A proporção entre aprovados em relação aos apresentados ficou apenas 1,3% abaixo do biênio anterior.  </w:t>
      </w:r>
    </w:p>
    <w:p w:rsidR="0008517A" w:rsidRPr="00030D4D" w:rsidRDefault="00F56702" w:rsidP="0049469A">
      <w:pPr>
        <w:rPr>
          <w:rFonts w:ascii="Arial" w:hAnsi="Arial" w:cs="Arial"/>
        </w:rPr>
      </w:pPr>
      <w:r w:rsidRPr="00030D4D">
        <w:rPr>
          <w:rFonts w:ascii="Arial" w:hAnsi="Arial" w:cs="Arial"/>
        </w:rPr>
        <w:t xml:space="preserve">Com o fim do Inova Empresa houve uma redução do número de editais que permitiam o acesso ao crédito e essa situação é expressa na redução do número de projetos apresentados sob a forma de demanda estruturada (apenas 24 ante os 233 do biênio anterior). </w:t>
      </w:r>
      <w:r w:rsidR="00E23E8F" w:rsidRPr="00030D4D">
        <w:rPr>
          <w:rFonts w:ascii="Arial" w:hAnsi="Arial" w:cs="Arial"/>
        </w:rPr>
        <w:t>Mas a relação dos contratados em relação aos aprovados caiu (77% ante os 85% do biênio anterior)</w:t>
      </w:r>
      <w:r w:rsidR="006763ED" w:rsidRPr="00030D4D">
        <w:rPr>
          <w:rFonts w:ascii="Arial" w:hAnsi="Arial" w:cs="Arial"/>
        </w:rPr>
        <w:t>.</w:t>
      </w:r>
    </w:p>
    <w:p w:rsidR="00730A9A" w:rsidRPr="00030D4D" w:rsidRDefault="002E56F7" w:rsidP="002E56F7">
      <w:pPr>
        <w:pStyle w:val="Caption"/>
        <w:rPr>
          <w:rFonts w:ascii="Arial" w:eastAsia="Times New Roman" w:hAnsi="Arial" w:cs="Arial"/>
          <w:bCs/>
          <w:color w:val="000000"/>
          <w:sz w:val="20"/>
          <w:szCs w:val="20"/>
          <w:lang w:eastAsia="pt-BR"/>
        </w:rPr>
      </w:pPr>
      <w:bookmarkStart w:id="62" w:name="_Toc482828500"/>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8</w:t>
      </w:r>
      <w:r w:rsidR="005271BC" w:rsidRPr="00030D4D">
        <w:rPr>
          <w:rFonts w:ascii="Arial" w:hAnsi="Arial" w:cs="Arial"/>
          <w:noProof/>
        </w:rPr>
        <w:fldChar w:fldCharType="end"/>
      </w:r>
      <w:r w:rsidRPr="00030D4D">
        <w:rPr>
          <w:rFonts w:ascii="Arial" w:hAnsi="Arial" w:cs="Arial"/>
        </w:rPr>
        <w:t xml:space="preserve">. </w:t>
      </w:r>
      <w:r w:rsidR="00A42667" w:rsidRPr="00030D4D">
        <w:rPr>
          <w:rFonts w:ascii="Arial" w:hAnsi="Arial" w:cs="Arial"/>
        </w:rPr>
        <w:t xml:space="preserve">Finep. </w:t>
      </w:r>
      <w:r w:rsidR="00DF66DB" w:rsidRPr="00030D4D">
        <w:rPr>
          <w:rFonts w:ascii="Arial" w:hAnsi="Arial" w:cs="Arial"/>
        </w:rPr>
        <w:t>Número</w:t>
      </w:r>
      <w:r w:rsidR="000B75FF" w:rsidRPr="00030D4D">
        <w:rPr>
          <w:rFonts w:ascii="Arial" w:eastAsia="Times New Roman" w:hAnsi="Arial" w:cs="Arial"/>
          <w:bCs/>
          <w:color w:val="000000"/>
          <w:sz w:val="20"/>
          <w:szCs w:val="20"/>
          <w:lang w:eastAsia="pt-BR"/>
        </w:rPr>
        <w:t xml:space="preserve"> de projetos</w:t>
      </w:r>
      <w:r w:rsidR="00A42667" w:rsidRPr="00030D4D">
        <w:rPr>
          <w:rFonts w:ascii="Arial" w:eastAsia="Times New Roman" w:hAnsi="Arial" w:cs="Arial"/>
          <w:bCs/>
          <w:color w:val="000000"/>
          <w:sz w:val="20"/>
          <w:szCs w:val="20"/>
          <w:lang w:eastAsia="pt-BR"/>
        </w:rPr>
        <w:t xml:space="preserve"> apresentados, aprovados e contratados</w:t>
      </w:r>
      <w:r w:rsidRPr="00030D4D">
        <w:rPr>
          <w:rFonts w:ascii="Arial" w:eastAsia="Times New Roman" w:hAnsi="Arial" w:cs="Arial"/>
          <w:bCs/>
          <w:color w:val="000000"/>
          <w:sz w:val="20"/>
          <w:szCs w:val="20"/>
          <w:lang w:eastAsia="pt-BR"/>
        </w:rPr>
        <w:t xml:space="preserve">, entre 2013 </w:t>
      </w:r>
      <w:r w:rsidR="006C18B9" w:rsidRPr="00030D4D">
        <w:rPr>
          <w:rFonts w:ascii="Arial" w:eastAsia="Times New Roman" w:hAnsi="Arial" w:cs="Arial"/>
          <w:bCs/>
          <w:color w:val="000000"/>
          <w:sz w:val="20"/>
          <w:szCs w:val="20"/>
          <w:lang w:eastAsia="pt-BR"/>
        </w:rPr>
        <w:t>e 2016</w:t>
      </w:r>
      <w:bookmarkEnd w:id="62"/>
    </w:p>
    <w:tbl>
      <w:tblPr>
        <w:tblW w:w="8521" w:type="dxa"/>
        <w:tblLayout w:type="fixed"/>
        <w:tblCellMar>
          <w:left w:w="70" w:type="dxa"/>
          <w:right w:w="70" w:type="dxa"/>
        </w:tblCellMar>
        <w:tblLook w:val="04A0" w:firstRow="1" w:lastRow="0" w:firstColumn="1" w:lastColumn="0" w:noHBand="0" w:noVBand="1"/>
      </w:tblPr>
      <w:tblGrid>
        <w:gridCol w:w="607"/>
        <w:gridCol w:w="1940"/>
        <w:gridCol w:w="1291"/>
        <w:gridCol w:w="1119"/>
        <w:gridCol w:w="1163"/>
        <w:gridCol w:w="1246"/>
        <w:gridCol w:w="1155"/>
      </w:tblGrid>
      <w:tr w:rsidR="00804F02" w:rsidRPr="00030D4D" w:rsidTr="00155549">
        <w:trPr>
          <w:trHeight w:val="502"/>
        </w:trPr>
        <w:tc>
          <w:tcPr>
            <w:tcW w:w="60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2013-2014</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Número de Projetos, por tipo de demanda</w:t>
            </w:r>
          </w:p>
        </w:tc>
        <w:tc>
          <w:tcPr>
            <w:tcW w:w="1291" w:type="dxa"/>
            <w:tcBorders>
              <w:top w:val="single" w:sz="4" w:space="0" w:color="auto"/>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Apresentados (1)</w:t>
            </w:r>
          </w:p>
        </w:tc>
        <w:tc>
          <w:tcPr>
            <w:tcW w:w="1119" w:type="dxa"/>
            <w:tcBorders>
              <w:top w:val="single" w:sz="4" w:space="0" w:color="auto"/>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Aprovados (2)</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Contratados</w:t>
            </w:r>
          </w:p>
        </w:tc>
        <w:tc>
          <w:tcPr>
            <w:tcW w:w="1246" w:type="dxa"/>
            <w:tcBorders>
              <w:top w:val="single" w:sz="4" w:space="0" w:color="auto"/>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155" w:type="dxa"/>
            <w:tcBorders>
              <w:top w:val="single" w:sz="4" w:space="0" w:color="auto"/>
              <w:left w:val="nil"/>
              <w:bottom w:val="single" w:sz="4" w:space="0" w:color="auto"/>
              <w:right w:val="single" w:sz="4" w:space="0" w:color="auto"/>
            </w:tcBorders>
            <w:shd w:val="clear" w:color="auto" w:fill="auto"/>
            <w:vAlign w:val="bottom"/>
            <w:hideMark/>
          </w:tcPr>
          <w:p w:rsidR="00155549"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w:t>
            </w:r>
          </w:p>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Aprov.</w:t>
            </w:r>
          </w:p>
        </w:tc>
      </w:tr>
      <w:tr w:rsidR="00804F02" w:rsidRPr="00030D4D" w:rsidTr="00155549">
        <w:trPr>
          <w:trHeight w:val="286"/>
        </w:trPr>
        <w:tc>
          <w:tcPr>
            <w:tcW w:w="607" w:type="dxa"/>
            <w:vMerge/>
            <w:tcBorders>
              <w:top w:val="single" w:sz="4" w:space="0" w:color="auto"/>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Espontânea (3)</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666</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216</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193</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32,4%</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89,4%</w:t>
            </w:r>
          </w:p>
        </w:tc>
      </w:tr>
      <w:tr w:rsidR="00804F02" w:rsidRPr="00030D4D" w:rsidTr="00155549">
        <w:trPr>
          <w:trHeight w:val="286"/>
        </w:trPr>
        <w:tc>
          <w:tcPr>
            <w:tcW w:w="607" w:type="dxa"/>
            <w:vMerge/>
            <w:tcBorders>
              <w:top w:val="single" w:sz="4" w:space="0" w:color="auto"/>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Estruturada</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223</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62</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41</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27,8%</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66,1%</w:t>
            </w:r>
          </w:p>
        </w:tc>
      </w:tr>
      <w:tr w:rsidR="00804F02" w:rsidRPr="00030D4D" w:rsidTr="00155549">
        <w:trPr>
          <w:trHeight w:val="286"/>
        </w:trPr>
        <w:tc>
          <w:tcPr>
            <w:tcW w:w="607" w:type="dxa"/>
            <w:vMerge/>
            <w:tcBorders>
              <w:top w:val="single" w:sz="4" w:space="0" w:color="auto"/>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Descentralizada (4)</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18</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18</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18</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r>
      <w:tr w:rsidR="00804F02" w:rsidRPr="00030D4D" w:rsidTr="00155549">
        <w:trPr>
          <w:trHeight w:val="286"/>
        </w:trPr>
        <w:tc>
          <w:tcPr>
            <w:tcW w:w="607" w:type="dxa"/>
            <w:vMerge/>
            <w:tcBorders>
              <w:top w:val="single" w:sz="4" w:space="0" w:color="auto"/>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Outra (definir)</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w:t>
            </w:r>
          </w:p>
        </w:tc>
      </w:tr>
      <w:tr w:rsidR="00804F02" w:rsidRPr="00030D4D" w:rsidTr="00155549">
        <w:trPr>
          <w:trHeight w:val="286"/>
        </w:trPr>
        <w:tc>
          <w:tcPr>
            <w:tcW w:w="607" w:type="dxa"/>
            <w:vMerge/>
            <w:tcBorders>
              <w:top w:val="single" w:sz="4" w:space="0" w:color="auto"/>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Subtotal 1</w:t>
            </w:r>
          </w:p>
        </w:tc>
        <w:tc>
          <w:tcPr>
            <w:tcW w:w="1291"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907</w:t>
            </w:r>
          </w:p>
        </w:tc>
        <w:tc>
          <w:tcPr>
            <w:tcW w:w="1119"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296</w:t>
            </w:r>
          </w:p>
        </w:tc>
        <w:tc>
          <w:tcPr>
            <w:tcW w:w="1163"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252</w:t>
            </w:r>
          </w:p>
        </w:tc>
        <w:tc>
          <w:tcPr>
            <w:tcW w:w="1246"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32,6%</w:t>
            </w:r>
          </w:p>
        </w:tc>
        <w:tc>
          <w:tcPr>
            <w:tcW w:w="1155"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85,1%</w:t>
            </w:r>
          </w:p>
        </w:tc>
      </w:tr>
      <w:tr w:rsidR="00804F02" w:rsidRPr="00030D4D" w:rsidTr="00155549">
        <w:trPr>
          <w:trHeight w:val="286"/>
        </w:trPr>
        <w:tc>
          <w:tcPr>
            <w:tcW w:w="607"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2015-2016</w:t>
            </w:r>
          </w:p>
        </w:tc>
        <w:tc>
          <w:tcPr>
            <w:tcW w:w="1940" w:type="dxa"/>
            <w:tcBorders>
              <w:top w:val="nil"/>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Espontânea (3)</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249</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73</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55</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29,3%</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75,3%</w:t>
            </w:r>
          </w:p>
        </w:tc>
      </w:tr>
      <w:tr w:rsidR="00804F02" w:rsidRPr="00030D4D" w:rsidTr="00155549">
        <w:trPr>
          <w:trHeight w:val="208"/>
        </w:trPr>
        <w:tc>
          <w:tcPr>
            <w:tcW w:w="607" w:type="dxa"/>
            <w:vMerge/>
            <w:tcBorders>
              <w:top w:val="nil"/>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Estruturada</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24</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29,2%</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71,4%</w:t>
            </w:r>
          </w:p>
        </w:tc>
      </w:tr>
      <w:tr w:rsidR="00804F02" w:rsidRPr="00030D4D" w:rsidTr="00155549">
        <w:trPr>
          <w:trHeight w:val="269"/>
        </w:trPr>
        <w:tc>
          <w:tcPr>
            <w:tcW w:w="607" w:type="dxa"/>
            <w:vMerge/>
            <w:tcBorders>
              <w:top w:val="nil"/>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Descentralizada (4)</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r>
      <w:tr w:rsidR="00804F02" w:rsidRPr="00030D4D" w:rsidTr="00155549">
        <w:trPr>
          <w:trHeight w:val="286"/>
        </w:trPr>
        <w:tc>
          <w:tcPr>
            <w:tcW w:w="607" w:type="dxa"/>
            <w:vMerge/>
            <w:tcBorders>
              <w:top w:val="nil"/>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auto"/>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Outra (definir)</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w:t>
            </w:r>
          </w:p>
        </w:tc>
      </w:tr>
      <w:tr w:rsidR="00804F02" w:rsidRPr="00030D4D" w:rsidTr="00155549">
        <w:trPr>
          <w:trHeight w:val="286"/>
        </w:trPr>
        <w:tc>
          <w:tcPr>
            <w:tcW w:w="607" w:type="dxa"/>
            <w:vMerge/>
            <w:tcBorders>
              <w:top w:val="nil"/>
              <w:left w:val="single" w:sz="4" w:space="0" w:color="auto"/>
              <w:bottom w:val="single" w:sz="4" w:space="0" w:color="auto"/>
              <w:right w:val="single" w:sz="4" w:space="0" w:color="auto"/>
            </w:tcBorders>
            <w:vAlign w:val="center"/>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p>
        </w:tc>
        <w:tc>
          <w:tcPr>
            <w:tcW w:w="1940" w:type="dxa"/>
            <w:tcBorders>
              <w:top w:val="nil"/>
              <w:left w:val="nil"/>
              <w:bottom w:val="single" w:sz="4" w:space="0" w:color="auto"/>
              <w:right w:val="single" w:sz="4" w:space="0" w:color="auto"/>
            </w:tcBorders>
            <w:shd w:val="clear" w:color="auto" w:fill="E7E6E6" w:themeFill="background2"/>
            <w:vAlign w:val="bottom"/>
            <w:hideMark/>
          </w:tcPr>
          <w:p w:rsidR="00096311" w:rsidRPr="00030D4D" w:rsidRDefault="00096311" w:rsidP="00096311">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Subtotal 2</w:t>
            </w:r>
          </w:p>
        </w:tc>
        <w:tc>
          <w:tcPr>
            <w:tcW w:w="1291"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281</w:t>
            </w:r>
          </w:p>
        </w:tc>
        <w:tc>
          <w:tcPr>
            <w:tcW w:w="1119"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88</w:t>
            </w:r>
          </w:p>
        </w:tc>
        <w:tc>
          <w:tcPr>
            <w:tcW w:w="1163"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096311" w:rsidP="00096311">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68</w:t>
            </w:r>
          </w:p>
        </w:tc>
        <w:tc>
          <w:tcPr>
            <w:tcW w:w="1246"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F42590" w:rsidP="00096311">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31,3%</w:t>
            </w:r>
          </w:p>
        </w:tc>
        <w:tc>
          <w:tcPr>
            <w:tcW w:w="1155" w:type="dxa"/>
            <w:tcBorders>
              <w:top w:val="nil"/>
              <w:left w:val="nil"/>
              <w:bottom w:val="single" w:sz="4" w:space="0" w:color="auto"/>
              <w:right w:val="single" w:sz="4" w:space="0" w:color="auto"/>
            </w:tcBorders>
            <w:shd w:val="clear" w:color="auto" w:fill="E7E6E6" w:themeFill="background2"/>
            <w:noWrap/>
            <w:vAlign w:val="bottom"/>
            <w:hideMark/>
          </w:tcPr>
          <w:p w:rsidR="00096311" w:rsidRPr="00030D4D" w:rsidRDefault="00F42590" w:rsidP="00096311">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77,3%</w:t>
            </w:r>
          </w:p>
        </w:tc>
      </w:tr>
      <w:tr w:rsidR="00804F02" w:rsidRPr="00030D4D" w:rsidTr="00155549">
        <w:trPr>
          <w:trHeight w:val="28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096311" w:rsidRPr="00030D4D" w:rsidRDefault="00096311" w:rsidP="00096311">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2013-2016</w:t>
            </w:r>
          </w:p>
        </w:tc>
        <w:tc>
          <w:tcPr>
            <w:tcW w:w="1940"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(1+2)</w:t>
            </w:r>
          </w:p>
        </w:tc>
        <w:tc>
          <w:tcPr>
            <w:tcW w:w="1291"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1.188</w:t>
            </w:r>
          </w:p>
        </w:tc>
        <w:tc>
          <w:tcPr>
            <w:tcW w:w="1119"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384</w:t>
            </w:r>
          </w:p>
        </w:tc>
        <w:tc>
          <w:tcPr>
            <w:tcW w:w="1163"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320</w:t>
            </w:r>
          </w:p>
        </w:tc>
        <w:tc>
          <w:tcPr>
            <w:tcW w:w="1246"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32,3%</w:t>
            </w:r>
          </w:p>
        </w:tc>
        <w:tc>
          <w:tcPr>
            <w:tcW w:w="1155" w:type="dxa"/>
            <w:tcBorders>
              <w:top w:val="nil"/>
              <w:left w:val="nil"/>
              <w:bottom w:val="single" w:sz="4" w:space="0" w:color="auto"/>
              <w:right w:val="single" w:sz="4" w:space="0" w:color="auto"/>
            </w:tcBorders>
            <w:shd w:val="clear" w:color="auto" w:fill="auto"/>
            <w:noWrap/>
            <w:vAlign w:val="bottom"/>
            <w:hideMark/>
          </w:tcPr>
          <w:p w:rsidR="00096311" w:rsidRPr="00030D4D" w:rsidRDefault="00096311" w:rsidP="00096311">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83,3%</w:t>
            </w:r>
          </w:p>
        </w:tc>
      </w:tr>
    </w:tbl>
    <w:p w:rsidR="00B47873" w:rsidRPr="00030D4D" w:rsidRDefault="00B47873" w:rsidP="003E77BC">
      <w:pPr>
        <w:spacing w:before="0" w:after="0" w:line="240" w:lineRule="auto"/>
        <w:rPr>
          <w:rFonts w:ascii="Arial" w:hAnsi="Arial" w:cs="Arial"/>
          <w:sz w:val="20"/>
          <w:szCs w:val="20"/>
        </w:rPr>
      </w:pPr>
      <w:r w:rsidRPr="00030D4D">
        <w:rPr>
          <w:rFonts w:ascii="Arial" w:hAnsi="Arial" w:cs="Arial"/>
          <w:sz w:val="20"/>
          <w:szCs w:val="20"/>
        </w:rPr>
        <w:t>Fonte: Base Departamento de Gestão da Informação (DAGI)/Área de Planejamento (APLA)</w:t>
      </w:r>
    </w:p>
    <w:p w:rsidR="00B47873" w:rsidRPr="00030D4D" w:rsidRDefault="00B47873" w:rsidP="003E77BC">
      <w:pPr>
        <w:spacing w:before="0" w:after="0" w:line="240" w:lineRule="auto"/>
        <w:rPr>
          <w:rFonts w:ascii="Arial" w:hAnsi="Arial" w:cs="Arial"/>
          <w:sz w:val="20"/>
          <w:szCs w:val="20"/>
        </w:rPr>
      </w:pPr>
      <w:r w:rsidRPr="00030D4D">
        <w:rPr>
          <w:rFonts w:ascii="Arial" w:hAnsi="Arial" w:cs="Arial"/>
          <w:sz w:val="20"/>
          <w:szCs w:val="20"/>
        </w:rPr>
        <w:t>Notas:</w:t>
      </w:r>
    </w:p>
    <w:p w:rsidR="00B47873" w:rsidRPr="00030D4D" w:rsidRDefault="00B47873" w:rsidP="00155549">
      <w:pPr>
        <w:pStyle w:val="ListParagraph"/>
        <w:numPr>
          <w:ilvl w:val="0"/>
          <w:numId w:val="40"/>
        </w:numPr>
        <w:spacing w:before="0" w:after="0" w:line="240" w:lineRule="auto"/>
        <w:contextualSpacing w:val="0"/>
        <w:rPr>
          <w:rFonts w:ascii="Arial" w:hAnsi="Arial" w:cs="Arial"/>
          <w:sz w:val="20"/>
          <w:szCs w:val="20"/>
        </w:rPr>
      </w:pPr>
      <w:r w:rsidRPr="00030D4D">
        <w:rPr>
          <w:rFonts w:ascii="Arial" w:hAnsi="Arial" w:cs="Arial"/>
          <w:sz w:val="20"/>
          <w:szCs w:val="20"/>
        </w:rPr>
        <w:t>Para levantamento dos dados, foram considerados apenas os projetos apresentados nos anos selecionados.</w:t>
      </w:r>
    </w:p>
    <w:p w:rsidR="00B47873" w:rsidRPr="00030D4D" w:rsidRDefault="00B47873" w:rsidP="00155549">
      <w:pPr>
        <w:pStyle w:val="ListParagraph"/>
        <w:numPr>
          <w:ilvl w:val="0"/>
          <w:numId w:val="40"/>
        </w:numPr>
        <w:spacing w:before="0" w:after="0" w:line="240" w:lineRule="auto"/>
        <w:contextualSpacing w:val="0"/>
        <w:rPr>
          <w:rFonts w:ascii="Arial" w:hAnsi="Arial" w:cs="Arial"/>
          <w:sz w:val="20"/>
          <w:szCs w:val="20"/>
        </w:rPr>
      </w:pPr>
      <w:r w:rsidRPr="00030D4D">
        <w:rPr>
          <w:rFonts w:ascii="Arial" w:hAnsi="Arial" w:cs="Arial"/>
          <w:sz w:val="20"/>
          <w:szCs w:val="20"/>
        </w:rPr>
        <w:t>Aprovados na primeira etapa onde é avaliado o mérito do projeto (inovação).</w:t>
      </w:r>
    </w:p>
    <w:p w:rsidR="00B47873" w:rsidRPr="00030D4D" w:rsidRDefault="00B47873" w:rsidP="00155549">
      <w:pPr>
        <w:pStyle w:val="ListParagraph"/>
        <w:numPr>
          <w:ilvl w:val="0"/>
          <w:numId w:val="40"/>
        </w:numPr>
        <w:spacing w:before="0" w:after="0" w:line="240" w:lineRule="auto"/>
        <w:contextualSpacing w:val="0"/>
        <w:rPr>
          <w:rFonts w:ascii="Arial" w:hAnsi="Arial" w:cs="Arial"/>
          <w:sz w:val="20"/>
          <w:szCs w:val="20"/>
        </w:rPr>
      </w:pPr>
      <w:r w:rsidRPr="00030D4D">
        <w:rPr>
          <w:rFonts w:ascii="Arial" w:hAnsi="Arial" w:cs="Arial"/>
          <w:sz w:val="20"/>
          <w:szCs w:val="20"/>
        </w:rPr>
        <w:t>A relação entre contratados e aprovados reflete, principalmente, a situação financeira das empresas.</w:t>
      </w:r>
    </w:p>
    <w:p w:rsidR="002E56F7" w:rsidRPr="00030D4D" w:rsidRDefault="00B47873" w:rsidP="00155549">
      <w:pPr>
        <w:pStyle w:val="ListParagraph"/>
        <w:numPr>
          <w:ilvl w:val="0"/>
          <w:numId w:val="40"/>
        </w:numPr>
        <w:spacing w:before="0" w:after="0" w:line="240" w:lineRule="auto"/>
        <w:contextualSpacing w:val="0"/>
        <w:rPr>
          <w:rFonts w:ascii="Arial" w:hAnsi="Arial" w:cs="Arial"/>
          <w:sz w:val="20"/>
          <w:szCs w:val="20"/>
        </w:rPr>
      </w:pPr>
      <w:r w:rsidRPr="00030D4D">
        <w:rPr>
          <w:rFonts w:ascii="Arial" w:hAnsi="Arial" w:cs="Arial"/>
          <w:sz w:val="20"/>
          <w:szCs w:val="20"/>
        </w:rPr>
        <w:t>No caso das operações descentralizadas, são computados os agentes financeiros contratados pa</w:t>
      </w:r>
      <w:r w:rsidR="003E77BC" w:rsidRPr="00030D4D">
        <w:rPr>
          <w:rFonts w:ascii="Arial" w:hAnsi="Arial" w:cs="Arial"/>
          <w:sz w:val="20"/>
          <w:szCs w:val="20"/>
        </w:rPr>
        <w:t>ra atuar no âmbito do Inovacred</w:t>
      </w:r>
    </w:p>
    <w:p w:rsidR="0037659A" w:rsidRPr="00030D4D" w:rsidRDefault="0037659A" w:rsidP="00155549">
      <w:pPr>
        <w:spacing w:before="0" w:after="0" w:line="240" w:lineRule="auto"/>
        <w:rPr>
          <w:rFonts w:ascii="Arial" w:hAnsi="Arial" w:cs="Arial"/>
        </w:rPr>
      </w:pPr>
    </w:p>
    <w:p w:rsidR="004D1E98" w:rsidRPr="00030D4D" w:rsidRDefault="004D1E98" w:rsidP="002B0FB1">
      <w:pPr>
        <w:rPr>
          <w:rFonts w:ascii="Arial" w:hAnsi="Arial" w:cs="Arial"/>
        </w:rPr>
      </w:pPr>
      <w:r w:rsidRPr="00030D4D">
        <w:rPr>
          <w:rFonts w:ascii="Arial" w:hAnsi="Arial" w:cs="Arial"/>
        </w:rPr>
        <w:t>Os 1.188 projetos</w:t>
      </w:r>
      <w:r w:rsidR="00D75765" w:rsidRPr="00030D4D">
        <w:rPr>
          <w:rFonts w:ascii="Arial" w:hAnsi="Arial" w:cs="Arial"/>
        </w:rPr>
        <w:t xml:space="preserve"> apresentados</w:t>
      </w:r>
      <w:r w:rsidR="00DE63A4" w:rsidRPr="00030D4D">
        <w:rPr>
          <w:rFonts w:ascii="Arial" w:hAnsi="Arial" w:cs="Arial"/>
        </w:rPr>
        <w:t xml:space="preserve"> entre 2013-2016</w:t>
      </w:r>
      <w:r w:rsidR="00D75765" w:rsidRPr="00030D4D">
        <w:rPr>
          <w:rFonts w:ascii="Arial" w:hAnsi="Arial" w:cs="Arial"/>
        </w:rPr>
        <w:t xml:space="preserve"> representaram uma demanda financeira de R$52,7 bilhões</w:t>
      </w:r>
      <w:r w:rsidR="00870355" w:rsidRPr="00030D4D">
        <w:rPr>
          <w:rFonts w:ascii="Arial" w:hAnsi="Arial" w:cs="Arial"/>
        </w:rPr>
        <w:t>, desconsiderando-se a contrapartida</w:t>
      </w:r>
      <w:r w:rsidR="00DE63A4" w:rsidRPr="00030D4D">
        <w:rPr>
          <w:rFonts w:ascii="Arial" w:hAnsi="Arial" w:cs="Arial"/>
        </w:rPr>
        <w:t xml:space="preserve"> financeira das empresas</w:t>
      </w:r>
      <w:r w:rsidR="00D75765" w:rsidRPr="00030D4D">
        <w:rPr>
          <w:rFonts w:ascii="Arial" w:hAnsi="Arial" w:cs="Arial"/>
        </w:rPr>
        <w:t xml:space="preserve">. Deste total, foi aprovado um valor de R$16,4 bilhões (31%) e contratados R$14,7 bilhões </w:t>
      </w:r>
      <w:r w:rsidR="008B7865" w:rsidRPr="00030D4D">
        <w:rPr>
          <w:rFonts w:ascii="Arial" w:hAnsi="Arial" w:cs="Arial"/>
        </w:rPr>
        <w:t>(quase 90% do total aprovado)</w:t>
      </w:r>
      <w:r w:rsidR="00E70A4A" w:rsidRPr="00030D4D">
        <w:rPr>
          <w:rFonts w:ascii="Arial" w:hAnsi="Arial" w:cs="Arial"/>
        </w:rPr>
        <w:t xml:space="preserve"> (Tabela 9).</w:t>
      </w:r>
    </w:p>
    <w:p w:rsidR="00B414F2" w:rsidRPr="00030D4D" w:rsidRDefault="00F22A7D" w:rsidP="00E70A4A">
      <w:pPr>
        <w:rPr>
          <w:rFonts w:ascii="Arial" w:hAnsi="Arial" w:cs="Arial"/>
        </w:rPr>
      </w:pPr>
      <w:r w:rsidRPr="00030D4D">
        <w:rPr>
          <w:rFonts w:ascii="Arial" w:hAnsi="Arial" w:cs="Arial"/>
        </w:rPr>
        <w:t xml:space="preserve">Os 907 projetos </w:t>
      </w:r>
      <w:r w:rsidR="0037659A" w:rsidRPr="00030D4D">
        <w:rPr>
          <w:rFonts w:ascii="Arial" w:hAnsi="Arial" w:cs="Arial"/>
        </w:rPr>
        <w:t xml:space="preserve">apresentados </w:t>
      </w:r>
      <w:r w:rsidR="003E1FBD" w:rsidRPr="00030D4D">
        <w:rPr>
          <w:rFonts w:ascii="Arial" w:hAnsi="Arial" w:cs="Arial"/>
        </w:rPr>
        <w:t xml:space="preserve">no âmbito do Inova Empresa (2013-2014) </w:t>
      </w:r>
      <w:r w:rsidRPr="00030D4D">
        <w:rPr>
          <w:rFonts w:ascii="Arial" w:hAnsi="Arial" w:cs="Arial"/>
        </w:rPr>
        <w:t>representaram uma demanda financeira de R$ 43,7 bilhões</w:t>
      </w:r>
      <w:r w:rsidR="005C3A75" w:rsidRPr="00030D4D">
        <w:rPr>
          <w:rFonts w:ascii="Arial" w:hAnsi="Arial" w:cs="Arial"/>
        </w:rPr>
        <w:t>, sendo R$</w:t>
      </w:r>
      <w:r w:rsidR="00C53869" w:rsidRPr="00030D4D">
        <w:rPr>
          <w:rFonts w:ascii="Arial" w:hAnsi="Arial" w:cs="Arial"/>
        </w:rPr>
        <w:t>33,6</w:t>
      </w:r>
      <w:r w:rsidR="005C3A75" w:rsidRPr="00030D4D">
        <w:rPr>
          <w:rFonts w:ascii="Arial" w:hAnsi="Arial" w:cs="Arial"/>
        </w:rPr>
        <w:t xml:space="preserve"> bilhões referentes à demanda espontânea, R$ </w:t>
      </w:r>
      <w:r w:rsidR="00C53869" w:rsidRPr="00030D4D">
        <w:rPr>
          <w:rFonts w:ascii="Arial" w:hAnsi="Arial" w:cs="Arial"/>
        </w:rPr>
        <w:t>9,3</w:t>
      </w:r>
      <w:r w:rsidR="005C3A75" w:rsidRPr="00030D4D">
        <w:rPr>
          <w:rFonts w:ascii="Arial" w:hAnsi="Arial" w:cs="Arial"/>
        </w:rPr>
        <w:t xml:space="preserve"> bilhões à demanda estruturada e R$813</w:t>
      </w:r>
      <w:r w:rsidR="00C53869" w:rsidRPr="00030D4D">
        <w:rPr>
          <w:rFonts w:ascii="Arial" w:hAnsi="Arial" w:cs="Arial"/>
        </w:rPr>
        <w:t>,3</w:t>
      </w:r>
      <w:r w:rsidR="005C3A75" w:rsidRPr="00030D4D">
        <w:rPr>
          <w:rFonts w:ascii="Arial" w:hAnsi="Arial" w:cs="Arial"/>
        </w:rPr>
        <w:t xml:space="preserve"> milhões à demanda descentralizada</w:t>
      </w:r>
      <w:r w:rsidRPr="00030D4D">
        <w:rPr>
          <w:rFonts w:ascii="Arial" w:hAnsi="Arial" w:cs="Arial"/>
        </w:rPr>
        <w:t xml:space="preserve">. </w:t>
      </w:r>
      <w:r w:rsidR="00365F83" w:rsidRPr="00030D4D">
        <w:rPr>
          <w:rFonts w:ascii="Arial" w:hAnsi="Arial" w:cs="Arial"/>
        </w:rPr>
        <w:t>Do</w:t>
      </w:r>
      <w:r w:rsidR="00C277A0" w:rsidRPr="00030D4D">
        <w:rPr>
          <w:rFonts w:ascii="Arial" w:hAnsi="Arial" w:cs="Arial"/>
        </w:rPr>
        <w:t xml:space="preserve"> total </w:t>
      </w:r>
      <w:r w:rsidR="00365F83" w:rsidRPr="00030D4D">
        <w:rPr>
          <w:rFonts w:ascii="Arial" w:hAnsi="Arial" w:cs="Arial"/>
        </w:rPr>
        <w:t xml:space="preserve">da demanda financeira apresentada, </w:t>
      </w:r>
      <w:r w:rsidR="00C277A0" w:rsidRPr="00030D4D">
        <w:rPr>
          <w:rFonts w:ascii="Arial" w:hAnsi="Arial" w:cs="Arial"/>
        </w:rPr>
        <w:t>13,4 bilhões foram aprovados</w:t>
      </w:r>
      <w:r w:rsidR="006B5F70" w:rsidRPr="00030D4D">
        <w:rPr>
          <w:rFonts w:ascii="Arial" w:hAnsi="Arial" w:cs="Arial"/>
        </w:rPr>
        <w:t xml:space="preserve"> (30,6%)</w:t>
      </w:r>
      <w:r w:rsidR="00C277A0" w:rsidRPr="00030D4D">
        <w:rPr>
          <w:rFonts w:ascii="Arial" w:hAnsi="Arial" w:cs="Arial"/>
        </w:rPr>
        <w:t>, sendo R$10,3 bilhões no âmbito da demanda espontânea, R$2,3 no âmbito da demanda estruturada e R$813,3 milhões via agentes descentralizados.</w:t>
      </w:r>
      <w:r w:rsidR="00C62713" w:rsidRPr="00030D4D">
        <w:rPr>
          <w:rFonts w:ascii="Arial" w:hAnsi="Arial" w:cs="Arial"/>
        </w:rPr>
        <w:t xml:space="preserve"> </w:t>
      </w:r>
      <w:r w:rsidR="00C53869" w:rsidRPr="00030D4D">
        <w:rPr>
          <w:rFonts w:ascii="Arial" w:hAnsi="Arial" w:cs="Arial"/>
        </w:rPr>
        <w:t>Em termos da participação, c</w:t>
      </w:r>
      <w:r w:rsidR="00C62713" w:rsidRPr="00030D4D">
        <w:rPr>
          <w:rFonts w:ascii="Arial" w:hAnsi="Arial" w:cs="Arial"/>
        </w:rPr>
        <w:t>erca de</w:t>
      </w:r>
      <w:r w:rsidR="002A5464" w:rsidRPr="00030D4D">
        <w:rPr>
          <w:rFonts w:ascii="Arial" w:hAnsi="Arial" w:cs="Arial"/>
        </w:rPr>
        <w:t xml:space="preserve"> </w:t>
      </w:r>
      <w:r w:rsidR="00E70A4A" w:rsidRPr="00030D4D">
        <w:rPr>
          <w:rFonts w:ascii="Arial" w:hAnsi="Arial" w:cs="Arial"/>
        </w:rPr>
        <w:t>30,6</w:t>
      </w:r>
      <w:r w:rsidR="002A5464" w:rsidRPr="00030D4D">
        <w:rPr>
          <w:rFonts w:ascii="Arial" w:hAnsi="Arial" w:cs="Arial"/>
        </w:rPr>
        <w:t xml:space="preserve">% do valor apresentado </w:t>
      </w:r>
      <w:r w:rsidR="00E70A4A" w:rsidRPr="00030D4D">
        <w:rPr>
          <w:rFonts w:ascii="Arial" w:hAnsi="Arial" w:cs="Arial"/>
        </w:rPr>
        <w:t>neste biênio foram</w:t>
      </w:r>
      <w:r w:rsidR="002A5464" w:rsidRPr="00030D4D">
        <w:rPr>
          <w:rFonts w:ascii="Arial" w:hAnsi="Arial" w:cs="Arial"/>
        </w:rPr>
        <w:t xml:space="preserve"> aprovado</w:t>
      </w:r>
      <w:r w:rsidR="00E70A4A" w:rsidRPr="00030D4D">
        <w:rPr>
          <w:rFonts w:ascii="Arial" w:hAnsi="Arial" w:cs="Arial"/>
        </w:rPr>
        <w:t>s e, dos aprovados, 91,3% foram contratados.</w:t>
      </w:r>
    </w:p>
    <w:p w:rsidR="00A01D3F" w:rsidRPr="00030D4D" w:rsidRDefault="00B414F2" w:rsidP="00E70A4A">
      <w:pPr>
        <w:rPr>
          <w:rFonts w:ascii="Arial" w:hAnsi="Arial" w:cs="Arial"/>
        </w:rPr>
      </w:pPr>
      <w:r w:rsidRPr="00030D4D">
        <w:rPr>
          <w:rFonts w:ascii="Arial" w:hAnsi="Arial" w:cs="Arial"/>
        </w:rPr>
        <w:t>No biênio 2015 e 2016, conforme mencionado, os reflexos da crise econômica foram sentidos</w:t>
      </w:r>
      <w:r w:rsidR="001A689D" w:rsidRPr="00030D4D">
        <w:rPr>
          <w:rFonts w:ascii="Arial" w:hAnsi="Arial" w:cs="Arial"/>
        </w:rPr>
        <w:t xml:space="preserve"> e apenas R$9,02 bilhões em projetos foram apresentados. Deste total, foram aprovados R$2,9bilhõ</w:t>
      </w:r>
      <w:r w:rsidR="00A01D3F" w:rsidRPr="00030D4D">
        <w:rPr>
          <w:rFonts w:ascii="Arial" w:hAnsi="Arial" w:cs="Arial"/>
        </w:rPr>
        <w:t>es (33% do valor apresentado) e</w:t>
      </w:r>
      <w:r w:rsidR="001A689D" w:rsidRPr="00030D4D">
        <w:rPr>
          <w:rFonts w:ascii="Arial" w:hAnsi="Arial" w:cs="Arial"/>
        </w:rPr>
        <w:t xml:space="preserve"> a contratação foi de R$ 2,4 bilhões  (cerca de 83% do valor aprovado)</w:t>
      </w:r>
      <w:r w:rsidR="00D75591" w:rsidRPr="00030D4D">
        <w:rPr>
          <w:rFonts w:ascii="Arial" w:hAnsi="Arial" w:cs="Arial"/>
        </w:rPr>
        <w:t>. Na prática, o percentual aprovado em relação ao apresentado foi superior ao biênio anterior (3</w:t>
      </w:r>
      <w:r w:rsidR="00A01D3F" w:rsidRPr="00030D4D">
        <w:rPr>
          <w:rFonts w:ascii="Arial" w:hAnsi="Arial" w:cs="Arial"/>
        </w:rPr>
        <w:t xml:space="preserve">3% ante 30,6%). Mas o </w:t>
      </w:r>
      <w:r w:rsidR="00D75591" w:rsidRPr="00030D4D">
        <w:rPr>
          <w:rFonts w:ascii="Arial" w:hAnsi="Arial" w:cs="Arial"/>
        </w:rPr>
        <w:t>percentual contratado foi inferior (83,3% ante 91,3 no biênio anterior)</w:t>
      </w:r>
      <w:r w:rsidR="00A17271" w:rsidRPr="00030D4D">
        <w:rPr>
          <w:rFonts w:ascii="Arial" w:hAnsi="Arial" w:cs="Arial"/>
        </w:rPr>
        <w:t>.</w:t>
      </w:r>
    </w:p>
    <w:p w:rsidR="00A01D3F" w:rsidRPr="00030D4D" w:rsidRDefault="00A01D3F" w:rsidP="00E70A4A">
      <w:pPr>
        <w:rPr>
          <w:rFonts w:ascii="Arial" w:hAnsi="Arial" w:cs="Arial"/>
        </w:rPr>
        <w:sectPr w:rsidR="00A01D3F" w:rsidRPr="00030D4D" w:rsidSect="00EA0E4A">
          <w:pgSz w:w="11906" w:h="16838"/>
          <w:pgMar w:top="1417" w:right="1701" w:bottom="1417" w:left="1701" w:header="708" w:footer="708" w:gutter="0"/>
          <w:cols w:space="708"/>
          <w:docGrid w:linePitch="360"/>
        </w:sectPr>
      </w:pPr>
    </w:p>
    <w:p w:rsidR="00285073" w:rsidRPr="00030D4D" w:rsidRDefault="00285073" w:rsidP="0037659A">
      <w:pPr>
        <w:spacing w:line="240" w:lineRule="auto"/>
        <w:rPr>
          <w:rFonts w:ascii="Arial" w:hAnsi="Arial" w:cs="Arial"/>
        </w:rPr>
      </w:pPr>
    </w:p>
    <w:p w:rsidR="00DD6B4A" w:rsidRPr="00030D4D" w:rsidRDefault="00D92F99" w:rsidP="00DD6B4A">
      <w:pPr>
        <w:pStyle w:val="Caption"/>
        <w:rPr>
          <w:rFonts w:ascii="Arial" w:hAnsi="Arial" w:cs="Arial"/>
        </w:rPr>
      </w:pPr>
      <w:bookmarkStart w:id="63" w:name="_Toc482828501"/>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9</w:t>
      </w:r>
      <w:r w:rsidR="005271BC" w:rsidRPr="00030D4D">
        <w:rPr>
          <w:rFonts w:ascii="Arial" w:hAnsi="Arial" w:cs="Arial"/>
          <w:noProof/>
        </w:rPr>
        <w:fldChar w:fldCharType="end"/>
      </w:r>
      <w:r w:rsidRPr="00030D4D">
        <w:rPr>
          <w:rFonts w:ascii="Arial" w:hAnsi="Arial" w:cs="Arial"/>
        </w:rPr>
        <w:t xml:space="preserve">. </w:t>
      </w:r>
      <w:r w:rsidR="000813E3" w:rsidRPr="00030D4D">
        <w:rPr>
          <w:rFonts w:ascii="Arial" w:hAnsi="Arial" w:cs="Arial"/>
        </w:rPr>
        <w:t xml:space="preserve">Finep. </w:t>
      </w:r>
      <w:r w:rsidRPr="00030D4D">
        <w:rPr>
          <w:rFonts w:ascii="Arial" w:hAnsi="Arial" w:cs="Arial"/>
        </w:rPr>
        <w:t xml:space="preserve">Instrumento </w:t>
      </w:r>
      <w:r w:rsidR="009E7CFC" w:rsidRPr="00030D4D">
        <w:rPr>
          <w:rFonts w:ascii="Arial" w:hAnsi="Arial" w:cs="Arial"/>
        </w:rPr>
        <w:t>de Crédito, valor de projetos apresentado, aprovado e contratado</w:t>
      </w:r>
      <w:r w:rsidRPr="00030D4D">
        <w:rPr>
          <w:rFonts w:ascii="Arial" w:hAnsi="Arial" w:cs="Arial"/>
        </w:rPr>
        <w:t>, entre 2013 e 201</w:t>
      </w:r>
      <w:r w:rsidR="008A542D" w:rsidRPr="00030D4D">
        <w:rPr>
          <w:rFonts w:ascii="Arial" w:hAnsi="Arial" w:cs="Arial"/>
        </w:rPr>
        <w:t>6</w:t>
      </w:r>
      <w:bookmarkEnd w:id="63"/>
    </w:p>
    <w:tbl>
      <w:tblPr>
        <w:tblW w:w="12916" w:type="dxa"/>
        <w:tblCellMar>
          <w:left w:w="70" w:type="dxa"/>
          <w:right w:w="70" w:type="dxa"/>
        </w:tblCellMar>
        <w:tblLook w:val="04A0" w:firstRow="1" w:lastRow="0" w:firstColumn="1" w:lastColumn="0" w:noHBand="0" w:noVBand="1"/>
      </w:tblPr>
      <w:tblGrid>
        <w:gridCol w:w="1220"/>
        <w:gridCol w:w="3221"/>
        <w:gridCol w:w="1543"/>
        <w:gridCol w:w="1543"/>
        <w:gridCol w:w="1543"/>
        <w:gridCol w:w="1431"/>
        <w:gridCol w:w="1003"/>
        <w:gridCol w:w="1418"/>
      </w:tblGrid>
      <w:tr w:rsidR="00582033" w:rsidRPr="00030D4D" w:rsidTr="00AB4D1F">
        <w:trPr>
          <w:trHeight w:val="1255"/>
        </w:trPr>
        <w:tc>
          <w:tcPr>
            <w:tcW w:w="1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2013-2014</w:t>
            </w:r>
          </w:p>
        </w:tc>
        <w:tc>
          <w:tcPr>
            <w:tcW w:w="3221"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AB4D1F">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Valor d</w:t>
            </w:r>
            <w:r w:rsidR="00AB4D1F" w:rsidRPr="00030D4D">
              <w:rPr>
                <w:rFonts w:ascii="Arial" w:eastAsia="Times New Roman" w:hAnsi="Arial" w:cs="Arial"/>
                <w:b/>
                <w:bCs/>
                <w:color w:val="000000"/>
                <w:sz w:val="20"/>
                <w:szCs w:val="20"/>
                <w:lang w:eastAsia="pt-BR"/>
              </w:rPr>
              <w:t xml:space="preserve">os Projetos, </w:t>
            </w:r>
            <w:r w:rsidRPr="00030D4D">
              <w:rPr>
                <w:rFonts w:ascii="Arial" w:eastAsia="Times New Roman" w:hAnsi="Arial" w:cs="Arial"/>
                <w:b/>
                <w:bCs/>
                <w:color w:val="000000"/>
                <w:sz w:val="20"/>
                <w:szCs w:val="20"/>
                <w:lang w:eastAsia="pt-BR"/>
              </w:rPr>
              <w:t>por tipo de demanda</w:t>
            </w:r>
          </w:p>
        </w:tc>
        <w:tc>
          <w:tcPr>
            <w:tcW w:w="1543"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Valor apresentado</w:t>
            </w:r>
          </w:p>
        </w:tc>
        <w:tc>
          <w:tcPr>
            <w:tcW w:w="1543"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Valor aprovado </w:t>
            </w:r>
            <w:r w:rsidRPr="00030D4D">
              <w:rPr>
                <w:rFonts w:ascii="Arial" w:eastAsia="Times New Roman" w:hAnsi="Arial" w:cs="Arial"/>
                <w:b/>
                <w:bCs/>
                <w:color w:val="FF0000"/>
                <w:sz w:val="20"/>
                <w:szCs w:val="20"/>
                <w:lang w:eastAsia="pt-BR"/>
              </w:rPr>
              <w:t>(sem contrapartida)</w:t>
            </w:r>
          </w:p>
        </w:tc>
        <w:tc>
          <w:tcPr>
            <w:tcW w:w="1543"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Valor contratado / financiado Finep </w:t>
            </w:r>
            <w:r w:rsidRPr="00030D4D">
              <w:rPr>
                <w:rFonts w:ascii="Arial" w:eastAsia="Times New Roman" w:hAnsi="Arial" w:cs="Arial"/>
                <w:b/>
                <w:bCs/>
                <w:color w:val="FF0000"/>
                <w:sz w:val="20"/>
                <w:szCs w:val="20"/>
                <w:lang w:eastAsia="pt-BR"/>
              </w:rPr>
              <w:t>(sem contrapartida)</w:t>
            </w:r>
          </w:p>
        </w:tc>
        <w:tc>
          <w:tcPr>
            <w:tcW w:w="1431"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Valor da contrapartida das empresas</w:t>
            </w:r>
          </w:p>
        </w:tc>
        <w:tc>
          <w:tcPr>
            <w:tcW w:w="1003"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r>
      <w:tr w:rsidR="00B96997" w:rsidRPr="00030D4D" w:rsidTr="00582033">
        <w:trPr>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Espontânea</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33.651.900.037</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10.275.324.559</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9.576.408.614</w:t>
            </w:r>
          </w:p>
        </w:tc>
        <w:tc>
          <w:tcPr>
            <w:tcW w:w="143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2.354.945.634</w:t>
            </w:r>
          </w:p>
        </w:tc>
        <w:tc>
          <w:tcPr>
            <w:tcW w:w="100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30,5%</w:t>
            </w:r>
          </w:p>
        </w:tc>
        <w:tc>
          <w:tcPr>
            <w:tcW w:w="1412"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93,2%</w:t>
            </w:r>
          </w:p>
        </w:tc>
      </w:tr>
      <w:tr w:rsidR="00B96997" w:rsidRPr="00030D4D" w:rsidTr="00582033">
        <w:trPr>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Estruturada (via editais / chamadas)</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9.266.319.998</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2.312.196.506</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1.847.001.313</w:t>
            </w:r>
          </w:p>
        </w:tc>
        <w:tc>
          <w:tcPr>
            <w:tcW w:w="143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272.611.188</w:t>
            </w:r>
          </w:p>
        </w:tc>
        <w:tc>
          <w:tcPr>
            <w:tcW w:w="100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25,0%</w:t>
            </w:r>
          </w:p>
        </w:tc>
        <w:tc>
          <w:tcPr>
            <w:tcW w:w="1412"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79,9%</w:t>
            </w:r>
          </w:p>
        </w:tc>
      </w:tr>
      <w:tr w:rsidR="00B96997" w:rsidRPr="00030D4D" w:rsidTr="00582033">
        <w:trPr>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Descentralizada (parceiros)</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813.350.000</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813.350.000</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813.350.000</w:t>
            </w:r>
          </w:p>
        </w:tc>
        <w:tc>
          <w:tcPr>
            <w:tcW w:w="143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0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412"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r>
      <w:tr w:rsidR="00B96997" w:rsidRPr="00030D4D" w:rsidTr="00F57293">
        <w:trPr>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Subtotal 1</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43.731.570.036</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13.400.871.065</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12.236.759.926</w:t>
            </w:r>
          </w:p>
        </w:tc>
        <w:tc>
          <w:tcPr>
            <w:tcW w:w="1431"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2.627.556.822</w:t>
            </w:r>
          </w:p>
        </w:tc>
        <w:tc>
          <w:tcPr>
            <w:tcW w:w="100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30,6%</w:t>
            </w:r>
          </w:p>
        </w:tc>
        <w:tc>
          <w:tcPr>
            <w:tcW w:w="1412"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91,3%</w:t>
            </w:r>
          </w:p>
        </w:tc>
      </w:tr>
      <w:tr w:rsidR="00B96997" w:rsidRPr="00030D4D" w:rsidTr="00582033">
        <w:trPr>
          <w:trHeight w:val="300"/>
        </w:trPr>
        <w:tc>
          <w:tcPr>
            <w:tcW w:w="122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2015-2016</w:t>
            </w:r>
          </w:p>
        </w:tc>
        <w:tc>
          <w:tcPr>
            <w:tcW w:w="322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Espontânea</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7.685.094.429</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2.238.092.562</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1.759.918.733</w:t>
            </w:r>
          </w:p>
        </w:tc>
        <w:tc>
          <w:tcPr>
            <w:tcW w:w="143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739.096.784</w:t>
            </w:r>
          </w:p>
        </w:tc>
        <w:tc>
          <w:tcPr>
            <w:tcW w:w="100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29,1%</w:t>
            </w:r>
          </w:p>
        </w:tc>
        <w:tc>
          <w:tcPr>
            <w:tcW w:w="1412"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78,6%</w:t>
            </w:r>
          </w:p>
        </w:tc>
      </w:tr>
      <w:tr w:rsidR="00B96997" w:rsidRPr="00030D4D" w:rsidTr="00582033">
        <w:trPr>
          <w:trHeight w:val="300"/>
        </w:trPr>
        <w:tc>
          <w:tcPr>
            <w:tcW w:w="1220" w:type="dxa"/>
            <w:vMerge/>
            <w:tcBorders>
              <w:top w:val="nil"/>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Estruturada (via editais / chamadas)</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925.855.561</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323.290.637</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303.992.147</w:t>
            </w:r>
          </w:p>
        </w:tc>
        <w:tc>
          <w:tcPr>
            <w:tcW w:w="143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53.471.386</w:t>
            </w:r>
          </w:p>
        </w:tc>
        <w:tc>
          <w:tcPr>
            <w:tcW w:w="100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34,9%</w:t>
            </w:r>
          </w:p>
        </w:tc>
        <w:tc>
          <w:tcPr>
            <w:tcW w:w="1412"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94,0%</w:t>
            </w:r>
          </w:p>
        </w:tc>
      </w:tr>
      <w:tr w:rsidR="00B96997" w:rsidRPr="00030D4D" w:rsidTr="00582033">
        <w:trPr>
          <w:trHeight w:val="300"/>
        </w:trPr>
        <w:tc>
          <w:tcPr>
            <w:tcW w:w="1220" w:type="dxa"/>
            <w:vMerge/>
            <w:tcBorders>
              <w:top w:val="nil"/>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Descentralizada (parceiros)</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413.000.000</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413.000.000</w:t>
            </w:r>
          </w:p>
        </w:tc>
        <w:tc>
          <w:tcPr>
            <w:tcW w:w="154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413.000.000</w:t>
            </w:r>
          </w:p>
        </w:tc>
        <w:tc>
          <w:tcPr>
            <w:tcW w:w="1431"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03"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412" w:type="dxa"/>
            <w:tcBorders>
              <w:top w:val="nil"/>
              <w:left w:val="nil"/>
              <w:bottom w:val="single" w:sz="4" w:space="0" w:color="auto"/>
              <w:right w:val="single" w:sz="4" w:space="0" w:color="auto"/>
            </w:tcBorders>
            <w:shd w:val="clear" w:color="auto" w:fill="auto"/>
            <w:noWrap/>
            <w:vAlign w:val="bottom"/>
            <w:hideMark/>
          </w:tcPr>
          <w:p w:rsidR="00B96997" w:rsidRPr="00030D4D" w:rsidRDefault="00B96997" w:rsidP="00B96997">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r>
      <w:tr w:rsidR="00B96997" w:rsidRPr="00030D4D" w:rsidTr="00F57293">
        <w:trPr>
          <w:trHeight w:val="300"/>
        </w:trPr>
        <w:tc>
          <w:tcPr>
            <w:tcW w:w="1220" w:type="dxa"/>
            <w:vMerge/>
            <w:tcBorders>
              <w:top w:val="nil"/>
              <w:left w:val="single" w:sz="4" w:space="0" w:color="auto"/>
              <w:bottom w:val="single" w:sz="4" w:space="0" w:color="auto"/>
              <w:right w:val="single" w:sz="4" w:space="0" w:color="auto"/>
            </w:tcBorders>
            <w:vAlign w:val="center"/>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p>
        </w:tc>
        <w:tc>
          <w:tcPr>
            <w:tcW w:w="3221"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Subtotal 2</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9.023.949.990</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2.974.383.199</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2.476.910.881</w:t>
            </w:r>
          </w:p>
        </w:tc>
        <w:tc>
          <w:tcPr>
            <w:tcW w:w="1431"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792.568.169</w:t>
            </w:r>
          </w:p>
        </w:tc>
        <w:tc>
          <w:tcPr>
            <w:tcW w:w="100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33,0%</w:t>
            </w:r>
          </w:p>
        </w:tc>
        <w:tc>
          <w:tcPr>
            <w:tcW w:w="1412"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83,3%</w:t>
            </w:r>
          </w:p>
        </w:tc>
      </w:tr>
      <w:tr w:rsidR="00B96997" w:rsidRPr="00030D4D" w:rsidTr="00F57293">
        <w:trPr>
          <w:trHeight w:val="30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B96997" w:rsidRPr="00030D4D" w:rsidRDefault="00B96997" w:rsidP="00B96997">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2013-2016</w:t>
            </w:r>
          </w:p>
        </w:tc>
        <w:tc>
          <w:tcPr>
            <w:tcW w:w="3221"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(1+2)</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52.755.520.026</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16.375.254.264</w:t>
            </w:r>
          </w:p>
        </w:tc>
        <w:tc>
          <w:tcPr>
            <w:tcW w:w="154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14.713.670.807</w:t>
            </w:r>
          </w:p>
        </w:tc>
        <w:tc>
          <w:tcPr>
            <w:tcW w:w="1431"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B96997">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3.420.124.991</w:t>
            </w:r>
          </w:p>
        </w:tc>
        <w:tc>
          <w:tcPr>
            <w:tcW w:w="1003"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D75765">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 </w:t>
            </w:r>
            <w:r w:rsidR="00992C82" w:rsidRPr="00030D4D">
              <w:rPr>
                <w:rFonts w:ascii="Arial" w:eastAsia="Times New Roman" w:hAnsi="Arial" w:cs="Arial"/>
                <w:b/>
                <w:color w:val="000000"/>
                <w:sz w:val="20"/>
                <w:szCs w:val="20"/>
                <w:lang w:eastAsia="pt-BR"/>
              </w:rPr>
              <w:t>31,0%</w:t>
            </w:r>
          </w:p>
        </w:tc>
        <w:tc>
          <w:tcPr>
            <w:tcW w:w="1412" w:type="dxa"/>
            <w:tcBorders>
              <w:top w:val="nil"/>
              <w:left w:val="nil"/>
              <w:bottom w:val="single" w:sz="4" w:space="0" w:color="auto"/>
              <w:right w:val="single" w:sz="4" w:space="0" w:color="auto"/>
            </w:tcBorders>
            <w:shd w:val="clear" w:color="auto" w:fill="E7E6E6" w:themeFill="background2"/>
            <w:noWrap/>
            <w:vAlign w:val="bottom"/>
            <w:hideMark/>
          </w:tcPr>
          <w:p w:rsidR="00B96997" w:rsidRPr="00030D4D" w:rsidRDefault="00B96997" w:rsidP="00992C82">
            <w:pPr>
              <w:spacing w:before="0" w:after="0" w:line="240" w:lineRule="auto"/>
              <w:jc w:val="right"/>
              <w:rPr>
                <w:rFonts w:ascii="Arial" w:eastAsia="Times New Roman" w:hAnsi="Arial" w:cs="Arial"/>
                <w:b/>
                <w:color w:val="000000"/>
                <w:sz w:val="20"/>
                <w:szCs w:val="20"/>
                <w:lang w:eastAsia="pt-BR"/>
              </w:rPr>
            </w:pPr>
            <w:r w:rsidRPr="00030D4D">
              <w:rPr>
                <w:rFonts w:ascii="Arial" w:eastAsia="Times New Roman" w:hAnsi="Arial" w:cs="Arial"/>
                <w:b/>
                <w:color w:val="000000"/>
                <w:sz w:val="20"/>
                <w:szCs w:val="20"/>
                <w:lang w:eastAsia="pt-BR"/>
              </w:rPr>
              <w:t> </w:t>
            </w:r>
            <w:r w:rsidR="00992C82" w:rsidRPr="00030D4D">
              <w:rPr>
                <w:rFonts w:ascii="Arial" w:eastAsia="Times New Roman" w:hAnsi="Arial" w:cs="Arial"/>
                <w:b/>
                <w:color w:val="000000"/>
                <w:sz w:val="20"/>
                <w:szCs w:val="20"/>
                <w:lang w:eastAsia="pt-BR"/>
              </w:rPr>
              <w:t>89,9%</w:t>
            </w:r>
          </w:p>
        </w:tc>
      </w:tr>
    </w:tbl>
    <w:p w:rsidR="00A91F40" w:rsidRPr="00030D4D" w:rsidRDefault="00A91F40" w:rsidP="00DD6B4A">
      <w:pPr>
        <w:pStyle w:val="Caption"/>
        <w:rPr>
          <w:rFonts w:ascii="Arial" w:eastAsia="Times New Roman" w:hAnsi="Arial" w:cs="Arial"/>
          <w:b w:val="0"/>
          <w:bCs/>
          <w:color w:val="000000"/>
          <w:sz w:val="20"/>
          <w:szCs w:val="20"/>
          <w:lang w:eastAsia="pt-BR"/>
        </w:rPr>
      </w:pPr>
      <w:r w:rsidRPr="00030D4D">
        <w:rPr>
          <w:rFonts w:ascii="Arial" w:eastAsia="Times New Roman" w:hAnsi="Arial" w:cs="Arial"/>
          <w:b w:val="0"/>
          <w:bCs/>
          <w:color w:val="000000"/>
          <w:sz w:val="20"/>
          <w:szCs w:val="20"/>
          <w:lang w:eastAsia="pt-BR"/>
        </w:rPr>
        <w:t>* Em relação ao valor total dos projetos. Segundo a política operacional da Finep (2013-2014), dependendo do enquadramento do projeto, a Finep financia entre 70% a 90% do valor total do projeto</w:t>
      </w:r>
    </w:p>
    <w:p w:rsidR="00A91F40" w:rsidRPr="00030D4D" w:rsidRDefault="00A91F40" w:rsidP="00A91F40">
      <w:pPr>
        <w:spacing w:before="0" w:after="0" w:line="240" w:lineRule="auto"/>
        <w:rPr>
          <w:rFonts w:ascii="Arial" w:hAnsi="Arial" w:cs="Arial"/>
          <w:sz w:val="20"/>
          <w:szCs w:val="20"/>
        </w:rPr>
      </w:pPr>
      <w:r w:rsidRPr="00030D4D">
        <w:rPr>
          <w:rFonts w:ascii="Arial" w:hAnsi="Arial" w:cs="Arial"/>
          <w:sz w:val="20"/>
          <w:szCs w:val="20"/>
        </w:rPr>
        <w:t>Fonte: Base Departamento de Gestão da Informação (DAGI)/Área de Planejamento (APLA)</w:t>
      </w:r>
    </w:p>
    <w:p w:rsidR="00D92F99" w:rsidRPr="00030D4D" w:rsidRDefault="00A91F40" w:rsidP="00A91F40">
      <w:pPr>
        <w:spacing w:before="0" w:after="0" w:line="240" w:lineRule="auto"/>
        <w:rPr>
          <w:rFonts w:ascii="Arial" w:hAnsi="Arial" w:cs="Arial"/>
          <w:sz w:val="20"/>
          <w:szCs w:val="20"/>
        </w:rPr>
      </w:pPr>
      <w:r w:rsidRPr="00030D4D">
        <w:rPr>
          <w:rFonts w:ascii="Arial" w:hAnsi="Arial" w:cs="Arial"/>
          <w:sz w:val="20"/>
          <w:szCs w:val="20"/>
        </w:rPr>
        <w:t>Nota: (1) Informação não disponível no formato solicitado.</w:t>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p>
    <w:p w:rsidR="00A91F40" w:rsidRPr="00030D4D" w:rsidRDefault="00A91F40" w:rsidP="00D92F99">
      <w:pPr>
        <w:rPr>
          <w:rFonts w:ascii="Arial" w:hAnsi="Arial" w:cs="Arial"/>
          <w:sz w:val="20"/>
          <w:szCs w:val="20"/>
        </w:rPr>
      </w:pPr>
    </w:p>
    <w:p w:rsidR="00096311" w:rsidRPr="00030D4D" w:rsidRDefault="00096311" w:rsidP="00D92F99">
      <w:pPr>
        <w:rPr>
          <w:rFonts w:ascii="Arial" w:hAnsi="Arial" w:cs="Arial"/>
        </w:rPr>
      </w:pPr>
    </w:p>
    <w:p w:rsidR="00DD6B4A" w:rsidRPr="00030D4D" w:rsidRDefault="00DD6B4A" w:rsidP="00D92F99">
      <w:pPr>
        <w:rPr>
          <w:rFonts w:ascii="Arial" w:hAnsi="Arial" w:cs="Arial"/>
        </w:rPr>
        <w:sectPr w:rsidR="00DD6B4A" w:rsidRPr="00030D4D" w:rsidSect="00DD6B4A">
          <w:pgSz w:w="16838" w:h="11906" w:orient="landscape"/>
          <w:pgMar w:top="1701" w:right="1417" w:bottom="1701" w:left="1417" w:header="708" w:footer="708" w:gutter="0"/>
          <w:cols w:space="708"/>
          <w:docGrid w:linePitch="360"/>
        </w:sectPr>
      </w:pPr>
    </w:p>
    <w:p w:rsidR="00DD6B4A" w:rsidRPr="00030D4D" w:rsidRDefault="00A01D3F" w:rsidP="00D92F99">
      <w:pPr>
        <w:rPr>
          <w:rFonts w:ascii="Arial" w:hAnsi="Arial" w:cs="Arial"/>
        </w:rPr>
      </w:pPr>
      <w:r w:rsidRPr="00030D4D">
        <w:rPr>
          <w:rFonts w:ascii="Arial" w:hAnsi="Arial" w:cs="Arial"/>
        </w:rPr>
        <w:t xml:space="preserve">Na média do período, pode-se dizer que em termos de número de projetos para cada 3 projetos apresentados, 1 </w:t>
      </w:r>
      <w:r w:rsidR="000A3196" w:rsidRPr="00030D4D">
        <w:rPr>
          <w:rFonts w:ascii="Arial" w:hAnsi="Arial" w:cs="Arial"/>
        </w:rPr>
        <w:t>foi aprovado</w:t>
      </w:r>
      <w:r w:rsidRPr="00030D4D">
        <w:rPr>
          <w:rFonts w:ascii="Arial" w:hAnsi="Arial" w:cs="Arial"/>
        </w:rPr>
        <w:t xml:space="preserve">.  </w:t>
      </w:r>
      <w:r w:rsidR="00B504D5" w:rsidRPr="00030D4D">
        <w:rPr>
          <w:rFonts w:ascii="Arial" w:hAnsi="Arial" w:cs="Arial"/>
        </w:rPr>
        <w:t>Em termos de valor, a relação foi praticamente a mesma.</w:t>
      </w:r>
      <w:r w:rsidR="00C431E1" w:rsidRPr="00030D4D">
        <w:rPr>
          <w:rFonts w:ascii="Arial" w:hAnsi="Arial" w:cs="Arial"/>
        </w:rPr>
        <w:t xml:space="preserve"> É incorreto pensar em termos de apresentação e contratação, mas se essa relação for considerada, a proporção é de </w:t>
      </w:r>
      <w:r w:rsidR="00F41436" w:rsidRPr="00030D4D">
        <w:rPr>
          <w:rFonts w:ascii="Arial" w:hAnsi="Arial" w:cs="Arial"/>
        </w:rPr>
        <w:t xml:space="preserve">cerca de </w:t>
      </w:r>
      <w:r w:rsidR="00C431E1" w:rsidRPr="00030D4D">
        <w:rPr>
          <w:rFonts w:ascii="Arial" w:hAnsi="Arial" w:cs="Arial"/>
        </w:rPr>
        <w:t xml:space="preserve">27% </w:t>
      </w:r>
      <w:r w:rsidR="00F41436" w:rsidRPr="00030D4D">
        <w:rPr>
          <w:rFonts w:ascii="Arial" w:hAnsi="Arial" w:cs="Arial"/>
        </w:rPr>
        <w:t>em n</w:t>
      </w:r>
      <w:r w:rsidR="00601CDD" w:rsidRPr="00030D4D">
        <w:rPr>
          <w:rFonts w:ascii="Arial" w:hAnsi="Arial" w:cs="Arial"/>
        </w:rPr>
        <w:t>úmero e 28% em valor, conforme se pode conferir nos Gráficos 14 e 15 a seguir.</w:t>
      </w:r>
    </w:p>
    <w:p w:rsidR="00A6242B" w:rsidRPr="00030D4D" w:rsidRDefault="00A6242B" w:rsidP="00A6242B">
      <w:pPr>
        <w:pStyle w:val="Caption"/>
        <w:rPr>
          <w:rFonts w:ascii="Arial" w:hAnsi="Arial" w:cs="Arial"/>
        </w:rPr>
      </w:pPr>
      <w:bookmarkStart w:id="64" w:name="_Toc482828519"/>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13</w:t>
      </w:r>
      <w:r w:rsidR="005271BC" w:rsidRPr="00030D4D">
        <w:rPr>
          <w:rFonts w:ascii="Arial" w:hAnsi="Arial" w:cs="Arial"/>
          <w:noProof/>
        </w:rPr>
        <w:fldChar w:fldCharType="end"/>
      </w:r>
      <w:r w:rsidRPr="00030D4D">
        <w:rPr>
          <w:rFonts w:ascii="Arial" w:hAnsi="Arial" w:cs="Arial"/>
        </w:rPr>
        <w:t>. Demanda de Projetos (Número)</w:t>
      </w:r>
      <w:r w:rsidR="007A0233" w:rsidRPr="00030D4D">
        <w:rPr>
          <w:rFonts w:ascii="Arial" w:hAnsi="Arial" w:cs="Arial"/>
        </w:rPr>
        <w:t>, entre 2013 e 2016</w:t>
      </w:r>
      <w:r w:rsidRPr="00030D4D">
        <w:rPr>
          <w:rFonts w:ascii="Arial" w:hAnsi="Arial" w:cs="Arial"/>
        </w:rPr>
        <w:t>: relação entre apresentados, aprovados e contratados</w:t>
      </w:r>
      <w:bookmarkEnd w:id="64"/>
    </w:p>
    <w:p w:rsidR="00A6242B" w:rsidRPr="00030D4D" w:rsidRDefault="00A6242B" w:rsidP="00D92F99">
      <w:pPr>
        <w:rPr>
          <w:rFonts w:ascii="Arial" w:hAnsi="Arial" w:cs="Arial"/>
        </w:rPr>
      </w:pPr>
      <w:r w:rsidRPr="00030D4D">
        <w:rPr>
          <w:rFonts w:ascii="Arial" w:hAnsi="Arial" w:cs="Arial"/>
          <w:noProof/>
          <w:lang w:val="en-US"/>
        </w:rPr>
        <w:drawing>
          <wp:inline distT="0" distB="0" distL="0" distR="0" wp14:anchorId="7ED6CC64" wp14:editId="7940FECF">
            <wp:extent cx="4572000" cy="2743200"/>
            <wp:effectExtent l="0" t="0" r="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A0233" w:rsidRPr="00030D4D" w:rsidRDefault="007A0233" w:rsidP="00D92F99">
      <w:pPr>
        <w:rPr>
          <w:rFonts w:ascii="Arial" w:hAnsi="Arial" w:cs="Arial"/>
        </w:rPr>
      </w:pPr>
    </w:p>
    <w:p w:rsidR="007A0233" w:rsidRPr="00030D4D" w:rsidRDefault="007A0233" w:rsidP="007A0233">
      <w:pPr>
        <w:pStyle w:val="Caption"/>
        <w:rPr>
          <w:rFonts w:ascii="Arial" w:hAnsi="Arial" w:cs="Arial"/>
        </w:rPr>
      </w:pPr>
      <w:bookmarkStart w:id="65" w:name="_Toc482828520"/>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2C22FA" w:rsidRPr="00030D4D">
        <w:rPr>
          <w:rFonts w:ascii="Arial" w:hAnsi="Arial" w:cs="Arial"/>
          <w:noProof/>
        </w:rPr>
        <w:t>14</w:t>
      </w:r>
      <w:r w:rsidR="005271BC" w:rsidRPr="00030D4D">
        <w:rPr>
          <w:rFonts w:ascii="Arial" w:hAnsi="Arial" w:cs="Arial"/>
          <w:noProof/>
        </w:rPr>
        <w:fldChar w:fldCharType="end"/>
      </w:r>
      <w:r w:rsidRPr="00030D4D">
        <w:rPr>
          <w:rFonts w:ascii="Arial" w:hAnsi="Arial" w:cs="Arial"/>
        </w:rPr>
        <w:t>. Demanda de Projetos (Financeira), entre 2013 e 2016: relação entre valores apresentados, aprovados e contratados</w:t>
      </w:r>
      <w:bookmarkEnd w:id="65"/>
    </w:p>
    <w:p w:rsidR="007A0233" w:rsidRPr="00030D4D" w:rsidRDefault="007A0233" w:rsidP="00D92F99">
      <w:pPr>
        <w:rPr>
          <w:rFonts w:ascii="Arial" w:hAnsi="Arial" w:cs="Arial"/>
        </w:rPr>
      </w:pPr>
      <w:r w:rsidRPr="00030D4D">
        <w:rPr>
          <w:rFonts w:ascii="Arial" w:hAnsi="Arial" w:cs="Arial"/>
          <w:noProof/>
          <w:lang w:val="en-US"/>
        </w:rPr>
        <w:drawing>
          <wp:inline distT="0" distB="0" distL="0" distR="0" wp14:anchorId="5E0BD5AD" wp14:editId="3AC45EBC">
            <wp:extent cx="4572000" cy="2743200"/>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354F4" w:rsidRPr="00030D4D" w:rsidRDefault="005354F4" w:rsidP="00D92F99">
      <w:pPr>
        <w:rPr>
          <w:rFonts w:ascii="Arial" w:hAnsi="Arial" w:cs="Arial"/>
        </w:rPr>
      </w:pPr>
      <w:r w:rsidRPr="00030D4D">
        <w:rPr>
          <w:rFonts w:ascii="Arial" w:hAnsi="Arial" w:cs="Arial"/>
        </w:rPr>
        <w:t xml:space="preserve">No item que se segue apresenta-se a situação da demanda por recursos não </w:t>
      </w:r>
      <w:r w:rsidR="0045278F" w:rsidRPr="00030D4D">
        <w:rPr>
          <w:rFonts w:ascii="Arial" w:hAnsi="Arial" w:cs="Arial"/>
        </w:rPr>
        <w:t>reembolsáveis.</w:t>
      </w:r>
    </w:p>
    <w:p w:rsidR="00730A9A" w:rsidRPr="00030D4D" w:rsidRDefault="00730A9A" w:rsidP="00730A9A">
      <w:pPr>
        <w:pStyle w:val="Heading2"/>
        <w:numPr>
          <w:ilvl w:val="1"/>
          <w:numId w:val="19"/>
        </w:numPr>
        <w:rPr>
          <w:rFonts w:ascii="Arial" w:hAnsi="Arial" w:cs="Arial"/>
        </w:rPr>
      </w:pPr>
      <w:bookmarkStart w:id="66" w:name="_Toc482828490"/>
      <w:r w:rsidRPr="00030D4D">
        <w:rPr>
          <w:rFonts w:ascii="Arial" w:hAnsi="Arial" w:cs="Arial"/>
        </w:rPr>
        <w:t>Demanda por recursos não reembolsáveis</w:t>
      </w:r>
      <w:bookmarkEnd w:id="66"/>
    </w:p>
    <w:p w:rsidR="00A31633" w:rsidRPr="00030D4D" w:rsidRDefault="00DC76FA" w:rsidP="00225D17">
      <w:pPr>
        <w:rPr>
          <w:rFonts w:ascii="Arial" w:hAnsi="Arial" w:cs="Arial"/>
        </w:rPr>
      </w:pPr>
      <w:r w:rsidRPr="00030D4D">
        <w:rPr>
          <w:rFonts w:ascii="Arial" w:hAnsi="Arial" w:cs="Arial"/>
        </w:rPr>
        <w:t>A modalidade não reembolsável na Finep compreende os seguintes instrumentos: subvenção, convênios com ICT, cooperativos (ICT e empresas) e os eventos.</w:t>
      </w:r>
      <w:r w:rsidR="000B6EEA" w:rsidRPr="00030D4D">
        <w:rPr>
          <w:rFonts w:ascii="Arial" w:hAnsi="Arial" w:cs="Arial"/>
        </w:rPr>
        <w:t xml:space="preserve"> </w:t>
      </w:r>
      <w:r w:rsidR="00B544A3" w:rsidRPr="00030D4D">
        <w:rPr>
          <w:rFonts w:ascii="Arial" w:hAnsi="Arial" w:cs="Arial"/>
        </w:rPr>
        <w:t xml:space="preserve">O que é possível observar comparando-se os períodos 2013-2014 (período do Inova Empresa) com 2015-2016 é que houve uma queda significativa na demanda para praticamente os instrumentos. Uma exceção foram os convênios com ICTs </w:t>
      </w:r>
      <w:r w:rsidR="007401AE" w:rsidRPr="00030D4D">
        <w:rPr>
          <w:rFonts w:ascii="Arial" w:hAnsi="Arial" w:cs="Arial"/>
        </w:rPr>
        <w:t>para os quais</w:t>
      </w:r>
      <w:r w:rsidR="00B544A3" w:rsidRPr="00030D4D">
        <w:rPr>
          <w:rFonts w:ascii="Arial" w:hAnsi="Arial" w:cs="Arial"/>
        </w:rPr>
        <w:t xml:space="preserve"> houve ainda uma grande demanda tanto no </w:t>
      </w:r>
      <w:r w:rsidR="007401AE" w:rsidRPr="00030D4D">
        <w:rPr>
          <w:rFonts w:ascii="Arial" w:hAnsi="Arial" w:cs="Arial"/>
        </w:rPr>
        <w:t>âmbito dos editais/</w:t>
      </w:r>
      <w:r w:rsidR="00B544A3" w:rsidRPr="00030D4D">
        <w:rPr>
          <w:rFonts w:ascii="Arial" w:hAnsi="Arial" w:cs="Arial"/>
        </w:rPr>
        <w:t>chamadas como das encomendas.</w:t>
      </w:r>
      <w:r w:rsidR="000231B0" w:rsidRPr="00030D4D">
        <w:rPr>
          <w:rFonts w:ascii="Arial" w:hAnsi="Arial" w:cs="Arial"/>
        </w:rPr>
        <w:t xml:space="preserve"> </w:t>
      </w:r>
    </w:p>
    <w:p w:rsidR="00032A21" w:rsidRPr="00030D4D" w:rsidRDefault="00032A21" w:rsidP="00225D17">
      <w:pPr>
        <w:rPr>
          <w:rFonts w:ascii="Arial" w:hAnsi="Arial" w:cs="Arial"/>
        </w:rPr>
      </w:pPr>
      <w:r w:rsidRPr="00030D4D">
        <w:rPr>
          <w:rFonts w:ascii="Arial" w:hAnsi="Arial" w:cs="Arial"/>
        </w:rPr>
        <w:t>A propósito, foram lançadas 39 chamadas públicas e editais entre 2013-2016 (Gráfico 15)</w:t>
      </w:r>
      <w:r w:rsidR="004B31F1" w:rsidRPr="00030D4D">
        <w:rPr>
          <w:rFonts w:ascii="Arial" w:hAnsi="Arial" w:cs="Arial"/>
        </w:rPr>
        <w:t xml:space="preserve">, mas </w:t>
      </w:r>
      <w:r w:rsidR="00972A8A" w:rsidRPr="00030D4D">
        <w:rPr>
          <w:rFonts w:ascii="Arial" w:hAnsi="Arial" w:cs="Arial"/>
        </w:rPr>
        <w:t xml:space="preserve">observa-se que </w:t>
      </w:r>
      <w:r w:rsidR="004B31F1" w:rsidRPr="00030D4D">
        <w:rPr>
          <w:rFonts w:ascii="Arial" w:hAnsi="Arial" w:cs="Arial"/>
        </w:rPr>
        <w:t xml:space="preserve">a partir de 2013 houve uma drástica redução </w:t>
      </w:r>
      <w:r w:rsidR="00972A8A" w:rsidRPr="00030D4D">
        <w:rPr>
          <w:rFonts w:ascii="Arial" w:hAnsi="Arial" w:cs="Arial"/>
        </w:rPr>
        <w:t>dos recursos financeiros para incentivar a formulação de</w:t>
      </w:r>
      <w:r w:rsidR="004B31F1" w:rsidRPr="00030D4D">
        <w:rPr>
          <w:rFonts w:ascii="Arial" w:hAnsi="Arial" w:cs="Arial"/>
        </w:rPr>
        <w:t xml:space="preserve"> projetos </w:t>
      </w:r>
      <w:r w:rsidR="00972A8A" w:rsidRPr="00030D4D">
        <w:rPr>
          <w:rFonts w:ascii="Arial" w:hAnsi="Arial" w:cs="Arial"/>
        </w:rPr>
        <w:t xml:space="preserve">de PD&amp;I na modalidade não-reembolsável (Gráfico 15). </w:t>
      </w:r>
    </w:p>
    <w:p w:rsidR="0046137A" w:rsidRPr="00030D4D" w:rsidRDefault="0046137A" w:rsidP="0046137A">
      <w:pPr>
        <w:pStyle w:val="Caption"/>
        <w:rPr>
          <w:rFonts w:ascii="Arial" w:hAnsi="Arial" w:cs="Arial"/>
        </w:rPr>
      </w:pPr>
      <w:bookmarkStart w:id="67" w:name="_Toc482828521"/>
      <w:r w:rsidRPr="00030D4D">
        <w:rPr>
          <w:rFonts w:ascii="Arial" w:hAnsi="Arial" w:cs="Arial"/>
        </w:rPr>
        <w:t xml:space="preserve">Gráfico </w:t>
      </w:r>
      <w:r w:rsidR="005271BC" w:rsidRPr="00030D4D">
        <w:rPr>
          <w:rFonts w:ascii="Arial" w:hAnsi="Arial" w:cs="Arial"/>
        </w:rPr>
        <w:fldChar w:fldCharType="begin"/>
      </w:r>
      <w:r w:rsidR="005271BC" w:rsidRPr="00030D4D">
        <w:rPr>
          <w:rFonts w:ascii="Arial" w:hAnsi="Arial" w:cs="Arial"/>
        </w:rPr>
        <w:instrText xml:space="preserve"> SEQ Gráfico \* ARABIC </w:instrText>
      </w:r>
      <w:r w:rsidR="005271BC" w:rsidRPr="00030D4D">
        <w:rPr>
          <w:rFonts w:ascii="Arial" w:hAnsi="Arial" w:cs="Arial"/>
        </w:rPr>
        <w:fldChar w:fldCharType="separate"/>
      </w:r>
      <w:r w:rsidR="00032A21" w:rsidRPr="00030D4D">
        <w:rPr>
          <w:rFonts w:ascii="Arial" w:hAnsi="Arial" w:cs="Arial"/>
          <w:noProof/>
        </w:rPr>
        <w:t>15</w:t>
      </w:r>
      <w:r w:rsidR="005271BC" w:rsidRPr="00030D4D">
        <w:rPr>
          <w:rFonts w:ascii="Arial" w:hAnsi="Arial" w:cs="Arial"/>
          <w:noProof/>
        </w:rPr>
        <w:fldChar w:fldCharType="end"/>
      </w:r>
      <w:r w:rsidRPr="00030D4D">
        <w:rPr>
          <w:rFonts w:ascii="Arial" w:hAnsi="Arial" w:cs="Arial"/>
        </w:rPr>
        <w:t>. Número de chamadas públicas realizadas entre 2013-2016</w:t>
      </w:r>
      <w:bookmarkEnd w:id="67"/>
    </w:p>
    <w:p w:rsidR="0046137A" w:rsidRPr="00030D4D" w:rsidRDefault="0046137A" w:rsidP="0046137A">
      <w:pPr>
        <w:rPr>
          <w:rFonts w:ascii="Arial" w:hAnsi="Arial" w:cs="Arial"/>
        </w:rPr>
      </w:pPr>
      <w:r w:rsidRPr="00030D4D">
        <w:rPr>
          <w:rFonts w:ascii="Arial" w:hAnsi="Arial" w:cs="Arial"/>
          <w:noProof/>
          <w:lang w:val="en-US"/>
        </w:rPr>
        <w:drawing>
          <wp:inline distT="0" distB="0" distL="0" distR="0" wp14:anchorId="7507D56B" wp14:editId="59B55418">
            <wp:extent cx="3238500" cy="2195513"/>
            <wp:effectExtent l="0" t="0" r="0" b="1460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6137A" w:rsidRPr="00030D4D" w:rsidRDefault="0046137A" w:rsidP="00225D17">
      <w:pPr>
        <w:rPr>
          <w:rFonts w:ascii="Arial" w:hAnsi="Arial" w:cs="Arial"/>
        </w:rPr>
      </w:pPr>
    </w:p>
    <w:p w:rsidR="00D351B2" w:rsidRPr="00030D4D" w:rsidRDefault="00702E9D" w:rsidP="00225D17">
      <w:pPr>
        <w:rPr>
          <w:rFonts w:ascii="Arial" w:hAnsi="Arial" w:cs="Arial"/>
        </w:rPr>
        <w:sectPr w:rsidR="00D351B2" w:rsidRPr="00030D4D" w:rsidSect="00EA0E4A">
          <w:pgSz w:w="11906" w:h="16838"/>
          <w:pgMar w:top="1417" w:right="1701" w:bottom="1417" w:left="1701" w:header="708" w:footer="708" w:gutter="0"/>
          <w:cols w:space="708"/>
          <w:docGrid w:linePitch="360"/>
        </w:sectPr>
      </w:pPr>
      <w:r w:rsidRPr="00030D4D">
        <w:rPr>
          <w:rFonts w:ascii="Arial" w:hAnsi="Arial" w:cs="Arial"/>
        </w:rPr>
        <w:t xml:space="preserve">Foram apresentados entre 2013 e 2016 791 projetos de subvenção; 1.471 projetos de convênios; 78 projetos cooperativos e 3 projetos relacionados com </w:t>
      </w:r>
      <w:r w:rsidR="006A44E4" w:rsidRPr="00030D4D">
        <w:rPr>
          <w:rFonts w:ascii="Arial" w:hAnsi="Arial" w:cs="Arial"/>
        </w:rPr>
        <w:t xml:space="preserve">a promoção de </w:t>
      </w:r>
      <w:r w:rsidRPr="00030D4D">
        <w:rPr>
          <w:rFonts w:ascii="Arial" w:hAnsi="Arial" w:cs="Arial"/>
        </w:rPr>
        <w:t>eventos</w:t>
      </w:r>
      <w:r w:rsidR="00B1741D" w:rsidRPr="00030D4D">
        <w:rPr>
          <w:rFonts w:ascii="Arial" w:hAnsi="Arial" w:cs="Arial"/>
        </w:rPr>
        <w:t>, perfazendo uma demanda total no per</w:t>
      </w:r>
      <w:r w:rsidR="002A6828" w:rsidRPr="00030D4D">
        <w:rPr>
          <w:rFonts w:ascii="Arial" w:hAnsi="Arial" w:cs="Arial"/>
        </w:rPr>
        <w:t>íodo de</w:t>
      </w:r>
      <w:r w:rsidR="00B1741D" w:rsidRPr="00030D4D">
        <w:rPr>
          <w:rFonts w:ascii="Arial" w:hAnsi="Arial" w:cs="Arial"/>
        </w:rPr>
        <w:t xml:space="preserve"> 2.343  projetos. </w:t>
      </w:r>
      <w:r w:rsidR="00701903" w:rsidRPr="00030D4D">
        <w:rPr>
          <w:rFonts w:ascii="Arial" w:hAnsi="Arial" w:cs="Arial"/>
        </w:rPr>
        <w:t xml:space="preserve"> Cerca de 61,4% deste total foi a demanda </w:t>
      </w:r>
      <w:r w:rsidR="002A6828" w:rsidRPr="00030D4D">
        <w:rPr>
          <w:rFonts w:ascii="Arial" w:hAnsi="Arial" w:cs="Arial"/>
        </w:rPr>
        <w:t xml:space="preserve">apresentada no </w:t>
      </w:r>
      <w:r w:rsidR="00701903" w:rsidRPr="00030D4D">
        <w:rPr>
          <w:rFonts w:ascii="Arial" w:hAnsi="Arial" w:cs="Arial"/>
        </w:rPr>
        <w:t>período do Inova Empresa e 38,</w:t>
      </w:r>
      <w:r w:rsidR="00B74882" w:rsidRPr="00030D4D">
        <w:rPr>
          <w:rFonts w:ascii="Arial" w:hAnsi="Arial" w:cs="Arial"/>
        </w:rPr>
        <w:t xml:space="preserve">6% </w:t>
      </w:r>
      <w:r w:rsidR="002A6828" w:rsidRPr="00030D4D">
        <w:rPr>
          <w:rFonts w:ascii="Arial" w:hAnsi="Arial" w:cs="Arial"/>
        </w:rPr>
        <w:t>n</w:t>
      </w:r>
      <w:r w:rsidR="00701903" w:rsidRPr="00030D4D">
        <w:rPr>
          <w:rFonts w:ascii="Arial" w:hAnsi="Arial" w:cs="Arial"/>
        </w:rPr>
        <w:t>o período 2014-2015.</w:t>
      </w:r>
    </w:p>
    <w:p w:rsidR="00D351B2" w:rsidRPr="00030D4D" w:rsidRDefault="00D351B2" w:rsidP="00225D17">
      <w:pPr>
        <w:rPr>
          <w:rFonts w:ascii="Arial" w:hAnsi="Arial" w:cs="Arial"/>
        </w:rPr>
      </w:pPr>
    </w:p>
    <w:p w:rsidR="00A97A4A" w:rsidRPr="00030D4D" w:rsidRDefault="006C18B9" w:rsidP="006C18B9">
      <w:pPr>
        <w:pStyle w:val="Caption"/>
        <w:rPr>
          <w:rFonts w:ascii="Arial" w:eastAsia="Times New Roman" w:hAnsi="Arial" w:cs="Arial"/>
          <w:bCs/>
          <w:color w:val="000000"/>
          <w:sz w:val="20"/>
          <w:szCs w:val="20"/>
          <w:lang w:eastAsia="pt-BR"/>
        </w:rPr>
      </w:pPr>
      <w:bookmarkStart w:id="68" w:name="_Toc482828502"/>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10</w:t>
      </w:r>
      <w:r w:rsidR="005271BC" w:rsidRPr="00030D4D">
        <w:rPr>
          <w:rFonts w:ascii="Arial" w:hAnsi="Arial" w:cs="Arial"/>
          <w:noProof/>
        </w:rPr>
        <w:fldChar w:fldCharType="end"/>
      </w:r>
      <w:r w:rsidRPr="00030D4D">
        <w:rPr>
          <w:rFonts w:ascii="Arial" w:hAnsi="Arial" w:cs="Arial"/>
        </w:rPr>
        <w:t>. Finep. Número</w:t>
      </w:r>
      <w:r w:rsidRPr="00030D4D">
        <w:rPr>
          <w:rFonts w:ascii="Arial" w:eastAsia="Times New Roman" w:hAnsi="Arial" w:cs="Arial"/>
          <w:bCs/>
          <w:color w:val="000000"/>
          <w:sz w:val="20"/>
          <w:szCs w:val="20"/>
          <w:lang w:eastAsia="pt-BR"/>
        </w:rPr>
        <w:t xml:space="preserve"> de projetos apresentados, aprovados e contratados, entre 2013 e 201</w:t>
      </w:r>
      <w:r w:rsidR="001734C2" w:rsidRPr="00030D4D">
        <w:rPr>
          <w:rFonts w:ascii="Arial" w:eastAsia="Times New Roman" w:hAnsi="Arial" w:cs="Arial"/>
          <w:bCs/>
          <w:color w:val="000000"/>
          <w:sz w:val="20"/>
          <w:szCs w:val="20"/>
          <w:lang w:eastAsia="pt-BR"/>
        </w:rPr>
        <w:t>6</w:t>
      </w:r>
      <w:bookmarkEnd w:id="68"/>
    </w:p>
    <w:tbl>
      <w:tblPr>
        <w:tblW w:w="14170" w:type="dxa"/>
        <w:tblCellMar>
          <w:left w:w="70" w:type="dxa"/>
          <w:right w:w="70" w:type="dxa"/>
        </w:tblCellMar>
        <w:tblLook w:val="04A0" w:firstRow="1" w:lastRow="0" w:firstColumn="1" w:lastColumn="0" w:noHBand="0" w:noVBand="1"/>
      </w:tblPr>
      <w:tblGrid>
        <w:gridCol w:w="1555"/>
        <w:gridCol w:w="1305"/>
        <w:gridCol w:w="1474"/>
        <w:gridCol w:w="1185"/>
        <w:gridCol w:w="1360"/>
        <w:gridCol w:w="1474"/>
        <w:gridCol w:w="1185"/>
        <w:gridCol w:w="1318"/>
        <w:gridCol w:w="1474"/>
        <w:gridCol w:w="1185"/>
        <w:gridCol w:w="1318"/>
      </w:tblGrid>
      <w:tr w:rsidR="00A52206" w:rsidRPr="00030D4D" w:rsidTr="0025428A">
        <w:trPr>
          <w:trHeight w:val="315"/>
        </w:trPr>
        <w:tc>
          <w:tcPr>
            <w:tcW w:w="1555"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Instrumento</w:t>
            </w:r>
          </w:p>
        </w:tc>
        <w:tc>
          <w:tcPr>
            <w:tcW w:w="13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Tipo de Demanda</w:t>
            </w:r>
          </w:p>
        </w:tc>
        <w:tc>
          <w:tcPr>
            <w:tcW w:w="3860" w:type="dxa"/>
            <w:gridSpan w:val="3"/>
            <w:tcBorders>
              <w:top w:val="single" w:sz="4" w:space="0" w:color="auto"/>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2013-2014</w:t>
            </w:r>
          </w:p>
        </w:tc>
        <w:tc>
          <w:tcPr>
            <w:tcW w:w="3765" w:type="dxa"/>
            <w:gridSpan w:val="3"/>
            <w:tcBorders>
              <w:top w:val="single" w:sz="4" w:space="0" w:color="auto"/>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2015-2016</w:t>
            </w:r>
          </w:p>
        </w:tc>
        <w:tc>
          <w:tcPr>
            <w:tcW w:w="3685" w:type="dxa"/>
            <w:gridSpan w:val="3"/>
            <w:tcBorders>
              <w:top w:val="single" w:sz="4" w:space="0" w:color="auto"/>
              <w:left w:val="nil"/>
              <w:bottom w:val="single" w:sz="4" w:space="0" w:color="auto"/>
              <w:right w:val="single" w:sz="4" w:space="0" w:color="auto"/>
            </w:tcBorders>
            <w:shd w:val="clear" w:color="auto" w:fill="auto"/>
            <w:noWrap/>
            <w:vAlign w:val="bottom"/>
            <w:hideMark/>
          </w:tcPr>
          <w:p w:rsidR="00A52206" w:rsidRPr="00030D4D" w:rsidRDefault="006423EF"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w:t>
            </w:r>
            <w:r w:rsidR="00A52206" w:rsidRPr="00030D4D">
              <w:rPr>
                <w:rFonts w:ascii="Arial" w:eastAsia="Times New Roman" w:hAnsi="Arial" w:cs="Arial"/>
                <w:b/>
                <w:bCs/>
                <w:color w:val="000000"/>
                <w:sz w:val="20"/>
                <w:szCs w:val="20"/>
                <w:lang w:eastAsia="pt-BR"/>
              </w:rPr>
              <w:t>2013-2016</w:t>
            </w:r>
            <w:r w:rsidRPr="00030D4D">
              <w:rPr>
                <w:rFonts w:ascii="Arial" w:eastAsia="Times New Roman" w:hAnsi="Arial" w:cs="Arial"/>
                <w:b/>
                <w:bCs/>
                <w:color w:val="000000"/>
                <w:sz w:val="20"/>
                <w:szCs w:val="20"/>
                <w:lang w:eastAsia="pt-BR"/>
              </w:rPr>
              <w:t>)</w:t>
            </w:r>
          </w:p>
        </w:tc>
      </w:tr>
      <w:tr w:rsidR="006423EF" w:rsidRPr="00030D4D" w:rsidTr="0025428A">
        <w:trPr>
          <w:trHeight w:val="315"/>
        </w:trPr>
        <w:tc>
          <w:tcPr>
            <w:tcW w:w="1555" w:type="dxa"/>
            <w:vMerge/>
            <w:tcBorders>
              <w:top w:val="single" w:sz="4" w:space="0" w:color="auto"/>
              <w:left w:val="single" w:sz="4" w:space="0" w:color="auto"/>
              <w:bottom w:val="single" w:sz="4" w:space="0" w:color="000000"/>
              <w:right w:val="single" w:sz="4" w:space="0" w:color="auto"/>
            </w:tcBorders>
            <w:vAlign w:val="center"/>
            <w:hideMark/>
          </w:tcPr>
          <w:p w:rsidR="00A52206" w:rsidRPr="00030D4D" w:rsidRDefault="00A52206" w:rsidP="00A52206">
            <w:pPr>
              <w:spacing w:before="0" w:after="0" w:line="240" w:lineRule="auto"/>
              <w:jc w:val="left"/>
              <w:rPr>
                <w:rFonts w:ascii="Arial" w:eastAsia="Times New Roman" w:hAnsi="Arial" w:cs="Arial"/>
                <w:b/>
                <w:bCs/>
                <w:color w:val="000000"/>
                <w:sz w:val="20"/>
                <w:szCs w:val="20"/>
                <w:lang w:eastAsia="pt-BR"/>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rsidR="00A52206" w:rsidRPr="00030D4D" w:rsidRDefault="00A52206" w:rsidP="00A52206">
            <w:pPr>
              <w:spacing w:before="0" w:after="0" w:line="240" w:lineRule="auto"/>
              <w:jc w:val="left"/>
              <w:rPr>
                <w:rFonts w:ascii="Arial" w:eastAsia="Times New Roman" w:hAnsi="Arial" w:cs="Arial"/>
                <w:b/>
                <w:bCs/>
                <w:color w:val="000000"/>
                <w:sz w:val="20"/>
                <w:szCs w:val="20"/>
                <w:lang w:eastAsia="pt-BR"/>
              </w:rPr>
            </w:pPr>
          </w:p>
        </w:tc>
        <w:tc>
          <w:tcPr>
            <w:tcW w:w="140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Apresentados</w:t>
            </w:r>
          </w:p>
        </w:tc>
        <w:tc>
          <w:tcPr>
            <w:tcW w:w="109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Aprovados</w:t>
            </w:r>
          </w:p>
        </w:tc>
        <w:tc>
          <w:tcPr>
            <w:tcW w:w="1360"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Contratados</w:t>
            </w:r>
          </w:p>
        </w:tc>
        <w:tc>
          <w:tcPr>
            <w:tcW w:w="1426"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Apresentados</w:t>
            </w:r>
          </w:p>
        </w:tc>
        <w:tc>
          <w:tcPr>
            <w:tcW w:w="1118"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Aprovados</w:t>
            </w:r>
          </w:p>
        </w:tc>
        <w:tc>
          <w:tcPr>
            <w:tcW w:w="1221"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Contratados</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Apresentados</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Aprovados</w:t>
            </w:r>
          </w:p>
        </w:tc>
        <w:tc>
          <w:tcPr>
            <w:tcW w:w="1275"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Contratados</w:t>
            </w:r>
          </w:p>
        </w:tc>
      </w:tr>
      <w:tr w:rsidR="0025428A" w:rsidRPr="00030D4D" w:rsidTr="0025428A">
        <w:trPr>
          <w:trHeight w:val="31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 Subvenção</w:t>
            </w:r>
          </w:p>
        </w:tc>
        <w:tc>
          <w:tcPr>
            <w:tcW w:w="1305"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753</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165</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138</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38</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791</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170</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143</w:t>
            </w:r>
          </w:p>
        </w:tc>
      </w:tr>
      <w:tr w:rsidR="0025428A" w:rsidRPr="00030D4D" w:rsidTr="0025428A">
        <w:trPr>
          <w:trHeight w:val="765"/>
        </w:trPr>
        <w:tc>
          <w:tcPr>
            <w:tcW w:w="1555" w:type="dxa"/>
            <w:vMerge w:val="restart"/>
            <w:tcBorders>
              <w:top w:val="nil"/>
              <w:left w:val="single" w:sz="4" w:space="0" w:color="auto"/>
              <w:bottom w:val="single" w:sz="4" w:space="0" w:color="auto"/>
              <w:right w:val="single" w:sz="4" w:space="0" w:color="auto"/>
            </w:tcBorders>
            <w:shd w:val="clear" w:color="auto" w:fill="auto"/>
            <w:vAlign w:val="center"/>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Convênios com ICT</w:t>
            </w:r>
          </w:p>
        </w:tc>
        <w:tc>
          <w:tcPr>
            <w:tcW w:w="1305"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455</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188</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171</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538</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86</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31</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993</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274</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202</w:t>
            </w:r>
          </w:p>
        </w:tc>
      </w:tr>
      <w:tr w:rsidR="0025428A" w:rsidRPr="00030D4D" w:rsidTr="0025428A">
        <w:trPr>
          <w:trHeight w:val="315"/>
        </w:trPr>
        <w:tc>
          <w:tcPr>
            <w:tcW w:w="1555" w:type="dxa"/>
            <w:vMerge/>
            <w:tcBorders>
              <w:top w:val="nil"/>
              <w:left w:val="single" w:sz="4" w:space="0" w:color="auto"/>
              <w:bottom w:val="single" w:sz="4" w:space="0" w:color="auto"/>
              <w:right w:val="single" w:sz="4" w:space="0" w:color="auto"/>
            </w:tcBorders>
            <w:vAlign w:val="center"/>
            <w:hideMark/>
          </w:tcPr>
          <w:p w:rsidR="00A52206" w:rsidRPr="00030D4D" w:rsidRDefault="00A52206" w:rsidP="00A52206">
            <w:pPr>
              <w:spacing w:before="0" w:after="0" w:line="240" w:lineRule="auto"/>
              <w:jc w:val="left"/>
              <w:rPr>
                <w:rFonts w:ascii="Arial" w:eastAsia="Times New Roman" w:hAnsi="Arial" w:cs="Arial"/>
                <w:b/>
                <w:bCs/>
                <w:color w:val="000000"/>
                <w:sz w:val="20"/>
                <w:szCs w:val="20"/>
                <w:lang w:eastAsia="pt-BR"/>
              </w:rPr>
            </w:pPr>
          </w:p>
        </w:tc>
        <w:tc>
          <w:tcPr>
            <w:tcW w:w="1305"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133</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109</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91</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329</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121</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46</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462</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230</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137</w:t>
            </w:r>
          </w:p>
        </w:tc>
      </w:tr>
      <w:tr w:rsidR="0025428A" w:rsidRPr="00030D4D" w:rsidTr="0025428A">
        <w:trPr>
          <w:trHeight w:val="315"/>
        </w:trPr>
        <w:tc>
          <w:tcPr>
            <w:tcW w:w="1555" w:type="dxa"/>
            <w:vMerge/>
            <w:tcBorders>
              <w:top w:val="nil"/>
              <w:left w:val="single" w:sz="4" w:space="0" w:color="auto"/>
              <w:bottom w:val="single" w:sz="4" w:space="0" w:color="auto"/>
              <w:right w:val="single" w:sz="4" w:space="0" w:color="auto"/>
            </w:tcBorders>
            <w:vAlign w:val="center"/>
            <w:hideMark/>
          </w:tcPr>
          <w:p w:rsidR="00A52206" w:rsidRPr="00030D4D" w:rsidRDefault="00A52206" w:rsidP="00A52206">
            <w:pPr>
              <w:spacing w:before="0" w:after="0" w:line="240" w:lineRule="auto"/>
              <w:jc w:val="left"/>
              <w:rPr>
                <w:rFonts w:ascii="Arial" w:eastAsia="Times New Roman" w:hAnsi="Arial" w:cs="Arial"/>
                <w:b/>
                <w:bCs/>
                <w:color w:val="000000"/>
                <w:sz w:val="20"/>
                <w:szCs w:val="20"/>
                <w:lang w:eastAsia="pt-BR"/>
              </w:rPr>
            </w:pPr>
          </w:p>
        </w:tc>
        <w:tc>
          <w:tcPr>
            <w:tcW w:w="1305"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Carta Convite</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16</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16</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w:t>
            </w:r>
          </w:p>
        </w:tc>
      </w:tr>
      <w:tr w:rsidR="00A52206" w:rsidRPr="00030D4D" w:rsidTr="006423EF">
        <w:trPr>
          <w:trHeight w:val="315"/>
        </w:trPr>
        <w:tc>
          <w:tcPr>
            <w:tcW w:w="2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 Subtotal Convênios ICT</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604</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306</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270</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867</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207</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77</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1.471</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513</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347</w:t>
            </w:r>
          </w:p>
        </w:tc>
      </w:tr>
      <w:tr w:rsidR="0025428A" w:rsidRPr="00030D4D" w:rsidTr="0025428A">
        <w:trPr>
          <w:trHeight w:val="810"/>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A52206" w:rsidRPr="00030D4D" w:rsidRDefault="00A52206" w:rsidP="00A52206">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3. Cooperativos </w:t>
            </w:r>
          </w:p>
        </w:tc>
        <w:tc>
          <w:tcPr>
            <w:tcW w:w="1305" w:type="dxa"/>
            <w:tcBorders>
              <w:top w:val="nil"/>
              <w:left w:val="nil"/>
              <w:bottom w:val="single" w:sz="4" w:space="0" w:color="auto"/>
              <w:right w:val="single" w:sz="4" w:space="0" w:color="auto"/>
            </w:tcBorders>
            <w:shd w:val="clear" w:color="auto" w:fill="auto"/>
            <w:vAlign w:val="bottom"/>
            <w:hideMark/>
          </w:tcPr>
          <w:p w:rsidR="00A52206" w:rsidRPr="00030D4D" w:rsidRDefault="00A52206" w:rsidP="00A5220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78</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31</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27</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78</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31</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27</w:t>
            </w:r>
          </w:p>
        </w:tc>
      </w:tr>
      <w:tr w:rsidR="0025428A" w:rsidRPr="00030D4D" w:rsidTr="0025428A">
        <w:trPr>
          <w:trHeight w:val="315"/>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4. Eventos</w:t>
            </w:r>
          </w:p>
        </w:tc>
        <w:tc>
          <w:tcPr>
            <w:tcW w:w="130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xml:space="preserve"> -</w:t>
            </w:r>
          </w:p>
        </w:tc>
        <w:tc>
          <w:tcPr>
            <w:tcW w:w="140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w:t>
            </w:r>
          </w:p>
        </w:tc>
        <w:tc>
          <w:tcPr>
            <w:tcW w:w="1099"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w:t>
            </w:r>
          </w:p>
        </w:tc>
        <w:tc>
          <w:tcPr>
            <w:tcW w:w="1360"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w:t>
            </w:r>
          </w:p>
        </w:tc>
        <w:tc>
          <w:tcPr>
            <w:tcW w:w="1426"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118"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221" w:type="dxa"/>
            <w:tcBorders>
              <w:top w:val="nil"/>
              <w:left w:val="nil"/>
              <w:bottom w:val="single" w:sz="4" w:space="0" w:color="auto"/>
              <w:right w:val="single" w:sz="4" w:space="0" w:color="auto"/>
            </w:tcBorders>
            <w:shd w:val="clear" w:color="auto" w:fill="auto"/>
            <w:noWrap/>
            <w:vAlign w:val="center"/>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291"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w:t>
            </w:r>
          </w:p>
        </w:tc>
        <w:tc>
          <w:tcPr>
            <w:tcW w:w="1119"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w:t>
            </w:r>
          </w:p>
        </w:tc>
        <w:tc>
          <w:tcPr>
            <w:tcW w:w="1275" w:type="dxa"/>
            <w:tcBorders>
              <w:top w:val="nil"/>
              <w:left w:val="nil"/>
              <w:bottom w:val="single" w:sz="4" w:space="0" w:color="auto"/>
              <w:right w:val="single" w:sz="4" w:space="0" w:color="auto"/>
            </w:tcBorders>
            <w:shd w:val="clear" w:color="auto" w:fill="auto"/>
            <w:noWrap/>
            <w:vAlign w:val="bottom"/>
            <w:hideMark/>
          </w:tcPr>
          <w:p w:rsidR="00A52206" w:rsidRPr="00030D4D" w:rsidRDefault="00A52206" w:rsidP="00A5220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w:t>
            </w:r>
          </w:p>
        </w:tc>
      </w:tr>
      <w:tr w:rsidR="00A52206" w:rsidRPr="00030D4D" w:rsidTr="0025428A">
        <w:trPr>
          <w:trHeight w:val="315"/>
        </w:trPr>
        <w:tc>
          <w:tcPr>
            <w:tcW w:w="1555" w:type="dxa"/>
            <w:tcBorders>
              <w:top w:val="nil"/>
              <w:left w:val="single" w:sz="4" w:space="0" w:color="auto"/>
              <w:bottom w:val="single" w:sz="4" w:space="0" w:color="auto"/>
              <w:right w:val="single" w:sz="4" w:space="0" w:color="auto"/>
            </w:tcBorders>
            <w:shd w:val="clear" w:color="000000" w:fill="D0CECE"/>
            <w:noWrap/>
            <w:vAlign w:val="bottom"/>
            <w:hideMark/>
          </w:tcPr>
          <w:p w:rsidR="00A52206" w:rsidRPr="00030D4D" w:rsidRDefault="00A52206" w:rsidP="00A5220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(1+2+3+4)</w:t>
            </w:r>
          </w:p>
        </w:tc>
        <w:tc>
          <w:tcPr>
            <w:tcW w:w="1305" w:type="dxa"/>
            <w:tcBorders>
              <w:top w:val="nil"/>
              <w:left w:val="nil"/>
              <w:bottom w:val="single" w:sz="4" w:space="0" w:color="auto"/>
              <w:right w:val="single" w:sz="4" w:space="0" w:color="auto"/>
            </w:tcBorders>
            <w:shd w:val="clear" w:color="000000" w:fill="D0CECE"/>
            <w:noWrap/>
            <w:vAlign w:val="bottom"/>
            <w:hideMark/>
          </w:tcPr>
          <w:p w:rsidR="00A52206" w:rsidRPr="00030D4D" w:rsidRDefault="00A52206" w:rsidP="00A52206">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w:t>
            </w:r>
          </w:p>
        </w:tc>
        <w:tc>
          <w:tcPr>
            <w:tcW w:w="1401" w:type="dxa"/>
            <w:tcBorders>
              <w:top w:val="nil"/>
              <w:left w:val="nil"/>
              <w:bottom w:val="single" w:sz="4" w:space="0" w:color="auto"/>
              <w:right w:val="single" w:sz="4" w:space="0" w:color="auto"/>
            </w:tcBorders>
            <w:shd w:val="clear" w:color="000000" w:fill="D0CECE"/>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p>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1.438</w:t>
            </w:r>
          </w:p>
        </w:tc>
        <w:tc>
          <w:tcPr>
            <w:tcW w:w="1099" w:type="dxa"/>
            <w:tcBorders>
              <w:top w:val="nil"/>
              <w:left w:val="nil"/>
              <w:bottom w:val="single" w:sz="4" w:space="0" w:color="auto"/>
              <w:right w:val="single" w:sz="4" w:space="0" w:color="auto"/>
            </w:tcBorders>
            <w:shd w:val="clear" w:color="000000" w:fill="D0CECE"/>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p>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505</w:t>
            </w:r>
          </w:p>
        </w:tc>
        <w:tc>
          <w:tcPr>
            <w:tcW w:w="1360" w:type="dxa"/>
            <w:tcBorders>
              <w:top w:val="nil"/>
              <w:left w:val="nil"/>
              <w:bottom w:val="single" w:sz="4" w:space="0" w:color="auto"/>
              <w:right w:val="single" w:sz="4" w:space="0" w:color="auto"/>
            </w:tcBorders>
            <w:shd w:val="clear" w:color="000000" w:fill="D0CECE"/>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p>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438</w:t>
            </w:r>
          </w:p>
        </w:tc>
        <w:tc>
          <w:tcPr>
            <w:tcW w:w="1426" w:type="dxa"/>
            <w:tcBorders>
              <w:top w:val="nil"/>
              <w:left w:val="nil"/>
              <w:bottom w:val="single" w:sz="4" w:space="0" w:color="auto"/>
              <w:right w:val="single" w:sz="4" w:space="0" w:color="auto"/>
            </w:tcBorders>
            <w:shd w:val="clear" w:color="000000" w:fill="D0CECE"/>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p>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905</w:t>
            </w:r>
          </w:p>
        </w:tc>
        <w:tc>
          <w:tcPr>
            <w:tcW w:w="1118" w:type="dxa"/>
            <w:tcBorders>
              <w:top w:val="nil"/>
              <w:left w:val="nil"/>
              <w:bottom w:val="single" w:sz="4" w:space="0" w:color="auto"/>
              <w:right w:val="single" w:sz="4" w:space="0" w:color="auto"/>
            </w:tcBorders>
            <w:shd w:val="clear" w:color="000000" w:fill="D0CECE"/>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p>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212</w:t>
            </w:r>
          </w:p>
        </w:tc>
        <w:tc>
          <w:tcPr>
            <w:tcW w:w="1221" w:type="dxa"/>
            <w:tcBorders>
              <w:top w:val="nil"/>
              <w:left w:val="nil"/>
              <w:bottom w:val="single" w:sz="4" w:space="0" w:color="auto"/>
              <w:right w:val="single" w:sz="4" w:space="0" w:color="auto"/>
            </w:tcBorders>
            <w:shd w:val="clear" w:color="000000" w:fill="D0CECE"/>
            <w:noWrap/>
            <w:vAlign w:val="center"/>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p>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82</w:t>
            </w:r>
          </w:p>
        </w:tc>
        <w:tc>
          <w:tcPr>
            <w:tcW w:w="1291" w:type="dxa"/>
            <w:tcBorders>
              <w:top w:val="nil"/>
              <w:left w:val="nil"/>
              <w:bottom w:val="single" w:sz="4" w:space="0" w:color="auto"/>
              <w:right w:val="single" w:sz="4" w:space="0" w:color="auto"/>
            </w:tcBorders>
            <w:shd w:val="clear" w:color="000000" w:fill="D0CECE"/>
            <w:noWrap/>
            <w:vAlign w:val="bottom"/>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2.343</w:t>
            </w:r>
          </w:p>
        </w:tc>
        <w:tc>
          <w:tcPr>
            <w:tcW w:w="1119" w:type="dxa"/>
            <w:tcBorders>
              <w:top w:val="nil"/>
              <w:left w:val="nil"/>
              <w:bottom w:val="single" w:sz="4" w:space="0" w:color="auto"/>
              <w:right w:val="single" w:sz="4" w:space="0" w:color="auto"/>
            </w:tcBorders>
            <w:shd w:val="clear" w:color="000000" w:fill="D0CECE"/>
            <w:noWrap/>
            <w:vAlign w:val="bottom"/>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717</w:t>
            </w:r>
          </w:p>
        </w:tc>
        <w:tc>
          <w:tcPr>
            <w:tcW w:w="1275" w:type="dxa"/>
            <w:tcBorders>
              <w:top w:val="nil"/>
              <w:left w:val="nil"/>
              <w:bottom w:val="single" w:sz="4" w:space="0" w:color="auto"/>
              <w:right w:val="single" w:sz="4" w:space="0" w:color="auto"/>
            </w:tcBorders>
            <w:shd w:val="clear" w:color="000000" w:fill="D0CECE"/>
            <w:noWrap/>
            <w:vAlign w:val="bottom"/>
            <w:hideMark/>
          </w:tcPr>
          <w:p w:rsidR="00A52206" w:rsidRPr="00030D4D" w:rsidRDefault="00A52206" w:rsidP="00A5220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520</w:t>
            </w:r>
          </w:p>
        </w:tc>
      </w:tr>
    </w:tbl>
    <w:p w:rsidR="001734C2" w:rsidRPr="00030D4D" w:rsidRDefault="001734C2" w:rsidP="001734C2">
      <w:pPr>
        <w:spacing w:before="0" w:after="0" w:line="240" w:lineRule="auto"/>
        <w:rPr>
          <w:rFonts w:ascii="Arial" w:hAnsi="Arial" w:cs="Arial"/>
          <w:sz w:val="20"/>
          <w:szCs w:val="20"/>
        </w:rPr>
      </w:pPr>
      <w:r w:rsidRPr="00030D4D">
        <w:rPr>
          <w:rFonts w:ascii="Arial" w:hAnsi="Arial" w:cs="Arial"/>
          <w:sz w:val="20"/>
          <w:szCs w:val="20"/>
        </w:rPr>
        <w:t>Fonte: Base Departamento de Gestão da Informação (DAGI)/Área de Planejamento (APLA)</w:t>
      </w:r>
    </w:p>
    <w:p w:rsidR="004521FA" w:rsidRPr="00030D4D" w:rsidRDefault="001734C2" w:rsidP="001734C2">
      <w:pPr>
        <w:spacing w:before="0" w:after="0" w:line="240" w:lineRule="auto"/>
        <w:rPr>
          <w:rFonts w:ascii="Arial" w:hAnsi="Arial" w:cs="Arial"/>
          <w:sz w:val="20"/>
          <w:szCs w:val="20"/>
        </w:rPr>
      </w:pPr>
      <w:r w:rsidRPr="00030D4D">
        <w:rPr>
          <w:rFonts w:ascii="Arial" w:hAnsi="Arial" w:cs="Arial"/>
          <w:sz w:val="20"/>
          <w:szCs w:val="20"/>
        </w:rPr>
        <w:t>Nota: (1) Os projetos de subvenção aprovados no âmbito dos Editais Conjuntos Inova (aqueles editais em que a Finep atuou em parceria com outras instituições para oferecer mais de um instrumento de apoio) foram classificados como encomenda porque adotaram a nomenclatura do fluxo do sistema.</w:t>
      </w:r>
      <w:r w:rsidRPr="00030D4D">
        <w:rPr>
          <w:rFonts w:ascii="Arial" w:hAnsi="Arial" w:cs="Arial"/>
          <w:sz w:val="20"/>
          <w:szCs w:val="20"/>
        </w:rPr>
        <w:tab/>
      </w:r>
    </w:p>
    <w:p w:rsidR="004521FA" w:rsidRPr="00030D4D" w:rsidRDefault="004521FA" w:rsidP="001734C2">
      <w:pPr>
        <w:spacing w:before="0" w:after="0" w:line="240" w:lineRule="auto"/>
        <w:rPr>
          <w:rFonts w:ascii="Arial" w:hAnsi="Arial" w:cs="Arial"/>
          <w:sz w:val="20"/>
          <w:szCs w:val="20"/>
        </w:rPr>
      </w:pPr>
    </w:p>
    <w:p w:rsidR="004521FA" w:rsidRPr="00030D4D" w:rsidRDefault="004521FA" w:rsidP="001734C2">
      <w:pPr>
        <w:spacing w:before="0" w:after="0" w:line="240" w:lineRule="auto"/>
        <w:rPr>
          <w:rFonts w:ascii="Arial" w:hAnsi="Arial" w:cs="Arial"/>
          <w:sz w:val="20"/>
          <w:szCs w:val="20"/>
        </w:rPr>
      </w:pPr>
    </w:p>
    <w:p w:rsidR="00D351B2" w:rsidRPr="00030D4D" w:rsidRDefault="00D351B2" w:rsidP="001734C2">
      <w:pPr>
        <w:spacing w:before="0" w:after="0" w:line="240" w:lineRule="auto"/>
        <w:rPr>
          <w:rFonts w:ascii="Arial" w:hAnsi="Arial" w:cs="Arial"/>
          <w:sz w:val="20"/>
          <w:szCs w:val="20"/>
        </w:rPr>
        <w:sectPr w:rsidR="00D351B2" w:rsidRPr="00030D4D" w:rsidSect="00D351B2">
          <w:pgSz w:w="16838" w:h="11906" w:orient="landscape"/>
          <w:pgMar w:top="1701" w:right="1417" w:bottom="1701" w:left="1417" w:header="708" w:footer="708" w:gutter="0"/>
          <w:cols w:space="708"/>
          <w:docGrid w:linePitch="360"/>
        </w:sectPr>
      </w:pPr>
    </w:p>
    <w:p w:rsidR="008C01B4" w:rsidRPr="00030D4D" w:rsidRDefault="00E43886" w:rsidP="009E1A0A">
      <w:pPr>
        <w:rPr>
          <w:rFonts w:ascii="Arial" w:hAnsi="Arial" w:cs="Arial"/>
        </w:rPr>
      </w:pPr>
      <w:r w:rsidRPr="00030D4D">
        <w:rPr>
          <w:rFonts w:ascii="Arial" w:hAnsi="Arial" w:cs="Arial"/>
        </w:rPr>
        <w:t xml:space="preserve">Do total de projetos apresentados à Finep </w:t>
      </w:r>
      <w:r w:rsidR="006A54C7" w:rsidRPr="00030D4D">
        <w:rPr>
          <w:rFonts w:ascii="Arial" w:hAnsi="Arial" w:cs="Arial"/>
        </w:rPr>
        <w:t xml:space="preserve">entre 2013-2016 </w:t>
      </w:r>
      <w:r w:rsidRPr="00030D4D">
        <w:rPr>
          <w:rFonts w:ascii="Arial" w:hAnsi="Arial" w:cs="Arial"/>
        </w:rPr>
        <w:t>na modalidade não reembolsável</w:t>
      </w:r>
      <w:r w:rsidR="00BB5F12" w:rsidRPr="00030D4D">
        <w:rPr>
          <w:rFonts w:ascii="Arial" w:hAnsi="Arial" w:cs="Arial"/>
        </w:rPr>
        <w:t xml:space="preserve"> (2.343)</w:t>
      </w:r>
      <w:r w:rsidR="006A54C7" w:rsidRPr="00030D4D">
        <w:rPr>
          <w:rFonts w:ascii="Arial" w:hAnsi="Arial" w:cs="Arial"/>
        </w:rPr>
        <w:t xml:space="preserve">, </w:t>
      </w:r>
      <w:r w:rsidR="004D4857" w:rsidRPr="00030D4D">
        <w:rPr>
          <w:rFonts w:ascii="Arial" w:hAnsi="Arial" w:cs="Arial"/>
        </w:rPr>
        <w:t xml:space="preserve">30,6% </w:t>
      </w:r>
      <w:r w:rsidR="00BB5F12" w:rsidRPr="00030D4D">
        <w:rPr>
          <w:rFonts w:ascii="Arial" w:hAnsi="Arial" w:cs="Arial"/>
        </w:rPr>
        <w:t xml:space="preserve">(717) </w:t>
      </w:r>
      <w:r w:rsidR="004D4857" w:rsidRPr="00030D4D">
        <w:rPr>
          <w:rFonts w:ascii="Arial" w:hAnsi="Arial" w:cs="Arial"/>
        </w:rPr>
        <w:t xml:space="preserve">foram aprovados e </w:t>
      </w:r>
      <w:r w:rsidR="00975DDA" w:rsidRPr="00030D4D">
        <w:rPr>
          <w:rFonts w:ascii="Arial" w:hAnsi="Arial" w:cs="Arial"/>
        </w:rPr>
        <w:t xml:space="preserve">destes, </w:t>
      </w:r>
      <w:r w:rsidR="004D4857" w:rsidRPr="00030D4D">
        <w:rPr>
          <w:rFonts w:ascii="Arial" w:hAnsi="Arial" w:cs="Arial"/>
        </w:rPr>
        <w:t xml:space="preserve">72,5% </w:t>
      </w:r>
      <w:r w:rsidR="00BB5F12" w:rsidRPr="00030D4D">
        <w:rPr>
          <w:rFonts w:ascii="Arial" w:hAnsi="Arial" w:cs="Arial"/>
        </w:rPr>
        <w:t xml:space="preserve">(520) </w:t>
      </w:r>
      <w:r w:rsidR="004D4857" w:rsidRPr="00030D4D">
        <w:rPr>
          <w:rFonts w:ascii="Arial" w:hAnsi="Arial" w:cs="Arial"/>
        </w:rPr>
        <w:t>foram contratados</w:t>
      </w:r>
      <w:r w:rsidR="009D55B0" w:rsidRPr="00030D4D">
        <w:rPr>
          <w:rFonts w:ascii="Arial" w:hAnsi="Arial" w:cs="Arial"/>
        </w:rPr>
        <w:t xml:space="preserve"> (Tabela 11)</w:t>
      </w:r>
      <w:r w:rsidR="00151261" w:rsidRPr="00030D4D">
        <w:rPr>
          <w:rFonts w:ascii="Arial" w:hAnsi="Arial" w:cs="Arial"/>
        </w:rPr>
        <w:t xml:space="preserve">. Ou seja, a cada 3 projetos apresentados, a Finep aprovou 1. </w:t>
      </w:r>
    </w:p>
    <w:p w:rsidR="009E1A0A" w:rsidRPr="00030D4D" w:rsidRDefault="009E1A0A" w:rsidP="009E1A0A">
      <w:pPr>
        <w:rPr>
          <w:rFonts w:ascii="Arial" w:hAnsi="Arial" w:cs="Arial"/>
        </w:rPr>
      </w:pPr>
      <w:r w:rsidRPr="00030D4D">
        <w:rPr>
          <w:rFonts w:ascii="Arial" w:hAnsi="Arial" w:cs="Arial"/>
        </w:rPr>
        <w:t>No instrumento subvenção, apenas 21% dos</w:t>
      </w:r>
      <w:r w:rsidR="00B958C5" w:rsidRPr="00030D4D">
        <w:rPr>
          <w:rFonts w:ascii="Arial" w:hAnsi="Arial" w:cs="Arial"/>
        </w:rPr>
        <w:t xml:space="preserve"> projetos</w:t>
      </w:r>
      <w:r w:rsidRPr="00030D4D">
        <w:rPr>
          <w:rFonts w:ascii="Arial" w:hAnsi="Arial" w:cs="Arial"/>
        </w:rPr>
        <w:t xml:space="preserve"> apresentados foram aprovados e 84,1% destes aprovados foram efetivamente contratados.</w:t>
      </w:r>
      <w:r w:rsidR="00B958C5" w:rsidRPr="00030D4D">
        <w:rPr>
          <w:rFonts w:ascii="Arial" w:hAnsi="Arial" w:cs="Arial"/>
        </w:rPr>
        <w:t xml:space="preserve"> Nos convênios a relação entre aprovados foi superior à média, já que 34,9% dos projetos que foram apresentados tiveram aprovação. Mas a contratação ficou abaixo da (apenas 67% dos aprovados foram efetivamente contratados)</w:t>
      </w:r>
      <w:r w:rsidR="003422E2" w:rsidRPr="00030D4D">
        <w:rPr>
          <w:rFonts w:ascii="Arial" w:hAnsi="Arial" w:cs="Arial"/>
        </w:rPr>
        <w:t>. É possível notar que o desempenho nas chamadas públicas é menor, pois apenas 27,6% dos projetos apresentados foram aprovados.</w:t>
      </w:r>
      <w:r w:rsidR="00271535" w:rsidRPr="00030D4D">
        <w:rPr>
          <w:rFonts w:ascii="Arial" w:hAnsi="Arial" w:cs="Arial"/>
        </w:rPr>
        <w:t xml:space="preserve"> Nas en</w:t>
      </w:r>
      <w:r w:rsidR="00453937" w:rsidRPr="00030D4D">
        <w:rPr>
          <w:rFonts w:ascii="Arial" w:hAnsi="Arial" w:cs="Arial"/>
        </w:rPr>
        <w:t>comendas</w:t>
      </w:r>
      <w:r w:rsidR="003422E2" w:rsidRPr="00030D4D">
        <w:rPr>
          <w:rFonts w:ascii="Arial" w:hAnsi="Arial" w:cs="Arial"/>
        </w:rPr>
        <w:t xml:space="preserve"> </w:t>
      </w:r>
      <w:r w:rsidR="00271535" w:rsidRPr="00030D4D">
        <w:rPr>
          <w:rFonts w:ascii="Arial" w:hAnsi="Arial" w:cs="Arial"/>
        </w:rPr>
        <w:t>e cartas-convite o desempenho é superior à média</w:t>
      </w:r>
      <w:r w:rsidR="00B363D6" w:rsidRPr="00030D4D">
        <w:rPr>
          <w:rFonts w:ascii="Arial" w:hAnsi="Arial" w:cs="Arial"/>
        </w:rPr>
        <w:t xml:space="preserve"> (49,8% e 56,3%, respectivamente, foram os percentuais de projetos aprovados em relação aos apresentados). </w:t>
      </w:r>
    </w:p>
    <w:p w:rsidR="005F0F1F" w:rsidRPr="00030D4D" w:rsidRDefault="005F0F1F" w:rsidP="009E1A0A">
      <w:pPr>
        <w:rPr>
          <w:rFonts w:ascii="Arial" w:hAnsi="Arial" w:cs="Arial"/>
        </w:rPr>
      </w:pPr>
      <w:r w:rsidRPr="00030D4D">
        <w:rPr>
          <w:rFonts w:ascii="Arial" w:hAnsi="Arial" w:cs="Arial"/>
        </w:rPr>
        <w:t xml:space="preserve">No instrumento dos Cooperativos, só houve apresentação de projetos mediante editais ou chamadas públicas. Do total de projetos apresentados no período 2013-2016, 39,7% foram aprovados e destes, 87% foram contratados. </w:t>
      </w:r>
    </w:p>
    <w:p w:rsidR="00E43886" w:rsidRPr="00030D4D" w:rsidRDefault="00E43886" w:rsidP="001734C2">
      <w:pPr>
        <w:spacing w:before="0" w:after="0" w:line="240" w:lineRule="auto"/>
        <w:rPr>
          <w:rFonts w:ascii="Arial" w:hAnsi="Arial" w:cs="Arial"/>
          <w:sz w:val="20"/>
          <w:szCs w:val="20"/>
        </w:rPr>
      </w:pPr>
    </w:p>
    <w:p w:rsidR="00730A9A" w:rsidRPr="00030D4D" w:rsidRDefault="00225D17" w:rsidP="00225D17">
      <w:pPr>
        <w:pStyle w:val="Caption"/>
        <w:rPr>
          <w:rFonts w:ascii="Arial" w:hAnsi="Arial" w:cs="Arial"/>
        </w:rPr>
      </w:pPr>
      <w:bookmarkStart w:id="69" w:name="_Toc482828503"/>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11</w:t>
      </w:r>
      <w:r w:rsidR="005271BC" w:rsidRPr="00030D4D">
        <w:rPr>
          <w:rFonts w:ascii="Arial" w:hAnsi="Arial" w:cs="Arial"/>
          <w:noProof/>
        </w:rPr>
        <w:fldChar w:fldCharType="end"/>
      </w:r>
      <w:r w:rsidRPr="00030D4D">
        <w:rPr>
          <w:rFonts w:ascii="Arial" w:hAnsi="Arial" w:cs="Arial"/>
        </w:rPr>
        <w:t xml:space="preserve">. </w:t>
      </w:r>
      <w:r w:rsidR="00AD5729" w:rsidRPr="00030D4D">
        <w:rPr>
          <w:rFonts w:ascii="Arial" w:hAnsi="Arial" w:cs="Arial"/>
        </w:rPr>
        <w:t xml:space="preserve">Finep. </w:t>
      </w:r>
      <w:r w:rsidRPr="00030D4D">
        <w:rPr>
          <w:rFonts w:ascii="Arial" w:hAnsi="Arial" w:cs="Arial"/>
        </w:rPr>
        <w:t>Demanda de Projetos (Número), entre 2013 e 2016: relação entre apresentados, aprovados e contratados</w:t>
      </w:r>
      <w:bookmarkEnd w:id="69"/>
    </w:p>
    <w:tbl>
      <w:tblPr>
        <w:tblW w:w="8874" w:type="dxa"/>
        <w:tblCellMar>
          <w:left w:w="70" w:type="dxa"/>
          <w:right w:w="70" w:type="dxa"/>
        </w:tblCellMar>
        <w:tblLook w:val="04A0" w:firstRow="1" w:lastRow="0" w:firstColumn="1" w:lastColumn="0" w:noHBand="0" w:noVBand="1"/>
      </w:tblPr>
      <w:tblGrid>
        <w:gridCol w:w="1419"/>
        <w:gridCol w:w="1208"/>
        <w:gridCol w:w="1043"/>
        <w:gridCol w:w="1418"/>
        <w:gridCol w:w="1026"/>
        <w:gridCol w:w="1418"/>
        <w:gridCol w:w="1059"/>
        <w:gridCol w:w="1418"/>
      </w:tblGrid>
      <w:tr w:rsidR="00E43886" w:rsidRPr="00030D4D" w:rsidTr="00E43886">
        <w:trPr>
          <w:trHeight w:val="254"/>
        </w:trPr>
        <w:tc>
          <w:tcPr>
            <w:tcW w:w="11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Instrumento</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Tipo de Demanda</w:t>
            </w:r>
          </w:p>
        </w:tc>
        <w:tc>
          <w:tcPr>
            <w:tcW w:w="2169" w:type="dxa"/>
            <w:gridSpan w:val="2"/>
            <w:tcBorders>
              <w:top w:val="single" w:sz="4" w:space="0" w:color="auto"/>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2013-2014</w:t>
            </w:r>
          </w:p>
        </w:tc>
        <w:tc>
          <w:tcPr>
            <w:tcW w:w="2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2015-2016</w:t>
            </w:r>
          </w:p>
        </w:tc>
        <w:tc>
          <w:tcPr>
            <w:tcW w:w="2185" w:type="dxa"/>
            <w:gridSpan w:val="2"/>
            <w:tcBorders>
              <w:top w:val="single" w:sz="4" w:space="0" w:color="auto"/>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2013-2016</w:t>
            </w:r>
          </w:p>
        </w:tc>
      </w:tr>
      <w:tr w:rsidR="00E43886" w:rsidRPr="00030D4D" w:rsidTr="00E43886">
        <w:trPr>
          <w:trHeight w:val="484"/>
        </w:trPr>
        <w:tc>
          <w:tcPr>
            <w:tcW w:w="1159" w:type="dxa"/>
            <w:vMerge/>
            <w:tcBorders>
              <w:top w:val="single" w:sz="4" w:space="0" w:color="auto"/>
              <w:left w:val="single" w:sz="4" w:space="0" w:color="auto"/>
              <w:bottom w:val="single" w:sz="4" w:space="0" w:color="auto"/>
              <w:right w:val="single" w:sz="4" w:space="0" w:color="auto"/>
            </w:tcBorders>
            <w:vAlign w:val="center"/>
            <w:hideMark/>
          </w:tcPr>
          <w:p w:rsidR="00E43886" w:rsidRPr="00030D4D" w:rsidRDefault="00E43886" w:rsidP="00E43886">
            <w:pPr>
              <w:spacing w:before="0" w:after="0" w:line="240" w:lineRule="auto"/>
              <w:jc w:val="left"/>
              <w:rPr>
                <w:rFonts w:ascii="Arial" w:eastAsia="Times New Roman" w:hAnsi="Arial" w:cs="Arial"/>
                <w:b/>
                <w:bCs/>
                <w:color w:val="000000"/>
                <w:sz w:val="20"/>
                <w:szCs w:val="20"/>
                <w:lang w:eastAsia="pt-BR"/>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E43886" w:rsidRPr="00030D4D" w:rsidRDefault="00E43886" w:rsidP="00E43886">
            <w:pPr>
              <w:spacing w:before="0" w:after="0" w:line="240" w:lineRule="auto"/>
              <w:jc w:val="left"/>
              <w:rPr>
                <w:rFonts w:ascii="Arial" w:eastAsia="Times New Roman" w:hAnsi="Arial" w:cs="Arial"/>
                <w:b/>
                <w:bCs/>
                <w:color w:val="000000"/>
                <w:sz w:val="20"/>
                <w:szCs w:val="20"/>
                <w:lang w:eastAsia="pt-BR"/>
              </w:rPr>
            </w:pPr>
          </w:p>
        </w:tc>
        <w:tc>
          <w:tcPr>
            <w:tcW w:w="1043"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126"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c>
          <w:tcPr>
            <w:tcW w:w="1026"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126"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c>
          <w:tcPr>
            <w:tcW w:w="1059"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126"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r>
      <w:tr w:rsidR="00E43886" w:rsidRPr="00030D4D" w:rsidTr="00E43886">
        <w:trPr>
          <w:trHeight w:val="254"/>
        </w:trPr>
        <w:tc>
          <w:tcPr>
            <w:tcW w:w="1159" w:type="dxa"/>
            <w:tcBorders>
              <w:top w:val="nil"/>
              <w:left w:val="single" w:sz="4" w:space="0" w:color="auto"/>
              <w:bottom w:val="single" w:sz="4" w:space="0" w:color="auto"/>
              <w:right w:val="single" w:sz="4" w:space="0" w:color="auto"/>
            </w:tcBorders>
            <w:shd w:val="clear" w:color="auto" w:fill="auto"/>
            <w:noWrap/>
            <w:vAlign w:val="center"/>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Subvenção</w:t>
            </w:r>
          </w:p>
        </w:tc>
        <w:tc>
          <w:tcPr>
            <w:tcW w:w="1208"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21,9%</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83,6%</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18,3%</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21,5%</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84,1%</w:t>
            </w:r>
          </w:p>
        </w:tc>
      </w:tr>
      <w:tr w:rsidR="00E43886" w:rsidRPr="00030D4D" w:rsidTr="00E43886">
        <w:trPr>
          <w:trHeight w:val="254"/>
        </w:trPr>
        <w:tc>
          <w:tcPr>
            <w:tcW w:w="1159" w:type="dxa"/>
            <w:vMerge w:val="restart"/>
            <w:tcBorders>
              <w:top w:val="nil"/>
              <w:left w:val="single" w:sz="4" w:space="0" w:color="auto"/>
              <w:bottom w:val="single" w:sz="4" w:space="0" w:color="auto"/>
              <w:right w:val="single" w:sz="4" w:space="0" w:color="auto"/>
            </w:tcBorders>
            <w:shd w:val="clear" w:color="auto" w:fill="auto"/>
            <w:vAlign w:val="center"/>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Convênios com ICT</w:t>
            </w:r>
          </w:p>
        </w:tc>
        <w:tc>
          <w:tcPr>
            <w:tcW w:w="1208"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41,3%</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91,0%</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37,6%</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36,0%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27,6%</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73,7%</w:t>
            </w:r>
          </w:p>
        </w:tc>
      </w:tr>
      <w:tr w:rsidR="00E43886" w:rsidRPr="00030D4D" w:rsidTr="00E43886">
        <w:trPr>
          <w:trHeight w:val="254"/>
        </w:trPr>
        <w:tc>
          <w:tcPr>
            <w:tcW w:w="1159" w:type="dxa"/>
            <w:vMerge/>
            <w:tcBorders>
              <w:top w:val="nil"/>
              <w:left w:val="single" w:sz="4" w:space="0" w:color="auto"/>
              <w:bottom w:val="single" w:sz="4" w:space="0" w:color="auto"/>
              <w:right w:val="single" w:sz="4" w:space="0" w:color="auto"/>
            </w:tcBorders>
            <w:vAlign w:val="center"/>
            <w:hideMark/>
          </w:tcPr>
          <w:p w:rsidR="00E43886" w:rsidRPr="00030D4D" w:rsidRDefault="00E43886" w:rsidP="00E43886">
            <w:pPr>
              <w:spacing w:before="0" w:after="0" w:line="240" w:lineRule="auto"/>
              <w:jc w:val="left"/>
              <w:rPr>
                <w:rFonts w:ascii="Arial" w:eastAsia="Times New Roman" w:hAnsi="Arial" w:cs="Arial"/>
                <w:b/>
                <w:bCs/>
                <w:color w:val="000000"/>
                <w:sz w:val="20"/>
                <w:szCs w:val="20"/>
                <w:lang w:eastAsia="pt-BR"/>
              </w:rPr>
            </w:pPr>
          </w:p>
        </w:tc>
        <w:tc>
          <w:tcPr>
            <w:tcW w:w="1208"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82,0%</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83,5%</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68,4%</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38,0%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49,8%</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59,6%</w:t>
            </w:r>
          </w:p>
        </w:tc>
      </w:tr>
      <w:tr w:rsidR="00E43886" w:rsidRPr="00030D4D" w:rsidTr="00E43886">
        <w:trPr>
          <w:trHeight w:val="254"/>
        </w:trPr>
        <w:tc>
          <w:tcPr>
            <w:tcW w:w="1159" w:type="dxa"/>
            <w:vMerge/>
            <w:tcBorders>
              <w:top w:val="nil"/>
              <w:left w:val="single" w:sz="4" w:space="0" w:color="auto"/>
              <w:bottom w:val="single" w:sz="4" w:space="0" w:color="auto"/>
              <w:right w:val="single" w:sz="4" w:space="0" w:color="auto"/>
            </w:tcBorders>
            <w:vAlign w:val="center"/>
            <w:hideMark/>
          </w:tcPr>
          <w:p w:rsidR="00E43886" w:rsidRPr="00030D4D" w:rsidRDefault="00E43886" w:rsidP="00E43886">
            <w:pPr>
              <w:spacing w:before="0" w:after="0" w:line="240" w:lineRule="auto"/>
              <w:jc w:val="left"/>
              <w:rPr>
                <w:rFonts w:ascii="Arial" w:eastAsia="Times New Roman" w:hAnsi="Arial" w:cs="Arial"/>
                <w:b/>
                <w:bCs/>
                <w:color w:val="000000"/>
                <w:sz w:val="20"/>
                <w:szCs w:val="20"/>
                <w:lang w:eastAsia="pt-BR"/>
              </w:rPr>
            </w:pPr>
          </w:p>
        </w:tc>
        <w:tc>
          <w:tcPr>
            <w:tcW w:w="1208"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Carta Convite</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56,3%</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88,9%</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50,0%</w:t>
            </w:r>
          </w:p>
        </w:tc>
        <w:tc>
          <w:tcPr>
            <w:tcW w:w="1126" w:type="dxa"/>
            <w:tcBorders>
              <w:top w:val="nil"/>
              <w:left w:val="nil"/>
              <w:bottom w:val="single" w:sz="4" w:space="0" w:color="auto"/>
              <w:right w:val="single" w:sz="4" w:space="0" w:color="auto"/>
            </w:tcBorders>
            <w:shd w:val="clear" w:color="auto" w:fill="auto"/>
            <w:noWrap/>
            <w:vAlign w:val="center"/>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56,3%</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88,9%</w:t>
            </w:r>
          </w:p>
        </w:tc>
      </w:tr>
      <w:tr w:rsidR="00E43886" w:rsidRPr="00030D4D" w:rsidTr="00E43886">
        <w:trPr>
          <w:trHeight w:val="254"/>
        </w:trPr>
        <w:tc>
          <w:tcPr>
            <w:tcW w:w="236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 Subtotal Convênios ICT</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50,7%</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88,2%</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44,7%</w:t>
            </w:r>
          </w:p>
        </w:tc>
        <w:tc>
          <w:tcPr>
            <w:tcW w:w="1126" w:type="dxa"/>
            <w:tcBorders>
              <w:top w:val="nil"/>
              <w:left w:val="nil"/>
              <w:bottom w:val="single" w:sz="4" w:space="0" w:color="auto"/>
              <w:right w:val="single" w:sz="4" w:space="0" w:color="auto"/>
            </w:tcBorders>
            <w:shd w:val="clear" w:color="auto" w:fill="auto"/>
            <w:noWrap/>
            <w:vAlign w:val="center"/>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34,9%</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67,6%</w:t>
            </w:r>
          </w:p>
        </w:tc>
      </w:tr>
      <w:tr w:rsidR="00E43886" w:rsidRPr="00030D4D" w:rsidTr="00E43886">
        <w:trPr>
          <w:trHeight w:val="254"/>
        </w:trPr>
        <w:tc>
          <w:tcPr>
            <w:tcW w:w="1159" w:type="dxa"/>
            <w:tcBorders>
              <w:top w:val="nil"/>
              <w:left w:val="single" w:sz="4" w:space="0" w:color="auto"/>
              <w:bottom w:val="single" w:sz="4" w:space="0" w:color="auto"/>
              <w:right w:val="single" w:sz="4" w:space="0" w:color="auto"/>
            </w:tcBorders>
            <w:shd w:val="clear" w:color="auto" w:fill="auto"/>
            <w:vAlign w:val="center"/>
            <w:hideMark/>
          </w:tcPr>
          <w:p w:rsidR="00E43886" w:rsidRPr="00030D4D" w:rsidRDefault="00E43886" w:rsidP="00E43886">
            <w:pPr>
              <w:spacing w:before="0" w:after="0" w:line="240" w:lineRule="auto"/>
              <w:jc w:val="lef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Cooperativos </w:t>
            </w:r>
          </w:p>
        </w:tc>
        <w:tc>
          <w:tcPr>
            <w:tcW w:w="1208" w:type="dxa"/>
            <w:tcBorders>
              <w:top w:val="nil"/>
              <w:left w:val="nil"/>
              <w:bottom w:val="single" w:sz="4" w:space="0" w:color="auto"/>
              <w:right w:val="single" w:sz="4" w:space="0" w:color="auto"/>
            </w:tcBorders>
            <w:shd w:val="clear" w:color="auto" w:fill="auto"/>
            <w:vAlign w:val="bottom"/>
            <w:hideMark/>
          </w:tcPr>
          <w:p w:rsidR="00E43886" w:rsidRPr="00030D4D" w:rsidRDefault="00E43886" w:rsidP="00E4388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39,7%</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87,1%</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34,6%</w:t>
            </w:r>
          </w:p>
        </w:tc>
        <w:tc>
          <w:tcPr>
            <w:tcW w:w="1126" w:type="dxa"/>
            <w:tcBorders>
              <w:top w:val="nil"/>
              <w:left w:val="nil"/>
              <w:bottom w:val="single" w:sz="4" w:space="0" w:color="auto"/>
              <w:right w:val="single" w:sz="4" w:space="0" w:color="auto"/>
            </w:tcBorders>
            <w:shd w:val="clear" w:color="auto" w:fill="auto"/>
            <w:noWrap/>
            <w:vAlign w:val="center"/>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39,7%</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87,1%</w:t>
            </w:r>
          </w:p>
        </w:tc>
      </w:tr>
      <w:tr w:rsidR="00E43886" w:rsidRPr="00030D4D" w:rsidTr="00E43886">
        <w:trPr>
          <w:trHeight w:val="254"/>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Eventos</w:t>
            </w:r>
          </w:p>
        </w:tc>
        <w:tc>
          <w:tcPr>
            <w:tcW w:w="1208"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w:t>
            </w:r>
          </w:p>
        </w:tc>
        <w:tc>
          <w:tcPr>
            <w:tcW w:w="1043"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0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126" w:type="dxa"/>
            <w:tcBorders>
              <w:top w:val="nil"/>
              <w:left w:val="nil"/>
              <w:bottom w:val="single" w:sz="4" w:space="0" w:color="auto"/>
              <w:right w:val="single" w:sz="4" w:space="0" w:color="auto"/>
            </w:tcBorders>
            <w:shd w:val="clear" w:color="auto" w:fill="auto"/>
            <w:noWrap/>
            <w:vAlign w:val="center"/>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59"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126" w:type="dxa"/>
            <w:tcBorders>
              <w:top w:val="nil"/>
              <w:left w:val="nil"/>
              <w:bottom w:val="single" w:sz="4" w:space="0" w:color="auto"/>
              <w:right w:val="single" w:sz="4" w:space="0" w:color="auto"/>
            </w:tcBorders>
            <w:shd w:val="clear" w:color="auto" w:fill="auto"/>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r>
      <w:tr w:rsidR="00E43886" w:rsidRPr="00030D4D" w:rsidTr="00E43886">
        <w:trPr>
          <w:trHeight w:val="254"/>
        </w:trPr>
        <w:tc>
          <w:tcPr>
            <w:tcW w:w="2368" w:type="dxa"/>
            <w:gridSpan w:val="2"/>
            <w:tcBorders>
              <w:top w:val="single" w:sz="4" w:space="0" w:color="auto"/>
              <w:left w:val="single" w:sz="4" w:space="0" w:color="auto"/>
              <w:bottom w:val="single" w:sz="4" w:space="0" w:color="auto"/>
              <w:right w:val="single" w:sz="4" w:space="0" w:color="000000"/>
            </w:tcBorders>
            <w:shd w:val="clear" w:color="000000" w:fill="D0CECE"/>
            <w:noWrap/>
            <w:vAlign w:val="bottom"/>
            <w:hideMark/>
          </w:tcPr>
          <w:p w:rsidR="00E43886" w:rsidRPr="00030D4D" w:rsidRDefault="00E43886" w:rsidP="00E4388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(1+2+3+4)</w:t>
            </w:r>
          </w:p>
        </w:tc>
        <w:tc>
          <w:tcPr>
            <w:tcW w:w="1043" w:type="dxa"/>
            <w:tcBorders>
              <w:top w:val="nil"/>
              <w:left w:val="nil"/>
              <w:bottom w:val="single" w:sz="4" w:space="0" w:color="auto"/>
              <w:right w:val="single" w:sz="4" w:space="0" w:color="auto"/>
            </w:tcBorders>
            <w:shd w:val="clear" w:color="000000" w:fill="D0CECE"/>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35,1%</w:t>
            </w:r>
          </w:p>
        </w:tc>
        <w:tc>
          <w:tcPr>
            <w:tcW w:w="1126" w:type="dxa"/>
            <w:tcBorders>
              <w:top w:val="nil"/>
              <w:left w:val="nil"/>
              <w:bottom w:val="single" w:sz="4" w:space="0" w:color="auto"/>
              <w:right w:val="single" w:sz="4" w:space="0" w:color="auto"/>
            </w:tcBorders>
            <w:shd w:val="clear" w:color="000000" w:fill="D0CECE"/>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86,7%</w:t>
            </w:r>
          </w:p>
        </w:tc>
        <w:tc>
          <w:tcPr>
            <w:tcW w:w="1026" w:type="dxa"/>
            <w:tcBorders>
              <w:top w:val="nil"/>
              <w:left w:val="nil"/>
              <w:bottom w:val="single" w:sz="4" w:space="0" w:color="auto"/>
              <w:right w:val="single" w:sz="4" w:space="0" w:color="auto"/>
            </w:tcBorders>
            <w:shd w:val="clear" w:color="000000" w:fill="D0CECE"/>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30,5%</w:t>
            </w:r>
          </w:p>
        </w:tc>
        <w:tc>
          <w:tcPr>
            <w:tcW w:w="1126" w:type="dxa"/>
            <w:tcBorders>
              <w:top w:val="nil"/>
              <w:left w:val="nil"/>
              <w:bottom w:val="single" w:sz="4" w:space="0" w:color="auto"/>
              <w:right w:val="single" w:sz="4" w:space="0" w:color="auto"/>
            </w:tcBorders>
            <w:shd w:val="clear" w:color="000000" w:fill="D0CECE"/>
            <w:noWrap/>
            <w:vAlign w:val="center"/>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059" w:type="dxa"/>
            <w:tcBorders>
              <w:top w:val="nil"/>
              <w:left w:val="nil"/>
              <w:bottom w:val="single" w:sz="4" w:space="0" w:color="auto"/>
              <w:right w:val="single" w:sz="4" w:space="0" w:color="auto"/>
            </w:tcBorders>
            <w:shd w:val="clear" w:color="000000" w:fill="D0CECE"/>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30,6%</w:t>
            </w:r>
          </w:p>
        </w:tc>
        <w:tc>
          <w:tcPr>
            <w:tcW w:w="1126" w:type="dxa"/>
            <w:tcBorders>
              <w:top w:val="nil"/>
              <w:left w:val="nil"/>
              <w:bottom w:val="single" w:sz="4" w:space="0" w:color="auto"/>
              <w:right w:val="single" w:sz="4" w:space="0" w:color="auto"/>
            </w:tcBorders>
            <w:shd w:val="clear" w:color="000000" w:fill="D0CECE"/>
            <w:noWrap/>
            <w:vAlign w:val="bottom"/>
            <w:hideMark/>
          </w:tcPr>
          <w:p w:rsidR="00E43886" w:rsidRPr="00030D4D" w:rsidRDefault="00E43886" w:rsidP="00E4388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72,5%</w:t>
            </w:r>
          </w:p>
        </w:tc>
      </w:tr>
    </w:tbl>
    <w:p w:rsidR="003B34EE" w:rsidRPr="00030D4D" w:rsidRDefault="00823C69" w:rsidP="00DD5752">
      <w:pPr>
        <w:spacing w:before="0" w:after="0" w:line="240" w:lineRule="auto"/>
        <w:rPr>
          <w:rFonts w:ascii="Arial" w:hAnsi="Arial" w:cs="Arial"/>
          <w:sz w:val="20"/>
          <w:szCs w:val="20"/>
        </w:rPr>
      </w:pPr>
      <w:r w:rsidRPr="00030D4D">
        <w:rPr>
          <w:rFonts w:ascii="Arial" w:hAnsi="Arial" w:cs="Arial"/>
          <w:sz w:val="20"/>
          <w:szCs w:val="20"/>
        </w:rPr>
        <w:t>Fonte: Elaboração própria com base na Tabela 10.</w:t>
      </w:r>
    </w:p>
    <w:p w:rsidR="003B34EE" w:rsidRPr="00030D4D" w:rsidRDefault="003B34EE" w:rsidP="00730A9A">
      <w:pPr>
        <w:rPr>
          <w:rFonts w:ascii="Arial" w:hAnsi="Arial" w:cs="Arial"/>
        </w:rPr>
      </w:pPr>
    </w:p>
    <w:p w:rsidR="00AD5729" w:rsidRPr="00030D4D" w:rsidRDefault="00783987" w:rsidP="00730A9A">
      <w:pPr>
        <w:rPr>
          <w:rFonts w:ascii="Arial" w:hAnsi="Arial" w:cs="Arial"/>
        </w:rPr>
        <w:sectPr w:rsidR="00AD5729" w:rsidRPr="00030D4D" w:rsidSect="00EA0E4A">
          <w:pgSz w:w="11906" w:h="16838"/>
          <w:pgMar w:top="1417" w:right="1701" w:bottom="1417" w:left="1701" w:header="708" w:footer="708" w:gutter="0"/>
          <w:cols w:space="708"/>
          <w:docGrid w:linePitch="360"/>
        </w:sectPr>
      </w:pPr>
      <w:r w:rsidRPr="00030D4D">
        <w:rPr>
          <w:rFonts w:ascii="Arial" w:hAnsi="Arial" w:cs="Arial"/>
        </w:rPr>
        <w:t>Em termos da demanda financeira, os 2.343 projetos aprese</w:t>
      </w:r>
      <w:r w:rsidR="00AE1235" w:rsidRPr="00030D4D">
        <w:rPr>
          <w:rFonts w:ascii="Arial" w:hAnsi="Arial" w:cs="Arial"/>
        </w:rPr>
        <w:t>ntados</w:t>
      </w:r>
      <w:r w:rsidRPr="00030D4D">
        <w:rPr>
          <w:rFonts w:ascii="Arial" w:hAnsi="Arial" w:cs="Arial"/>
        </w:rPr>
        <w:t xml:space="preserve"> significaram uma demanda de aproximadamente R$</w:t>
      </w:r>
      <w:r w:rsidR="00E46843" w:rsidRPr="00030D4D">
        <w:rPr>
          <w:rFonts w:ascii="Arial" w:hAnsi="Arial" w:cs="Arial"/>
        </w:rPr>
        <w:t>8,</w:t>
      </w:r>
      <w:r w:rsidRPr="00030D4D">
        <w:rPr>
          <w:rFonts w:ascii="Arial" w:hAnsi="Arial" w:cs="Arial"/>
        </w:rPr>
        <w:t xml:space="preserve">9 bilhões, excluindo-se a contrapartida das empresas. </w:t>
      </w:r>
      <w:r w:rsidR="00D3006D" w:rsidRPr="00030D4D">
        <w:rPr>
          <w:rFonts w:ascii="Arial" w:hAnsi="Arial" w:cs="Arial"/>
        </w:rPr>
        <w:t>Um valor médio de R$3,</w:t>
      </w:r>
      <w:r w:rsidR="005A350B" w:rsidRPr="00030D4D">
        <w:rPr>
          <w:rFonts w:ascii="Arial" w:hAnsi="Arial" w:cs="Arial"/>
        </w:rPr>
        <w:t>8</w:t>
      </w:r>
      <w:r w:rsidR="00D3006D" w:rsidRPr="00030D4D">
        <w:rPr>
          <w:rFonts w:ascii="Arial" w:hAnsi="Arial" w:cs="Arial"/>
        </w:rPr>
        <w:t xml:space="preserve"> milh</w:t>
      </w:r>
      <w:r w:rsidR="005A350B" w:rsidRPr="00030D4D">
        <w:rPr>
          <w:rFonts w:ascii="Arial" w:hAnsi="Arial" w:cs="Arial"/>
        </w:rPr>
        <w:t>ões por projeto</w:t>
      </w:r>
      <w:r w:rsidR="00D3006D" w:rsidRPr="00030D4D">
        <w:rPr>
          <w:rFonts w:ascii="Arial" w:hAnsi="Arial" w:cs="Arial"/>
        </w:rPr>
        <w:t xml:space="preserve">. </w:t>
      </w:r>
      <w:r w:rsidRPr="00030D4D">
        <w:rPr>
          <w:rFonts w:ascii="Arial" w:hAnsi="Arial" w:cs="Arial"/>
        </w:rPr>
        <w:t>D</w:t>
      </w:r>
      <w:r w:rsidR="00AE1235" w:rsidRPr="00030D4D">
        <w:rPr>
          <w:rFonts w:ascii="Arial" w:hAnsi="Arial" w:cs="Arial"/>
        </w:rPr>
        <w:t>o</w:t>
      </w:r>
      <w:r w:rsidRPr="00030D4D">
        <w:rPr>
          <w:rFonts w:ascii="Arial" w:hAnsi="Arial" w:cs="Arial"/>
        </w:rPr>
        <w:t xml:space="preserve"> tota</w:t>
      </w:r>
      <w:r w:rsidR="00AE1235" w:rsidRPr="00030D4D">
        <w:rPr>
          <w:rFonts w:ascii="Arial" w:hAnsi="Arial" w:cs="Arial"/>
        </w:rPr>
        <w:t xml:space="preserve">l apresentado </w:t>
      </w:r>
      <w:r w:rsidRPr="00030D4D">
        <w:rPr>
          <w:rFonts w:ascii="Arial" w:hAnsi="Arial" w:cs="Arial"/>
        </w:rPr>
        <w:t>foram aprovados R$2,6 bilhões (30,2%) e contratados R$ 2,1 bilhões (78,2%)</w:t>
      </w:r>
      <w:r w:rsidR="00B949D9" w:rsidRPr="00030D4D">
        <w:rPr>
          <w:rFonts w:ascii="Arial" w:hAnsi="Arial" w:cs="Arial"/>
        </w:rPr>
        <w:t xml:space="preserve"> (Tabela 12)</w:t>
      </w:r>
      <w:r w:rsidRPr="00030D4D">
        <w:rPr>
          <w:rFonts w:ascii="Arial" w:hAnsi="Arial" w:cs="Arial"/>
        </w:rPr>
        <w:t xml:space="preserve">. </w:t>
      </w:r>
      <w:r w:rsidR="00E46843" w:rsidRPr="00030D4D">
        <w:rPr>
          <w:rFonts w:ascii="Arial" w:hAnsi="Arial" w:cs="Arial"/>
        </w:rPr>
        <w:t xml:space="preserve"> </w:t>
      </w:r>
    </w:p>
    <w:p w:rsidR="00AD5729" w:rsidRPr="00030D4D" w:rsidRDefault="00AD5729" w:rsidP="00AD5729">
      <w:pPr>
        <w:pStyle w:val="Caption"/>
        <w:rPr>
          <w:rFonts w:ascii="Arial" w:hAnsi="Arial" w:cs="Arial"/>
        </w:rPr>
      </w:pPr>
      <w:bookmarkStart w:id="70" w:name="_Toc482828504"/>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12</w:t>
      </w:r>
      <w:r w:rsidR="005271BC" w:rsidRPr="00030D4D">
        <w:rPr>
          <w:rFonts w:ascii="Arial" w:hAnsi="Arial" w:cs="Arial"/>
          <w:noProof/>
        </w:rPr>
        <w:fldChar w:fldCharType="end"/>
      </w:r>
      <w:r w:rsidRPr="00030D4D">
        <w:rPr>
          <w:rFonts w:ascii="Arial" w:hAnsi="Arial" w:cs="Arial"/>
        </w:rPr>
        <w:t>. Finep. Instrumento não reembolsável, valor de projetos apresentado, aprovado e contratado, entre 2013 e 2016</w:t>
      </w:r>
      <w:bookmarkEnd w:id="70"/>
    </w:p>
    <w:tbl>
      <w:tblPr>
        <w:tblW w:w="15236" w:type="dxa"/>
        <w:tblInd w:w="-621" w:type="dxa"/>
        <w:tblCellMar>
          <w:left w:w="70" w:type="dxa"/>
          <w:right w:w="70" w:type="dxa"/>
        </w:tblCellMar>
        <w:tblLook w:val="04A0" w:firstRow="1" w:lastRow="0" w:firstColumn="1" w:lastColumn="0" w:noHBand="0" w:noVBand="1"/>
      </w:tblPr>
      <w:tblGrid>
        <w:gridCol w:w="1296"/>
        <w:gridCol w:w="994"/>
        <w:gridCol w:w="1164"/>
        <w:gridCol w:w="1216"/>
        <w:gridCol w:w="1216"/>
        <w:gridCol w:w="1163"/>
        <w:gridCol w:w="1164"/>
        <w:gridCol w:w="1216"/>
        <w:gridCol w:w="1216"/>
        <w:gridCol w:w="1163"/>
        <w:gridCol w:w="1164"/>
        <w:gridCol w:w="1216"/>
        <w:gridCol w:w="1216"/>
        <w:gridCol w:w="1163"/>
      </w:tblGrid>
      <w:tr w:rsidR="004959C8" w:rsidRPr="00030D4D" w:rsidTr="004959C8">
        <w:trPr>
          <w:trHeight w:val="196"/>
        </w:trPr>
        <w:tc>
          <w:tcPr>
            <w:tcW w:w="115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Instrumento</w:t>
            </w:r>
          </w:p>
        </w:tc>
        <w:tc>
          <w:tcPr>
            <w:tcW w:w="9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Tipo de Demanda</w:t>
            </w:r>
          </w:p>
        </w:tc>
        <w:tc>
          <w:tcPr>
            <w:tcW w:w="4387" w:type="dxa"/>
            <w:gridSpan w:val="4"/>
            <w:tcBorders>
              <w:top w:val="single" w:sz="4" w:space="0" w:color="auto"/>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2013-2014</w:t>
            </w:r>
          </w:p>
        </w:tc>
        <w:tc>
          <w:tcPr>
            <w:tcW w:w="4387" w:type="dxa"/>
            <w:gridSpan w:val="4"/>
            <w:tcBorders>
              <w:top w:val="single" w:sz="4" w:space="0" w:color="auto"/>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2015-2016</w:t>
            </w:r>
          </w:p>
        </w:tc>
        <w:tc>
          <w:tcPr>
            <w:tcW w:w="4391" w:type="dxa"/>
            <w:gridSpan w:val="4"/>
            <w:tcBorders>
              <w:top w:val="single" w:sz="4" w:space="0" w:color="auto"/>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2013-2016</w:t>
            </w:r>
          </w:p>
        </w:tc>
      </w:tr>
      <w:tr w:rsidR="004959C8" w:rsidRPr="00030D4D" w:rsidTr="004959C8">
        <w:trPr>
          <w:trHeight w:val="1014"/>
        </w:trPr>
        <w:tc>
          <w:tcPr>
            <w:tcW w:w="1158" w:type="dxa"/>
            <w:vMerge/>
            <w:tcBorders>
              <w:top w:val="single" w:sz="4" w:space="0" w:color="auto"/>
              <w:left w:val="single" w:sz="4" w:space="0" w:color="auto"/>
              <w:bottom w:val="single" w:sz="4" w:space="0" w:color="000000"/>
              <w:right w:val="single" w:sz="4" w:space="0" w:color="auto"/>
            </w:tcBorders>
            <w:vAlign w:val="center"/>
            <w:hideMark/>
          </w:tcPr>
          <w:p w:rsidR="004959C8" w:rsidRPr="00030D4D" w:rsidRDefault="004959C8" w:rsidP="004959C8">
            <w:pPr>
              <w:spacing w:before="0" w:after="0" w:line="240" w:lineRule="auto"/>
              <w:jc w:val="left"/>
              <w:rPr>
                <w:rFonts w:ascii="Arial" w:eastAsia="Times New Roman" w:hAnsi="Arial" w:cs="Arial"/>
                <w:b/>
                <w:bCs/>
                <w:color w:val="000000"/>
                <w:sz w:val="16"/>
                <w:szCs w:val="16"/>
                <w:lang w:eastAsia="pt-BR"/>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959C8" w:rsidRPr="00030D4D" w:rsidRDefault="004959C8" w:rsidP="004959C8">
            <w:pPr>
              <w:spacing w:before="0" w:after="0" w:line="240" w:lineRule="auto"/>
              <w:jc w:val="left"/>
              <w:rPr>
                <w:rFonts w:ascii="Arial" w:eastAsia="Times New Roman" w:hAnsi="Arial" w:cs="Arial"/>
                <w:b/>
                <w:bCs/>
                <w:color w:val="000000"/>
                <w:sz w:val="16"/>
                <w:szCs w:val="16"/>
                <w:lang w:eastAsia="pt-BR"/>
              </w:rPr>
            </w:pPr>
          </w:p>
        </w:tc>
        <w:tc>
          <w:tcPr>
            <w:tcW w:w="1092"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Valor apresentado</w:t>
            </w:r>
          </w:p>
        </w:tc>
        <w:tc>
          <w:tcPr>
            <w:tcW w:w="111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aprovado (sem contrapartida)</w:t>
            </w:r>
          </w:p>
        </w:tc>
        <w:tc>
          <w:tcPr>
            <w:tcW w:w="111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contratado Finep          (sem contrapartida)</w:t>
            </w:r>
          </w:p>
        </w:tc>
        <w:tc>
          <w:tcPr>
            <w:tcW w:w="106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da contrapartida das empresas</w:t>
            </w:r>
          </w:p>
        </w:tc>
        <w:tc>
          <w:tcPr>
            <w:tcW w:w="1092"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apresentado</w:t>
            </w:r>
          </w:p>
        </w:tc>
        <w:tc>
          <w:tcPr>
            <w:tcW w:w="111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aprovado (sem contrapartida)</w:t>
            </w:r>
          </w:p>
        </w:tc>
        <w:tc>
          <w:tcPr>
            <w:tcW w:w="111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contratado Finep          (sem contrapartida)</w:t>
            </w:r>
          </w:p>
        </w:tc>
        <w:tc>
          <w:tcPr>
            <w:tcW w:w="106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da contrapartida das empresas</w:t>
            </w:r>
          </w:p>
        </w:tc>
        <w:tc>
          <w:tcPr>
            <w:tcW w:w="1092"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apresentado</w:t>
            </w:r>
          </w:p>
        </w:tc>
        <w:tc>
          <w:tcPr>
            <w:tcW w:w="111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aprovado (sem contrapartida)</w:t>
            </w:r>
          </w:p>
        </w:tc>
        <w:tc>
          <w:tcPr>
            <w:tcW w:w="1115"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sz w:val="16"/>
                <w:szCs w:val="16"/>
                <w:lang w:eastAsia="pt-BR"/>
              </w:rPr>
            </w:pPr>
            <w:r w:rsidRPr="00030D4D">
              <w:rPr>
                <w:rFonts w:ascii="Arial" w:eastAsia="Times New Roman" w:hAnsi="Arial" w:cs="Arial"/>
                <w:b/>
                <w:bCs/>
                <w:sz w:val="16"/>
                <w:szCs w:val="16"/>
                <w:lang w:eastAsia="pt-BR"/>
              </w:rPr>
              <w:t>Valor contratado Finep          (sem contrapartida)</w:t>
            </w:r>
          </w:p>
        </w:tc>
        <w:tc>
          <w:tcPr>
            <w:tcW w:w="1069"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Valor da contrapartida das empresas</w:t>
            </w:r>
          </w:p>
        </w:tc>
      </w:tr>
      <w:tr w:rsidR="004959C8" w:rsidRPr="00030D4D" w:rsidTr="004959C8">
        <w:trPr>
          <w:trHeight w:val="512"/>
        </w:trPr>
        <w:tc>
          <w:tcPr>
            <w:tcW w:w="1158" w:type="dxa"/>
            <w:tcBorders>
              <w:top w:val="nil"/>
              <w:left w:val="single" w:sz="4" w:space="0" w:color="auto"/>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1. Subvenção</w:t>
            </w:r>
          </w:p>
        </w:tc>
        <w:tc>
          <w:tcPr>
            <w:tcW w:w="913"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Encomenda</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2.149.931.749</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532.929.009</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452.157.041</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420.778.900</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129.019.099</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22.498.588</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22.498.588</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2.924.484</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2.278.950.848</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555.427.597</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474.655.630</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423.703.384</w:t>
            </w:r>
          </w:p>
        </w:tc>
      </w:tr>
      <w:tr w:rsidR="004959C8" w:rsidRPr="00030D4D" w:rsidTr="004959C8">
        <w:trPr>
          <w:trHeight w:val="512"/>
        </w:trPr>
        <w:tc>
          <w:tcPr>
            <w:tcW w:w="1158" w:type="dxa"/>
            <w:vMerge w:val="restart"/>
            <w:tcBorders>
              <w:top w:val="nil"/>
              <w:left w:val="single" w:sz="4" w:space="0" w:color="auto"/>
              <w:bottom w:val="single" w:sz="4" w:space="0" w:color="auto"/>
              <w:right w:val="single" w:sz="4" w:space="0" w:color="auto"/>
            </w:tcBorders>
            <w:shd w:val="clear" w:color="auto" w:fill="auto"/>
            <w:vAlign w:val="center"/>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Convênios com ICT</w:t>
            </w:r>
          </w:p>
        </w:tc>
        <w:tc>
          <w:tcPr>
            <w:tcW w:w="913"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Editais e/ou Chamadas Públicas</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2.134.992.521</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611.068.503</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588.440.593</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32.233.158</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1.619.467.818</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117.880.893</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40.319.123</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121.630</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3.754.460.339</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728.949.397</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628.759.716</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32.354.788</w:t>
            </w:r>
          </w:p>
        </w:tc>
      </w:tr>
      <w:tr w:rsidR="004959C8" w:rsidRPr="00030D4D" w:rsidTr="004959C8">
        <w:trPr>
          <w:trHeight w:val="196"/>
        </w:trPr>
        <w:tc>
          <w:tcPr>
            <w:tcW w:w="1158" w:type="dxa"/>
            <w:vMerge/>
            <w:tcBorders>
              <w:top w:val="nil"/>
              <w:left w:val="single" w:sz="4" w:space="0" w:color="auto"/>
              <w:bottom w:val="single" w:sz="4" w:space="0" w:color="auto"/>
              <w:right w:val="single" w:sz="4" w:space="0" w:color="auto"/>
            </w:tcBorders>
            <w:vAlign w:val="center"/>
            <w:hideMark/>
          </w:tcPr>
          <w:p w:rsidR="004959C8" w:rsidRPr="00030D4D" w:rsidRDefault="004959C8" w:rsidP="004959C8">
            <w:pPr>
              <w:spacing w:before="0" w:after="0" w:line="240" w:lineRule="auto"/>
              <w:jc w:val="left"/>
              <w:rPr>
                <w:rFonts w:ascii="Arial" w:eastAsia="Times New Roman" w:hAnsi="Arial" w:cs="Arial"/>
                <w:b/>
                <w:bCs/>
                <w:color w:val="000000"/>
                <w:sz w:val="16"/>
                <w:szCs w:val="16"/>
                <w:lang w:eastAsia="pt-BR"/>
              </w:rPr>
            </w:pPr>
          </w:p>
        </w:tc>
        <w:tc>
          <w:tcPr>
            <w:tcW w:w="913"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Encomenda</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921.938.048</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795.600.079</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759.688.597</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7.832.677</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1.786.724.449</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555.745.298</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190.285.914</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10.119.986</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2.708.662.497</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1.351.345.377</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949.974.510</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17.952.663</w:t>
            </w:r>
          </w:p>
        </w:tc>
      </w:tr>
      <w:tr w:rsidR="004959C8" w:rsidRPr="00030D4D" w:rsidTr="004959C8">
        <w:trPr>
          <w:trHeight w:val="343"/>
        </w:trPr>
        <w:tc>
          <w:tcPr>
            <w:tcW w:w="1158" w:type="dxa"/>
            <w:vMerge/>
            <w:tcBorders>
              <w:top w:val="nil"/>
              <w:left w:val="single" w:sz="4" w:space="0" w:color="auto"/>
              <w:bottom w:val="single" w:sz="4" w:space="0" w:color="auto"/>
              <w:right w:val="single" w:sz="4" w:space="0" w:color="auto"/>
            </w:tcBorders>
            <w:vAlign w:val="center"/>
            <w:hideMark/>
          </w:tcPr>
          <w:p w:rsidR="004959C8" w:rsidRPr="00030D4D" w:rsidRDefault="004959C8" w:rsidP="004959C8">
            <w:pPr>
              <w:spacing w:before="0" w:after="0" w:line="240" w:lineRule="auto"/>
              <w:jc w:val="left"/>
              <w:rPr>
                <w:rFonts w:ascii="Arial" w:eastAsia="Times New Roman" w:hAnsi="Arial" w:cs="Arial"/>
                <w:b/>
                <w:bCs/>
                <w:color w:val="000000"/>
                <w:sz w:val="16"/>
                <w:szCs w:val="16"/>
                <w:lang w:eastAsia="pt-BR"/>
              </w:rPr>
            </w:pPr>
          </w:p>
        </w:tc>
        <w:tc>
          <w:tcPr>
            <w:tcW w:w="913"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Carta Convite</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50.444.286</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19.930.339</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17.491.914</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609.250</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50.444.286</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19.930.339</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17.491.914</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609.250</w:t>
            </w:r>
          </w:p>
        </w:tc>
      </w:tr>
      <w:tr w:rsidR="004959C8" w:rsidRPr="00030D4D" w:rsidTr="004959C8">
        <w:trPr>
          <w:trHeight w:val="343"/>
        </w:trPr>
        <w:tc>
          <w:tcPr>
            <w:tcW w:w="207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 Subtotal Convênios ICT</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3.107.374.854</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1.426.598.921</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1.365.621.103</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40.675.085</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3.406.192.267</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673.626.191</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230.605.036</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10.241.617</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6.513.567.122</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2.100.225.113</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1.596.226.140</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50.916.701</w:t>
            </w:r>
          </w:p>
        </w:tc>
      </w:tr>
      <w:tr w:rsidR="004959C8" w:rsidRPr="00030D4D" w:rsidTr="004959C8">
        <w:trPr>
          <w:trHeight w:val="512"/>
        </w:trPr>
        <w:tc>
          <w:tcPr>
            <w:tcW w:w="1158" w:type="dxa"/>
            <w:tcBorders>
              <w:top w:val="nil"/>
              <w:left w:val="single" w:sz="4" w:space="0" w:color="auto"/>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3.Cooperativos</w:t>
            </w:r>
          </w:p>
        </w:tc>
        <w:tc>
          <w:tcPr>
            <w:tcW w:w="913"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Editais e/ou Chamadas Públicas</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106.247.296</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35.050.622</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31.637.604</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1.131.733</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106.247.296</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35.050.622</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31.637.604</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1.131.733</w:t>
            </w:r>
          </w:p>
        </w:tc>
      </w:tr>
      <w:tr w:rsidR="004959C8" w:rsidRPr="00030D4D" w:rsidTr="004959C8">
        <w:trPr>
          <w:trHeight w:val="196"/>
        </w:trPr>
        <w:tc>
          <w:tcPr>
            <w:tcW w:w="1158" w:type="dxa"/>
            <w:tcBorders>
              <w:top w:val="nil"/>
              <w:left w:val="single" w:sz="4" w:space="0" w:color="auto"/>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4. Eventos</w:t>
            </w:r>
          </w:p>
        </w:tc>
        <w:tc>
          <w:tcPr>
            <w:tcW w:w="913" w:type="dxa"/>
            <w:tcBorders>
              <w:top w:val="nil"/>
              <w:left w:val="nil"/>
              <w:bottom w:val="single" w:sz="4" w:space="0" w:color="auto"/>
              <w:right w:val="single" w:sz="4" w:space="0" w:color="auto"/>
            </w:tcBorders>
            <w:shd w:val="clear" w:color="auto" w:fill="auto"/>
            <w:vAlign w:val="bottom"/>
            <w:hideMark/>
          </w:tcPr>
          <w:p w:rsidR="004959C8" w:rsidRPr="00030D4D" w:rsidRDefault="004959C8" w:rsidP="004959C8">
            <w:pPr>
              <w:spacing w:before="0" w:after="0" w:line="240" w:lineRule="auto"/>
              <w:jc w:val="lef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 </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1.414.480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1.374.480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1.374.480</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480.000</w:t>
            </w:r>
          </w:p>
        </w:tc>
        <w:tc>
          <w:tcPr>
            <w:tcW w:w="1092"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11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065" w:type="dxa"/>
            <w:tcBorders>
              <w:top w:val="nil"/>
              <w:left w:val="nil"/>
              <w:bottom w:val="single" w:sz="4" w:space="0" w:color="auto"/>
              <w:right w:val="single" w:sz="4" w:space="0" w:color="auto"/>
            </w:tcBorders>
            <w:shd w:val="clear" w:color="auto" w:fill="auto"/>
            <w:noWrap/>
            <w:vAlign w:val="center"/>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0</w:t>
            </w:r>
          </w:p>
        </w:tc>
        <w:tc>
          <w:tcPr>
            <w:tcW w:w="1092"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1.414.480</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1.374.480</w:t>
            </w:r>
          </w:p>
        </w:tc>
        <w:tc>
          <w:tcPr>
            <w:tcW w:w="1115"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1.374.480</w:t>
            </w:r>
          </w:p>
        </w:tc>
        <w:tc>
          <w:tcPr>
            <w:tcW w:w="1069" w:type="dxa"/>
            <w:tcBorders>
              <w:top w:val="nil"/>
              <w:left w:val="nil"/>
              <w:bottom w:val="single" w:sz="4" w:space="0" w:color="auto"/>
              <w:right w:val="single" w:sz="4" w:space="0" w:color="auto"/>
            </w:tcBorders>
            <w:shd w:val="clear" w:color="auto" w:fill="auto"/>
            <w:noWrap/>
            <w:vAlign w:val="bottom"/>
            <w:hideMark/>
          </w:tcPr>
          <w:p w:rsidR="004959C8" w:rsidRPr="00030D4D" w:rsidRDefault="004959C8" w:rsidP="004959C8">
            <w:pPr>
              <w:spacing w:before="0" w:after="0" w:line="240" w:lineRule="auto"/>
              <w:jc w:val="right"/>
              <w:rPr>
                <w:rFonts w:ascii="Arial" w:eastAsia="Times New Roman" w:hAnsi="Arial" w:cs="Arial"/>
                <w:color w:val="000000"/>
                <w:sz w:val="16"/>
                <w:szCs w:val="16"/>
                <w:lang w:eastAsia="pt-BR"/>
              </w:rPr>
            </w:pPr>
            <w:r w:rsidRPr="00030D4D">
              <w:rPr>
                <w:rFonts w:ascii="Arial" w:eastAsia="Times New Roman" w:hAnsi="Arial" w:cs="Arial"/>
                <w:color w:val="000000"/>
                <w:sz w:val="16"/>
                <w:szCs w:val="16"/>
                <w:lang w:eastAsia="pt-BR"/>
              </w:rPr>
              <w:t>480.000</w:t>
            </w:r>
          </w:p>
        </w:tc>
      </w:tr>
      <w:tr w:rsidR="004959C8" w:rsidRPr="00030D4D" w:rsidTr="004959C8">
        <w:trPr>
          <w:trHeight w:val="196"/>
        </w:trPr>
        <w:tc>
          <w:tcPr>
            <w:tcW w:w="2071" w:type="dxa"/>
            <w:gridSpan w:val="2"/>
            <w:tcBorders>
              <w:top w:val="single" w:sz="4" w:space="0" w:color="auto"/>
              <w:left w:val="single" w:sz="4" w:space="0" w:color="auto"/>
              <w:bottom w:val="single" w:sz="4" w:space="0" w:color="auto"/>
              <w:right w:val="single" w:sz="4" w:space="0" w:color="000000"/>
            </w:tcBorders>
            <w:shd w:val="clear" w:color="000000" w:fill="D0CECE"/>
            <w:vAlign w:val="bottom"/>
            <w:hideMark/>
          </w:tcPr>
          <w:p w:rsidR="004959C8" w:rsidRPr="00030D4D" w:rsidRDefault="004959C8" w:rsidP="004959C8">
            <w:pPr>
              <w:spacing w:before="0" w:after="0" w:line="240" w:lineRule="auto"/>
              <w:jc w:val="center"/>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Total</w:t>
            </w:r>
          </w:p>
        </w:tc>
        <w:tc>
          <w:tcPr>
            <w:tcW w:w="1092"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5.364.968.379</w:t>
            </w:r>
          </w:p>
        </w:tc>
        <w:tc>
          <w:tcPr>
            <w:tcW w:w="1115"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1.995.953.033</w:t>
            </w:r>
          </w:p>
        </w:tc>
        <w:tc>
          <w:tcPr>
            <w:tcW w:w="1115"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1.850.790.229</w:t>
            </w:r>
          </w:p>
        </w:tc>
        <w:tc>
          <w:tcPr>
            <w:tcW w:w="1065"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463.065.719</w:t>
            </w:r>
          </w:p>
        </w:tc>
        <w:tc>
          <w:tcPr>
            <w:tcW w:w="1092"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3.535.211.366</w:t>
            </w:r>
          </w:p>
        </w:tc>
        <w:tc>
          <w:tcPr>
            <w:tcW w:w="1115"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696.124.780</w:t>
            </w:r>
          </w:p>
        </w:tc>
        <w:tc>
          <w:tcPr>
            <w:tcW w:w="1115"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253.103.625</w:t>
            </w:r>
          </w:p>
        </w:tc>
        <w:tc>
          <w:tcPr>
            <w:tcW w:w="1065" w:type="dxa"/>
            <w:tcBorders>
              <w:top w:val="nil"/>
              <w:left w:val="nil"/>
              <w:bottom w:val="single" w:sz="4" w:space="0" w:color="auto"/>
              <w:right w:val="single" w:sz="4" w:space="0" w:color="auto"/>
            </w:tcBorders>
            <w:shd w:val="clear" w:color="000000" w:fill="D0CECE"/>
            <w:noWrap/>
            <w:vAlign w:val="center"/>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13.166.100</w:t>
            </w:r>
          </w:p>
        </w:tc>
        <w:tc>
          <w:tcPr>
            <w:tcW w:w="1092" w:type="dxa"/>
            <w:tcBorders>
              <w:top w:val="nil"/>
              <w:left w:val="nil"/>
              <w:bottom w:val="single" w:sz="4" w:space="0" w:color="auto"/>
              <w:right w:val="single" w:sz="4" w:space="0" w:color="auto"/>
            </w:tcBorders>
            <w:shd w:val="clear" w:color="000000" w:fill="D0CECE"/>
            <w:noWrap/>
            <w:vAlign w:val="bottom"/>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8.900.179.745</w:t>
            </w:r>
          </w:p>
        </w:tc>
        <w:tc>
          <w:tcPr>
            <w:tcW w:w="1115" w:type="dxa"/>
            <w:tcBorders>
              <w:top w:val="nil"/>
              <w:left w:val="nil"/>
              <w:bottom w:val="single" w:sz="4" w:space="0" w:color="auto"/>
              <w:right w:val="single" w:sz="4" w:space="0" w:color="auto"/>
            </w:tcBorders>
            <w:shd w:val="clear" w:color="000000" w:fill="D0CECE"/>
            <w:noWrap/>
            <w:vAlign w:val="bottom"/>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2.692.077.812</w:t>
            </w:r>
          </w:p>
        </w:tc>
        <w:tc>
          <w:tcPr>
            <w:tcW w:w="1115" w:type="dxa"/>
            <w:tcBorders>
              <w:top w:val="nil"/>
              <w:left w:val="nil"/>
              <w:bottom w:val="single" w:sz="4" w:space="0" w:color="auto"/>
              <w:right w:val="single" w:sz="4" w:space="0" w:color="auto"/>
            </w:tcBorders>
            <w:shd w:val="clear" w:color="000000" w:fill="D0CECE"/>
            <w:noWrap/>
            <w:vAlign w:val="bottom"/>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2.103.893.854</w:t>
            </w:r>
          </w:p>
        </w:tc>
        <w:tc>
          <w:tcPr>
            <w:tcW w:w="1069" w:type="dxa"/>
            <w:tcBorders>
              <w:top w:val="nil"/>
              <w:left w:val="nil"/>
              <w:bottom w:val="single" w:sz="4" w:space="0" w:color="auto"/>
              <w:right w:val="single" w:sz="4" w:space="0" w:color="auto"/>
            </w:tcBorders>
            <w:shd w:val="clear" w:color="000000" w:fill="D0CECE"/>
            <w:noWrap/>
            <w:vAlign w:val="bottom"/>
            <w:hideMark/>
          </w:tcPr>
          <w:p w:rsidR="004959C8" w:rsidRPr="00030D4D" w:rsidRDefault="004959C8" w:rsidP="004959C8">
            <w:pPr>
              <w:spacing w:before="0" w:after="0" w:line="240" w:lineRule="auto"/>
              <w:jc w:val="right"/>
              <w:rPr>
                <w:rFonts w:ascii="Arial" w:eastAsia="Times New Roman" w:hAnsi="Arial" w:cs="Arial"/>
                <w:b/>
                <w:bCs/>
                <w:color w:val="000000"/>
                <w:sz w:val="16"/>
                <w:szCs w:val="16"/>
                <w:lang w:eastAsia="pt-BR"/>
              </w:rPr>
            </w:pPr>
            <w:r w:rsidRPr="00030D4D">
              <w:rPr>
                <w:rFonts w:ascii="Arial" w:eastAsia="Times New Roman" w:hAnsi="Arial" w:cs="Arial"/>
                <w:b/>
                <w:bCs/>
                <w:color w:val="000000"/>
                <w:sz w:val="16"/>
                <w:szCs w:val="16"/>
                <w:lang w:eastAsia="pt-BR"/>
              </w:rPr>
              <w:t>476.231.819</w:t>
            </w:r>
          </w:p>
        </w:tc>
      </w:tr>
    </w:tbl>
    <w:p w:rsidR="007054A7" w:rsidRPr="00030D4D" w:rsidRDefault="007054A7" w:rsidP="007054A7">
      <w:pPr>
        <w:spacing w:before="0" w:after="0" w:line="240" w:lineRule="auto"/>
        <w:rPr>
          <w:rFonts w:ascii="Arial" w:hAnsi="Arial" w:cs="Arial"/>
          <w:sz w:val="20"/>
          <w:szCs w:val="20"/>
        </w:rPr>
      </w:pPr>
      <w:r w:rsidRPr="00030D4D">
        <w:rPr>
          <w:rFonts w:ascii="Arial" w:hAnsi="Arial" w:cs="Arial"/>
          <w:sz w:val="20"/>
          <w:szCs w:val="20"/>
        </w:rPr>
        <w:t>Fonte: Base Departamento de Gestão da Informação (DAGI)/Área de Planejamento (APLA)</w:t>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p>
    <w:p w:rsidR="00AD5729" w:rsidRPr="00030D4D" w:rsidRDefault="007054A7" w:rsidP="007054A7">
      <w:pPr>
        <w:spacing w:before="0" w:after="0" w:line="240" w:lineRule="auto"/>
        <w:rPr>
          <w:rFonts w:ascii="Arial" w:hAnsi="Arial" w:cs="Arial"/>
        </w:rPr>
      </w:pPr>
      <w:r w:rsidRPr="00030D4D">
        <w:rPr>
          <w:rFonts w:ascii="Arial" w:hAnsi="Arial" w:cs="Arial"/>
          <w:sz w:val="20"/>
          <w:szCs w:val="20"/>
        </w:rPr>
        <w:t>Nota: (1) Os projetos de subvenção aprovados no âmbito dos Editais Conjuntos Inova (aqueles editais em que a Finep atuou em parceria com outras instituições para oferecer mais de um instrumento de apoio) foram classificados como encomenda porque adotaram a nomenclatura do fluxo do sistema.</w:t>
      </w:r>
      <w:r w:rsidRPr="00030D4D">
        <w:rPr>
          <w:rFonts w:ascii="Arial" w:hAnsi="Arial" w:cs="Arial"/>
          <w:sz w:val="20"/>
          <w:szCs w:val="20"/>
        </w:rPr>
        <w:tab/>
      </w:r>
      <w:r w:rsidRPr="00030D4D">
        <w:rPr>
          <w:rFonts w:ascii="Arial" w:hAnsi="Arial" w:cs="Arial"/>
          <w:sz w:val="20"/>
          <w:szCs w:val="20"/>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r w:rsidRPr="00030D4D">
        <w:rPr>
          <w:rFonts w:ascii="Arial" w:hAnsi="Arial" w:cs="Arial"/>
        </w:rPr>
        <w:tab/>
      </w:r>
    </w:p>
    <w:p w:rsidR="00AD5729" w:rsidRPr="00030D4D" w:rsidRDefault="00AD5729" w:rsidP="00730A9A">
      <w:pPr>
        <w:rPr>
          <w:rFonts w:ascii="Arial" w:hAnsi="Arial" w:cs="Arial"/>
        </w:rPr>
      </w:pPr>
    </w:p>
    <w:p w:rsidR="00AD5729" w:rsidRPr="00030D4D" w:rsidRDefault="00AD5729" w:rsidP="00730A9A">
      <w:pPr>
        <w:rPr>
          <w:rFonts w:ascii="Arial" w:hAnsi="Arial" w:cs="Arial"/>
        </w:rPr>
        <w:sectPr w:rsidR="00AD5729" w:rsidRPr="00030D4D" w:rsidSect="00AD5729">
          <w:pgSz w:w="16838" w:h="11906" w:orient="landscape"/>
          <w:pgMar w:top="1701" w:right="1417" w:bottom="1701" w:left="1417" w:header="708" w:footer="708" w:gutter="0"/>
          <w:cols w:space="708"/>
          <w:docGrid w:linePitch="360"/>
        </w:sectPr>
      </w:pPr>
    </w:p>
    <w:p w:rsidR="00705996" w:rsidRPr="00030D4D" w:rsidRDefault="005B1A82" w:rsidP="005B1A82">
      <w:pPr>
        <w:rPr>
          <w:rFonts w:ascii="Arial" w:hAnsi="Arial" w:cs="Arial"/>
        </w:rPr>
      </w:pPr>
      <w:r w:rsidRPr="00030D4D">
        <w:rPr>
          <w:rFonts w:ascii="Arial" w:hAnsi="Arial" w:cs="Arial"/>
        </w:rPr>
        <w:t xml:space="preserve">No período do Inova Empresa, cerca de 32,2% da demanda financeira apresentada foi aprovada e deste montante aprovado, 92,7% foi contratado. No biênio seguinte a relação foi bem pior. Apenas 19,7% da demanda apresentada foi aprovada e, desta, só 36,4% foi contratada. </w:t>
      </w:r>
      <w:r w:rsidR="00926AA9" w:rsidRPr="00030D4D">
        <w:rPr>
          <w:rFonts w:ascii="Arial" w:hAnsi="Arial" w:cs="Arial"/>
        </w:rPr>
        <w:t>Na média do período, pode-se dizer que 30,2% da demanda financeira apresentada foi aprovada e desta, 78% foi efetivamente contratada, mas o fato é que os efeitos da crise econômica que afetou também a Finep dificultou a aprovação e contratação de boa parte da demanda financeira que foi apresentada</w:t>
      </w:r>
      <w:r w:rsidR="00A22D0B" w:rsidRPr="00030D4D">
        <w:rPr>
          <w:rFonts w:ascii="Arial" w:hAnsi="Arial" w:cs="Arial"/>
        </w:rPr>
        <w:t xml:space="preserve"> (Tabela 13)</w:t>
      </w:r>
      <w:r w:rsidR="00926AA9" w:rsidRPr="00030D4D">
        <w:rPr>
          <w:rFonts w:ascii="Arial" w:hAnsi="Arial" w:cs="Arial"/>
        </w:rPr>
        <w:t>.</w:t>
      </w:r>
    </w:p>
    <w:p w:rsidR="00AD5729" w:rsidRPr="00030D4D" w:rsidRDefault="00915B57" w:rsidP="00915B57">
      <w:pPr>
        <w:pStyle w:val="Caption"/>
        <w:rPr>
          <w:rFonts w:ascii="Arial" w:hAnsi="Arial" w:cs="Arial"/>
        </w:rPr>
      </w:pPr>
      <w:bookmarkStart w:id="71" w:name="_Toc482828505"/>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009F3BDC" w:rsidRPr="00030D4D">
        <w:rPr>
          <w:rFonts w:ascii="Arial" w:hAnsi="Arial" w:cs="Arial"/>
          <w:noProof/>
        </w:rPr>
        <w:t>13</w:t>
      </w:r>
      <w:r w:rsidR="005271BC" w:rsidRPr="00030D4D">
        <w:rPr>
          <w:rFonts w:ascii="Arial" w:hAnsi="Arial" w:cs="Arial"/>
          <w:noProof/>
        </w:rPr>
        <w:fldChar w:fldCharType="end"/>
      </w:r>
      <w:r w:rsidR="009F3BDC" w:rsidRPr="00030D4D">
        <w:rPr>
          <w:rFonts w:ascii="Arial" w:hAnsi="Arial" w:cs="Arial"/>
        </w:rPr>
        <w:t>.</w:t>
      </w:r>
      <w:r w:rsidR="005B7F6D" w:rsidRPr="00030D4D">
        <w:rPr>
          <w:rFonts w:ascii="Arial" w:hAnsi="Arial" w:cs="Arial"/>
        </w:rPr>
        <w:t xml:space="preserve"> </w:t>
      </w:r>
      <w:r w:rsidR="009F3BDC" w:rsidRPr="00030D4D">
        <w:rPr>
          <w:rFonts w:ascii="Arial" w:hAnsi="Arial" w:cs="Arial"/>
        </w:rPr>
        <w:t xml:space="preserve">Finep. Instrumento não reembolsável: </w:t>
      </w:r>
      <w:r w:rsidR="005B7F6D" w:rsidRPr="00030D4D">
        <w:rPr>
          <w:rFonts w:ascii="Arial" w:hAnsi="Arial" w:cs="Arial"/>
        </w:rPr>
        <w:t>Demanda de Projetos (Financeira), entre 2013 e 2016: relação entre apresentados, aprovados e contratados</w:t>
      </w:r>
      <w:bookmarkEnd w:id="71"/>
    </w:p>
    <w:tbl>
      <w:tblPr>
        <w:tblW w:w="8651" w:type="dxa"/>
        <w:tblCellMar>
          <w:left w:w="70" w:type="dxa"/>
          <w:right w:w="70" w:type="dxa"/>
        </w:tblCellMar>
        <w:tblLook w:val="04A0" w:firstRow="1" w:lastRow="0" w:firstColumn="1" w:lastColumn="0" w:noHBand="0" w:noVBand="1"/>
      </w:tblPr>
      <w:tblGrid>
        <w:gridCol w:w="1419"/>
        <w:gridCol w:w="1208"/>
        <w:gridCol w:w="1135"/>
        <w:gridCol w:w="1418"/>
        <w:gridCol w:w="1057"/>
        <w:gridCol w:w="1418"/>
        <w:gridCol w:w="1057"/>
        <w:gridCol w:w="1418"/>
      </w:tblGrid>
      <w:tr w:rsidR="00705996" w:rsidRPr="00030D4D" w:rsidTr="00705996">
        <w:trPr>
          <w:trHeight w:val="245"/>
        </w:trPr>
        <w:tc>
          <w:tcPr>
            <w:tcW w:w="129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Instrumento</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Tipo de Demanda</w:t>
            </w:r>
          </w:p>
        </w:tc>
        <w:tc>
          <w:tcPr>
            <w:tcW w:w="2143" w:type="dxa"/>
            <w:gridSpan w:val="2"/>
            <w:tcBorders>
              <w:top w:val="single" w:sz="4" w:space="0" w:color="auto"/>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2013-2014</w:t>
            </w:r>
          </w:p>
        </w:tc>
        <w:tc>
          <w:tcPr>
            <w:tcW w:w="2065" w:type="dxa"/>
            <w:gridSpan w:val="2"/>
            <w:tcBorders>
              <w:top w:val="single" w:sz="4" w:space="0" w:color="auto"/>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2015-2016</w:t>
            </w:r>
          </w:p>
        </w:tc>
        <w:tc>
          <w:tcPr>
            <w:tcW w:w="2065" w:type="dxa"/>
            <w:gridSpan w:val="2"/>
            <w:tcBorders>
              <w:top w:val="single" w:sz="4" w:space="0" w:color="auto"/>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2013-2016</w:t>
            </w:r>
          </w:p>
        </w:tc>
      </w:tr>
      <w:tr w:rsidR="00705996" w:rsidRPr="00030D4D" w:rsidTr="00705996">
        <w:trPr>
          <w:trHeight w:val="429"/>
        </w:trPr>
        <w:tc>
          <w:tcPr>
            <w:tcW w:w="1290" w:type="dxa"/>
            <w:vMerge/>
            <w:tcBorders>
              <w:top w:val="single" w:sz="4" w:space="0" w:color="auto"/>
              <w:left w:val="single" w:sz="4" w:space="0" w:color="auto"/>
              <w:bottom w:val="single" w:sz="4" w:space="0" w:color="000000"/>
              <w:right w:val="single" w:sz="4" w:space="0" w:color="auto"/>
            </w:tcBorders>
            <w:vAlign w:val="center"/>
            <w:hideMark/>
          </w:tcPr>
          <w:p w:rsidR="00705996" w:rsidRPr="00030D4D" w:rsidRDefault="00705996" w:rsidP="00705996">
            <w:pPr>
              <w:spacing w:before="0" w:after="0" w:line="240" w:lineRule="auto"/>
              <w:jc w:val="left"/>
              <w:rPr>
                <w:rFonts w:ascii="Arial" w:eastAsia="Times New Roman" w:hAnsi="Arial" w:cs="Arial"/>
                <w:b/>
                <w:bCs/>
                <w:color w:val="000000"/>
                <w:sz w:val="20"/>
                <w:szCs w:val="20"/>
                <w:lang w:eastAsia="pt-BR"/>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705996" w:rsidRPr="00030D4D" w:rsidRDefault="00705996" w:rsidP="00705996">
            <w:pPr>
              <w:spacing w:before="0" w:after="0" w:line="240" w:lineRule="auto"/>
              <w:jc w:val="left"/>
              <w:rPr>
                <w:rFonts w:ascii="Arial" w:eastAsia="Times New Roman" w:hAnsi="Arial" w:cs="Arial"/>
                <w:b/>
                <w:bCs/>
                <w:color w:val="000000"/>
                <w:sz w:val="20"/>
                <w:szCs w:val="20"/>
                <w:lang w:eastAsia="pt-BR"/>
              </w:rPr>
            </w:pPr>
          </w:p>
        </w:tc>
        <w:tc>
          <w:tcPr>
            <w:tcW w:w="1135"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007"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c>
          <w:tcPr>
            <w:tcW w:w="1057"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007"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c>
          <w:tcPr>
            <w:tcW w:w="1057"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  Aprov./ Apres.</w:t>
            </w:r>
          </w:p>
        </w:tc>
        <w:tc>
          <w:tcPr>
            <w:tcW w:w="1007"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Contr./Aprov.</w:t>
            </w:r>
          </w:p>
        </w:tc>
      </w:tr>
      <w:tr w:rsidR="00705996" w:rsidRPr="00030D4D" w:rsidTr="00705996">
        <w:trPr>
          <w:trHeight w:val="245"/>
        </w:trPr>
        <w:tc>
          <w:tcPr>
            <w:tcW w:w="1290" w:type="dxa"/>
            <w:tcBorders>
              <w:top w:val="nil"/>
              <w:left w:val="single" w:sz="4" w:space="0" w:color="auto"/>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 Subvenção</w:t>
            </w:r>
          </w:p>
        </w:tc>
        <w:tc>
          <w:tcPr>
            <w:tcW w:w="1088"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24,8%</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84,8%</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17,4%</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24,4%</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85,5%</w:t>
            </w:r>
          </w:p>
        </w:tc>
      </w:tr>
      <w:tr w:rsidR="00705996" w:rsidRPr="00030D4D" w:rsidTr="00705996">
        <w:trPr>
          <w:trHeight w:val="637"/>
        </w:trPr>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Convênios com ICT</w:t>
            </w:r>
          </w:p>
        </w:tc>
        <w:tc>
          <w:tcPr>
            <w:tcW w:w="1088"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28,6%</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96,3%</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7,3%</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34,2%</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19,4%</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86,3%</w:t>
            </w:r>
          </w:p>
        </w:tc>
      </w:tr>
      <w:tr w:rsidR="00705996" w:rsidRPr="00030D4D" w:rsidTr="00705996">
        <w:trPr>
          <w:trHeight w:val="245"/>
        </w:trPr>
        <w:tc>
          <w:tcPr>
            <w:tcW w:w="1290" w:type="dxa"/>
            <w:vMerge/>
            <w:tcBorders>
              <w:top w:val="nil"/>
              <w:left w:val="single" w:sz="4" w:space="0" w:color="auto"/>
              <w:bottom w:val="single" w:sz="4" w:space="0" w:color="auto"/>
              <w:right w:val="single" w:sz="4" w:space="0" w:color="auto"/>
            </w:tcBorders>
            <w:vAlign w:val="center"/>
            <w:hideMark/>
          </w:tcPr>
          <w:p w:rsidR="00705996" w:rsidRPr="00030D4D" w:rsidRDefault="00705996" w:rsidP="00705996">
            <w:pPr>
              <w:spacing w:before="0" w:after="0" w:line="240" w:lineRule="auto"/>
              <w:jc w:val="left"/>
              <w:rPr>
                <w:rFonts w:ascii="Arial" w:eastAsia="Times New Roman" w:hAnsi="Arial" w:cs="Arial"/>
                <w:b/>
                <w:bCs/>
                <w:color w:val="000000"/>
                <w:sz w:val="20"/>
                <w:szCs w:val="20"/>
                <w:lang w:eastAsia="pt-BR"/>
              </w:rPr>
            </w:pPr>
          </w:p>
        </w:tc>
        <w:tc>
          <w:tcPr>
            <w:tcW w:w="1088"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86,3%</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95,5%</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31,1%</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34,2%</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49,9%</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70,3%</w:t>
            </w:r>
          </w:p>
        </w:tc>
      </w:tr>
      <w:tr w:rsidR="00705996" w:rsidRPr="00030D4D" w:rsidTr="00705996">
        <w:trPr>
          <w:trHeight w:val="245"/>
        </w:trPr>
        <w:tc>
          <w:tcPr>
            <w:tcW w:w="1290" w:type="dxa"/>
            <w:vMerge/>
            <w:tcBorders>
              <w:top w:val="nil"/>
              <w:left w:val="single" w:sz="4" w:space="0" w:color="auto"/>
              <w:bottom w:val="single" w:sz="4" w:space="0" w:color="auto"/>
              <w:right w:val="single" w:sz="4" w:space="0" w:color="auto"/>
            </w:tcBorders>
            <w:vAlign w:val="center"/>
            <w:hideMark/>
          </w:tcPr>
          <w:p w:rsidR="00705996" w:rsidRPr="00030D4D" w:rsidRDefault="00705996" w:rsidP="00705996">
            <w:pPr>
              <w:spacing w:before="0" w:after="0" w:line="240" w:lineRule="auto"/>
              <w:jc w:val="left"/>
              <w:rPr>
                <w:rFonts w:ascii="Arial" w:eastAsia="Times New Roman" w:hAnsi="Arial" w:cs="Arial"/>
                <w:b/>
                <w:bCs/>
                <w:color w:val="000000"/>
                <w:sz w:val="20"/>
                <w:szCs w:val="20"/>
                <w:lang w:eastAsia="pt-BR"/>
              </w:rPr>
            </w:pPr>
          </w:p>
        </w:tc>
        <w:tc>
          <w:tcPr>
            <w:tcW w:w="1088"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Carta Convite</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39,5%</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87,8%</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0,0%</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0,0%</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39,5%</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87,8%</w:t>
            </w:r>
          </w:p>
        </w:tc>
      </w:tr>
      <w:tr w:rsidR="00705996" w:rsidRPr="00030D4D" w:rsidTr="00705996">
        <w:trPr>
          <w:trHeight w:val="245"/>
        </w:trPr>
        <w:tc>
          <w:tcPr>
            <w:tcW w:w="237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 Subtotal Convênios ICT</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45,9%</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95,7%</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19,8%</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34,2%</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32,2%</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76,0%</w:t>
            </w:r>
          </w:p>
        </w:tc>
      </w:tr>
      <w:tr w:rsidR="00705996" w:rsidRPr="00030D4D" w:rsidTr="00705996">
        <w:trPr>
          <w:trHeight w:val="637"/>
        </w:trPr>
        <w:tc>
          <w:tcPr>
            <w:tcW w:w="1290" w:type="dxa"/>
            <w:tcBorders>
              <w:top w:val="nil"/>
              <w:left w:val="single" w:sz="4" w:space="0" w:color="auto"/>
              <w:bottom w:val="single" w:sz="4" w:space="0" w:color="auto"/>
              <w:right w:val="single" w:sz="4" w:space="0" w:color="auto"/>
            </w:tcBorders>
            <w:shd w:val="clear" w:color="auto" w:fill="auto"/>
            <w:vAlign w:val="center"/>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 xml:space="preserve">3. Cooperativos </w:t>
            </w:r>
          </w:p>
        </w:tc>
        <w:tc>
          <w:tcPr>
            <w:tcW w:w="1088"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33,0%</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90,3%</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0,0%</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0,0%</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33,0%</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90,3%</w:t>
            </w:r>
          </w:p>
        </w:tc>
      </w:tr>
      <w:tr w:rsidR="00705996" w:rsidRPr="00030D4D" w:rsidTr="00705996">
        <w:trPr>
          <w:trHeight w:val="245"/>
        </w:trPr>
        <w:tc>
          <w:tcPr>
            <w:tcW w:w="1290" w:type="dxa"/>
            <w:tcBorders>
              <w:top w:val="nil"/>
              <w:left w:val="single" w:sz="4" w:space="0" w:color="auto"/>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4. Eventos</w:t>
            </w:r>
          </w:p>
        </w:tc>
        <w:tc>
          <w:tcPr>
            <w:tcW w:w="1088" w:type="dxa"/>
            <w:tcBorders>
              <w:top w:val="nil"/>
              <w:left w:val="nil"/>
              <w:bottom w:val="single" w:sz="4" w:space="0" w:color="auto"/>
              <w:right w:val="single" w:sz="4" w:space="0" w:color="auto"/>
            </w:tcBorders>
            <w:shd w:val="clear" w:color="auto" w:fill="auto"/>
            <w:vAlign w:val="bottom"/>
            <w:hideMark/>
          </w:tcPr>
          <w:p w:rsidR="00705996" w:rsidRPr="00030D4D" w:rsidRDefault="00705996" w:rsidP="00705996">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Eventos</w:t>
            </w:r>
          </w:p>
        </w:tc>
        <w:tc>
          <w:tcPr>
            <w:tcW w:w="1135"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97,2%</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0,0%</w:t>
            </w:r>
          </w:p>
        </w:tc>
        <w:tc>
          <w:tcPr>
            <w:tcW w:w="100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0,0%</w:t>
            </w:r>
          </w:p>
        </w:tc>
        <w:tc>
          <w:tcPr>
            <w:tcW w:w="1057" w:type="dxa"/>
            <w:tcBorders>
              <w:top w:val="nil"/>
              <w:left w:val="nil"/>
              <w:bottom w:val="single" w:sz="4" w:space="0" w:color="auto"/>
              <w:right w:val="single" w:sz="4" w:space="0" w:color="auto"/>
            </w:tcBorders>
            <w:shd w:val="clear" w:color="auto" w:fill="auto"/>
            <w:noWrap/>
            <w:vAlign w:val="center"/>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97,2%</w:t>
            </w:r>
          </w:p>
        </w:tc>
        <w:tc>
          <w:tcPr>
            <w:tcW w:w="1007" w:type="dxa"/>
            <w:tcBorders>
              <w:top w:val="nil"/>
              <w:left w:val="nil"/>
              <w:bottom w:val="single" w:sz="4" w:space="0" w:color="auto"/>
              <w:right w:val="single" w:sz="4" w:space="0" w:color="auto"/>
            </w:tcBorders>
            <w:shd w:val="clear" w:color="auto" w:fill="auto"/>
            <w:noWrap/>
            <w:vAlign w:val="bottom"/>
            <w:hideMark/>
          </w:tcPr>
          <w:p w:rsidR="00705996" w:rsidRPr="00030D4D" w:rsidRDefault="00705996" w:rsidP="00705996">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100,0%</w:t>
            </w:r>
          </w:p>
        </w:tc>
      </w:tr>
      <w:tr w:rsidR="00705996" w:rsidRPr="00030D4D" w:rsidTr="00705996">
        <w:trPr>
          <w:trHeight w:val="245"/>
        </w:trPr>
        <w:tc>
          <w:tcPr>
            <w:tcW w:w="2379" w:type="dxa"/>
            <w:gridSpan w:val="2"/>
            <w:tcBorders>
              <w:top w:val="single" w:sz="4" w:space="0" w:color="auto"/>
              <w:left w:val="single" w:sz="4" w:space="0" w:color="auto"/>
              <w:bottom w:val="single" w:sz="4" w:space="0" w:color="auto"/>
              <w:right w:val="single" w:sz="4" w:space="0" w:color="000000"/>
            </w:tcBorders>
            <w:shd w:val="clear" w:color="000000" w:fill="D0CECE"/>
            <w:noWrap/>
            <w:vAlign w:val="center"/>
            <w:hideMark/>
          </w:tcPr>
          <w:p w:rsidR="00705996" w:rsidRPr="00030D4D" w:rsidRDefault="00705996" w:rsidP="00705996">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(1+2+3+4)</w:t>
            </w:r>
          </w:p>
        </w:tc>
        <w:tc>
          <w:tcPr>
            <w:tcW w:w="1135" w:type="dxa"/>
            <w:tcBorders>
              <w:top w:val="nil"/>
              <w:left w:val="nil"/>
              <w:bottom w:val="single" w:sz="4" w:space="0" w:color="auto"/>
              <w:right w:val="single" w:sz="4" w:space="0" w:color="auto"/>
            </w:tcBorders>
            <w:shd w:val="clear" w:color="000000" w:fill="D0CECE"/>
            <w:noWrap/>
            <w:vAlign w:val="center"/>
            <w:hideMark/>
          </w:tcPr>
          <w:p w:rsidR="00705996" w:rsidRPr="00030D4D" w:rsidRDefault="00705996" w:rsidP="0070599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37,2%</w:t>
            </w:r>
          </w:p>
        </w:tc>
        <w:tc>
          <w:tcPr>
            <w:tcW w:w="1007" w:type="dxa"/>
            <w:tcBorders>
              <w:top w:val="nil"/>
              <w:left w:val="nil"/>
              <w:bottom w:val="single" w:sz="4" w:space="0" w:color="auto"/>
              <w:right w:val="single" w:sz="4" w:space="0" w:color="auto"/>
            </w:tcBorders>
            <w:shd w:val="clear" w:color="000000" w:fill="D0CECE"/>
            <w:noWrap/>
            <w:vAlign w:val="center"/>
            <w:hideMark/>
          </w:tcPr>
          <w:p w:rsidR="00705996" w:rsidRPr="00030D4D" w:rsidRDefault="00705996" w:rsidP="0070599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92,7%</w:t>
            </w:r>
          </w:p>
        </w:tc>
        <w:tc>
          <w:tcPr>
            <w:tcW w:w="1057" w:type="dxa"/>
            <w:tcBorders>
              <w:top w:val="nil"/>
              <w:left w:val="nil"/>
              <w:bottom w:val="single" w:sz="4" w:space="0" w:color="auto"/>
              <w:right w:val="single" w:sz="4" w:space="0" w:color="auto"/>
            </w:tcBorders>
            <w:shd w:val="clear" w:color="000000" w:fill="D0CECE"/>
            <w:noWrap/>
            <w:vAlign w:val="center"/>
            <w:hideMark/>
          </w:tcPr>
          <w:p w:rsidR="00705996" w:rsidRPr="00030D4D" w:rsidRDefault="00705996" w:rsidP="0070599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19,7%</w:t>
            </w:r>
          </w:p>
        </w:tc>
        <w:tc>
          <w:tcPr>
            <w:tcW w:w="1007" w:type="dxa"/>
            <w:tcBorders>
              <w:top w:val="nil"/>
              <w:left w:val="nil"/>
              <w:bottom w:val="single" w:sz="4" w:space="0" w:color="auto"/>
              <w:right w:val="single" w:sz="4" w:space="0" w:color="auto"/>
            </w:tcBorders>
            <w:shd w:val="clear" w:color="000000" w:fill="D0CECE"/>
            <w:noWrap/>
            <w:vAlign w:val="center"/>
            <w:hideMark/>
          </w:tcPr>
          <w:p w:rsidR="00705996" w:rsidRPr="00030D4D" w:rsidRDefault="00705996" w:rsidP="0070599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36,4%</w:t>
            </w:r>
          </w:p>
        </w:tc>
        <w:tc>
          <w:tcPr>
            <w:tcW w:w="1057" w:type="dxa"/>
            <w:tcBorders>
              <w:top w:val="nil"/>
              <w:left w:val="nil"/>
              <w:bottom w:val="single" w:sz="4" w:space="0" w:color="auto"/>
              <w:right w:val="single" w:sz="4" w:space="0" w:color="auto"/>
            </w:tcBorders>
            <w:shd w:val="clear" w:color="000000" w:fill="D0CECE"/>
            <w:noWrap/>
            <w:vAlign w:val="center"/>
            <w:hideMark/>
          </w:tcPr>
          <w:p w:rsidR="00705996" w:rsidRPr="00030D4D" w:rsidRDefault="00705996" w:rsidP="0070599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30,2%</w:t>
            </w:r>
          </w:p>
        </w:tc>
        <w:tc>
          <w:tcPr>
            <w:tcW w:w="1007" w:type="dxa"/>
            <w:tcBorders>
              <w:top w:val="nil"/>
              <w:left w:val="nil"/>
              <w:bottom w:val="single" w:sz="4" w:space="0" w:color="auto"/>
              <w:right w:val="single" w:sz="4" w:space="0" w:color="auto"/>
            </w:tcBorders>
            <w:shd w:val="clear" w:color="000000" w:fill="D0CECE"/>
            <w:noWrap/>
            <w:vAlign w:val="bottom"/>
            <w:hideMark/>
          </w:tcPr>
          <w:p w:rsidR="00705996" w:rsidRPr="00030D4D" w:rsidRDefault="00705996" w:rsidP="00705996">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78,2%</w:t>
            </w:r>
          </w:p>
        </w:tc>
      </w:tr>
    </w:tbl>
    <w:p w:rsidR="004B2538" w:rsidRPr="00030D4D" w:rsidRDefault="004B2538" w:rsidP="004B2538">
      <w:pPr>
        <w:spacing w:before="0" w:after="0" w:line="240" w:lineRule="auto"/>
        <w:rPr>
          <w:rFonts w:ascii="Arial" w:hAnsi="Arial" w:cs="Arial"/>
          <w:sz w:val="20"/>
          <w:szCs w:val="20"/>
        </w:rPr>
      </w:pPr>
      <w:r w:rsidRPr="00030D4D">
        <w:rPr>
          <w:rFonts w:ascii="Arial" w:hAnsi="Arial" w:cs="Arial"/>
          <w:sz w:val="20"/>
          <w:szCs w:val="20"/>
        </w:rPr>
        <w:t>Fonte: Elaboração própria com base na Tabela 12.</w:t>
      </w:r>
    </w:p>
    <w:p w:rsidR="00915B57" w:rsidRPr="00030D4D" w:rsidRDefault="00B617D1" w:rsidP="00B617D1">
      <w:pPr>
        <w:spacing w:before="0" w:after="0" w:line="240" w:lineRule="auto"/>
        <w:rPr>
          <w:rFonts w:ascii="Arial" w:hAnsi="Arial" w:cs="Arial"/>
        </w:rPr>
      </w:pP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00DC22A1" w:rsidRPr="00030D4D">
        <w:rPr>
          <w:rFonts w:ascii="Arial" w:hAnsi="Arial" w:cs="Arial"/>
        </w:rPr>
        <w:tab/>
      </w:r>
      <w:r w:rsidR="00DC22A1" w:rsidRPr="00030D4D">
        <w:rPr>
          <w:rFonts w:ascii="Arial" w:hAnsi="Arial" w:cs="Arial"/>
        </w:rPr>
        <w:tab/>
      </w:r>
    </w:p>
    <w:p w:rsidR="000E5C8B" w:rsidRPr="00030D4D" w:rsidRDefault="001A1641" w:rsidP="004023AE">
      <w:pPr>
        <w:rPr>
          <w:rFonts w:ascii="Arial" w:hAnsi="Arial" w:cs="Arial"/>
        </w:rPr>
      </w:pPr>
      <w:r w:rsidRPr="00030D4D">
        <w:rPr>
          <w:rFonts w:ascii="Arial" w:hAnsi="Arial" w:cs="Arial"/>
        </w:rPr>
        <w:t>Os desembolsos foram de R$1,16 bilhão entre 2013-2014</w:t>
      </w:r>
      <w:r w:rsidR="00800BC0" w:rsidRPr="00030D4D">
        <w:rPr>
          <w:rFonts w:ascii="Arial" w:hAnsi="Arial" w:cs="Arial"/>
        </w:rPr>
        <w:t xml:space="preserve"> e</w:t>
      </w:r>
      <w:r w:rsidRPr="00030D4D">
        <w:rPr>
          <w:rFonts w:ascii="Arial" w:hAnsi="Arial" w:cs="Arial"/>
        </w:rPr>
        <w:t xml:space="preserve"> de R$119 milhões entre 2015 e 201</w:t>
      </w:r>
      <w:r w:rsidR="00800BC0" w:rsidRPr="00030D4D">
        <w:rPr>
          <w:rFonts w:ascii="Arial" w:hAnsi="Arial" w:cs="Arial"/>
        </w:rPr>
        <w:t>6</w:t>
      </w:r>
      <w:r w:rsidRPr="00030D4D">
        <w:rPr>
          <w:rFonts w:ascii="Arial" w:hAnsi="Arial" w:cs="Arial"/>
        </w:rPr>
        <w:t xml:space="preserve">. </w:t>
      </w:r>
      <w:r w:rsidR="005F2999" w:rsidRPr="00030D4D">
        <w:rPr>
          <w:rFonts w:ascii="Arial" w:hAnsi="Arial" w:cs="Arial"/>
        </w:rPr>
        <w:t xml:space="preserve">Considerando-se apenas o que foi contratado entre 2013 e 2016, verifica-se que o montante desembolsado corresponde a 61% deste valor.  </w:t>
      </w:r>
      <w:r w:rsidR="00800BC0" w:rsidRPr="00030D4D">
        <w:rPr>
          <w:rFonts w:ascii="Arial" w:hAnsi="Arial" w:cs="Arial"/>
        </w:rPr>
        <w:t>Faz-se necessário</w:t>
      </w:r>
      <w:r w:rsidR="004023AE" w:rsidRPr="00030D4D">
        <w:rPr>
          <w:rFonts w:ascii="Arial" w:hAnsi="Arial" w:cs="Arial"/>
        </w:rPr>
        <w:t xml:space="preserve"> desembolsar mais 39% </w:t>
      </w:r>
      <w:r w:rsidR="005A3E56" w:rsidRPr="00030D4D">
        <w:rPr>
          <w:rFonts w:ascii="Arial" w:hAnsi="Arial" w:cs="Arial"/>
        </w:rPr>
        <w:t xml:space="preserve">dos recursos financeiros </w:t>
      </w:r>
      <w:r w:rsidR="004023AE" w:rsidRPr="00030D4D">
        <w:rPr>
          <w:rFonts w:ascii="Arial" w:hAnsi="Arial" w:cs="Arial"/>
        </w:rPr>
        <w:t xml:space="preserve">para estes projetos, </w:t>
      </w:r>
      <w:r w:rsidR="003C5330" w:rsidRPr="00030D4D">
        <w:rPr>
          <w:rFonts w:ascii="Arial" w:hAnsi="Arial" w:cs="Arial"/>
        </w:rPr>
        <w:t>o correspondente a cerca de R$630 milh</w:t>
      </w:r>
      <w:r w:rsidR="00685A49" w:rsidRPr="00030D4D">
        <w:rPr>
          <w:rFonts w:ascii="Arial" w:hAnsi="Arial" w:cs="Arial"/>
        </w:rPr>
        <w:t xml:space="preserve">ões, </w:t>
      </w:r>
      <w:r w:rsidR="004023AE" w:rsidRPr="00030D4D">
        <w:rPr>
          <w:rFonts w:ascii="Arial" w:hAnsi="Arial" w:cs="Arial"/>
        </w:rPr>
        <w:t xml:space="preserve">valor que se soma ao montante ainda não pago </w:t>
      </w:r>
      <w:r w:rsidR="005A3E56" w:rsidRPr="00030D4D">
        <w:rPr>
          <w:rFonts w:ascii="Arial" w:hAnsi="Arial" w:cs="Arial"/>
        </w:rPr>
        <w:t>relacionado às</w:t>
      </w:r>
      <w:r w:rsidR="004023AE" w:rsidRPr="00030D4D">
        <w:rPr>
          <w:rFonts w:ascii="Arial" w:hAnsi="Arial" w:cs="Arial"/>
        </w:rPr>
        <w:t xml:space="preserve"> contratações realizadas em anos anteriores</w:t>
      </w:r>
      <w:r w:rsidR="004300CE" w:rsidRPr="00030D4D">
        <w:rPr>
          <w:rFonts w:ascii="Arial" w:hAnsi="Arial" w:cs="Arial"/>
        </w:rPr>
        <w:t xml:space="preserve"> (Tabela 14)</w:t>
      </w:r>
      <w:r w:rsidR="004023AE" w:rsidRPr="00030D4D">
        <w:rPr>
          <w:rFonts w:ascii="Arial" w:hAnsi="Arial" w:cs="Arial"/>
        </w:rPr>
        <w:t xml:space="preserve">. </w:t>
      </w:r>
    </w:p>
    <w:p w:rsidR="003C5330" w:rsidRPr="00030D4D" w:rsidRDefault="003C5330">
      <w:pPr>
        <w:spacing w:before="0" w:after="160" w:line="259" w:lineRule="auto"/>
        <w:jc w:val="left"/>
        <w:rPr>
          <w:rFonts w:ascii="Arial" w:hAnsi="Arial" w:cs="Arial"/>
          <w:b/>
          <w:iCs/>
          <w:szCs w:val="18"/>
        </w:rPr>
      </w:pPr>
      <w:r w:rsidRPr="00030D4D">
        <w:rPr>
          <w:rFonts w:ascii="Arial" w:hAnsi="Arial" w:cs="Arial"/>
        </w:rPr>
        <w:br w:type="page"/>
      </w:r>
    </w:p>
    <w:p w:rsidR="000725C6" w:rsidRPr="00030D4D" w:rsidRDefault="009F3BDC" w:rsidP="009F3BDC">
      <w:pPr>
        <w:pStyle w:val="Caption"/>
        <w:rPr>
          <w:rFonts w:ascii="Arial" w:hAnsi="Arial" w:cs="Arial"/>
        </w:rPr>
      </w:pPr>
      <w:bookmarkStart w:id="72" w:name="_Toc482828506"/>
      <w:r w:rsidRPr="00030D4D">
        <w:rPr>
          <w:rFonts w:ascii="Arial" w:hAnsi="Arial" w:cs="Arial"/>
        </w:rPr>
        <w:t xml:space="preserve">Tabela </w:t>
      </w:r>
      <w:r w:rsidR="005271BC" w:rsidRPr="00030D4D">
        <w:rPr>
          <w:rFonts w:ascii="Arial" w:hAnsi="Arial" w:cs="Arial"/>
        </w:rPr>
        <w:fldChar w:fldCharType="begin"/>
      </w:r>
      <w:r w:rsidR="005271BC" w:rsidRPr="00030D4D">
        <w:rPr>
          <w:rFonts w:ascii="Arial" w:hAnsi="Arial" w:cs="Arial"/>
        </w:rPr>
        <w:instrText xml:space="preserve"> SEQ Tabela \* ARABIC </w:instrText>
      </w:r>
      <w:r w:rsidR="005271BC" w:rsidRPr="00030D4D">
        <w:rPr>
          <w:rFonts w:ascii="Arial" w:hAnsi="Arial" w:cs="Arial"/>
        </w:rPr>
        <w:fldChar w:fldCharType="separate"/>
      </w:r>
      <w:r w:rsidRPr="00030D4D">
        <w:rPr>
          <w:rFonts w:ascii="Arial" w:hAnsi="Arial" w:cs="Arial"/>
          <w:noProof/>
        </w:rPr>
        <w:t>14</w:t>
      </w:r>
      <w:r w:rsidR="005271BC" w:rsidRPr="00030D4D">
        <w:rPr>
          <w:rFonts w:ascii="Arial" w:hAnsi="Arial" w:cs="Arial"/>
          <w:noProof/>
        </w:rPr>
        <w:fldChar w:fldCharType="end"/>
      </w:r>
      <w:r w:rsidRPr="00030D4D">
        <w:rPr>
          <w:rFonts w:ascii="Arial" w:hAnsi="Arial" w:cs="Arial"/>
        </w:rPr>
        <w:t>. Finep. Instrumento não reembolsável: Valor desembolsado po</w:t>
      </w:r>
      <w:r w:rsidR="00E378B3" w:rsidRPr="00030D4D">
        <w:rPr>
          <w:rFonts w:ascii="Arial" w:hAnsi="Arial" w:cs="Arial"/>
        </w:rPr>
        <w:t>r instrumento e tipo de demanda, entre 2013 e 2016</w:t>
      </w:r>
      <w:bookmarkEnd w:id="72"/>
    </w:p>
    <w:tbl>
      <w:tblPr>
        <w:tblW w:w="7610" w:type="dxa"/>
        <w:tblCellMar>
          <w:left w:w="70" w:type="dxa"/>
          <w:right w:w="70" w:type="dxa"/>
        </w:tblCellMar>
        <w:tblLook w:val="04A0" w:firstRow="1" w:lastRow="0" w:firstColumn="1" w:lastColumn="0" w:noHBand="0" w:noVBand="1"/>
      </w:tblPr>
      <w:tblGrid>
        <w:gridCol w:w="1585"/>
        <w:gridCol w:w="1278"/>
        <w:gridCol w:w="1541"/>
        <w:gridCol w:w="1541"/>
        <w:gridCol w:w="1681"/>
      </w:tblGrid>
      <w:tr w:rsidR="002B7715" w:rsidRPr="00030D4D" w:rsidTr="00811813">
        <w:trPr>
          <w:trHeight w:val="296"/>
        </w:trPr>
        <w:tc>
          <w:tcPr>
            <w:tcW w:w="158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Instrumento</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Tipo de Demanda</w:t>
            </w:r>
          </w:p>
        </w:tc>
        <w:tc>
          <w:tcPr>
            <w:tcW w:w="1533" w:type="dxa"/>
            <w:tcBorders>
              <w:top w:val="single" w:sz="4" w:space="0" w:color="auto"/>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2013-2014</w:t>
            </w:r>
          </w:p>
        </w:tc>
        <w:tc>
          <w:tcPr>
            <w:tcW w:w="1533" w:type="dxa"/>
            <w:tcBorders>
              <w:top w:val="single" w:sz="4" w:space="0" w:color="auto"/>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2015-2016</w:t>
            </w:r>
          </w:p>
        </w:tc>
        <w:tc>
          <w:tcPr>
            <w:tcW w:w="1681" w:type="dxa"/>
            <w:tcBorders>
              <w:top w:val="single" w:sz="4" w:space="0" w:color="auto"/>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left"/>
              <w:rPr>
                <w:rFonts w:ascii="Arial" w:eastAsia="Times New Roman" w:hAnsi="Arial" w:cs="Arial"/>
                <w:color w:val="000000"/>
                <w:lang w:eastAsia="pt-BR"/>
              </w:rPr>
            </w:pPr>
            <w:r w:rsidRPr="00030D4D">
              <w:rPr>
                <w:rFonts w:ascii="Arial" w:eastAsia="Times New Roman" w:hAnsi="Arial" w:cs="Arial"/>
                <w:color w:val="000000"/>
                <w:lang w:eastAsia="pt-BR"/>
              </w:rPr>
              <w:t>2013-2016</w:t>
            </w:r>
          </w:p>
        </w:tc>
      </w:tr>
      <w:tr w:rsidR="002B7715" w:rsidRPr="00030D4D" w:rsidTr="00BC3487">
        <w:trPr>
          <w:trHeight w:val="751"/>
        </w:trPr>
        <w:tc>
          <w:tcPr>
            <w:tcW w:w="1584" w:type="dxa"/>
            <w:vMerge/>
            <w:tcBorders>
              <w:top w:val="single" w:sz="4" w:space="0" w:color="auto"/>
              <w:left w:val="single" w:sz="4" w:space="0" w:color="auto"/>
              <w:bottom w:val="single" w:sz="4" w:space="0" w:color="auto"/>
              <w:right w:val="single" w:sz="4" w:space="0" w:color="auto"/>
            </w:tcBorders>
            <w:vAlign w:val="center"/>
            <w:hideMark/>
          </w:tcPr>
          <w:p w:rsidR="002B7715" w:rsidRPr="00030D4D" w:rsidRDefault="002B7715" w:rsidP="002B7715">
            <w:pPr>
              <w:spacing w:before="0" w:after="0" w:line="240" w:lineRule="auto"/>
              <w:jc w:val="left"/>
              <w:rPr>
                <w:rFonts w:ascii="Arial" w:eastAsia="Times New Roman" w:hAnsi="Arial" w:cs="Arial"/>
                <w:b/>
                <w:bCs/>
                <w:color w:val="000000"/>
                <w:sz w:val="20"/>
                <w:szCs w:val="20"/>
                <w:lang w:eastAsia="pt-BR"/>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2B7715" w:rsidRPr="00030D4D" w:rsidRDefault="002B7715" w:rsidP="002B7715">
            <w:pPr>
              <w:spacing w:before="0" w:after="0" w:line="240" w:lineRule="auto"/>
              <w:jc w:val="left"/>
              <w:rPr>
                <w:rFonts w:ascii="Arial" w:eastAsia="Times New Roman" w:hAnsi="Arial" w:cs="Arial"/>
                <w:b/>
                <w:bCs/>
                <w:color w:val="000000"/>
                <w:sz w:val="20"/>
                <w:szCs w:val="20"/>
                <w:lang w:eastAsia="pt-BR"/>
              </w:rPr>
            </w:pPr>
          </w:p>
        </w:tc>
        <w:tc>
          <w:tcPr>
            <w:tcW w:w="1533"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sz w:val="20"/>
                <w:szCs w:val="20"/>
                <w:lang w:eastAsia="pt-BR"/>
              </w:rPr>
            </w:pPr>
            <w:r w:rsidRPr="00030D4D">
              <w:rPr>
                <w:rFonts w:ascii="Arial" w:eastAsia="Times New Roman" w:hAnsi="Arial" w:cs="Arial"/>
                <w:b/>
                <w:bCs/>
                <w:sz w:val="20"/>
                <w:szCs w:val="20"/>
                <w:lang w:eastAsia="pt-BR"/>
              </w:rPr>
              <w:t>Valor desembolsado (Finep)</w:t>
            </w:r>
          </w:p>
        </w:tc>
        <w:tc>
          <w:tcPr>
            <w:tcW w:w="1533"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sz w:val="20"/>
                <w:szCs w:val="20"/>
                <w:lang w:eastAsia="pt-BR"/>
              </w:rPr>
            </w:pPr>
            <w:r w:rsidRPr="00030D4D">
              <w:rPr>
                <w:rFonts w:ascii="Arial" w:eastAsia="Times New Roman" w:hAnsi="Arial" w:cs="Arial"/>
                <w:b/>
                <w:bCs/>
                <w:sz w:val="20"/>
                <w:szCs w:val="20"/>
                <w:lang w:eastAsia="pt-BR"/>
              </w:rPr>
              <w:t>Valor desembolsado (Finep)</w:t>
            </w:r>
          </w:p>
        </w:tc>
        <w:tc>
          <w:tcPr>
            <w:tcW w:w="1681"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sz w:val="20"/>
                <w:szCs w:val="20"/>
                <w:lang w:eastAsia="pt-BR"/>
              </w:rPr>
            </w:pPr>
            <w:r w:rsidRPr="00030D4D">
              <w:rPr>
                <w:rFonts w:ascii="Arial" w:eastAsia="Times New Roman" w:hAnsi="Arial" w:cs="Arial"/>
                <w:b/>
                <w:bCs/>
                <w:sz w:val="20"/>
                <w:szCs w:val="20"/>
                <w:lang w:eastAsia="pt-BR"/>
              </w:rPr>
              <w:t>Valor desembolsado (Finep)</w:t>
            </w:r>
          </w:p>
        </w:tc>
      </w:tr>
      <w:tr w:rsidR="002B7715" w:rsidRPr="00030D4D" w:rsidTr="00811813">
        <w:trPr>
          <w:trHeight w:val="296"/>
        </w:trPr>
        <w:tc>
          <w:tcPr>
            <w:tcW w:w="1584" w:type="dxa"/>
            <w:tcBorders>
              <w:top w:val="nil"/>
              <w:left w:val="single" w:sz="4" w:space="0" w:color="auto"/>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 Subvenção</w:t>
            </w:r>
          </w:p>
        </w:tc>
        <w:tc>
          <w:tcPr>
            <w:tcW w:w="1279"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204.099.347</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14.506.517</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218.605.865</w:t>
            </w:r>
          </w:p>
        </w:tc>
      </w:tr>
      <w:tr w:rsidR="002B7715" w:rsidRPr="00030D4D" w:rsidTr="00811813">
        <w:trPr>
          <w:trHeight w:val="772"/>
        </w:trPr>
        <w:tc>
          <w:tcPr>
            <w:tcW w:w="1584" w:type="dxa"/>
            <w:vMerge w:val="restart"/>
            <w:tcBorders>
              <w:top w:val="nil"/>
              <w:left w:val="single" w:sz="4" w:space="0" w:color="auto"/>
              <w:bottom w:val="single" w:sz="4" w:space="0" w:color="000000"/>
              <w:right w:val="single" w:sz="4" w:space="0" w:color="auto"/>
            </w:tcBorders>
            <w:shd w:val="clear" w:color="auto" w:fill="auto"/>
            <w:vAlign w:val="center"/>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Convênios com ICT</w:t>
            </w:r>
          </w:p>
        </w:tc>
        <w:tc>
          <w:tcPr>
            <w:tcW w:w="1279"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409.658.873</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32.831.261</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442.490.134</w:t>
            </w:r>
          </w:p>
        </w:tc>
      </w:tr>
      <w:tr w:rsidR="002B7715" w:rsidRPr="00030D4D" w:rsidTr="00811813">
        <w:trPr>
          <w:trHeight w:val="296"/>
        </w:trPr>
        <w:tc>
          <w:tcPr>
            <w:tcW w:w="1584" w:type="dxa"/>
            <w:vMerge/>
            <w:tcBorders>
              <w:top w:val="nil"/>
              <w:left w:val="single" w:sz="4" w:space="0" w:color="auto"/>
              <w:bottom w:val="single" w:sz="4" w:space="0" w:color="000000"/>
              <w:right w:val="single" w:sz="4" w:space="0" w:color="auto"/>
            </w:tcBorders>
            <w:vAlign w:val="center"/>
            <w:hideMark/>
          </w:tcPr>
          <w:p w:rsidR="002B7715" w:rsidRPr="00030D4D" w:rsidRDefault="002B7715" w:rsidP="002B7715">
            <w:pPr>
              <w:spacing w:before="0" w:after="0" w:line="240" w:lineRule="auto"/>
              <w:jc w:val="left"/>
              <w:rPr>
                <w:rFonts w:ascii="Arial" w:eastAsia="Times New Roman" w:hAnsi="Arial" w:cs="Arial"/>
                <w:b/>
                <w:bCs/>
                <w:color w:val="000000"/>
                <w:sz w:val="20"/>
                <w:szCs w:val="20"/>
                <w:lang w:eastAsia="pt-BR"/>
              </w:rPr>
            </w:pPr>
          </w:p>
        </w:tc>
        <w:tc>
          <w:tcPr>
            <w:tcW w:w="1279"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Encomenda</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516.556.494</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72.320.318</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588.876.812</w:t>
            </w:r>
          </w:p>
        </w:tc>
      </w:tr>
      <w:tr w:rsidR="002B7715" w:rsidRPr="00030D4D" w:rsidTr="00811813">
        <w:trPr>
          <w:trHeight w:val="519"/>
        </w:trPr>
        <w:tc>
          <w:tcPr>
            <w:tcW w:w="1584" w:type="dxa"/>
            <w:vMerge/>
            <w:tcBorders>
              <w:top w:val="nil"/>
              <w:left w:val="single" w:sz="4" w:space="0" w:color="auto"/>
              <w:bottom w:val="single" w:sz="4" w:space="0" w:color="000000"/>
              <w:right w:val="single" w:sz="4" w:space="0" w:color="auto"/>
            </w:tcBorders>
            <w:vAlign w:val="center"/>
            <w:hideMark/>
          </w:tcPr>
          <w:p w:rsidR="002B7715" w:rsidRPr="00030D4D" w:rsidRDefault="002B7715" w:rsidP="002B7715">
            <w:pPr>
              <w:spacing w:before="0" w:after="0" w:line="240" w:lineRule="auto"/>
              <w:jc w:val="left"/>
              <w:rPr>
                <w:rFonts w:ascii="Arial" w:eastAsia="Times New Roman" w:hAnsi="Arial" w:cs="Arial"/>
                <w:b/>
                <w:bCs/>
                <w:color w:val="000000"/>
                <w:sz w:val="20"/>
                <w:szCs w:val="20"/>
                <w:lang w:eastAsia="pt-BR"/>
              </w:rPr>
            </w:pPr>
          </w:p>
        </w:tc>
        <w:tc>
          <w:tcPr>
            <w:tcW w:w="1279"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Carta Convite</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11.045.884</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11.045.884</w:t>
            </w:r>
          </w:p>
        </w:tc>
      </w:tr>
      <w:tr w:rsidR="002B7715" w:rsidRPr="00030D4D" w:rsidTr="00811813">
        <w:trPr>
          <w:trHeight w:val="519"/>
        </w:trPr>
        <w:tc>
          <w:tcPr>
            <w:tcW w:w="28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2. Subtotal Convênios ICT</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sz w:val="20"/>
                <w:szCs w:val="20"/>
                <w:lang w:eastAsia="pt-BR"/>
              </w:rPr>
            </w:pPr>
            <w:r w:rsidRPr="00030D4D">
              <w:rPr>
                <w:rFonts w:ascii="Arial" w:eastAsia="Times New Roman" w:hAnsi="Arial" w:cs="Arial"/>
                <w:sz w:val="20"/>
                <w:szCs w:val="20"/>
                <w:lang w:eastAsia="pt-BR"/>
              </w:rPr>
              <w:t>937.261.252</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sz w:val="20"/>
                <w:szCs w:val="20"/>
                <w:lang w:eastAsia="pt-BR"/>
              </w:rPr>
            </w:pPr>
            <w:r w:rsidRPr="00030D4D">
              <w:rPr>
                <w:rFonts w:ascii="Arial" w:eastAsia="Times New Roman" w:hAnsi="Arial" w:cs="Arial"/>
                <w:sz w:val="20"/>
                <w:szCs w:val="20"/>
                <w:lang w:eastAsia="pt-BR"/>
              </w:rPr>
              <w:t>105.151.579</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1.042.412.831</w:t>
            </w:r>
          </w:p>
        </w:tc>
      </w:tr>
      <w:tr w:rsidR="002B7715" w:rsidRPr="00030D4D" w:rsidTr="00811813">
        <w:trPr>
          <w:trHeight w:val="772"/>
        </w:trPr>
        <w:tc>
          <w:tcPr>
            <w:tcW w:w="1584" w:type="dxa"/>
            <w:tcBorders>
              <w:top w:val="nil"/>
              <w:left w:val="single" w:sz="4" w:space="0" w:color="auto"/>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3.Cooperativos</w:t>
            </w:r>
          </w:p>
        </w:tc>
        <w:tc>
          <w:tcPr>
            <w:tcW w:w="1279"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Editais e/ou Chamadas Públicas</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20.105.896</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20.105.896</w:t>
            </w:r>
          </w:p>
        </w:tc>
      </w:tr>
      <w:tr w:rsidR="002B7715" w:rsidRPr="00030D4D" w:rsidTr="00811813">
        <w:trPr>
          <w:trHeight w:val="296"/>
        </w:trPr>
        <w:tc>
          <w:tcPr>
            <w:tcW w:w="1584" w:type="dxa"/>
            <w:tcBorders>
              <w:top w:val="nil"/>
              <w:left w:val="single" w:sz="4" w:space="0" w:color="auto"/>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4. Eventos</w:t>
            </w:r>
          </w:p>
        </w:tc>
        <w:tc>
          <w:tcPr>
            <w:tcW w:w="1279" w:type="dxa"/>
            <w:tcBorders>
              <w:top w:val="nil"/>
              <w:left w:val="nil"/>
              <w:bottom w:val="single" w:sz="4" w:space="0" w:color="auto"/>
              <w:right w:val="single" w:sz="4" w:space="0" w:color="auto"/>
            </w:tcBorders>
            <w:shd w:val="clear" w:color="auto" w:fill="auto"/>
            <w:vAlign w:val="bottom"/>
            <w:hideMark/>
          </w:tcPr>
          <w:p w:rsidR="002B7715" w:rsidRPr="00030D4D" w:rsidRDefault="002B7715" w:rsidP="002B7715">
            <w:pPr>
              <w:spacing w:before="0" w:after="0" w:line="240" w:lineRule="auto"/>
              <w:jc w:val="lef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 </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1.374.480</w:t>
            </w:r>
          </w:p>
        </w:tc>
        <w:tc>
          <w:tcPr>
            <w:tcW w:w="1533"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sz w:val="20"/>
                <w:szCs w:val="20"/>
                <w:lang w:eastAsia="pt-BR"/>
              </w:rPr>
            </w:pPr>
            <w:r w:rsidRPr="00030D4D">
              <w:rPr>
                <w:rFonts w:ascii="Arial" w:eastAsia="Times New Roman" w:hAnsi="Arial" w:cs="Arial"/>
                <w:color w:val="000000"/>
                <w:sz w:val="20"/>
                <w:szCs w:val="20"/>
                <w:lang w:eastAsia="pt-BR"/>
              </w:rPr>
              <w:t>0</w:t>
            </w:r>
          </w:p>
        </w:tc>
        <w:tc>
          <w:tcPr>
            <w:tcW w:w="1681" w:type="dxa"/>
            <w:tcBorders>
              <w:top w:val="nil"/>
              <w:left w:val="nil"/>
              <w:bottom w:val="single" w:sz="4" w:space="0" w:color="auto"/>
              <w:right w:val="single" w:sz="4" w:space="0" w:color="auto"/>
            </w:tcBorders>
            <w:shd w:val="clear" w:color="auto" w:fill="auto"/>
            <w:noWrap/>
            <w:vAlign w:val="bottom"/>
            <w:hideMark/>
          </w:tcPr>
          <w:p w:rsidR="002B7715" w:rsidRPr="00030D4D" w:rsidRDefault="002B7715" w:rsidP="002B7715">
            <w:pPr>
              <w:spacing w:before="0" w:after="0" w:line="240" w:lineRule="auto"/>
              <w:jc w:val="right"/>
              <w:rPr>
                <w:rFonts w:ascii="Arial" w:eastAsia="Times New Roman" w:hAnsi="Arial" w:cs="Arial"/>
                <w:color w:val="000000"/>
                <w:lang w:eastAsia="pt-BR"/>
              </w:rPr>
            </w:pPr>
            <w:r w:rsidRPr="00030D4D">
              <w:rPr>
                <w:rFonts w:ascii="Arial" w:eastAsia="Times New Roman" w:hAnsi="Arial" w:cs="Arial"/>
                <w:color w:val="000000"/>
                <w:lang w:eastAsia="pt-BR"/>
              </w:rPr>
              <w:t>1.374.480</w:t>
            </w:r>
          </w:p>
        </w:tc>
      </w:tr>
      <w:tr w:rsidR="002B7715" w:rsidRPr="00030D4D" w:rsidTr="00811813">
        <w:trPr>
          <w:trHeight w:val="296"/>
        </w:trPr>
        <w:tc>
          <w:tcPr>
            <w:tcW w:w="2863" w:type="dxa"/>
            <w:gridSpan w:val="2"/>
            <w:tcBorders>
              <w:top w:val="single" w:sz="4" w:space="0" w:color="auto"/>
              <w:left w:val="single" w:sz="4" w:space="0" w:color="auto"/>
              <w:bottom w:val="single" w:sz="4" w:space="0" w:color="auto"/>
              <w:right w:val="single" w:sz="4" w:space="0" w:color="auto"/>
            </w:tcBorders>
            <w:shd w:val="clear" w:color="000000" w:fill="D0CECE"/>
            <w:noWrap/>
            <w:vAlign w:val="center"/>
            <w:hideMark/>
          </w:tcPr>
          <w:p w:rsidR="002B7715" w:rsidRPr="00030D4D" w:rsidRDefault="002B7715" w:rsidP="002B7715">
            <w:pPr>
              <w:spacing w:before="0" w:after="0" w:line="240" w:lineRule="auto"/>
              <w:jc w:val="center"/>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Total (1+2+3+4)</w:t>
            </w:r>
          </w:p>
        </w:tc>
        <w:tc>
          <w:tcPr>
            <w:tcW w:w="1533" w:type="dxa"/>
            <w:tcBorders>
              <w:top w:val="nil"/>
              <w:left w:val="nil"/>
              <w:bottom w:val="single" w:sz="4" w:space="0" w:color="auto"/>
              <w:right w:val="single" w:sz="4" w:space="0" w:color="auto"/>
            </w:tcBorders>
            <w:shd w:val="clear" w:color="000000" w:fill="D0CECE"/>
            <w:noWrap/>
            <w:vAlign w:val="bottom"/>
            <w:hideMark/>
          </w:tcPr>
          <w:p w:rsidR="002B7715" w:rsidRPr="00030D4D" w:rsidRDefault="002B7715" w:rsidP="002B7715">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1.162.840.975</w:t>
            </w:r>
          </w:p>
        </w:tc>
        <w:tc>
          <w:tcPr>
            <w:tcW w:w="1533" w:type="dxa"/>
            <w:tcBorders>
              <w:top w:val="nil"/>
              <w:left w:val="nil"/>
              <w:bottom w:val="single" w:sz="4" w:space="0" w:color="auto"/>
              <w:right w:val="single" w:sz="4" w:space="0" w:color="auto"/>
            </w:tcBorders>
            <w:shd w:val="clear" w:color="000000" w:fill="D0CECE"/>
            <w:noWrap/>
            <w:vAlign w:val="bottom"/>
            <w:hideMark/>
          </w:tcPr>
          <w:p w:rsidR="002B7715" w:rsidRPr="00030D4D" w:rsidRDefault="002B7715" w:rsidP="002B7715">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119.658.097</w:t>
            </w:r>
          </w:p>
        </w:tc>
        <w:tc>
          <w:tcPr>
            <w:tcW w:w="1681" w:type="dxa"/>
            <w:tcBorders>
              <w:top w:val="nil"/>
              <w:left w:val="nil"/>
              <w:bottom w:val="single" w:sz="4" w:space="0" w:color="auto"/>
              <w:right w:val="single" w:sz="4" w:space="0" w:color="auto"/>
            </w:tcBorders>
            <w:shd w:val="clear" w:color="000000" w:fill="D0CECE"/>
            <w:noWrap/>
            <w:vAlign w:val="bottom"/>
            <w:hideMark/>
          </w:tcPr>
          <w:p w:rsidR="002B7715" w:rsidRPr="00030D4D" w:rsidRDefault="002B7715" w:rsidP="002B7715">
            <w:pPr>
              <w:spacing w:before="0" w:after="0" w:line="240" w:lineRule="auto"/>
              <w:jc w:val="right"/>
              <w:rPr>
                <w:rFonts w:ascii="Arial" w:eastAsia="Times New Roman" w:hAnsi="Arial" w:cs="Arial"/>
                <w:b/>
                <w:bCs/>
                <w:color w:val="000000"/>
                <w:sz w:val="20"/>
                <w:szCs w:val="20"/>
                <w:lang w:eastAsia="pt-BR"/>
              </w:rPr>
            </w:pPr>
            <w:r w:rsidRPr="00030D4D">
              <w:rPr>
                <w:rFonts w:ascii="Arial" w:eastAsia="Times New Roman" w:hAnsi="Arial" w:cs="Arial"/>
                <w:b/>
                <w:bCs/>
                <w:color w:val="000000"/>
                <w:sz w:val="20"/>
                <w:szCs w:val="20"/>
                <w:lang w:eastAsia="pt-BR"/>
              </w:rPr>
              <w:t>1.282.499.071</w:t>
            </w:r>
          </w:p>
        </w:tc>
      </w:tr>
    </w:tbl>
    <w:p w:rsidR="006E0259" w:rsidRPr="00030D4D" w:rsidRDefault="006E0259" w:rsidP="006E0259">
      <w:pPr>
        <w:spacing w:before="0" w:after="0" w:line="240" w:lineRule="auto"/>
        <w:rPr>
          <w:rFonts w:ascii="Arial" w:hAnsi="Arial" w:cs="Arial"/>
          <w:sz w:val="20"/>
          <w:szCs w:val="20"/>
        </w:rPr>
      </w:pPr>
      <w:r w:rsidRPr="00030D4D">
        <w:rPr>
          <w:rFonts w:ascii="Arial" w:hAnsi="Arial" w:cs="Arial"/>
          <w:sz w:val="20"/>
          <w:szCs w:val="20"/>
        </w:rPr>
        <w:t>Fonte: Base Departamento de Gestão da Informação (DAGI)/Área de Planejamento (APLA)</w:t>
      </w:r>
    </w:p>
    <w:p w:rsidR="00977EC8" w:rsidRPr="00030D4D" w:rsidRDefault="006E0259" w:rsidP="006E0259">
      <w:pPr>
        <w:spacing w:before="0" w:after="0" w:line="240" w:lineRule="auto"/>
        <w:rPr>
          <w:rFonts w:ascii="Arial" w:hAnsi="Arial" w:cs="Arial"/>
        </w:rPr>
      </w:pPr>
      <w:r w:rsidRPr="00030D4D">
        <w:rPr>
          <w:rFonts w:ascii="Arial" w:hAnsi="Arial" w:cs="Arial"/>
          <w:sz w:val="20"/>
          <w:szCs w:val="20"/>
        </w:rPr>
        <w:t>Nota: (1) Os projetos de subvenção aprovados no âmbito dos Editais Conjuntos Inova (aqueles editais em que a Finep atuou em parceria com outras instituições para oferecer mais de um instrumento de apoio) foram classificados como encomenda porque adotaram a nomenclatura do fluxo do sistema.</w:t>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Pr="00030D4D">
        <w:rPr>
          <w:rFonts w:ascii="Arial" w:hAnsi="Arial" w:cs="Arial"/>
          <w:sz w:val="20"/>
          <w:szCs w:val="20"/>
        </w:rPr>
        <w:tab/>
      </w:r>
      <w:r w:rsidR="00977EC8" w:rsidRPr="00030D4D">
        <w:rPr>
          <w:rFonts w:ascii="Arial" w:hAnsi="Arial" w:cs="Arial"/>
        </w:rPr>
        <w:tab/>
      </w:r>
      <w:r w:rsidR="00977EC8" w:rsidRPr="00030D4D">
        <w:rPr>
          <w:rFonts w:ascii="Arial" w:hAnsi="Arial" w:cs="Arial"/>
        </w:rPr>
        <w:tab/>
      </w:r>
      <w:r w:rsidR="00977EC8" w:rsidRPr="00030D4D">
        <w:rPr>
          <w:rFonts w:ascii="Arial" w:hAnsi="Arial" w:cs="Arial"/>
        </w:rPr>
        <w:tab/>
      </w:r>
      <w:r w:rsidR="00977EC8" w:rsidRPr="00030D4D">
        <w:rPr>
          <w:rFonts w:ascii="Arial" w:hAnsi="Arial" w:cs="Arial"/>
        </w:rPr>
        <w:tab/>
      </w:r>
    </w:p>
    <w:p w:rsidR="00977EC8" w:rsidRPr="00030D4D" w:rsidRDefault="00E67725" w:rsidP="00417B15">
      <w:pPr>
        <w:rPr>
          <w:rFonts w:ascii="Arial" w:hAnsi="Arial" w:cs="Arial"/>
        </w:rPr>
      </w:pPr>
      <w:r w:rsidRPr="00030D4D">
        <w:rPr>
          <w:rFonts w:ascii="Arial" w:hAnsi="Arial" w:cs="Arial"/>
        </w:rPr>
        <w:t>Procura-se fazer nas</w:t>
      </w:r>
      <w:r w:rsidR="00920423" w:rsidRPr="00030D4D">
        <w:rPr>
          <w:rFonts w:ascii="Arial" w:hAnsi="Arial" w:cs="Arial"/>
        </w:rPr>
        <w:t xml:space="preserve"> considerações finais</w:t>
      </w:r>
      <w:r w:rsidRPr="00030D4D">
        <w:rPr>
          <w:rFonts w:ascii="Arial" w:hAnsi="Arial" w:cs="Arial"/>
        </w:rPr>
        <w:t>, a seguir, uma</w:t>
      </w:r>
      <w:r w:rsidR="00920423" w:rsidRPr="00030D4D">
        <w:rPr>
          <w:rFonts w:ascii="Arial" w:hAnsi="Arial" w:cs="Arial"/>
        </w:rPr>
        <w:t xml:space="preserve"> reflexão geral sobre </w:t>
      </w:r>
      <w:r w:rsidR="00417B15" w:rsidRPr="00030D4D">
        <w:rPr>
          <w:rFonts w:ascii="Arial" w:hAnsi="Arial" w:cs="Arial"/>
        </w:rPr>
        <w:t>as dificuldades encontradas pela Finep e pelo BNDES para manter o padrão de financiamento à inovação adotado at</w:t>
      </w:r>
      <w:r w:rsidR="004A5633" w:rsidRPr="00030D4D">
        <w:rPr>
          <w:rFonts w:ascii="Arial" w:hAnsi="Arial" w:cs="Arial"/>
        </w:rPr>
        <w:t>é aqui, dada a expansão do Sistema de Inovação</w:t>
      </w:r>
      <w:r w:rsidR="00350C46" w:rsidRPr="00030D4D">
        <w:rPr>
          <w:rFonts w:ascii="Arial" w:hAnsi="Arial" w:cs="Arial"/>
        </w:rPr>
        <w:t>,</w:t>
      </w:r>
      <w:r w:rsidR="004A5633" w:rsidRPr="00030D4D">
        <w:rPr>
          <w:rFonts w:ascii="Arial" w:hAnsi="Arial" w:cs="Arial"/>
        </w:rPr>
        <w:t xml:space="preserve"> a crise econômico-financeira que vem assolando o país</w:t>
      </w:r>
      <w:r w:rsidR="00350C46" w:rsidRPr="00030D4D">
        <w:rPr>
          <w:rFonts w:ascii="Arial" w:hAnsi="Arial" w:cs="Arial"/>
        </w:rPr>
        <w:t xml:space="preserve"> e as próprias condições operacionais das agências</w:t>
      </w:r>
      <w:r w:rsidR="004A5633" w:rsidRPr="00030D4D">
        <w:rPr>
          <w:rFonts w:ascii="Arial" w:hAnsi="Arial" w:cs="Arial"/>
        </w:rPr>
        <w:t>.</w:t>
      </w:r>
    </w:p>
    <w:p w:rsidR="002B7715" w:rsidRPr="00030D4D" w:rsidRDefault="006E0259" w:rsidP="006E0259">
      <w:pPr>
        <w:spacing w:before="0" w:after="0" w:line="240" w:lineRule="auto"/>
        <w:rPr>
          <w:rFonts w:ascii="Arial" w:hAnsi="Arial" w:cs="Arial"/>
        </w:rPr>
      </w:pPr>
      <w:r w:rsidRPr="00030D4D">
        <w:rPr>
          <w:rFonts w:ascii="Arial" w:hAnsi="Arial" w:cs="Arial"/>
        </w:rPr>
        <w:tab/>
      </w:r>
      <w:r w:rsidRPr="00030D4D">
        <w:rPr>
          <w:rFonts w:ascii="Arial" w:hAnsi="Arial" w:cs="Arial"/>
        </w:rPr>
        <w:tab/>
      </w:r>
    </w:p>
    <w:p w:rsidR="006854DE" w:rsidRPr="00030D4D" w:rsidRDefault="006854DE" w:rsidP="00BB0C84">
      <w:pPr>
        <w:pStyle w:val="Title"/>
        <w:rPr>
          <w:rFonts w:ascii="Arial" w:hAnsi="Arial" w:cs="Arial"/>
        </w:rPr>
      </w:pPr>
      <w:bookmarkStart w:id="73" w:name="_Toc482828491"/>
      <w:r w:rsidRPr="00030D4D">
        <w:rPr>
          <w:rFonts w:ascii="Arial" w:hAnsi="Arial" w:cs="Arial"/>
        </w:rPr>
        <w:t>Considerações Finais</w:t>
      </w:r>
      <w:bookmarkEnd w:id="73"/>
    </w:p>
    <w:p w:rsidR="00F6247F" w:rsidRPr="00030D4D" w:rsidRDefault="00F6247F" w:rsidP="00F6247F">
      <w:pPr>
        <w:rPr>
          <w:rFonts w:ascii="Arial" w:hAnsi="Arial" w:cs="Arial"/>
        </w:rPr>
      </w:pPr>
      <w:bookmarkStart w:id="74" w:name="_Toc433665374"/>
      <w:r w:rsidRPr="00030D4D">
        <w:rPr>
          <w:rFonts w:ascii="Arial" w:hAnsi="Arial" w:cs="Arial"/>
        </w:rPr>
        <w:t>Embora sejam claras as vantagens e a relevância de se inovar, a realidade revela que, no Brasil, muitas empresas têm encontrado dificuldades para transformar o plano de intenções em favor das inovações numa realidade prática. A falta de acesso a financiamento adequado explica uma parte dessa dificuldade, embora o rol dos fatores limitadores do acesso às inovações seja muito mais amplo, indo além das questões relacionadas aos recursos financeiros.</w:t>
      </w:r>
    </w:p>
    <w:p w:rsidR="00F6247F" w:rsidRPr="00030D4D" w:rsidRDefault="00F6247F" w:rsidP="00F6247F">
      <w:pPr>
        <w:rPr>
          <w:rFonts w:ascii="Arial" w:hAnsi="Arial" w:cs="Arial"/>
        </w:rPr>
      </w:pPr>
      <w:r w:rsidRPr="00030D4D">
        <w:rPr>
          <w:rFonts w:ascii="Arial" w:hAnsi="Arial" w:cs="Arial"/>
        </w:rPr>
        <w:t xml:space="preserve">O sistema financeiro privado tem se mantido afastado do financiamento aos investimentos de longo prazo sujeitos a maiores riscos e incertezas, o que explica a importância do Estado, por meio de suas agências e instituições, neste campo. Medidas de política nas últimas décadas foram bastante ativas nesta direção, contribuindo para alterar o cenário do financiamento à inovação, mas seu alcance vem sendo limitado pela descontinuidade dos recursos e das prioridades estabelecidas. </w:t>
      </w:r>
    </w:p>
    <w:p w:rsidR="00F6247F" w:rsidRPr="00030D4D" w:rsidRDefault="00F6247F" w:rsidP="00F6247F">
      <w:pPr>
        <w:rPr>
          <w:rFonts w:ascii="Arial" w:hAnsi="Arial" w:cs="Arial"/>
        </w:rPr>
      </w:pPr>
      <w:r w:rsidRPr="00030D4D">
        <w:rPr>
          <w:rFonts w:ascii="Arial" w:hAnsi="Arial" w:cs="Arial"/>
        </w:rPr>
        <w:t xml:space="preserve">Uma medida importante foi a criação dos fundos setoriais destinados a dinamizar as condições de financiamento do SNI e de incentivar as empresas a inovar. As perspectivas eram de que os recursos desses fundos alocados de forma não reembolsável por meio de subvenção e de outros instrumentos (equalização de juros para reduzir o custo do crédito e investimentos em novos negócios) contribuíssem para o compartilhamento dos riscos e incertezas característicos dos projetos de inovação. De forma não menos importante, o uso dos recursos não reembolsáveis para apoio a P&amp;D em cooperação com instituições de natureza científica e tecnológica também deveria contribuir para ampliar o acesso das empresas aos conhecimentos científicos e tecnológicos. </w:t>
      </w:r>
    </w:p>
    <w:p w:rsidR="00F6247F" w:rsidRPr="00030D4D" w:rsidRDefault="00F6247F" w:rsidP="00F6247F">
      <w:pPr>
        <w:rPr>
          <w:rFonts w:ascii="Arial" w:hAnsi="Arial" w:cs="Arial"/>
        </w:rPr>
      </w:pPr>
      <w:r w:rsidRPr="00030D4D">
        <w:rPr>
          <w:rFonts w:ascii="Arial" w:hAnsi="Arial" w:cs="Arial"/>
        </w:rPr>
        <w:t xml:space="preserve">Na prática, a expansão do volume financeiro proveniente dos fundos setoriais e de outras fontes do Tesouro, orientada por um conjunto de medidas e ações de política, permitiu multiplicar os atores, organizações e instituições, aumentando e tornando mais complexa a estrutura do Sistema de Inovação, o que representou demandas adicionais por recursos humanos e instalação e operação da infraestrutura de C&amp;T. Destacam-se as demandas das ICT, que almejam mais financiamento para seus projetos e laboratórios assim como as do setor privado e dos estados e municípios com o intuito de manter suas políticas de apoio a incubadoras, parques tecnológicos, dentre outras iniciativas destinadas à melhorar o ambiente inovador. </w:t>
      </w:r>
    </w:p>
    <w:p w:rsidR="00F6247F" w:rsidRPr="00030D4D" w:rsidRDefault="00F6247F" w:rsidP="00F6247F">
      <w:pPr>
        <w:rPr>
          <w:rFonts w:ascii="Arial" w:hAnsi="Arial" w:cs="Arial"/>
        </w:rPr>
      </w:pPr>
      <w:r w:rsidRPr="00030D4D">
        <w:rPr>
          <w:rFonts w:ascii="Arial" w:hAnsi="Arial" w:cs="Arial"/>
        </w:rPr>
        <w:t>Tal expansão também se refletiu em pressões para o ajustamento da legislação, com destaque para a Lei de incentivos fiscais (Lei do Bem) com o intuito de ampliar os benefícios e reduzir a insegurança jurídica associada ao uso da lei sem autorização prévia.  Refletiu-se no marco legal de modo ainda mais amplo, com a Lei de Inovação, Lei de Propriedade Industrial, Lei de Cultivares, de Informática, apenas para citar algumas.</w:t>
      </w:r>
    </w:p>
    <w:p w:rsidR="00F6247F" w:rsidRPr="00030D4D" w:rsidRDefault="00F6247F" w:rsidP="00F6247F">
      <w:pPr>
        <w:rPr>
          <w:rFonts w:ascii="Arial" w:hAnsi="Arial" w:cs="Arial"/>
        </w:rPr>
      </w:pPr>
      <w:r w:rsidRPr="00030D4D">
        <w:rPr>
          <w:rFonts w:ascii="Arial" w:hAnsi="Arial" w:cs="Arial"/>
        </w:rPr>
        <w:t xml:space="preserve">Do ponto de vista do suporte financeiro, todas as agências vinculadas ao MCTI, em particular a Finep e CNPq, aumentaram sua capacidade para operar um volume maior de recursos. O BNDES, da mesma forma, passou a financiar de forma mais direcionada projetos de P&amp;D e investimentos em inovação. Mas o que inicialmente parecia uma liderança hoje se revela uma estrutura que vem a reboque do próprio processo criando um descompasso dinâmico que explicita as dificuldades do governo para dar vazão às demandas geradas pela expansão do próprio SNI. Um dos fatores explicativos está relacionado declínio do orçamento do tesouro destinado a estas atividades, a partir de meados da década dos 2010. Mais recentemente, porém, os recursos dos fundos setoriais depositados no FNDCT foram reduzidos com o deslocamento da sua principal fonte, o CT-Petro. </w:t>
      </w:r>
    </w:p>
    <w:p w:rsidR="00F6247F" w:rsidRPr="00030D4D" w:rsidRDefault="00F6247F" w:rsidP="00F6247F">
      <w:pPr>
        <w:rPr>
          <w:rFonts w:ascii="Arial" w:hAnsi="Arial" w:cs="Arial"/>
        </w:rPr>
      </w:pPr>
      <w:r w:rsidRPr="00030D4D">
        <w:rPr>
          <w:rFonts w:ascii="Arial" w:hAnsi="Arial" w:cs="Arial"/>
        </w:rPr>
        <w:t>Os programas e ações mais direcionados às empresas, caso do Plano Inova Empresa lançado em 2013, fizeram crer que o instrumento de crédito daria conta de atender às demandas empresariais. No entanto, os diferentes instrumentos assumem funções distintas e são úteis em etapas diferentes do processo inovativo, o que os torna substitutos imperfeitos, para não dizer que não são substituíveis. O crédito é um recurso importante de apoio à fase comercial da inovação, mas é inadequado, em função dos custos financeiros, para financiar as etapas iniciais e de maior incerteza de um empreendimento e inovações de caráter mais radical.</w:t>
      </w:r>
    </w:p>
    <w:p w:rsidR="00F6247F" w:rsidRPr="00030D4D" w:rsidRDefault="00F6247F" w:rsidP="00F6247F">
      <w:pPr>
        <w:rPr>
          <w:rFonts w:ascii="Arial" w:hAnsi="Arial" w:cs="Arial"/>
        </w:rPr>
      </w:pPr>
      <w:r w:rsidRPr="00030D4D">
        <w:rPr>
          <w:rFonts w:ascii="Arial" w:hAnsi="Arial" w:cs="Arial"/>
        </w:rPr>
        <w:t>O fato é que o Brasil hoje conta com um Sistema Nacional de Inovação complexo, com instituições detentoras de capacitação básica para lidar com os principais desafios na área de CT&amp;I; também conta com os principais instrumentos de apoio à inovação que vêm sendo utilizados com sucesso pelos países líderes em inovação, entre os quais se destacam o fomento à PD&amp;I por meio de financiamento não reembolsável, que inclui, a subvenção econômica à inovação; os instrumentos de crédito com custos reduzidos devido às possibilidades de equalização dos juros e os instrumentos de renda variável, com suporte público ao mercado de capital semente e de risco para investimentos em novos negócios de base tecnológica. Mas a estrutura pública de financiamento tem dificuldades para operar em escala que hoje é sem dúvida pequena para atender as necessidades presentes. E a estrutura financeira privada não vê vantagens em financiar investimentos dessa natureza, com exceção da participação em alguns fundos de venture capital e de private equity, destinados a negócios em fase de expansão e com perspectivas de elevadas taxas de retorno.</w:t>
      </w:r>
    </w:p>
    <w:p w:rsidR="00F6247F" w:rsidRPr="00030D4D" w:rsidRDefault="00F6247F" w:rsidP="00F6247F">
      <w:pPr>
        <w:rPr>
          <w:rFonts w:ascii="Arial" w:hAnsi="Arial" w:cs="Arial"/>
        </w:rPr>
      </w:pPr>
      <w:r w:rsidRPr="00030D4D">
        <w:rPr>
          <w:rFonts w:ascii="Arial" w:hAnsi="Arial" w:cs="Arial"/>
        </w:rPr>
        <w:t>Os desafios atuais e futuros são, assim, maiores do que eram no passado. De um lado estão alguns gargalos já identificados, como na área de recursos humanos qualificados, notadamente de engenheiros bem formados, e na disponibilidade de infraestrutura de inovação descentralizada, que opere mais próxima das empresas e tenha capacidade para atendê-las em suas necessidades com a tempestividade requerida pela dinâmica da inovação. De outro, as grandes infraestruturas de pesquisa, indispensáveis para assegurar a presença do país em setores econômicos estratégicos nos quais tem potencial competitivo, e o financiamento de iniciativas inovadoras, como o Inova Brasil e a Embrapii, lançados em 2013. Neste contexto, apesar da expressiva expansão registrada na última década, a disponibilidade de recursos para financiar a inovação se mantém como um entrave relevante para a disseminação da inovação no setor produtivo brasileiro. Faz-se necessário repensar o modelo de financiamento e rediscuti-lo sob novas bases. Tudo indica que o marco legal também precisa ser ampliado e revisado pois o problema regulatório inibe o processo decisório das empresas em termos de suas operações de longo prazo. Essa situação coloca o SNI sob a ameaça de não crescer para acompanhar os avanços tecnológicos e para transformar a inovação em vetor central da competitividade e crescimento da economia brasileira.</w:t>
      </w:r>
    </w:p>
    <w:p w:rsidR="00A92224" w:rsidRPr="00030D4D" w:rsidRDefault="00F6247F" w:rsidP="001038D0">
      <w:pPr>
        <w:rPr>
          <w:rFonts w:ascii="Arial" w:hAnsi="Arial" w:cs="Arial"/>
        </w:rPr>
      </w:pPr>
      <w:r w:rsidRPr="00030D4D">
        <w:rPr>
          <w:rFonts w:ascii="Arial" w:hAnsi="Arial" w:cs="Arial"/>
        </w:rPr>
        <w:t xml:space="preserve">Em resumo, considera-se que existe hoje um claro esgotamento do modelo adotado, cujas origens datam de fins dos anos 90, época da expansão do processo de internacionalização da economia. Mesmo os novos instrumentos mostram-se extremamente limitados. Basta ver o número de contratos de financiamento firmados pelo BNDES e Finep ao longo dos últimos 10 anos, período no qual os recursos também cresceram de forma importante. Ou também o número de empresas beneficiárias da Lei do Bem, que em 2013 não passaram de 800 (como várias empresas de um mesmo grupo utiliza o mecanismo, é certo que o número de beneficiários é ainda menor). A verdade é que as empresas brasileiras, em sua maioria médias e pequenas, estão praticamente fora do sistema e praticamente não têm acesso aos mecanismos de apoio à inovação. E ainda assim os recursos são insuficientes. O desafio agora é pensar como estabelecer uma nova estrutura que contribua para alterar o cenário desfavorável no qual o país se encontra diante da dificuldade competitiva enfrentada principalmente pela indústria nacional.   </w:t>
      </w:r>
    </w:p>
    <w:p w:rsidR="00C9469D" w:rsidRPr="00030D4D" w:rsidRDefault="00307381" w:rsidP="00BB0C84">
      <w:pPr>
        <w:pStyle w:val="Title"/>
        <w:rPr>
          <w:rFonts w:ascii="Arial" w:hAnsi="Arial" w:cs="Arial"/>
        </w:rPr>
      </w:pPr>
      <w:bookmarkStart w:id="75" w:name="_Toc482828492"/>
      <w:r w:rsidRPr="00030D4D">
        <w:rPr>
          <w:rFonts w:ascii="Arial" w:hAnsi="Arial" w:cs="Arial"/>
        </w:rPr>
        <w:t>Referência</w:t>
      </w:r>
      <w:r w:rsidR="004801E4" w:rsidRPr="00030D4D">
        <w:rPr>
          <w:rFonts w:ascii="Arial" w:hAnsi="Arial" w:cs="Arial"/>
        </w:rPr>
        <w:t>s</w:t>
      </w:r>
      <w:r w:rsidR="00C9469D" w:rsidRPr="00030D4D">
        <w:rPr>
          <w:rFonts w:ascii="Arial" w:hAnsi="Arial" w:cs="Arial"/>
        </w:rPr>
        <w:t xml:space="preserve"> Bibliográfica</w:t>
      </w:r>
      <w:r w:rsidR="004801E4" w:rsidRPr="00030D4D">
        <w:rPr>
          <w:rFonts w:ascii="Arial" w:hAnsi="Arial" w:cs="Arial"/>
        </w:rPr>
        <w:t>s</w:t>
      </w:r>
      <w:bookmarkEnd w:id="74"/>
      <w:bookmarkEnd w:id="75"/>
    </w:p>
    <w:p w:rsidR="006E0434" w:rsidRPr="00030D4D" w:rsidRDefault="006E0434" w:rsidP="006E0434">
      <w:pPr>
        <w:pStyle w:val="BIBLIOGRAFIA"/>
        <w:spacing w:before="0" w:after="120" w:line="240" w:lineRule="auto"/>
        <w:rPr>
          <w:rFonts w:ascii="Arial" w:hAnsi="Arial" w:cs="Arial"/>
          <w:sz w:val="20"/>
        </w:rPr>
      </w:pPr>
      <w:r w:rsidRPr="00030D4D">
        <w:rPr>
          <w:rFonts w:ascii="Arial" w:hAnsi="Arial" w:cs="Arial"/>
          <w:sz w:val="20"/>
        </w:rPr>
        <w:t xml:space="preserve">BUAINAIN, A. M.; CORDER, S. “FNDCT: limites e potencialidades.” </w:t>
      </w:r>
      <w:r w:rsidRPr="00030D4D">
        <w:rPr>
          <w:rFonts w:ascii="Arial" w:hAnsi="Arial" w:cs="Arial"/>
          <w:b/>
          <w:sz w:val="20"/>
        </w:rPr>
        <w:t>Estudos Universitários, Revista de Cultura</w:t>
      </w:r>
      <w:r w:rsidRPr="00030D4D">
        <w:rPr>
          <w:rFonts w:ascii="Arial" w:hAnsi="Arial" w:cs="Arial"/>
          <w:sz w:val="20"/>
        </w:rPr>
        <w:t xml:space="preserve">. Universidade Federal de Pernambuco, Recife-PE, v. 31, n. 12, p. 1 – 292, dez 2012. </w:t>
      </w:r>
    </w:p>
    <w:p w:rsidR="006E0434" w:rsidRPr="00030D4D" w:rsidRDefault="006E0434" w:rsidP="006E0434">
      <w:pPr>
        <w:pStyle w:val="BIBLIOGRAFIA"/>
        <w:spacing w:before="0" w:after="120" w:line="240" w:lineRule="auto"/>
        <w:rPr>
          <w:rFonts w:ascii="Arial" w:hAnsi="Arial" w:cs="Arial"/>
          <w:sz w:val="20"/>
        </w:rPr>
      </w:pPr>
      <w:r w:rsidRPr="00030D4D">
        <w:rPr>
          <w:rFonts w:ascii="Arial" w:hAnsi="Arial" w:cs="Arial"/>
          <w:sz w:val="20"/>
        </w:rPr>
        <w:t xml:space="preserve">CGEE. </w:t>
      </w:r>
      <w:r w:rsidRPr="00030D4D">
        <w:rPr>
          <w:rFonts w:ascii="Arial" w:hAnsi="Arial" w:cs="Arial"/>
          <w:b/>
          <w:sz w:val="20"/>
        </w:rPr>
        <w:t>Capital de risco e desenvolvimento tecnológico no Brasil</w:t>
      </w:r>
      <w:r w:rsidRPr="00030D4D">
        <w:rPr>
          <w:rFonts w:ascii="Arial" w:hAnsi="Arial" w:cs="Arial"/>
          <w:sz w:val="20"/>
        </w:rPr>
        <w:t>: experiência recente e perspectivas. Brasília-DF: maio de 2003. (Relatório Final). Estudo realizado sob a coordenação de Tomás Bruginski de Paula.</w:t>
      </w:r>
    </w:p>
    <w:p w:rsidR="006E0434" w:rsidRPr="00030D4D" w:rsidRDefault="006E0434" w:rsidP="006E0434">
      <w:pPr>
        <w:pStyle w:val="BIBLIOGRAFIA"/>
        <w:spacing w:before="0" w:after="120" w:line="240" w:lineRule="auto"/>
        <w:rPr>
          <w:rFonts w:ascii="Arial" w:hAnsi="Arial" w:cs="Arial"/>
          <w:sz w:val="20"/>
        </w:rPr>
      </w:pPr>
      <w:r w:rsidRPr="00030D4D">
        <w:rPr>
          <w:rFonts w:ascii="Arial" w:hAnsi="Arial" w:cs="Arial"/>
          <w:sz w:val="20"/>
        </w:rPr>
        <w:t xml:space="preserve">CORDER, S. Financiamento e incentivos ao sistema de ciência, tecnologia e inovação no Brasil: quadro atual e perspectivas. </w:t>
      </w:r>
      <w:r w:rsidRPr="00030D4D">
        <w:rPr>
          <w:rFonts w:ascii="Arial" w:hAnsi="Arial" w:cs="Arial"/>
          <w:b/>
          <w:sz w:val="20"/>
        </w:rPr>
        <w:t>Tese</w:t>
      </w:r>
      <w:r w:rsidRPr="00030D4D">
        <w:rPr>
          <w:rFonts w:ascii="Arial" w:hAnsi="Arial" w:cs="Arial"/>
          <w:sz w:val="20"/>
        </w:rPr>
        <w:t xml:space="preserve"> (Doutorado em Política Científica e Tecnológica). Campinas: DPCT/IG/UNICAMP, 2004.</w:t>
      </w:r>
    </w:p>
    <w:p w:rsidR="006E0434" w:rsidRPr="00030D4D" w:rsidRDefault="006E0434" w:rsidP="006E0434">
      <w:pPr>
        <w:pStyle w:val="BIBLIOGRAFIA"/>
        <w:spacing w:before="0" w:after="120" w:line="240" w:lineRule="auto"/>
        <w:rPr>
          <w:rFonts w:ascii="Arial" w:hAnsi="Arial" w:cs="Arial"/>
          <w:sz w:val="20"/>
        </w:rPr>
      </w:pPr>
      <w:r w:rsidRPr="00030D4D">
        <w:rPr>
          <w:rFonts w:ascii="Arial" w:hAnsi="Arial" w:cs="Arial"/>
          <w:sz w:val="20"/>
        </w:rPr>
        <w:t xml:space="preserve">FINEP. </w:t>
      </w:r>
      <w:r w:rsidRPr="00030D4D">
        <w:rPr>
          <w:rFonts w:ascii="Arial" w:hAnsi="Arial" w:cs="Arial"/>
          <w:b/>
          <w:sz w:val="20"/>
        </w:rPr>
        <w:t>Relatório de resultados do FNDCT 2013</w:t>
      </w:r>
      <w:r w:rsidRPr="00030D4D">
        <w:rPr>
          <w:rFonts w:ascii="Arial" w:hAnsi="Arial" w:cs="Arial"/>
          <w:sz w:val="20"/>
        </w:rPr>
        <w:t>. Rio de Janeiro, FINEP/MCTI, 2014.</w:t>
      </w:r>
    </w:p>
    <w:p w:rsidR="006E0434" w:rsidRPr="00030D4D" w:rsidRDefault="006E0434" w:rsidP="006E0434">
      <w:pPr>
        <w:pStyle w:val="BIBLIOGRAFIA"/>
        <w:spacing w:before="0" w:after="120" w:line="240" w:lineRule="auto"/>
        <w:rPr>
          <w:rFonts w:ascii="Arial" w:hAnsi="Arial" w:cs="Arial"/>
          <w:sz w:val="20"/>
        </w:rPr>
      </w:pPr>
      <w:r w:rsidRPr="00030D4D">
        <w:rPr>
          <w:rFonts w:ascii="Arial" w:hAnsi="Arial" w:cs="Arial"/>
          <w:sz w:val="20"/>
        </w:rPr>
        <w:t xml:space="preserve">GORGULHO, L.F. </w:t>
      </w:r>
      <w:r w:rsidRPr="00030D4D">
        <w:rPr>
          <w:rFonts w:ascii="Arial" w:hAnsi="Arial" w:cs="Arial"/>
          <w:b/>
          <w:sz w:val="20"/>
        </w:rPr>
        <w:t>O capital de risco como alternativa de financiamento às pequenas e médias empresas de base tecnológica</w:t>
      </w:r>
      <w:r w:rsidRPr="00030D4D">
        <w:rPr>
          <w:rFonts w:ascii="Arial" w:hAnsi="Arial" w:cs="Arial"/>
          <w:sz w:val="20"/>
        </w:rPr>
        <w:t>: o caso do CONTEC/BNDES. RJ: UFRJ. Dissertação (Mestrado em Economia), Rio de Janeiro, 1996, 181 p.</w:t>
      </w:r>
    </w:p>
    <w:p w:rsidR="006E0434" w:rsidRPr="00030D4D" w:rsidRDefault="006E0434" w:rsidP="006E0434">
      <w:pPr>
        <w:spacing w:before="0" w:line="240" w:lineRule="auto"/>
        <w:rPr>
          <w:rFonts w:ascii="Arial" w:hAnsi="Arial" w:cs="Arial"/>
          <w:bCs/>
          <w:iCs/>
          <w:sz w:val="20"/>
          <w:szCs w:val="20"/>
        </w:rPr>
      </w:pPr>
      <w:r w:rsidRPr="00030D4D">
        <w:rPr>
          <w:rFonts w:ascii="Arial" w:hAnsi="Arial" w:cs="Arial"/>
          <w:bCs/>
          <w:iCs/>
          <w:sz w:val="20"/>
          <w:szCs w:val="20"/>
        </w:rPr>
        <w:t>HOLLANDA, S. Financiamento e incentivos à inovação industrial no Brasil</w:t>
      </w:r>
      <w:r w:rsidRPr="00030D4D">
        <w:rPr>
          <w:rFonts w:ascii="Arial" w:hAnsi="Arial" w:cs="Arial"/>
          <w:bCs/>
          <w:i/>
          <w:iCs/>
          <w:sz w:val="20"/>
          <w:szCs w:val="20"/>
        </w:rPr>
        <w:t>.</w:t>
      </w:r>
      <w:r w:rsidRPr="00030D4D">
        <w:rPr>
          <w:rFonts w:ascii="Arial" w:hAnsi="Arial" w:cs="Arial"/>
          <w:b/>
          <w:bCs/>
          <w:iCs/>
          <w:sz w:val="20"/>
          <w:szCs w:val="20"/>
        </w:rPr>
        <w:t xml:space="preserve"> Tese</w:t>
      </w:r>
      <w:r w:rsidRPr="00030D4D">
        <w:rPr>
          <w:rFonts w:ascii="Arial" w:hAnsi="Arial" w:cs="Arial"/>
          <w:bCs/>
          <w:iCs/>
          <w:sz w:val="20"/>
          <w:szCs w:val="20"/>
        </w:rPr>
        <w:t>. Campinas: Universidade Estadual de Campinas, 2010, 245 p.</w:t>
      </w:r>
    </w:p>
    <w:p w:rsidR="006E0434" w:rsidRPr="00030D4D" w:rsidRDefault="006E0434" w:rsidP="006E0434">
      <w:pPr>
        <w:spacing w:before="0" w:line="240" w:lineRule="auto"/>
        <w:rPr>
          <w:rFonts w:ascii="Arial" w:hAnsi="Arial" w:cs="Arial"/>
          <w:sz w:val="20"/>
          <w:szCs w:val="20"/>
        </w:rPr>
      </w:pPr>
      <w:r w:rsidRPr="00030D4D">
        <w:rPr>
          <w:rFonts w:ascii="Arial" w:hAnsi="Arial" w:cs="Arial"/>
          <w:sz w:val="20"/>
          <w:szCs w:val="20"/>
        </w:rPr>
        <w:t xml:space="preserve">MCT. </w:t>
      </w:r>
      <w:r w:rsidRPr="00030D4D">
        <w:rPr>
          <w:rFonts w:ascii="Arial" w:hAnsi="Arial" w:cs="Arial"/>
          <w:b/>
          <w:sz w:val="20"/>
          <w:szCs w:val="20"/>
        </w:rPr>
        <w:t>Livro Branco</w:t>
      </w:r>
      <w:r w:rsidRPr="00030D4D">
        <w:rPr>
          <w:rFonts w:ascii="Arial" w:hAnsi="Arial" w:cs="Arial"/>
          <w:sz w:val="20"/>
          <w:szCs w:val="20"/>
        </w:rPr>
        <w:t>: ciência, tecnologia e inovação. Brasília: MCT, 2002.</w:t>
      </w:r>
    </w:p>
    <w:p w:rsidR="006E0434" w:rsidRPr="00030D4D" w:rsidRDefault="006E0434" w:rsidP="006E0434">
      <w:pPr>
        <w:spacing w:before="0" w:line="240" w:lineRule="auto"/>
        <w:rPr>
          <w:rFonts w:ascii="Arial" w:hAnsi="Arial" w:cs="Arial"/>
          <w:sz w:val="20"/>
          <w:szCs w:val="20"/>
        </w:rPr>
      </w:pPr>
      <w:r w:rsidRPr="00030D4D">
        <w:rPr>
          <w:rFonts w:ascii="Arial" w:hAnsi="Arial" w:cs="Arial"/>
          <w:sz w:val="20"/>
          <w:szCs w:val="20"/>
        </w:rPr>
        <w:t xml:space="preserve">MCT/ABC. Ciência, tecnologia e inovação: desafio para a sociedade brasileira – </w:t>
      </w:r>
      <w:r w:rsidRPr="00030D4D">
        <w:rPr>
          <w:rFonts w:ascii="Arial" w:hAnsi="Arial" w:cs="Arial"/>
          <w:b/>
          <w:sz w:val="20"/>
          <w:szCs w:val="20"/>
        </w:rPr>
        <w:t>Livro Verde</w:t>
      </w:r>
      <w:r w:rsidRPr="00030D4D">
        <w:rPr>
          <w:rFonts w:ascii="Arial" w:hAnsi="Arial" w:cs="Arial"/>
          <w:sz w:val="20"/>
          <w:szCs w:val="20"/>
        </w:rPr>
        <w:t xml:space="preserve">. Brasília: MCT/ABC, 2001, Coordenado por Cylon Gonçalves da Silva e Lucia Carvalho Pinto de Melo. </w:t>
      </w:r>
    </w:p>
    <w:p w:rsidR="000E34B6" w:rsidRPr="00030D4D" w:rsidRDefault="006E0434" w:rsidP="000E34B6">
      <w:pPr>
        <w:pStyle w:val="BIBLIOGRAFIA"/>
        <w:spacing w:before="0" w:after="120" w:line="240" w:lineRule="auto"/>
        <w:rPr>
          <w:rStyle w:val="Hyperlink"/>
          <w:rFonts w:ascii="Arial" w:hAnsi="Arial" w:cs="Arial"/>
          <w:sz w:val="20"/>
        </w:rPr>
      </w:pPr>
      <w:r w:rsidRPr="00030D4D">
        <w:rPr>
          <w:rFonts w:ascii="Arial" w:hAnsi="Arial" w:cs="Arial"/>
          <w:sz w:val="20"/>
        </w:rPr>
        <w:t xml:space="preserve">PACHECO, C.A. </w:t>
      </w:r>
      <w:r w:rsidRPr="00030D4D">
        <w:rPr>
          <w:rFonts w:ascii="Arial" w:hAnsi="Arial" w:cs="Arial"/>
          <w:b/>
          <w:sz w:val="20"/>
        </w:rPr>
        <w:t>As reformas da política nacional de ciência, tecnología e inovação no Brasil (1999-2002)</w:t>
      </w:r>
      <w:r w:rsidRPr="00030D4D">
        <w:rPr>
          <w:rFonts w:ascii="Arial" w:hAnsi="Arial" w:cs="Arial"/>
          <w:sz w:val="20"/>
        </w:rPr>
        <w:t xml:space="preserve">. CEPAL: Santiago de Chile, diciembre de 2007. (Manual de Políticas Públicas). Disponível em: </w:t>
      </w:r>
      <w:hyperlink r:id="rId28" w:history="1">
        <w:r w:rsidR="000E34B6" w:rsidRPr="00030D4D">
          <w:rPr>
            <w:rStyle w:val="Hyperlink"/>
            <w:rFonts w:ascii="Arial" w:hAnsi="Arial" w:cs="Arial"/>
            <w:sz w:val="20"/>
          </w:rPr>
          <w:t>http://www.cepal.org/iyd/noticias/paginas/5/31425/carlosamericop.pdf</w:t>
        </w:r>
      </w:hyperlink>
    </w:p>
    <w:p w:rsidR="006E0434" w:rsidRPr="00030D4D" w:rsidRDefault="006E0434" w:rsidP="006E0434">
      <w:pPr>
        <w:spacing w:before="0" w:line="240" w:lineRule="auto"/>
        <w:rPr>
          <w:rFonts w:ascii="Arial" w:hAnsi="Arial" w:cs="Arial"/>
          <w:sz w:val="20"/>
          <w:szCs w:val="20"/>
        </w:rPr>
      </w:pPr>
      <w:r w:rsidRPr="00030D4D">
        <w:rPr>
          <w:rFonts w:ascii="Arial" w:hAnsi="Arial" w:cs="Arial"/>
          <w:caps/>
          <w:sz w:val="20"/>
          <w:szCs w:val="20"/>
        </w:rPr>
        <w:t>Pinho, M.; Côrtes, M.R., Fernandes, A.C.</w:t>
      </w:r>
      <w:r w:rsidRPr="00030D4D">
        <w:rPr>
          <w:rFonts w:ascii="Arial" w:hAnsi="Arial" w:cs="Arial"/>
          <w:sz w:val="20"/>
          <w:szCs w:val="20"/>
        </w:rPr>
        <w:t xml:space="preserve"> “A fragilidade das empresas de base tecnológica em economias periféricas: uma interpretação baseada na experiência brasileira”. Ensaios FEE, Porto Alegre-RS, v. 23, n. 1, p. 135-162, 2002.</w:t>
      </w:r>
    </w:p>
    <w:sectPr w:rsidR="006E0434" w:rsidRPr="00030D4D" w:rsidSect="00EA0E4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4F5" w:rsidRDefault="000234F5" w:rsidP="00F7385E">
      <w:pPr>
        <w:spacing w:after="0" w:line="240" w:lineRule="auto"/>
      </w:pPr>
      <w:r>
        <w:separator/>
      </w:r>
    </w:p>
  </w:endnote>
  <w:endnote w:type="continuationSeparator" w:id="0">
    <w:p w:rsidR="000234F5" w:rsidRDefault="000234F5" w:rsidP="00F73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728961"/>
      <w:docPartObj>
        <w:docPartGallery w:val="Page Numbers (Bottom of Page)"/>
        <w:docPartUnique/>
      </w:docPartObj>
    </w:sdtPr>
    <w:sdtEndPr/>
    <w:sdtContent>
      <w:p w:rsidR="00D834FB" w:rsidRDefault="00D834FB">
        <w:pPr>
          <w:pStyle w:val="Footer"/>
          <w:jc w:val="right"/>
        </w:pPr>
        <w:r>
          <w:fldChar w:fldCharType="begin"/>
        </w:r>
        <w:r>
          <w:instrText>PAGE   \* MERGEFORMAT</w:instrText>
        </w:r>
        <w:r>
          <w:fldChar w:fldCharType="separate"/>
        </w:r>
        <w:r w:rsidR="000234F5">
          <w:rPr>
            <w:noProof/>
          </w:rPr>
          <w:t>1</w:t>
        </w:r>
        <w:r>
          <w:fldChar w:fldCharType="end"/>
        </w:r>
      </w:p>
    </w:sdtContent>
  </w:sdt>
  <w:p w:rsidR="00D834FB" w:rsidRDefault="00D83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59648"/>
      <w:docPartObj>
        <w:docPartGallery w:val="Page Numbers (Bottom of Page)"/>
        <w:docPartUnique/>
      </w:docPartObj>
    </w:sdtPr>
    <w:sdtEndPr/>
    <w:sdtContent>
      <w:p w:rsidR="00D834FB" w:rsidRDefault="00D834FB">
        <w:pPr>
          <w:pStyle w:val="Footer"/>
          <w:jc w:val="right"/>
        </w:pPr>
        <w:r>
          <w:fldChar w:fldCharType="begin"/>
        </w:r>
        <w:r>
          <w:instrText>PAGE   \* MERGEFORMAT</w:instrText>
        </w:r>
        <w:r>
          <w:fldChar w:fldCharType="separate"/>
        </w:r>
        <w:r w:rsidR="007B69E8">
          <w:rPr>
            <w:noProof/>
          </w:rPr>
          <w:t>3</w:t>
        </w:r>
        <w:r>
          <w:fldChar w:fldCharType="end"/>
        </w:r>
      </w:p>
    </w:sdtContent>
  </w:sdt>
  <w:p w:rsidR="00D834FB" w:rsidRDefault="00D83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4F5" w:rsidRDefault="000234F5" w:rsidP="00F7385E">
      <w:pPr>
        <w:spacing w:after="0" w:line="240" w:lineRule="auto"/>
      </w:pPr>
      <w:r>
        <w:separator/>
      </w:r>
    </w:p>
  </w:footnote>
  <w:footnote w:type="continuationSeparator" w:id="0">
    <w:p w:rsidR="000234F5" w:rsidRDefault="000234F5" w:rsidP="00F7385E">
      <w:pPr>
        <w:spacing w:after="0" w:line="240" w:lineRule="auto"/>
      </w:pPr>
      <w:r>
        <w:continuationSeparator/>
      </w:r>
    </w:p>
  </w:footnote>
  <w:footnote w:id="1">
    <w:p w:rsidR="00D834FB" w:rsidRPr="00A725F1" w:rsidRDefault="00D834FB" w:rsidP="007B69E8">
      <w:pPr>
        <w:pStyle w:val="FootnoteText"/>
      </w:pPr>
      <w:r w:rsidRPr="00A725F1">
        <w:rPr>
          <w:rStyle w:val="FootnoteReference"/>
        </w:rPr>
        <w:footnoteRef/>
      </w:r>
      <w:r w:rsidRPr="00A725F1">
        <w:t xml:space="preserve"> A realidade das empresas locais é que o investimento em inovação é mais na aquisição de máquinas e equipamentos do que em P&amp;D (Pintec), o que deve explicar, pelo lado das empresas, a baixa demanda por recursos.</w:t>
      </w:r>
    </w:p>
  </w:footnote>
  <w:footnote w:id="2">
    <w:p w:rsidR="00D834FB" w:rsidRPr="007B69E8" w:rsidRDefault="00D834FB" w:rsidP="007B69E8">
      <w:pPr>
        <w:pStyle w:val="FootnoteText"/>
      </w:pPr>
      <w:r w:rsidRPr="007B69E8">
        <w:rPr>
          <w:rStyle w:val="FootnoteReference"/>
        </w:rPr>
        <w:footnoteRef/>
      </w:r>
      <w:r w:rsidRPr="007B69E8">
        <w:t xml:space="preserve"> São muitos os condicionantes, mas o principal é que as empresas pautam-se pelos sinais econômicos que em muitos casos indicam apenas tardiamente o que devem fazer. A macroeconomia e a dinâmica de concorrência em seus mercados é que ditam o que fazem.  É por esta razão que a P&amp;D é baixa; é uma questão econômica e não comportamental. Mas não se trata de cuidar deste tema no presente trabalho.</w:t>
      </w:r>
    </w:p>
  </w:footnote>
  <w:footnote w:id="3">
    <w:p w:rsidR="00D834FB" w:rsidRDefault="00D834FB" w:rsidP="007B69E8">
      <w:pPr>
        <w:pStyle w:val="FootnoteText"/>
      </w:pPr>
      <w:r>
        <w:rPr>
          <w:rStyle w:val="FootnoteReference"/>
        </w:rPr>
        <w:footnoteRef/>
      </w:r>
      <w:r>
        <w:t xml:space="preserve"> Meus agradecimentos à Sra. Cristina de Melo Valente e à Sra. Patrícia Carvalho de França.</w:t>
      </w:r>
    </w:p>
  </w:footnote>
  <w:footnote w:id="4">
    <w:p w:rsidR="00D834FB" w:rsidRDefault="00D834FB" w:rsidP="007B69E8">
      <w:pPr>
        <w:pStyle w:val="FootnoteText"/>
      </w:pPr>
      <w:r>
        <w:rPr>
          <w:rStyle w:val="FootnoteReference"/>
        </w:rPr>
        <w:footnoteRef/>
      </w:r>
      <w:r>
        <w:t xml:space="preserve"> Tais políticas vieram acompanhadas por ações de outros Ministérios -Educação, Indústria e Comércio, Agricultura e Saúde -, porém as medidas sistemáticas e de maior destaque estiveram concentradas no MCT (atual Ministério de Ciência, Tecnologia, Inovações e Comunicações -MCTIC).</w:t>
      </w:r>
    </w:p>
  </w:footnote>
  <w:footnote w:id="5">
    <w:p w:rsidR="00D834FB" w:rsidRDefault="00D834FB" w:rsidP="007B69E8">
      <w:pPr>
        <w:pStyle w:val="FootnoteText"/>
      </w:pPr>
      <w:r>
        <w:rPr>
          <w:rStyle w:val="FootnoteReference"/>
        </w:rPr>
        <w:footnoteRef/>
      </w:r>
      <w:r>
        <w:t xml:space="preserve"> Os recursos do Funttel são aplicados em benefício do setor de telecomunicações.</w:t>
      </w:r>
    </w:p>
  </w:footnote>
  <w:footnote w:id="6">
    <w:p w:rsidR="00D834FB" w:rsidRDefault="00D834FB" w:rsidP="007B69E8">
      <w:pPr>
        <w:pStyle w:val="FootnoteText"/>
      </w:pPr>
      <w:r>
        <w:rPr>
          <w:rStyle w:val="FootnoteReference"/>
        </w:rPr>
        <w:footnoteRef/>
      </w:r>
      <w:r>
        <w:t xml:space="preserve"> “</w:t>
      </w:r>
      <w:r w:rsidRPr="00277FAC">
        <w:t>Os recursos do Fundo de Amparo ao Trabalhador - FAT são destinados ao financiamento de programas de desenvolvimento econômico através do BNDES, na proporção de pelo menos 40% (de acordo com o artigo 239 da Constituição Federal), enquanto a parcela restante custeia o programa de seguro desemprego e o abono salarial. A este valor somam-se as aplicações financeiras do Fundo</w:t>
      </w:r>
      <w:r>
        <w:t xml:space="preserve">”. Texto obtido em página do portal BNDES. Para mais detalhes sobre o assunto, consultar: </w:t>
      </w:r>
      <w:r w:rsidRPr="00563F4D">
        <w:t>http://www.bndes.gov.br/wps/portal/site/home/transparencia/fontes-de-recursos/fundos-governamentais/fundo-de-amparo-ao-trabalhador-fat/fat-bndes/</w:t>
      </w:r>
    </w:p>
  </w:footnote>
  <w:footnote w:id="7">
    <w:p w:rsidR="00D834FB" w:rsidRDefault="00D834FB" w:rsidP="007B69E8">
      <w:pPr>
        <w:pStyle w:val="FootnoteText"/>
      </w:pPr>
      <w:r>
        <w:rPr>
          <w:rStyle w:val="FootnoteReference"/>
        </w:rPr>
        <w:footnoteRef/>
      </w:r>
      <w:r>
        <w:t xml:space="preserve"> Os parceiros da Finep para o Inovacred, seu programa de crédito, pode ser conferido em: </w:t>
      </w:r>
      <w:hyperlink r:id="rId1" w:history="1">
        <w:r w:rsidRPr="000F4354">
          <w:rPr>
            <w:rStyle w:val="Hyperlink"/>
          </w:rPr>
          <w:t>http://download.finep.gov.br/programas/inovacred/Contatos_Inovacred_2016-03-14.pdf</w:t>
        </w:r>
      </w:hyperlink>
      <w:r>
        <w:t xml:space="preserve">. Para o caso do Tecnova, programa de subvenção, os parceiros podem ser conferidos em: </w:t>
      </w:r>
      <w:hyperlink r:id="rId2" w:history="1">
        <w:r w:rsidRPr="000F4354">
          <w:rPr>
            <w:rStyle w:val="Hyperlink"/>
          </w:rPr>
          <w:t>http://download.finep.gov.br/noticias/tecnova_instituicoes.pdf</w:t>
        </w:r>
      </w:hyperlink>
      <w:r>
        <w:t xml:space="preserve">. </w:t>
      </w:r>
    </w:p>
  </w:footnote>
  <w:footnote w:id="8">
    <w:p w:rsidR="00D834FB" w:rsidRDefault="00D834FB" w:rsidP="007B69E8">
      <w:pPr>
        <w:pStyle w:val="FootnoteText"/>
      </w:pPr>
      <w:r>
        <w:rPr>
          <w:rStyle w:val="FootnoteReference"/>
        </w:rPr>
        <w:footnoteRef/>
      </w:r>
      <w:r>
        <w:t xml:space="preserve"> A estrutura de apoio à CT&amp;I é mais ampla do que a apresentada neste estudo, mas esta não será objeto de análise devido a sua extensão e também porque extrapola os objetivos aqui definidos.  </w:t>
      </w:r>
    </w:p>
  </w:footnote>
  <w:footnote w:id="9">
    <w:p w:rsidR="00D834FB" w:rsidRPr="00EB2E96" w:rsidRDefault="00D834FB" w:rsidP="007B69E8">
      <w:pPr>
        <w:pStyle w:val="FootnoteText"/>
      </w:pPr>
      <w:r w:rsidRPr="00EB2E96">
        <w:rPr>
          <w:rStyle w:val="FootnoteReference"/>
          <w:rFonts w:asciiTheme="minorHAnsi" w:hAnsiTheme="minorHAnsi"/>
        </w:rPr>
        <w:footnoteRef/>
      </w:r>
      <w:r w:rsidRPr="00EB2E96">
        <w:t xml:space="preserve"> No caso da Finep, há o dispositivo da reserva de liquidez para reparar perdas parciais de investimentos, se for o caso (previsto na Lei n</w:t>
      </w:r>
      <w:r w:rsidRPr="00214A68">
        <w:rPr>
          <w:vertAlign w:val="superscript"/>
        </w:rPr>
        <w:t>o</w:t>
      </w:r>
      <w:r w:rsidRPr="00EB2E96">
        <w:t xml:space="preserve"> 10.332/01).</w:t>
      </w:r>
    </w:p>
  </w:footnote>
  <w:footnote w:id="10">
    <w:p w:rsidR="00D834FB" w:rsidRPr="00EB2E96" w:rsidRDefault="00D834FB" w:rsidP="007B69E8">
      <w:pPr>
        <w:pStyle w:val="FootnoteText"/>
      </w:pPr>
      <w:r w:rsidRPr="00EB2E96">
        <w:rPr>
          <w:rStyle w:val="FootnoteReference"/>
          <w:rFonts w:asciiTheme="minorHAnsi" w:hAnsiTheme="minorHAnsi"/>
        </w:rPr>
        <w:footnoteRef/>
      </w:r>
      <w:r w:rsidRPr="00EB2E96">
        <w:t xml:space="preserve"> O FVA foi criado pela Lei n</w:t>
      </w:r>
      <w:r w:rsidRPr="00EB2E96">
        <w:rPr>
          <w:vertAlign w:val="superscript"/>
        </w:rPr>
        <w:t>o</w:t>
      </w:r>
      <w:r w:rsidRPr="00EB2E96">
        <w:t xml:space="preserve"> 10.168/00 e ampliado pela Lei n</w:t>
      </w:r>
      <w:r w:rsidRPr="00EB2E96">
        <w:rPr>
          <w:vertAlign w:val="superscript"/>
        </w:rPr>
        <w:t>o</w:t>
      </w:r>
      <w:r w:rsidRPr="00EB2E96">
        <w:t xml:space="preserve"> 10.332/01</w:t>
      </w:r>
      <w:r>
        <w:t>,</w:t>
      </w:r>
      <w:r w:rsidRPr="00EB2E96">
        <w:t xml:space="preserve"> que contempla a concessão de recursos ao Programa de Inovação para a Competitividade, por meio de instrumentos diversos: equalização</w:t>
      </w:r>
      <w:r>
        <w:t xml:space="preserve"> de juros</w:t>
      </w:r>
      <w:r w:rsidRPr="00EB2E96">
        <w:t>, participação no capital de empresas de base tecnológica, reserva técnica para fundos de investimento, subvenção e financiamento não reembolsável para a pesquisa cooperativa entre universidades e centros de pesquisa com empresas (</w:t>
      </w:r>
      <w:r w:rsidRPr="00EB2E96">
        <w:rPr>
          <w:smallCaps/>
        </w:rPr>
        <w:t>Corder</w:t>
      </w:r>
      <w:r w:rsidRPr="00EB2E96">
        <w:t>, 2004).</w:t>
      </w:r>
    </w:p>
  </w:footnote>
  <w:footnote w:id="11">
    <w:p w:rsidR="00D834FB" w:rsidRPr="00EB2E96" w:rsidRDefault="00D834FB" w:rsidP="007B69E8">
      <w:pPr>
        <w:pStyle w:val="FootnoteText"/>
        <w:rPr>
          <w:lang w:eastAsia="pt-BR"/>
        </w:rPr>
      </w:pPr>
      <w:r w:rsidRPr="00EB2E96">
        <w:rPr>
          <w:rStyle w:val="FootnoteReference"/>
          <w:rFonts w:asciiTheme="minorHAnsi" w:hAnsiTheme="minorHAnsi"/>
        </w:rPr>
        <w:footnoteRef/>
      </w:r>
      <w:r w:rsidRPr="00EB2E96">
        <w:t xml:space="preserve"> </w:t>
      </w:r>
      <w:r w:rsidRPr="00795DF4">
        <w:rPr>
          <w:lang w:eastAsia="pt-BR"/>
        </w:rPr>
        <w:t>A Finep e o BNDES disponibilizam linhas e programas de crédito. As linhas têm alcance transversal, enquanto os programas destinam-se a setores ou áreas específicos.</w:t>
      </w:r>
      <w:r w:rsidRPr="00353463">
        <w:rPr>
          <w:lang w:eastAsia="pt-BR"/>
        </w:rPr>
        <w:t xml:space="preserve"> </w:t>
      </w:r>
      <w:r>
        <w:t>O</w:t>
      </w:r>
      <w:r w:rsidRPr="00EB2E96">
        <w:t xml:space="preserve">s </w:t>
      </w:r>
      <w:r>
        <w:t>p</w:t>
      </w:r>
      <w:r w:rsidRPr="00EB2E96">
        <w:t>rogramas são alterados com certa frequência.</w:t>
      </w:r>
      <w:r>
        <w:t xml:space="preserve"> </w:t>
      </w:r>
      <w:r w:rsidRPr="00EB2E96">
        <w:t xml:space="preserve">Como são criados com </w:t>
      </w:r>
      <w:r>
        <w:t>dotaç</w:t>
      </w:r>
      <w:r w:rsidRPr="00EB2E96">
        <w:t>ão orçamentária</w:t>
      </w:r>
      <w:r>
        <w:t xml:space="preserve"> e duração definidas</w:t>
      </w:r>
      <w:r w:rsidRPr="00EB2E96">
        <w:t>, quando se encerra</w:t>
      </w:r>
      <w:r>
        <w:t>m</w:t>
      </w:r>
      <w:r w:rsidRPr="00EB2E96">
        <w:t xml:space="preserve">, </w:t>
      </w:r>
      <w:r>
        <w:t>a</w:t>
      </w:r>
      <w:r w:rsidRPr="00EB2E96">
        <w:t xml:space="preserve"> agência </w:t>
      </w:r>
      <w:r>
        <w:t xml:space="preserve">pode </w:t>
      </w:r>
      <w:r w:rsidRPr="00EB2E96">
        <w:t xml:space="preserve">não solicitar nova dotação e tornar inativo o Programa.  </w:t>
      </w:r>
      <w:r>
        <w:t>Ainda assim, os programas são passíveis de prorrogação. Na Finep,</w:t>
      </w:r>
      <w:r w:rsidRPr="00EB2E96">
        <w:t xml:space="preserve"> </w:t>
      </w:r>
      <w:r>
        <w:t xml:space="preserve">isso aconteceu, por exemplo, </w:t>
      </w:r>
      <w:r w:rsidRPr="00EB2E96">
        <w:t>com o Programa Juro Zero e</w:t>
      </w:r>
      <w:r>
        <w:t xml:space="preserve"> o Pró-Inovação</w:t>
      </w:r>
      <w:r w:rsidRPr="00EB2E96">
        <w:t>.</w:t>
      </w:r>
      <w:r>
        <w:t xml:space="preserve"> </w:t>
      </w:r>
      <w:r w:rsidRPr="00353463">
        <w:rPr>
          <w:lang w:eastAsia="pt-BR"/>
        </w:rPr>
        <w:t xml:space="preserve">Para conhecer os programas da Finep, ver </w:t>
      </w:r>
      <w:hyperlink r:id="rId3" w:history="1">
        <w:r w:rsidRPr="00DF2F53">
          <w:rPr>
            <w:rStyle w:val="Hyperlink"/>
            <w:rFonts w:eastAsia="Times New Roman"/>
            <w:lang w:eastAsia="pt-BR"/>
          </w:rPr>
          <w:t>www.finep.gov.br/apoio-e-financiamento-externa/o-que-apoiamos</w:t>
        </w:r>
      </w:hyperlink>
      <w:r>
        <w:rPr>
          <w:lang w:eastAsia="pt-BR"/>
        </w:rPr>
        <w:t xml:space="preserve">. </w:t>
      </w:r>
      <w:r w:rsidRPr="00353463">
        <w:rPr>
          <w:lang w:eastAsia="pt-BR"/>
        </w:rPr>
        <w:t xml:space="preserve">Para os programas do BNDES, ver: </w:t>
      </w:r>
      <w:hyperlink r:id="rId4" w:anchor="programas" w:history="1">
        <w:r w:rsidRPr="00DF2F53">
          <w:rPr>
            <w:rStyle w:val="Hyperlink"/>
            <w:lang w:eastAsia="pt-BR"/>
          </w:rPr>
          <w:t>www.bndes.gov.br/SiteBNDES/bndes/bndes_pt/Areas_de_Atuacao/Inovacao/index.html#programas</w:t>
        </w:r>
      </w:hyperlink>
      <w:r>
        <w:rPr>
          <w:u w:val="single"/>
          <w:lang w:eastAsia="pt-BR"/>
        </w:rPr>
        <w:t>.</w:t>
      </w:r>
    </w:p>
  </w:footnote>
  <w:footnote w:id="12">
    <w:p w:rsidR="00D834FB" w:rsidRDefault="00D834FB" w:rsidP="007B69E8">
      <w:pPr>
        <w:pStyle w:val="FootnoteText"/>
      </w:pPr>
      <w:r>
        <w:rPr>
          <w:rStyle w:val="FootnoteReference"/>
        </w:rPr>
        <w:footnoteRef/>
      </w:r>
      <w:r>
        <w:t xml:space="preserve"> A impressão passada à época do lançamento é de que </w:t>
      </w:r>
      <w:r w:rsidRPr="00D700BA">
        <w:t xml:space="preserve">os interessados não precisam mais submeter o mesmo projeto </w:t>
      </w:r>
      <w:r>
        <w:t>várias vezes para</w:t>
      </w:r>
      <w:r w:rsidRPr="00D700BA">
        <w:t xml:space="preserve"> obter recursos de diferentes fontes</w:t>
      </w:r>
      <w:r>
        <w:t>.</w:t>
      </w:r>
      <w:r w:rsidRPr="00D700BA">
        <w:t xml:space="preserve"> A partir de uma mesma demanda, o projeto, se aprovado, poder</w:t>
      </w:r>
      <w:r>
        <w:t>ia</w:t>
      </w:r>
      <w:r w:rsidRPr="00D700BA">
        <w:t xml:space="preserve"> ser financiado com mais de um instrumento, conforme o</w:t>
      </w:r>
      <w:r>
        <w:t>rientação das próprias agências, o que seria uma</w:t>
      </w:r>
      <w:r w:rsidRPr="00D700BA">
        <w:t xml:space="preserve"> </w:t>
      </w:r>
      <w:r>
        <w:t>enorme “vantagem” em termos de tempo e custos para os interessados</w:t>
      </w:r>
      <w:r w:rsidRPr="00D700BA">
        <w:t>.</w:t>
      </w:r>
      <w:r>
        <w:t xml:space="preserve"> No entanto, conforme informações obtidas junto à Finep, esta potencial vantagem não se verificou, pois após a seleção dos projetos aprovados, numa primeira fase, estes eram divididos entre as duas agências e cada uma delas se encarregava de definir quais instrumentos poderiam ser utilizados para financiar o projeto. A partir daí, para cada instrumento era necessário que o proponente elaborasse e submetesse um projeto específico, caso fosse do seu interesse continuar no processo seletivo. A indicação do instrumento não era garantia de que o “novo” projeto submetido seria aprovado e contratado.</w:t>
      </w:r>
    </w:p>
  </w:footnote>
  <w:footnote w:id="13">
    <w:p w:rsidR="00D834FB" w:rsidRDefault="00D834FB" w:rsidP="007B69E8">
      <w:pPr>
        <w:pStyle w:val="FootnoteText"/>
      </w:pPr>
      <w:r>
        <w:rPr>
          <w:rStyle w:val="FootnoteReference"/>
        </w:rPr>
        <w:footnoteRef/>
      </w:r>
      <w:r>
        <w:t xml:space="preserve"> Atualmente, há a cobrança de taxa de inspeção e vigilância (TIV). Ver política operacional, op. cit., p. 22.</w:t>
      </w:r>
    </w:p>
  </w:footnote>
  <w:footnote w:id="14">
    <w:p w:rsidR="00D834FB" w:rsidRPr="00EB2E96" w:rsidRDefault="00D834FB" w:rsidP="007B69E8">
      <w:pPr>
        <w:pStyle w:val="FootnoteText"/>
      </w:pPr>
      <w:r w:rsidRPr="00EB2E96">
        <w:rPr>
          <w:rStyle w:val="FootnoteReference"/>
          <w:rFonts w:asciiTheme="minorHAnsi" w:hAnsiTheme="minorHAnsi"/>
        </w:rPr>
        <w:footnoteRef/>
      </w:r>
      <w:r w:rsidRPr="00EB2E96">
        <w:t xml:space="preserve"> </w:t>
      </w:r>
      <w:r>
        <w:t xml:space="preserve">A </w:t>
      </w:r>
      <w:r w:rsidRPr="00B968F4">
        <w:rPr>
          <w:smallCaps/>
        </w:rPr>
        <w:t>Finep</w:t>
      </w:r>
      <w:r>
        <w:t xml:space="preserve"> (2014: 19) prefere chamar esses instrumentos de </w:t>
      </w:r>
      <w:r w:rsidRPr="00EB2E96">
        <w:t xml:space="preserve">“renda variável não convencional” por </w:t>
      </w:r>
      <w:r>
        <w:t>serem</w:t>
      </w:r>
      <w:r w:rsidRPr="00EB2E96">
        <w:t xml:space="preserve"> </w:t>
      </w:r>
      <w:r>
        <w:t>diferentes</w:t>
      </w:r>
      <w:r w:rsidRPr="00EB2E96">
        <w:t xml:space="preserve"> do mercado </w:t>
      </w:r>
      <w:r>
        <w:t xml:space="preserve">de renda variável convencional: </w:t>
      </w:r>
      <w:r w:rsidRPr="001F09E6">
        <w:t xml:space="preserve">“Ao contrário dos fundos de renda variável (ações) convencionais, os fundos de </w:t>
      </w:r>
      <w:r w:rsidRPr="001F09E6">
        <w:rPr>
          <w:i/>
        </w:rPr>
        <w:t>venture capital</w:t>
      </w:r>
      <w:r w:rsidRPr="001F09E6">
        <w:t xml:space="preserve"> e </w:t>
      </w:r>
      <w:r w:rsidRPr="001F09E6">
        <w:rPr>
          <w:i/>
        </w:rPr>
        <w:t>private equity</w:t>
      </w:r>
      <w:r w:rsidRPr="001F09E6">
        <w:t xml:space="preserve"> são normalmente estruturados através de condomínios fechados, ou seja, seus investidores subscrevem as quotas no início do fundo e não há possibilidade de resgate intermediário, pois os quotistas só recebem o capital na ocasião do desinvestimento/venda do fundo nas empresas da carteira, tipicamente de 5 a 10 anos após o início do fundo, garantindo recursos de longo prazo para as empresas</w:t>
      </w:r>
      <w:r>
        <w:t>”</w:t>
      </w:r>
      <w:r w:rsidRPr="001F09E6">
        <w:t>.</w:t>
      </w:r>
      <w:r>
        <w:t xml:space="preserve"> </w:t>
      </w:r>
      <w:r w:rsidRPr="00EB2E96">
        <w:t xml:space="preserve">As cotas são resgatadas </w:t>
      </w:r>
      <w:r>
        <w:t xml:space="preserve">só </w:t>
      </w:r>
      <w:r w:rsidRPr="00EB2E96">
        <w:t xml:space="preserve">ao </w:t>
      </w:r>
      <w:r>
        <w:t>fim da</w:t>
      </w:r>
      <w:r w:rsidRPr="00EB2E96">
        <w:t xml:space="preserve"> duração do fundo ou em virtude de sua liquidação, admitindo-se, ainda, a amortização de cotas por disposição do regula</w:t>
      </w:r>
      <w:r>
        <w:t>mento ou por decisão da assemble</w:t>
      </w:r>
      <w:r w:rsidRPr="00EB2E96">
        <w:t>ia de cotistas (CGEE, 2003).</w:t>
      </w:r>
    </w:p>
  </w:footnote>
  <w:footnote w:id="15">
    <w:p w:rsidR="00D834FB" w:rsidRPr="00EB2E96" w:rsidRDefault="00D834FB" w:rsidP="007B69E8">
      <w:pPr>
        <w:pStyle w:val="FootnoteText"/>
      </w:pPr>
      <w:r w:rsidRPr="00EB2E96">
        <w:rPr>
          <w:rStyle w:val="FootnoteReference"/>
          <w:rFonts w:asciiTheme="minorHAnsi" w:hAnsiTheme="minorHAnsi"/>
        </w:rPr>
        <w:footnoteRef/>
      </w:r>
      <w:r w:rsidRPr="00EB2E96">
        <w:t xml:space="preserve"> </w:t>
      </w:r>
      <w:r>
        <w:t>Os FMIEEs são r</w:t>
      </w:r>
      <w:r w:rsidRPr="00EB2E96">
        <w:t xml:space="preserve">egulamentados </w:t>
      </w:r>
      <w:r>
        <w:t>pela</w:t>
      </w:r>
      <w:r w:rsidRPr="00EB2E96">
        <w:t xml:space="preserve"> Instrução </w:t>
      </w:r>
      <w:r>
        <w:t xml:space="preserve">CVM </w:t>
      </w:r>
      <w:r w:rsidRPr="00EB2E96">
        <w:t>209</w:t>
      </w:r>
      <w:r>
        <w:t>/</w:t>
      </w:r>
      <w:r w:rsidRPr="00EB2E96">
        <w:t xml:space="preserve">1994 e voltados para </w:t>
      </w:r>
      <w:r w:rsidRPr="00EB2E96">
        <w:rPr>
          <w:i/>
        </w:rPr>
        <w:t>venture capital</w:t>
      </w:r>
      <w:r w:rsidRPr="00EB2E96">
        <w:t>.</w:t>
      </w:r>
      <w:r>
        <w:t xml:space="preserve"> Já os FIPs são </w:t>
      </w:r>
      <w:r w:rsidRPr="00EB2E96">
        <w:t xml:space="preserve">Instrução </w:t>
      </w:r>
      <w:r>
        <w:t>CVM 391/</w:t>
      </w:r>
      <w:r w:rsidRPr="00EB2E96">
        <w:t xml:space="preserve">2003 e voltados para </w:t>
      </w:r>
      <w:r w:rsidRPr="00EB2E96">
        <w:rPr>
          <w:i/>
        </w:rPr>
        <w:t>private equity.</w:t>
      </w:r>
    </w:p>
  </w:footnote>
  <w:footnote w:id="16">
    <w:p w:rsidR="00D834FB" w:rsidRPr="00EB2E96" w:rsidRDefault="00D834FB" w:rsidP="007B69E8">
      <w:pPr>
        <w:pStyle w:val="FootnoteText"/>
      </w:pPr>
      <w:r w:rsidRPr="00EB2E96">
        <w:rPr>
          <w:rStyle w:val="FootnoteReference"/>
          <w:rFonts w:asciiTheme="minorHAnsi" w:hAnsiTheme="minorHAnsi"/>
        </w:rPr>
        <w:footnoteRef/>
      </w:r>
      <w:r w:rsidRPr="00EB2E96">
        <w:t xml:space="preserve"> O valor do FNDCT que foi investido pela Finep nas empresas já desinvestidas foi de R$ 13,8 milhões, num montante total de R$ 163,9 milhões, ou seja, uma participação de 8,4%. O retorno deste investimento foi de R$ 22,8 milhões, isto é</w:t>
      </w:r>
      <w:r>
        <w:t>,</w:t>
      </w:r>
      <w:r w:rsidRPr="00EB2E96">
        <w:t xml:space="preserve"> </w:t>
      </w:r>
      <w:r>
        <w:t xml:space="preserve">65% em relação ao capital </w:t>
      </w:r>
      <w:r w:rsidRPr="00EB2E96">
        <w:t>aportado. Para mais detalhes ver Relatório de Resultados do FNDCT, 2013 no site: http://download.finep.gov.br/RelatoriodeResultadosFNDCT2013.pdf</w:t>
      </w:r>
    </w:p>
  </w:footnote>
  <w:footnote w:id="17">
    <w:p w:rsidR="00D834FB" w:rsidRDefault="00D834FB" w:rsidP="007B69E8">
      <w:pPr>
        <w:pStyle w:val="FootnoteText"/>
      </w:pPr>
      <w:r>
        <w:rPr>
          <w:rStyle w:val="FootnoteReference"/>
        </w:rPr>
        <w:footnoteRef/>
      </w:r>
      <w:r>
        <w:t xml:space="preserve"> Um </w:t>
      </w:r>
      <w:r>
        <w:rPr>
          <w:szCs w:val="24"/>
        </w:rPr>
        <w:t xml:space="preserve">antecedente </w:t>
      </w:r>
      <w:r>
        <w:t xml:space="preserve">da atuação do BNDES no </w:t>
      </w:r>
      <w:r w:rsidRPr="00371531">
        <w:rPr>
          <w:i/>
        </w:rPr>
        <w:t>venture capital</w:t>
      </w:r>
      <w:r>
        <w:t xml:space="preserve"> foi a operação da Contec (Programa de Capitalização de Empresas de Base Tecnológica). Esse programa, lançado em 1991, havia aportado em 1999 um montante equivalente a US$ 40 milhões em 32 empresas (</w:t>
      </w:r>
      <w:r w:rsidRPr="003100F4">
        <w:rPr>
          <w:smallCaps/>
        </w:rPr>
        <w:t>Pinho, Côrtes &amp; Fernandes</w:t>
      </w:r>
      <w:r>
        <w:t xml:space="preserve">, 2002; </w:t>
      </w:r>
      <w:r w:rsidRPr="00F72460">
        <w:t>Gorgulho, 1996</w:t>
      </w:r>
      <w:r>
        <w:t>).</w:t>
      </w:r>
    </w:p>
  </w:footnote>
  <w:footnote w:id="18">
    <w:p w:rsidR="00D834FB" w:rsidRPr="00EB2E96" w:rsidRDefault="00D834FB" w:rsidP="007B69E8">
      <w:pPr>
        <w:pStyle w:val="FootnoteText"/>
      </w:pPr>
      <w:r w:rsidRPr="00EB2E96">
        <w:rPr>
          <w:rStyle w:val="FootnoteReference"/>
          <w:rFonts w:asciiTheme="minorHAnsi" w:hAnsiTheme="minorHAnsi"/>
        </w:rPr>
        <w:footnoteRef/>
      </w:r>
      <w:r w:rsidRPr="00EB2E96">
        <w:t xml:space="preserve"> Os projetos apresentados em parceria entre ICTs e empresas recebem internamente à Finep a denominação de “projetos cooperativos”. Neste caso, a execução do projeto cabe a uma ICT, o projeto é coordenado por um pesquisador desta ICT e a empresa assume o papel de interveniente.</w:t>
      </w:r>
    </w:p>
  </w:footnote>
  <w:footnote w:id="19">
    <w:p w:rsidR="00D834FB" w:rsidRPr="00EB2E96" w:rsidRDefault="00D834FB" w:rsidP="007B69E8">
      <w:pPr>
        <w:pStyle w:val="FootnoteText"/>
      </w:pPr>
      <w:r w:rsidRPr="00EB2E96">
        <w:rPr>
          <w:rStyle w:val="FootnoteReference"/>
          <w:rFonts w:asciiTheme="minorHAnsi" w:hAnsiTheme="minorHAnsi"/>
        </w:rPr>
        <w:footnoteRef/>
      </w:r>
      <w:r w:rsidRPr="00EB2E96">
        <w:t xml:space="preserve"> A Finep criou o Programa de Apoio à Pesquisa em Empresas (PAPPE) para destinar recursos da subvenção </w:t>
      </w:r>
      <w:r>
        <w:t>a empresas de menor porte</w:t>
      </w:r>
      <w:r w:rsidRPr="00EB2E96">
        <w:t xml:space="preserve"> de forma descentralizada, contando para isso com o apoio das fundações de amparo à pesquisa estaduais (FAP</w:t>
      </w:r>
      <w:r>
        <w:t>s</w:t>
      </w:r>
      <w:r w:rsidRPr="00EB2E96">
        <w:t xml:space="preserve">), que respondem pela </w:t>
      </w:r>
      <w:r>
        <w:t>operacionalização dos recursos.</w:t>
      </w:r>
    </w:p>
  </w:footnote>
  <w:footnote w:id="20">
    <w:p w:rsidR="00D834FB" w:rsidRPr="00EB2E96" w:rsidRDefault="00D834FB" w:rsidP="007B69E8">
      <w:pPr>
        <w:pStyle w:val="FootnoteText"/>
      </w:pPr>
      <w:r w:rsidRPr="00EB2E96">
        <w:rPr>
          <w:rStyle w:val="FootnoteReference"/>
          <w:rFonts w:asciiTheme="minorHAnsi" w:hAnsiTheme="minorHAnsi"/>
        </w:rPr>
        <w:footnoteRef/>
      </w:r>
      <w:r w:rsidRPr="00EB2E96">
        <w:t xml:space="preserve"> O instrumento da subvenção a pesquisador foi instituído pela Lei n</w:t>
      </w:r>
      <w:r w:rsidRPr="00EB2E96">
        <w:rPr>
          <w:vertAlign w:val="superscript"/>
        </w:rPr>
        <w:t>o</w:t>
      </w:r>
      <w:r w:rsidRPr="00EB2E96">
        <w:t xml:space="preserve"> 11.196/05, Artigo 21, conhecida como Lei do Bem. É importante não confundir as duas formas de subvenção.</w:t>
      </w:r>
    </w:p>
  </w:footnote>
  <w:footnote w:id="21">
    <w:p w:rsidR="00D834FB" w:rsidRPr="00051370" w:rsidRDefault="00D834FB" w:rsidP="007B69E8">
      <w:pPr>
        <w:pStyle w:val="FootnoteText"/>
      </w:pPr>
      <w:r>
        <w:rPr>
          <w:rStyle w:val="FootnoteReference"/>
        </w:rPr>
        <w:footnoteRef/>
      </w:r>
      <w:r>
        <w:t xml:space="preserve"> Não estão </w:t>
      </w:r>
      <w:r w:rsidRPr="00450DA2">
        <w:t>considerados</w:t>
      </w:r>
      <w:r>
        <w:t xml:space="preserve"> nestes números e valores os aportes para equalização de juros. Essas informações incluem os projetos contratados com ICT (via convênios), com empresas (via subvenção econômica), os projetos cooperativos (ICT em parceria com empresas), os pagamentos de bolsas dos mais diversos tipos e modalidades e as remunerações ao pesquisador (instrumento da “subvenção ao pesquisador” legalizado pela Lei n. 11.196/05, mas que foi objeto de um único edital).</w:t>
      </w:r>
    </w:p>
  </w:footnote>
  <w:footnote w:id="22">
    <w:p w:rsidR="00D834FB" w:rsidRPr="00FE4225" w:rsidRDefault="00D834FB" w:rsidP="00504E36">
      <w:pPr>
        <w:shd w:val="clear" w:color="auto" w:fill="FFFFFF"/>
        <w:spacing w:before="0" w:after="0" w:line="240" w:lineRule="auto"/>
        <w:rPr>
          <w:rStyle w:val="FootnoteTextChar"/>
        </w:rPr>
      </w:pPr>
      <w:r>
        <w:rPr>
          <w:rStyle w:val="FootnoteReference"/>
        </w:rPr>
        <w:footnoteRef/>
      </w:r>
      <w:r>
        <w:t xml:space="preserve"> </w:t>
      </w:r>
      <w:r w:rsidRPr="00FE4225">
        <w:rPr>
          <w:rStyle w:val="FootnoteTextChar"/>
        </w:rPr>
        <w:t>O MCTI, no contexto da falta de recursos espera contar com recursos por meio de emendas parlamentares individuais, que podem ser “hospedadas” no MCTI. Cada deputado federal, por exemplo, tem uma cota de R$ 14 milhões para destinar a essas emendas.</w:t>
      </w:r>
    </w:p>
    <w:p w:rsidR="00D834FB" w:rsidRDefault="00D834FB" w:rsidP="007B69E8">
      <w:pPr>
        <w:pStyle w:val="FootnoteText"/>
      </w:pPr>
    </w:p>
  </w:footnote>
  <w:footnote w:id="23">
    <w:p w:rsidR="00D834FB" w:rsidRPr="009A244C" w:rsidRDefault="00D834FB" w:rsidP="007B69E8">
      <w:pPr>
        <w:pStyle w:val="FootnoteText"/>
      </w:pPr>
      <w:r>
        <w:rPr>
          <w:rStyle w:val="FootnoteReference"/>
        </w:rPr>
        <w:footnoteRef/>
      </w:r>
      <w:r>
        <w:t xml:space="preserve"> Como a informação envolve também dados recentes, a opção será usar a denominação MCTI.</w:t>
      </w:r>
    </w:p>
  </w:footnote>
  <w:footnote w:id="24">
    <w:p w:rsidR="00D834FB" w:rsidRPr="009565C3" w:rsidRDefault="00D834FB" w:rsidP="007B69E8">
      <w:pPr>
        <w:pStyle w:val="FootnoteText"/>
      </w:pPr>
      <w:r>
        <w:rPr>
          <w:rStyle w:val="FootnoteReference"/>
        </w:rPr>
        <w:footnoteRef/>
      </w:r>
      <w:r>
        <w:t xml:space="preserve"> </w:t>
      </w:r>
      <w:r w:rsidRPr="009565C3">
        <w:t>Isolando-se, ainda, a chamada “reserva de contingência”, que consiste no “valor previsto” a ser contingenciado, este foi de R$8,1 bilhões, o correspondente a cerca de 22% do valor total do orçamento (dotação inicial ou LOA) do FNDCT entre 2002-2016, segundo informações orçamentárias obtidas junto ao Ministério do Planejamento (0998 - reserva de contingência e 0Z00 - reserva de contingência financeira). Em síntese, dos cerca de R$20 bilhões, que é a diferença entre a dotação atual e o valor liquidado, cerca de R$8 bilhões já estavam previstos na reserva de contingência.</w:t>
      </w:r>
    </w:p>
  </w:footnote>
  <w:footnote w:id="25">
    <w:p w:rsidR="00D834FB" w:rsidRPr="004D4CCE" w:rsidRDefault="00D834FB" w:rsidP="007B69E8">
      <w:pPr>
        <w:pStyle w:val="FootnoteText"/>
      </w:pPr>
      <w:r>
        <w:rPr>
          <w:rStyle w:val="FootnoteReference"/>
        </w:rPr>
        <w:footnoteRef/>
      </w:r>
      <w:r>
        <w:t xml:space="preserve"> </w:t>
      </w:r>
      <w:r w:rsidRPr="00DE78C3">
        <w:t>O fundo social foi constituído</w:t>
      </w:r>
      <w:r w:rsidRPr="00F61099">
        <w:t xml:space="preserve"> em 2010 pela Lei n. 12.351. A destinação dos recursos do petróleo está prevista na Lei n. 12.858 de 09/09/2013. A proposta do Fundo Social é </w:t>
      </w:r>
      <w:r w:rsidRPr="00F61099">
        <w:rPr>
          <w:i/>
        </w:rPr>
        <w:t>“(...) constituir fonte de recursos para o desenvolvimento social e regional, na forma de programas e projetos nas áreas de combate à pobreza e de desenvolvimento: I - da educação; II - da cultura; III - do esporte; IV - da saúde pública; V – da ciência e tecnologia; VI – do meio ambiente; VII – de mitigação e adaptação às mudanças climáticas</w:t>
      </w:r>
      <w:r w:rsidRPr="00F61099">
        <w:t>”.</w:t>
      </w:r>
    </w:p>
  </w:footnote>
  <w:footnote w:id="26">
    <w:p w:rsidR="00D834FB" w:rsidRDefault="00D834FB" w:rsidP="007B69E8">
      <w:pPr>
        <w:pStyle w:val="FootnoteText"/>
      </w:pPr>
      <w:r w:rsidRPr="004110B4">
        <w:rPr>
          <w:rStyle w:val="FootnoteReference"/>
        </w:rPr>
        <w:footnoteRef/>
      </w:r>
      <w:r w:rsidRPr="004110B4">
        <w:t xml:space="preserve"> Entrevista realizada em fevereiro de 2014</w:t>
      </w:r>
    </w:p>
  </w:footnote>
  <w:footnote w:id="27">
    <w:p w:rsidR="00D834FB" w:rsidRDefault="00D834FB" w:rsidP="007B69E8">
      <w:pPr>
        <w:pStyle w:val="FootnoteText"/>
      </w:pPr>
      <w:r>
        <w:rPr>
          <w:rStyle w:val="FootnoteReference"/>
        </w:rPr>
        <w:footnoteRef/>
      </w:r>
      <w:r>
        <w:t xml:space="preserve"> </w:t>
      </w:r>
      <w:r w:rsidRPr="003F6967">
        <w:t>No âmbito do Programa Inovar, foi realizada a chamada para seleção de administração do fundo FIP Inova Empresa, criado em meados de 2013. Com o fundo FIP, a Finep pode adquirir participação societária. Para tanto disponibilizou R$ 500 milhões, sendo 200 de capital próprio (dividendos de ações recebidos da Telebrás e BNB) e 300 sob a forma de empréstimo do Funttel, voltados para operações em empresas do setor de telecomunicações (Relatório de Gestão, 2014).</w:t>
      </w:r>
    </w:p>
  </w:footnote>
  <w:footnote w:id="28">
    <w:p w:rsidR="00D834FB" w:rsidRDefault="00D834FB" w:rsidP="007B69E8">
      <w:pPr>
        <w:pStyle w:val="FootnoteText"/>
      </w:pPr>
      <w:r>
        <w:rPr>
          <w:rStyle w:val="FootnoteReference"/>
        </w:rPr>
        <w:footnoteRef/>
      </w:r>
      <w:r>
        <w:t xml:space="preserve"> No relatório nota-se que houve uma troca de valores entre o não reembolsável e a subvenção. Neste estudo esta informação foi corrigida. </w:t>
      </w:r>
    </w:p>
  </w:footnote>
  <w:footnote w:id="29">
    <w:p w:rsidR="00D834FB" w:rsidRDefault="00D834FB" w:rsidP="007B69E8">
      <w:pPr>
        <w:pStyle w:val="FootnoteText"/>
      </w:pPr>
      <w:r>
        <w:rPr>
          <w:rStyle w:val="FootnoteReference"/>
        </w:rPr>
        <w:footnoteRef/>
      </w:r>
      <w:r>
        <w:t xml:space="preserve"> No relatório nota-se que houve uma troca de valores entre o não reembolsável e a subvenção. Neste estudo esta informação foi corrigida. </w:t>
      </w:r>
    </w:p>
  </w:footnote>
  <w:footnote w:id="30">
    <w:p w:rsidR="00D834FB" w:rsidRDefault="00D834FB" w:rsidP="007B69E8">
      <w:pPr>
        <w:pStyle w:val="FootnoteText"/>
      </w:pPr>
      <w:r>
        <w:rPr>
          <w:rStyle w:val="FootnoteReference"/>
        </w:rPr>
        <w:footnoteRef/>
      </w:r>
      <w:r>
        <w:t xml:space="preserve"> Ao longo do tempo, o Inovacred passou por mudanças, dentre elas a </w:t>
      </w:r>
      <w:r w:rsidRPr="00F84EDC">
        <w:t>ampliação dos limites de crédito</w:t>
      </w:r>
      <w:r>
        <w:t xml:space="preserve"> para os agentes</w:t>
      </w:r>
      <w:r w:rsidRPr="00F84EDC">
        <w:t xml:space="preserve">, a simplificação dos processos e o aumento do </w:t>
      </w:r>
      <w:r>
        <w:t xml:space="preserve">valor das operações e do spread. </w:t>
      </w:r>
      <w:r w:rsidRPr="00F84EDC">
        <w:t xml:space="preserve">Os modelos de relatórios foram simplificados </w:t>
      </w:r>
      <w:r>
        <w:t xml:space="preserve">e os custos operacionais também foram diferenciados, de acordo com a região. Para detalhes sobre as condições atuais do Programa, ver </w:t>
      </w:r>
      <w:r w:rsidRPr="000E6800">
        <w:t>http://www.finep.gov.br/apoio-e-financiamento-externa/programas-e-linhas/descentralizacao/inovacred</w:t>
      </w:r>
    </w:p>
  </w:footnote>
  <w:footnote w:id="31">
    <w:p w:rsidR="00D834FB" w:rsidRPr="007B69E8" w:rsidRDefault="00D834FB" w:rsidP="007B69E8">
      <w:pPr>
        <w:pStyle w:val="FootnoteText"/>
      </w:pPr>
      <w:r>
        <w:rPr>
          <w:rStyle w:val="FootnoteReference"/>
        </w:rPr>
        <w:footnoteRef/>
      </w:r>
      <w:r>
        <w:t xml:space="preserve"> O Programa Tecnova representou uma nova roupagem para as ações de subvenção, descentralizadas até então aos estados com o apoio das Fundações de Amparo à Pesquisa através do PAPPE-Inovação, com vistas a apoiar novos negócios de micro e pequenas empresas (MPME). O Tecnova permitiu diversificar o número de agentes credenciados para operar os recursos.  Os parceiros foram selecionados em 20 unidades da federação e, até o final de 2014, foram aprovados 382 projetos.  O mesmo conjunto de empresas de pequeno e médio porte parece ter sido melhor atendido pelo Inovacred, uma vez que 21 estados passaram a ser atendidos pelo programa por meio de 15 agentes. Foram 69 projetos aprovados até dezembro de 2012.</w:t>
      </w:r>
    </w:p>
  </w:footnote>
  <w:footnote w:id="32">
    <w:p w:rsidR="00D834FB" w:rsidRDefault="00D834FB" w:rsidP="007B69E8">
      <w:pPr>
        <w:pStyle w:val="FootnoteText"/>
      </w:pPr>
      <w:r>
        <w:rPr>
          <w:rStyle w:val="FootnoteReference"/>
        </w:rPr>
        <w:footnoteRef/>
      </w:r>
      <w:r>
        <w:t xml:space="preserve"> O PSI favoreceu também a Finep, pois ela capta junto ao BNDES parte do </w:t>
      </w:r>
      <w:r w:rsidRPr="00880AAC">
        <w:rPr>
          <w:i/>
        </w:rPr>
        <w:t>funding</w:t>
      </w:r>
      <w:r>
        <w:t xml:space="preserve"> para os empréstimos que realiza. </w:t>
      </w:r>
    </w:p>
  </w:footnote>
  <w:footnote w:id="33">
    <w:p w:rsidR="00D834FB" w:rsidRDefault="00D834FB" w:rsidP="007B69E8">
      <w:pPr>
        <w:pStyle w:val="FootnoteText"/>
      </w:pPr>
      <w:r>
        <w:rPr>
          <w:rStyle w:val="FootnoteReference"/>
        </w:rPr>
        <w:footnoteRef/>
      </w:r>
      <w:r>
        <w:t xml:space="preserve"> </w:t>
      </w:r>
      <w:r w:rsidRPr="002E70AC">
        <w:t xml:space="preserve">A taxa de juros de longo prazo </w:t>
      </w:r>
      <w:r>
        <w:t xml:space="preserve">(TJLP) </w:t>
      </w:r>
      <w:r w:rsidRPr="002E70AC">
        <w:t xml:space="preserve">com a qual essas agências operam é fixada trimestralmente e no período de 2013 a 2014 ficou estável em 5% ao ano (aa). </w:t>
      </w:r>
      <w:r>
        <w:t xml:space="preserve">Em 2015 o aumento foi de 0,5% a cada trimestre, chegando a 7,0% em dezembro. No primeiro trimestre de 2016 houve novo aumento, para 7,5% mas este valor foi mantido constante até setembro. </w:t>
      </w:r>
      <w:r w:rsidRPr="002E70AC">
        <w:t>Ainda assim, continua sendo um custo atrativo às empresas, dado que a Selic, que é a taxa do mercado nacional</w:t>
      </w:r>
      <w:r>
        <w:t>,</w:t>
      </w:r>
      <w:r w:rsidRPr="002E70AC">
        <w:t xml:space="preserve"> encontra-se </w:t>
      </w:r>
      <w:r>
        <w:t>14,25</w:t>
      </w:r>
      <w:r w:rsidRPr="002E70AC">
        <w:t xml:space="preserve">% </w:t>
      </w:r>
      <w:r w:rsidRPr="00F87468">
        <w:rPr>
          <w:highlight w:val="yellow"/>
        </w:rPr>
        <w:t>(levantamento realizado em junho de 2016).</w:t>
      </w:r>
    </w:p>
  </w:footnote>
  <w:footnote w:id="34">
    <w:p w:rsidR="009B64F9" w:rsidRDefault="009B64F9" w:rsidP="007B69E8">
      <w:pPr>
        <w:pStyle w:val="FootnoteText"/>
      </w:pPr>
      <w:r>
        <w:rPr>
          <w:rStyle w:val="FootnoteReference"/>
        </w:rPr>
        <w:footnoteRef/>
      </w:r>
      <w:r>
        <w:t xml:space="preserve"> Inserido pela autora.</w:t>
      </w:r>
    </w:p>
  </w:footnote>
  <w:footnote w:id="35">
    <w:p w:rsidR="0073336D" w:rsidRDefault="0073336D" w:rsidP="007B69E8">
      <w:pPr>
        <w:pStyle w:val="FootnoteText"/>
      </w:pPr>
      <w:r>
        <w:rPr>
          <w:rStyle w:val="FootnoteReference"/>
        </w:rPr>
        <w:footnoteRef/>
      </w:r>
      <w:r>
        <w:t xml:space="preserve"> Agradeço todos os técnicos da Finep pelo envio dos dados e pelos esclarecimentos fornecidos ao longo do levantamento. No caso específico dos esclarecimentos apresentados nesta fase do trabalho, agradeço particularmente à Sra. Patrícia Carvalho de França”.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561"/>
    <w:multiLevelType w:val="multilevel"/>
    <w:tmpl w:val="280C9C3E"/>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30431A"/>
    <w:multiLevelType w:val="hybridMultilevel"/>
    <w:tmpl w:val="E65C048A"/>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5276029"/>
    <w:multiLevelType w:val="hybridMultilevel"/>
    <w:tmpl w:val="5596CA12"/>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0D591E"/>
    <w:multiLevelType w:val="multilevel"/>
    <w:tmpl w:val="7AB28A3E"/>
    <w:lvl w:ilvl="0">
      <w:start w:val="1"/>
      <w:numFmt w:val="decimal"/>
      <w:pStyle w:val="Heading1"/>
      <w:lvlText w:val="%1."/>
      <w:lvlJc w:val="left"/>
      <w:pPr>
        <w:ind w:left="360" w:hanging="360"/>
      </w:pPr>
      <w:rPr>
        <w:rFonts w:hint="default"/>
        <w:spacing w:val="-20"/>
        <w:position w:val="0"/>
      </w:rPr>
    </w:lvl>
    <w:lvl w:ilvl="1">
      <w:start w:val="1"/>
      <w:numFmt w:val="decimal"/>
      <w:isLgl/>
      <w:lvlText w:val="%1.%2"/>
      <w:lvlJc w:val="left"/>
      <w:pPr>
        <w:ind w:left="36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3B31CF"/>
    <w:multiLevelType w:val="hybridMultilevel"/>
    <w:tmpl w:val="317E006C"/>
    <w:lvl w:ilvl="0" w:tplc="81BC966C">
      <w:start w:val="1"/>
      <w:numFmt w:val="bullet"/>
      <w:lvlText w:val=""/>
      <w:lvlJc w:val="left"/>
      <w:pPr>
        <w:ind w:left="1429"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240CE"/>
    <w:multiLevelType w:val="hybridMultilevel"/>
    <w:tmpl w:val="5B38CF2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0DB4D9A"/>
    <w:multiLevelType w:val="hybridMultilevel"/>
    <w:tmpl w:val="5D841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F1426"/>
    <w:multiLevelType w:val="hybridMultilevel"/>
    <w:tmpl w:val="671ACFD8"/>
    <w:lvl w:ilvl="0" w:tplc="5D38A19A">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2B30F6A"/>
    <w:multiLevelType w:val="hybridMultilevel"/>
    <w:tmpl w:val="AA201F1C"/>
    <w:lvl w:ilvl="0" w:tplc="117AC86E">
      <w:start w:val="1"/>
      <w:numFmt w:val="decimal"/>
      <w:pStyle w:val="Heading3"/>
      <w:lvlText w:val="%1.2.2"/>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15:restartNumberingAfterBreak="0">
    <w:nsid w:val="16B148F8"/>
    <w:multiLevelType w:val="hybridMultilevel"/>
    <w:tmpl w:val="F2D2EBCE"/>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0E77DB"/>
    <w:multiLevelType w:val="hybridMultilevel"/>
    <w:tmpl w:val="2B5E2B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A4B8F"/>
    <w:multiLevelType w:val="multilevel"/>
    <w:tmpl w:val="741CB45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2E77415E"/>
    <w:multiLevelType w:val="hybridMultilevel"/>
    <w:tmpl w:val="D646D74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E830511"/>
    <w:multiLevelType w:val="multilevel"/>
    <w:tmpl w:val="3C0E5FA2"/>
    <w:lvl w:ilvl="0">
      <w:start w:val="1"/>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155B86"/>
    <w:multiLevelType w:val="multilevel"/>
    <w:tmpl w:val="EF9855BC"/>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833FC5"/>
    <w:multiLevelType w:val="multilevel"/>
    <w:tmpl w:val="6176675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330896"/>
    <w:multiLevelType w:val="multilevel"/>
    <w:tmpl w:val="38BA901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C12001"/>
    <w:multiLevelType w:val="hybridMultilevel"/>
    <w:tmpl w:val="DAF6B82A"/>
    <w:lvl w:ilvl="0" w:tplc="3DFC7CA8">
      <w:start w:val="1"/>
      <w:numFmt w:val="decimal"/>
      <w:pStyle w:val="Heading2"/>
      <w:lvlText w:val="3.%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78C0DBB"/>
    <w:multiLevelType w:val="multilevel"/>
    <w:tmpl w:val="DD6626F2"/>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78718B"/>
    <w:multiLevelType w:val="hybridMultilevel"/>
    <w:tmpl w:val="80F224F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15:restartNumberingAfterBreak="0">
    <w:nsid w:val="505A5158"/>
    <w:multiLevelType w:val="hybridMultilevel"/>
    <w:tmpl w:val="AE84A3EC"/>
    <w:lvl w:ilvl="0" w:tplc="182CD324">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D3659F"/>
    <w:multiLevelType w:val="hybridMultilevel"/>
    <w:tmpl w:val="A1C8F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780564"/>
    <w:multiLevelType w:val="multilevel"/>
    <w:tmpl w:val="10A8507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4A107E"/>
    <w:multiLevelType w:val="hybridMultilevel"/>
    <w:tmpl w:val="DE807420"/>
    <w:lvl w:ilvl="0" w:tplc="4412C3CC">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663B2B9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571605"/>
    <w:multiLevelType w:val="hybridMultilevel"/>
    <w:tmpl w:val="68C271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37F20C2"/>
    <w:multiLevelType w:val="hybridMultilevel"/>
    <w:tmpl w:val="D9E0FFD8"/>
    <w:lvl w:ilvl="0" w:tplc="81BC966C">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num w:numId="1">
    <w:abstractNumId w:val="11"/>
  </w:num>
  <w:num w:numId="2">
    <w:abstractNumId w:val="25"/>
  </w:num>
  <w:num w:numId="3">
    <w:abstractNumId w:val="20"/>
  </w:num>
  <w:num w:numId="4">
    <w:abstractNumId w:val="7"/>
  </w:num>
  <w:num w:numId="5">
    <w:abstractNumId w:val="6"/>
  </w:num>
  <w:num w:numId="6">
    <w:abstractNumId w:val="15"/>
  </w:num>
  <w:num w:numId="7">
    <w:abstractNumId w:val="9"/>
  </w:num>
  <w:num w:numId="8">
    <w:abstractNumId w:val="2"/>
  </w:num>
  <w:num w:numId="9">
    <w:abstractNumId w:val="18"/>
  </w:num>
  <w:num w:numId="10">
    <w:abstractNumId w:val="22"/>
  </w:num>
  <w:num w:numId="11">
    <w:abstractNumId w:val="13"/>
  </w:num>
  <w:num w:numId="12">
    <w:abstractNumId w:val="12"/>
  </w:num>
  <w:num w:numId="13">
    <w:abstractNumId w:val="1"/>
  </w:num>
  <w:num w:numId="14">
    <w:abstractNumId w:val="5"/>
  </w:num>
  <w:num w:numId="15">
    <w:abstractNumId w:val="14"/>
  </w:num>
  <w:num w:numId="16">
    <w:abstractNumId w:val="16"/>
  </w:num>
  <w:num w:numId="17">
    <w:abstractNumId w:val="0"/>
  </w:num>
  <w:num w:numId="18">
    <w:abstractNumId w:val="10"/>
  </w:num>
  <w:num w:numId="19">
    <w:abstractNumId w:val="3"/>
  </w:num>
  <w:num w:numId="20">
    <w:abstractNumId w:val="3"/>
  </w:num>
  <w:num w:numId="21">
    <w:abstractNumId w:val="17"/>
  </w:num>
  <w:num w:numId="22">
    <w:abstractNumId w:val="17"/>
  </w:num>
  <w:num w:numId="23">
    <w:abstractNumId w:val="8"/>
  </w:num>
  <w:num w:numId="24">
    <w:abstractNumId w:val="8"/>
  </w:num>
  <w:num w:numId="25">
    <w:abstractNumId w:val="3"/>
    <w:lvlOverride w:ilvl="0">
      <w:startOverride w:val="1"/>
    </w:lvlOverride>
    <w:lvlOverride w:ilvl="1">
      <w:startOverride w:val="2"/>
    </w:lvlOverride>
    <w:lvlOverride w:ilvl="2">
      <w:startOverride w:val="2"/>
    </w:lvlOverride>
  </w:num>
  <w:num w:numId="26">
    <w:abstractNumId w:val="8"/>
  </w:num>
  <w:num w:numId="27">
    <w:abstractNumId w:val="3"/>
  </w:num>
  <w:num w:numId="28">
    <w:abstractNumId w:val="3"/>
    <w:lvlOverride w:ilvl="0">
      <w:startOverride w:val="1"/>
    </w:lvlOverride>
    <w:lvlOverride w:ilvl="1">
      <w:startOverride w:val="2"/>
    </w:lvlOverride>
    <w:lvlOverride w:ilvl="2">
      <w:startOverride w:val="3"/>
    </w:lvlOverride>
  </w:num>
  <w:num w:numId="29">
    <w:abstractNumId w:val="17"/>
  </w:num>
  <w:num w:numId="30">
    <w:abstractNumId w:val="19"/>
  </w:num>
  <w:num w:numId="31">
    <w:abstractNumId w:val="24"/>
    <w:lvlOverride w:ilvl="0">
      <w:startOverride w:val="3"/>
    </w:lvlOverride>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6"/>
  </w:num>
  <w:num w:numId="36">
    <w:abstractNumId w:val="8"/>
  </w:num>
  <w:num w:numId="37">
    <w:abstractNumId w:val="8"/>
  </w:num>
  <w:num w:numId="38">
    <w:abstractNumId w:val="8"/>
  </w:num>
  <w:num w:numId="39">
    <w:abstractNumId w:val="21"/>
  </w:num>
  <w:num w:numId="40">
    <w:abstractNumId w:val="23"/>
  </w:num>
  <w:num w:numId="41">
    <w:abstractNumId w:val="17"/>
  </w:num>
  <w:num w:numId="42">
    <w:abstractNumId w:val="17"/>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85E"/>
    <w:rsid w:val="00001A8A"/>
    <w:rsid w:val="000029DF"/>
    <w:rsid w:val="00007BEA"/>
    <w:rsid w:val="00010008"/>
    <w:rsid w:val="00012B54"/>
    <w:rsid w:val="00014148"/>
    <w:rsid w:val="00015AF4"/>
    <w:rsid w:val="000171F3"/>
    <w:rsid w:val="00017EA0"/>
    <w:rsid w:val="00020AF5"/>
    <w:rsid w:val="00020FF8"/>
    <w:rsid w:val="0002185E"/>
    <w:rsid w:val="000224F6"/>
    <w:rsid w:val="000231B0"/>
    <w:rsid w:val="0002320E"/>
    <w:rsid w:val="000234F5"/>
    <w:rsid w:val="00024716"/>
    <w:rsid w:val="00024BF4"/>
    <w:rsid w:val="00030547"/>
    <w:rsid w:val="00030D4D"/>
    <w:rsid w:val="0003165C"/>
    <w:rsid w:val="00031914"/>
    <w:rsid w:val="000325BA"/>
    <w:rsid w:val="00032717"/>
    <w:rsid w:val="00032A21"/>
    <w:rsid w:val="000339DB"/>
    <w:rsid w:val="00035DF3"/>
    <w:rsid w:val="00036AB6"/>
    <w:rsid w:val="00036E30"/>
    <w:rsid w:val="00037599"/>
    <w:rsid w:val="000375F4"/>
    <w:rsid w:val="00037BA5"/>
    <w:rsid w:val="0004129F"/>
    <w:rsid w:val="00043603"/>
    <w:rsid w:val="00043CE6"/>
    <w:rsid w:val="000447DE"/>
    <w:rsid w:val="00046862"/>
    <w:rsid w:val="00050297"/>
    <w:rsid w:val="0005210C"/>
    <w:rsid w:val="00055683"/>
    <w:rsid w:val="000558C0"/>
    <w:rsid w:val="0005724A"/>
    <w:rsid w:val="0006020F"/>
    <w:rsid w:val="000605AF"/>
    <w:rsid w:val="00061D90"/>
    <w:rsid w:val="00063292"/>
    <w:rsid w:val="00063B7A"/>
    <w:rsid w:val="00063D6E"/>
    <w:rsid w:val="00065318"/>
    <w:rsid w:val="00066302"/>
    <w:rsid w:val="000669BF"/>
    <w:rsid w:val="0007068E"/>
    <w:rsid w:val="000708CB"/>
    <w:rsid w:val="00071F5D"/>
    <w:rsid w:val="000725C6"/>
    <w:rsid w:val="00073A73"/>
    <w:rsid w:val="00073E8A"/>
    <w:rsid w:val="00074E50"/>
    <w:rsid w:val="00075AE0"/>
    <w:rsid w:val="0007609F"/>
    <w:rsid w:val="00076E7B"/>
    <w:rsid w:val="00080275"/>
    <w:rsid w:val="000813E3"/>
    <w:rsid w:val="00084161"/>
    <w:rsid w:val="000845C8"/>
    <w:rsid w:val="00084EB2"/>
    <w:rsid w:val="0008517A"/>
    <w:rsid w:val="00086A10"/>
    <w:rsid w:val="0008795C"/>
    <w:rsid w:val="00087B15"/>
    <w:rsid w:val="00087D8D"/>
    <w:rsid w:val="0009002B"/>
    <w:rsid w:val="00092ED1"/>
    <w:rsid w:val="00095E28"/>
    <w:rsid w:val="00096311"/>
    <w:rsid w:val="00096AC0"/>
    <w:rsid w:val="000A09B2"/>
    <w:rsid w:val="000A3196"/>
    <w:rsid w:val="000A4C70"/>
    <w:rsid w:val="000A4C99"/>
    <w:rsid w:val="000A643D"/>
    <w:rsid w:val="000A6F67"/>
    <w:rsid w:val="000B04E0"/>
    <w:rsid w:val="000B27EF"/>
    <w:rsid w:val="000B304B"/>
    <w:rsid w:val="000B4E4D"/>
    <w:rsid w:val="000B60A3"/>
    <w:rsid w:val="000B69E4"/>
    <w:rsid w:val="000B6ADD"/>
    <w:rsid w:val="000B6EEA"/>
    <w:rsid w:val="000B75FF"/>
    <w:rsid w:val="000B7719"/>
    <w:rsid w:val="000C0FFE"/>
    <w:rsid w:val="000C1EE4"/>
    <w:rsid w:val="000C6035"/>
    <w:rsid w:val="000D05E9"/>
    <w:rsid w:val="000D322D"/>
    <w:rsid w:val="000D34C4"/>
    <w:rsid w:val="000D381E"/>
    <w:rsid w:val="000D3AF0"/>
    <w:rsid w:val="000D3C2B"/>
    <w:rsid w:val="000D7C3A"/>
    <w:rsid w:val="000E0E51"/>
    <w:rsid w:val="000E1841"/>
    <w:rsid w:val="000E1B85"/>
    <w:rsid w:val="000E274C"/>
    <w:rsid w:val="000E34B6"/>
    <w:rsid w:val="000E5C8B"/>
    <w:rsid w:val="000F0156"/>
    <w:rsid w:val="000F2EF4"/>
    <w:rsid w:val="000F45BF"/>
    <w:rsid w:val="000F4A86"/>
    <w:rsid w:val="000F5015"/>
    <w:rsid w:val="000F54C8"/>
    <w:rsid w:val="000F67A8"/>
    <w:rsid w:val="000F779A"/>
    <w:rsid w:val="00101987"/>
    <w:rsid w:val="001019B0"/>
    <w:rsid w:val="00102E23"/>
    <w:rsid w:val="00103318"/>
    <w:rsid w:val="001038D0"/>
    <w:rsid w:val="001107BE"/>
    <w:rsid w:val="00114D76"/>
    <w:rsid w:val="001153A1"/>
    <w:rsid w:val="00116D8F"/>
    <w:rsid w:val="00117C16"/>
    <w:rsid w:val="00122D1F"/>
    <w:rsid w:val="001237BA"/>
    <w:rsid w:val="001239EE"/>
    <w:rsid w:val="001240BF"/>
    <w:rsid w:val="001250B4"/>
    <w:rsid w:val="001319A1"/>
    <w:rsid w:val="00133922"/>
    <w:rsid w:val="00133CE9"/>
    <w:rsid w:val="0013441B"/>
    <w:rsid w:val="00134998"/>
    <w:rsid w:val="00134A7D"/>
    <w:rsid w:val="0013573B"/>
    <w:rsid w:val="001363C7"/>
    <w:rsid w:val="00136D6A"/>
    <w:rsid w:val="001370E0"/>
    <w:rsid w:val="00141657"/>
    <w:rsid w:val="00143389"/>
    <w:rsid w:val="001441DA"/>
    <w:rsid w:val="00144BD7"/>
    <w:rsid w:val="00145860"/>
    <w:rsid w:val="0014798C"/>
    <w:rsid w:val="00151261"/>
    <w:rsid w:val="00151768"/>
    <w:rsid w:val="001528E7"/>
    <w:rsid w:val="00152B59"/>
    <w:rsid w:val="00152E0B"/>
    <w:rsid w:val="00152E91"/>
    <w:rsid w:val="00155549"/>
    <w:rsid w:val="00160F43"/>
    <w:rsid w:val="001617EF"/>
    <w:rsid w:val="0016255E"/>
    <w:rsid w:val="00166726"/>
    <w:rsid w:val="00167420"/>
    <w:rsid w:val="00167EF2"/>
    <w:rsid w:val="00171098"/>
    <w:rsid w:val="00171B87"/>
    <w:rsid w:val="001734C2"/>
    <w:rsid w:val="00175F44"/>
    <w:rsid w:val="00177554"/>
    <w:rsid w:val="001777D4"/>
    <w:rsid w:val="001802BE"/>
    <w:rsid w:val="001809E0"/>
    <w:rsid w:val="00182F04"/>
    <w:rsid w:val="00183363"/>
    <w:rsid w:val="00183ECC"/>
    <w:rsid w:val="00185BA6"/>
    <w:rsid w:val="00185DF3"/>
    <w:rsid w:val="00186666"/>
    <w:rsid w:val="00190960"/>
    <w:rsid w:val="00192288"/>
    <w:rsid w:val="00194EB9"/>
    <w:rsid w:val="001952F9"/>
    <w:rsid w:val="001954D9"/>
    <w:rsid w:val="00195A81"/>
    <w:rsid w:val="001A0167"/>
    <w:rsid w:val="001A1641"/>
    <w:rsid w:val="001A23EA"/>
    <w:rsid w:val="001A254F"/>
    <w:rsid w:val="001A3267"/>
    <w:rsid w:val="001A357A"/>
    <w:rsid w:val="001A3667"/>
    <w:rsid w:val="001A55F4"/>
    <w:rsid w:val="001A5CAF"/>
    <w:rsid w:val="001A609F"/>
    <w:rsid w:val="001A622B"/>
    <w:rsid w:val="001A689D"/>
    <w:rsid w:val="001B48AA"/>
    <w:rsid w:val="001B4DD3"/>
    <w:rsid w:val="001B5CAC"/>
    <w:rsid w:val="001B5FD8"/>
    <w:rsid w:val="001B625F"/>
    <w:rsid w:val="001B62EC"/>
    <w:rsid w:val="001B7DEE"/>
    <w:rsid w:val="001C0E8B"/>
    <w:rsid w:val="001C2808"/>
    <w:rsid w:val="001C29DB"/>
    <w:rsid w:val="001C366D"/>
    <w:rsid w:val="001C3C49"/>
    <w:rsid w:val="001C3EB3"/>
    <w:rsid w:val="001C54EA"/>
    <w:rsid w:val="001C70FF"/>
    <w:rsid w:val="001D18F6"/>
    <w:rsid w:val="001D2446"/>
    <w:rsid w:val="001D2A59"/>
    <w:rsid w:val="001D34CF"/>
    <w:rsid w:val="001D452D"/>
    <w:rsid w:val="001D5F3B"/>
    <w:rsid w:val="001D650D"/>
    <w:rsid w:val="001D7369"/>
    <w:rsid w:val="001D7677"/>
    <w:rsid w:val="001E0454"/>
    <w:rsid w:val="001E0C6B"/>
    <w:rsid w:val="001E1379"/>
    <w:rsid w:val="001E1561"/>
    <w:rsid w:val="001E2453"/>
    <w:rsid w:val="001E2B35"/>
    <w:rsid w:val="001E3761"/>
    <w:rsid w:val="001E3FC8"/>
    <w:rsid w:val="001E660D"/>
    <w:rsid w:val="001E6AC1"/>
    <w:rsid w:val="001E6AEE"/>
    <w:rsid w:val="001F030F"/>
    <w:rsid w:val="001F09E6"/>
    <w:rsid w:val="001F570F"/>
    <w:rsid w:val="001F5BBD"/>
    <w:rsid w:val="001F5C90"/>
    <w:rsid w:val="001F6293"/>
    <w:rsid w:val="0020115B"/>
    <w:rsid w:val="00202576"/>
    <w:rsid w:val="0020393A"/>
    <w:rsid w:val="002072DD"/>
    <w:rsid w:val="00207D8C"/>
    <w:rsid w:val="00210194"/>
    <w:rsid w:val="00210FD2"/>
    <w:rsid w:val="00213C4F"/>
    <w:rsid w:val="00214A45"/>
    <w:rsid w:val="00214A68"/>
    <w:rsid w:val="00214ACB"/>
    <w:rsid w:val="00214AF3"/>
    <w:rsid w:val="002155E5"/>
    <w:rsid w:val="00216126"/>
    <w:rsid w:val="002163AD"/>
    <w:rsid w:val="00216DEA"/>
    <w:rsid w:val="00221474"/>
    <w:rsid w:val="002216AB"/>
    <w:rsid w:val="00221D97"/>
    <w:rsid w:val="002239B3"/>
    <w:rsid w:val="00225D17"/>
    <w:rsid w:val="002270E8"/>
    <w:rsid w:val="002304F5"/>
    <w:rsid w:val="00230FE9"/>
    <w:rsid w:val="00232254"/>
    <w:rsid w:val="00236115"/>
    <w:rsid w:val="00236AC5"/>
    <w:rsid w:val="00236D20"/>
    <w:rsid w:val="00243DAC"/>
    <w:rsid w:val="00244056"/>
    <w:rsid w:val="00244C1F"/>
    <w:rsid w:val="00245D08"/>
    <w:rsid w:val="002465EB"/>
    <w:rsid w:val="00250662"/>
    <w:rsid w:val="00250987"/>
    <w:rsid w:val="00252DB0"/>
    <w:rsid w:val="0025428A"/>
    <w:rsid w:val="00257C0A"/>
    <w:rsid w:val="0026106D"/>
    <w:rsid w:val="00261E83"/>
    <w:rsid w:val="00264FF5"/>
    <w:rsid w:val="0026782C"/>
    <w:rsid w:val="00270296"/>
    <w:rsid w:val="002704A4"/>
    <w:rsid w:val="00271535"/>
    <w:rsid w:val="00272EA0"/>
    <w:rsid w:val="00274C9D"/>
    <w:rsid w:val="0027630D"/>
    <w:rsid w:val="00277860"/>
    <w:rsid w:val="00277FAC"/>
    <w:rsid w:val="00280206"/>
    <w:rsid w:val="00280302"/>
    <w:rsid w:val="00281CA2"/>
    <w:rsid w:val="00283C94"/>
    <w:rsid w:val="00283E8B"/>
    <w:rsid w:val="00285073"/>
    <w:rsid w:val="00285833"/>
    <w:rsid w:val="00287781"/>
    <w:rsid w:val="00287A46"/>
    <w:rsid w:val="00287AFB"/>
    <w:rsid w:val="00287ED5"/>
    <w:rsid w:val="00290199"/>
    <w:rsid w:val="00290E83"/>
    <w:rsid w:val="0029124A"/>
    <w:rsid w:val="00294D35"/>
    <w:rsid w:val="00295954"/>
    <w:rsid w:val="002967C5"/>
    <w:rsid w:val="00297DAF"/>
    <w:rsid w:val="002A02D8"/>
    <w:rsid w:val="002A0B4B"/>
    <w:rsid w:val="002A154D"/>
    <w:rsid w:val="002A3B13"/>
    <w:rsid w:val="002A3E28"/>
    <w:rsid w:val="002A5464"/>
    <w:rsid w:val="002A6828"/>
    <w:rsid w:val="002B044A"/>
    <w:rsid w:val="002B0FB1"/>
    <w:rsid w:val="002B10E1"/>
    <w:rsid w:val="002B2026"/>
    <w:rsid w:val="002B2F4A"/>
    <w:rsid w:val="002B3DE7"/>
    <w:rsid w:val="002B44CA"/>
    <w:rsid w:val="002B5DC6"/>
    <w:rsid w:val="002B6F61"/>
    <w:rsid w:val="002B7715"/>
    <w:rsid w:val="002B7EE2"/>
    <w:rsid w:val="002C003C"/>
    <w:rsid w:val="002C22FA"/>
    <w:rsid w:val="002C3EF4"/>
    <w:rsid w:val="002C66DA"/>
    <w:rsid w:val="002C6D83"/>
    <w:rsid w:val="002D1171"/>
    <w:rsid w:val="002D3B7E"/>
    <w:rsid w:val="002D5F5E"/>
    <w:rsid w:val="002E1E94"/>
    <w:rsid w:val="002E2219"/>
    <w:rsid w:val="002E463E"/>
    <w:rsid w:val="002E4B42"/>
    <w:rsid w:val="002E56F7"/>
    <w:rsid w:val="002E6B5E"/>
    <w:rsid w:val="002F022F"/>
    <w:rsid w:val="002F1D4F"/>
    <w:rsid w:val="002F20C7"/>
    <w:rsid w:val="002F4DBA"/>
    <w:rsid w:val="002F51F4"/>
    <w:rsid w:val="002F5381"/>
    <w:rsid w:val="002F7F0A"/>
    <w:rsid w:val="003014D7"/>
    <w:rsid w:val="00302C59"/>
    <w:rsid w:val="003037D5"/>
    <w:rsid w:val="00303AED"/>
    <w:rsid w:val="003044DD"/>
    <w:rsid w:val="0030598F"/>
    <w:rsid w:val="003062A1"/>
    <w:rsid w:val="00307381"/>
    <w:rsid w:val="003100F4"/>
    <w:rsid w:val="003108E9"/>
    <w:rsid w:val="00313FAD"/>
    <w:rsid w:val="003144BC"/>
    <w:rsid w:val="0031490F"/>
    <w:rsid w:val="003149F2"/>
    <w:rsid w:val="00314D9E"/>
    <w:rsid w:val="003161C0"/>
    <w:rsid w:val="0032367A"/>
    <w:rsid w:val="003247D8"/>
    <w:rsid w:val="00327EB4"/>
    <w:rsid w:val="003329F5"/>
    <w:rsid w:val="00334F2D"/>
    <w:rsid w:val="00335B94"/>
    <w:rsid w:val="00337830"/>
    <w:rsid w:val="00340595"/>
    <w:rsid w:val="0034121C"/>
    <w:rsid w:val="003422E2"/>
    <w:rsid w:val="0034312D"/>
    <w:rsid w:val="003441E9"/>
    <w:rsid w:val="00345B19"/>
    <w:rsid w:val="00345E3D"/>
    <w:rsid w:val="00346512"/>
    <w:rsid w:val="0035027B"/>
    <w:rsid w:val="0035075C"/>
    <w:rsid w:val="00350C46"/>
    <w:rsid w:val="003523E3"/>
    <w:rsid w:val="00352826"/>
    <w:rsid w:val="00353463"/>
    <w:rsid w:val="00355380"/>
    <w:rsid w:val="00355AFB"/>
    <w:rsid w:val="003564E1"/>
    <w:rsid w:val="00360797"/>
    <w:rsid w:val="003608A5"/>
    <w:rsid w:val="00361180"/>
    <w:rsid w:val="00362585"/>
    <w:rsid w:val="0036298A"/>
    <w:rsid w:val="00363B71"/>
    <w:rsid w:val="00363D2B"/>
    <w:rsid w:val="00364E20"/>
    <w:rsid w:val="003654D7"/>
    <w:rsid w:val="00365F83"/>
    <w:rsid w:val="003669C4"/>
    <w:rsid w:val="00366C8D"/>
    <w:rsid w:val="00366D7F"/>
    <w:rsid w:val="00367B1F"/>
    <w:rsid w:val="003707FE"/>
    <w:rsid w:val="00370E16"/>
    <w:rsid w:val="00371531"/>
    <w:rsid w:val="003715EA"/>
    <w:rsid w:val="00371A81"/>
    <w:rsid w:val="00371C90"/>
    <w:rsid w:val="00373CAC"/>
    <w:rsid w:val="00376423"/>
    <w:rsid w:val="0037659A"/>
    <w:rsid w:val="003772D5"/>
    <w:rsid w:val="00382C2C"/>
    <w:rsid w:val="0038306A"/>
    <w:rsid w:val="0038386D"/>
    <w:rsid w:val="003839C8"/>
    <w:rsid w:val="003869B7"/>
    <w:rsid w:val="003945C9"/>
    <w:rsid w:val="00394B7F"/>
    <w:rsid w:val="003960A9"/>
    <w:rsid w:val="003961E2"/>
    <w:rsid w:val="00397428"/>
    <w:rsid w:val="003A3766"/>
    <w:rsid w:val="003A48E5"/>
    <w:rsid w:val="003A5667"/>
    <w:rsid w:val="003A6181"/>
    <w:rsid w:val="003B1DA9"/>
    <w:rsid w:val="003B2CC5"/>
    <w:rsid w:val="003B34EE"/>
    <w:rsid w:val="003B4521"/>
    <w:rsid w:val="003B463E"/>
    <w:rsid w:val="003B49B0"/>
    <w:rsid w:val="003B4CB5"/>
    <w:rsid w:val="003B5A8F"/>
    <w:rsid w:val="003B5B0C"/>
    <w:rsid w:val="003B6205"/>
    <w:rsid w:val="003C30C3"/>
    <w:rsid w:val="003C3D84"/>
    <w:rsid w:val="003C5330"/>
    <w:rsid w:val="003C6548"/>
    <w:rsid w:val="003C767F"/>
    <w:rsid w:val="003D4788"/>
    <w:rsid w:val="003D4AA4"/>
    <w:rsid w:val="003D5997"/>
    <w:rsid w:val="003D70FB"/>
    <w:rsid w:val="003E1D31"/>
    <w:rsid w:val="003E1FBD"/>
    <w:rsid w:val="003E2759"/>
    <w:rsid w:val="003E521D"/>
    <w:rsid w:val="003E5D2E"/>
    <w:rsid w:val="003E77BC"/>
    <w:rsid w:val="003F04A3"/>
    <w:rsid w:val="003F0D38"/>
    <w:rsid w:val="003F3948"/>
    <w:rsid w:val="003F4D56"/>
    <w:rsid w:val="003F71A0"/>
    <w:rsid w:val="003F764D"/>
    <w:rsid w:val="003F77C4"/>
    <w:rsid w:val="00401589"/>
    <w:rsid w:val="004023AE"/>
    <w:rsid w:val="0040336B"/>
    <w:rsid w:val="00403622"/>
    <w:rsid w:val="004058AB"/>
    <w:rsid w:val="004110B4"/>
    <w:rsid w:val="0041165B"/>
    <w:rsid w:val="00412704"/>
    <w:rsid w:val="004131E8"/>
    <w:rsid w:val="00415C74"/>
    <w:rsid w:val="00416551"/>
    <w:rsid w:val="00417A65"/>
    <w:rsid w:val="00417B15"/>
    <w:rsid w:val="00421140"/>
    <w:rsid w:val="00421A56"/>
    <w:rsid w:val="00422178"/>
    <w:rsid w:val="00424649"/>
    <w:rsid w:val="004300CE"/>
    <w:rsid w:val="004315CC"/>
    <w:rsid w:val="00431C7A"/>
    <w:rsid w:val="00434AED"/>
    <w:rsid w:val="00435392"/>
    <w:rsid w:val="00441B4B"/>
    <w:rsid w:val="004429AC"/>
    <w:rsid w:val="00442AB5"/>
    <w:rsid w:val="00442B99"/>
    <w:rsid w:val="004437F1"/>
    <w:rsid w:val="004442A1"/>
    <w:rsid w:val="00444CAA"/>
    <w:rsid w:val="00444D25"/>
    <w:rsid w:val="00444D42"/>
    <w:rsid w:val="00444DF4"/>
    <w:rsid w:val="00444EE2"/>
    <w:rsid w:val="004453CA"/>
    <w:rsid w:val="00445518"/>
    <w:rsid w:val="00446DBC"/>
    <w:rsid w:val="0045023B"/>
    <w:rsid w:val="004509CD"/>
    <w:rsid w:val="00450DA2"/>
    <w:rsid w:val="00450E55"/>
    <w:rsid w:val="004519CF"/>
    <w:rsid w:val="004521FA"/>
    <w:rsid w:val="0045278F"/>
    <w:rsid w:val="00452E53"/>
    <w:rsid w:val="00453937"/>
    <w:rsid w:val="00455A73"/>
    <w:rsid w:val="00456653"/>
    <w:rsid w:val="00456E78"/>
    <w:rsid w:val="00460F65"/>
    <w:rsid w:val="0046137A"/>
    <w:rsid w:val="004614D6"/>
    <w:rsid w:val="004634FC"/>
    <w:rsid w:val="00463779"/>
    <w:rsid w:val="00463968"/>
    <w:rsid w:val="00466A13"/>
    <w:rsid w:val="00470110"/>
    <w:rsid w:val="004725D1"/>
    <w:rsid w:val="00472CDE"/>
    <w:rsid w:val="00473B27"/>
    <w:rsid w:val="0047701A"/>
    <w:rsid w:val="004778D5"/>
    <w:rsid w:val="004801E4"/>
    <w:rsid w:val="00481DBF"/>
    <w:rsid w:val="0048215F"/>
    <w:rsid w:val="00483621"/>
    <w:rsid w:val="004844B9"/>
    <w:rsid w:val="00484799"/>
    <w:rsid w:val="00485837"/>
    <w:rsid w:val="00485B8A"/>
    <w:rsid w:val="004867B8"/>
    <w:rsid w:val="00490DF9"/>
    <w:rsid w:val="0049146F"/>
    <w:rsid w:val="004914EE"/>
    <w:rsid w:val="00491827"/>
    <w:rsid w:val="00491BB3"/>
    <w:rsid w:val="004932C5"/>
    <w:rsid w:val="004937F1"/>
    <w:rsid w:val="0049469A"/>
    <w:rsid w:val="004959C8"/>
    <w:rsid w:val="00497404"/>
    <w:rsid w:val="00497E78"/>
    <w:rsid w:val="004A0331"/>
    <w:rsid w:val="004A0A58"/>
    <w:rsid w:val="004A13B9"/>
    <w:rsid w:val="004A18A0"/>
    <w:rsid w:val="004A2E89"/>
    <w:rsid w:val="004A3C46"/>
    <w:rsid w:val="004A443B"/>
    <w:rsid w:val="004A5633"/>
    <w:rsid w:val="004A5687"/>
    <w:rsid w:val="004A63FC"/>
    <w:rsid w:val="004A7FF2"/>
    <w:rsid w:val="004B069F"/>
    <w:rsid w:val="004B1A8B"/>
    <w:rsid w:val="004B2538"/>
    <w:rsid w:val="004B31F1"/>
    <w:rsid w:val="004B4533"/>
    <w:rsid w:val="004B6751"/>
    <w:rsid w:val="004B7C0B"/>
    <w:rsid w:val="004B7E23"/>
    <w:rsid w:val="004C03DB"/>
    <w:rsid w:val="004C2868"/>
    <w:rsid w:val="004C498F"/>
    <w:rsid w:val="004C4B09"/>
    <w:rsid w:val="004C51A8"/>
    <w:rsid w:val="004C5F68"/>
    <w:rsid w:val="004C68CB"/>
    <w:rsid w:val="004C7D31"/>
    <w:rsid w:val="004D01CD"/>
    <w:rsid w:val="004D1E98"/>
    <w:rsid w:val="004D4857"/>
    <w:rsid w:val="004D4F34"/>
    <w:rsid w:val="004D4F36"/>
    <w:rsid w:val="004E04C3"/>
    <w:rsid w:val="004E1A75"/>
    <w:rsid w:val="004E3AB5"/>
    <w:rsid w:val="004E40B3"/>
    <w:rsid w:val="004E4DEF"/>
    <w:rsid w:val="004E6F47"/>
    <w:rsid w:val="004F2396"/>
    <w:rsid w:val="004F276C"/>
    <w:rsid w:val="004F2875"/>
    <w:rsid w:val="004F5114"/>
    <w:rsid w:val="004F5423"/>
    <w:rsid w:val="004F581E"/>
    <w:rsid w:val="004F6197"/>
    <w:rsid w:val="004F671D"/>
    <w:rsid w:val="0050289E"/>
    <w:rsid w:val="00502D7B"/>
    <w:rsid w:val="00502E0E"/>
    <w:rsid w:val="00502F08"/>
    <w:rsid w:val="005041E2"/>
    <w:rsid w:val="00504289"/>
    <w:rsid w:val="00504E36"/>
    <w:rsid w:val="0050564B"/>
    <w:rsid w:val="00505BF4"/>
    <w:rsid w:val="00506103"/>
    <w:rsid w:val="00510506"/>
    <w:rsid w:val="00511A21"/>
    <w:rsid w:val="00512129"/>
    <w:rsid w:val="005124D1"/>
    <w:rsid w:val="0051280C"/>
    <w:rsid w:val="00512A5E"/>
    <w:rsid w:val="00513338"/>
    <w:rsid w:val="00513348"/>
    <w:rsid w:val="005138C6"/>
    <w:rsid w:val="0051395C"/>
    <w:rsid w:val="00514C13"/>
    <w:rsid w:val="00514CE6"/>
    <w:rsid w:val="00514F9F"/>
    <w:rsid w:val="00515806"/>
    <w:rsid w:val="00516466"/>
    <w:rsid w:val="00520B69"/>
    <w:rsid w:val="00523AF9"/>
    <w:rsid w:val="005271BC"/>
    <w:rsid w:val="00532300"/>
    <w:rsid w:val="00533368"/>
    <w:rsid w:val="00533AAC"/>
    <w:rsid w:val="005354F4"/>
    <w:rsid w:val="00536D84"/>
    <w:rsid w:val="00537571"/>
    <w:rsid w:val="005409EA"/>
    <w:rsid w:val="00540A7C"/>
    <w:rsid w:val="00542391"/>
    <w:rsid w:val="00542B54"/>
    <w:rsid w:val="005430D3"/>
    <w:rsid w:val="005431C5"/>
    <w:rsid w:val="00545845"/>
    <w:rsid w:val="00545DDE"/>
    <w:rsid w:val="005512BD"/>
    <w:rsid w:val="0055171B"/>
    <w:rsid w:val="005535D8"/>
    <w:rsid w:val="00554A83"/>
    <w:rsid w:val="00563B69"/>
    <w:rsid w:val="00563E45"/>
    <w:rsid w:val="00563F4D"/>
    <w:rsid w:val="00564674"/>
    <w:rsid w:val="00565531"/>
    <w:rsid w:val="005700F3"/>
    <w:rsid w:val="005734FD"/>
    <w:rsid w:val="005739D0"/>
    <w:rsid w:val="00573ABD"/>
    <w:rsid w:val="00573F68"/>
    <w:rsid w:val="00576695"/>
    <w:rsid w:val="00576EE3"/>
    <w:rsid w:val="00580418"/>
    <w:rsid w:val="00581E1E"/>
    <w:rsid w:val="00582033"/>
    <w:rsid w:val="005827F6"/>
    <w:rsid w:val="00583BF4"/>
    <w:rsid w:val="00584611"/>
    <w:rsid w:val="005855ED"/>
    <w:rsid w:val="00586A28"/>
    <w:rsid w:val="005939C5"/>
    <w:rsid w:val="00595960"/>
    <w:rsid w:val="00595C7E"/>
    <w:rsid w:val="005968F9"/>
    <w:rsid w:val="005A10A7"/>
    <w:rsid w:val="005A1455"/>
    <w:rsid w:val="005A2C9D"/>
    <w:rsid w:val="005A350B"/>
    <w:rsid w:val="005A3700"/>
    <w:rsid w:val="005A3E56"/>
    <w:rsid w:val="005A4B07"/>
    <w:rsid w:val="005A5056"/>
    <w:rsid w:val="005A5870"/>
    <w:rsid w:val="005A58BD"/>
    <w:rsid w:val="005B03CF"/>
    <w:rsid w:val="005B04DA"/>
    <w:rsid w:val="005B1A82"/>
    <w:rsid w:val="005B2255"/>
    <w:rsid w:val="005B27C2"/>
    <w:rsid w:val="005B493C"/>
    <w:rsid w:val="005B7F6D"/>
    <w:rsid w:val="005C1D8C"/>
    <w:rsid w:val="005C24DF"/>
    <w:rsid w:val="005C3A75"/>
    <w:rsid w:val="005C51A5"/>
    <w:rsid w:val="005C6CBD"/>
    <w:rsid w:val="005D3D34"/>
    <w:rsid w:val="005D3E5A"/>
    <w:rsid w:val="005D491E"/>
    <w:rsid w:val="005D4DE9"/>
    <w:rsid w:val="005D5291"/>
    <w:rsid w:val="005D5391"/>
    <w:rsid w:val="005D5F6E"/>
    <w:rsid w:val="005D67D9"/>
    <w:rsid w:val="005E12FE"/>
    <w:rsid w:val="005E1D1B"/>
    <w:rsid w:val="005E1F49"/>
    <w:rsid w:val="005E222B"/>
    <w:rsid w:val="005E2355"/>
    <w:rsid w:val="005E2F2E"/>
    <w:rsid w:val="005E7551"/>
    <w:rsid w:val="005E7E0E"/>
    <w:rsid w:val="005F0F1F"/>
    <w:rsid w:val="005F2361"/>
    <w:rsid w:val="005F27A1"/>
    <w:rsid w:val="005F2999"/>
    <w:rsid w:val="005F2A85"/>
    <w:rsid w:val="005F2F79"/>
    <w:rsid w:val="005F34FA"/>
    <w:rsid w:val="005F3F74"/>
    <w:rsid w:val="005F4B0A"/>
    <w:rsid w:val="005F58F2"/>
    <w:rsid w:val="005F5A18"/>
    <w:rsid w:val="005F60EE"/>
    <w:rsid w:val="005F6A76"/>
    <w:rsid w:val="005F72FC"/>
    <w:rsid w:val="005F7ACB"/>
    <w:rsid w:val="00601CDD"/>
    <w:rsid w:val="00603211"/>
    <w:rsid w:val="006032D6"/>
    <w:rsid w:val="00607352"/>
    <w:rsid w:val="006108BB"/>
    <w:rsid w:val="00611633"/>
    <w:rsid w:val="0061212B"/>
    <w:rsid w:val="006128D4"/>
    <w:rsid w:val="00613AE0"/>
    <w:rsid w:val="006146A0"/>
    <w:rsid w:val="00620FF8"/>
    <w:rsid w:val="00621427"/>
    <w:rsid w:val="00621EB2"/>
    <w:rsid w:val="00622EE4"/>
    <w:rsid w:val="006237CB"/>
    <w:rsid w:val="0062448F"/>
    <w:rsid w:val="00625707"/>
    <w:rsid w:val="0062687F"/>
    <w:rsid w:val="00630029"/>
    <w:rsid w:val="00630DCB"/>
    <w:rsid w:val="00633604"/>
    <w:rsid w:val="0063492C"/>
    <w:rsid w:val="006363C0"/>
    <w:rsid w:val="006403A3"/>
    <w:rsid w:val="006404AB"/>
    <w:rsid w:val="00640E65"/>
    <w:rsid w:val="00640EA3"/>
    <w:rsid w:val="0064165E"/>
    <w:rsid w:val="00642053"/>
    <w:rsid w:val="006423EF"/>
    <w:rsid w:val="00642A18"/>
    <w:rsid w:val="0064434E"/>
    <w:rsid w:val="0064580E"/>
    <w:rsid w:val="00646373"/>
    <w:rsid w:val="00652339"/>
    <w:rsid w:val="00653392"/>
    <w:rsid w:val="00653E2C"/>
    <w:rsid w:val="00654D09"/>
    <w:rsid w:val="006565B0"/>
    <w:rsid w:val="006572A7"/>
    <w:rsid w:val="006602BE"/>
    <w:rsid w:val="00660349"/>
    <w:rsid w:val="006614F5"/>
    <w:rsid w:val="006624D9"/>
    <w:rsid w:val="006630F8"/>
    <w:rsid w:val="0066353C"/>
    <w:rsid w:val="00664660"/>
    <w:rsid w:val="00665383"/>
    <w:rsid w:val="00667474"/>
    <w:rsid w:val="00667B12"/>
    <w:rsid w:val="00667E00"/>
    <w:rsid w:val="00670964"/>
    <w:rsid w:val="00675D2E"/>
    <w:rsid w:val="00675FEA"/>
    <w:rsid w:val="006763ED"/>
    <w:rsid w:val="00676A36"/>
    <w:rsid w:val="00676C70"/>
    <w:rsid w:val="00677E25"/>
    <w:rsid w:val="00680BB8"/>
    <w:rsid w:val="00681F70"/>
    <w:rsid w:val="00682038"/>
    <w:rsid w:val="00682752"/>
    <w:rsid w:val="00682817"/>
    <w:rsid w:val="00682941"/>
    <w:rsid w:val="00683452"/>
    <w:rsid w:val="00683A86"/>
    <w:rsid w:val="006854DE"/>
    <w:rsid w:val="00685A49"/>
    <w:rsid w:val="006876B4"/>
    <w:rsid w:val="00690A2D"/>
    <w:rsid w:val="006912F4"/>
    <w:rsid w:val="00692A6E"/>
    <w:rsid w:val="00692EB4"/>
    <w:rsid w:val="00694602"/>
    <w:rsid w:val="00695CF3"/>
    <w:rsid w:val="006A04EB"/>
    <w:rsid w:val="006A1218"/>
    <w:rsid w:val="006A19D3"/>
    <w:rsid w:val="006A1A5E"/>
    <w:rsid w:val="006A2BF7"/>
    <w:rsid w:val="006A2BF9"/>
    <w:rsid w:val="006A2ECA"/>
    <w:rsid w:val="006A44E4"/>
    <w:rsid w:val="006A4A7D"/>
    <w:rsid w:val="006A54C7"/>
    <w:rsid w:val="006A5899"/>
    <w:rsid w:val="006A59C5"/>
    <w:rsid w:val="006A6F80"/>
    <w:rsid w:val="006A728D"/>
    <w:rsid w:val="006A7568"/>
    <w:rsid w:val="006A7608"/>
    <w:rsid w:val="006B0648"/>
    <w:rsid w:val="006B1B1F"/>
    <w:rsid w:val="006B1C7B"/>
    <w:rsid w:val="006B1ECE"/>
    <w:rsid w:val="006B345C"/>
    <w:rsid w:val="006B41D4"/>
    <w:rsid w:val="006B41FD"/>
    <w:rsid w:val="006B5F70"/>
    <w:rsid w:val="006B75BD"/>
    <w:rsid w:val="006C0200"/>
    <w:rsid w:val="006C18B9"/>
    <w:rsid w:val="006C23F7"/>
    <w:rsid w:val="006C3464"/>
    <w:rsid w:val="006C438B"/>
    <w:rsid w:val="006C47D0"/>
    <w:rsid w:val="006C4B3F"/>
    <w:rsid w:val="006C5EB0"/>
    <w:rsid w:val="006C6BE8"/>
    <w:rsid w:val="006C7C4F"/>
    <w:rsid w:val="006D2E58"/>
    <w:rsid w:val="006D6F71"/>
    <w:rsid w:val="006D7792"/>
    <w:rsid w:val="006E0259"/>
    <w:rsid w:val="006E0434"/>
    <w:rsid w:val="006E1EAF"/>
    <w:rsid w:val="006E35E4"/>
    <w:rsid w:val="006E4831"/>
    <w:rsid w:val="006E5C9A"/>
    <w:rsid w:val="006F0715"/>
    <w:rsid w:val="006F08E6"/>
    <w:rsid w:val="006F117F"/>
    <w:rsid w:val="006F1F39"/>
    <w:rsid w:val="006F309A"/>
    <w:rsid w:val="006F3B52"/>
    <w:rsid w:val="006F77D8"/>
    <w:rsid w:val="007005F1"/>
    <w:rsid w:val="0070179F"/>
    <w:rsid w:val="00701903"/>
    <w:rsid w:val="00702E9D"/>
    <w:rsid w:val="0070382E"/>
    <w:rsid w:val="007054A7"/>
    <w:rsid w:val="00705996"/>
    <w:rsid w:val="00706BB9"/>
    <w:rsid w:val="0070716A"/>
    <w:rsid w:val="00707B12"/>
    <w:rsid w:val="00707F81"/>
    <w:rsid w:val="007106F8"/>
    <w:rsid w:val="007108C6"/>
    <w:rsid w:val="00710E64"/>
    <w:rsid w:val="0071314B"/>
    <w:rsid w:val="007156CB"/>
    <w:rsid w:val="00717835"/>
    <w:rsid w:val="007231E8"/>
    <w:rsid w:val="00723D9F"/>
    <w:rsid w:val="007254CE"/>
    <w:rsid w:val="00725C36"/>
    <w:rsid w:val="00727B24"/>
    <w:rsid w:val="00730179"/>
    <w:rsid w:val="00730A9A"/>
    <w:rsid w:val="00730BDF"/>
    <w:rsid w:val="00732F1C"/>
    <w:rsid w:val="0073336D"/>
    <w:rsid w:val="007336C8"/>
    <w:rsid w:val="00733B9C"/>
    <w:rsid w:val="00733FFB"/>
    <w:rsid w:val="00735A5E"/>
    <w:rsid w:val="00737104"/>
    <w:rsid w:val="007401AE"/>
    <w:rsid w:val="00740973"/>
    <w:rsid w:val="0074118D"/>
    <w:rsid w:val="00741541"/>
    <w:rsid w:val="00741571"/>
    <w:rsid w:val="007445E3"/>
    <w:rsid w:val="007446D6"/>
    <w:rsid w:val="00744921"/>
    <w:rsid w:val="00745F89"/>
    <w:rsid w:val="007464CF"/>
    <w:rsid w:val="00747AD4"/>
    <w:rsid w:val="0075140A"/>
    <w:rsid w:val="007532FC"/>
    <w:rsid w:val="00753F6F"/>
    <w:rsid w:val="0075486C"/>
    <w:rsid w:val="0075499B"/>
    <w:rsid w:val="00754CB6"/>
    <w:rsid w:val="0075606A"/>
    <w:rsid w:val="00757C8C"/>
    <w:rsid w:val="00760231"/>
    <w:rsid w:val="00760D4B"/>
    <w:rsid w:val="00760EE5"/>
    <w:rsid w:val="007614E9"/>
    <w:rsid w:val="0076175A"/>
    <w:rsid w:val="00761D41"/>
    <w:rsid w:val="00761E25"/>
    <w:rsid w:val="00762EFA"/>
    <w:rsid w:val="0076405D"/>
    <w:rsid w:val="007640ED"/>
    <w:rsid w:val="00766FF5"/>
    <w:rsid w:val="0077005F"/>
    <w:rsid w:val="0077137D"/>
    <w:rsid w:val="00771D30"/>
    <w:rsid w:val="007720E9"/>
    <w:rsid w:val="00772D7D"/>
    <w:rsid w:val="007730DF"/>
    <w:rsid w:val="00774A73"/>
    <w:rsid w:val="007774C8"/>
    <w:rsid w:val="00777B78"/>
    <w:rsid w:val="00780C51"/>
    <w:rsid w:val="0078235E"/>
    <w:rsid w:val="00783987"/>
    <w:rsid w:val="00783FB7"/>
    <w:rsid w:val="007847D4"/>
    <w:rsid w:val="00786507"/>
    <w:rsid w:val="00787592"/>
    <w:rsid w:val="007910FC"/>
    <w:rsid w:val="00793B1F"/>
    <w:rsid w:val="00793BD4"/>
    <w:rsid w:val="00794345"/>
    <w:rsid w:val="00795277"/>
    <w:rsid w:val="00795DF4"/>
    <w:rsid w:val="00797BBA"/>
    <w:rsid w:val="007A0233"/>
    <w:rsid w:val="007A05A1"/>
    <w:rsid w:val="007A21FE"/>
    <w:rsid w:val="007A27D4"/>
    <w:rsid w:val="007A3FE1"/>
    <w:rsid w:val="007A4999"/>
    <w:rsid w:val="007A563F"/>
    <w:rsid w:val="007A6912"/>
    <w:rsid w:val="007B041B"/>
    <w:rsid w:val="007B0618"/>
    <w:rsid w:val="007B0787"/>
    <w:rsid w:val="007B1812"/>
    <w:rsid w:val="007B23F4"/>
    <w:rsid w:val="007B2D81"/>
    <w:rsid w:val="007B32C0"/>
    <w:rsid w:val="007B3BC4"/>
    <w:rsid w:val="007B3C6C"/>
    <w:rsid w:val="007B3F02"/>
    <w:rsid w:val="007B4812"/>
    <w:rsid w:val="007B5704"/>
    <w:rsid w:val="007B69E8"/>
    <w:rsid w:val="007C0659"/>
    <w:rsid w:val="007C0A72"/>
    <w:rsid w:val="007C33CA"/>
    <w:rsid w:val="007C3F6F"/>
    <w:rsid w:val="007C434D"/>
    <w:rsid w:val="007C4902"/>
    <w:rsid w:val="007C4CA4"/>
    <w:rsid w:val="007C5B23"/>
    <w:rsid w:val="007C7F03"/>
    <w:rsid w:val="007D0E0F"/>
    <w:rsid w:val="007D2252"/>
    <w:rsid w:val="007D2783"/>
    <w:rsid w:val="007D3717"/>
    <w:rsid w:val="007D41A1"/>
    <w:rsid w:val="007E041C"/>
    <w:rsid w:val="007E0542"/>
    <w:rsid w:val="007E07BE"/>
    <w:rsid w:val="007E1817"/>
    <w:rsid w:val="007E1D95"/>
    <w:rsid w:val="007E1FFA"/>
    <w:rsid w:val="007E25AB"/>
    <w:rsid w:val="007E27F6"/>
    <w:rsid w:val="007E32FD"/>
    <w:rsid w:val="007E6726"/>
    <w:rsid w:val="007F0449"/>
    <w:rsid w:val="007F0FA7"/>
    <w:rsid w:val="007F12E0"/>
    <w:rsid w:val="007F3219"/>
    <w:rsid w:val="007F509F"/>
    <w:rsid w:val="007F6755"/>
    <w:rsid w:val="007F6E7D"/>
    <w:rsid w:val="00800BC0"/>
    <w:rsid w:val="0080152D"/>
    <w:rsid w:val="008042AB"/>
    <w:rsid w:val="00804F02"/>
    <w:rsid w:val="0080581A"/>
    <w:rsid w:val="0080714C"/>
    <w:rsid w:val="0080775B"/>
    <w:rsid w:val="008106ED"/>
    <w:rsid w:val="00810EAA"/>
    <w:rsid w:val="00811813"/>
    <w:rsid w:val="00811E50"/>
    <w:rsid w:val="0081344B"/>
    <w:rsid w:val="00813CEC"/>
    <w:rsid w:val="0081675F"/>
    <w:rsid w:val="008175AD"/>
    <w:rsid w:val="00817950"/>
    <w:rsid w:val="0082081D"/>
    <w:rsid w:val="00821E67"/>
    <w:rsid w:val="00823C69"/>
    <w:rsid w:val="00824599"/>
    <w:rsid w:val="00825502"/>
    <w:rsid w:val="00825D8B"/>
    <w:rsid w:val="00826F60"/>
    <w:rsid w:val="00827F20"/>
    <w:rsid w:val="00831127"/>
    <w:rsid w:val="0083265A"/>
    <w:rsid w:val="00834197"/>
    <w:rsid w:val="0083595F"/>
    <w:rsid w:val="00836416"/>
    <w:rsid w:val="00842B5D"/>
    <w:rsid w:val="00845CF0"/>
    <w:rsid w:val="0085002D"/>
    <w:rsid w:val="00850845"/>
    <w:rsid w:val="00853DF8"/>
    <w:rsid w:val="00854FD2"/>
    <w:rsid w:val="0085643B"/>
    <w:rsid w:val="00861B05"/>
    <w:rsid w:val="0086488D"/>
    <w:rsid w:val="00864D69"/>
    <w:rsid w:val="00864E2E"/>
    <w:rsid w:val="00866DFB"/>
    <w:rsid w:val="0086740C"/>
    <w:rsid w:val="00870175"/>
    <w:rsid w:val="00870355"/>
    <w:rsid w:val="00873A71"/>
    <w:rsid w:val="00873FA0"/>
    <w:rsid w:val="008767A1"/>
    <w:rsid w:val="008802D5"/>
    <w:rsid w:val="0088108A"/>
    <w:rsid w:val="00881291"/>
    <w:rsid w:val="0088150A"/>
    <w:rsid w:val="00881843"/>
    <w:rsid w:val="00882A17"/>
    <w:rsid w:val="008835E7"/>
    <w:rsid w:val="00886B57"/>
    <w:rsid w:val="00886C25"/>
    <w:rsid w:val="00887E6E"/>
    <w:rsid w:val="00891177"/>
    <w:rsid w:val="0089163D"/>
    <w:rsid w:val="0089258C"/>
    <w:rsid w:val="008930BB"/>
    <w:rsid w:val="00893866"/>
    <w:rsid w:val="00893AFC"/>
    <w:rsid w:val="008950ED"/>
    <w:rsid w:val="00895397"/>
    <w:rsid w:val="008960B7"/>
    <w:rsid w:val="00896371"/>
    <w:rsid w:val="008A0A88"/>
    <w:rsid w:val="008A0F65"/>
    <w:rsid w:val="008A129A"/>
    <w:rsid w:val="008A184B"/>
    <w:rsid w:val="008A252F"/>
    <w:rsid w:val="008A3327"/>
    <w:rsid w:val="008A37C5"/>
    <w:rsid w:val="008A395C"/>
    <w:rsid w:val="008A39FB"/>
    <w:rsid w:val="008A411E"/>
    <w:rsid w:val="008A4B43"/>
    <w:rsid w:val="008A5359"/>
    <w:rsid w:val="008A542D"/>
    <w:rsid w:val="008A5728"/>
    <w:rsid w:val="008A60CC"/>
    <w:rsid w:val="008A64C4"/>
    <w:rsid w:val="008A7398"/>
    <w:rsid w:val="008A766F"/>
    <w:rsid w:val="008A7C3E"/>
    <w:rsid w:val="008B32AE"/>
    <w:rsid w:val="008B3962"/>
    <w:rsid w:val="008B4322"/>
    <w:rsid w:val="008B61AD"/>
    <w:rsid w:val="008B6FAB"/>
    <w:rsid w:val="008B76C8"/>
    <w:rsid w:val="008B7865"/>
    <w:rsid w:val="008C01B4"/>
    <w:rsid w:val="008C03B6"/>
    <w:rsid w:val="008C0ADF"/>
    <w:rsid w:val="008C2CAE"/>
    <w:rsid w:val="008C4890"/>
    <w:rsid w:val="008C4B11"/>
    <w:rsid w:val="008C7DE5"/>
    <w:rsid w:val="008D0831"/>
    <w:rsid w:val="008D0C59"/>
    <w:rsid w:val="008D28C0"/>
    <w:rsid w:val="008D4D41"/>
    <w:rsid w:val="008E0E93"/>
    <w:rsid w:val="008E2B6A"/>
    <w:rsid w:val="008E3903"/>
    <w:rsid w:val="008E42DD"/>
    <w:rsid w:val="008E5DD5"/>
    <w:rsid w:val="008E607A"/>
    <w:rsid w:val="008E625E"/>
    <w:rsid w:val="008F10B8"/>
    <w:rsid w:val="008F11F4"/>
    <w:rsid w:val="008F1810"/>
    <w:rsid w:val="008F1B46"/>
    <w:rsid w:val="008F1BBC"/>
    <w:rsid w:val="008F3032"/>
    <w:rsid w:val="008F395A"/>
    <w:rsid w:val="00901635"/>
    <w:rsid w:val="00903716"/>
    <w:rsid w:val="009047E7"/>
    <w:rsid w:val="00904F7B"/>
    <w:rsid w:val="00905265"/>
    <w:rsid w:val="00905E92"/>
    <w:rsid w:val="00911135"/>
    <w:rsid w:val="00911AD7"/>
    <w:rsid w:val="00912046"/>
    <w:rsid w:val="00912336"/>
    <w:rsid w:val="00912D7A"/>
    <w:rsid w:val="00912F98"/>
    <w:rsid w:val="00914869"/>
    <w:rsid w:val="00915B57"/>
    <w:rsid w:val="00916C6A"/>
    <w:rsid w:val="00920423"/>
    <w:rsid w:val="0092149E"/>
    <w:rsid w:val="0092160C"/>
    <w:rsid w:val="0092181A"/>
    <w:rsid w:val="00922C08"/>
    <w:rsid w:val="0092318E"/>
    <w:rsid w:val="009236C6"/>
    <w:rsid w:val="00923ECA"/>
    <w:rsid w:val="00925146"/>
    <w:rsid w:val="0092654E"/>
    <w:rsid w:val="00926AA9"/>
    <w:rsid w:val="0092728A"/>
    <w:rsid w:val="00927B11"/>
    <w:rsid w:val="009301D2"/>
    <w:rsid w:val="00930274"/>
    <w:rsid w:val="0093032A"/>
    <w:rsid w:val="00932C4C"/>
    <w:rsid w:val="00933119"/>
    <w:rsid w:val="009344F3"/>
    <w:rsid w:val="009348FE"/>
    <w:rsid w:val="00936F8B"/>
    <w:rsid w:val="00940880"/>
    <w:rsid w:val="00941C58"/>
    <w:rsid w:val="00941D66"/>
    <w:rsid w:val="00941FD4"/>
    <w:rsid w:val="0094207E"/>
    <w:rsid w:val="00942A98"/>
    <w:rsid w:val="00942E2A"/>
    <w:rsid w:val="00944383"/>
    <w:rsid w:val="00945347"/>
    <w:rsid w:val="00945F2C"/>
    <w:rsid w:val="009473AC"/>
    <w:rsid w:val="009473D9"/>
    <w:rsid w:val="009478ED"/>
    <w:rsid w:val="009515AA"/>
    <w:rsid w:val="00952782"/>
    <w:rsid w:val="00952E19"/>
    <w:rsid w:val="00952E7D"/>
    <w:rsid w:val="0095400F"/>
    <w:rsid w:val="009565C3"/>
    <w:rsid w:val="00963FCA"/>
    <w:rsid w:val="009666AD"/>
    <w:rsid w:val="00967DDE"/>
    <w:rsid w:val="009702AD"/>
    <w:rsid w:val="009705AD"/>
    <w:rsid w:val="00970F20"/>
    <w:rsid w:val="00972A8A"/>
    <w:rsid w:val="00974B86"/>
    <w:rsid w:val="00975DDA"/>
    <w:rsid w:val="00976C6B"/>
    <w:rsid w:val="009770B8"/>
    <w:rsid w:val="00977120"/>
    <w:rsid w:val="00977EC8"/>
    <w:rsid w:val="00981B8E"/>
    <w:rsid w:val="00981C4B"/>
    <w:rsid w:val="00982540"/>
    <w:rsid w:val="009836BE"/>
    <w:rsid w:val="00983F01"/>
    <w:rsid w:val="009847C7"/>
    <w:rsid w:val="0098542B"/>
    <w:rsid w:val="009861CB"/>
    <w:rsid w:val="00990665"/>
    <w:rsid w:val="00990FD2"/>
    <w:rsid w:val="00991296"/>
    <w:rsid w:val="00991A2D"/>
    <w:rsid w:val="00991BF6"/>
    <w:rsid w:val="00992C82"/>
    <w:rsid w:val="009954A5"/>
    <w:rsid w:val="0099649B"/>
    <w:rsid w:val="00996CC9"/>
    <w:rsid w:val="009A0D84"/>
    <w:rsid w:val="009A1892"/>
    <w:rsid w:val="009A1B8E"/>
    <w:rsid w:val="009A3965"/>
    <w:rsid w:val="009A39B6"/>
    <w:rsid w:val="009A3DCE"/>
    <w:rsid w:val="009A4B72"/>
    <w:rsid w:val="009A6B8F"/>
    <w:rsid w:val="009A7081"/>
    <w:rsid w:val="009A72AE"/>
    <w:rsid w:val="009B160F"/>
    <w:rsid w:val="009B43CA"/>
    <w:rsid w:val="009B44DA"/>
    <w:rsid w:val="009B4B4A"/>
    <w:rsid w:val="009B555F"/>
    <w:rsid w:val="009B5C17"/>
    <w:rsid w:val="009B64F9"/>
    <w:rsid w:val="009B65A4"/>
    <w:rsid w:val="009B7127"/>
    <w:rsid w:val="009B7171"/>
    <w:rsid w:val="009C02A0"/>
    <w:rsid w:val="009C0A73"/>
    <w:rsid w:val="009C10F9"/>
    <w:rsid w:val="009C2B98"/>
    <w:rsid w:val="009C33AA"/>
    <w:rsid w:val="009C3431"/>
    <w:rsid w:val="009C35A3"/>
    <w:rsid w:val="009C3C7A"/>
    <w:rsid w:val="009C403F"/>
    <w:rsid w:val="009C4B93"/>
    <w:rsid w:val="009C597D"/>
    <w:rsid w:val="009C66EA"/>
    <w:rsid w:val="009D16A7"/>
    <w:rsid w:val="009D5515"/>
    <w:rsid w:val="009D55B0"/>
    <w:rsid w:val="009D59DA"/>
    <w:rsid w:val="009D651E"/>
    <w:rsid w:val="009D6F81"/>
    <w:rsid w:val="009E1A0A"/>
    <w:rsid w:val="009E2AF4"/>
    <w:rsid w:val="009E3A93"/>
    <w:rsid w:val="009E482A"/>
    <w:rsid w:val="009E4B94"/>
    <w:rsid w:val="009E5B35"/>
    <w:rsid w:val="009E7904"/>
    <w:rsid w:val="009E7CFC"/>
    <w:rsid w:val="009F0461"/>
    <w:rsid w:val="009F08D8"/>
    <w:rsid w:val="009F19FD"/>
    <w:rsid w:val="009F33A3"/>
    <w:rsid w:val="009F3BDC"/>
    <w:rsid w:val="009F55A8"/>
    <w:rsid w:val="009F5A3D"/>
    <w:rsid w:val="009F5E4F"/>
    <w:rsid w:val="009F6A0B"/>
    <w:rsid w:val="009F6A20"/>
    <w:rsid w:val="00A0023A"/>
    <w:rsid w:val="00A003D1"/>
    <w:rsid w:val="00A0067B"/>
    <w:rsid w:val="00A0190C"/>
    <w:rsid w:val="00A01D3F"/>
    <w:rsid w:val="00A01FD8"/>
    <w:rsid w:val="00A05BE2"/>
    <w:rsid w:val="00A06FBA"/>
    <w:rsid w:val="00A072E8"/>
    <w:rsid w:val="00A07E83"/>
    <w:rsid w:val="00A1044F"/>
    <w:rsid w:val="00A1077C"/>
    <w:rsid w:val="00A118FA"/>
    <w:rsid w:val="00A11A24"/>
    <w:rsid w:val="00A13CFC"/>
    <w:rsid w:val="00A140CD"/>
    <w:rsid w:val="00A153CB"/>
    <w:rsid w:val="00A17271"/>
    <w:rsid w:val="00A177A4"/>
    <w:rsid w:val="00A22294"/>
    <w:rsid w:val="00A22D0B"/>
    <w:rsid w:val="00A23642"/>
    <w:rsid w:val="00A23F84"/>
    <w:rsid w:val="00A240B1"/>
    <w:rsid w:val="00A25275"/>
    <w:rsid w:val="00A25EAC"/>
    <w:rsid w:val="00A30110"/>
    <w:rsid w:val="00A30720"/>
    <w:rsid w:val="00A30928"/>
    <w:rsid w:val="00A30B01"/>
    <w:rsid w:val="00A31633"/>
    <w:rsid w:val="00A31EE5"/>
    <w:rsid w:val="00A3407A"/>
    <w:rsid w:val="00A355AF"/>
    <w:rsid w:val="00A35C00"/>
    <w:rsid w:val="00A35E6A"/>
    <w:rsid w:val="00A36E7F"/>
    <w:rsid w:val="00A404AF"/>
    <w:rsid w:val="00A40760"/>
    <w:rsid w:val="00A40A83"/>
    <w:rsid w:val="00A41442"/>
    <w:rsid w:val="00A41851"/>
    <w:rsid w:val="00A42667"/>
    <w:rsid w:val="00A44545"/>
    <w:rsid w:val="00A447AC"/>
    <w:rsid w:val="00A46369"/>
    <w:rsid w:val="00A47366"/>
    <w:rsid w:val="00A51503"/>
    <w:rsid w:val="00A51F4A"/>
    <w:rsid w:val="00A52206"/>
    <w:rsid w:val="00A538D1"/>
    <w:rsid w:val="00A554DD"/>
    <w:rsid w:val="00A55EF2"/>
    <w:rsid w:val="00A57579"/>
    <w:rsid w:val="00A61306"/>
    <w:rsid w:val="00A6242B"/>
    <w:rsid w:val="00A6275B"/>
    <w:rsid w:val="00A6328C"/>
    <w:rsid w:val="00A64468"/>
    <w:rsid w:val="00A6548C"/>
    <w:rsid w:val="00A65DE2"/>
    <w:rsid w:val="00A66C77"/>
    <w:rsid w:val="00A71004"/>
    <w:rsid w:val="00A74A8A"/>
    <w:rsid w:val="00A76EE5"/>
    <w:rsid w:val="00A77885"/>
    <w:rsid w:val="00A808A8"/>
    <w:rsid w:val="00A821C7"/>
    <w:rsid w:val="00A82430"/>
    <w:rsid w:val="00A82CBA"/>
    <w:rsid w:val="00A82E66"/>
    <w:rsid w:val="00A82F90"/>
    <w:rsid w:val="00A83B78"/>
    <w:rsid w:val="00A84996"/>
    <w:rsid w:val="00A85785"/>
    <w:rsid w:val="00A8727C"/>
    <w:rsid w:val="00A912CE"/>
    <w:rsid w:val="00A913EE"/>
    <w:rsid w:val="00A91F40"/>
    <w:rsid w:val="00A92224"/>
    <w:rsid w:val="00A9475D"/>
    <w:rsid w:val="00A978B1"/>
    <w:rsid w:val="00A97A4A"/>
    <w:rsid w:val="00A97D5A"/>
    <w:rsid w:val="00AA12B8"/>
    <w:rsid w:val="00AA4C3E"/>
    <w:rsid w:val="00AA77E3"/>
    <w:rsid w:val="00AB4D1F"/>
    <w:rsid w:val="00AB5C1E"/>
    <w:rsid w:val="00AC1043"/>
    <w:rsid w:val="00AC12E9"/>
    <w:rsid w:val="00AC170B"/>
    <w:rsid w:val="00AC6446"/>
    <w:rsid w:val="00AC64AA"/>
    <w:rsid w:val="00AC774E"/>
    <w:rsid w:val="00AD12E8"/>
    <w:rsid w:val="00AD2F8E"/>
    <w:rsid w:val="00AD3857"/>
    <w:rsid w:val="00AD4606"/>
    <w:rsid w:val="00AD47AA"/>
    <w:rsid w:val="00AD5446"/>
    <w:rsid w:val="00AD5729"/>
    <w:rsid w:val="00AD747E"/>
    <w:rsid w:val="00AD7945"/>
    <w:rsid w:val="00AE0272"/>
    <w:rsid w:val="00AE0EB4"/>
    <w:rsid w:val="00AE1235"/>
    <w:rsid w:val="00AE1C8D"/>
    <w:rsid w:val="00AE4809"/>
    <w:rsid w:val="00AE584F"/>
    <w:rsid w:val="00AE7893"/>
    <w:rsid w:val="00AF0E3A"/>
    <w:rsid w:val="00AF389B"/>
    <w:rsid w:val="00AF3F7C"/>
    <w:rsid w:val="00AF483D"/>
    <w:rsid w:val="00AF5904"/>
    <w:rsid w:val="00AF65F1"/>
    <w:rsid w:val="00B010C3"/>
    <w:rsid w:val="00B01F58"/>
    <w:rsid w:val="00B04A27"/>
    <w:rsid w:val="00B04D52"/>
    <w:rsid w:val="00B04DB5"/>
    <w:rsid w:val="00B05333"/>
    <w:rsid w:val="00B05AE7"/>
    <w:rsid w:val="00B06620"/>
    <w:rsid w:val="00B0774B"/>
    <w:rsid w:val="00B07ECA"/>
    <w:rsid w:val="00B108C7"/>
    <w:rsid w:val="00B11285"/>
    <w:rsid w:val="00B12564"/>
    <w:rsid w:val="00B13527"/>
    <w:rsid w:val="00B15568"/>
    <w:rsid w:val="00B162D6"/>
    <w:rsid w:val="00B16445"/>
    <w:rsid w:val="00B166A0"/>
    <w:rsid w:val="00B16ED2"/>
    <w:rsid w:val="00B1741D"/>
    <w:rsid w:val="00B20388"/>
    <w:rsid w:val="00B2341E"/>
    <w:rsid w:val="00B245EF"/>
    <w:rsid w:val="00B2557D"/>
    <w:rsid w:val="00B2593E"/>
    <w:rsid w:val="00B25E2E"/>
    <w:rsid w:val="00B26BA5"/>
    <w:rsid w:val="00B27AB9"/>
    <w:rsid w:val="00B31035"/>
    <w:rsid w:val="00B31303"/>
    <w:rsid w:val="00B31DE5"/>
    <w:rsid w:val="00B33683"/>
    <w:rsid w:val="00B33D02"/>
    <w:rsid w:val="00B34793"/>
    <w:rsid w:val="00B35B57"/>
    <w:rsid w:val="00B362DF"/>
    <w:rsid w:val="00B363D6"/>
    <w:rsid w:val="00B364DA"/>
    <w:rsid w:val="00B3698B"/>
    <w:rsid w:val="00B40E50"/>
    <w:rsid w:val="00B414F2"/>
    <w:rsid w:val="00B41AD0"/>
    <w:rsid w:val="00B426FB"/>
    <w:rsid w:val="00B441D5"/>
    <w:rsid w:val="00B47718"/>
    <w:rsid w:val="00B47873"/>
    <w:rsid w:val="00B504D5"/>
    <w:rsid w:val="00B50C7F"/>
    <w:rsid w:val="00B51B8E"/>
    <w:rsid w:val="00B5368B"/>
    <w:rsid w:val="00B53725"/>
    <w:rsid w:val="00B5421A"/>
    <w:rsid w:val="00B544A3"/>
    <w:rsid w:val="00B5480A"/>
    <w:rsid w:val="00B555E6"/>
    <w:rsid w:val="00B559BC"/>
    <w:rsid w:val="00B55B62"/>
    <w:rsid w:val="00B5653E"/>
    <w:rsid w:val="00B5758C"/>
    <w:rsid w:val="00B617D1"/>
    <w:rsid w:val="00B64095"/>
    <w:rsid w:val="00B6507D"/>
    <w:rsid w:val="00B651B3"/>
    <w:rsid w:val="00B659BA"/>
    <w:rsid w:val="00B6709D"/>
    <w:rsid w:val="00B673A0"/>
    <w:rsid w:val="00B708CB"/>
    <w:rsid w:val="00B709EB"/>
    <w:rsid w:val="00B70A34"/>
    <w:rsid w:val="00B728F1"/>
    <w:rsid w:val="00B73F66"/>
    <w:rsid w:val="00B74882"/>
    <w:rsid w:val="00B751CB"/>
    <w:rsid w:val="00B774A8"/>
    <w:rsid w:val="00B77D68"/>
    <w:rsid w:val="00B81DE4"/>
    <w:rsid w:val="00B81EED"/>
    <w:rsid w:val="00B821E5"/>
    <w:rsid w:val="00B82556"/>
    <w:rsid w:val="00B82D5E"/>
    <w:rsid w:val="00B83412"/>
    <w:rsid w:val="00B840CF"/>
    <w:rsid w:val="00B84449"/>
    <w:rsid w:val="00B84D60"/>
    <w:rsid w:val="00B8505D"/>
    <w:rsid w:val="00B86994"/>
    <w:rsid w:val="00B86C5D"/>
    <w:rsid w:val="00B87381"/>
    <w:rsid w:val="00B90C58"/>
    <w:rsid w:val="00B91F5E"/>
    <w:rsid w:val="00B93A42"/>
    <w:rsid w:val="00B943BF"/>
    <w:rsid w:val="00B949D9"/>
    <w:rsid w:val="00B94BA6"/>
    <w:rsid w:val="00B958C5"/>
    <w:rsid w:val="00B95AAA"/>
    <w:rsid w:val="00B962F3"/>
    <w:rsid w:val="00B968F4"/>
    <w:rsid w:val="00B96997"/>
    <w:rsid w:val="00BA0F19"/>
    <w:rsid w:val="00BA16B5"/>
    <w:rsid w:val="00BA3293"/>
    <w:rsid w:val="00BA4270"/>
    <w:rsid w:val="00BA52F1"/>
    <w:rsid w:val="00BA545F"/>
    <w:rsid w:val="00BA61A4"/>
    <w:rsid w:val="00BA6C2F"/>
    <w:rsid w:val="00BB0C84"/>
    <w:rsid w:val="00BB147C"/>
    <w:rsid w:val="00BB1F73"/>
    <w:rsid w:val="00BB34F5"/>
    <w:rsid w:val="00BB3E67"/>
    <w:rsid w:val="00BB465B"/>
    <w:rsid w:val="00BB572C"/>
    <w:rsid w:val="00BB5F12"/>
    <w:rsid w:val="00BB6667"/>
    <w:rsid w:val="00BB66DD"/>
    <w:rsid w:val="00BB6F29"/>
    <w:rsid w:val="00BB7483"/>
    <w:rsid w:val="00BB7C00"/>
    <w:rsid w:val="00BC0A53"/>
    <w:rsid w:val="00BC145D"/>
    <w:rsid w:val="00BC1C29"/>
    <w:rsid w:val="00BC2A5A"/>
    <w:rsid w:val="00BC2ADA"/>
    <w:rsid w:val="00BC3487"/>
    <w:rsid w:val="00BC442D"/>
    <w:rsid w:val="00BC627F"/>
    <w:rsid w:val="00BC73B2"/>
    <w:rsid w:val="00BD0804"/>
    <w:rsid w:val="00BD2820"/>
    <w:rsid w:val="00BD2E7A"/>
    <w:rsid w:val="00BD36DC"/>
    <w:rsid w:val="00BD3B16"/>
    <w:rsid w:val="00BD3F21"/>
    <w:rsid w:val="00BD7BAE"/>
    <w:rsid w:val="00BE0DF4"/>
    <w:rsid w:val="00BE1872"/>
    <w:rsid w:val="00BE26A9"/>
    <w:rsid w:val="00BE2FE6"/>
    <w:rsid w:val="00BE3226"/>
    <w:rsid w:val="00BE33E6"/>
    <w:rsid w:val="00BE44DE"/>
    <w:rsid w:val="00BE47C2"/>
    <w:rsid w:val="00BE558E"/>
    <w:rsid w:val="00BE5DE3"/>
    <w:rsid w:val="00BE69E9"/>
    <w:rsid w:val="00BE6B05"/>
    <w:rsid w:val="00BE6CAA"/>
    <w:rsid w:val="00BE78BB"/>
    <w:rsid w:val="00BF088C"/>
    <w:rsid w:val="00BF1033"/>
    <w:rsid w:val="00BF2E59"/>
    <w:rsid w:val="00BF2F71"/>
    <w:rsid w:val="00BF32DE"/>
    <w:rsid w:val="00BF59CD"/>
    <w:rsid w:val="00C03A0A"/>
    <w:rsid w:val="00C03C74"/>
    <w:rsid w:val="00C03F33"/>
    <w:rsid w:val="00C0530C"/>
    <w:rsid w:val="00C07D52"/>
    <w:rsid w:val="00C10B2F"/>
    <w:rsid w:val="00C118E6"/>
    <w:rsid w:val="00C11AE7"/>
    <w:rsid w:val="00C13034"/>
    <w:rsid w:val="00C13542"/>
    <w:rsid w:val="00C14FEA"/>
    <w:rsid w:val="00C17A8A"/>
    <w:rsid w:val="00C20158"/>
    <w:rsid w:val="00C229EE"/>
    <w:rsid w:val="00C2335C"/>
    <w:rsid w:val="00C2392C"/>
    <w:rsid w:val="00C239E2"/>
    <w:rsid w:val="00C23E60"/>
    <w:rsid w:val="00C243ED"/>
    <w:rsid w:val="00C257B8"/>
    <w:rsid w:val="00C277A0"/>
    <w:rsid w:val="00C30B6A"/>
    <w:rsid w:val="00C31032"/>
    <w:rsid w:val="00C326BE"/>
    <w:rsid w:val="00C33D53"/>
    <w:rsid w:val="00C33D97"/>
    <w:rsid w:val="00C3451D"/>
    <w:rsid w:val="00C34FA1"/>
    <w:rsid w:val="00C35580"/>
    <w:rsid w:val="00C3792A"/>
    <w:rsid w:val="00C37BBE"/>
    <w:rsid w:val="00C4013C"/>
    <w:rsid w:val="00C40D72"/>
    <w:rsid w:val="00C422C0"/>
    <w:rsid w:val="00C431E1"/>
    <w:rsid w:val="00C431F5"/>
    <w:rsid w:val="00C4522F"/>
    <w:rsid w:val="00C5099B"/>
    <w:rsid w:val="00C52799"/>
    <w:rsid w:val="00C53869"/>
    <w:rsid w:val="00C60A9B"/>
    <w:rsid w:val="00C60B18"/>
    <w:rsid w:val="00C624FE"/>
    <w:rsid w:val="00C62713"/>
    <w:rsid w:val="00C63030"/>
    <w:rsid w:val="00C633DD"/>
    <w:rsid w:val="00C63460"/>
    <w:rsid w:val="00C6404F"/>
    <w:rsid w:val="00C65F8D"/>
    <w:rsid w:val="00C6786D"/>
    <w:rsid w:val="00C70117"/>
    <w:rsid w:val="00C70208"/>
    <w:rsid w:val="00C7784A"/>
    <w:rsid w:val="00C82FC2"/>
    <w:rsid w:val="00C84675"/>
    <w:rsid w:val="00C84D17"/>
    <w:rsid w:val="00C87290"/>
    <w:rsid w:val="00C87FBC"/>
    <w:rsid w:val="00C90B61"/>
    <w:rsid w:val="00C925C7"/>
    <w:rsid w:val="00C93154"/>
    <w:rsid w:val="00C936C0"/>
    <w:rsid w:val="00C9469D"/>
    <w:rsid w:val="00C95B97"/>
    <w:rsid w:val="00C9655F"/>
    <w:rsid w:val="00CA254B"/>
    <w:rsid w:val="00CA3894"/>
    <w:rsid w:val="00CA7E93"/>
    <w:rsid w:val="00CB1873"/>
    <w:rsid w:val="00CB2D49"/>
    <w:rsid w:val="00CB5B1A"/>
    <w:rsid w:val="00CB5DA8"/>
    <w:rsid w:val="00CB6D5C"/>
    <w:rsid w:val="00CB7619"/>
    <w:rsid w:val="00CC1EFA"/>
    <w:rsid w:val="00CC2637"/>
    <w:rsid w:val="00CC2652"/>
    <w:rsid w:val="00CC3862"/>
    <w:rsid w:val="00CC3C13"/>
    <w:rsid w:val="00CC3EDA"/>
    <w:rsid w:val="00CC48EE"/>
    <w:rsid w:val="00CC533C"/>
    <w:rsid w:val="00CD07F9"/>
    <w:rsid w:val="00CD0A52"/>
    <w:rsid w:val="00CD0F72"/>
    <w:rsid w:val="00CD1712"/>
    <w:rsid w:val="00CD3530"/>
    <w:rsid w:val="00CD385C"/>
    <w:rsid w:val="00CD58FB"/>
    <w:rsid w:val="00CD5BF0"/>
    <w:rsid w:val="00CD6052"/>
    <w:rsid w:val="00CD65BE"/>
    <w:rsid w:val="00CD67F5"/>
    <w:rsid w:val="00CD7F9F"/>
    <w:rsid w:val="00CE00BC"/>
    <w:rsid w:val="00CE127B"/>
    <w:rsid w:val="00CE2449"/>
    <w:rsid w:val="00CE3E9A"/>
    <w:rsid w:val="00CE4879"/>
    <w:rsid w:val="00CE52C6"/>
    <w:rsid w:val="00CF0B43"/>
    <w:rsid w:val="00CF18EC"/>
    <w:rsid w:val="00CF270D"/>
    <w:rsid w:val="00CF2B12"/>
    <w:rsid w:val="00CF3FFD"/>
    <w:rsid w:val="00CF7A91"/>
    <w:rsid w:val="00D04907"/>
    <w:rsid w:val="00D05E06"/>
    <w:rsid w:val="00D075DD"/>
    <w:rsid w:val="00D07BD1"/>
    <w:rsid w:val="00D1048A"/>
    <w:rsid w:val="00D12B13"/>
    <w:rsid w:val="00D1324F"/>
    <w:rsid w:val="00D13802"/>
    <w:rsid w:val="00D17B45"/>
    <w:rsid w:val="00D20CEA"/>
    <w:rsid w:val="00D22600"/>
    <w:rsid w:val="00D22E62"/>
    <w:rsid w:val="00D2611B"/>
    <w:rsid w:val="00D2684D"/>
    <w:rsid w:val="00D3006D"/>
    <w:rsid w:val="00D33941"/>
    <w:rsid w:val="00D33B47"/>
    <w:rsid w:val="00D3477B"/>
    <w:rsid w:val="00D34A0D"/>
    <w:rsid w:val="00D351B2"/>
    <w:rsid w:val="00D36F38"/>
    <w:rsid w:val="00D3731F"/>
    <w:rsid w:val="00D40C08"/>
    <w:rsid w:val="00D42BDB"/>
    <w:rsid w:val="00D430CD"/>
    <w:rsid w:val="00D442F5"/>
    <w:rsid w:val="00D475F7"/>
    <w:rsid w:val="00D47ED5"/>
    <w:rsid w:val="00D5039A"/>
    <w:rsid w:val="00D50A26"/>
    <w:rsid w:val="00D51903"/>
    <w:rsid w:val="00D51A90"/>
    <w:rsid w:val="00D5542E"/>
    <w:rsid w:val="00D56B59"/>
    <w:rsid w:val="00D57894"/>
    <w:rsid w:val="00D57B30"/>
    <w:rsid w:val="00D6077F"/>
    <w:rsid w:val="00D6090B"/>
    <w:rsid w:val="00D630DF"/>
    <w:rsid w:val="00D64DA6"/>
    <w:rsid w:val="00D65258"/>
    <w:rsid w:val="00D6528B"/>
    <w:rsid w:val="00D65659"/>
    <w:rsid w:val="00D66851"/>
    <w:rsid w:val="00D66A3A"/>
    <w:rsid w:val="00D6780D"/>
    <w:rsid w:val="00D700BA"/>
    <w:rsid w:val="00D7159E"/>
    <w:rsid w:val="00D72767"/>
    <w:rsid w:val="00D7295F"/>
    <w:rsid w:val="00D731CF"/>
    <w:rsid w:val="00D73832"/>
    <w:rsid w:val="00D73D36"/>
    <w:rsid w:val="00D74CF7"/>
    <w:rsid w:val="00D75591"/>
    <w:rsid w:val="00D75765"/>
    <w:rsid w:val="00D80F9B"/>
    <w:rsid w:val="00D82392"/>
    <w:rsid w:val="00D834FB"/>
    <w:rsid w:val="00D84C76"/>
    <w:rsid w:val="00D86988"/>
    <w:rsid w:val="00D877C1"/>
    <w:rsid w:val="00D923EF"/>
    <w:rsid w:val="00D92F99"/>
    <w:rsid w:val="00D94AD8"/>
    <w:rsid w:val="00D965E6"/>
    <w:rsid w:val="00D96D45"/>
    <w:rsid w:val="00D97634"/>
    <w:rsid w:val="00D976F1"/>
    <w:rsid w:val="00D97774"/>
    <w:rsid w:val="00D977C3"/>
    <w:rsid w:val="00DA52D8"/>
    <w:rsid w:val="00DA5C19"/>
    <w:rsid w:val="00DA6503"/>
    <w:rsid w:val="00DA700B"/>
    <w:rsid w:val="00DB04E6"/>
    <w:rsid w:val="00DB2EE6"/>
    <w:rsid w:val="00DB42BB"/>
    <w:rsid w:val="00DB6D57"/>
    <w:rsid w:val="00DB757A"/>
    <w:rsid w:val="00DC06BF"/>
    <w:rsid w:val="00DC22A1"/>
    <w:rsid w:val="00DC2F31"/>
    <w:rsid w:val="00DC3C27"/>
    <w:rsid w:val="00DC3C3E"/>
    <w:rsid w:val="00DC6C0A"/>
    <w:rsid w:val="00DC731E"/>
    <w:rsid w:val="00DC76FA"/>
    <w:rsid w:val="00DC7BDD"/>
    <w:rsid w:val="00DD050C"/>
    <w:rsid w:val="00DD0850"/>
    <w:rsid w:val="00DD0DE5"/>
    <w:rsid w:val="00DD3296"/>
    <w:rsid w:val="00DD4281"/>
    <w:rsid w:val="00DD5130"/>
    <w:rsid w:val="00DD5752"/>
    <w:rsid w:val="00DD6B4A"/>
    <w:rsid w:val="00DD7B46"/>
    <w:rsid w:val="00DE23B9"/>
    <w:rsid w:val="00DE2DF6"/>
    <w:rsid w:val="00DE2FA1"/>
    <w:rsid w:val="00DE3DA6"/>
    <w:rsid w:val="00DE63A4"/>
    <w:rsid w:val="00DE6CE5"/>
    <w:rsid w:val="00DF026A"/>
    <w:rsid w:val="00DF1A0D"/>
    <w:rsid w:val="00DF48B6"/>
    <w:rsid w:val="00DF4DB1"/>
    <w:rsid w:val="00DF66DB"/>
    <w:rsid w:val="00DF66FF"/>
    <w:rsid w:val="00E0335E"/>
    <w:rsid w:val="00E05509"/>
    <w:rsid w:val="00E0668C"/>
    <w:rsid w:val="00E0679F"/>
    <w:rsid w:val="00E0786E"/>
    <w:rsid w:val="00E108D8"/>
    <w:rsid w:val="00E10B7E"/>
    <w:rsid w:val="00E11562"/>
    <w:rsid w:val="00E11FF4"/>
    <w:rsid w:val="00E12B84"/>
    <w:rsid w:val="00E13A60"/>
    <w:rsid w:val="00E17FCA"/>
    <w:rsid w:val="00E20A92"/>
    <w:rsid w:val="00E20B90"/>
    <w:rsid w:val="00E23163"/>
    <w:rsid w:val="00E23B23"/>
    <w:rsid w:val="00E23E8F"/>
    <w:rsid w:val="00E24E0C"/>
    <w:rsid w:val="00E26D75"/>
    <w:rsid w:val="00E26FAA"/>
    <w:rsid w:val="00E278CB"/>
    <w:rsid w:val="00E323EC"/>
    <w:rsid w:val="00E3582C"/>
    <w:rsid w:val="00E37432"/>
    <w:rsid w:val="00E378B3"/>
    <w:rsid w:val="00E41748"/>
    <w:rsid w:val="00E43886"/>
    <w:rsid w:val="00E43D15"/>
    <w:rsid w:val="00E46843"/>
    <w:rsid w:val="00E5110F"/>
    <w:rsid w:val="00E51F2F"/>
    <w:rsid w:val="00E53215"/>
    <w:rsid w:val="00E532B8"/>
    <w:rsid w:val="00E5360B"/>
    <w:rsid w:val="00E5384E"/>
    <w:rsid w:val="00E540AE"/>
    <w:rsid w:val="00E548DA"/>
    <w:rsid w:val="00E64B37"/>
    <w:rsid w:val="00E67725"/>
    <w:rsid w:val="00E67B50"/>
    <w:rsid w:val="00E70A4A"/>
    <w:rsid w:val="00E7488D"/>
    <w:rsid w:val="00E76C24"/>
    <w:rsid w:val="00E77CBB"/>
    <w:rsid w:val="00E832FD"/>
    <w:rsid w:val="00E84AC3"/>
    <w:rsid w:val="00E85528"/>
    <w:rsid w:val="00E8620E"/>
    <w:rsid w:val="00E86286"/>
    <w:rsid w:val="00E87308"/>
    <w:rsid w:val="00E91091"/>
    <w:rsid w:val="00E91E61"/>
    <w:rsid w:val="00E91EEF"/>
    <w:rsid w:val="00E92144"/>
    <w:rsid w:val="00E922B9"/>
    <w:rsid w:val="00E93E94"/>
    <w:rsid w:val="00E972CF"/>
    <w:rsid w:val="00EA03CD"/>
    <w:rsid w:val="00EA0DA5"/>
    <w:rsid w:val="00EA0E4A"/>
    <w:rsid w:val="00EA1DAD"/>
    <w:rsid w:val="00EA3E22"/>
    <w:rsid w:val="00EA418D"/>
    <w:rsid w:val="00EA5543"/>
    <w:rsid w:val="00EA5C4E"/>
    <w:rsid w:val="00EA7E6F"/>
    <w:rsid w:val="00EB17F8"/>
    <w:rsid w:val="00EB1962"/>
    <w:rsid w:val="00EB2E96"/>
    <w:rsid w:val="00EB343A"/>
    <w:rsid w:val="00EB3BF7"/>
    <w:rsid w:val="00EB3E8D"/>
    <w:rsid w:val="00EB61F7"/>
    <w:rsid w:val="00EC0D46"/>
    <w:rsid w:val="00EC0FFF"/>
    <w:rsid w:val="00EC54C7"/>
    <w:rsid w:val="00EC5A4A"/>
    <w:rsid w:val="00EC641F"/>
    <w:rsid w:val="00EC6933"/>
    <w:rsid w:val="00EC6BDD"/>
    <w:rsid w:val="00EC71BA"/>
    <w:rsid w:val="00ED0732"/>
    <w:rsid w:val="00ED0E41"/>
    <w:rsid w:val="00ED18C2"/>
    <w:rsid w:val="00ED2069"/>
    <w:rsid w:val="00ED4441"/>
    <w:rsid w:val="00ED4A9F"/>
    <w:rsid w:val="00ED4DA1"/>
    <w:rsid w:val="00ED5954"/>
    <w:rsid w:val="00ED5D75"/>
    <w:rsid w:val="00ED779E"/>
    <w:rsid w:val="00EE01CC"/>
    <w:rsid w:val="00EE2CCA"/>
    <w:rsid w:val="00EE300B"/>
    <w:rsid w:val="00EE36A2"/>
    <w:rsid w:val="00EE4D32"/>
    <w:rsid w:val="00EE54B5"/>
    <w:rsid w:val="00EE55AF"/>
    <w:rsid w:val="00EE7767"/>
    <w:rsid w:val="00EE7D88"/>
    <w:rsid w:val="00EF059A"/>
    <w:rsid w:val="00EF13CE"/>
    <w:rsid w:val="00EF14C3"/>
    <w:rsid w:val="00EF27DF"/>
    <w:rsid w:val="00EF3679"/>
    <w:rsid w:val="00EF3ECB"/>
    <w:rsid w:val="00EF4404"/>
    <w:rsid w:val="00EF62BB"/>
    <w:rsid w:val="00EF6E9C"/>
    <w:rsid w:val="00EF744D"/>
    <w:rsid w:val="00EF74C3"/>
    <w:rsid w:val="00F00B2C"/>
    <w:rsid w:val="00F00C13"/>
    <w:rsid w:val="00F00CCE"/>
    <w:rsid w:val="00F010FA"/>
    <w:rsid w:val="00F01F35"/>
    <w:rsid w:val="00F02FF1"/>
    <w:rsid w:val="00F03814"/>
    <w:rsid w:val="00F03DB4"/>
    <w:rsid w:val="00F04F11"/>
    <w:rsid w:val="00F06E1A"/>
    <w:rsid w:val="00F13E1B"/>
    <w:rsid w:val="00F1501C"/>
    <w:rsid w:val="00F15556"/>
    <w:rsid w:val="00F15E63"/>
    <w:rsid w:val="00F17164"/>
    <w:rsid w:val="00F21139"/>
    <w:rsid w:val="00F21EE1"/>
    <w:rsid w:val="00F227B1"/>
    <w:rsid w:val="00F22A0E"/>
    <w:rsid w:val="00F22A7D"/>
    <w:rsid w:val="00F22D5F"/>
    <w:rsid w:val="00F2373D"/>
    <w:rsid w:val="00F23E63"/>
    <w:rsid w:val="00F24DBF"/>
    <w:rsid w:val="00F27DD8"/>
    <w:rsid w:val="00F27E0D"/>
    <w:rsid w:val="00F3106D"/>
    <w:rsid w:val="00F31684"/>
    <w:rsid w:val="00F31939"/>
    <w:rsid w:val="00F322BE"/>
    <w:rsid w:val="00F33FD6"/>
    <w:rsid w:val="00F342B2"/>
    <w:rsid w:val="00F344AE"/>
    <w:rsid w:val="00F356B2"/>
    <w:rsid w:val="00F40664"/>
    <w:rsid w:val="00F40DDB"/>
    <w:rsid w:val="00F41436"/>
    <w:rsid w:val="00F42590"/>
    <w:rsid w:val="00F4635B"/>
    <w:rsid w:val="00F4705D"/>
    <w:rsid w:val="00F479FC"/>
    <w:rsid w:val="00F52A0A"/>
    <w:rsid w:val="00F53A5A"/>
    <w:rsid w:val="00F53B7E"/>
    <w:rsid w:val="00F556AE"/>
    <w:rsid w:val="00F56702"/>
    <w:rsid w:val="00F56DD2"/>
    <w:rsid w:val="00F57293"/>
    <w:rsid w:val="00F6027C"/>
    <w:rsid w:val="00F61E8F"/>
    <w:rsid w:val="00F6247F"/>
    <w:rsid w:val="00F62856"/>
    <w:rsid w:val="00F6455C"/>
    <w:rsid w:val="00F72460"/>
    <w:rsid w:val="00F7288E"/>
    <w:rsid w:val="00F7385E"/>
    <w:rsid w:val="00F74C90"/>
    <w:rsid w:val="00F75253"/>
    <w:rsid w:val="00F75493"/>
    <w:rsid w:val="00F762CE"/>
    <w:rsid w:val="00F77515"/>
    <w:rsid w:val="00F776FA"/>
    <w:rsid w:val="00F81C54"/>
    <w:rsid w:val="00F82CE0"/>
    <w:rsid w:val="00F83DAC"/>
    <w:rsid w:val="00F84271"/>
    <w:rsid w:val="00F85FB1"/>
    <w:rsid w:val="00F8663C"/>
    <w:rsid w:val="00F87468"/>
    <w:rsid w:val="00F875F3"/>
    <w:rsid w:val="00F87904"/>
    <w:rsid w:val="00F91540"/>
    <w:rsid w:val="00F91DA8"/>
    <w:rsid w:val="00F922F1"/>
    <w:rsid w:val="00F92CFC"/>
    <w:rsid w:val="00F92F5F"/>
    <w:rsid w:val="00F93BB9"/>
    <w:rsid w:val="00F94AD5"/>
    <w:rsid w:val="00F96DC1"/>
    <w:rsid w:val="00F97842"/>
    <w:rsid w:val="00FA1DAA"/>
    <w:rsid w:val="00FA1FA7"/>
    <w:rsid w:val="00FA2BD3"/>
    <w:rsid w:val="00FA707F"/>
    <w:rsid w:val="00FA7766"/>
    <w:rsid w:val="00FA7BD3"/>
    <w:rsid w:val="00FA7CD9"/>
    <w:rsid w:val="00FB182C"/>
    <w:rsid w:val="00FB1A20"/>
    <w:rsid w:val="00FB4EEB"/>
    <w:rsid w:val="00FB5DE9"/>
    <w:rsid w:val="00FB69BB"/>
    <w:rsid w:val="00FB6DF8"/>
    <w:rsid w:val="00FC0852"/>
    <w:rsid w:val="00FC1E67"/>
    <w:rsid w:val="00FC5223"/>
    <w:rsid w:val="00FC79E2"/>
    <w:rsid w:val="00FD370D"/>
    <w:rsid w:val="00FD5FE2"/>
    <w:rsid w:val="00FD61BF"/>
    <w:rsid w:val="00FD64EE"/>
    <w:rsid w:val="00FE0BE4"/>
    <w:rsid w:val="00FE1A72"/>
    <w:rsid w:val="00FE23A7"/>
    <w:rsid w:val="00FE4225"/>
    <w:rsid w:val="00FE5414"/>
    <w:rsid w:val="00FE6BFA"/>
    <w:rsid w:val="00FF0A7E"/>
    <w:rsid w:val="00FF2B41"/>
    <w:rsid w:val="00FF3092"/>
    <w:rsid w:val="00FF3703"/>
    <w:rsid w:val="00FF4820"/>
    <w:rsid w:val="00FF597D"/>
    <w:rsid w:val="00FF6566"/>
    <w:rsid w:val="00FF773B"/>
    <w:rsid w:val="00FF7C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67CB5"/>
  <w15:docId w15:val="{C44645E2-822D-49B8-A554-998A514B9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4">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C60A9B"/>
    <w:pPr>
      <w:spacing w:before="120" w:after="120" w:line="360" w:lineRule="auto"/>
      <w:jc w:val="both"/>
    </w:pPr>
    <w:rPr>
      <w:rFonts w:ascii="Calibri" w:hAnsi="Calibri"/>
    </w:rPr>
  </w:style>
  <w:style w:type="paragraph" w:styleId="Heading1">
    <w:name w:val="heading 1"/>
    <w:basedOn w:val="Normal"/>
    <w:next w:val="Normal"/>
    <w:link w:val="Heading1Char"/>
    <w:uiPriority w:val="9"/>
    <w:qFormat/>
    <w:rsid w:val="002967C5"/>
    <w:pPr>
      <w:keepNext/>
      <w:keepLines/>
      <w:numPr>
        <w:numId w:val="27"/>
      </w:numPr>
      <w:jc w:val="left"/>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D877C1"/>
    <w:pPr>
      <w:keepNext/>
      <w:keepLines/>
      <w:numPr>
        <w:numId w:val="21"/>
      </w:numPr>
      <w:jc w:val="left"/>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BE3226"/>
    <w:pPr>
      <w:keepNext/>
      <w:keepLines/>
      <w:numPr>
        <w:numId w:val="23"/>
      </w:numPr>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unhideWhenUsed/>
    <w:qFormat/>
    <w:rsid w:val="007409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7B69E8"/>
    <w:pPr>
      <w:spacing w:before="0" w:after="0" w:line="240" w:lineRule="auto"/>
    </w:pPr>
    <w:rPr>
      <w:rFonts w:ascii="Arial" w:eastAsia="Cambria" w:hAnsi="Arial" w:cs="Arial"/>
      <w:sz w:val="16"/>
      <w:szCs w:val="20"/>
    </w:rPr>
  </w:style>
  <w:style w:type="character" w:customStyle="1" w:styleId="FootnoteTextChar">
    <w:name w:val="Footnote Text Char"/>
    <w:basedOn w:val="DefaultParagraphFont"/>
    <w:link w:val="FootnoteText"/>
    <w:uiPriority w:val="99"/>
    <w:rsid w:val="007B69E8"/>
    <w:rPr>
      <w:rFonts w:ascii="Arial" w:eastAsia="Cambria" w:hAnsi="Arial" w:cs="Arial"/>
      <w:sz w:val="16"/>
      <w:szCs w:val="20"/>
    </w:rPr>
  </w:style>
  <w:style w:type="character" w:styleId="FootnoteReference">
    <w:name w:val="footnote reference"/>
    <w:basedOn w:val="DefaultParagraphFont"/>
    <w:uiPriority w:val="99"/>
    <w:unhideWhenUsed/>
    <w:rsid w:val="00F7385E"/>
    <w:rPr>
      <w:vertAlign w:val="superscript"/>
    </w:rPr>
  </w:style>
  <w:style w:type="paragraph" w:styleId="ListParagraph">
    <w:name w:val="List Paragraph"/>
    <w:aliases w:val="CorpoTexto"/>
    <w:basedOn w:val="Normal"/>
    <w:uiPriority w:val="34"/>
    <w:qFormat/>
    <w:rsid w:val="00F7385E"/>
    <w:pPr>
      <w:spacing w:after="200" w:line="276" w:lineRule="auto"/>
      <w:ind w:left="720"/>
      <w:contextualSpacing/>
    </w:pPr>
  </w:style>
  <w:style w:type="character" w:styleId="CommentReference">
    <w:name w:val="annotation reference"/>
    <w:uiPriority w:val="99"/>
    <w:semiHidden/>
    <w:unhideWhenUsed/>
    <w:rsid w:val="00A538D1"/>
    <w:rPr>
      <w:sz w:val="18"/>
      <w:szCs w:val="18"/>
    </w:rPr>
  </w:style>
  <w:style w:type="paragraph" w:styleId="CommentText">
    <w:name w:val="annotation text"/>
    <w:basedOn w:val="Normal"/>
    <w:link w:val="CommentTextChar"/>
    <w:uiPriority w:val="99"/>
    <w:semiHidden/>
    <w:unhideWhenUsed/>
    <w:rsid w:val="00A538D1"/>
    <w:pPr>
      <w:spacing w:line="240" w:lineRule="auto"/>
      <w:ind w:firstLine="709"/>
    </w:pPr>
    <w:rPr>
      <w:rFonts w:ascii="Cambria" w:eastAsia="MS Gothic" w:hAnsi="Cambria" w:cs="Times New Roman"/>
      <w:szCs w:val="24"/>
    </w:rPr>
  </w:style>
  <w:style w:type="character" w:customStyle="1" w:styleId="CommentTextChar">
    <w:name w:val="Comment Text Char"/>
    <w:basedOn w:val="DefaultParagraphFont"/>
    <w:link w:val="CommentText"/>
    <w:uiPriority w:val="99"/>
    <w:semiHidden/>
    <w:rsid w:val="00A538D1"/>
    <w:rPr>
      <w:rFonts w:ascii="Cambria" w:eastAsia="MS Gothic" w:hAnsi="Cambria" w:cs="Times New Roman"/>
      <w:sz w:val="24"/>
      <w:szCs w:val="24"/>
    </w:rPr>
  </w:style>
  <w:style w:type="character" w:customStyle="1" w:styleId="Heading1Char">
    <w:name w:val="Heading 1 Char"/>
    <w:basedOn w:val="DefaultParagraphFont"/>
    <w:link w:val="Heading1"/>
    <w:uiPriority w:val="9"/>
    <w:rsid w:val="002967C5"/>
    <w:rPr>
      <w:rFonts w:ascii="Calibri" w:eastAsiaTheme="majorEastAsia" w:hAnsi="Calibri" w:cstheme="majorBidi"/>
      <w:b/>
      <w:sz w:val="24"/>
      <w:szCs w:val="32"/>
    </w:rPr>
  </w:style>
  <w:style w:type="character" w:customStyle="1" w:styleId="Heading2Char">
    <w:name w:val="Heading 2 Char"/>
    <w:basedOn w:val="DefaultParagraphFont"/>
    <w:link w:val="Heading2"/>
    <w:uiPriority w:val="9"/>
    <w:rsid w:val="003B6205"/>
    <w:rPr>
      <w:rFonts w:ascii="Calibri" w:eastAsiaTheme="majorEastAsia" w:hAnsi="Calibri" w:cstheme="majorBidi"/>
      <w:b/>
      <w:sz w:val="24"/>
      <w:szCs w:val="26"/>
    </w:rPr>
  </w:style>
  <w:style w:type="character" w:customStyle="1" w:styleId="Heading3Char">
    <w:name w:val="Heading 3 Char"/>
    <w:basedOn w:val="DefaultParagraphFont"/>
    <w:link w:val="Heading3"/>
    <w:uiPriority w:val="9"/>
    <w:rsid w:val="000605AF"/>
    <w:rPr>
      <w:rFonts w:asciiTheme="majorHAnsi" w:eastAsiaTheme="majorEastAsia" w:hAnsiTheme="majorHAnsi" w:cstheme="majorBidi"/>
      <w:b/>
      <w:i/>
      <w:sz w:val="24"/>
      <w:szCs w:val="24"/>
    </w:rPr>
  </w:style>
  <w:style w:type="paragraph" w:customStyle="1" w:styleId="BIBLIOGRAFIA">
    <w:name w:val="BIBLIOGRAFIA"/>
    <w:basedOn w:val="Normal"/>
    <w:rsid w:val="00C9469D"/>
    <w:pPr>
      <w:spacing w:after="0"/>
    </w:pPr>
    <w:rPr>
      <w:rFonts w:eastAsia="Times New Roman" w:cs="Times New Roman"/>
      <w:szCs w:val="20"/>
      <w:lang w:eastAsia="pt-BR"/>
    </w:rPr>
  </w:style>
  <w:style w:type="character" w:styleId="Hyperlink">
    <w:name w:val="Hyperlink"/>
    <w:basedOn w:val="DefaultParagraphFont"/>
    <w:uiPriority w:val="99"/>
    <w:unhideWhenUsed/>
    <w:rsid w:val="00D36F38"/>
    <w:rPr>
      <w:color w:val="0563C1" w:themeColor="hyperlink"/>
      <w:u w:val="single"/>
    </w:rPr>
  </w:style>
  <w:style w:type="paragraph" w:styleId="Caption">
    <w:name w:val="caption"/>
    <w:basedOn w:val="Normal"/>
    <w:next w:val="Normal"/>
    <w:link w:val="CaptionChar"/>
    <w:uiPriority w:val="99"/>
    <w:unhideWhenUsed/>
    <w:qFormat/>
    <w:rsid w:val="00D630DF"/>
    <w:pPr>
      <w:spacing w:before="0" w:after="200" w:line="240" w:lineRule="auto"/>
    </w:pPr>
    <w:rPr>
      <w:b/>
      <w:iCs/>
      <w:szCs w:val="18"/>
    </w:rPr>
  </w:style>
  <w:style w:type="paragraph" w:styleId="Subtitle">
    <w:name w:val="Subtitle"/>
    <w:basedOn w:val="Normal"/>
    <w:next w:val="Normal"/>
    <w:link w:val="SubtitleChar"/>
    <w:uiPriority w:val="11"/>
    <w:qFormat/>
    <w:rsid w:val="00B5758C"/>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B5758C"/>
    <w:rPr>
      <w:rFonts w:eastAsiaTheme="minorEastAsia"/>
      <w:color w:val="5A5A5A" w:themeColor="text1" w:themeTint="A5"/>
      <w:spacing w:val="15"/>
    </w:rPr>
  </w:style>
  <w:style w:type="paragraph" w:styleId="NormalWeb">
    <w:name w:val="Normal (Web)"/>
    <w:basedOn w:val="Normal"/>
    <w:uiPriority w:val="99"/>
    <w:unhideWhenUsed/>
    <w:rsid w:val="004E3AB5"/>
    <w:pPr>
      <w:spacing w:before="100" w:beforeAutospacing="1" w:after="100" w:afterAutospacing="1" w:line="240" w:lineRule="auto"/>
      <w:jc w:val="left"/>
    </w:pPr>
    <w:rPr>
      <w:rFonts w:eastAsia="Times New Roman" w:cs="Times New Roman"/>
      <w:szCs w:val="24"/>
      <w:lang w:eastAsia="pt-BR"/>
    </w:rPr>
  </w:style>
  <w:style w:type="table" w:customStyle="1" w:styleId="TabeladeLista3-nfase21">
    <w:name w:val="Tabela de Lista 3 - Ênfase 21"/>
    <w:basedOn w:val="TableNormal"/>
    <w:uiPriority w:val="48"/>
    <w:rsid w:val="00F15556"/>
    <w:pPr>
      <w:spacing w:after="0" w:line="240" w:lineRule="auto"/>
    </w:pPr>
    <w:rPr>
      <w:rFonts w:ascii="Cambria" w:eastAsia="Cambria" w:hAnsi="Cambria" w:cs="Times New Roman"/>
      <w:sz w:val="20"/>
      <w:szCs w:val="20"/>
      <w:lang w:eastAsia="pt-BR"/>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customStyle="1" w:styleId="CaptionChar">
    <w:name w:val="Caption Char"/>
    <w:link w:val="Caption"/>
    <w:uiPriority w:val="35"/>
    <w:rsid w:val="00D630DF"/>
    <w:rPr>
      <w:rFonts w:ascii="Calibri" w:hAnsi="Calibri"/>
      <w:b/>
      <w:iCs/>
      <w:szCs w:val="18"/>
    </w:rPr>
  </w:style>
  <w:style w:type="paragraph" w:styleId="BalloonText">
    <w:name w:val="Balloon Text"/>
    <w:basedOn w:val="Normal"/>
    <w:link w:val="BalloonTextChar"/>
    <w:uiPriority w:val="99"/>
    <w:semiHidden/>
    <w:unhideWhenUsed/>
    <w:rsid w:val="00C90B6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B61"/>
    <w:rPr>
      <w:rFonts w:ascii="Segoe UI" w:hAnsi="Segoe UI" w:cs="Segoe UI"/>
      <w:sz w:val="18"/>
      <w:szCs w:val="18"/>
    </w:rPr>
  </w:style>
  <w:style w:type="character" w:customStyle="1" w:styleId="apple-converted-space">
    <w:name w:val="apple-converted-space"/>
    <w:basedOn w:val="DefaultParagraphFont"/>
    <w:rsid w:val="001D650D"/>
  </w:style>
  <w:style w:type="paragraph" w:customStyle="1" w:styleId="Tabela">
    <w:name w:val="Tabela"/>
    <w:basedOn w:val="Normal"/>
    <w:qFormat/>
    <w:rsid w:val="001D650D"/>
    <w:pPr>
      <w:keepNext/>
      <w:spacing w:before="0" w:after="0" w:line="240" w:lineRule="auto"/>
    </w:pPr>
    <w:rPr>
      <w:rFonts w:ascii="Cambria" w:eastAsia="MS Gothic" w:hAnsi="Cambria" w:cs="Times New Roman"/>
      <w:szCs w:val="24"/>
    </w:rPr>
  </w:style>
  <w:style w:type="paragraph" w:customStyle="1" w:styleId="Fonte">
    <w:name w:val="Fonte"/>
    <w:basedOn w:val="Normal"/>
    <w:link w:val="FonteChar"/>
    <w:qFormat/>
    <w:rsid w:val="001D650D"/>
    <w:pPr>
      <w:spacing w:before="0" w:after="200" w:line="240" w:lineRule="auto"/>
    </w:pPr>
    <w:rPr>
      <w:rFonts w:ascii="Cambria" w:eastAsia="MS Gothic" w:hAnsi="Cambria" w:cs="Times New Roman"/>
      <w:sz w:val="20"/>
      <w:szCs w:val="20"/>
      <w:lang w:eastAsia="es-ES"/>
    </w:rPr>
  </w:style>
  <w:style w:type="character" w:customStyle="1" w:styleId="FonteChar">
    <w:name w:val="Fonte Char"/>
    <w:link w:val="Fonte"/>
    <w:rsid w:val="001D650D"/>
    <w:rPr>
      <w:rFonts w:ascii="Cambria" w:eastAsia="MS Gothic" w:hAnsi="Cambria" w:cs="Times New Roman"/>
      <w:sz w:val="20"/>
      <w:szCs w:val="20"/>
      <w:lang w:eastAsia="es-ES"/>
    </w:rPr>
  </w:style>
  <w:style w:type="paragraph" w:styleId="Title">
    <w:name w:val="Title"/>
    <w:basedOn w:val="Normal"/>
    <w:next w:val="Normal"/>
    <w:link w:val="TitleChar"/>
    <w:uiPriority w:val="10"/>
    <w:qFormat/>
    <w:rsid w:val="00B5653E"/>
    <w:pPr>
      <w:spacing w:line="240" w:lineRule="auto"/>
      <w:jc w:val="left"/>
    </w:pPr>
    <w:rPr>
      <w:rFonts w:eastAsiaTheme="majorEastAsia" w:cstheme="majorBidi"/>
      <w:b/>
      <w:spacing w:val="-10"/>
      <w:kern w:val="28"/>
      <w:szCs w:val="56"/>
    </w:rPr>
  </w:style>
  <w:style w:type="character" w:customStyle="1" w:styleId="TitleChar">
    <w:name w:val="Title Char"/>
    <w:basedOn w:val="DefaultParagraphFont"/>
    <w:link w:val="Title"/>
    <w:uiPriority w:val="10"/>
    <w:rsid w:val="00B5653E"/>
    <w:rPr>
      <w:rFonts w:ascii="Calibri" w:eastAsiaTheme="majorEastAsia" w:hAnsi="Calibri" w:cstheme="majorBidi"/>
      <w:b/>
      <w:spacing w:val="-10"/>
      <w:kern w:val="28"/>
      <w:sz w:val="24"/>
      <w:szCs w:val="56"/>
    </w:rPr>
  </w:style>
  <w:style w:type="paragraph" w:styleId="Header">
    <w:name w:val="header"/>
    <w:basedOn w:val="Normal"/>
    <w:link w:val="HeaderChar"/>
    <w:uiPriority w:val="99"/>
    <w:unhideWhenUsed/>
    <w:rsid w:val="00BD0804"/>
    <w:pPr>
      <w:tabs>
        <w:tab w:val="center" w:pos="4252"/>
        <w:tab w:val="right" w:pos="8504"/>
      </w:tabs>
      <w:spacing w:before="0" w:after="0" w:line="240" w:lineRule="auto"/>
    </w:pPr>
  </w:style>
  <w:style w:type="character" w:customStyle="1" w:styleId="HeaderChar">
    <w:name w:val="Header Char"/>
    <w:basedOn w:val="DefaultParagraphFont"/>
    <w:link w:val="Header"/>
    <w:uiPriority w:val="99"/>
    <w:rsid w:val="00BD0804"/>
    <w:rPr>
      <w:rFonts w:ascii="Calibri" w:hAnsi="Calibri"/>
      <w:sz w:val="24"/>
    </w:rPr>
  </w:style>
  <w:style w:type="paragraph" w:styleId="Footer">
    <w:name w:val="footer"/>
    <w:basedOn w:val="Normal"/>
    <w:link w:val="FooterChar"/>
    <w:uiPriority w:val="99"/>
    <w:unhideWhenUsed/>
    <w:rsid w:val="00BD0804"/>
    <w:pPr>
      <w:tabs>
        <w:tab w:val="center" w:pos="4252"/>
        <w:tab w:val="right" w:pos="8504"/>
      </w:tabs>
      <w:spacing w:before="0" w:after="0" w:line="240" w:lineRule="auto"/>
    </w:pPr>
  </w:style>
  <w:style w:type="character" w:customStyle="1" w:styleId="FooterChar">
    <w:name w:val="Footer Char"/>
    <w:basedOn w:val="DefaultParagraphFont"/>
    <w:link w:val="Footer"/>
    <w:uiPriority w:val="99"/>
    <w:rsid w:val="00BD0804"/>
    <w:rPr>
      <w:rFonts w:ascii="Calibri" w:hAnsi="Calibri"/>
      <w:sz w:val="24"/>
    </w:rPr>
  </w:style>
  <w:style w:type="paragraph" w:styleId="TOCHeading">
    <w:name w:val="TOC Heading"/>
    <w:basedOn w:val="Heading1"/>
    <w:next w:val="Normal"/>
    <w:autoRedefine/>
    <w:uiPriority w:val="39"/>
    <w:unhideWhenUsed/>
    <w:qFormat/>
    <w:rsid w:val="00F21139"/>
    <w:pPr>
      <w:numPr>
        <w:numId w:val="0"/>
      </w:numPr>
      <w:spacing w:line="259" w:lineRule="auto"/>
      <w:jc w:val="center"/>
      <w:outlineLvl w:val="9"/>
    </w:pPr>
    <w:rPr>
      <w:sz w:val="32"/>
      <w:lang w:eastAsia="pt-BR"/>
    </w:rPr>
  </w:style>
  <w:style w:type="paragraph" w:styleId="TOC1">
    <w:name w:val="toc 1"/>
    <w:basedOn w:val="Normal"/>
    <w:next w:val="Normal"/>
    <w:autoRedefine/>
    <w:uiPriority w:val="39"/>
    <w:unhideWhenUsed/>
    <w:rsid w:val="005F2361"/>
    <w:pPr>
      <w:spacing w:after="100"/>
    </w:pPr>
  </w:style>
  <w:style w:type="paragraph" w:styleId="TOC2">
    <w:name w:val="toc 2"/>
    <w:basedOn w:val="Normal"/>
    <w:next w:val="Normal"/>
    <w:autoRedefine/>
    <w:uiPriority w:val="39"/>
    <w:unhideWhenUsed/>
    <w:rsid w:val="005F2361"/>
    <w:pPr>
      <w:spacing w:after="100"/>
      <w:ind w:left="240"/>
    </w:pPr>
  </w:style>
  <w:style w:type="paragraph" w:styleId="TOC3">
    <w:name w:val="toc 3"/>
    <w:basedOn w:val="Normal"/>
    <w:next w:val="Normal"/>
    <w:autoRedefine/>
    <w:uiPriority w:val="39"/>
    <w:unhideWhenUsed/>
    <w:rsid w:val="005F2361"/>
    <w:pPr>
      <w:spacing w:after="100"/>
      <w:ind w:left="480"/>
    </w:pPr>
  </w:style>
  <w:style w:type="character" w:customStyle="1" w:styleId="Heading4Char">
    <w:name w:val="Heading 4 Char"/>
    <w:basedOn w:val="DefaultParagraphFont"/>
    <w:link w:val="Heading4"/>
    <w:uiPriority w:val="9"/>
    <w:rsid w:val="00740973"/>
    <w:rPr>
      <w:rFonts w:asciiTheme="majorHAnsi" w:eastAsiaTheme="majorEastAsia" w:hAnsiTheme="majorHAnsi" w:cstheme="majorBidi"/>
      <w:i/>
      <w:iCs/>
      <w:color w:val="2E74B5" w:themeColor="accent1" w:themeShade="BF"/>
      <w:sz w:val="24"/>
    </w:rPr>
  </w:style>
  <w:style w:type="paragraph" w:styleId="Revision">
    <w:name w:val="Revision"/>
    <w:hidden/>
    <w:uiPriority w:val="99"/>
    <w:semiHidden/>
    <w:rsid w:val="00640E65"/>
    <w:pPr>
      <w:spacing w:after="0" w:line="240" w:lineRule="auto"/>
    </w:pPr>
    <w:rPr>
      <w:rFonts w:ascii="Calibri" w:hAnsi="Calibri"/>
      <w:sz w:val="24"/>
    </w:rPr>
  </w:style>
  <w:style w:type="paragraph" w:styleId="CommentSubject">
    <w:name w:val="annotation subject"/>
    <w:basedOn w:val="CommentText"/>
    <w:next w:val="CommentText"/>
    <w:link w:val="CommentSubjectChar"/>
    <w:uiPriority w:val="99"/>
    <w:semiHidden/>
    <w:unhideWhenUsed/>
    <w:rsid w:val="005939C5"/>
    <w:pPr>
      <w:ind w:firstLine="0"/>
    </w:pPr>
    <w:rPr>
      <w:rFonts w:ascii="Calibri" w:eastAsiaTheme="minorHAnsi" w:hAnsi="Calibri" w:cstheme="minorBidi"/>
      <w:b/>
      <w:bCs/>
      <w:sz w:val="20"/>
      <w:szCs w:val="20"/>
    </w:rPr>
  </w:style>
  <w:style w:type="character" w:customStyle="1" w:styleId="CommentSubjectChar">
    <w:name w:val="Comment Subject Char"/>
    <w:basedOn w:val="CommentTextChar"/>
    <w:link w:val="CommentSubject"/>
    <w:uiPriority w:val="99"/>
    <w:semiHidden/>
    <w:rsid w:val="005939C5"/>
    <w:rPr>
      <w:rFonts w:ascii="Calibri" w:eastAsia="MS Gothic" w:hAnsi="Calibri" w:cs="Times New Roman"/>
      <w:b/>
      <w:bCs/>
      <w:sz w:val="20"/>
      <w:szCs w:val="20"/>
    </w:rPr>
  </w:style>
  <w:style w:type="character" w:styleId="Emphasis">
    <w:name w:val="Emphasis"/>
    <w:basedOn w:val="DefaultParagraphFont"/>
    <w:uiPriority w:val="20"/>
    <w:qFormat/>
    <w:rsid w:val="00502F08"/>
    <w:rPr>
      <w:i/>
      <w:iCs/>
    </w:rPr>
  </w:style>
  <w:style w:type="paragraph" w:customStyle="1" w:styleId="bodytextcenter">
    <w:name w:val="bodytextcenter"/>
    <w:basedOn w:val="Normal"/>
    <w:rsid w:val="006E0434"/>
    <w:pPr>
      <w:spacing w:before="100" w:beforeAutospacing="1" w:after="100" w:afterAutospacing="1" w:line="240" w:lineRule="auto"/>
      <w:jc w:val="left"/>
    </w:pPr>
    <w:rPr>
      <w:rFonts w:ascii="Times New Roman" w:eastAsia="Times New Roman" w:hAnsi="Times New Roman" w:cs="Times New Roman"/>
      <w:szCs w:val="24"/>
      <w:lang w:eastAsia="pt-BR"/>
    </w:rPr>
  </w:style>
  <w:style w:type="paragraph" w:customStyle="1" w:styleId="Default">
    <w:name w:val="Default"/>
    <w:rsid w:val="006E043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stilo1">
    <w:name w:val="Estilo1"/>
    <w:basedOn w:val="Normal"/>
    <w:next w:val="Normal"/>
    <w:link w:val="Estilo1Char"/>
    <w:qFormat/>
    <w:rsid w:val="00CF270D"/>
    <w:pPr>
      <w:spacing w:before="0"/>
    </w:pPr>
    <w:rPr>
      <w:rFonts w:asciiTheme="minorHAnsi" w:hAnsiTheme="minorHAnsi"/>
    </w:rPr>
  </w:style>
  <w:style w:type="character" w:customStyle="1" w:styleId="Estilo1Char">
    <w:name w:val="Estilo1 Char"/>
    <w:basedOn w:val="DefaultParagraphFont"/>
    <w:link w:val="Estilo1"/>
    <w:rsid w:val="00CF270D"/>
    <w:rPr>
      <w:sz w:val="24"/>
    </w:rPr>
  </w:style>
  <w:style w:type="table" w:styleId="ListTable3">
    <w:name w:val="List Table 3"/>
    <w:basedOn w:val="TableNormal"/>
    <w:uiPriority w:val="48"/>
    <w:rsid w:val="005A10A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FollowedHyperlink">
    <w:name w:val="FollowedHyperlink"/>
    <w:basedOn w:val="DefaultParagraphFont"/>
    <w:uiPriority w:val="99"/>
    <w:semiHidden/>
    <w:unhideWhenUsed/>
    <w:rsid w:val="002E6B5E"/>
    <w:rPr>
      <w:color w:val="954F72" w:themeColor="followedHyperlink"/>
      <w:u w:val="single"/>
    </w:rPr>
  </w:style>
  <w:style w:type="table" w:styleId="TableGrid">
    <w:name w:val="Table Grid"/>
    <w:basedOn w:val="TableNormal"/>
    <w:uiPriority w:val="39"/>
    <w:rsid w:val="00B31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nda">
    <w:name w:val="Leganda"/>
    <w:basedOn w:val="Caption"/>
    <w:link w:val="LegandaChar"/>
    <w:qFormat/>
    <w:rsid w:val="00B04D52"/>
    <w:pPr>
      <w:keepNext/>
      <w:spacing w:before="240" w:after="120"/>
    </w:pPr>
    <w:rPr>
      <w:rFonts w:ascii="Cambria" w:eastAsiaTheme="majorEastAsia" w:hAnsi="Cambria" w:cs="Arial"/>
      <w:iCs w:val="0"/>
      <w:spacing w:val="10"/>
    </w:rPr>
  </w:style>
  <w:style w:type="character" w:customStyle="1" w:styleId="LegandaChar">
    <w:name w:val="Leganda Char"/>
    <w:basedOn w:val="CaptionChar"/>
    <w:link w:val="Leganda"/>
    <w:rsid w:val="00B04D52"/>
    <w:rPr>
      <w:rFonts w:ascii="Cambria" w:eastAsiaTheme="majorEastAsia" w:hAnsi="Cambria" w:cs="Arial"/>
      <w:b/>
      <w:iCs w:val="0"/>
      <w:spacing w:val="10"/>
      <w:sz w:val="24"/>
      <w:szCs w:val="18"/>
    </w:rPr>
  </w:style>
  <w:style w:type="paragraph" w:styleId="TOC4">
    <w:name w:val="toc 4"/>
    <w:basedOn w:val="Normal"/>
    <w:next w:val="Normal"/>
    <w:autoRedefine/>
    <w:uiPriority w:val="39"/>
    <w:unhideWhenUsed/>
    <w:rsid w:val="00B441D5"/>
    <w:pPr>
      <w:spacing w:after="100"/>
      <w:ind w:left="720"/>
    </w:pPr>
  </w:style>
  <w:style w:type="paragraph" w:styleId="TableofFigures">
    <w:name w:val="table of figures"/>
    <w:basedOn w:val="Normal"/>
    <w:next w:val="Normal"/>
    <w:uiPriority w:val="99"/>
    <w:unhideWhenUsed/>
    <w:rsid w:val="00E26FAA"/>
    <w:pPr>
      <w:spacing w:after="0"/>
    </w:pPr>
  </w:style>
  <w:style w:type="table" w:styleId="GridTable4-Accent2">
    <w:name w:val="Grid Table 4 Accent 2"/>
    <w:basedOn w:val="TableNormal"/>
    <w:uiPriority w:val="49"/>
    <w:rsid w:val="009A0D8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Estilo2">
    <w:name w:val="Estilo2"/>
    <w:basedOn w:val="MediumShading1-Accent6"/>
    <w:uiPriority w:val="99"/>
    <w:rsid w:val="00214A45"/>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ListTable3-Accent3">
    <w:name w:val="List Table 3 Accent 3"/>
    <w:basedOn w:val="TableNormal"/>
    <w:uiPriority w:val="48"/>
    <w:rsid w:val="00421A5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6Colorful-Accent3">
    <w:name w:val="Grid Table 6 Colorful Accent 3"/>
    <w:basedOn w:val="TableNormal"/>
    <w:uiPriority w:val="51"/>
    <w:rsid w:val="00FF2B4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MediumShading1-Accent6">
    <w:name w:val="Medium Shading 1 Accent 6"/>
    <w:basedOn w:val="TableNormal"/>
    <w:uiPriority w:val="63"/>
    <w:semiHidden/>
    <w:unhideWhenUsed/>
    <w:rsid w:val="00214A45"/>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ListTable4-Accent3">
    <w:name w:val="List Table 4 Accent 3"/>
    <w:basedOn w:val="TableNormal"/>
    <w:uiPriority w:val="49"/>
    <w:rsid w:val="00FF2B4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3">
    <w:name w:val="Grid Table 4 Accent 3"/>
    <w:basedOn w:val="TableNormal"/>
    <w:uiPriority w:val="49"/>
    <w:rsid w:val="00FB6DF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6">
    <w:name w:val="Grid Table 4 Accent 6"/>
    <w:basedOn w:val="TableNormal"/>
    <w:uiPriority w:val="49"/>
    <w:rsid w:val="009473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1">
    <w:name w:val="List Table 3 Accent 1"/>
    <w:basedOn w:val="TableNormal"/>
    <w:uiPriority w:val="48"/>
    <w:rsid w:val="00565531"/>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6">
    <w:name w:val="List Table 3 Accent 6"/>
    <w:basedOn w:val="TableNormal"/>
    <w:uiPriority w:val="48"/>
    <w:rsid w:val="00970F2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66262">
      <w:bodyDiv w:val="1"/>
      <w:marLeft w:val="0"/>
      <w:marRight w:val="0"/>
      <w:marTop w:val="0"/>
      <w:marBottom w:val="0"/>
      <w:divBdr>
        <w:top w:val="none" w:sz="0" w:space="0" w:color="auto"/>
        <w:left w:val="none" w:sz="0" w:space="0" w:color="auto"/>
        <w:bottom w:val="none" w:sz="0" w:space="0" w:color="auto"/>
        <w:right w:val="none" w:sz="0" w:space="0" w:color="auto"/>
      </w:divBdr>
    </w:div>
    <w:div w:id="51780130">
      <w:bodyDiv w:val="1"/>
      <w:marLeft w:val="0"/>
      <w:marRight w:val="0"/>
      <w:marTop w:val="0"/>
      <w:marBottom w:val="0"/>
      <w:divBdr>
        <w:top w:val="none" w:sz="0" w:space="0" w:color="auto"/>
        <w:left w:val="none" w:sz="0" w:space="0" w:color="auto"/>
        <w:bottom w:val="none" w:sz="0" w:space="0" w:color="auto"/>
        <w:right w:val="none" w:sz="0" w:space="0" w:color="auto"/>
      </w:divBdr>
    </w:div>
    <w:div w:id="224028307">
      <w:bodyDiv w:val="1"/>
      <w:marLeft w:val="0"/>
      <w:marRight w:val="0"/>
      <w:marTop w:val="0"/>
      <w:marBottom w:val="0"/>
      <w:divBdr>
        <w:top w:val="none" w:sz="0" w:space="0" w:color="auto"/>
        <w:left w:val="none" w:sz="0" w:space="0" w:color="auto"/>
        <w:bottom w:val="none" w:sz="0" w:space="0" w:color="auto"/>
        <w:right w:val="none" w:sz="0" w:space="0" w:color="auto"/>
      </w:divBdr>
    </w:div>
    <w:div w:id="224033059">
      <w:bodyDiv w:val="1"/>
      <w:marLeft w:val="0"/>
      <w:marRight w:val="0"/>
      <w:marTop w:val="0"/>
      <w:marBottom w:val="0"/>
      <w:divBdr>
        <w:top w:val="none" w:sz="0" w:space="0" w:color="auto"/>
        <w:left w:val="none" w:sz="0" w:space="0" w:color="auto"/>
        <w:bottom w:val="none" w:sz="0" w:space="0" w:color="auto"/>
        <w:right w:val="none" w:sz="0" w:space="0" w:color="auto"/>
      </w:divBdr>
    </w:div>
    <w:div w:id="333654485">
      <w:bodyDiv w:val="1"/>
      <w:marLeft w:val="0"/>
      <w:marRight w:val="0"/>
      <w:marTop w:val="0"/>
      <w:marBottom w:val="0"/>
      <w:divBdr>
        <w:top w:val="none" w:sz="0" w:space="0" w:color="auto"/>
        <w:left w:val="none" w:sz="0" w:space="0" w:color="auto"/>
        <w:bottom w:val="none" w:sz="0" w:space="0" w:color="auto"/>
        <w:right w:val="none" w:sz="0" w:space="0" w:color="auto"/>
      </w:divBdr>
    </w:div>
    <w:div w:id="367754727">
      <w:bodyDiv w:val="1"/>
      <w:marLeft w:val="0"/>
      <w:marRight w:val="0"/>
      <w:marTop w:val="0"/>
      <w:marBottom w:val="0"/>
      <w:divBdr>
        <w:top w:val="none" w:sz="0" w:space="0" w:color="auto"/>
        <w:left w:val="none" w:sz="0" w:space="0" w:color="auto"/>
        <w:bottom w:val="none" w:sz="0" w:space="0" w:color="auto"/>
        <w:right w:val="none" w:sz="0" w:space="0" w:color="auto"/>
      </w:divBdr>
    </w:div>
    <w:div w:id="450056053">
      <w:bodyDiv w:val="1"/>
      <w:marLeft w:val="0"/>
      <w:marRight w:val="0"/>
      <w:marTop w:val="0"/>
      <w:marBottom w:val="0"/>
      <w:divBdr>
        <w:top w:val="none" w:sz="0" w:space="0" w:color="auto"/>
        <w:left w:val="none" w:sz="0" w:space="0" w:color="auto"/>
        <w:bottom w:val="none" w:sz="0" w:space="0" w:color="auto"/>
        <w:right w:val="none" w:sz="0" w:space="0" w:color="auto"/>
      </w:divBdr>
    </w:div>
    <w:div w:id="462388074">
      <w:bodyDiv w:val="1"/>
      <w:marLeft w:val="0"/>
      <w:marRight w:val="0"/>
      <w:marTop w:val="0"/>
      <w:marBottom w:val="0"/>
      <w:divBdr>
        <w:top w:val="none" w:sz="0" w:space="0" w:color="auto"/>
        <w:left w:val="none" w:sz="0" w:space="0" w:color="auto"/>
        <w:bottom w:val="none" w:sz="0" w:space="0" w:color="auto"/>
        <w:right w:val="none" w:sz="0" w:space="0" w:color="auto"/>
      </w:divBdr>
    </w:div>
    <w:div w:id="475033780">
      <w:bodyDiv w:val="1"/>
      <w:marLeft w:val="0"/>
      <w:marRight w:val="0"/>
      <w:marTop w:val="0"/>
      <w:marBottom w:val="0"/>
      <w:divBdr>
        <w:top w:val="none" w:sz="0" w:space="0" w:color="auto"/>
        <w:left w:val="none" w:sz="0" w:space="0" w:color="auto"/>
        <w:bottom w:val="none" w:sz="0" w:space="0" w:color="auto"/>
        <w:right w:val="none" w:sz="0" w:space="0" w:color="auto"/>
      </w:divBdr>
    </w:div>
    <w:div w:id="532773333">
      <w:bodyDiv w:val="1"/>
      <w:marLeft w:val="0"/>
      <w:marRight w:val="0"/>
      <w:marTop w:val="0"/>
      <w:marBottom w:val="0"/>
      <w:divBdr>
        <w:top w:val="none" w:sz="0" w:space="0" w:color="auto"/>
        <w:left w:val="none" w:sz="0" w:space="0" w:color="auto"/>
        <w:bottom w:val="none" w:sz="0" w:space="0" w:color="auto"/>
        <w:right w:val="none" w:sz="0" w:space="0" w:color="auto"/>
      </w:divBdr>
    </w:div>
    <w:div w:id="627510164">
      <w:bodyDiv w:val="1"/>
      <w:marLeft w:val="0"/>
      <w:marRight w:val="0"/>
      <w:marTop w:val="0"/>
      <w:marBottom w:val="0"/>
      <w:divBdr>
        <w:top w:val="none" w:sz="0" w:space="0" w:color="auto"/>
        <w:left w:val="none" w:sz="0" w:space="0" w:color="auto"/>
        <w:bottom w:val="none" w:sz="0" w:space="0" w:color="auto"/>
        <w:right w:val="none" w:sz="0" w:space="0" w:color="auto"/>
      </w:divBdr>
    </w:div>
    <w:div w:id="627858797">
      <w:bodyDiv w:val="1"/>
      <w:marLeft w:val="0"/>
      <w:marRight w:val="0"/>
      <w:marTop w:val="0"/>
      <w:marBottom w:val="0"/>
      <w:divBdr>
        <w:top w:val="none" w:sz="0" w:space="0" w:color="auto"/>
        <w:left w:val="none" w:sz="0" w:space="0" w:color="auto"/>
        <w:bottom w:val="none" w:sz="0" w:space="0" w:color="auto"/>
        <w:right w:val="none" w:sz="0" w:space="0" w:color="auto"/>
      </w:divBdr>
    </w:div>
    <w:div w:id="648025116">
      <w:bodyDiv w:val="1"/>
      <w:marLeft w:val="0"/>
      <w:marRight w:val="0"/>
      <w:marTop w:val="0"/>
      <w:marBottom w:val="0"/>
      <w:divBdr>
        <w:top w:val="none" w:sz="0" w:space="0" w:color="auto"/>
        <w:left w:val="none" w:sz="0" w:space="0" w:color="auto"/>
        <w:bottom w:val="none" w:sz="0" w:space="0" w:color="auto"/>
        <w:right w:val="none" w:sz="0" w:space="0" w:color="auto"/>
      </w:divBdr>
    </w:div>
    <w:div w:id="660277805">
      <w:bodyDiv w:val="1"/>
      <w:marLeft w:val="0"/>
      <w:marRight w:val="0"/>
      <w:marTop w:val="0"/>
      <w:marBottom w:val="0"/>
      <w:divBdr>
        <w:top w:val="none" w:sz="0" w:space="0" w:color="auto"/>
        <w:left w:val="none" w:sz="0" w:space="0" w:color="auto"/>
        <w:bottom w:val="none" w:sz="0" w:space="0" w:color="auto"/>
        <w:right w:val="none" w:sz="0" w:space="0" w:color="auto"/>
      </w:divBdr>
    </w:div>
    <w:div w:id="715273925">
      <w:bodyDiv w:val="1"/>
      <w:marLeft w:val="0"/>
      <w:marRight w:val="0"/>
      <w:marTop w:val="0"/>
      <w:marBottom w:val="0"/>
      <w:divBdr>
        <w:top w:val="none" w:sz="0" w:space="0" w:color="auto"/>
        <w:left w:val="none" w:sz="0" w:space="0" w:color="auto"/>
        <w:bottom w:val="none" w:sz="0" w:space="0" w:color="auto"/>
        <w:right w:val="none" w:sz="0" w:space="0" w:color="auto"/>
      </w:divBdr>
    </w:div>
    <w:div w:id="750007910">
      <w:bodyDiv w:val="1"/>
      <w:marLeft w:val="0"/>
      <w:marRight w:val="0"/>
      <w:marTop w:val="0"/>
      <w:marBottom w:val="0"/>
      <w:divBdr>
        <w:top w:val="none" w:sz="0" w:space="0" w:color="auto"/>
        <w:left w:val="none" w:sz="0" w:space="0" w:color="auto"/>
        <w:bottom w:val="none" w:sz="0" w:space="0" w:color="auto"/>
        <w:right w:val="none" w:sz="0" w:space="0" w:color="auto"/>
      </w:divBdr>
    </w:div>
    <w:div w:id="894000316">
      <w:bodyDiv w:val="1"/>
      <w:marLeft w:val="0"/>
      <w:marRight w:val="0"/>
      <w:marTop w:val="0"/>
      <w:marBottom w:val="0"/>
      <w:divBdr>
        <w:top w:val="none" w:sz="0" w:space="0" w:color="auto"/>
        <w:left w:val="none" w:sz="0" w:space="0" w:color="auto"/>
        <w:bottom w:val="none" w:sz="0" w:space="0" w:color="auto"/>
        <w:right w:val="none" w:sz="0" w:space="0" w:color="auto"/>
      </w:divBdr>
    </w:div>
    <w:div w:id="914752290">
      <w:bodyDiv w:val="1"/>
      <w:marLeft w:val="0"/>
      <w:marRight w:val="0"/>
      <w:marTop w:val="0"/>
      <w:marBottom w:val="0"/>
      <w:divBdr>
        <w:top w:val="none" w:sz="0" w:space="0" w:color="auto"/>
        <w:left w:val="none" w:sz="0" w:space="0" w:color="auto"/>
        <w:bottom w:val="none" w:sz="0" w:space="0" w:color="auto"/>
        <w:right w:val="none" w:sz="0" w:space="0" w:color="auto"/>
      </w:divBdr>
      <w:divsChild>
        <w:div w:id="1265726209">
          <w:marLeft w:val="0"/>
          <w:marRight w:val="0"/>
          <w:marTop w:val="0"/>
          <w:marBottom w:val="0"/>
          <w:divBdr>
            <w:top w:val="none" w:sz="0" w:space="0" w:color="auto"/>
            <w:left w:val="none" w:sz="0" w:space="0" w:color="auto"/>
            <w:bottom w:val="none" w:sz="0" w:space="0" w:color="auto"/>
            <w:right w:val="none" w:sz="0" w:space="0" w:color="auto"/>
          </w:divBdr>
        </w:div>
        <w:div w:id="255986699">
          <w:marLeft w:val="0"/>
          <w:marRight w:val="0"/>
          <w:marTop w:val="0"/>
          <w:marBottom w:val="0"/>
          <w:divBdr>
            <w:top w:val="none" w:sz="0" w:space="0" w:color="auto"/>
            <w:left w:val="none" w:sz="0" w:space="0" w:color="auto"/>
            <w:bottom w:val="none" w:sz="0" w:space="0" w:color="auto"/>
            <w:right w:val="none" w:sz="0" w:space="0" w:color="auto"/>
          </w:divBdr>
        </w:div>
        <w:div w:id="325746217">
          <w:marLeft w:val="0"/>
          <w:marRight w:val="0"/>
          <w:marTop w:val="0"/>
          <w:marBottom w:val="0"/>
          <w:divBdr>
            <w:top w:val="none" w:sz="0" w:space="0" w:color="auto"/>
            <w:left w:val="none" w:sz="0" w:space="0" w:color="auto"/>
            <w:bottom w:val="none" w:sz="0" w:space="0" w:color="auto"/>
            <w:right w:val="none" w:sz="0" w:space="0" w:color="auto"/>
          </w:divBdr>
        </w:div>
        <w:div w:id="190149036">
          <w:marLeft w:val="0"/>
          <w:marRight w:val="0"/>
          <w:marTop w:val="0"/>
          <w:marBottom w:val="0"/>
          <w:divBdr>
            <w:top w:val="none" w:sz="0" w:space="0" w:color="auto"/>
            <w:left w:val="none" w:sz="0" w:space="0" w:color="auto"/>
            <w:bottom w:val="none" w:sz="0" w:space="0" w:color="auto"/>
            <w:right w:val="none" w:sz="0" w:space="0" w:color="auto"/>
          </w:divBdr>
        </w:div>
        <w:div w:id="2103916479">
          <w:marLeft w:val="0"/>
          <w:marRight w:val="0"/>
          <w:marTop w:val="0"/>
          <w:marBottom w:val="0"/>
          <w:divBdr>
            <w:top w:val="none" w:sz="0" w:space="0" w:color="auto"/>
            <w:left w:val="none" w:sz="0" w:space="0" w:color="auto"/>
            <w:bottom w:val="none" w:sz="0" w:space="0" w:color="auto"/>
            <w:right w:val="none" w:sz="0" w:space="0" w:color="auto"/>
          </w:divBdr>
        </w:div>
      </w:divsChild>
    </w:div>
    <w:div w:id="919601472">
      <w:bodyDiv w:val="1"/>
      <w:marLeft w:val="0"/>
      <w:marRight w:val="0"/>
      <w:marTop w:val="0"/>
      <w:marBottom w:val="0"/>
      <w:divBdr>
        <w:top w:val="none" w:sz="0" w:space="0" w:color="auto"/>
        <w:left w:val="none" w:sz="0" w:space="0" w:color="auto"/>
        <w:bottom w:val="none" w:sz="0" w:space="0" w:color="auto"/>
        <w:right w:val="none" w:sz="0" w:space="0" w:color="auto"/>
      </w:divBdr>
    </w:div>
    <w:div w:id="927662086">
      <w:bodyDiv w:val="1"/>
      <w:marLeft w:val="0"/>
      <w:marRight w:val="0"/>
      <w:marTop w:val="0"/>
      <w:marBottom w:val="0"/>
      <w:divBdr>
        <w:top w:val="none" w:sz="0" w:space="0" w:color="auto"/>
        <w:left w:val="none" w:sz="0" w:space="0" w:color="auto"/>
        <w:bottom w:val="none" w:sz="0" w:space="0" w:color="auto"/>
        <w:right w:val="none" w:sz="0" w:space="0" w:color="auto"/>
      </w:divBdr>
    </w:div>
    <w:div w:id="934478300">
      <w:bodyDiv w:val="1"/>
      <w:marLeft w:val="0"/>
      <w:marRight w:val="0"/>
      <w:marTop w:val="0"/>
      <w:marBottom w:val="0"/>
      <w:divBdr>
        <w:top w:val="none" w:sz="0" w:space="0" w:color="auto"/>
        <w:left w:val="none" w:sz="0" w:space="0" w:color="auto"/>
        <w:bottom w:val="none" w:sz="0" w:space="0" w:color="auto"/>
        <w:right w:val="none" w:sz="0" w:space="0" w:color="auto"/>
      </w:divBdr>
    </w:div>
    <w:div w:id="987899695">
      <w:bodyDiv w:val="1"/>
      <w:marLeft w:val="0"/>
      <w:marRight w:val="0"/>
      <w:marTop w:val="0"/>
      <w:marBottom w:val="0"/>
      <w:divBdr>
        <w:top w:val="none" w:sz="0" w:space="0" w:color="auto"/>
        <w:left w:val="none" w:sz="0" w:space="0" w:color="auto"/>
        <w:bottom w:val="none" w:sz="0" w:space="0" w:color="auto"/>
        <w:right w:val="none" w:sz="0" w:space="0" w:color="auto"/>
      </w:divBdr>
    </w:div>
    <w:div w:id="992682746">
      <w:bodyDiv w:val="1"/>
      <w:marLeft w:val="0"/>
      <w:marRight w:val="0"/>
      <w:marTop w:val="0"/>
      <w:marBottom w:val="0"/>
      <w:divBdr>
        <w:top w:val="none" w:sz="0" w:space="0" w:color="auto"/>
        <w:left w:val="none" w:sz="0" w:space="0" w:color="auto"/>
        <w:bottom w:val="none" w:sz="0" w:space="0" w:color="auto"/>
        <w:right w:val="none" w:sz="0" w:space="0" w:color="auto"/>
      </w:divBdr>
    </w:div>
    <w:div w:id="1117988982">
      <w:bodyDiv w:val="1"/>
      <w:marLeft w:val="0"/>
      <w:marRight w:val="0"/>
      <w:marTop w:val="0"/>
      <w:marBottom w:val="0"/>
      <w:divBdr>
        <w:top w:val="none" w:sz="0" w:space="0" w:color="auto"/>
        <w:left w:val="none" w:sz="0" w:space="0" w:color="auto"/>
        <w:bottom w:val="none" w:sz="0" w:space="0" w:color="auto"/>
        <w:right w:val="none" w:sz="0" w:space="0" w:color="auto"/>
      </w:divBdr>
    </w:div>
    <w:div w:id="1163467086">
      <w:bodyDiv w:val="1"/>
      <w:marLeft w:val="0"/>
      <w:marRight w:val="0"/>
      <w:marTop w:val="0"/>
      <w:marBottom w:val="0"/>
      <w:divBdr>
        <w:top w:val="none" w:sz="0" w:space="0" w:color="auto"/>
        <w:left w:val="none" w:sz="0" w:space="0" w:color="auto"/>
        <w:bottom w:val="none" w:sz="0" w:space="0" w:color="auto"/>
        <w:right w:val="none" w:sz="0" w:space="0" w:color="auto"/>
      </w:divBdr>
    </w:div>
    <w:div w:id="1275946117">
      <w:bodyDiv w:val="1"/>
      <w:marLeft w:val="0"/>
      <w:marRight w:val="0"/>
      <w:marTop w:val="0"/>
      <w:marBottom w:val="0"/>
      <w:divBdr>
        <w:top w:val="none" w:sz="0" w:space="0" w:color="auto"/>
        <w:left w:val="none" w:sz="0" w:space="0" w:color="auto"/>
        <w:bottom w:val="none" w:sz="0" w:space="0" w:color="auto"/>
        <w:right w:val="none" w:sz="0" w:space="0" w:color="auto"/>
      </w:divBdr>
    </w:div>
    <w:div w:id="1301377075">
      <w:bodyDiv w:val="1"/>
      <w:marLeft w:val="0"/>
      <w:marRight w:val="0"/>
      <w:marTop w:val="0"/>
      <w:marBottom w:val="0"/>
      <w:divBdr>
        <w:top w:val="none" w:sz="0" w:space="0" w:color="auto"/>
        <w:left w:val="none" w:sz="0" w:space="0" w:color="auto"/>
        <w:bottom w:val="none" w:sz="0" w:space="0" w:color="auto"/>
        <w:right w:val="none" w:sz="0" w:space="0" w:color="auto"/>
      </w:divBdr>
    </w:div>
    <w:div w:id="1321540844">
      <w:bodyDiv w:val="1"/>
      <w:marLeft w:val="0"/>
      <w:marRight w:val="0"/>
      <w:marTop w:val="0"/>
      <w:marBottom w:val="0"/>
      <w:divBdr>
        <w:top w:val="none" w:sz="0" w:space="0" w:color="auto"/>
        <w:left w:val="none" w:sz="0" w:space="0" w:color="auto"/>
        <w:bottom w:val="none" w:sz="0" w:space="0" w:color="auto"/>
        <w:right w:val="none" w:sz="0" w:space="0" w:color="auto"/>
      </w:divBdr>
    </w:div>
    <w:div w:id="1355107902">
      <w:bodyDiv w:val="1"/>
      <w:marLeft w:val="0"/>
      <w:marRight w:val="0"/>
      <w:marTop w:val="0"/>
      <w:marBottom w:val="0"/>
      <w:divBdr>
        <w:top w:val="none" w:sz="0" w:space="0" w:color="auto"/>
        <w:left w:val="none" w:sz="0" w:space="0" w:color="auto"/>
        <w:bottom w:val="none" w:sz="0" w:space="0" w:color="auto"/>
        <w:right w:val="none" w:sz="0" w:space="0" w:color="auto"/>
      </w:divBdr>
    </w:div>
    <w:div w:id="1371342034">
      <w:bodyDiv w:val="1"/>
      <w:marLeft w:val="0"/>
      <w:marRight w:val="0"/>
      <w:marTop w:val="0"/>
      <w:marBottom w:val="0"/>
      <w:divBdr>
        <w:top w:val="none" w:sz="0" w:space="0" w:color="auto"/>
        <w:left w:val="none" w:sz="0" w:space="0" w:color="auto"/>
        <w:bottom w:val="none" w:sz="0" w:space="0" w:color="auto"/>
        <w:right w:val="none" w:sz="0" w:space="0" w:color="auto"/>
      </w:divBdr>
    </w:div>
    <w:div w:id="1445072224">
      <w:bodyDiv w:val="1"/>
      <w:marLeft w:val="0"/>
      <w:marRight w:val="0"/>
      <w:marTop w:val="0"/>
      <w:marBottom w:val="0"/>
      <w:divBdr>
        <w:top w:val="none" w:sz="0" w:space="0" w:color="auto"/>
        <w:left w:val="none" w:sz="0" w:space="0" w:color="auto"/>
        <w:bottom w:val="none" w:sz="0" w:space="0" w:color="auto"/>
        <w:right w:val="none" w:sz="0" w:space="0" w:color="auto"/>
      </w:divBdr>
    </w:div>
    <w:div w:id="1462043123">
      <w:bodyDiv w:val="1"/>
      <w:marLeft w:val="0"/>
      <w:marRight w:val="0"/>
      <w:marTop w:val="0"/>
      <w:marBottom w:val="0"/>
      <w:divBdr>
        <w:top w:val="none" w:sz="0" w:space="0" w:color="auto"/>
        <w:left w:val="none" w:sz="0" w:space="0" w:color="auto"/>
        <w:bottom w:val="none" w:sz="0" w:space="0" w:color="auto"/>
        <w:right w:val="none" w:sz="0" w:space="0" w:color="auto"/>
      </w:divBdr>
    </w:div>
    <w:div w:id="1503204199">
      <w:bodyDiv w:val="1"/>
      <w:marLeft w:val="0"/>
      <w:marRight w:val="0"/>
      <w:marTop w:val="0"/>
      <w:marBottom w:val="0"/>
      <w:divBdr>
        <w:top w:val="none" w:sz="0" w:space="0" w:color="auto"/>
        <w:left w:val="none" w:sz="0" w:space="0" w:color="auto"/>
        <w:bottom w:val="none" w:sz="0" w:space="0" w:color="auto"/>
        <w:right w:val="none" w:sz="0" w:space="0" w:color="auto"/>
      </w:divBdr>
    </w:div>
    <w:div w:id="1514799988">
      <w:bodyDiv w:val="1"/>
      <w:marLeft w:val="0"/>
      <w:marRight w:val="0"/>
      <w:marTop w:val="0"/>
      <w:marBottom w:val="0"/>
      <w:divBdr>
        <w:top w:val="none" w:sz="0" w:space="0" w:color="auto"/>
        <w:left w:val="none" w:sz="0" w:space="0" w:color="auto"/>
        <w:bottom w:val="none" w:sz="0" w:space="0" w:color="auto"/>
        <w:right w:val="none" w:sz="0" w:space="0" w:color="auto"/>
      </w:divBdr>
    </w:div>
    <w:div w:id="1645236979">
      <w:bodyDiv w:val="1"/>
      <w:marLeft w:val="0"/>
      <w:marRight w:val="0"/>
      <w:marTop w:val="0"/>
      <w:marBottom w:val="0"/>
      <w:divBdr>
        <w:top w:val="none" w:sz="0" w:space="0" w:color="auto"/>
        <w:left w:val="none" w:sz="0" w:space="0" w:color="auto"/>
        <w:bottom w:val="none" w:sz="0" w:space="0" w:color="auto"/>
        <w:right w:val="none" w:sz="0" w:space="0" w:color="auto"/>
      </w:divBdr>
    </w:div>
    <w:div w:id="1654142767">
      <w:bodyDiv w:val="1"/>
      <w:marLeft w:val="0"/>
      <w:marRight w:val="0"/>
      <w:marTop w:val="0"/>
      <w:marBottom w:val="0"/>
      <w:divBdr>
        <w:top w:val="none" w:sz="0" w:space="0" w:color="auto"/>
        <w:left w:val="none" w:sz="0" w:space="0" w:color="auto"/>
        <w:bottom w:val="none" w:sz="0" w:space="0" w:color="auto"/>
        <w:right w:val="none" w:sz="0" w:space="0" w:color="auto"/>
      </w:divBdr>
    </w:div>
    <w:div w:id="1725984570">
      <w:bodyDiv w:val="1"/>
      <w:marLeft w:val="0"/>
      <w:marRight w:val="0"/>
      <w:marTop w:val="0"/>
      <w:marBottom w:val="0"/>
      <w:divBdr>
        <w:top w:val="none" w:sz="0" w:space="0" w:color="auto"/>
        <w:left w:val="none" w:sz="0" w:space="0" w:color="auto"/>
        <w:bottom w:val="none" w:sz="0" w:space="0" w:color="auto"/>
        <w:right w:val="none" w:sz="0" w:space="0" w:color="auto"/>
      </w:divBdr>
    </w:div>
    <w:div w:id="1792747674">
      <w:bodyDiv w:val="1"/>
      <w:marLeft w:val="0"/>
      <w:marRight w:val="0"/>
      <w:marTop w:val="0"/>
      <w:marBottom w:val="0"/>
      <w:divBdr>
        <w:top w:val="none" w:sz="0" w:space="0" w:color="auto"/>
        <w:left w:val="none" w:sz="0" w:space="0" w:color="auto"/>
        <w:bottom w:val="none" w:sz="0" w:space="0" w:color="auto"/>
        <w:right w:val="none" w:sz="0" w:space="0" w:color="auto"/>
      </w:divBdr>
    </w:div>
    <w:div w:id="1833831365">
      <w:bodyDiv w:val="1"/>
      <w:marLeft w:val="0"/>
      <w:marRight w:val="0"/>
      <w:marTop w:val="0"/>
      <w:marBottom w:val="0"/>
      <w:divBdr>
        <w:top w:val="none" w:sz="0" w:space="0" w:color="auto"/>
        <w:left w:val="none" w:sz="0" w:space="0" w:color="auto"/>
        <w:bottom w:val="none" w:sz="0" w:space="0" w:color="auto"/>
        <w:right w:val="none" w:sz="0" w:space="0" w:color="auto"/>
      </w:divBdr>
    </w:div>
    <w:div w:id="1872573213">
      <w:bodyDiv w:val="1"/>
      <w:marLeft w:val="0"/>
      <w:marRight w:val="0"/>
      <w:marTop w:val="0"/>
      <w:marBottom w:val="0"/>
      <w:divBdr>
        <w:top w:val="none" w:sz="0" w:space="0" w:color="auto"/>
        <w:left w:val="none" w:sz="0" w:space="0" w:color="auto"/>
        <w:bottom w:val="none" w:sz="0" w:space="0" w:color="auto"/>
        <w:right w:val="none" w:sz="0" w:space="0" w:color="auto"/>
      </w:divBdr>
    </w:div>
    <w:div w:id="1902715196">
      <w:bodyDiv w:val="1"/>
      <w:marLeft w:val="0"/>
      <w:marRight w:val="0"/>
      <w:marTop w:val="0"/>
      <w:marBottom w:val="0"/>
      <w:divBdr>
        <w:top w:val="none" w:sz="0" w:space="0" w:color="auto"/>
        <w:left w:val="none" w:sz="0" w:space="0" w:color="auto"/>
        <w:bottom w:val="none" w:sz="0" w:space="0" w:color="auto"/>
        <w:right w:val="none" w:sz="0" w:space="0" w:color="auto"/>
      </w:divBdr>
    </w:div>
    <w:div w:id="1924139161">
      <w:bodyDiv w:val="1"/>
      <w:marLeft w:val="0"/>
      <w:marRight w:val="0"/>
      <w:marTop w:val="0"/>
      <w:marBottom w:val="0"/>
      <w:divBdr>
        <w:top w:val="none" w:sz="0" w:space="0" w:color="auto"/>
        <w:left w:val="none" w:sz="0" w:space="0" w:color="auto"/>
        <w:bottom w:val="none" w:sz="0" w:space="0" w:color="auto"/>
        <w:right w:val="none" w:sz="0" w:space="0" w:color="auto"/>
      </w:divBdr>
    </w:div>
    <w:div w:id="1940527619">
      <w:bodyDiv w:val="1"/>
      <w:marLeft w:val="0"/>
      <w:marRight w:val="0"/>
      <w:marTop w:val="0"/>
      <w:marBottom w:val="0"/>
      <w:divBdr>
        <w:top w:val="none" w:sz="0" w:space="0" w:color="auto"/>
        <w:left w:val="none" w:sz="0" w:space="0" w:color="auto"/>
        <w:bottom w:val="none" w:sz="0" w:space="0" w:color="auto"/>
        <w:right w:val="none" w:sz="0" w:space="0" w:color="auto"/>
      </w:divBdr>
    </w:div>
    <w:div w:id="1956712555">
      <w:bodyDiv w:val="1"/>
      <w:marLeft w:val="0"/>
      <w:marRight w:val="0"/>
      <w:marTop w:val="0"/>
      <w:marBottom w:val="0"/>
      <w:divBdr>
        <w:top w:val="none" w:sz="0" w:space="0" w:color="auto"/>
        <w:left w:val="none" w:sz="0" w:space="0" w:color="auto"/>
        <w:bottom w:val="none" w:sz="0" w:space="0" w:color="auto"/>
        <w:right w:val="none" w:sz="0" w:space="0" w:color="auto"/>
      </w:divBdr>
    </w:div>
    <w:div w:id="1965113323">
      <w:bodyDiv w:val="1"/>
      <w:marLeft w:val="0"/>
      <w:marRight w:val="0"/>
      <w:marTop w:val="0"/>
      <w:marBottom w:val="0"/>
      <w:divBdr>
        <w:top w:val="none" w:sz="0" w:space="0" w:color="auto"/>
        <w:left w:val="none" w:sz="0" w:space="0" w:color="auto"/>
        <w:bottom w:val="none" w:sz="0" w:space="0" w:color="auto"/>
        <w:right w:val="none" w:sz="0" w:space="0" w:color="auto"/>
      </w:divBdr>
    </w:div>
    <w:div w:id="2016028783">
      <w:bodyDiv w:val="1"/>
      <w:marLeft w:val="0"/>
      <w:marRight w:val="0"/>
      <w:marTop w:val="0"/>
      <w:marBottom w:val="0"/>
      <w:divBdr>
        <w:top w:val="none" w:sz="0" w:space="0" w:color="auto"/>
        <w:left w:val="none" w:sz="0" w:space="0" w:color="auto"/>
        <w:bottom w:val="none" w:sz="0" w:space="0" w:color="auto"/>
        <w:right w:val="none" w:sz="0" w:space="0" w:color="auto"/>
      </w:divBdr>
    </w:div>
    <w:div w:id="2085374125">
      <w:bodyDiv w:val="1"/>
      <w:marLeft w:val="0"/>
      <w:marRight w:val="0"/>
      <w:marTop w:val="0"/>
      <w:marBottom w:val="0"/>
      <w:divBdr>
        <w:top w:val="none" w:sz="0" w:space="0" w:color="auto"/>
        <w:left w:val="none" w:sz="0" w:space="0" w:color="auto"/>
        <w:bottom w:val="none" w:sz="0" w:space="0" w:color="auto"/>
        <w:right w:val="none" w:sz="0" w:space="0" w:color="auto"/>
      </w:divBdr>
    </w:div>
    <w:div w:id="208660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8.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emf"/><Relationship Id="rId25" Type="http://schemas.openxmlformats.org/officeDocument/2006/relationships/chart" Target="charts/chart12.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image" Target="media/image4.emf"/><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image" Target="media/image3.emf"/><Relationship Id="rId28" Type="http://schemas.openxmlformats.org/officeDocument/2006/relationships/hyperlink" Target="http://www.cepal.org/iyd/noticias/paginas/5/31425/carlosamericop.pdf" TargetMode="External"/><Relationship Id="rId36" Type="http://schemas.openxmlformats.org/officeDocument/2006/relationships/customXml" Target="../customXml/item7.xml"/><Relationship Id="rId10" Type="http://schemas.openxmlformats.org/officeDocument/2006/relationships/chart" Target="charts/chart2.xml"/><Relationship Id="rId19" Type="http://schemas.openxmlformats.org/officeDocument/2006/relationships/image" Target="media/image2.png"/><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11.xml"/><Relationship Id="rId27" Type="http://schemas.openxmlformats.org/officeDocument/2006/relationships/chart" Target="charts/chart14.xml"/><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finep.gov.br/apoio-e-financiamento-externa/o-que-apoiamos" TargetMode="External"/><Relationship Id="rId2" Type="http://schemas.openxmlformats.org/officeDocument/2006/relationships/hyperlink" Target="http://download.finep.gov.br/noticias/tecnova_instituicoes.pdf" TargetMode="External"/><Relationship Id="rId1" Type="http://schemas.openxmlformats.org/officeDocument/2006/relationships/hyperlink" Target="http://download.finep.gov.br/programas/inovacred/Contatos_Inovacred_2016-03-14.pdf" TargetMode="External"/><Relationship Id="rId4" Type="http://schemas.openxmlformats.org/officeDocument/2006/relationships/hyperlink" Target="http://www.bndes.gov.br/SiteBNDES/bndes/bndes_pt/Areas_de_Atuacao/Inovacao/index.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Solange\Documents\DADOS%20FINANCIAMENTO\Finep\Credito_Projetos_contratados_-_Finep_Inova&#231;&#227;o_2013-2016.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C:\Users\Solange\Documents\DADOS%20FINANCIAMENTO\OR&#199;AMENTO%20FEDERAL\Ministerio%20Planejamento_UNIDADES%20OR&#199;AMENTARIAS%20-%20FNDCT%20por%20fonte_2001-2016.xls"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Users\Solange\Documents\DADOS%20FINANCIAMENTO\OR&#199;AMENTO%20FEDERAL\LOA%20MCT%20E%20FNDCT_2001-2016_EM%20DOLAR.xlsx"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file:///C:\Users\Solange\Documents\CONSULTORIAS\BID\BID%202017%20-%20Empr&#233;stimo%20MCTI-Finep\Dados%20para%20o%20trabalho\Solange%20Corder_Informa&#231;&#245;es%20Finep.xlsx" TargetMode="External"/><Relationship Id="rId2" Type="http://schemas.microsoft.com/office/2011/relationships/chartColorStyle" Target="colors10.xml"/><Relationship Id="rId1" Type="http://schemas.microsoft.com/office/2011/relationships/chartStyle" Target="style10.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Solange\Documents\CONSULTORIAS\BID\BID%202017%20-%20Empr&#233;stimo%20MCTI-Finep\Dados%20para%20o%20trabalho\Solange%20Corder_Informa&#231;&#245;es%20Finep.xlsx" TargetMode="External"/><Relationship Id="rId2" Type="http://schemas.microsoft.com/office/2011/relationships/chartColorStyle" Target="colors11.xml"/><Relationship Id="rId1" Type="http://schemas.microsoft.com/office/2011/relationships/chartStyle" Target="style11.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Solange\Documents\CONSULTORIAS\BID\BID%202017%20-%20Empr&#233;stimo%20MCTI-Finep\Dados%20para%20o%20trabalho\Solange%20Corder_Informa&#231;&#245;es%20Finep.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olange\Documents\DADOS%20FINANCIAMENTO\Finep\Credito_Projetos_contratados_-_Finep_Inova&#231;&#227;o_2013-2016.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Solange\Documents\DADOS%20FINANCIAMENTO\Finep\Opera&#231;&#245;es%20de%20cr&#233;dito%20e%20n&#227;o%20reembols&#225;vel%20at&#233;%20200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Pasta1"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Solange\AppData\Local\Temp\Rar$DIa0.861\Projetos%20Finep%20e%20CNPq_site%20MCTI.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Solange\Documents\DADOS%20FINANCIAMENTO\Banco%20de%20dados%20MCTI\2016_busca%20direta%20no%20site\Valor%20contratado%20por%20agencia_por%20ano%20de%20contrata&#231;&#227;o.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Solange\Documents\DADOS%20FINANCIAMENTO\Banco%20de%20dados%20MCTI\2016_busca%20direta%20no%20site\Finep_2016_com%20tabela%20por%20demanda%20usada%20no%20artigo%20ana%20celia.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Solange\Documents\DADOS%20FINANCIAMENTO\Renuncia%20fiscal\Renuncia%20Fiscal%20dados%202015.xls" TargetMode="External"/><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Solange\Documents\DADOS%20FINANCIAMENTO\OR&#199;AMENTO%20FEDERAL\Ministerio%20Planejamento_UNIDADES%20OR&#199;AMENTARIAS%20-%20FNDCT_2001-2016.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'tabela + Fernanda S. Finep'!$C$66</c:f>
              <c:strCache>
                <c:ptCount val="1"/>
                <c:pt idx="0">
                  <c:v>Valor Contratado (R$ milhões)</c:v>
                </c:pt>
              </c:strCache>
            </c:strRef>
          </c:tx>
          <c:spPr>
            <a:solidFill>
              <a:schemeClr val="accent2"/>
            </a:solidFill>
            <a:ln>
              <a:noFill/>
            </a:ln>
            <a:effectLst/>
          </c:spPr>
          <c:invertIfNegative val="0"/>
          <c:dLbls>
            <c:spPr>
              <a:noFill/>
              <a:ln>
                <a:noFill/>
              </a:ln>
              <a:effectLst/>
            </c:spPr>
            <c:txPr>
              <a:bodyPr rot="-5400000" spcFirstLastPara="1" vertOverflow="ellipsis" wrap="square" anchor="ctr" anchorCtr="1"/>
              <a:lstStyle/>
              <a:p>
                <a:pPr>
                  <a:defRPr sz="10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'tabela + Fernanda S. Finep'!$A$67:$A$78</c:f>
              <c:numCache>
                <c:formatCode>General</c:formatCode>
                <c:ptCount val="12"/>
                <c:pt idx="0">
                  <c:v>2003</c:v>
                </c:pt>
                <c:pt idx="1">
                  <c:v>2004</c:v>
                </c:pt>
                <c:pt idx="2">
                  <c:v>2005</c:v>
                </c:pt>
                <c:pt idx="3">
                  <c:v>2006</c:v>
                </c:pt>
                <c:pt idx="4">
                  <c:v>2007</c:v>
                </c:pt>
                <c:pt idx="5">
                  <c:v>2008</c:v>
                </c:pt>
                <c:pt idx="6">
                  <c:v>2009</c:v>
                </c:pt>
                <c:pt idx="7">
                  <c:v>2010</c:v>
                </c:pt>
                <c:pt idx="8">
                  <c:v>2011</c:v>
                </c:pt>
                <c:pt idx="9">
                  <c:v>2012</c:v>
                </c:pt>
                <c:pt idx="10">
                  <c:v>2013</c:v>
                </c:pt>
                <c:pt idx="11">
                  <c:v>2014</c:v>
                </c:pt>
              </c:numCache>
            </c:numRef>
          </c:cat>
          <c:val>
            <c:numRef>
              <c:f>'tabela + Fernanda S. Finep'!$C$67:$C$78</c:f>
              <c:numCache>
                <c:formatCode>#,##0</c:formatCode>
                <c:ptCount val="12"/>
                <c:pt idx="0">
                  <c:v>179</c:v>
                </c:pt>
                <c:pt idx="1">
                  <c:v>117</c:v>
                </c:pt>
                <c:pt idx="2">
                  <c:v>574</c:v>
                </c:pt>
                <c:pt idx="3">
                  <c:v>571</c:v>
                </c:pt>
                <c:pt idx="4">
                  <c:v>575</c:v>
                </c:pt>
                <c:pt idx="5">
                  <c:v>872</c:v>
                </c:pt>
                <c:pt idx="6">
                  <c:v>1674</c:v>
                </c:pt>
                <c:pt idx="7">
                  <c:v>1510</c:v>
                </c:pt>
                <c:pt idx="8">
                  <c:v>1992</c:v>
                </c:pt>
                <c:pt idx="9">
                  <c:v>2639</c:v>
                </c:pt>
                <c:pt idx="10">
                  <c:v>6286</c:v>
                </c:pt>
                <c:pt idx="11">
                  <c:v>8616</c:v>
                </c:pt>
              </c:numCache>
            </c:numRef>
          </c:val>
          <c:extLst>
            <c:ext xmlns:c16="http://schemas.microsoft.com/office/drawing/2014/chart" uri="{C3380CC4-5D6E-409C-BE32-E72D297353CC}">
              <c16:uniqueId val="{00000000-FBFA-4AC6-B6FE-4B642FBEF7DD}"/>
            </c:ext>
          </c:extLst>
        </c:ser>
        <c:dLbls>
          <c:showLegendKey val="0"/>
          <c:showVal val="1"/>
          <c:showCatName val="0"/>
          <c:showSerName val="0"/>
          <c:showPercent val="0"/>
          <c:showBubbleSize val="0"/>
        </c:dLbls>
        <c:gapWidth val="150"/>
        <c:axId val="604456200"/>
        <c:axId val="604460512"/>
      </c:barChart>
      <c:lineChart>
        <c:grouping val="standard"/>
        <c:varyColors val="0"/>
        <c:ser>
          <c:idx val="0"/>
          <c:order val="0"/>
          <c:tx>
            <c:strRef>
              <c:f>'tabela + Fernanda S. Finep'!$B$66</c:f>
              <c:strCache>
                <c:ptCount val="1"/>
                <c:pt idx="0">
                  <c:v>N. Operações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'tabela + Fernanda S. Finep'!$A$67:$A$78</c:f>
              <c:numCache>
                <c:formatCode>General</c:formatCode>
                <c:ptCount val="12"/>
                <c:pt idx="0">
                  <c:v>2003</c:v>
                </c:pt>
                <c:pt idx="1">
                  <c:v>2004</c:v>
                </c:pt>
                <c:pt idx="2">
                  <c:v>2005</c:v>
                </c:pt>
                <c:pt idx="3">
                  <c:v>2006</c:v>
                </c:pt>
                <c:pt idx="4">
                  <c:v>2007</c:v>
                </c:pt>
                <c:pt idx="5">
                  <c:v>2008</c:v>
                </c:pt>
                <c:pt idx="6">
                  <c:v>2009</c:v>
                </c:pt>
                <c:pt idx="7">
                  <c:v>2010</c:v>
                </c:pt>
                <c:pt idx="8">
                  <c:v>2011</c:v>
                </c:pt>
                <c:pt idx="9">
                  <c:v>2012</c:v>
                </c:pt>
                <c:pt idx="10">
                  <c:v>2013</c:v>
                </c:pt>
                <c:pt idx="11">
                  <c:v>2014</c:v>
                </c:pt>
              </c:numCache>
            </c:numRef>
          </c:cat>
          <c:val>
            <c:numRef>
              <c:f>'tabela + Fernanda S. Finep'!$B$67:$B$78</c:f>
              <c:numCache>
                <c:formatCode>General</c:formatCode>
                <c:ptCount val="12"/>
                <c:pt idx="0">
                  <c:v>27</c:v>
                </c:pt>
                <c:pt idx="1">
                  <c:v>17</c:v>
                </c:pt>
                <c:pt idx="2">
                  <c:v>49</c:v>
                </c:pt>
                <c:pt idx="3">
                  <c:v>67</c:v>
                </c:pt>
                <c:pt idx="4">
                  <c:v>77</c:v>
                </c:pt>
                <c:pt idx="5">
                  <c:v>65</c:v>
                </c:pt>
                <c:pt idx="6">
                  <c:v>74</c:v>
                </c:pt>
                <c:pt idx="7">
                  <c:v>73</c:v>
                </c:pt>
                <c:pt idx="8">
                  <c:v>104</c:v>
                </c:pt>
                <c:pt idx="9">
                  <c:v>78</c:v>
                </c:pt>
                <c:pt idx="10">
                  <c:v>108</c:v>
                </c:pt>
                <c:pt idx="11">
                  <c:v>159</c:v>
                </c:pt>
              </c:numCache>
            </c:numRef>
          </c:val>
          <c:smooth val="0"/>
          <c:extLst>
            <c:ext xmlns:c16="http://schemas.microsoft.com/office/drawing/2014/chart" uri="{C3380CC4-5D6E-409C-BE32-E72D297353CC}">
              <c16:uniqueId val="{00000001-FBFA-4AC6-B6FE-4B642FBEF7DD}"/>
            </c:ext>
          </c:extLst>
        </c:ser>
        <c:dLbls>
          <c:showLegendKey val="0"/>
          <c:showVal val="1"/>
          <c:showCatName val="0"/>
          <c:showSerName val="0"/>
          <c:showPercent val="0"/>
          <c:showBubbleSize val="0"/>
        </c:dLbls>
        <c:marker val="1"/>
        <c:smooth val="0"/>
        <c:axId val="604465608"/>
        <c:axId val="604460120"/>
      </c:lineChart>
      <c:catAx>
        <c:axId val="604456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604460512"/>
        <c:crosses val="autoZero"/>
        <c:auto val="1"/>
        <c:lblAlgn val="ctr"/>
        <c:lblOffset val="100"/>
        <c:noMultiLvlLbl val="0"/>
      </c:catAx>
      <c:valAx>
        <c:axId val="6044605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604456200"/>
        <c:crosses val="autoZero"/>
        <c:crossBetween val="between"/>
      </c:valAx>
      <c:valAx>
        <c:axId val="60446012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604465608"/>
        <c:crosses val="max"/>
        <c:crossBetween val="between"/>
      </c:valAx>
      <c:catAx>
        <c:axId val="604465608"/>
        <c:scaling>
          <c:orientation val="minMax"/>
        </c:scaling>
        <c:delete val="1"/>
        <c:axPos val="b"/>
        <c:numFmt formatCode="General" sourceLinked="1"/>
        <c:majorTickMark val="out"/>
        <c:minorTickMark val="none"/>
        <c:tickLblPos val="nextTo"/>
        <c:crossAx val="60446012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'Tesouro a ano'!$B$24</c:f>
              <c:strCache>
                <c:ptCount val="1"/>
                <c:pt idx="0">
                  <c:v>Dotação Inicial - LOA</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'Tesouro a ano'!$A$25:$A$40</c:f>
              <c:numCache>
                <c:formatCode>General</c:formatCode>
                <c:ptCount val="16"/>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numCache>
            </c:numRef>
          </c:cat>
          <c:val>
            <c:numRef>
              <c:f>'Tesouro a ano'!$B$25:$B$40</c:f>
              <c:numCache>
                <c:formatCode>#,##0</c:formatCode>
                <c:ptCount val="16"/>
                <c:pt idx="0">
                  <c:v>59762582</c:v>
                </c:pt>
                <c:pt idx="1">
                  <c:v>30446754</c:v>
                </c:pt>
                <c:pt idx="2">
                  <c:v>137124052</c:v>
                </c:pt>
                <c:pt idx="3">
                  <c:v>68532315</c:v>
                </c:pt>
                <c:pt idx="4">
                  <c:v>39917286</c:v>
                </c:pt>
                <c:pt idx="5">
                  <c:v>97645139</c:v>
                </c:pt>
                <c:pt idx="6">
                  <c:v>83259903</c:v>
                </c:pt>
                <c:pt idx="7">
                  <c:v>80537664</c:v>
                </c:pt>
                <c:pt idx="8">
                  <c:v>47029753</c:v>
                </c:pt>
                <c:pt idx="9">
                  <c:v>94403207</c:v>
                </c:pt>
                <c:pt idx="10">
                  <c:v>39546008</c:v>
                </c:pt>
                <c:pt idx="12">
                  <c:v>22832145</c:v>
                </c:pt>
                <c:pt idx="13">
                  <c:v>195020000</c:v>
                </c:pt>
                <c:pt idx="14">
                  <c:v>1138615297</c:v>
                </c:pt>
                <c:pt idx="15">
                  <c:v>437598</c:v>
                </c:pt>
              </c:numCache>
            </c:numRef>
          </c:val>
          <c:extLst>
            <c:ext xmlns:c16="http://schemas.microsoft.com/office/drawing/2014/chart" uri="{C3380CC4-5D6E-409C-BE32-E72D297353CC}">
              <c16:uniqueId val="{00000000-1844-4C1D-862E-7B9DB8720C5C}"/>
            </c:ext>
          </c:extLst>
        </c:ser>
        <c:ser>
          <c:idx val="1"/>
          <c:order val="1"/>
          <c:tx>
            <c:strRef>
              <c:f>'Tesouro a ano'!$C$24</c:f>
              <c:strCache>
                <c:ptCount val="1"/>
                <c:pt idx="0">
                  <c:v>Empenhado</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'Tesouro a ano'!$A$25:$A$40</c:f>
              <c:numCache>
                <c:formatCode>General</c:formatCode>
                <c:ptCount val="16"/>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numCache>
            </c:numRef>
          </c:cat>
          <c:val>
            <c:numRef>
              <c:f>'Tesouro a ano'!$C$25:$C$40</c:f>
              <c:numCache>
                <c:formatCode>#,##0</c:formatCode>
                <c:ptCount val="16"/>
                <c:pt idx="0">
                  <c:v>33324908.589999996</c:v>
                </c:pt>
                <c:pt idx="1">
                  <c:v>20586890.329999998</c:v>
                </c:pt>
                <c:pt idx="2">
                  <c:v>120504543.89999999</c:v>
                </c:pt>
                <c:pt idx="3">
                  <c:v>78453345.670000002</c:v>
                </c:pt>
                <c:pt idx="4">
                  <c:v>39576176.780000001</c:v>
                </c:pt>
                <c:pt idx="5">
                  <c:v>93870957.950000018</c:v>
                </c:pt>
                <c:pt idx="6">
                  <c:v>96603422</c:v>
                </c:pt>
                <c:pt idx="7">
                  <c:v>73189291.010000005</c:v>
                </c:pt>
                <c:pt idx="8">
                  <c:v>31467559.620000001</c:v>
                </c:pt>
                <c:pt idx="9">
                  <c:v>73516477</c:v>
                </c:pt>
                <c:pt idx="10">
                  <c:v>34709936.710000001</c:v>
                </c:pt>
                <c:pt idx="12">
                  <c:v>19768825.66</c:v>
                </c:pt>
                <c:pt idx="13">
                  <c:v>12520619.82</c:v>
                </c:pt>
                <c:pt idx="14">
                  <c:v>380053370</c:v>
                </c:pt>
                <c:pt idx="15">
                  <c:v>336179.9</c:v>
                </c:pt>
              </c:numCache>
            </c:numRef>
          </c:val>
          <c:extLst>
            <c:ext xmlns:c16="http://schemas.microsoft.com/office/drawing/2014/chart" uri="{C3380CC4-5D6E-409C-BE32-E72D297353CC}">
              <c16:uniqueId val="{00000001-1844-4C1D-862E-7B9DB8720C5C}"/>
            </c:ext>
          </c:extLst>
        </c:ser>
        <c:dLbls>
          <c:dLblPos val="outEnd"/>
          <c:showLegendKey val="0"/>
          <c:showVal val="1"/>
          <c:showCatName val="0"/>
          <c:showSerName val="0"/>
          <c:showPercent val="0"/>
          <c:showBubbleSize val="0"/>
        </c:dLbls>
        <c:gapWidth val="219"/>
        <c:overlap val="-27"/>
        <c:axId val="528663656"/>
        <c:axId val="528668752"/>
      </c:barChart>
      <c:catAx>
        <c:axId val="528663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8752"/>
        <c:crosses val="autoZero"/>
        <c:auto val="1"/>
        <c:lblAlgn val="ctr"/>
        <c:lblOffset val="100"/>
        <c:noMultiLvlLbl val="0"/>
      </c:catAx>
      <c:valAx>
        <c:axId val="5286687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3656"/>
        <c:crosses val="autoZero"/>
        <c:crossBetween val="between"/>
        <c:dispUnits>
          <c:builtInUnit val="thousand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'Em valores constantes - deflato'!$F$23</c:f>
              <c:strCache>
                <c:ptCount val="1"/>
                <c:pt idx="0">
                  <c:v>MCTI</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'Em valores constantes - deflato'!$B$24:$B$39</c:f>
              <c:strCache>
                <c:ptCount val="16"/>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strCache>
            </c:strRef>
          </c:cat>
          <c:val>
            <c:numRef>
              <c:f>'Em valores constantes - deflato'!$F$24:$F$39</c:f>
              <c:numCache>
                <c:formatCode>#,##0</c:formatCode>
                <c:ptCount val="16"/>
                <c:pt idx="0">
                  <c:v>7712545001.6826324</c:v>
                </c:pt>
                <c:pt idx="1">
                  <c:v>6174757162.2129011</c:v>
                </c:pt>
                <c:pt idx="2">
                  <c:v>7387687524.4924107</c:v>
                </c:pt>
                <c:pt idx="3">
                  <c:v>7474525347.7739792</c:v>
                </c:pt>
                <c:pt idx="4">
                  <c:v>10033798443.012657</c:v>
                </c:pt>
                <c:pt idx="5">
                  <c:v>9529494565.8830204</c:v>
                </c:pt>
                <c:pt idx="6">
                  <c:v>9085603503.803524</c:v>
                </c:pt>
                <c:pt idx="7">
                  <c:v>9442266506.7664547</c:v>
                </c:pt>
                <c:pt idx="8">
                  <c:v>9713781053.1630287</c:v>
                </c:pt>
                <c:pt idx="9">
                  <c:v>11099674265.094236</c:v>
                </c:pt>
                <c:pt idx="10">
                  <c:v>10409653152.593405</c:v>
                </c:pt>
                <c:pt idx="11">
                  <c:v>10911266003.723515</c:v>
                </c:pt>
                <c:pt idx="12">
                  <c:v>11483005853.902445</c:v>
                </c:pt>
                <c:pt idx="13">
                  <c:v>11177680507.447582</c:v>
                </c:pt>
                <c:pt idx="14">
                  <c:v>10405895193.7824</c:v>
                </c:pt>
                <c:pt idx="15">
                  <c:v>9093667223</c:v>
                </c:pt>
              </c:numCache>
            </c:numRef>
          </c:val>
          <c:extLst>
            <c:ext xmlns:c16="http://schemas.microsoft.com/office/drawing/2014/chart" uri="{C3380CC4-5D6E-409C-BE32-E72D297353CC}">
              <c16:uniqueId val="{00000000-3A19-46DD-90C5-4E37739A3A43}"/>
            </c:ext>
          </c:extLst>
        </c:ser>
        <c:ser>
          <c:idx val="1"/>
          <c:order val="1"/>
          <c:tx>
            <c:strRef>
              <c:f>'Em valores constantes - deflato'!$G$23</c:f>
              <c:strCache>
                <c:ptCount val="1"/>
                <c:pt idx="0">
                  <c:v>FNDCT</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'Em valores constantes - deflato'!$B$24:$B$39</c:f>
              <c:strCache>
                <c:ptCount val="16"/>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strCache>
            </c:strRef>
          </c:cat>
          <c:val>
            <c:numRef>
              <c:f>'Em valores constantes - deflato'!$G$24:$G$39</c:f>
              <c:numCache>
                <c:formatCode>#,##0</c:formatCode>
                <c:ptCount val="16"/>
                <c:pt idx="0">
                  <c:v>2191198127.4701762</c:v>
                </c:pt>
                <c:pt idx="1">
                  <c:v>1819149310.5516477</c:v>
                </c:pt>
                <c:pt idx="2">
                  <c:v>2839302947.0867324</c:v>
                </c:pt>
                <c:pt idx="3">
                  <c:v>2868873656.1219759</c:v>
                </c:pt>
                <c:pt idx="4">
                  <c:v>3262868737.501843</c:v>
                </c:pt>
                <c:pt idx="5">
                  <c:v>3856932020.2925386</c:v>
                </c:pt>
                <c:pt idx="6">
                  <c:v>3608914923.5364175</c:v>
                </c:pt>
                <c:pt idx="7">
                  <c:v>4437146258.3820982</c:v>
                </c:pt>
                <c:pt idx="8">
                  <c:v>4184042231.3191514</c:v>
                </c:pt>
                <c:pt idx="9">
                  <c:v>4016019003.1086798</c:v>
                </c:pt>
                <c:pt idx="10">
                  <c:v>3939866203.7786045</c:v>
                </c:pt>
                <c:pt idx="11">
                  <c:v>3619353847.7678137</c:v>
                </c:pt>
                <c:pt idx="12">
                  <c:v>4166182704.7364478</c:v>
                </c:pt>
                <c:pt idx="13">
                  <c:v>4017575398.2852879</c:v>
                </c:pt>
                <c:pt idx="14">
                  <c:v>3917219482.4256001</c:v>
                </c:pt>
                <c:pt idx="15">
                  <c:v>2663845588</c:v>
                </c:pt>
              </c:numCache>
            </c:numRef>
          </c:val>
          <c:extLst>
            <c:ext xmlns:c16="http://schemas.microsoft.com/office/drawing/2014/chart" uri="{C3380CC4-5D6E-409C-BE32-E72D297353CC}">
              <c16:uniqueId val="{00000001-3A19-46DD-90C5-4E37739A3A43}"/>
            </c:ext>
          </c:extLst>
        </c:ser>
        <c:dLbls>
          <c:dLblPos val="outEnd"/>
          <c:showLegendKey val="0"/>
          <c:showVal val="1"/>
          <c:showCatName val="0"/>
          <c:showSerName val="0"/>
          <c:showPercent val="0"/>
          <c:showBubbleSize val="0"/>
        </c:dLbls>
        <c:gapWidth val="219"/>
        <c:overlap val="-27"/>
        <c:axId val="528662872"/>
        <c:axId val="528660912"/>
      </c:barChart>
      <c:catAx>
        <c:axId val="528662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0912"/>
        <c:crosses val="autoZero"/>
        <c:auto val="1"/>
        <c:lblAlgn val="ctr"/>
        <c:lblOffset val="100"/>
        <c:noMultiLvlLbl val="0"/>
      </c:catAx>
      <c:valAx>
        <c:axId val="5286609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2872"/>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Original!$V$17</c:f>
              <c:strCache>
                <c:ptCount val="1"/>
                <c:pt idx="0">
                  <c:v>  Aprov./ Apres.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Original!$R$18</c:f>
              <c:strCache>
                <c:ptCount val="1"/>
                <c:pt idx="0">
                  <c:v>Total</c:v>
                </c:pt>
              </c:strCache>
            </c:strRef>
          </c:cat>
          <c:val>
            <c:numRef>
              <c:f>Original!$V$18</c:f>
              <c:numCache>
                <c:formatCode>0.0%</c:formatCode>
                <c:ptCount val="1"/>
                <c:pt idx="0">
                  <c:v>0.32323232323232326</c:v>
                </c:pt>
              </c:numCache>
            </c:numRef>
          </c:val>
          <c:extLst>
            <c:ext xmlns:c16="http://schemas.microsoft.com/office/drawing/2014/chart" uri="{C3380CC4-5D6E-409C-BE32-E72D297353CC}">
              <c16:uniqueId val="{00000000-2E71-42F4-BB94-049624D81C70}"/>
            </c:ext>
          </c:extLst>
        </c:ser>
        <c:ser>
          <c:idx val="1"/>
          <c:order val="1"/>
          <c:tx>
            <c:strRef>
              <c:f>Original!$W$17</c:f>
              <c:strCache>
                <c:ptCount val="1"/>
                <c:pt idx="0">
                  <c:v>Contr./Aprov.</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Original!$R$18</c:f>
              <c:strCache>
                <c:ptCount val="1"/>
                <c:pt idx="0">
                  <c:v>Total</c:v>
                </c:pt>
              </c:strCache>
            </c:strRef>
          </c:cat>
          <c:val>
            <c:numRef>
              <c:f>Original!$W$18</c:f>
              <c:numCache>
                <c:formatCode>0.0%</c:formatCode>
                <c:ptCount val="1"/>
                <c:pt idx="0">
                  <c:v>0.83333333333333337</c:v>
                </c:pt>
              </c:numCache>
            </c:numRef>
          </c:val>
          <c:extLst>
            <c:ext xmlns:c16="http://schemas.microsoft.com/office/drawing/2014/chart" uri="{C3380CC4-5D6E-409C-BE32-E72D297353CC}">
              <c16:uniqueId val="{00000001-2E71-42F4-BB94-049624D81C70}"/>
            </c:ext>
          </c:extLst>
        </c:ser>
        <c:ser>
          <c:idx val="2"/>
          <c:order val="2"/>
          <c:tx>
            <c:strRef>
              <c:f>Original!$X$17</c:f>
              <c:strCache>
                <c:ptCount val="1"/>
                <c:pt idx="0">
                  <c:v>Contr./Apres.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Original!$R$18</c:f>
              <c:strCache>
                <c:ptCount val="1"/>
                <c:pt idx="0">
                  <c:v>Total</c:v>
                </c:pt>
              </c:strCache>
            </c:strRef>
          </c:cat>
          <c:val>
            <c:numRef>
              <c:f>Original!$X$18</c:f>
              <c:numCache>
                <c:formatCode>0.0%</c:formatCode>
                <c:ptCount val="1"/>
                <c:pt idx="0">
                  <c:v>0.26936026936026936</c:v>
                </c:pt>
              </c:numCache>
            </c:numRef>
          </c:val>
          <c:extLst>
            <c:ext xmlns:c16="http://schemas.microsoft.com/office/drawing/2014/chart" uri="{C3380CC4-5D6E-409C-BE32-E72D297353CC}">
              <c16:uniqueId val="{00000002-2E71-42F4-BB94-049624D81C70}"/>
            </c:ext>
          </c:extLst>
        </c:ser>
        <c:dLbls>
          <c:dLblPos val="outEnd"/>
          <c:showLegendKey val="0"/>
          <c:showVal val="1"/>
          <c:showCatName val="0"/>
          <c:showSerName val="0"/>
          <c:showPercent val="0"/>
          <c:showBubbleSize val="0"/>
        </c:dLbls>
        <c:gapWidth val="150"/>
        <c:axId val="528665616"/>
        <c:axId val="528658168"/>
      </c:barChart>
      <c:catAx>
        <c:axId val="528665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58168"/>
        <c:crosses val="autoZero"/>
        <c:auto val="1"/>
        <c:lblAlgn val="ctr"/>
        <c:lblOffset val="100"/>
        <c:noMultiLvlLbl val="0"/>
      </c:catAx>
      <c:valAx>
        <c:axId val="52865816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561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Original!$V$27</c:f>
              <c:strCache>
                <c:ptCount val="1"/>
                <c:pt idx="0">
                  <c:v>  Aprov./ Apres.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Original!$R$28</c:f>
              <c:strCache>
                <c:ptCount val="1"/>
                <c:pt idx="0">
                  <c:v>Total</c:v>
                </c:pt>
              </c:strCache>
            </c:strRef>
          </c:cat>
          <c:val>
            <c:numRef>
              <c:f>Original!$V$28</c:f>
              <c:numCache>
                <c:formatCode>0.0%</c:formatCode>
                <c:ptCount val="1"/>
                <c:pt idx="0">
                  <c:v>0.31039887875491351</c:v>
                </c:pt>
              </c:numCache>
            </c:numRef>
          </c:val>
          <c:extLst>
            <c:ext xmlns:c16="http://schemas.microsoft.com/office/drawing/2014/chart" uri="{C3380CC4-5D6E-409C-BE32-E72D297353CC}">
              <c16:uniqueId val="{00000000-654E-43CA-8E56-633A0DBEDC9D}"/>
            </c:ext>
          </c:extLst>
        </c:ser>
        <c:ser>
          <c:idx val="1"/>
          <c:order val="1"/>
          <c:tx>
            <c:strRef>
              <c:f>Original!$W$27</c:f>
              <c:strCache>
                <c:ptCount val="1"/>
                <c:pt idx="0">
                  <c:v>Contr./Aprov.</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Original!$R$28</c:f>
              <c:strCache>
                <c:ptCount val="1"/>
                <c:pt idx="0">
                  <c:v>Total</c:v>
                </c:pt>
              </c:strCache>
            </c:strRef>
          </c:cat>
          <c:val>
            <c:numRef>
              <c:f>Original!$W$28</c:f>
              <c:numCache>
                <c:formatCode>0.0%</c:formatCode>
                <c:ptCount val="1"/>
                <c:pt idx="0">
                  <c:v>0.89853083009912083</c:v>
                </c:pt>
              </c:numCache>
            </c:numRef>
          </c:val>
          <c:extLst>
            <c:ext xmlns:c16="http://schemas.microsoft.com/office/drawing/2014/chart" uri="{C3380CC4-5D6E-409C-BE32-E72D297353CC}">
              <c16:uniqueId val="{00000001-654E-43CA-8E56-633A0DBEDC9D}"/>
            </c:ext>
          </c:extLst>
        </c:ser>
        <c:ser>
          <c:idx val="2"/>
          <c:order val="2"/>
          <c:tx>
            <c:strRef>
              <c:f>Original!$X$27</c:f>
              <c:strCache>
                <c:ptCount val="1"/>
                <c:pt idx="0">
                  <c:v>Contr./Apres.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Original!$R$28</c:f>
              <c:strCache>
                <c:ptCount val="1"/>
                <c:pt idx="0">
                  <c:v>Total</c:v>
                </c:pt>
              </c:strCache>
            </c:strRef>
          </c:cat>
          <c:val>
            <c:numRef>
              <c:f>Original!$X$28</c:f>
              <c:numCache>
                <c:formatCode>0.0%</c:formatCode>
                <c:ptCount val="1"/>
                <c:pt idx="0">
                  <c:v>0.27890296218948879</c:v>
                </c:pt>
              </c:numCache>
            </c:numRef>
          </c:val>
          <c:extLst>
            <c:ext xmlns:c16="http://schemas.microsoft.com/office/drawing/2014/chart" uri="{C3380CC4-5D6E-409C-BE32-E72D297353CC}">
              <c16:uniqueId val="{00000002-654E-43CA-8E56-633A0DBEDC9D}"/>
            </c:ext>
          </c:extLst>
        </c:ser>
        <c:dLbls>
          <c:dLblPos val="outEnd"/>
          <c:showLegendKey val="0"/>
          <c:showVal val="1"/>
          <c:showCatName val="0"/>
          <c:showSerName val="0"/>
          <c:showPercent val="0"/>
          <c:showBubbleSize val="0"/>
        </c:dLbls>
        <c:gapWidth val="150"/>
        <c:axId val="528666008"/>
        <c:axId val="528664440"/>
      </c:barChart>
      <c:catAx>
        <c:axId val="528666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4440"/>
        <c:crosses val="autoZero"/>
        <c:auto val="1"/>
        <c:lblAlgn val="ctr"/>
        <c:lblOffset val="100"/>
        <c:noMultiLvlLbl val="0"/>
      </c:catAx>
      <c:valAx>
        <c:axId val="5286644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60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'Tabelas repetidas'!$B$154</c:f>
              <c:strCache>
                <c:ptCount val="1"/>
                <c:pt idx="0">
                  <c:v>Número</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'Tabelas repetidas'!$A$155:$A$158</c:f>
              <c:numCache>
                <c:formatCode>General</c:formatCode>
                <c:ptCount val="4"/>
                <c:pt idx="0">
                  <c:v>2013</c:v>
                </c:pt>
                <c:pt idx="1">
                  <c:v>2014</c:v>
                </c:pt>
                <c:pt idx="2">
                  <c:v>2015</c:v>
                </c:pt>
                <c:pt idx="3">
                  <c:v>2016</c:v>
                </c:pt>
              </c:numCache>
            </c:numRef>
          </c:cat>
          <c:val>
            <c:numRef>
              <c:f>'Tabelas repetidas'!$B$155:$B$158</c:f>
              <c:numCache>
                <c:formatCode>0</c:formatCode>
                <c:ptCount val="4"/>
                <c:pt idx="0">
                  <c:v>23</c:v>
                </c:pt>
                <c:pt idx="1">
                  <c:v>5</c:v>
                </c:pt>
                <c:pt idx="2">
                  <c:v>4</c:v>
                </c:pt>
                <c:pt idx="3">
                  <c:v>7</c:v>
                </c:pt>
              </c:numCache>
            </c:numRef>
          </c:val>
          <c:extLst>
            <c:ext xmlns:c16="http://schemas.microsoft.com/office/drawing/2014/chart" uri="{C3380CC4-5D6E-409C-BE32-E72D297353CC}">
              <c16:uniqueId val="{00000000-9D7D-45B8-9B2B-1C08F304604D}"/>
            </c:ext>
          </c:extLst>
        </c:ser>
        <c:dLbls>
          <c:dLblPos val="outEnd"/>
          <c:showLegendKey val="0"/>
          <c:showVal val="1"/>
          <c:showCatName val="0"/>
          <c:showSerName val="0"/>
          <c:showPercent val="0"/>
          <c:showBubbleSize val="0"/>
        </c:dLbls>
        <c:gapWidth val="219"/>
        <c:overlap val="-27"/>
        <c:axId val="528666400"/>
        <c:axId val="528667968"/>
      </c:barChart>
      <c:catAx>
        <c:axId val="528666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7968"/>
        <c:crosses val="autoZero"/>
        <c:auto val="1"/>
        <c:lblAlgn val="ctr"/>
        <c:lblOffset val="100"/>
        <c:noMultiLvlLbl val="0"/>
      </c:catAx>
      <c:valAx>
        <c:axId val="5286679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6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'tabela + Fernanda S. Finep'!$D$66</c:f>
              <c:strCache>
                <c:ptCount val="1"/>
                <c:pt idx="0">
                  <c:v>Valor Médio (R$ milhões)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'tabela + Fernanda S. Finep'!$A$67:$A$78</c:f>
              <c:numCache>
                <c:formatCode>General</c:formatCode>
                <c:ptCount val="12"/>
                <c:pt idx="0">
                  <c:v>2003</c:v>
                </c:pt>
                <c:pt idx="1">
                  <c:v>2004</c:v>
                </c:pt>
                <c:pt idx="2">
                  <c:v>2005</c:v>
                </c:pt>
                <c:pt idx="3">
                  <c:v>2006</c:v>
                </c:pt>
                <c:pt idx="4">
                  <c:v>2007</c:v>
                </c:pt>
                <c:pt idx="5">
                  <c:v>2008</c:v>
                </c:pt>
                <c:pt idx="6">
                  <c:v>2009</c:v>
                </c:pt>
                <c:pt idx="7">
                  <c:v>2010</c:v>
                </c:pt>
                <c:pt idx="8">
                  <c:v>2011</c:v>
                </c:pt>
                <c:pt idx="9">
                  <c:v>2012</c:v>
                </c:pt>
                <c:pt idx="10">
                  <c:v>2013</c:v>
                </c:pt>
                <c:pt idx="11">
                  <c:v>2014</c:v>
                </c:pt>
              </c:numCache>
            </c:numRef>
          </c:cat>
          <c:val>
            <c:numRef>
              <c:f>'tabela + Fernanda S. Finep'!$D$67:$D$78</c:f>
              <c:numCache>
                <c:formatCode>#,##0.00</c:formatCode>
                <c:ptCount val="12"/>
                <c:pt idx="0">
                  <c:v>6.6296296296296298</c:v>
                </c:pt>
                <c:pt idx="1">
                  <c:v>6.882352941176471</c:v>
                </c:pt>
                <c:pt idx="2">
                  <c:v>11.714285714285714</c:v>
                </c:pt>
                <c:pt idx="3">
                  <c:v>8.5223880597014929</c:v>
                </c:pt>
                <c:pt idx="4">
                  <c:v>7.4675324675324672</c:v>
                </c:pt>
                <c:pt idx="5">
                  <c:v>13.415384615384616</c:v>
                </c:pt>
                <c:pt idx="6">
                  <c:v>22.621621621621621</c:v>
                </c:pt>
                <c:pt idx="7">
                  <c:v>20.684931506849313</c:v>
                </c:pt>
                <c:pt idx="8">
                  <c:v>19.153846153846153</c:v>
                </c:pt>
                <c:pt idx="9">
                  <c:v>33.833333333333336</c:v>
                </c:pt>
                <c:pt idx="10">
                  <c:v>58.203703703703702</c:v>
                </c:pt>
                <c:pt idx="11">
                  <c:v>54.188679245283019</c:v>
                </c:pt>
              </c:numCache>
            </c:numRef>
          </c:val>
          <c:smooth val="0"/>
          <c:extLst>
            <c:ext xmlns:c16="http://schemas.microsoft.com/office/drawing/2014/chart" uri="{C3380CC4-5D6E-409C-BE32-E72D297353CC}">
              <c16:uniqueId val="{00000000-314C-4796-BF8E-D42027380CC9}"/>
            </c:ext>
          </c:extLst>
        </c:ser>
        <c:dLbls>
          <c:dLblPos val="t"/>
          <c:showLegendKey val="0"/>
          <c:showVal val="1"/>
          <c:showCatName val="0"/>
          <c:showSerName val="0"/>
          <c:showPercent val="0"/>
          <c:showBubbleSize val="0"/>
        </c:dLbls>
        <c:smooth val="0"/>
        <c:axId val="604454632"/>
        <c:axId val="604460904"/>
      </c:lineChart>
      <c:catAx>
        <c:axId val="604454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4460904"/>
        <c:crosses val="autoZero"/>
        <c:auto val="1"/>
        <c:lblAlgn val="ctr"/>
        <c:lblOffset val="100"/>
        <c:noMultiLvlLbl val="0"/>
      </c:catAx>
      <c:valAx>
        <c:axId val="6044609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4454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BNDES!$C$3</c:f>
              <c:strCache>
                <c:ptCount val="1"/>
                <c:pt idx="0">
                  <c:v>Valor (R$ milhões correntes)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BNDES!$A$4:$A$11</c:f>
              <c:numCache>
                <c:formatCode>General</c:formatCode>
                <c:ptCount val="8"/>
                <c:pt idx="0">
                  <c:v>2006</c:v>
                </c:pt>
                <c:pt idx="1">
                  <c:v>2007</c:v>
                </c:pt>
                <c:pt idx="2">
                  <c:v>2008</c:v>
                </c:pt>
                <c:pt idx="3">
                  <c:v>2009</c:v>
                </c:pt>
                <c:pt idx="4">
                  <c:v>2010</c:v>
                </c:pt>
                <c:pt idx="5">
                  <c:v>2011</c:v>
                </c:pt>
                <c:pt idx="6">
                  <c:v>2012</c:v>
                </c:pt>
                <c:pt idx="7">
                  <c:v>2013</c:v>
                </c:pt>
              </c:numCache>
            </c:numRef>
          </c:cat>
          <c:val>
            <c:numRef>
              <c:f>BNDES!$C$4:$C$11</c:f>
              <c:numCache>
                <c:formatCode>#,##0</c:formatCode>
                <c:ptCount val="8"/>
                <c:pt idx="0">
                  <c:v>128</c:v>
                </c:pt>
                <c:pt idx="1">
                  <c:v>322</c:v>
                </c:pt>
                <c:pt idx="2">
                  <c:v>863</c:v>
                </c:pt>
                <c:pt idx="3">
                  <c:v>563</c:v>
                </c:pt>
                <c:pt idx="4">
                  <c:v>1374</c:v>
                </c:pt>
                <c:pt idx="5">
                  <c:v>1635</c:v>
                </c:pt>
                <c:pt idx="6">
                  <c:v>2236</c:v>
                </c:pt>
                <c:pt idx="7">
                  <c:v>3220</c:v>
                </c:pt>
              </c:numCache>
            </c:numRef>
          </c:val>
          <c:extLst>
            <c:ext xmlns:c16="http://schemas.microsoft.com/office/drawing/2014/chart" uri="{C3380CC4-5D6E-409C-BE32-E72D297353CC}">
              <c16:uniqueId val="{00000000-2F0E-4E14-B8B3-AFBB32D415F0}"/>
            </c:ext>
          </c:extLst>
        </c:ser>
        <c:dLbls>
          <c:showLegendKey val="0"/>
          <c:showVal val="1"/>
          <c:showCatName val="0"/>
          <c:showSerName val="0"/>
          <c:showPercent val="0"/>
          <c:showBubbleSize val="0"/>
        </c:dLbls>
        <c:gapWidth val="219"/>
        <c:overlap val="-27"/>
        <c:axId val="604456984"/>
        <c:axId val="604464824"/>
      </c:barChart>
      <c:catAx>
        <c:axId val="604456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4464824"/>
        <c:crosses val="autoZero"/>
        <c:auto val="1"/>
        <c:lblAlgn val="ctr"/>
        <c:lblOffset val="100"/>
        <c:noMultiLvlLbl val="0"/>
      </c:catAx>
      <c:valAx>
        <c:axId val="604464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4456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Plan1!$A$1:$A$14</c:f>
              <c:numCache>
                <c:formatCode>General</c:formatCode>
                <c:ptCount val="14"/>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numCache>
            </c:numRef>
          </c:cat>
          <c:val>
            <c:numRef>
              <c:f>Plan1!$B$1:$B$14</c:f>
              <c:numCache>
                <c:formatCode>General</c:formatCode>
                <c:ptCount val="14"/>
                <c:pt idx="1">
                  <c:v>5</c:v>
                </c:pt>
                <c:pt idx="2">
                  <c:v>20</c:v>
                </c:pt>
                <c:pt idx="3">
                  <c:v>18</c:v>
                </c:pt>
                <c:pt idx="4">
                  <c:v>14</c:v>
                </c:pt>
                <c:pt idx="5">
                  <c:v>27</c:v>
                </c:pt>
                <c:pt idx="6">
                  <c:v>29</c:v>
                </c:pt>
                <c:pt idx="7">
                  <c:v>39</c:v>
                </c:pt>
                <c:pt idx="8">
                  <c:v>34</c:v>
                </c:pt>
                <c:pt idx="9">
                  <c:v>75</c:v>
                </c:pt>
                <c:pt idx="10">
                  <c:v>59</c:v>
                </c:pt>
                <c:pt idx="11">
                  <c:v>95</c:v>
                </c:pt>
                <c:pt idx="12">
                  <c:v>95</c:v>
                </c:pt>
                <c:pt idx="13">
                  <c:v>48</c:v>
                </c:pt>
              </c:numCache>
            </c:numRef>
          </c:val>
          <c:extLst>
            <c:ext xmlns:c16="http://schemas.microsoft.com/office/drawing/2014/chart" uri="{C3380CC4-5D6E-409C-BE32-E72D297353CC}">
              <c16:uniqueId val="{00000000-D46B-4B6E-8A4B-8F0659A79241}"/>
            </c:ext>
          </c:extLst>
        </c:ser>
        <c:dLbls>
          <c:showLegendKey val="0"/>
          <c:showVal val="1"/>
          <c:showCatName val="0"/>
          <c:showSerName val="0"/>
          <c:showPercent val="0"/>
          <c:showBubbleSize val="0"/>
        </c:dLbls>
        <c:gapWidth val="219"/>
        <c:overlap val="-27"/>
        <c:axId val="604464432"/>
        <c:axId val="604457376"/>
      </c:barChart>
      <c:catAx>
        <c:axId val="604464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4457376"/>
        <c:crosses val="autoZero"/>
        <c:auto val="1"/>
        <c:lblAlgn val="ctr"/>
        <c:lblOffset val="100"/>
        <c:noMultiLvlLbl val="0"/>
      </c:catAx>
      <c:valAx>
        <c:axId val="604457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4464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Plan2!$B$1</c:f>
              <c:strCache>
                <c:ptCount val="1"/>
                <c:pt idx="0">
                  <c:v>Finep</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Plan2!$A$2:$A$19</c:f>
              <c:numCache>
                <c:formatCode>General</c:formatCode>
                <c:ptCount val="18"/>
                <c:pt idx="0">
                  <c:v>1997</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numCache>
            </c:numRef>
          </c:cat>
          <c:val>
            <c:numRef>
              <c:f>Plan2!$B$2:$B$19</c:f>
              <c:numCache>
                <c:formatCode>#,##0</c:formatCode>
                <c:ptCount val="18"/>
                <c:pt idx="0">
                  <c:v>0</c:v>
                </c:pt>
                <c:pt idx="1">
                  <c:v>201</c:v>
                </c:pt>
                <c:pt idx="2">
                  <c:v>388</c:v>
                </c:pt>
                <c:pt idx="3">
                  <c:v>569</c:v>
                </c:pt>
                <c:pt idx="4">
                  <c:v>575</c:v>
                </c:pt>
                <c:pt idx="5">
                  <c:v>425</c:v>
                </c:pt>
                <c:pt idx="6">
                  <c:v>1316</c:v>
                </c:pt>
                <c:pt idx="7">
                  <c:v>1020</c:v>
                </c:pt>
                <c:pt idx="8">
                  <c:v>1212</c:v>
                </c:pt>
                <c:pt idx="9">
                  <c:v>728</c:v>
                </c:pt>
                <c:pt idx="10">
                  <c:v>601</c:v>
                </c:pt>
                <c:pt idx="11">
                  <c:v>564</c:v>
                </c:pt>
                <c:pt idx="12">
                  <c:v>717</c:v>
                </c:pt>
                <c:pt idx="13">
                  <c:v>254</c:v>
                </c:pt>
                <c:pt idx="14">
                  <c:v>438</c:v>
                </c:pt>
                <c:pt idx="15">
                  <c:v>348</c:v>
                </c:pt>
                <c:pt idx="16">
                  <c:v>216</c:v>
                </c:pt>
                <c:pt idx="17">
                  <c:v>45</c:v>
                </c:pt>
              </c:numCache>
            </c:numRef>
          </c:val>
          <c:extLst>
            <c:ext xmlns:c16="http://schemas.microsoft.com/office/drawing/2014/chart" uri="{C3380CC4-5D6E-409C-BE32-E72D297353CC}">
              <c16:uniqueId val="{00000000-932E-4461-AAAA-2D6098135982}"/>
            </c:ext>
          </c:extLst>
        </c:ser>
        <c:ser>
          <c:idx val="1"/>
          <c:order val="1"/>
          <c:tx>
            <c:strRef>
              <c:f>Plan2!$C$1</c:f>
              <c:strCache>
                <c:ptCount val="1"/>
                <c:pt idx="0">
                  <c:v>CNPq</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Plan2!$A$2:$A$19</c:f>
              <c:numCache>
                <c:formatCode>General</c:formatCode>
                <c:ptCount val="18"/>
                <c:pt idx="0">
                  <c:v>1997</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numCache>
            </c:numRef>
          </c:cat>
          <c:val>
            <c:numRef>
              <c:f>Plan2!$C$2:$C$19</c:f>
              <c:numCache>
                <c:formatCode>#,##0</c:formatCode>
                <c:ptCount val="18"/>
                <c:pt idx="0">
                  <c:v>1</c:v>
                </c:pt>
                <c:pt idx="1">
                  <c:v>4</c:v>
                </c:pt>
                <c:pt idx="2">
                  <c:v>269</c:v>
                </c:pt>
                <c:pt idx="3">
                  <c:v>311</c:v>
                </c:pt>
                <c:pt idx="4">
                  <c:v>210</c:v>
                </c:pt>
                <c:pt idx="5">
                  <c:v>602</c:v>
                </c:pt>
                <c:pt idx="6">
                  <c:v>626</c:v>
                </c:pt>
                <c:pt idx="7">
                  <c:v>962</c:v>
                </c:pt>
                <c:pt idx="8">
                  <c:v>1067</c:v>
                </c:pt>
                <c:pt idx="9">
                  <c:v>3885</c:v>
                </c:pt>
                <c:pt idx="10">
                  <c:v>4551</c:v>
                </c:pt>
                <c:pt idx="11">
                  <c:v>3856</c:v>
                </c:pt>
                <c:pt idx="12">
                  <c:v>5153</c:v>
                </c:pt>
                <c:pt idx="13">
                  <c:v>3007</c:v>
                </c:pt>
                <c:pt idx="14">
                  <c:v>4427</c:v>
                </c:pt>
                <c:pt idx="15">
                  <c:v>3549</c:v>
                </c:pt>
                <c:pt idx="16">
                  <c:v>555</c:v>
                </c:pt>
                <c:pt idx="17">
                  <c:v>22</c:v>
                </c:pt>
              </c:numCache>
            </c:numRef>
          </c:val>
          <c:extLst>
            <c:ext xmlns:c16="http://schemas.microsoft.com/office/drawing/2014/chart" uri="{C3380CC4-5D6E-409C-BE32-E72D297353CC}">
              <c16:uniqueId val="{00000001-932E-4461-AAAA-2D6098135982}"/>
            </c:ext>
          </c:extLst>
        </c:ser>
        <c:dLbls>
          <c:dLblPos val="outEnd"/>
          <c:showLegendKey val="0"/>
          <c:showVal val="1"/>
          <c:showCatName val="0"/>
          <c:showSerName val="0"/>
          <c:showPercent val="0"/>
          <c:showBubbleSize val="0"/>
        </c:dLbls>
        <c:gapWidth val="150"/>
        <c:axId val="604458160"/>
        <c:axId val="604466000"/>
      </c:barChart>
      <c:catAx>
        <c:axId val="60445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66000"/>
        <c:crosses val="autoZero"/>
        <c:auto val="1"/>
        <c:lblAlgn val="ctr"/>
        <c:lblOffset val="100"/>
        <c:noMultiLvlLbl val="0"/>
      </c:catAx>
      <c:valAx>
        <c:axId val="6044660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5816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Plan1!$B$1</c:f>
              <c:strCache>
                <c:ptCount val="1"/>
                <c:pt idx="0">
                  <c:v>FINEP</c:v>
                </c:pt>
              </c:strCache>
            </c:strRef>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Plan1!$A$2:$A$19</c:f>
              <c:numCache>
                <c:formatCode>General</c:formatCode>
                <c:ptCount val="18"/>
                <c:pt idx="0">
                  <c:v>1997</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numCache>
            </c:numRef>
          </c:cat>
          <c:val>
            <c:numRef>
              <c:f>Plan1!$B$2:$B$19</c:f>
              <c:numCache>
                <c:formatCode>#,##0</c:formatCode>
                <c:ptCount val="18"/>
                <c:pt idx="0">
                  <c:v>0</c:v>
                </c:pt>
                <c:pt idx="1">
                  <c:v>78586806</c:v>
                </c:pt>
                <c:pt idx="2">
                  <c:v>169477794.84</c:v>
                </c:pt>
                <c:pt idx="3">
                  <c:v>404863929.48000002</c:v>
                </c:pt>
                <c:pt idx="4">
                  <c:v>350300958.57999998</c:v>
                </c:pt>
                <c:pt idx="5">
                  <c:v>362953066.41000003</c:v>
                </c:pt>
                <c:pt idx="6">
                  <c:v>568581244.91999996</c:v>
                </c:pt>
                <c:pt idx="7">
                  <c:v>643557822.92999995</c:v>
                </c:pt>
                <c:pt idx="8">
                  <c:v>949971908.16999996</c:v>
                </c:pt>
                <c:pt idx="9">
                  <c:v>1052674767.4400001</c:v>
                </c:pt>
                <c:pt idx="10">
                  <c:v>1335556903.54</c:v>
                </c:pt>
                <c:pt idx="11">
                  <c:v>1436607782.28</c:v>
                </c:pt>
                <c:pt idx="12">
                  <c:v>1865743307.54</c:v>
                </c:pt>
                <c:pt idx="13">
                  <c:v>678255305.17999995</c:v>
                </c:pt>
                <c:pt idx="14">
                  <c:v>1360822792.53</c:v>
                </c:pt>
                <c:pt idx="15">
                  <c:v>1407717358.74</c:v>
                </c:pt>
                <c:pt idx="16">
                  <c:v>703431254.85000002</c:v>
                </c:pt>
                <c:pt idx="17">
                  <c:v>172011371.21000001</c:v>
                </c:pt>
              </c:numCache>
            </c:numRef>
          </c:val>
          <c:extLst>
            <c:ext xmlns:c16="http://schemas.microsoft.com/office/drawing/2014/chart" uri="{C3380CC4-5D6E-409C-BE32-E72D297353CC}">
              <c16:uniqueId val="{00000000-6BCF-4127-9630-8448FF99A203}"/>
            </c:ext>
          </c:extLst>
        </c:ser>
        <c:ser>
          <c:idx val="1"/>
          <c:order val="1"/>
          <c:tx>
            <c:strRef>
              <c:f>Plan1!$C$1</c:f>
              <c:strCache>
                <c:ptCount val="1"/>
                <c:pt idx="0">
                  <c:v>CNPq</c:v>
                </c:pt>
              </c:strCache>
            </c:strRef>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Plan1!$A$2:$A$19</c:f>
              <c:numCache>
                <c:formatCode>General</c:formatCode>
                <c:ptCount val="18"/>
                <c:pt idx="0">
                  <c:v>1997</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numCache>
            </c:numRef>
          </c:cat>
          <c:val>
            <c:numRef>
              <c:f>Plan1!$C$2:$C$19</c:f>
              <c:numCache>
                <c:formatCode>#,##0</c:formatCode>
                <c:ptCount val="18"/>
                <c:pt idx="0">
                  <c:v>0</c:v>
                </c:pt>
                <c:pt idx="1">
                  <c:v>11756513.58</c:v>
                </c:pt>
                <c:pt idx="2">
                  <c:v>11139304.880000001</c:v>
                </c:pt>
                <c:pt idx="3">
                  <c:v>17503346.879999999</c:v>
                </c:pt>
                <c:pt idx="4">
                  <c:v>18590375.670000002</c:v>
                </c:pt>
                <c:pt idx="5">
                  <c:v>37883912.5</c:v>
                </c:pt>
                <c:pt idx="6">
                  <c:v>60226513.219999999</c:v>
                </c:pt>
                <c:pt idx="7">
                  <c:v>99234684.840000004</c:v>
                </c:pt>
                <c:pt idx="8">
                  <c:v>107299491.54000001</c:v>
                </c:pt>
                <c:pt idx="9">
                  <c:v>213275439.69</c:v>
                </c:pt>
                <c:pt idx="10">
                  <c:v>341271818</c:v>
                </c:pt>
                <c:pt idx="11">
                  <c:v>343097356.48000002</c:v>
                </c:pt>
                <c:pt idx="12">
                  <c:v>481491362.31999999</c:v>
                </c:pt>
                <c:pt idx="13">
                  <c:v>202561911.34</c:v>
                </c:pt>
                <c:pt idx="14">
                  <c:v>203087267.69</c:v>
                </c:pt>
                <c:pt idx="15">
                  <c:v>304336923.39999998</c:v>
                </c:pt>
                <c:pt idx="16">
                  <c:v>36727686.259999998</c:v>
                </c:pt>
                <c:pt idx="17">
                  <c:v>0</c:v>
                </c:pt>
              </c:numCache>
            </c:numRef>
          </c:val>
          <c:extLst>
            <c:ext xmlns:c16="http://schemas.microsoft.com/office/drawing/2014/chart" uri="{C3380CC4-5D6E-409C-BE32-E72D297353CC}">
              <c16:uniqueId val="{00000001-6BCF-4127-9630-8448FF99A203}"/>
            </c:ext>
          </c:extLst>
        </c:ser>
        <c:dLbls>
          <c:dLblPos val="outEnd"/>
          <c:showLegendKey val="0"/>
          <c:showVal val="1"/>
          <c:showCatName val="0"/>
          <c:showSerName val="0"/>
          <c:showPercent val="0"/>
          <c:showBubbleSize val="0"/>
        </c:dLbls>
        <c:gapWidth val="150"/>
        <c:axId val="604454240"/>
        <c:axId val="604459728"/>
      </c:barChart>
      <c:catAx>
        <c:axId val="604454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59728"/>
        <c:crosses val="autoZero"/>
        <c:auto val="1"/>
        <c:lblAlgn val="ctr"/>
        <c:lblOffset val="100"/>
        <c:noMultiLvlLbl val="0"/>
      </c:catAx>
      <c:valAx>
        <c:axId val="6044597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54240"/>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dispUnitsLbl>
        </c:dispUnits>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'dez 2016'!$B$124:$B$125</c:f>
              <c:strCache>
                <c:ptCount val="2"/>
                <c:pt idx="0">
                  <c:v>Contratados (N.)</c:v>
                </c:pt>
                <c:pt idx="1">
                  <c:v>Finep</c:v>
                </c:pt>
              </c:strCache>
            </c:strRef>
          </c:tx>
          <c:spPr>
            <a:solidFill>
              <a:srgbClr val="0070C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'dez 2016'!$A$126:$A$129</c:f>
              <c:strCache>
                <c:ptCount val="4"/>
                <c:pt idx="0">
                  <c:v>Chamada Pública*</c:v>
                </c:pt>
                <c:pt idx="1">
                  <c:v>Encomenda</c:v>
                </c:pt>
                <c:pt idx="2">
                  <c:v>Eventos</c:v>
                </c:pt>
                <c:pt idx="3">
                  <c:v>Carta Convite</c:v>
                </c:pt>
              </c:strCache>
            </c:strRef>
          </c:cat>
          <c:val>
            <c:numRef>
              <c:f>'dez 2016'!$B$126:$B$129</c:f>
              <c:numCache>
                <c:formatCode>0.0%</c:formatCode>
                <c:ptCount val="4"/>
                <c:pt idx="0">
                  <c:v>0.4469169179577831</c:v>
                </c:pt>
                <c:pt idx="1">
                  <c:v>0.32213788083601957</c:v>
                </c:pt>
                <c:pt idx="2">
                  <c:v>0.19070396173442861</c:v>
                </c:pt>
                <c:pt idx="3">
                  <c:v>4.024123947176874E-2</c:v>
                </c:pt>
              </c:numCache>
            </c:numRef>
          </c:val>
          <c:extLst>
            <c:ext xmlns:c16="http://schemas.microsoft.com/office/drawing/2014/chart" uri="{C3380CC4-5D6E-409C-BE32-E72D297353CC}">
              <c16:uniqueId val="{00000000-C3E2-4A9D-8BB6-97F686F71D9F}"/>
            </c:ext>
          </c:extLst>
        </c:ser>
        <c:ser>
          <c:idx val="1"/>
          <c:order val="1"/>
          <c:tx>
            <c:strRef>
              <c:f>'dez 2016'!$C$124:$C$125</c:f>
              <c:strCache>
                <c:ptCount val="2"/>
                <c:pt idx="0">
                  <c:v>Contratados (N.)</c:v>
                </c:pt>
                <c:pt idx="1">
                  <c:v>CNPq</c:v>
                </c:pt>
              </c:strCache>
            </c:strRef>
          </c:tx>
          <c:spPr>
            <a:solidFill>
              <a:srgbClr val="FF000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'dez 2016'!$A$126:$A$129</c:f>
              <c:strCache>
                <c:ptCount val="4"/>
                <c:pt idx="0">
                  <c:v>Chamada Pública*</c:v>
                </c:pt>
                <c:pt idx="1">
                  <c:v>Encomenda</c:v>
                </c:pt>
                <c:pt idx="2">
                  <c:v>Eventos</c:v>
                </c:pt>
                <c:pt idx="3">
                  <c:v>Carta Convite</c:v>
                </c:pt>
              </c:strCache>
            </c:strRef>
          </c:cat>
          <c:val>
            <c:numRef>
              <c:f>'dez 2016'!$C$126:$C$129</c:f>
              <c:numCache>
                <c:formatCode>0.0%</c:formatCode>
                <c:ptCount val="4"/>
                <c:pt idx="0">
                  <c:v>0.98426959494206978</c:v>
                </c:pt>
                <c:pt idx="1">
                  <c:v>1.2342317814683729E-2</c:v>
                </c:pt>
                <c:pt idx="2">
                  <c:v>6.050155791511631E-4</c:v>
                </c:pt>
                <c:pt idx="3">
                  <c:v>3.6300934749069791E-4</c:v>
                </c:pt>
              </c:numCache>
            </c:numRef>
          </c:val>
          <c:extLst>
            <c:ext xmlns:c16="http://schemas.microsoft.com/office/drawing/2014/chart" uri="{C3380CC4-5D6E-409C-BE32-E72D297353CC}">
              <c16:uniqueId val="{00000001-C3E2-4A9D-8BB6-97F686F71D9F}"/>
            </c:ext>
          </c:extLst>
        </c:ser>
        <c:ser>
          <c:idx val="2"/>
          <c:order val="2"/>
          <c:tx>
            <c:strRef>
              <c:f>'dez 2016'!$D$124:$D$125</c:f>
              <c:strCache>
                <c:ptCount val="2"/>
                <c:pt idx="0">
                  <c:v>Contratados (R$)</c:v>
                </c:pt>
                <c:pt idx="1">
                  <c:v>Finep</c:v>
                </c:pt>
              </c:strCache>
            </c:strRef>
          </c:tx>
          <c:spPr>
            <a:solidFill>
              <a:srgbClr val="00B05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'dez 2016'!$A$126:$A$129</c:f>
              <c:strCache>
                <c:ptCount val="4"/>
                <c:pt idx="0">
                  <c:v>Chamada Pública*</c:v>
                </c:pt>
                <c:pt idx="1">
                  <c:v>Encomenda</c:v>
                </c:pt>
                <c:pt idx="2">
                  <c:v>Eventos</c:v>
                </c:pt>
                <c:pt idx="3">
                  <c:v>Carta Convite</c:v>
                </c:pt>
              </c:strCache>
            </c:strRef>
          </c:cat>
          <c:val>
            <c:numRef>
              <c:f>'dez 2016'!$D$126:$D$129</c:f>
              <c:numCache>
                <c:formatCode>0.0%</c:formatCode>
                <c:ptCount val="4"/>
                <c:pt idx="0">
                  <c:v>0.42983881110597294</c:v>
                </c:pt>
                <c:pt idx="1">
                  <c:v>0.49983561371403007</c:v>
                </c:pt>
                <c:pt idx="2">
                  <c:v>3.600498389557396E-2</c:v>
                </c:pt>
                <c:pt idx="3">
                  <c:v>3.4320591284423003E-2</c:v>
                </c:pt>
              </c:numCache>
            </c:numRef>
          </c:val>
          <c:extLst>
            <c:ext xmlns:c16="http://schemas.microsoft.com/office/drawing/2014/chart" uri="{C3380CC4-5D6E-409C-BE32-E72D297353CC}">
              <c16:uniqueId val="{00000002-C3E2-4A9D-8BB6-97F686F71D9F}"/>
            </c:ext>
          </c:extLst>
        </c:ser>
        <c:ser>
          <c:idx val="3"/>
          <c:order val="3"/>
          <c:tx>
            <c:strRef>
              <c:f>'dez 2016'!$E$124:$E$125</c:f>
              <c:strCache>
                <c:ptCount val="2"/>
                <c:pt idx="0">
                  <c:v>Contratados (R$)</c:v>
                </c:pt>
                <c:pt idx="1">
                  <c:v>CNPq</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'dez 2016'!$A$126:$A$129</c:f>
              <c:strCache>
                <c:ptCount val="4"/>
                <c:pt idx="0">
                  <c:v>Chamada Pública*</c:v>
                </c:pt>
                <c:pt idx="1">
                  <c:v>Encomenda</c:v>
                </c:pt>
                <c:pt idx="2">
                  <c:v>Eventos</c:v>
                </c:pt>
                <c:pt idx="3">
                  <c:v>Carta Convite</c:v>
                </c:pt>
              </c:strCache>
            </c:strRef>
          </c:cat>
          <c:val>
            <c:numRef>
              <c:f>'dez 2016'!$E$126:$E$129</c:f>
              <c:numCache>
                <c:formatCode>0.0%</c:formatCode>
                <c:ptCount val="4"/>
                <c:pt idx="0">
                  <c:v>0.87551396054253994</c:v>
                </c:pt>
                <c:pt idx="1">
                  <c:v>0.11965675136229882</c:v>
                </c:pt>
                <c:pt idx="2">
                  <c:v>2.0596236768283621E-4</c:v>
                </c:pt>
                <c:pt idx="3">
                  <c:v>1.1924752718666699E-3</c:v>
                </c:pt>
              </c:numCache>
            </c:numRef>
          </c:val>
          <c:extLst>
            <c:ext xmlns:c16="http://schemas.microsoft.com/office/drawing/2014/chart" uri="{C3380CC4-5D6E-409C-BE32-E72D297353CC}">
              <c16:uniqueId val="{00000003-C3E2-4A9D-8BB6-97F686F71D9F}"/>
            </c:ext>
          </c:extLst>
        </c:ser>
        <c:dLbls>
          <c:dLblPos val="outEnd"/>
          <c:showLegendKey val="0"/>
          <c:showVal val="1"/>
          <c:showCatName val="0"/>
          <c:showSerName val="0"/>
          <c:showPercent val="0"/>
          <c:showBubbleSize val="0"/>
        </c:dLbls>
        <c:gapWidth val="150"/>
        <c:axId val="604455024"/>
        <c:axId val="604455416"/>
      </c:barChart>
      <c:catAx>
        <c:axId val="604455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55416"/>
        <c:crosses val="autoZero"/>
        <c:auto val="1"/>
        <c:lblAlgn val="ctr"/>
        <c:lblOffset val="100"/>
        <c:noMultiLvlLbl val="0"/>
      </c:catAx>
      <c:valAx>
        <c:axId val="6044554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5502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237751531058618"/>
          <c:y val="7.407407407407407E-2"/>
          <c:w val="0.81232174103237098"/>
          <c:h val="0.8416746864975212"/>
        </c:manualLayout>
      </c:layout>
      <c:barChart>
        <c:barDir val="col"/>
        <c:grouping val="clustered"/>
        <c:varyColors val="0"/>
        <c:ser>
          <c:idx val="0"/>
          <c:order val="0"/>
          <c:tx>
            <c:strRef>
              <c:f>'tab 2.2.7'!$B$50:$B$51</c:f>
              <c:strCache>
                <c:ptCount val="2"/>
                <c:pt idx="0">
                  <c:v>Anos</c:v>
                </c:pt>
                <c:pt idx="1">
                  <c:v>Lei do Bem
(11.196/05)</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 2.2.7'!$A$52:$A$61</c:f>
              <c:strCache>
                <c:ptCount val="10"/>
                <c:pt idx="0">
                  <c:v>2006</c:v>
                </c:pt>
                <c:pt idx="1">
                  <c:v>2007</c:v>
                </c:pt>
                <c:pt idx="2">
                  <c:v>2008</c:v>
                </c:pt>
                <c:pt idx="3">
                  <c:v>2009</c:v>
                </c:pt>
                <c:pt idx="4">
                  <c:v>2010</c:v>
                </c:pt>
                <c:pt idx="5">
                  <c:v>2011</c:v>
                </c:pt>
                <c:pt idx="6">
                  <c:v>2012</c:v>
                </c:pt>
                <c:pt idx="7">
                  <c:v>2013</c:v>
                </c:pt>
                <c:pt idx="8">
                  <c:v>2014(2)</c:v>
                </c:pt>
                <c:pt idx="9">
                  <c:v>2015(2)</c:v>
                </c:pt>
              </c:strCache>
            </c:strRef>
          </c:cat>
          <c:val>
            <c:numRef>
              <c:f>'tab 2.2.7'!$B$52:$B$61</c:f>
              <c:numCache>
                <c:formatCode>#,##0</c:formatCode>
                <c:ptCount val="10"/>
                <c:pt idx="0">
                  <c:v>227859.4</c:v>
                </c:pt>
                <c:pt idx="1">
                  <c:v>868455.2</c:v>
                </c:pt>
                <c:pt idx="2">
                  <c:v>1582712.9</c:v>
                </c:pt>
                <c:pt idx="3">
                  <c:v>1382758</c:v>
                </c:pt>
                <c:pt idx="4">
                  <c:v>1727138.8</c:v>
                </c:pt>
                <c:pt idx="5">
                  <c:v>1409983.9</c:v>
                </c:pt>
                <c:pt idx="6">
                  <c:v>1476804.1</c:v>
                </c:pt>
                <c:pt idx="7">
                  <c:v>1636850.9</c:v>
                </c:pt>
                <c:pt idx="8">
                  <c:v>1788163.5</c:v>
                </c:pt>
                <c:pt idx="9">
                  <c:v>1889626.4</c:v>
                </c:pt>
              </c:numCache>
            </c:numRef>
          </c:val>
          <c:extLst>
            <c:ext xmlns:c16="http://schemas.microsoft.com/office/drawing/2014/chart" uri="{C3380CC4-5D6E-409C-BE32-E72D297353CC}">
              <c16:uniqueId val="{00000000-393B-4A17-8DD0-BE0DEDD9D54D}"/>
            </c:ext>
          </c:extLst>
        </c:ser>
        <c:dLbls>
          <c:showLegendKey val="0"/>
          <c:showVal val="0"/>
          <c:showCatName val="0"/>
          <c:showSerName val="0"/>
          <c:showPercent val="0"/>
          <c:showBubbleSize val="0"/>
        </c:dLbls>
        <c:gapWidth val="219"/>
        <c:overlap val="-27"/>
        <c:axId val="604469920"/>
        <c:axId val="528661696"/>
      </c:barChart>
      <c:catAx>
        <c:axId val="604469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528661696"/>
        <c:crosses val="autoZero"/>
        <c:auto val="1"/>
        <c:lblAlgn val="ctr"/>
        <c:lblOffset val="100"/>
        <c:noMultiLvlLbl val="0"/>
      </c:catAx>
      <c:valAx>
        <c:axId val="528661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04469920"/>
        <c:crosses val="autoZero"/>
        <c:crossBetween val="between"/>
        <c:dispUnits>
          <c:builtInUnit val="thousands"/>
          <c:dispUnitsLbl>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dispUnitsLbl>
        </c:dispUnits>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MCTIC!$C$2</c:f>
              <c:strCache>
                <c:ptCount val="1"/>
                <c:pt idx="0">
                  <c:v>PLOA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MCTIC!$C$3</c:f>
              <c:numCache>
                <c:formatCode>#,##0</c:formatCode>
                <c:ptCount val="1"/>
                <c:pt idx="0">
                  <c:v>36968034449</c:v>
                </c:pt>
              </c:numCache>
            </c:numRef>
          </c:val>
          <c:extLst>
            <c:ext xmlns:c16="http://schemas.microsoft.com/office/drawing/2014/chart" uri="{C3380CC4-5D6E-409C-BE32-E72D297353CC}">
              <c16:uniqueId val="{00000000-B0E5-4157-BD9F-90A8F1AA3EC7}"/>
            </c:ext>
          </c:extLst>
        </c:ser>
        <c:ser>
          <c:idx val="1"/>
          <c:order val="1"/>
          <c:tx>
            <c:strRef>
              <c:f>MCTIC!$D$2</c:f>
              <c:strCache>
                <c:ptCount val="1"/>
                <c:pt idx="0">
                  <c:v>Dotação Inicial - LOA</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MCTIC!$D$3</c:f>
              <c:numCache>
                <c:formatCode>#,##0</c:formatCode>
                <c:ptCount val="1"/>
                <c:pt idx="0">
                  <c:v>36935605602</c:v>
                </c:pt>
              </c:numCache>
            </c:numRef>
          </c:val>
          <c:extLst>
            <c:ext xmlns:c16="http://schemas.microsoft.com/office/drawing/2014/chart" uri="{C3380CC4-5D6E-409C-BE32-E72D297353CC}">
              <c16:uniqueId val="{00000001-B0E5-4157-BD9F-90A8F1AA3EC7}"/>
            </c:ext>
          </c:extLst>
        </c:ser>
        <c:ser>
          <c:idx val="2"/>
          <c:order val="2"/>
          <c:tx>
            <c:strRef>
              <c:f>MCTIC!$E$2</c:f>
              <c:strCache>
                <c:ptCount val="1"/>
                <c:pt idx="0">
                  <c:v>Dotação Atual</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MCTIC!$E$3</c:f>
              <c:numCache>
                <c:formatCode>#,##0</c:formatCode>
                <c:ptCount val="1"/>
                <c:pt idx="0">
                  <c:v>36834431263</c:v>
                </c:pt>
              </c:numCache>
            </c:numRef>
          </c:val>
          <c:extLst>
            <c:ext xmlns:c16="http://schemas.microsoft.com/office/drawing/2014/chart" uri="{C3380CC4-5D6E-409C-BE32-E72D297353CC}">
              <c16:uniqueId val="{00000002-B0E5-4157-BD9F-90A8F1AA3EC7}"/>
            </c:ext>
          </c:extLst>
        </c:ser>
        <c:ser>
          <c:idx val="3"/>
          <c:order val="3"/>
          <c:tx>
            <c:strRef>
              <c:f>MCTIC!$F$2</c:f>
              <c:strCache>
                <c:ptCount val="1"/>
                <c:pt idx="0">
                  <c:v>Empenhado</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MCTIC!$F$3</c:f>
              <c:numCache>
                <c:formatCode>#,##0</c:formatCode>
                <c:ptCount val="1"/>
                <c:pt idx="0">
                  <c:v>24046739402.849998</c:v>
                </c:pt>
              </c:numCache>
            </c:numRef>
          </c:val>
          <c:extLst>
            <c:ext xmlns:c16="http://schemas.microsoft.com/office/drawing/2014/chart" uri="{C3380CC4-5D6E-409C-BE32-E72D297353CC}">
              <c16:uniqueId val="{00000003-B0E5-4157-BD9F-90A8F1AA3EC7}"/>
            </c:ext>
          </c:extLst>
        </c:ser>
        <c:ser>
          <c:idx val="4"/>
          <c:order val="4"/>
          <c:tx>
            <c:strRef>
              <c:f>MCTIC!$G$2</c:f>
              <c:strCache>
                <c:ptCount val="1"/>
                <c:pt idx="0">
                  <c:v>Liquidado</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MCTIC!$G$3</c:f>
              <c:numCache>
                <c:formatCode>#,##0</c:formatCode>
                <c:ptCount val="1"/>
                <c:pt idx="0">
                  <c:v>16996176500.459999</c:v>
                </c:pt>
              </c:numCache>
            </c:numRef>
          </c:val>
          <c:extLst>
            <c:ext xmlns:c16="http://schemas.microsoft.com/office/drawing/2014/chart" uri="{C3380CC4-5D6E-409C-BE32-E72D297353CC}">
              <c16:uniqueId val="{00000004-B0E5-4157-BD9F-90A8F1AA3EC7}"/>
            </c:ext>
          </c:extLst>
        </c:ser>
        <c:ser>
          <c:idx val="5"/>
          <c:order val="5"/>
          <c:tx>
            <c:strRef>
              <c:f>MCTIC!$H$2</c:f>
              <c:strCache>
                <c:ptCount val="1"/>
                <c:pt idx="0">
                  <c:v>Pago</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MCTIC!$H$3</c:f>
              <c:numCache>
                <c:formatCode>#,##0</c:formatCode>
                <c:ptCount val="1"/>
                <c:pt idx="0">
                  <c:v>13255846509.890003</c:v>
                </c:pt>
              </c:numCache>
            </c:numRef>
          </c:val>
          <c:extLst>
            <c:ext xmlns:c16="http://schemas.microsoft.com/office/drawing/2014/chart" uri="{C3380CC4-5D6E-409C-BE32-E72D297353CC}">
              <c16:uniqueId val="{00000005-B0E5-4157-BD9F-90A8F1AA3EC7}"/>
            </c:ext>
          </c:extLst>
        </c:ser>
        <c:dLbls>
          <c:dLblPos val="outEnd"/>
          <c:showLegendKey val="0"/>
          <c:showVal val="1"/>
          <c:showCatName val="0"/>
          <c:showSerName val="0"/>
          <c:showPercent val="0"/>
          <c:showBubbleSize val="0"/>
        </c:dLbls>
        <c:gapWidth val="219"/>
        <c:overlap val="-27"/>
        <c:axId val="528663264"/>
        <c:axId val="528658560"/>
      </c:barChart>
      <c:catAx>
        <c:axId val="528663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58560"/>
        <c:crosses val="autoZero"/>
        <c:auto val="1"/>
        <c:lblAlgn val="ctr"/>
        <c:lblOffset val="100"/>
        <c:noMultiLvlLbl val="0"/>
      </c:catAx>
      <c:valAx>
        <c:axId val="5286585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8663264"/>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BF7EEF84FCE14ABA3FDBB48CFBF67E" ma:contentTypeVersion="28" ma:contentTypeDescription="A content type to manage public (operations) IDB documents" ma:contentTypeScope="" ma:versionID="a1f8063b63a23eafd4f6c2e3d74cba76">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Radaelli, Vanderleia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30</Value>
      <Value>3</Value>
      <Value>44</Value>
      <Value>43</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R0000442584</Record_x0020_Number>
    <_dlc_DocId xmlns="cdc7663a-08f0-4737-9e8c-148ce897a09c">EZSHARE-1354485787-26</_dlc_DocId>
    <_dlc_DocIdUrl xmlns="cdc7663a-08f0-4737-9e8c-148ce897a09c">
      <Url>https://idbg.sharepoint.com/teams/EZ-BR-LON/BR-L1490/_layouts/15/DocIdRedir.aspx?ID=EZSHARE-1354485787-26</Url>
      <Description>EZSHARE-1354485787-26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493FF91-2734-4DE8-A95B-C6781FA23F88}">
  <ds:schemaRefs>
    <ds:schemaRef ds:uri="http://schemas.openxmlformats.org/officeDocument/2006/bibliography"/>
  </ds:schemaRefs>
</ds:datastoreItem>
</file>

<file path=customXml/itemProps2.xml><?xml version="1.0" encoding="utf-8"?>
<ds:datastoreItem xmlns:ds="http://schemas.openxmlformats.org/officeDocument/2006/customXml" ds:itemID="{0812FC16-063D-4BE3-9E34-8226152860A4}"/>
</file>

<file path=customXml/itemProps3.xml><?xml version="1.0" encoding="utf-8"?>
<ds:datastoreItem xmlns:ds="http://schemas.openxmlformats.org/officeDocument/2006/customXml" ds:itemID="{DB05EBB8-2287-49BA-9777-71CA4F7BA8D3}"/>
</file>

<file path=customXml/itemProps4.xml><?xml version="1.0" encoding="utf-8"?>
<ds:datastoreItem xmlns:ds="http://schemas.openxmlformats.org/officeDocument/2006/customXml" ds:itemID="{93171714-DB2B-4361-8101-69999F4BD974}"/>
</file>

<file path=customXml/itemProps5.xml><?xml version="1.0" encoding="utf-8"?>
<ds:datastoreItem xmlns:ds="http://schemas.openxmlformats.org/officeDocument/2006/customXml" ds:itemID="{601C638D-76E4-494A-ACBA-2FCF7ABF11E8}"/>
</file>

<file path=customXml/itemProps6.xml><?xml version="1.0" encoding="utf-8"?>
<ds:datastoreItem xmlns:ds="http://schemas.openxmlformats.org/officeDocument/2006/customXml" ds:itemID="{4172FCF4-EC47-4588-882C-3CF142F09E9C}"/>
</file>

<file path=customXml/itemProps7.xml><?xml version="1.0" encoding="utf-8"?>
<ds:datastoreItem xmlns:ds="http://schemas.openxmlformats.org/officeDocument/2006/customXml" ds:itemID="{9B61A1D7-8C68-44A7-BF52-AA6C369996CF}"/>
</file>

<file path=docProps/app.xml><?xml version="1.0" encoding="utf-8"?>
<Properties xmlns="http://schemas.openxmlformats.org/officeDocument/2006/extended-properties" xmlns:vt="http://schemas.openxmlformats.org/officeDocument/2006/docPropsVTypes">
  <Template>Normal.dotm</Template>
  <TotalTime>0</TotalTime>
  <Pages>66</Pages>
  <Words>18033</Words>
  <Characters>102792</Characters>
  <Application>Microsoft Office Word</Application>
  <DocSecurity>0</DocSecurity>
  <Lines>856</Lines>
  <Paragraphs>241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Solange</dc:creator>
  <cp:keywords/>
  <cp:lastModifiedBy>Gonzalez Herrera, Beatriz Maria</cp:lastModifiedBy>
  <cp:revision>2</cp:revision>
  <cp:lastPrinted>2017-04-26T13:55:00Z</cp:lastPrinted>
  <dcterms:created xsi:type="dcterms:W3CDTF">2017-05-26T17:13:00Z</dcterms:created>
  <dcterms:modified xsi:type="dcterms:W3CDTF">2017-05-26T17:13:00Z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44;#STI POLICY ＆ INSTITUTIONS|cd7181a5-1672-417a-9820-de106a5c5933</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43;#SCIENCE AND TECHNOLOGY|0cc5734e-64eb-4bef-9520-748f3938df0e</vt:lpwstr>
  </property>
  <property fmtid="{D5CDD505-2E9C-101B-9397-08002B2CF9AE}" pid="11" name="_dlc_DocIdItemGuid">
    <vt:lpwstr>e70cb140-25c1-4efa-934f-cd47d8b9bb98</vt:lpwstr>
  </property>
  <property fmtid="{D5CDD505-2E9C-101B-9397-08002B2CF9AE}" pid="12" name="Disclosure Activity">
    <vt:lpwstr>Loan Proposal</vt:lpwstr>
  </property>
  <property fmtid="{D5CDD505-2E9C-101B-9397-08002B2CF9AE}" pid="13" name="ContentTypeId">
    <vt:lpwstr>0x0101001A458A224826124E8B45B1D613300CFC0041BF7EEF84FCE14ABA3FDBB48CFBF67E</vt:lpwstr>
  </property>
</Properties>
</file>