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F92AA8" w14:textId="77777777" w:rsidR="001E4112" w:rsidRDefault="001E4112">
      <w:pPr>
        <w:pStyle w:val="SubSubPar"/>
        <w:tabs>
          <w:tab w:val="clear" w:pos="1152"/>
        </w:tabs>
        <w:jc w:val="center"/>
        <w:outlineLvl w:val="9"/>
        <w:rPr>
          <w:rFonts w:ascii="Arial" w:hAnsi="Arial" w:cs="Arial"/>
          <w:smallCaps/>
          <w:sz w:val="22"/>
          <w:szCs w:val="22"/>
          <w:lang w:val="es-ES_tradnl"/>
        </w:rPr>
      </w:pPr>
    </w:p>
    <w:p w14:paraId="4AE62C3F" w14:textId="77777777" w:rsidR="00F10D9A" w:rsidRPr="00F85253" w:rsidRDefault="007E781F">
      <w:pPr>
        <w:pStyle w:val="SubSubPar"/>
        <w:tabs>
          <w:tab w:val="clear" w:pos="1152"/>
        </w:tabs>
        <w:jc w:val="center"/>
        <w:outlineLvl w:val="9"/>
        <w:rPr>
          <w:rFonts w:ascii="Arial" w:hAnsi="Arial" w:cs="Arial"/>
          <w:smallCaps/>
          <w:sz w:val="22"/>
          <w:szCs w:val="22"/>
          <w:lang w:val="es-ES_tradnl"/>
        </w:rPr>
      </w:pPr>
      <w:r w:rsidRPr="00F85253">
        <w:rPr>
          <w:rFonts w:ascii="Arial" w:hAnsi="Arial" w:cs="Arial"/>
          <w:smallCaps/>
          <w:sz w:val="22"/>
          <w:szCs w:val="22"/>
          <w:lang w:val="es-ES_tradnl"/>
        </w:rPr>
        <w:t>DOCUMENTO DEL BANCO INTERAMERICANO DE DESARROLLO</w:t>
      </w:r>
    </w:p>
    <w:p w14:paraId="7B3C5615" w14:textId="77777777" w:rsidR="00F10D9A" w:rsidRPr="00F85253" w:rsidRDefault="00F10D9A">
      <w:pPr>
        <w:spacing w:before="120" w:after="120" w:line="240" w:lineRule="auto"/>
        <w:jc w:val="center"/>
        <w:rPr>
          <w:rFonts w:ascii="Arial" w:hAnsi="Arial" w:cs="Arial"/>
          <w:b/>
          <w:lang w:val="es-ES_tradnl"/>
        </w:rPr>
      </w:pPr>
    </w:p>
    <w:p w14:paraId="54BF64BB" w14:textId="77777777" w:rsidR="00F10D9A" w:rsidRPr="00F85253" w:rsidRDefault="00F10D9A">
      <w:pPr>
        <w:spacing w:before="120" w:after="120" w:line="240" w:lineRule="auto"/>
        <w:jc w:val="center"/>
        <w:rPr>
          <w:rFonts w:ascii="Arial" w:hAnsi="Arial" w:cs="Arial"/>
          <w:b/>
          <w:lang w:val="es-ES_tradnl"/>
        </w:rPr>
      </w:pPr>
    </w:p>
    <w:p w14:paraId="4D883293" w14:textId="77777777" w:rsidR="00F10D9A" w:rsidRPr="00F85253" w:rsidRDefault="00F10D9A">
      <w:pPr>
        <w:spacing w:before="120" w:after="120" w:line="240" w:lineRule="auto"/>
        <w:jc w:val="center"/>
        <w:rPr>
          <w:rFonts w:ascii="Arial" w:hAnsi="Arial" w:cs="Arial"/>
          <w:b/>
          <w:lang w:val="es-ES_tradnl"/>
        </w:rPr>
      </w:pPr>
    </w:p>
    <w:p w14:paraId="7D0906AB" w14:textId="77777777" w:rsidR="00F10D9A" w:rsidRPr="00F85253" w:rsidRDefault="00F10D9A">
      <w:pPr>
        <w:spacing w:before="120" w:after="120" w:line="240" w:lineRule="auto"/>
        <w:jc w:val="center"/>
        <w:rPr>
          <w:rFonts w:ascii="Arial" w:hAnsi="Arial" w:cs="Arial"/>
          <w:b/>
          <w:lang w:val="es-ES_tradnl"/>
        </w:rPr>
      </w:pPr>
      <w:bookmarkStart w:id="0" w:name="_GoBack"/>
      <w:bookmarkEnd w:id="0"/>
    </w:p>
    <w:p w14:paraId="5E51C315" w14:textId="77777777" w:rsidR="00F10D9A" w:rsidRPr="00F85253" w:rsidRDefault="00F10D9A">
      <w:pPr>
        <w:spacing w:before="120" w:after="120" w:line="240" w:lineRule="auto"/>
        <w:jc w:val="center"/>
        <w:rPr>
          <w:rFonts w:ascii="Arial" w:hAnsi="Arial" w:cs="Arial"/>
          <w:b/>
          <w:lang w:val="es-ES_tradnl"/>
        </w:rPr>
      </w:pPr>
    </w:p>
    <w:p w14:paraId="01B5EB4D" w14:textId="77777777" w:rsidR="00F10D9A" w:rsidRPr="00F85253" w:rsidRDefault="00F10D9A">
      <w:pPr>
        <w:spacing w:before="120" w:after="120" w:line="240" w:lineRule="auto"/>
        <w:jc w:val="center"/>
        <w:rPr>
          <w:rFonts w:ascii="Arial" w:hAnsi="Arial" w:cs="Arial"/>
          <w:b/>
          <w:lang w:val="es-ES_tradnl"/>
        </w:rPr>
      </w:pPr>
    </w:p>
    <w:p w14:paraId="3B10A750" w14:textId="77777777" w:rsidR="00F10D9A" w:rsidRPr="00F85253" w:rsidRDefault="00F10D9A">
      <w:pPr>
        <w:spacing w:before="120" w:after="120" w:line="240" w:lineRule="auto"/>
        <w:jc w:val="center"/>
        <w:rPr>
          <w:rFonts w:ascii="Arial" w:hAnsi="Arial" w:cs="Arial"/>
          <w:b/>
          <w:lang w:val="es-ES_tradnl"/>
        </w:rPr>
      </w:pPr>
    </w:p>
    <w:p w14:paraId="08EF86B4" w14:textId="77777777" w:rsidR="00F10D9A" w:rsidRPr="00F85253" w:rsidRDefault="00F10D9A">
      <w:pPr>
        <w:spacing w:before="120" w:after="120" w:line="240" w:lineRule="auto"/>
        <w:jc w:val="center"/>
        <w:rPr>
          <w:rFonts w:ascii="Arial" w:hAnsi="Arial" w:cs="Arial"/>
          <w:b/>
          <w:lang w:val="es-ES_tradnl"/>
        </w:rPr>
      </w:pPr>
    </w:p>
    <w:p w14:paraId="680F5B50" w14:textId="77777777" w:rsidR="00F10D9A" w:rsidRPr="00F85253" w:rsidRDefault="00701129">
      <w:pPr>
        <w:spacing w:before="120" w:after="120" w:line="240" w:lineRule="auto"/>
        <w:jc w:val="center"/>
        <w:rPr>
          <w:rFonts w:ascii="Arial" w:hAnsi="Arial" w:cs="Arial"/>
          <w:b/>
          <w:smallCaps/>
          <w:lang w:val="es-ES_tradnl"/>
        </w:rPr>
      </w:pPr>
      <w:r w:rsidRPr="00F85253">
        <w:rPr>
          <w:rFonts w:ascii="Arial" w:hAnsi="Arial" w:cs="Arial"/>
          <w:b/>
          <w:smallCaps/>
          <w:lang w:val="es-ES_tradnl"/>
        </w:rPr>
        <w:t>Ecuador</w:t>
      </w:r>
    </w:p>
    <w:p w14:paraId="302F078C" w14:textId="77777777" w:rsidR="00F10D9A" w:rsidRPr="00F85253" w:rsidRDefault="00F10D9A">
      <w:pPr>
        <w:spacing w:before="120" w:after="120" w:line="240" w:lineRule="auto"/>
        <w:jc w:val="center"/>
        <w:rPr>
          <w:rFonts w:ascii="Arial" w:hAnsi="Arial" w:cs="Arial"/>
          <w:b/>
          <w:smallCaps/>
          <w:lang w:val="es-ES_tradnl"/>
        </w:rPr>
      </w:pPr>
    </w:p>
    <w:p w14:paraId="17414686" w14:textId="77777777" w:rsidR="00F10D9A" w:rsidRPr="00F85253" w:rsidRDefault="00F10D9A">
      <w:pPr>
        <w:spacing w:before="120" w:after="120" w:line="240" w:lineRule="auto"/>
        <w:jc w:val="center"/>
        <w:rPr>
          <w:rFonts w:ascii="Arial" w:hAnsi="Arial" w:cs="Arial"/>
          <w:b/>
          <w:smallCaps/>
          <w:lang w:val="es-ES_tradnl"/>
        </w:rPr>
      </w:pPr>
    </w:p>
    <w:p w14:paraId="3E3B5327" w14:textId="77777777" w:rsidR="00F10D9A" w:rsidRPr="00F85253" w:rsidRDefault="00F10D9A">
      <w:pPr>
        <w:spacing w:before="120" w:after="120" w:line="240" w:lineRule="auto"/>
        <w:jc w:val="center"/>
        <w:rPr>
          <w:rFonts w:ascii="Arial" w:hAnsi="Arial" w:cs="Arial"/>
          <w:b/>
          <w:smallCaps/>
          <w:lang w:val="es-ES_tradnl"/>
        </w:rPr>
      </w:pPr>
    </w:p>
    <w:p w14:paraId="04F1DC28" w14:textId="77777777" w:rsidR="00F10D9A" w:rsidRPr="00F85253" w:rsidRDefault="00F10D9A">
      <w:pPr>
        <w:spacing w:before="120" w:after="120" w:line="240" w:lineRule="auto"/>
        <w:jc w:val="center"/>
        <w:rPr>
          <w:rFonts w:ascii="Arial" w:hAnsi="Arial" w:cs="Arial"/>
          <w:b/>
          <w:smallCaps/>
          <w:lang w:val="es-ES_tradnl"/>
        </w:rPr>
      </w:pPr>
    </w:p>
    <w:p w14:paraId="4D97ADF7" w14:textId="77777777" w:rsidR="006537E6" w:rsidRPr="00F85253" w:rsidRDefault="006537E6" w:rsidP="006537E6">
      <w:pPr>
        <w:spacing w:before="120" w:after="120" w:line="240" w:lineRule="auto"/>
        <w:jc w:val="center"/>
        <w:rPr>
          <w:rFonts w:ascii="Arial" w:hAnsi="Arial" w:cs="Arial"/>
          <w:b/>
          <w:smallCaps/>
          <w:lang w:val="es-ES_tradnl"/>
        </w:rPr>
      </w:pPr>
      <w:bookmarkStart w:id="1" w:name="_Hlk518566162"/>
      <w:r w:rsidRPr="00F85253">
        <w:rPr>
          <w:rFonts w:ascii="Arial" w:hAnsi="Arial" w:cs="Arial"/>
          <w:b/>
          <w:smallCaps/>
          <w:lang w:val="es-ES_tradnl"/>
        </w:rPr>
        <w:t xml:space="preserve">Programa </w:t>
      </w:r>
      <w:r w:rsidR="00DC614F" w:rsidRPr="00F85253">
        <w:rPr>
          <w:rFonts w:ascii="Arial" w:hAnsi="Arial" w:cs="Arial"/>
          <w:b/>
          <w:smallCaps/>
          <w:lang w:val="es-ES_tradnl"/>
        </w:rPr>
        <w:t>De Apoyo A La Reforma De Empresas Públicas</w:t>
      </w:r>
    </w:p>
    <w:bookmarkEnd w:id="1"/>
    <w:p w14:paraId="4EF9C8DA" w14:textId="77777777" w:rsidR="00F10D9A" w:rsidRPr="00F85253" w:rsidRDefault="000C671A" w:rsidP="006537E6">
      <w:pPr>
        <w:spacing w:before="120" w:after="120" w:line="240" w:lineRule="auto"/>
        <w:jc w:val="center"/>
        <w:rPr>
          <w:rFonts w:ascii="Arial" w:hAnsi="Arial" w:cs="Arial"/>
          <w:lang w:val="es-ES_tradnl"/>
        </w:rPr>
      </w:pPr>
      <w:r w:rsidRPr="00F85253">
        <w:rPr>
          <w:rFonts w:ascii="Arial" w:hAnsi="Arial" w:cs="Arial"/>
          <w:b/>
          <w:smallCaps/>
          <w:lang w:val="es-ES_tradnl"/>
        </w:rPr>
        <w:t>(</w:t>
      </w:r>
      <w:r w:rsidR="006537E6" w:rsidRPr="00F85253">
        <w:rPr>
          <w:rFonts w:ascii="Arial" w:hAnsi="Arial" w:cs="Arial"/>
          <w:b/>
          <w:smallCaps/>
          <w:lang w:val="es-ES_tradnl"/>
        </w:rPr>
        <w:t>EC-L1</w:t>
      </w:r>
      <w:r w:rsidR="00DC614F" w:rsidRPr="00F85253">
        <w:rPr>
          <w:rFonts w:ascii="Arial" w:hAnsi="Arial" w:cs="Arial"/>
          <w:b/>
          <w:smallCaps/>
          <w:lang w:val="es-ES_tradnl"/>
        </w:rPr>
        <w:t>251</w:t>
      </w:r>
      <w:r w:rsidRPr="00F85253">
        <w:rPr>
          <w:rFonts w:ascii="Arial" w:hAnsi="Arial" w:cs="Arial"/>
          <w:b/>
          <w:smallCaps/>
          <w:lang w:val="es-ES_tradnl"/>
        </w:rPr>
        <w:t>)</w:t>
      </w:r>
    </w:p>
    <w:p w14:paraId="5F9B3127" w14:textId="77777777" w:rsidR="00F10D9A" w:rsidRPr="00F85253" w:rsidRDefault="00F10D9A">
      <w:pPr>
        <w:spacing w:before="120" w:after="120" w:line="240" w:lineRule="auto"/>
        <w:jc w:val="center"/>
        <w:rPr>
          <w:rFonts w:ascii="Arial" w:hAnsi="Arial" w:cs="Arial"/>
          <w:lang w:val="es-ES_tradnl"/>
        </w:rPr>
      </w:pPr>
    </w:p>
    <w:p w14:paraId="5FB99CD4" w14:textId="77777777" w:rsidR="006537E6" w:rsidRPr="00F85253" w:rsidRDefault="006537E6">
      <w:pPr>
        <w:spacing w:before="120" w:after="120" w:line="240" w:lineRule="auto"/>
        <w:jc w:val="center"/>
        <w:rPr>
          <w:rFonts w:ascii="Arial" w:hAnsi="Arial" w:cs="Arial"/>
          <w:lang w:val="es-ES_tradnl"/>
        </w:rPr>
      </w:pPr>
    </w:p>
    <w:p w14:paraId="6EC24DED" w14:textId="77777777" w:rsidR="00F10D9A" w:rsidRPr="00F85253" w:rsidRDefault="00F10D9A">
      <w:pPr>
        <w:spacing w:before="120" w:after="120" w:line="240" w:lineRule="auto"/>
        <w:jc w:val="center"/>
        <w:rPr>
          <w:rFonts w:ascii="Arial" w:hAnsi="Arial" w:cs="Arial"/>
          <w:lang w:val="es-ES_tradnl"/>
        </w:rPr>
      </w:pPr>
    </w:p>
    <w:p w14:paraId="2F345FEE" w14:textId="77777777" w:rsidR="00F10D9A" w:rsidRPr="00F85253" w:rsidRDefault="007E781F">
      <w:pPr>
        <w:tabs>
          <w:tab w:val="left" w:pos="1440"/>
          <w:tab w:val="left" w:pos="3060"/>
        </w:tabs>
        <w:spacing w:before="120" w:after="120" w:line="240" w:lineRule="auto"/>
        <w:jc w:val="center"/>
        <w:rPr>
          <w:rFonts w:ascii="Arial" w:hAnsi="Arial" w:cs="Arial"/>
          <w:b/>
          <w:smallCaps/>
          <w:lang w:val="es-ES_tradnl"/>
        </w:rPr>
      </w:pPr>
      <w:r w:rsidRPr="00F85253">
        <w:rPr>
          <w:rFonts w:ascii="Arial" w:hAnsi="Arial" w:cs="Arial"/>
          <w:b/>
          <w:smallCaps/>
          <w:lang w:val="es-ES_tradnl"/>
        </w:rPr>
        <w:t xml:space="preserve">Análisis Económico </w:t>
      </w:r>
      <w:r w:rsidR="001671B1" w:rsidRPr="00F85253">
        <w:rPr>
          <w:rFonts w:ascii="Arial" w:hAnsi="Arial" w:cs="Arial"/>
          <w:b/>
          <w:smallCaps/>
          <w:lang w:val="es-ES_tradnl"/>
        </w:rPr>
        <w:t>del Proyecto</w:t>
      </w:r>
    </w:p>
    <w:p w14:paraId="0750F76B" w14:textId="77777777" w:rsidR="00F10D9A" w:rsidRPr="00F85253" w:rsidRDefault="00F10D9A">
      <w:pPr>
        <w:spacing w:before="120" w:after="120" w:line="240" w:lineRule="auto"/>
        <w:jc w:val="center"/>
        <w:rPr>
          <w:rFonts w:ascii="Arial" w:hAnsi="Arial" w:cs="Arial"/>
          <w:lang w:val="es-ES_tradnl"/>
        </w:rPr>
      </w:pPr>
    </w:p>
    <w:p w14:paraId="48308210" w14:textId="77777777" w:rsidR="00F10D9A" w:rsidRPr="00F85253" w:rsidRDefault="00F10D9A">
      <w:pPr>
        <w:spacing w:before="120" w:after="120" w:line="240" w:lineRule="auto"/>
        <w:jc w:val="center"/>
        <w:rPr>
          <w:rFonts w:ascii="Arial" w:hAnsi="Arial" w:cs="Arial"/>
          <w:lang w:val="es-ES_tradnl"/>
        </w:rPr>
      </w:pPr>
    </w:p>
    <w:p w14:paraId="07FA7084" w14:textId="77777777" w:rsidR="00F10D9A" w:rsidRPr="00F85253" w:rsidRDefault="00F10D9A">
      <w:pPr>
        <w:spacing w:before="120" w:after="120" w:line="240" w:lineRule="auto"/>
        <w:jc w:val="center"/>
        <w:rPr>
          <w:rFonts w:ascii="Arial" w:hAnsi="Arial" w:cs="Arial"/>
          <w:lang w:val="es-ES_tradnl"/>
        </w:rPr>
      </w:pPr>
    </w:p>
    <w:p w14:paraId="2DBB1D1E" w14:textId="77777777" w:rsidR="00F10D9A" w:rsidRPr="00F85253" w:rsidRDefault="00F10D9A">
      <w:pPr>
        <w:spacing w:before="120" w:after="120" w:line="240" w:lineRule="auto"/>
        <w:jc w:val="center"/>
        <w:rPr>
          <w:rFonts w:ascii="Arial" w:hAnsi="Arial" w:cs="Arial"/>
          <w:lang w:val="es-ES_tradnl"/>
        </w:rPr>
      </w:pPr>
    </w:p>
    <w:p w14:paraId="7E58E555" w14:textId="77777777" w:rsidR="00C358F8" w:rsidRPr="00F85253" w:rsidRDefault="00C358F8">
      <w:pPr>
        <w:spacing w:before="120" w:after="120" w:line="240" w:lineRule="auto"/>
        <w:jc w:val="center"/>
        <w:rPr>
          <w:rFonts w:ascii="Arial" w:hAnsi="Arial" w:cs="Arial"/>
          <w:lang w:val="es-ES_tradnl"/>
        </w:rPr>
      </w:pPr>
    </w:p>
    <w:p w14:paraId="3362DB20" w14:textId="77777777" w:rsidR="00F10D9A" w:rsidRPr="00F85253" w:rsidRDefault="00F10D9A">
      <w:pPr>
        <w:spacing w:before="120" w:after="120" w:line="240" w:lineRule="auto"/>
        <w:jc w:val="center"/>
        <w:rPr>
          <w:rFonts w:ascii="Arial" w:hAnsi="Arial" w:cs="Arial"/>
          <w:lang w:val="es-ES_tradnl"/>
        </w:rPr>
      </w:pPr>
    </w:p>
    <w:p w14:paraId="727D2E2B" w14:textId="77777777" w:rsidR="00F10D9A" w:rsidRPr="00F85253" w:rsidRDefault="00F10D9A">
      <w:pPr>
        <w:spacing w:before="120" w:after="120" w:line="240" w:lineRule="auto"/>
        <w:jc w:val="center"/>
        <w:rPr>
          <w:rFonts w:ascii="Arial" w:hAnsi="Arial" w:cs="Arial"/>
          <w:lang w:val="es-ES_tradnl"/>
        </w:rPr>
      </w:pPr>
    </w:p>
    <w:p w14:paraId="476115C4" w14:textId="77777777" w:rsidR="00F10D9A" w:rsidRPr="00F85253" w:rsidRDefault="00F10D9A">
      <w:pPr>
        <w:spacing w:before="120" w:after="120" w:line="240" w:lineRule="auto"/>
        <w:jc w:val="center"/>
        <w:rPr>
          <w:rFonts w:ascii="Arial" w:hAnsi="Arial" w:cs="Arial"/>
          <w:lang w:val="es-ES_tradnl"/>
        </w:rPr>
      </w:pPr>
    </w:p>
    <w:p w14:paraId="728CDAA4" w14:textId="77777777" w:rsidR="00F10D9A" w:rsidRPr="00F85253" w:rsidRDefault="00F10D9A">
      <w:pPr>
        <w:spacing w:before="120" w:after="120" w:line="240" w:lineRule="auto"/>
        <w:jc w:val="center"/>
        <w:rPr>
          <w:rFonts w:ascii="Arial" w:hAnsi="Arial" w:cs="Arial"/>
          <w:lang w:val="es-ES_tradnl"/>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242"/>
      </w:tblGrid>
      <w:tr w:rsidR="00F10D9A" w:rsidRPr="00824032" w14:paraId="1ACE2DCA" w14:textId="77777777" w:rsidTr="001E4112">
        <w:tc>
          <w:tcPr>
            <w:tcW w:w="9242" w:type="dxa"/>
          </w:tcPr>
          <w:p w14:paraId="20ACA8A3" w14:textId="31F0D329" w:rsidR="00F10D9A" w:rsidRPr="00F85253" w:rsidRDefault="007E781F" w:rsidP="00DC614F">
            <w:pPr>
              <w:spacing w:before="120" w:after="120"/>
              <w:ind w:left="-90"/>
              <w:jc w:val="both"/>
              <w:rPr>
                <w:rFonts w:ascii="Arial" w:hAnsi="Arial" w:cs="Arial"/>
                <w:lang w:val="es-ES_tradnl"/>
              </w:rPr>
            </w:pPr>
            <w:r w:rsidRPr="00F85253">
              <w:rPr>
                <w:rFonts w:ascii="Arial" w:hAnsi="Arial" w:cs="Arial"/>
                <w:color w:val="000000"/>
                <w:lang w:val="es-ES_tradnl"/>
              </w:rPr>
              <w:t xml:space="preserve">Este documento fue preparado por el equipo de proyecto compuesto por: </w:t>
            </w:r>
            <w:r w:rsidR="00DC614F" w:rsidRPr="00F85253">
              <w:rPr>
                <w:rFonts w:ascii="Arial" w:hAnsi="Arial" w:cs="Arial"/>
                <w:color w:val="000000"/>
                <w:lang w:val="es-ES_tradnl"/>
              </w:rPr>
              <w:t>María Cristhina Llerena Pinto</w:t>
            </w:r>
            <w:r w:rsidR="006537E6" w:rsidRPr="00F85253">
              <w:rPr>
                <w:rFonts w:ascii="Arial" w:hAnsi="Arial" w:cs="Arial"/>
                <w:color w:val="000000"/>
                <w:lang w:val="es-ES_tradnl"/>
              </w:rPr>
              <w:t xml:space="preserve"> </w:t>
            </w:r>
            <w:r w:rsidRPr="00F85253">
              <w:rPr>
                <w:rFonts w:ascii="Arial" w:hAnsi="Arial" w:cs="Arial"/>
                <w:color w:val="000000"/>
                <w:lang w:val="es-ES_tradnl"/>
              </w:rPr>
              <w:t>(Consulto</w:t>
            </w:r>
            <w:r w:rsidR="006537E6" w:rsidRPr="00F85253">
              <w:rPr>
                <w:rFonts w:ascii="Arial" w:hAnsi="Arial" w:cs="Arial"/>
                <w:color w:val="000000"/>
                <w:lang w:val="es-ES_tradnl"/>
              </w:rPr>
              <w:t>r</w:t>
            </w:r>
            <w:r w:rsidR="00DC614F" w:rsidRPr="00F85253">
              <w:rPr>
                <w:rFonts w:ascii="Arial" w:hAnsi="Arial" w:cs="Arial"/>
                <w:color w:val="000000"/>
                <w:lang w:val="es-ES_tradnl"/>
              </w:rPr>
              <w:t>a</w:t>
            </w:r>
            <w:r w:rsidR="00C358F8" w:rsidRPr="00F85253">
              <w:rPr>
                <w:rFonts w:ascii="Arial" w:hAnsi="Arial" w:cs="Arial"/>
                <w:color w:val="000000"/>
                <w:lang w:val="es-ES_tradnl"/>
              </w:rPr>
              <w:t xml:space="preserve"> independiente</w:t>
            </w:r>
            <w:r w:rsidR="001214C6" w:rsidRPr="00F85253">
              <w:rPr>
                <w:rFonts w:ascii="Arial" w:hAnsi="Arial" w:cs="Arial"/>
                <w:color w:val="000000"/>
                <w:lang w:val="es-ES_tradnl"/>
              </w:rPr>
              <w:t>)</w:t>
            </w:r>
            <w:r w:rsidRPr="00F85253">
              <w:rPr>
                <w:rFonts w:ascii="Arial" w:hAnsi="Arial" w:cs="Arial"/>
                <w:color w:val="000000"/>
                <w:lang w:val="es-ES_tradnl"/>
              </w:rPr>
              <w:t xml:space="preserve"> en cooperación con </w:t>
            </w:r>
            <w:r w:rsidR="006537E6" w:rsidRPr="00F85253">
              <w:rPr>
                <w:rFonts w:ascii="Arial" w:hAnsi="Arial" w:cs="Arial"/>
                <w:color w:val="000000"/>
                <w:lang w:val="es-ES_tradnl"/>
              </w:rPr>
              <w:t>Juan Luis G</w:t>
            </w:r>
            <w:r w:rsidR="00B47CED" w:rsidRPr="00F85253">
              <w:rPr>
                <w:rFonts w:ascii="Arial" w:hAnsi="Arial" w:cs="Arial"/>
                <w:color w:val="000000"/>
                <w:lang w:val="es-ES_tradnl"/>
              </w:rPr>
              <w:t>ó</w:t>
            </w:r>
            <w:r w:rsidR="006537E6" w:rsidRPr="00F85253">
              <w:rPr>
                <w:rFonts w:ascii="Arial" w:hAnsi="Arial" w:cs="Arial"/>
                <w:color w:val="000000"/>
                <w:lang w:val="es-ES_tradnl"/>
              </w:rPr>
              <w:t>me</w:t>
            </w:r>
            <w:r w:rsidR="00C358F8" w:rsidRPr="00F85253">
              <w:rPr>
                <w:rFonts w:ascii="Arial" w:hAnsi="Arial" w:cs="Arial"/>
                <w:color w:val="000000"/>
                <w:lang w:val="es-ES_tradnl"/>
              </w:rPr>
              <w:t>z</w:t>
            </w:r>
            <w:r w:rsidRPr="00F85253">
              <w:rPr>
                <w:rFonts w:ascii="Arial" w:hAnsi="Arial" w:cs="Arial"/>
                <w:color w:val="000000"/>
                <w:lang w:val="es-ES_tradnl"/>
              </w:rPr>
              <w:t xml:space="preserve"> </w:t>
            </w:r>
            <w:r w:rsidR="00C358F8" w:rsidRPr="00F85253">
              <w:rPr>
                <w:rFonts w:ascii="Arial" w:hAnsi="Arial" w:cs="Arial"/>
                <w:color w:val="000000"/>
                <w:lang w:val="es-ES_tradnl"/>
              </w:rPr>
              <w:t xml:space="preserve">y Ana Calvo </w:t>
            </w:r>
            <w:r w:rsidRPr="00F85253">
              <w:rPr>
                <w:rFonts w:ascii="Arial" w:hAnsi="Arial" w:cs="Arial"/>
                <w:color w:val="000000"/>
                <w:lang w:val="es-ES_tradnl"/>
              </w:rPr>
              <w:t>(FMM/C</w:t>
            </w:r>
            <w:r w:rsidR="00C358F8" w:rsidRPr="00F85253">
              <w:rPr>
                <w:rFonts w:ascii="Arial" w:hAnsi="Arial" w:cs="Arial"/>
                <w:color w:val="000000"/>
                <w:lang w:val="es-ES_tradnl"/>
              </w:rPr>
              <w:t>EC</w:t>
            </w:r>
            <w:r w:rsidRPr="00F85253">
              <w:rPr>
                <w:rFonts w:ascii="Arial" w:hAnsi="Arial" w:cs="Arial"/>
                <w:color w:val="000000"/>
                <w:lang w:val="es-ES_tradnl"/>
              </w:rPr>
              <w:t xml:space="preserve">). </w:t>
            </w:r>
          </w:p>
        </w:tc>
      </w:tr>
    </w:tbl>
    <w:p w14:paraId="72BF572D" w14:textId="77777777" w:rsidR="00F10D9A" w:rsidRPr="00F85253" w:rsidRDefault="00F10D9A">
      <w:pPr>
        <w:rPr>
          <w:rFonts w:ascii="Arial" w:hAnsi="Arial" w:cs="Arial"/>
          <w:lang w:val="es-ES_tradnl"/>
        </w:rPr>
      </w:pPr>
    </w:p>
    <w:p w14:paraId="31804D6A" w14:textId="77777777" w:rsidR="00F10D9A" w:rsidRPr="00F85253" w:rsidRDefault="007E781F">
      <w:pPr>
        <w:rPr>
          <w:rFonts w:ascii="Arial" w:hAnsi="Arial" w:cs="Arial"/>
          <w:lang w:val="es-ES_tradnl"/>
        </w:rPr>
        <w:sectPr w:rsidR="00F10D9A" w:rsidRPr="00F85253">
          <w:headerReference w:type="even" r:id="rId14"/>
          <w:headerReference w:type="default" r:id="rId15"/>
          <w:footerReference w:type="even" r:id="rId16"/>
          <w:footerReference w:type="default" r:id="rId17"/>
          <w:headerReference w:type="first" r:id="rId18"/>
          <w:footerReference w:type="first" r:id="rId19"/>
          <w:pgSz w:w="11906" w:h="16838"/>
          <w:pgMar w:top="994" w:right="1440" w:bottom="1166" w:left="1354" w:header="720" w:footer="720" w:gutter="0"/>
          <w:pgNumType w:start="1"/>
          <w:cols w:space="720"/>
          <w:titlePg/>
          <w:docGrid w:linePitch="360"/>
        </w:sectPr>
      </w:pPr>
      <w:r w:rsidRPr="00F85253">
        <w:rPr>
          <w:rFonts w:ascii="Arial" w:hAnsi="Arial" w:cs="Arial"/>
          <w:lang w:val="es-ES_tradnl"/>
        </w:rPr>
        <w:br w:type="page"/>
      </w:r>
    </w:p>
    <w:p w14:paraId="22269CEC" w14:textId="77777777" w:rsidR="00F10D9A" w:rsidRPr="00F85253" w:rsidRDefault="00F10D9A">
      <w:pPr>
        <w:rPr>
          <w:rFonts w:ascii="Arial" w:hAnsi="Arial" w:cs="Arial"/>
          <w:lang w:val="es-ES_tradnl"/>
        </w:rPr>
      </w:pPr>
    </w:p>
    <w:p w14:paraId="3E5ED32A" w14:textId="77777777" w:rsidR="00F10D9A" w:rsidRPr="00F85253" w:rsidRDefault="00F10D9A">
      <w:pPr>
        <w:rPr>
          <w:rFonts w:ascii="Arial" w:hAnsi="Arial" w:cs="Arial"/>
          <w:lang w:val="es-ES_tradnl"/>
        </w:rPr>
      </w:pPr>
    </w:p>
    <w:sdt>
      <w:sdtPr>
        <w:rPr>
          <w:rFonts w:ascii="Arial" w:hAnsi="Arial" w:cs="Arial"/>
          <w:lang w:val="es-ES_tradnl"/>
        </w:rPr>
        <w:id w:val="2121254010"/>
        <w:docPartObj>
          <w:docPartGallery w:val="Table of Contents"/>
          <w:docPartUnique/>
        </w:docPartObj>
      </w:sdtPr>
      <w:sdtEndPr>
        <w:rPr>
          <w:b/>
          <w:bCs/>
        </w:rPr>
      </w:sdtEndPr>
      <w:sdtContent>
        <w:p w14:paraId="56D7CC65" w14:textId="77777777" w:rsidR="00F10D9A" w:rsidRPr="00F85253" w:rsidRDefault="007E781F">
          <w:pPr>
            <w:rPr>
              <w:rFonts w:ascii="Arial" w:hAnsi="Arial" w:cs="Arial"/>
              <w:b/>
              <w:smallCaps/>
              <w:lang w:val="es-ES_tradnl"/>
            </w:rPr>
          </w:pPr>
          <w:r w:rsidRPr="00F85253">
            <w:rPr>
              <w:rFonts w:ascii="Arial" w:hAnsi="Arial" w:cs="Arial"/>
              <w:b/>
              <w:lang w:val="es-ES_tradnl"/>
            </w:rPr>
            <w:t>Contenidos</w:t>
          </w:r>
        </w:p>
        <w:p w14:paraId="2FC92C3D" w14:textId="77777777" w:rsidR="00CC2A1C" w:rsidRPr="00F85253" w:rsidRDefault="007E781F">
          <w:pPr>
            <w:pStyle w:val="TOC1"/>
            <w:rPr>
              <w:rFonts w:ascii="Arial" w:hAnsi="Arial" w:cs="Arial"/>
              <w:noProof/>
              <w:lang w:val="es-ES_tradnl"/>
            </w:rPr>
          </w:pPr>
          <w:r w:rsidRPr="00F85253">
            <w:rPr>
              <w:rFonts w:ascii="Arial" w:hAnsi="Arial" w:cs="Arial"/>
              <w:lang w:val="es-ES_tradnl"/>
            </w:rPr>
            <w:fldChar w:fldCharType="begin"/>
          </w:r>
          <w:r w:rsidRPr="00F85253">
            <w:rPr>
              <w:rFonts w:ascii="Arial" w:hAnsi="Arial" w:cs="Arial"/>
              <w:lang w:val="es-ES_tradnl"/>
            </w:rPr>
            <w:instrText xml:space="preserve"> TOC \o "1-3" \h \z \u </w:instrText>
          </w:r>
          <w:r w:rsidRPr="00F85253">
            <w:rPr>
              <w:rFonts w:ascii="Arial" w:hAnsi="Arial" w:cs="Arial"/>
              <w:lang w:val="es-ES_tradnl"/>
            </w:rPr>
            <w:fldChar w:fldCharType="separate"/>
          </w:r>
          <w:hyperlink w:anchor="_Toc518739329" w:history="1">
            <w:r w:rsidR="00CC2A1C" w:rsidRPr="00F85253">
              <w:rPr>
                <w:rStyle w:val="Hyperlink"/>
                <w:rFonts w:ascii="Arial" w:hAnsi="Arial" w:cs="Arial"/>
                <w:noProof/>
                <w:lang w:val="es-ES_tradnl"/>
              </w:rPr>
              <w:t>I.</w:t>
            </w:r>
            <w:r w:rsidR="00CC2A1C" w:rsidRPr="00F85253">
              <w:rPr>
                <w:rFonts w:ascii="Arial" w:hAnsi="Arial" w:cs="Arial"/>
                <w:noProof/>
                <w:lang w:val="es-ES_tradnl"/>
              </w:rPr>
              <w:tab/>
            </w:r>
            <w:r w:rsidR="00CC2A1C" w:rsidRPr="00F85253">
              <w:rPr>
                <w:rStyle w:val="Hyperlink"/>
                <w:rFonts w:ascii="Arial" w:hAnsi="Arial" w:cs="Arial"/>
                <w:noProof/>
                <w:lang w:val="es-ES_tradnl"/>
              </w:rPr>
              <w:t>Resumen Ejecutivo</w:t>
            </w:r>
            <w:r w:rsidR="00CC2A1C" w:rsidRPr="00F85253">
              <w:rPr>
                <w:rFonts w:ascii="Arial" w:hAnsi="Arial" w:cs="Arial"/>
                <w:noProof/>
                <w:webHidden/>
                <w:lang w:val="es-ES_tradnl"/>
              </w:rPr>
              <w:tab/>
            </w:r>
            <w:r w:rsidR="00CC2A1C" w:rsidRPr="00F85253">
              <w:rPr>
                <w:rFonts w:ascii="Arial" w:hAnsi="Arial" w:cs="Arial"/>
                <w:noProof/>
                <w:webHidden/>
                <w:lang w:val="es-ES_tradnl"/>
              </w:rPr>
              <w:fldChar w:fldCharType="begin"/>
            </w:r>
            <w:r w:rsidR="00CC2A1C" w:rsidRPr="00F85253">
              <w:rPr>
                <w:rFonts w:ascii="Arial" w:hAnsi="Arial" w:cs="Arial"/>
                <w:noProof/>
                <w:webHidden/>
                <w:lang w:val="es-ES_tradnl"/>
              </w:rPr>
              <w:instrText xml:space="preserve"> PAGEREF _Toc518739329 \h </w:instrText>
            </w:r>
            <w:r w:rsidR="00CC2A1C" w:rsidRPr="00F85253">
              <w:rPr>
                <w:rFonts w:ascii="Arial" w:hAnsi="Arial" w:cs="Arial"/>
                <w:noProof/>
                <w:webHidden/>
                <w:lang w:val="es-ES_tradnl"/>
              </w:rPr>
            </w:r>
            <w:r w:rsidR="00CC2A1C" w:rsidRPr="00F85253">
              <w:rPr>
                <w:rFonts w:ascii="Arial" w:hAnsi="Arial" w:cs="Arial"/>
                <w:noProof/>
                <w:webHidden/>
                <w:lang w:val="es-ES_tradnl"/>
              </w:rPr>
              <w:fldChar w:fldCharType="separate"/>
            </w:r>
            <w:r w:rsidR="0019652F" w:rsidRPr="00F85253">
              <w:rPr>
                <w:rFonts w:ascii="Arial" w:hAnsi="Arial" w:cs="Arial"/>
                <w:noProof/>
                <w:webHidden/>
                <w:lang w:val="es-ES_tradnl"/>
              </w:rPr>
              <w:t>3</w:t>
            </w:r>
            <w:r w:rsidR="00CC2A1C" w:rsidRPr="00F85253">
              <w:rPr>
                <w:rFonts w:ascii="Arial" w:hAnsi="Arial" w:cs="Arial"/>
                <w:noProof/>
                <w:webHidden/>
                <w:lang w:val="es-ES_tradnl"/>
              </w:rPr>
              <w:fldChar w:fldCharType="end"/>
            </w:r>
          </w:hyperlink>
        </w:p>
        <w:p w14:paraId="53B2E911" w14:textId="77777777" w:rsidR="00CC2A1C" w:rsidRPr="00F85253" w:rsidRDefault="008E5945">
          <w:pPr>
            <w:pStyle w:val="TOC1"/>
            <w:rPr>
              <w:rFonts w:ascii="Arial" w:hAnsi="Arial" w:cs="Arial"/>
              <w:noProof/>
              <w:lang w:val="es-ES_tradnl"/>
            </w:rPr>
          </w:pPr>
          <w:hyperlink w:anchor="_Toc518739330" w:history="1">
            <w:r w:rsidR="00CC2A1C" w:rsidRPr="00F85253">
              <w:rPr>
                <w:rStyle w:val="Hyperlink"/>
                <w:rFonts w:ascii="Arial" w:hAnsi="Arial" w:cs="Arial"/>
                <w:bCs/>
                <w:noProof/>
                <w:lang w:val="es-ES_tradnl"/>
              </w:rPr>
              <w:t>II.</w:t>
            </w:r>
            <w:r w:rsidR="00CC2A1C" w:rsidRPr="00F85253">
              <w:rPr>
                <w:rFonts w:ascii="Arial" w:hAnsi="Arial" w:cs="Arial"/>
                <w:noProof/>
                <w:lang w:val="es-ES_tradnl"/>
              </w:rPr>
              <w:tab/>
            </w:r>
            <w:r w:rsidR="00CC2A1C" w:rsidRPr="00F85253">
              <w:rPr>
                <w:rStyle w:val="Hyperlink"/>
                <w:rFonts w:ascii="Arial" w:hAnsi="Arial" w:cs="Arial"/>
                <w:noProof/>
                <w:lang w:val="es-ES_tradnl"/>
              </w:rPr>
              <w:t>Antecedentes.</w:t>
            </w:r>
            <w:r w:rsidR="00CC2A1C" w:rsidRPr="00F85253">
              <w:rPr>
                <w:rFonts w:ascii="Arial" w:hAnsi="Arial" w:cs="Arial"/>
                <w:noProof/>
                <w:webHidden/>
                <w:lang w:val="es-ES_tradnl"/>
              </w:rPr>
              <w:tab/>
            </w:r>
            <w:r w:rsidR="00CC2A1C" w:rsidRPr="00F85253">
              <w:rPr>
                <w:rFonts w:ascii="Arial" w:hAnsi="Arial" w:cs="Arial"/>
                <w:noProof/>
                <w:webHidden/>
                <w:lang w:val="es-ES_tradnl"/>
              </w:rPr>
              <w:fldChar w:fldCharType="begin"/>
            </w:r>
            <w:r w:rsidR="00CC2A1C" w:rsidRPr="00F85253">
              <w:rPr>
                <w:rFonts w:ascii="Arial" w:hAnsi="Arial" w:cs="Arial"/>
                <w:noProof/>
                <w:webHidden/>
                <w:lang w:val="es-ES_tradnl"/>
              </w:rPr>
              <w:instrText xml:space="preserve"> PAGEREF _Toc518739330 \h </w:instrText>
            </w:r>
            <w:r w:rsidR="00CC2A1C" w:rsidRPr="00F85253">
              <w:rPr>
                <w:rFonts w:ascii="Arial" w:hAnsi="Arial" w:cs="Arial"/>
                <w:noProof/>
                <w:webHidden/>
                <w:lang w:val="es-ES_tradnl"/>
              </w:rPr>
            </w:r>
            <w:r w:rsidR="00CC2A1C" w:rsidRPr="00F85253">
              <w:rPr>
                <w:rFonts w:ascii="Arial" w:hAnsi="Arial" w:cs="Arial"/>
                <w:noProof/>
                <w:webHidden/>
                <w:lang w:val="es-ES_tradnl"/>
              </w:rPr>
              <w:fldChar w:fldCharType="separate"/>
            </w:r>
            <w:r w:rsidR="0019652F" w:rsidRPr="00F85253">
              <w:rPr>
                <w:rFonts w:ascii="Arial" w:hAnsi="Arial" w:cs="Arial"/>
                <w:noProof/>
                <w:webHidden/>
                <w:lang w:val="es-ES_tradnl"/>
              </w:rPr>
              <w:t>3</w:t>
            </w:r>
            <w:r w:rsidR="00CC2A1C" w:rsidRPr="00F85253">
              <w:rPr>
                <w:rFonts w:ascii="Arial" w:hAnsi="Arial" w:cs="Arial"/>
                <w:noProof/>
                <w:webHidden/>
                <w:lang w:val="es-ES_tradnl"/>
              </w:rPr>
              <w:fldChar w:fldCharType="end"/>
            </w:r>
          </w:hyperlink>
        </w:p>
        <w:p w14:paraId="11A400E7" w14:textId="77777777" w:rsidR="00CC2A1C" w:rsidRPr="00F85253" w:rsidRDefault="008E5945">
          <w:pPr>
            <w:pStyle w:val="TOC1"/>
            <w:rPr>
              <w:rFonts w:ascii="Arial" w:hAnsi="Arial" w:cs="Arial"/>
              <w:noProof/>
              <w:lang w:val="es-ES_tradnl"/>
            </w:rPr>
          </w:pPr>
          <w:hyperlink w:anchor="_Toc518739331" w:history="1">
            <w:r w:rsidR="00CC2A1C" w:rsidRPr="00F85253">
              <w:rPr>
                <w:rStyle w:val="Hyperlink"/>
                <w:rFonts w:ascii="Arial" w:hAnsi="Arial" w:cs="Arial"/>
                <w:noProof/>
                <w:lang w:val="es-ES_tradnl"/>
              </w:rPr>
              <w:t>III.</w:t>
            </w:r>
            <w:r w:rsidR="00CC2A1C" w:rsidRPr="00F85253">
              <w:rPr>
                <w:rFonts w:ascii="Arial" w:hAnsi="Arial" w:cs="Arial"/>
                <w:noProof/>
                <w:lang w:val="es-ES_tradnl"/>
              </w:rPr>
              <w:tab/>
            </w:r>
            <w:r w:rsidR="00CC2A1C" w:rsidRPr="00F85253">
              <w:rPr>
                <w:rStyle w:val="Hyperlink"/>
                <w:rFonts w:ascii="Arial" w:hAnsi="Arial" w:cs="Arial"/>
                <w:noProof/>
                <w:lang w:val="es-ES_tradnl"/>
              </w:rPr>
              <w:t xml:space="preserve">Problemas Específicos </w:t>
            </w:r>
            <w:r w:rsidR="008B387E" w:rsidRPr="00F85253">
              <w:rPr>
                <w:rStyle w:val="Hyperlink"/>
                <w:rFonts w:ascii="Arial" w:hAnsi="Arial" w:cs="Arial"/>
                <w:noProof/>
                <w:lang w:val="es-ES_tradnl"/>
              </w:rPr>
              <w:t>p</w:t>
            </w:r>
            <w:r w:rsidR="00CC2A1C" w:rsidRPr="00F85253">
              <w:rPr>
                <w:rStyle w:val="Hyperlink"/>
                <w:rFonts w:ascii="Arial" w:hAnsi="Arial" w:cs="Arial"/>
                <w:noProof/>
                <w:lang w:val="es-ES_tradnl"/>
              </w:rPr>
              <w:t xml:space="preserve">or Solucionar y sus Causas </w:t>
            </w:r>
            <w:r w:rsidR="00CC2A1C" w:rsidRPr="00F85253">
              <w:rPr>
                <w:rFonts w:ascii="Arial" w:hAnsi="Arial" w:cs="Arial"/>
                <w:noProof/>
                <w:webHidden/>
                <w:lang w:val="es-ES_tradnl"/>
              </w:rPr>
              <w:tab/>
            </w:r>
            <w:r w:rsidR="00CC2A1C" w:rsidRPr="00F85253">
              <w:rPr>
                <w:rFonts w:ascii="Arial" w:hAnsi="Arial" w:cs="Arial"/>
                <w:noProof/>
                <w:webHidden/>
                <w:lang w:val="es-ES_tradnl"/>
              </w:rPr>
              <w:fldChar w:fldCharType="begin"/>
            </w:r>
            <w:r w:rsidR="00CC2A1C" w:rsidRPr="00F85253">
              <w:rPr>
                <w:rFonts w:ascii="Arial" w:hAnsi="Arial" w:cs="Arial"/>
                <w:noProof/>
                <w:webHidden/>
                <w:lang w:val="es-ES_tradnl"/>
              </w:rPr>
              <w:instrText xml:space="preserve"> PAGEREF _Toc518739331 \h </w:instrText>
            </w:r>
            <w:r w:rsidR="00CC2A1C" w:rsidRPr="00F85253">
              <w:rPr>
                <w:rFonts w:ascii="Arial" w:hAnsi="Arial" w:cs="Arial"/>
                <w:noProof/>
                <w:webHidden/>
                <w:lang w:val="es-ES_tradnl"/>
              </w:rPr>
            </w:r>
            <w:r w:rsidR="00CC2A1C" w:rsidRPr="00F85253">
              <w:rPr>
                <w:rFonts w:ascii="Arial" w:hAnsi="Arial" w:cs="Arial"/>
                <w:noProof/>
                <w:webHidden/>
                <w:lang w:val="es-ES_tradnl"/>
              </w:rPr>
              <w:fldChar w:fldCharType="separate"/>
            </w:r>
            <w:r w:rsidR="0019652F" w:rsidRPr="00F85253">
              <w:rPr>
                <w:rFonts w:ascii="Arial" w:hAnsi="Arial" w:cs="Arial"/>
                <w:noProof/>
                <w:webHidden/>
                <w:lang w:val="es-ES_tradnl"/>
              </w:rPr>
              <w:t>8</w:t>
            </w:r>
            <w:r w:rsidR="00CC2A1C" w:rsidRPr="00F85253">
              <w:rPr>
                <w:rFonts w:ascii="Arial" w:hAnsi="Arial" w:cs="Arial"/>
                <w:noProof/>
                <w:webHidden/>
                <w:lang w:val="es-ES_tradnl"/>
              </w:rPr>
              <w:fldChar w:fldCharType="end"/>
            </w:r>
          </w:hyperlink>
        </w:p>
        <w:p w14:paraId="5BC35B95" w14:textId="77777777" w:rsidR="00CC2A1C" w:rsidRPr="00F85253" w:rsidRDefault="008E5945">
          <w:pPr>
            <w:pStyle w:val="TOC1"/>
            <w:tabs>
              <w:tab w:val="left" w:pos="880"/>
            </w:tabs>
            <w:rPr>
              <w:rFonts w:ascii="Arial" w:hAnsi="Arial" w:cs="Arial"/>
              <w:noProof/>
              <w:lang w:val="es-ES_tradnl"/>
            </w:rPr>
          </w:pPr>
          <w:hyperlink w:anchor="_Toc518739332" w:history="1">
            <w:r w:rsidR="00CC2A1C" w:rsidRPr="00F85253">
              <w:rPr>
                <w:rStyle w:val="Hyperlink"/>
                <w:rFonts w:ascii="Arial" w:hAnsi="Arial" w:cs="Arial"/>
                <w:noProof/>
                <w:lang w:val="es-ES_tradnl"/>
              </w:rPr>
              <w:t>IV.</w:t>
            </w:r>
            <w:r w:rsidR="00CC2A1C" w:rsidRPr="00F85253">
              <w:rPr>
                <w:rFonts w:ascii="Arial" w:hAnsi="Arial" w:cs="Arial"/>
                <w:noProof/>
                <w:lang w:val="es-ES_tradnl"/>
              </w:rPr>
              <w:tab/>
            </w:r>
            <w:r w:rsidR="00CC2A1C" w:rsidRPr="00F85253">
              <w:rPr>
                <w:rStyle w:val="Hyperlink"/>
                <w:rFonts w:ascii="Arial" w:hAnsi="Arial" w:cs="Arial"/>
                <w:noProof/>
                <w:lang w:val="es-ES_tradnl"/>
              </w:rPr>
              <w:t>Soluciones propuestas</w:t>
            </w:r>
            <w:r w:rsidR="00CC2A1C" w:rsidRPr="00F85253">
              <w:rPr>
                <w:rFonts w:ascii="Arial" w:hAnsi="Arial" w:cs="Arial"/>
                <w:noProof/>
                <w:webHidden/>
                <w:lang w:val="es-ES_tradnl"/>
              </w:rPr>
              <w:tab/>
            </w:r>
            <w:r w:rsidR="00CC2A1C" w:rsidRPr="00F85253">
              <w:rPr>
                <w:rFonts w:ascii="Arial" w:hAnsi="Arial" w:cs="Arial"/>
                <w:noProof/>
                <w:webHidden/>
                <w:lang w:val="es-ES_tradnl"/>
              </w:rPr>
              <w:fldChar w:fldCharType="begin"/>
            </w:r>
            <w:r w:rsidR="00CC2A1C" w:rsidRPr="00F85253">
              <w:rPr>
                <w:rFonts w:ascii="Arial" w:hAnsi="Arial" w:cs="Arial"/>
                <w:noProof/>
                <w:webHidden/>
                <w:lang w:val="es-ES_tradnl"/>
              </w:rPr>
              <w:instrText xml:space="preserve"> PAGEREF _Toc518739332 \h </w:instrText>
            </w:r>
            <w:r w:rsidR="00CC2A1C" w:rsidRPr="00F85253">
              <w:rPr>
                <w:rFonts w:ascii="Arial" w:hAnsi="Arial" w:cs="Arial"/>
                <w:noProof/>
                <w:webHidden/>
                <w:lang w:val="es-ES_tradnl"/>
              </w:rPr>
            </w:r>
            <w:r w:rsidR="00CC2A1C" w:rsidRPr="00F85253">
              <w:rPr>
                <w:rFonts w:ascii="Arial" w:hAnsi="Arial" w:cs="Arial"/>
                <w:noProof/>
                <w:webHidden/>
                <w:lang w:val="es-ES_tradnl"/>
              </w:rPr>
              <w:fldChar w:fldCharType="separate"/>
            </w:r>
            <w:r w:rsidR="0019652F" w:rsidRPr="00F85253">
              <w:rPr>
                <w:rFonts w:ascii="Arial" w:hAnsi="Arial" w:cs="Arial"/>
                <w:noProof/>
                <w:webHidden/>
                <w:lang w:val="es-ES_tradnl"/>
              </w:rPr>
              <w:t>11</w:t>
            </w:r>
            <w:r w:rsidR="00CC2A1C" w:rsidRPr="00F85253">
              <w:rPr>
                <w:rFonts w:ascii="Arial" w:hAnsi="Arial" w:cs="Arial"/>
                <w:noProof/>
                <w:webHidden/>
                <w:lang w:val="es-ES_tradnl"/>
              </w:rPr>
              <w:fldChar w:fldCharType="end"/>
            </w:r>
          </w:hyperlink>
        </w:p>
        <w:p w14:paraId="709D4FC6" w14:textId="77777777" w:rsidR="00CC2A1C" w:rsidRPr="00F85253" w:rsidRDefault="008E5945">
          <w:pPr>
            <w:pStyle w:val="TOC1"/>
            <w:rPr>
              <w:rFonts w:ascii="Arial" w:hAnsi="Arial" w:cs="Arial"/>
              <w:noProof/>
              <w:lang w:val="es-ES_tradnl"/>
            </w:rPr>
          </w:pPr>
          <w:hyperlink w:anchor="_Toc518739333" w:history="1">
            <w:r w:rsidR="00CC2A1C" w:rsidRPr="00F85253">
              <w:rPr>
                <w:rStyle w:val="Hyperlink"/>
                <w:rFonts w:ascii="Arial" w:hAnsi="Arial" w:cs="Arial"/>
                <w:noProof/>
                <w:lang w:val="es-ES_tradnl"/>
              </w:rPr>
              <w:t>V.</w:t>
            </w:r>
            <w:r w:rsidR="00CC2A1C" w:rsidRPr="00F85253">
              <w:rPr>
                <w:rFonts w:ascii="Arial" w:hAnsi="Arial" w:cs="Arial"/>
                <w:noProof/>
                <w:lang w:val="es-ES_tradnl"/>
              </w:rPr>
              <w:tab/>
            </w:r>
            <w:r w:rsidR="00CC2A1C" w:rsidRPr="00F85253">
              <w:rPr>
                <w:rStyle w:val="Hyperlink"/>
                <w:rFonts w:ascii="Arial" w:hAnsi="Arial" w:cs="Arial"/>
                <w:noProof/>
                <w:lang w:val="es-ES_tradnl"/>
              </w:rPr>
              <w:t xml:space="preserve">Calculo del beneficio </w:t>
            </w:r>
            <w:r w:rsidR="008B387E" w:rsidRPr="00F85253">
              <w:rPr>
                <w:rStyle w:val="Hyperlink"/>
                <w:rFonts w:ascii="Arial" w:hAnsi="Arial" w:cs="Arial"/>
                <w:noProof/>
                <w:lang w:val="es-ES_tradnl"/>
              </w:rPr>
              <w:t>neto del proyecto</w:t>
            </w:r>
            <w:r w:rsidR="00CC2A1C" w:rsidRPr="00F85253">
              <w:rPr>
                <w:rStyle w:val="Hyperlink"/>
                <w:rFonts w:ascii="Arial" w:hAnsi="Arial" w:cs="Arial"/>
                <w:noProof/>
                <w:lang w:val="es-ES_tradnl"/>
              </w:rPr>
              <w:t>.</w:t>
            </w:r>
            <w:r w:rsidR="00CC2A1C" w:rsidRPr="00F85253">
              <w:rPr>
                <w:rFonts w:ascii="Arial" w:hAnsi="Arial" w:cs="Arial"/>
                <w:noProof/>
                <w:webHidden/>
                <w:lang w:val="es-ES_tradnl"/>
              </w:rPr>
              <w:tab/>
            </w:r>
            <w:r w:rsidR="00CC2A1C" w:rsidRPr="00F85253">
              <w:rPr>
                <w:rFonts w:ascii="Arial" w:hAnsi="Arial" w:cs="Arial"/>
                <w:noProof/>
                <w:webHidden/>
                <w:lang w:val="es-ES_tradnl"/>
              </w:rPr>
              <w:fldChar w:fldCharType="begin"/>
            </w:r>
            <w:r w:rsidR="00CC2A1C" w:rsidRPr="00F85253">
              <w:rPr>
                <w:rFonts w:ascii="Arial" w:hAnsi="Arial" w:cs="Arial"/>
                <w:noProof/>
                <w:webHidden/>
                <w:lang w:val="es-ES_tradnl"/>
              </w:rPr>
              <w:instrText xml:space="preserve"> PAGEREF _Toc518739333 \h </w:instrText>
            </w:r>
            <w:r w:rsidR="00CC2A1C" w:rsidRPr="00F85253">
              <w:rPr>
                <w:rFonts w:ascii="Arial" w:hAnsi="Arial" w:cs="Arial"/>
                <w:noProof/>
                <w:webHidden/>
                <w:lang w:val="es-ES_tradnl"/>
              </w:rPr>
            </w:r>
            <w:r w:rsidR="00CC2A1C" w:rsidRPr="00F85253">
              <w:rPr>
                <w:rFonts w:ascii="Arial" w:hAnsi="Arial" w:cs="Arial"/>
                <w:noProof/>
                <w:webHidden/>
                <w:lang w:val="es-ES_tradnl"/>
              </w:rPr>
              <w:fldChar w:fldCharType="separate"/>
            </w:r>
            <w:r w:rsidR="0019652F" w:rsidRPr="00F85253">
              <w:rPr>
                <w:rFonts w:ascii="Arial" w:hAnsi="Arial" w:cs="Arial"/>
                <w:noProof/>
                <w:webHidden/>
                <w:lang w:val="es-ES_tradnl"/>
              </w:rPr>
              <w:t>13</w:t>
            </w:r>
            <w:r w:rsidR="00CC2A1C" w:rsidRPr="00F85253">
              <w:rPr>
                <w:rFonts w:ascii="Arial" w:hAnsi="Arial" w:cs="Arial"/>
                <w:noProof/>
                <w:webHidden/>
                <w:lang w:val="es-ES_tradnl"/>
              </w:rPr>
              <w:fldChar w:fldCharType="end"/>
            </w:r>
          </w:hyperlink>
        </w:p>
        <w:p w14:paraId="5E0A474E" w14:textId="77777777" w:rsidR="00CC2A1C" w:rsidRPr="00F85253" w:rsidRDefault="008E5945">
          <w:pPr>
            <w:pStyle w:val="TOC1"/>
            <w:tabs>
              <w:tab w:val="left" w:pos="880"/>
            </w:tabs>
            <w:rPr>
              <w:rFonts w:ascii="Arial" w:hAnsi="Arial" w:cs="Arial"/>
              <w:noProof/>
              <w:lang w:val="es-ES_tradnl"/>
            </w:rPr>
          </w:pPr>
          <w:hyperlink w:anchor="_Toc518739335" w:history="1">
            <w:r w:rsidR="00CC2A1C" w:rsidRPr="00F85253">
              <w:rPr>
                <w:rStyle w:val="Hyperlink"/>
                <w:rFonts w:ascii="Arial" w:hAnsi="Arial" w:cs="Arial"/>
                <w:noProof/>
                <w:lang w:val="es-ES_tradnl"/>
              </w:rPr>
              <w:t>VI.</w:t>
            </w:r>
            <w:r w:rsidR="00CC2A1C" w:rsidRPr="00F85253">
              <w:rPr>
                <w:rFonts w:ascii="Arial" w:hAnsi="Arial" w:cs="Arial"/>
                <w:noProof/>
                <w:lang w:val="es-ES_tradnl"/>
              </w:rPr>
              <w:tab/>
            </w:r>
            <w:r w:rsidR="00CC2A1C" w:rsidRPr="00F85253">
              <w:rPr>
                <w:rStyle w:val="Hyperlink"/>
                <w:rFonts w:ascii="Arial" w:hAnsi="Arial" w:cs="Arial"/>
                <w:noProof/>
                <w:lang w:val="es-ES_tradnl"/>
              </w:rPr>
              <w:t>Costos del Proyecto</w:t>
            </w:r>
            <w:r w:rsidR="00CC2A1C" w:rsidRPr="00F85253">
              <w:rPr>
                <w:rFonts w:ascii="Arial" w:hAnsi="Arial" w:cs="Arial"/>
                <w:noProof/>
                <w:webHidden/>
                <w:lang w:val="es-ES_tradnl"/>
              </w:rPr>
              <w:tab/>
            </w:r>
            <w:r w:rsidR="00CC2A1C" w:rsidRPr="00F85253">
              <w:rPr>
                <w:rFonts w:ascii="Arial" w:hAnsi="Arial" w:cs="Arial"/>
                <w:noProof/>
                <w:webHidden/>
                <w:lang w:val="es-ES_tradnl"/>
              </w:rPr>
              <w:fldChar w:fldCharType="begin"/>
            </w:r>
            <w:r w:rsidR="00CC2A1C" w:rsidRPr="00F85253">
              <w:rPr>
                <w:rFonts w:ascii="Arial" w:hAnsi="Arial" w:cs="Arial"/>
                <w:noProof/>
                <w:webHidden/>
                <w:lang w:val="es-ES_tradnl"/>
              </w:rPr>
              <w:instrText xml:space="preserve"> PAGEREF _Toc518739335 \h </w:instrText>
            </w:r>
            <w:r w:rsidR="00CC2A1C" w:rsidRPr="00F85253">
              <w:rPr>
                <w:rFonts w:ascii="Arial" w:hAnsi="Arial" w:cs="Arial"/>
                <w:noProof/>
                <w:webHidden/>
                <w:lang w:val="es-ES_tradnl"/>
              </w:rPr>
            </w:r>
            <w:r w:rsidR="00CC2A1C" w:rsidRPr="00F85253">
              <w:rPr>
                <w:rFonts w:ascii="Arial" w:hAnsi="Arial" w:cs="Arial"/>
                <w:noProof/>
                <w:webHidden/>
                <w:lang w:val="es-ES_tradnl"/>
              </w:rPr>
              <w:fldChar w:fldCharType="separate"/>
            </w:r>
            <w:r w:rsidR="0019652F" w:rsidRPr="00F85253">
              <w:rPr>
                <w:rFonts w:ascii="Arial" w:hAnsi="Arial" w:cs="Arial"/>
                <w:noProof/>
                <w:webHidden/>
                <w:lang w:val="es-ES_tradnl"/>
              </w:rPr>
              <w:t>22</w:t>
            </w:r>
            <w:r w:rsidR="00CC2A1C" w:rsidRPr="00F85253">
              <w:rPr>
                <w:rFonts w:ascii="Arial" w:hAnsi="Arial" w:cs="Arial"/>
                <w:noProof/>
                <w:webHidden/>
                <w:lang w:val="es-ES_tradnl"/>
              </w:rPr>
              <w:fldChar w:fldCharType="end"/>
            </w:r>
          </w:hyperlink>
        </w:p>
        <w:p w14:paraId="4B5E5639" w14:textId="77777777" w:rsidR="00CC2A1C" w:rsidRPr="00F85253" w:rsidRDefault="008E5945">
          <w:pPr>
            <w:pStyle w:val="TOC1"/>
            <w:tabs>
              <w:tab w:val="left" w:pos="880"/>
            </w:tabs>
            <w:rPr>
              <w:rFonts w:ascii="Arial" w:hAnsi="Arial" w:cs="Arial"/>
              <w:noProof/>
              <w:lang w:val="es-ES_tradnl"/>
            </w:rPr>
          </w:pPr>
          <w:hyperlink w:anchor="_Toc518739336" w:history="1">
            <w:r w:rsidR="00CC2A1C" w:rsidRPr="00F85253">
              <w:rPr>
                <w:rStyle w:val="Hyperlink"/>
                <w:rFonts w:ascii="Arial" w:hAnsi="Arial" w:cs="Arial"/>
                <w:noProof/>
                <w:lang w:val="es-ES_tradnl"/>
              </w:rPr>
              <w:t>VII.</w:t>
            </w:r>
            <w:r w:rsidR="00CC2A1C" w:rsidRPr="00F85253">
              <w:rPr>
                <w:rFonts w:ascii="Arial" w:hAnsi="Arial" w:cs="Arial"/>
                <w:noProof/>
                <w:lang w:val="es-ES_tradnl"/>
              </w:rPr>
              <w:tab/>
            </w:r>
            <w:r w:rsidR="00CC2A1C" w:rsidRPr="00F85253">
              <w:rPr>
                <w:rStyle w:val="Hyperlink"/>
                <w:rFonts w:ascii="Arial" w:hAnsi="Arial" w:cs="Arial"/>
                <w:noProof/>
                <w:lang w:val="es-ES_tradnl"/>
              </w:rPr>
              <w:t>Análisis de Sensibilidad</w:t>
            </w:r>
            <w:r w:rsidR="00CC2A1C" w:rsidRPr="00F85253">
              <w:rPr>
                <w:rFonts w:ascii="Arial" w:hAnsi="Arial" w:cs="Arial"/>
                <w:noProof/>
                <w:webHidden/>
                <w:lang w:val="es-ES_tradnl"/>
              </w:rPr>
              <w:tab/>
            </w:r>
            <w:r w:rsidR="00CC2A1C" w:rsidRPr="00F85253">
              <w:rPr>
                <w:rFonts w:ascii="Arial" w:hAnsi="Arial" w:cs="Arial"/>
                <w:noProof/>
                <w:webHidden/>
                <w:lang w:val="es-ES_tradnl"/>
              </w:rPr>
              <w:fldChar w:fldCharType="begin"/>
            </w:r>
            <w:r w:rsidR="00CC2A1C" w:rsidRPr="00F85253">
              <w:rPr>
                <w:rFonts w:ascii="Arial" w:hAnsi="Arial" w:cs="Arial"/>
                <w:noProof/>
                <w:webHidden/>
                <w:lang w:val="es-ES_tradnl"/>
              </w:rPr>
              <w:instrText xml:space="preserve"> PAGEREF _Toc518739336 \h </w:instrText>
            </w:r>
            <w:r w:rsidR="00CC2A1C" w:rsidRPr="00F85253">
              <w:rPr>
                <w:rFonts w:ascii="Arial" w:hAnsi="Arial" w:cs="Arial"/>
                <w:noProof/>
                <w:webHidden/>
                <w:lang w:val="es-ES_tradnl"/>
              </w:rPr>
            </w:r>
            <w:r w:rsidR="00CC2A1C" w:rsidRPr="00F85253">
              <w:rPr>
                <w:rFonts w:ascii="Arial" w:hAnsi="Arial" w:cs="Arial"/>
                <w:noProof/>
                <w:webHidden/>
                <w:lang w:val="es-ES_tradnl"/>
              </w:rPr>
              <w:fldChar w:fldCharType="separate"/>
            </w:r>
            <w:r w:rsidR="0019652F" w:rsidRPr="00F85253">
              <w:rPr>
                <w:rFonts w:ascii="Arial" w:hAnsi="Arial" w:cs="Arial"/>
                <w:noProof/>
                <w:webHidden/>
                <w:lang w:val="es-ES_tradnl"/>
              </w:rPr>
              <w:t>24</w:t>
            </w:r>
            <w:r w:rsidR="00CC2A1C" w:rsidRPr="00F85253">
              <w:rPr>
                <w:rFonts w:ascii="Arial" w:hAnsi="Arial" w:cs="Arial"/>
                <w:noProof/>
                <w:webHidden/>
                <w:lang w:val="es-ES_tradnl"/>
              </w:rPr>
              <w:fldChar w:fldCharType="end"/>
            </w:r>
          </w:hyperlink>
        </w:p>
        <w:p w14:paraId="7D1EAF35" w14:textId="77777777" w:rsidR="00CC2A1C" w:rsidRPr="00F85253" w:rsidRDefault="008E5945">
          <w:pPr>
            <w:pStyle w:val="TOC1"/>
            <w:rPr>
              <w:rFonts w:ascii="Arial" w:hAnsi="Arial" w:cs="Arial"/>
              <w:noProof/>
              <w:lang w:val="es-ES_tradnl"/>
            </w:rPr>
          </w:pPr>
          <w:hyperlink w:anchor="_Toc518739337" w:history="1">
            <w:r w:rsidR="008B387E" w:rsidRPr="00F85253">
              <w:rPr>
                <w:rStyle w:val="Hyperlink"/>
                <w:rFonts w:ascii="Arial" w:hAnsi="Arial" w:cs="Arial"/>
                <w:noProof/>
                <w:lang w:val="es-ES_tradnl"/>
              </w:rPr>
              <w:t>ANEXO I – Precios Eficiencia</w:t>
            </w:r>
            <w:r w:rsidR="00CC2A1C" w:rsidRPr="00F85253">
              <w:rPr>
                <w:rStyle w:val="Hyperlink"/>
                <w:rFonts w:ascii="Arial" w:hAnsi="Arial" w:cs="Arial"/>
                <w:noProof/>
                <w:lang w:val="es-ES_tradnl"/>
              </w:rPr>
              <w:t xml:space="preserve"> - Estimación de los Costos Económicos de Inversión y Mantenimiento</w:t>
            </w:r>
            <w:r w:rsidR="00CC2A1C" w:rsidRPr="00F85253">
              <w:rPr>
                <w:rFonts w:ascii="Arial" w:hAnsi="Arial" w:cs="Arial"/>
                <w:noProof/>
                <w:webHidden/>
                <w:lang w:val="es-ES_tradnl"/>
              </w:rPr>
              <w:tab/>
            </w:r>
            <w:r w:rsidR="00CC2A1C" w:rsidRPr="00F85253">
              <w:rPr>
                <w:rFonts w:ascii="Arial" w:hAnsi="Arial" w:cs="Arial"/>
                <w:noProof/>
                <w:webHidden/>
                <w:lang w:val="es-ES_tradnl"/>
              </w:rPr>
              <w:fldChar w:fldCharType="begin"/>
            </w:r>
            <w:r w:rsidR="00CC2A1C" w:rsidRPr="00F85253">
              <w:rPr>
                <w:rFonts w:ascii="Arial" w:hAnsi="Arial" w:cs="Arial"/>
                <w:noProof/>
                <w:webHidden/>
                <w:lang w:val="es-ES_tradnl"/>
              </w:rPr>
              <w:instrText xml:space="preserve"> PAGEREF _Toc518739337 \h </w:instrText>
            </w:r>
            <w:r w:rsidR="00CC2A1C" w:rsidRPr="00F85253">
              <w:rPr>
                <w:rFonts w:ascii="Arial" w:hAnsi="Arial" w:cs="Arial"/>
                <w:noProof/>
                <w:webHidden/>
                <w:lang w:val="es-ES_tradnl"/>
              </w:rPr>
            </w:r>
            <w:r w:rsidR="00CC2A1C" w:rsidRPr="00F85253">
              <w:rPr>
                <w:rFonts w:ascii="Arial" w:hAnsi="Arial" w:cs="Arial"/>
                <w:noProof/>
                <w:webHidden/>
                <w:lang w:val="es-ES_tradnl"/>
              </w:rPr>
              <w:fldChar w:fldCharType="separate"/>
            </w:r>
            <w:r w:rsidR="0019652F" w:rsidRPr="00F85253">
              <w:rPr>
                <w:rFonts w:ascii="Arial" w:hAnsi="Arial" w:cs="Arial"/>
                <w:noProof/>
                <w:webHidden/>
                <w:lang w:val="es-ES_tradnl"/>
              </w:rPr>
              <w:t>27</w:t>
            </w:r>
            <w:r w:rsidR="00CC2A1C" w:rsidRPr="00F85253">
              <w:rPr>
                <w:rFonts w:ascii="Arial" w:hAnsi="Arial" w:cs="Arial"/>
                <w:noProof/>
                <w:webHidden/>
                <w:lang w:val="es-ES_tradnl"/>
              </w:rPr>
              <w:fldChar w:fldCharType="end"/>
            </w:r>
          </w:hyperlink>
        </w:p>
        <w:p w14:paraId="1D3470AD" w14:textId="77777777" w:rsidR="00CC2A1C" w:rsidRPr="00F85253" w:rsidRDefault="008E5945">
          <w:pPr>
            <w:pStyle w:val="TOC1"/>
            <w:rPr>
              <w:rFonts w:ascii="Arial" w:hAnsi="Arial" w:cs="Arial"/>
              <w:noProof/>
              <w:lang w:val="es-ES_tradnl"/>
            </w:rPr>
          </w:pPr>
          <w:hyperlink w:anchor="_Toc518739338" w:history="1">
            <w:r w:rsidR="00CC2A1C" w:rsidRPr="00F85253">
              <w:rPr>
                <w:rStyle w:val="Hyperlink"/>
                <w:rFonts w:ascii="Arial" w:hAnsi="Arial" w:cs="Arial"/>
                <w:b/>
                <w:noProof/>
                <w:spacing w:val="-2"/>
                <w:lang w:val="es-ES_tradnl"/>
              </w:rPr>
              <w:t>Bibliografía</w:t>
            </w:r>
            <w:r w:rsidR="00CC2A1C" w:rsidRPr="00F85253">
              <w:rPr>
                <w:rFonts w:ascii="Arial" w:hAnsi="Arial" w:cs="Arial"/>
                <w:noProof/>
                <w:webHidden/>
                <w:lang w:val="es-ES_tradnl"/>
              </w:rPr>
              <w:tab/>
            </w:r>
            <w:r w:rsidR="00CC2A1C" w:rsidRPr="00F85253">
              <w:rPr>
                <w:rFonts w:ascii="Arial" w:hAnsi="Arial" w:cs="Arial"/>
                <w:noProof/>
                <w:webHidden/>
                <w:lang w:val="es-ES_tradnl"/>
              </w:rPr>
              <w:fldChar w:fldCharType="begin"/>
            </w:r>
            <w:r w:rsidR="00CC2A1C" w:rsidRPr="00F85253">
              <w:rPr>
                <w:rFonts w:ascii="Arial" w:hAnsi="Arial" w:cs="Arial"/>
                <w:noProof/>
                <w:webHidden/>
                <w:lang w:val="es-ES_tradnl"/>
              </w:rPr>
              <w:instrText xml:space="preserve"> PAGEREF _Toc518739338 \h </w:instrText>
            </w:r>
            <w:r w:rsidR="00CC2A1C" w:rsidRPr="00F85253">
              <w:rPr>
                <w:rFonts w:ascii="Arial" w:hAnsi="Arial" w:cs="Arial"/>
                <w:noProof/>
                <w:webHidden/>
                <w:lang w:val="es-ES_tradnl"/>
              </w:rPr>
            </w:r>
            <w:r w:rsidR="00CC2A1C" w:rsidRPr="00F85253">
              <w:rPr>
                <w:rFonts w:ascii="Arial" w:hAnsi="Arial" w:cs="Arial"/>
                <w:noProof/>
                <w:webHidden/>
                <w:lang w:val="es-ES_tradnl"/>
              </w:rPr>
              <w:fldChar w:fldCharType="separate"/>
            </w:r>
            <w:r w:rsidR="0019652F" w:rsidRPr="00F85253">
              <w:rPr>
                <w:rFonts w:ascii="Arial" w:hAnsi="Arial" w:cs="Arial"/>
                <w:noProof/>
                <w:webHidden/>
                <w:lang w:val="es-ES_tradnl"/>
              </w:rPr>
              <w:t>30</w:t>
            </w:r>
            <w:r w:rsidR="00CC2A1C" w:rsidRPr="00F85253">
              <w:rPr>
                <w:rFonts w:ascii="Arial" w:hAnsi="Arial" w:cs="Arial"/>
                <w:noProof/>
                <w:webHidden/>
                <w:lang w:val="es-ES_tradnl"/>
              </w:rPr>
              <w:fldChar w:fldCharType="end"/>
            </w:r>
          </w:hyperlink>
        </w:p>
        <w:p w14:paraId="7FD37064" w14:textId="77777777" w:rsidR="00F10D9A" w:rsidRPr="00F85253" w:rsidRDefault="007E781F">
          <w:pPr>
            <w:rPr>
              <w:rFonts w:ascii="Arial" w:hAnsi="Arial" w:cs="Arial"/>
              <w:lang w:val="es-ES_tradnl"/>
            </w:rPr>
          </w:pPr>
          <w:r w:rsidRPr="00F85253">
            <w:rPr>
              <w:rFonts w:ascii="Arial" w:hAnsi="Arial" w:cs="Arial"/>
              <w:b/>
              <w:bCs/>
              <w:lang w:val="es-ES_tradnl"/>
            </w:rPr>
            <w:fldChar w:fldCharType="end"/>
          </w:r>
        </w:p>
      </w:sdtContent>
    </w:sdt>
    <w:p w14:paraId="6D8B9A78" w14:textId="77777777" w:rsidR="00F10D9A" w:rsidRPr="00F85253" w:rsidRDefault="007E781F">
      <w:pPr>
        <w:rPr>
          <w:rFonts w:ascii="Arial" w:hAnsi="Arial" w:cs="Arial"/>
          <w:b/>
          <w:smallCaps/>
          <w:lang w:val="es-ES_tradnl"/>
        </w:rPr>
      </w:pPr>
      <w:r w:rsidRPr="00F85253">
        <w:rPr>
          <w:rFonts w:ascii="Arial" w:hAnsi="Arial" w:cs="Arial"/>
          <w:b/>
          <w:smallCaps/>
          <w:lang w:val="es-ES_tradnl"/>
        </w:rPr>
        <w:br w:type="page"/>
      </w:r>
    </w:p>
    <w:p w14:paraId="1FB1EE66" w14:textId="77777777" w:rsidR="00F10D9A" w:rsidRPr="00F85253" w:rsidRDefault="007E781F" w:rsidP="001E4112">
      <w:pPr>
        <w:pStyle w:val="Chapter"/>
        <w:numPr>
          <w:ilvl w:val="0"/>
          <w:numId w:val="2"/>
        </w:numPr>
        <w:spacing w:before="0" w:after="0" w:line="276" w:lineRule="auto"/>
        <w:ind w:left="900" w:hanging="792"/>
        <w:jc w:val="both"/>
        <w:outlineLvl w:val="0"/>
        <w:rPr>
          <w:rFonts w:ascii="Arial" w:hAnsi="Arial" w:cs="Arial"/>
          <w:sz w:val="22"/>
          <w:szCs w:val="22"/>
          <w:lang w:val="es-ES_tradnl"/>
        </w:rPr>
      </w:pPr>
      <w:bookmarkStart w:id="2" w:name="_Toc518739329"/>
      <w:r w:rsidRPr="00F85253">
        <w:rPr>
          <w:rFonts w:ascii="Arial" w:hAnsi="Arial" w:cs="Arial"/>
          <w:sz w:val="22"/>
          <w:szCs w:val="22"/>
          <w:lang w:val="es-ES_tradnl"/>
        </w:rPr>
        <w:lastRenderedPageBreak/>
        <w:t>Resumen Ejecutivo</w:t>
      </w:r>
      <w:bookmarkEnd w:id="2"/>
    </w:p>
    <w:p w14:paraId="08137BD3" w14:textId="77777777" w:rsidR="00135069" w:rsidRPr="00F85253" w:rsidRDefault="00135069" w:rsidP="001E4112">
      <w:pPr>
        <w:pStyle w:val="Paragraph"/>
        <w:spacing w:before="0" w:after="0" w:line="276" w:lineRule="auto"/>
        <w:ind w:left="720"/>
        <w:outlineLvl w:val="9"/>
        <w:rPr>
          <w:rFonts w:ascii="Arial" w:hAnsi="Arial" w:cs="Arial"/>
          <w:sz w:val="22"/>
          <w:szCs w:val="22"/>
          <w:lang w:val="es-ES_tradnl"/>
        </w:rPr>
      </w:pPr>
    </w:p>
    <w:p w14:paraId="6E820D0A" w14:textId="5470F483" w:rsidR="00135069" w:rsidRPr="00F85253" w:rsidRDefault="000B2BC8" w:rsidP="001E4112">
      <w:pPr>
        <w:pStyle w:val="Paragraph"/>
        <w:numPr>
          <w:ilvl w:val="1"/>
          <w:numId w:val="2"/>
        </w:numPr>
        <w:tabs>
          <w:tab w:val="clear" w:pos="1296"/>
          <w:tab w:val="num" w:pos="720"/>
        </w:tabs>
        <w:spacing w:before="0" w:after="0" w:line="276" w:lineRule="auto"/>
        <w:ind w:left="720" w:hanging="720"/>
        <w:outlineLvl w:val="9"/>
        <w:rPr>
          <w:rFonts w:ascii="Arial" w:hAnsi="Arial" w:cs="Arial"/>
          <w:sz w:val="22"/>
          <w:szCs w:val="22"/>
          <w:lang w:val="es-ES_tradnl"/>
        </w:rPr>
      </w:pPr>
      <w:r w:rsidRPr="00F85253">
        <w:rPr>
          <w:rFonts w:ascii="Arial" w:hAnsi="Arial" w:cs="Arial"/>
          <w:sz w:val="22"/>
          <w:szCs w:val="22"/>
          <w:lang w:val="es-ES_tradnl"/>
        </w:rPr>
        <w:t>E</w:t>
      </w:r>
      <w:r w:rsidR="00135069" w:rsidRPr="00F85253">
        <w:rPr>
          <w:rFonts w:ascii="Arial" w:hAnsi="Arial" w:cs="Arial"/>
          <w:sz w:val="22"/>
          <w:szCs w:val="22"/>
          <w:lang w:val="es-ES_tradnl"/>
        </w:rPr>
        <w:t xml:space="preserve">l presente documento </w:t>
      </w:r>
      <w:r w:rsidR="00116B84" w:rsidRPr="00F85253">
        <w:rPr>
          <w:rFonts w:ascii="Arial" w:hAnsi="Arial" w:cs="Arial"/>
          <w:sz w:val="22"/>
          <w:szCs w:val="22"/>
          <w:lang w:val="es-ES_tradnl"/>
        </w:rPr>
        <w:t>muestra</w:t>
      </w:r>
      <w:r w:rsidR="00135069" w:rsidRPr="00F85253">
        <w:rPr>
          <w:rFonts w:ascii="Arial" w:hAnsi="Arial" w:cs="Arial"/>
          <w:sz w:val="22"/>
          <w:szCs w:val="22"/>
          <w:lang w:val="es-ES_tradnl"/>
        </w:rPr>
        <w:t xml:space="preserve"> los resultados de la Evaluación Económica</w:t>
      </w:r>
      <w:r w:rsidRPr="00F85253">
        <w:rPr>
          <w:rFonts w:ascii="Arial" w:hAnsi="Arial" w:cs="Arial"/>
          <w:sz w:val="22"/>
          <w:szCs w:val="22"/>
          <w:lang w:val="es-ES_tradnl"/>
        </w:rPr>
        <w:t xml:space="preserve"> del Programa de Apoyo a la Reforma de Empresas Públicas (EC-L1251) del Banco Interamericano de Desarrollo (BID)</w:t>
      </w:r>
      <w:r w:rsidR="00135069" w:rsidRPr="00F85253">
        <w:rPr>
          <w:rFonts w:ascii="Arial" w:hAnsi="Arial" w:cs="Arial"/>
          <w:sz w:val="22"/>
          <w:szCs w:val="22"/>
          <w:lang w:val="es-ES_tradnl"/>
        </w:rPr>
        <w:t xml:space="preserve">. Se estiman los beneficios y costos de la implementación del programa, cuyo objetivo es reducir la carga fiscal </w:t>
      </w:r>
      <w:r w:rsidR="00963F24" w:rsidRPr="00F85253">
        <w:rPr>
          <w:rFonts w:ascii="Arial" w:hAnsi="Arial" w:cs="Arial"/>
          <w:sz w:val="22"/>
          <w:szCs w:val="22"/>
          <w:lang w:val="es-ES_tradnl"/>
        </w:rPr>
        <w:t xml:space="preserve">para </w:t>
      </w:r>
      <w:r w:rsidR="00135069" w:rsidRPr="00F85253">
        <w:rPr>
          <w:rFonts w:ascii="Arial" w:hAnsi="Arial" w:cs="Arial"/>
          <w:sz w:val="22"/>
          <w:szCs w:val="22"/>
          <w:lang w:val="es-ES_tradnl"/>
        </w:rPr>
        <w:t xml:space="preserve">el Estado derivada de la propiedad de </w:t>
      </w:r>
      <w:r w:rsidR="0023565F" w:rsidRPr="00F85253">
        <w:rPr>
          <w:rFonts w:ascii="Arial" w:hAnsi="Arial" w:cs="Arial"/>
          <w:sz w:val="22"/>
          <w:szCs w:val="22"/>
          <w:lang w:val="es-ES_tradnl"/>
        </w:rPr>
        <w:t>EEPP</w:t>
      </w:r>
      <w:r w:rsidR="00042A18" w:rsidRPr="00F85253">
        <w:rPr>
          <w:rFonts w:ascii="Arial" w:hAnsi="Arial" w:cs="Arial"/>
          <w:sz w:val="22"/>
          <w:szCs w:val="22"/>
          <w:lang w:val="es-ES_tradnl"/>
        </w:rPr>
        <w:t>.</w:t>
      </w:r>
      <w:r w:rsidR="00135069" w:rsidRPr="00F85253">
        <w:rPr>
          <w:rFonts w:ascii="Arial" w:hAnsi="Arial" w:cs="Arial"/>
          <w:sz w:val="22"/>
          <w:szCs w:val="22"/>
          <w:lang w:val="es-ES_tradnl"/>
        </w:rPr>
        <w:t xml:space="preserve"> Los beneficios económicos, generados por el programa, se materializan en ahorros (costos evitados) por la mayor eficiencia en la fusión de las </w:t>
      </w:r>
      <w:r w:rsidR="0023565F" w:rsidRPr="00F85253">
        <w:rPr>
          <w:rFonts w:ascii="Arial" w:hAnsi="Arial" w:cs="Arial"/>
          <w:sz w:val="22"/>
          <w:szCs w:val="22"/>
          <w:lang w:val="es-ES_tradnl"/>
        </w:rPr>
        <w:t>EEPP</w:t>
      </w:r>
      <w:r w:rsidR="00135069" w:rsidRPr="00F85253">
        <w:rPr>
          <w:rFonts w:ascii="Arial" w:hAnsi="Arial" w:cs="Arial"/>
          <w:sz w:val="22"/>
          <w:szCs w:val="22"/>
          <w:lang w:val="es-ES_tradnl"/>
        </w:rPr>
        <w:t xml:space="preserve"> petroleras, mayor transparencia en las </w:t>
      </w:r>
      <w:r w:rsidR="0023565F" w:rsidRPr="00F85253">
        <w:rPr>
          <w:rFonts w:ascii="Arial" w:hAnsi="Arial" w:cs="Arial"/>
          <w:sz w:val="22"/>
          <w:szCs w:val="22"/>
          <w:lang w:val="es-ES_tradnl"/>
        </w:rPr>
        <w:t>EEPP</w:t>
      </w:r>
      <w:r w:rsidR="00135069" w:rsidRPr="00F85253">
        <w:rPr>
          <w:rFonts w:ascii="Arial" w:hAnsi="Arial" w:cs="Arial"/>
          <w:sz w:val="22"/>
          <w:szCs w:val="22"/>
          <w:lang w:val="es-ES_tradnl"/>
        </w:rPr>
        <w:t xml:space="preserve"> por su alineación a los principios de gobernanza corporativa de la </w:t>
      </w:r>
      <w:r w:rsidR="00D9242B" w:rsidRPr="00F85253">
        <w:rPr>
          <w:rFonts w:ascii="Arial" w:hAnsi="Arial" w:cs="Arial"/>
          <w:sz w:val="22"/>
          <w:szCs w:val="22"/>
          <w:lang w:val="es-ES_tradnl"/>
        </w:rPr>
        <w:t>OECD</w:t>
      </w:r>
      <w:r w:rsidR="00135069" w:rsidRPr="00F85253">
        <w:rPr>
          <w:rFonts w:ascii="Arial" w:hAnsi="Arial" w:cs="Arial"/>
          <w:sz w:val="22"/>
          <w:szCs w:val="22"/>
          <w:lang w:val="es-ES_tradnl"/>
        </w:rPr>
        <w:t>, e implementación de mecanismos de transparencia</w:t>
      </w:r>
      <w:r w:rsidR="003848B8" w:rsidRPr="00F85253">
        <w:rPr>
          <w:rFonts w:ascii="Arial" w:hAnsi="Arial" w:cs="Arial"/>
          <w:sz w:val="22"/>
          <w:szCs w:val="22"/>
          <w:lang w:val="es-ES_tradnl"/>
        </w:rPr>
        <w:t xml:space="preserve"> (certificado ISO-37001)</w:t>
      </w:r>
      <w:r w:rsidR="00135069" w:rsidRPr="00F85253">
        <w:rPr>
          <w:rFonts w:ascii="Arial" w:hAnsi="Arial" w:cs="Arial"/>
          <w:sz w:val="22"/>
          <w:szCs w:val="22"/>
          <w:lang w:val="es-ES_tradnl"/>
        </w:rPr>
        <w:t xml:space="preserve"> y rendición de cuentas; y, el ahorro por las desvinculaciones de personal en </w:t>
      </w:r>
      <w:r w:rsidR="001E2AE1" w:rsidRPr="00F85253">
        <w:rPr>
          <w:rFonts w:ascii="Arial" w:hAnsi="Arial" w:cs="Arial"/>
          <w:sz w:val="22"/>
          <w:szCs w:val="22"/>
          <w:lang w:val="es-ES_tradnl"/>
        </w:rPr>
        <w:t xml:space="preserve">las </w:t>
      </w:r>
      <w:r w:rsidR="0023565F" w:rsidRPr="00F85253">
        <w:rPr>
          <w:rFonts w:ascii="Arial" w:hAnsi="Arial" w:cs="Arial"/>
          <w:sz w:val="22"/>
          <w:szCs w:val="22"/>
          <w:lang w:val="es-ES_tradnl"/>
        </w:rPr>
        <w:t>EEPP</w:t>
      </w:r>
      <w:r w:rsidR="00135069" w:rsidRPr="00F85253">
        <w:rPr>
          <w:rFonts w:ascii="Arial" w:hAnsi="Arial" w:cs="Arial"/>
          <w:sz w:val="22"/>
          <w:szCs w:val="22"/>
          <w:lang w:val="es-ES_tradnl"/>
        </w:rPr>
        <w:t xml:space="preserve"> Petroamazonas, Petroecuador, Corporación Nacional de Electricidad (CNEL), Corporación Eléctrica del Ecuador (CELEC)</w:t>
      </w:r>
      <w:r w:rsidR="005241C0" w:rsidRPr="00F85253">
        <w:rPr>
          <w:rFonts w:ascii="Arial" w:hAnsi="Arial" w:cs="Arial"/>
          <w:sz w:val="22"/>
          <w:szCs w:val="22"/>
          <w:lang w:val="es-ES_tradnl"/>
        </w:rPr>
        <w:t xml:space="preserve">, </w:t>
      </w:r>
      <w:r w:rsidR="00135069" w:rsidRPr="00F85253">
        <w:rPr>
          <w:rFonts w:ascii="Arial" w:hAnsi="Arial" w:cs="Arial"/>
          <w:sz w:val="22"/>
          <w:szCs w:val="22"/>
          <w:lang w:val="es-ES_tradnl"/>
        </w:rPr>
        <w:t>Tame</w:t>
      </w:r>
      <w:r w:rsidR="005241C0" w:rsidRPr="00F85253">
        <w:rPr>
          <w:rFonts w:ascii="Arial" w:hAnsi="Arial" w:cs="Arial"/>
          <w:sz w:val="22"/>
          <w:szCs w:val="22"/>
          <w:lang w:val="es-ES_tradnl"/>
        </w:rPr>
        <w:t xml:space="preserve"> y </w:t>
      </w:r>
      <w:r w:rsidR="00042A18" w:rsidRPr="00F85253">
        <w:rPr>
          <w:rFonts w:ascii="Arial" w:hAnsi="Arial" w:cs="Arial"/>
          <w:sz w:val="22"/>
          <w:szCs w:val="22"/>
          <w:lang w:val="es-ES_tradnl"/>
        </w:rPr>
        <w:t>Empresa Coordinadora de Empresas Públicas (</w:t>
      </w:r>
      <w:r w:rsidR="005241C0" w:rsidRPr="00F85253">
        <w:rPr>
          <w:rFonts w:ascii="Arial" w:hAnsi="Arial" w:cs="Arial"/>
          <w:sz w:val="22"/>
          <w:szCs w:val="22"/>
          <w:lang w:val="es-ES_tradnl"/>
        </w:rPr>
        <w:t>EMCO</w:t>
      </w:r>
      <w:r w:rsidR="00042A18" w:rsidRPr="00F85253">
        <w:rPr>
          <w:rFonts w:ascii="Arial" w:hAnsi="Arial" w:cs="Arial"/>
          <w:sz w:val="22"/>
          <w:szCs w:val="22"/>
          <w:lang w:val="es-ES_tradnl"/>
        </w:rPr>
        <w:t>)</w:t>
      </w:r>
      <w:r w:rsidR="00135069" w:rsidRPr="00F85253">
        <w:rPr>
          <w:rFonts w:ascii="Arial" w:hAnsi="Arial" w:cs="Arial"/>
          <w:sz w:val="22"/>
          <w:szCs w:val="22"/>
          <w:lang w:val="es-ES_tradnl"/>
        </w:rPr>
        <w:t>. Los costos económicos están representados por los Gastos de Capital -Capex y los Gastos de Operación -Opex del programa, que incluyen los valores destinados a</w:t>
      </w:r>
      <w:r w:rsidR="009D3A76" w:rsidRPr="00F85253">
        <w:rPr>
          <w:rFonts w:ascii="Arial" w:hAnsi="Arial" w:cs="Arial"/>
          <w:sz w:val="22"/>
          <w:szCs w:val="22"/>
          <w:lang w:val="es-ES_tradnl"/>
        </w:rPr>
        <w:t>l fortalecimiento del Marco de gobernanza corporativa y fiscal de las EEPP, la optimización de la cartera de EEPP, que considera</w:t>
      </w:r>
      <w:r w:rsidR="00135069" w:rsidRPr="00F85253">
        <w:rPr>
          <w:rFonts w:ascii="Arial" w:hAnsi="Arial" w:cs="Arial"/>
          <w:sz w:val="22"/>
          <w:szCs w:val="22"/>
          <w:lang w:val="es-ES_tradnl"/>
        </w:rPr>
        <w:t xml:space="preserve"> la fusión de las </w:t>
      </w:r>
      <w:r w:rsidR="0023565F" w:rsidRPr="00F85253">
        <w:rPr>
          <w:rFonts w:ascii="Arial" w:hAnsi="Arial" w:cs="Arial"/>
          <w:sz w:val="22"/>
          <w:szCs w:val="22"/>
          <w:lang w:val="es-ES_tradnl"/>
        </w:rPr>
        <w:t>EEPP</w:t>
      </w:r>
      <w:r w:rsidR="00135069" w:rsidRPr="00F85253">
        <w:rPr>
          <w:rFonts w:ascii="Arial" w:hAnsi="Arial" w:cs="Arial"/>
          <w:sz w:val="22"/>
          <w:szCs w:val="22"/>
          <w:lang w:val="es-ES_tradnl"/>
        </w:rPr>
        <w:t xml:space="preserve"> petroleras, la desvinculación de personal en las </w:t>
      </w:r>
      <w:r w:rsidR="0023565F" w:rsidRPr="00F85253">
        <w:rPr>
          <w:rFonts w:ascii="Arial" w:hAnsi="Arial" w:cs="Arial"/>
          <w:sz w:val="22"/>
          <w:szCs w:val="22"/>
          <w:lang w:val="es-ES_tradnl"/>
        </w:rPr>
        <w:t>EEPP</w:t>
      </w:r>
      <w:r w:rsidR="00135069" w:rsidRPr="00F85253">
        <w:rPr>
          <w:rFonts w:ascii="Arial" w:hAnsi="Arial" w:cs="Arial"/>
          <w:sz w:val="22"/>
          <w:szCs w:val="22"/>
          <w:lang w:val="es-ES_tradnl"/>
        </w:rPr>
        <w:t xml:space="preserve"> mencionadas, las consultorías para Tame y eléctricas</w:t>
      </w:r>
      <w:r w:rsidR="009D3A76" w:rsidRPr="00F85253">
        <w:rPr>
          <w:rFonts w:ascii="Arial" w:hAnsi="Arial" w:cs="Arial"/>
          <w:sz w:val="22"/>
          <w:szCs w:val="22"/>
          <w:lang w:val="es-ES_tradnl"/>
        </w:rPr>
        <w:t>; la administración del programa</w:t>
      </w:r>
      <w:r w:rsidR="00135069" w:rsidRPr="00F85253">
        <w:rPr>
          <w:rFonts w:ascii="Arial" w:hAnsi="Arial" w:cs="Arial"/>
          <w:sz w:val="22"/>
          <w:szCs w:val="22"/>
          <w:lang w:val="es-ES_tradnl"/>
        </w:rPr>
        <w:t>; y, los gastos de operación, en precios de eficiencia.</w:t>
      </w:r>
    </w:p>
    <w:p w14:paraId="0E3B2C1A" w14:textId="77777777" w:rsidR="00D665D8" w:rsidRPr="00F85253" w:rsidRDefault="00D665D8" w:rsidP="000B2BC8">
      <w:pPr>
        <w:pStyle w:val="Paragraph"/>
        <w:spacing w:before="0" w:after="0" w:line="276" w:lineRule="auto"/>
        <w:ind w:left="720"/>
        <w:outlineLvl w:val="9"/>
        <w:rPr>
          <w:rFonts w:ascii="Arial" w:hAnsi="Arial" w:cs="Arial"/>
          <w:sz w:val="22"/>
          <w:szCs w:val="22"/>
          <w:lang w:val="es-ES_tradnl"/>
        </w:rPr>
      </w:pPr>
    </w:p>
    <w:p w14:paraId="0F17917A" w14:textId="25684B8C" w:rsidR="00C35A5D" w:rsidRPr="00F85253" w:rsidRDefault="00F76446" w:rsidP="001E4112">
      <w:pPr>
        <w:pStyle w:val="Paragraph"/>
        <w:numPr>
          <w:ilvl w:val="1"/>
          <w:numId w:val="2"/>
        </w:numPr>
        <w:tabs>
          <w:tab w:val="clear" w:pos="1296"/>
          <w:tab w:val="num" w:pos="720"/>
        </w:tabs>
        <w:spacing w:before="0" w:after="0" w:line="276" w:lineRule="auto"/>
        <w:ind w:left="720" w:hanging="720"/>
        <w:outlineLvl w:val="9"/>
        <w:rPr>
          <w:rFonts w:ascii="Arial" w:hAnsi="Arial" w:cs="Arial"/>
          <w:sz w:val="22"/>
          <w:szCs w:val="22"/>
          <w:lang w:val="es-ES_tradnl"/>
        </w:rPr>
      </w:pPr>
      <w:r w:rsidRPr="00F85253">
        <w:rPr>
          <w:rFonts w:ascii="Arial" w:hAnsi="Arial" w:cs="Arial"/>
          <w:sz w:val="22"/>
          <w:szCs w:val="22"/>
          <w:lang w:val="es-ES_tradnl"/>
        </w:rPr>
        <w:t xml:space="preserve">Con el programa, se espera mejorar </w:t>
      </w:r>
      <w:r w:rsidR="00A246F1" w:rsidRPr="00F85253">
        <w:rPr>
          <w:rFonts w:ascii="Arial" w:hAnsi="Arial" w:cs="Arial"/>
          <w:sz w:val="22"/>
          <w:szCs w:val="22"/>
          <w:lang w:val="es-ES_tradnl"/>
        </w:rPr>
        <w:t>los</w:t>
      </w:r>
      <w:r w:rsidRPr="00F85253">
        <w:rPr>
          <w:rFonts w:ascii="Arial" w:hAnsi="Arial" w:cs="Arial"/>
          <w:sz w:val="22"/>
          <w:szCs w:val="22"/>
          <w:lang w:val="es-ES_tradnl"/>
        </w:rPr>
        <w:t xml:space="preserve"> </w:t>
      </w:r>
      <w:r w:rsidR="001E2AE1" w:rsidRPr="00F85253">
        <w:rPr>
          <w:rFonts w:ascii="Arial" w:hAnsi="Arial" w:cs="Arial"/>
          <w:sz w:val="22"/>
          <w:szCs w:val="22"/>
          <w:lang w:val="es-ES_tradnl"/>
        </w:rPr>
        <w:t xml:space="preserve">siguientes </w:t>
      </w:r>
      <w:r w:rsidRPr="00F85253">
        <w:rPr>
          <w:rFonts w:ascii="Arial" w:hAnsi="Arial" w:cs="Arial"/>
          <w:sz w:val="22"/>
          <w:szCs w:val="22"/>
          <w:lang w:val="es-ES_tradnl"/>
        </w:rPr>
        <w:t>indicadores</w:t>
      </w:r>
      <w:r w:rsidR="008D7C37" w:rsidRPr="00F85253">
        <w:rPr>
          <w:rFonts w:ascii="Arial" w:hAnsi="Arial" w:cs="Arial"/>
          <w:sz w:val="22"/>
          <w:szCs w:val="22"/>
          <w:lang w:val="es-ES_tradnl"/>
        </w:rPr>
        <w:t xml:space="preserve">: (i) Aumento del ratio entre las sesiones ordinarias de los directorios de las </w:t>
      </w:r>
      <w:r w:rsidR="0023565F" w:rsidRPr="00F85253">
        <w:rPr>
          <w:rFonts w:ascii="Arial" w:hAnsi="Arial" w:cs="Arial"/>
          <w:sz w:val="22"/>
          <w:szCs w:val="22"/>
          <w:lang w:val="es-ES_tradnl"/>
        </w:rPr>
        <w:t>EEPP</w:t>
      </w:r>
      <w:r w:rsidR="008D7C37" w:rsidRPr="00F85253">
        <w:rPr>
          <w:rFonts w:ascii="Arial" w:hAnsi="Arial" w:cs="Arial"/>
          <w:sz w:val="22"/>
          <w:szCs w:val="22"/>
          <w:lang w:val="es-ES_tradnl"/>
        </w:rPr>
        <w:t xml:space="preserve"> sobre el total de sesiones; (ii) Aumento de % de </w:t>
      </w:r>
      <w:r w:rsidR="0023565F" w:rsidRPr="00F85253">
        <w:rPr>
          <w:rFonts w:ascii="Arial" w:hAnsi="Arial" w:cs="Arial"/>
          <w:sz w:val="22"/>
          <w:szCs w:val="22"/>
          <w:lang w:val="es-ES_tradnl"/>
        </w:rPr>
        <w:t>EEPP</w:t>
      </w:r>
      <w:r w:rsidR="008D7C37" w:rsidRPr="00F85253">
        <w:rPr>
          <w:rFonts w:ascii="Arial" w:hAnsi="Arial" w:cs="Arial"/>
          <w:sz w:val="22"/>
          <w:szCs w:val="22"/>
          <w:lang w:val="es-ES_tradnl"/>
        </w:rPr>
        <w:t xml:space="preserve"> con los Estados Financieros (EE.FF.) auditados al día; (iii) Aumento de </w:t>
      </w:r>
      <w:r w:rsidR="00092044" w:rsidRPr="00F85253">
        <w:rPr>
          <w:rFonts w:ascii="Arial" w:hAnsi="Arial" w:cs="Arial"/>
          <w:sz w:val="22"/>
          <w:szCs w:val="22"/>
          <w:lang w:val="es-ES_tradnl"/>
        </w:rPr>
        <w:t xml:space="preserve">la participación </w:t>
      </w:r>
      <w:r w:rsidR="008D7C37" w:rsidRPr="00F85253">
        <w:rPr>
          <w:rFonts w:ascii="Arial" w:hAnsi="Arial" w:cs="Arial"/>
          <w:sz w:val="22"/>
          <w:szCs w:val="22"/>
          <w:lang w:val="es-ES_tradnl"/>
        </w:rPr>
        <w:t>de</w:t>
      </w:r>
      <w:r w:rsidR="00092044" w:rsidRPr="00F85253">
        <w:rPr>
          <w:rFonts w:ascii="Arial" w:hAnsi="Arial" w:cs="Arial"/>
          <w:sz w:val="22"/>
          <w:szCs w:val="22"/>
          <w:lang w:val="es-ES_tradnl"/>
        </w:rPr>
        <w:t xml:space="preserve"> las</w:t>
      </w:r>
      <w:r w:rsidR="008D7C37" w:rsidRPr="00F85253">
        <w:rPr>
          <w:rFonts w:ascii="Arial" w:hAnsi="Arial" w:cs="Arial"/>
          <w:sz w:val="22"/>
          <w:szCs w:val="22"/>
          <w:lang w:val="es-ES_tradnl"/>
        </w:rPr>
        <w:t xml:space="preserve"> mujeres en </w:t>
      </w:r>
      <w:r w:rsidR="00092044" w:rsidRPr="00F85253">
        <w:rPr>
          <w:rFonts w:ascii="Arial" w:hAnsi="Arial" w:cs="Arial"/>
          <w:sz w:val="22"/>
          <w:szCs w:val="22"/>
          <w:lang w:val="es-ES_tradnl"/>
        </w:rPr>
        <w:t>consejos directivos</w:t>
      </w:r>
      <w:r w:rsidR="008D7C37" w:rsidRPr="00F85253">
        <w:rPr>
          <w:rFonts w:ascii="Arial" w:hAnsi="Arial" w:cs="Arial"/>
          <w:sz w:val="22"/>
          <w:szCs w:val="22"/>
          <w:lang w:val="es-ES_tradnl"/>
        </w:rPr>
        <w:t xml:space="preserve"> de</w:t>
      </w:r>
      <w:r w:rsidR="00092044" w:rsidRPr="00F85253">
        <w:rPr>
          <w:rFonts w:ascii="Arial" w:hAnsi="Arial" w:cs="Arial"/>
          <w:sz w:val="22"/>
          <w:szCs w:val="22"/>
          <w:lang w:val="es-ES_tradnl"/>
        </w:rPr>
        <w:t xml:space="preserve"> las</w:t>
      </w:r>
      <w:r w:rsidR="008D7C37" w:rsidRPr="00F85253">
        <w:rPr>
          <w:rFonts w:ascii="Arial" w:hAnsi="Arial" w:cs="Arial"/>
          <w:sz w:val="22"/>
          <w:szCs w:val="22"/>
          <w:lang w:val="es-ES_tradnl"/>
        </w:rPr>
        <w:t xml:space="preserve"> </w:t>
      </w:r>
      <w:r w:rsidR="0023565F" w:rsidRPr="00F85253">
        <w:rPr>
          <w:rFonts w:ascii="Arial" w:hAnsi="Arial" w:cs="Arial"/>
          <w:sz w:val="22"/>
          <w:szCs w:val="22"/>
          <w:lang w:val="es-ES_tradnl"/>
        </w:rPr>
        <w:t>EEPP</w:t>
      </w:r>
      <w:r w:rsidR="008D7C37" w:rsidRPr="00F85253">
        <w:rPr>
          <w:rFonts w:ascii="Arial" w:hAnsi="Arial" w:cs="Arial"/>
          <w:sz w:val="22"/>
          <w:szCs w:val="22"/>
          <w:lang w:val="es-ES_tradnl"/>
        </w:rPr>
        <w:t xml:space="preserve">; </w:t>
      </w:r>
      <w:r w:rsidR="00092044" w:rsidRPr="00F85253">
        <w:rPr>
          <w:rFonts w:ascii="Arial" w:hAnsi="Arial" w:cs="Arial"/>
          <w:sz w:val="22"/>
          <w:szCs w:val="22"/>
          <w:lang w:val="es-ES_tradnl"/>
        </w:rPr>
        <w:t xml:space="preserve">e, </w:t>
      </w:r>
      <w:r w:rsidR="008D7C37" w:rsidRPr="00F85253">
        <w:rPr>
          <w:rFonts w:ascii="Arial" w:hAnsi="Arial" w:cs="Arial"/>
          <w:sz w:val="22"/>
          <w:szCs w:val="22"/>
          <w:lang w:val="es-ES_tradnl"/>
        </w:rPr>
        <w:t xml:space="preserve">(iv) </w:t>
      </w:r>
      <w:r w:rsidR="00092044" w:rsidRPr="00F85253">
        <w:rPr>
          <w:rFonts w:ascii="Arial" w:hAnsi="Arial" w:cs="Arial"/>
          <w:sz w:val="22"/>
          <w:szCs w:val="22"/>
          <w:lang w:val="es-ES_tradnl"/>
        </w:rPr>
        <w:t>Incremento en la eficiencia productiva</w:t>
      </w:r>
      <w:r w:rsidR="00E4216A" w:rsidRPr="00F85253">
        <w:rPr>
          <w:rFonts w:ascii="Arial" w:hAnsi="Arial" w:cs="Arial"/>
          <w:color w:val="000000" w:themeColor="text1"/>
          <w:sz w:val="22"/>
          <w:szCs w:val="22"/>
          <w:lang w:val="es-ES_tradnl"/>
        </w:rPr>
        <w:t>.</w:t>
      </w:r>
    </w:p>
    <w:p w14:paraId="1634B95C" w14:textId="77777777" w:rsidR="00D665D8" w:rsidRPr="00F85253" w:rsidRDefault="00D665D8" w:rsidP="000B2BC8">
      <w:pPr>
        <w:pStyle w:val="Paragraph"/>
        <w:spacing w:before="0" w:after="0" w:line="276" w:lineRule="auto"/>
        <w:ind w:left="720"/>
        <w:outlineLvl w:val="9"/>
        <w:rPr>
          <w:rFonts w:ascii="Arial" w:hAnsi="Arial" w:cs="Arial"/>
          <w:sz w:val="22"/>
          <w:szCs w:val="22"/>
          <w:lang w:val="es-ES_tradnl"/>
        </w:rPr>
      </w:pPr>
    </w:p>
    <w:p w14:paraId="7FB7AF32" w14:textId="73D51405" w:rsidR="0023488A" w:rsidRPr="00F85253" w:rsidRDefault="00C35A5D" w:rsidP="001E4112">
      <w:pPr>
        <w:pStyle w:val="Paragraph"/>
        <w:numPr>
          <w:ilvl w:val="1"/>
          <w:numId w:val="2"/>
        </w:numPr>
        <w:tabs>
          <w:tab w:val="clear" w:pos="1296"/>
          <w:tab w:val="num" w:pos="720"/>
        </w:tabs>
        <w:spacing w:before="0" w:after="0" w:line="276" w:lineRule="auto"/>
        <w:ind w:left="720" w:hanging="720"/>
        <w:outlineLvl w:val="9"/>
        <w:rPr>
          <w:rFonts w:ascii="Arial" w:hAnsi="Arial" w:cs="Arial"/>
          <w:sz w:val="22"/>
          <w:szCs w:val="22"/>
          <w:lang w:val="es-ES_tradnl"/>
        </w:rPr>
      </w:pPr>
      <w:r w:rsidRPr="00F85253">
        <w:rPr>
          <w:rFonts w:ascii="Arial" w:hAnsi="Arial" w:cs="Arial"/>
          <w:color w:val="000000" w:themeColor="text1"/>
          <w:sz w:val="22"/>
          <w:szCs w:val="22"/>
          <w:lang w:val="es-ES_tradnl"/>
        </w:rPr>
        <w:t>Se presentan los resultados de la implementación del programa</w:t>
      </w:r>
      <w:r w:rsidR="005D365E" w:rsidRPr="00F85253">
        <w:rPr>
          <w:rFonts w:ascii="Arial" w:hAnsi="Arial" w:cs="Arial"/>
          <w:color w:val="000000" w:themeColor="text1"/>
          <w:sz w:val="22"/>
          <w:szCs w:val="22"/>
          <w:lang w:val="es-ES_tradnl"/>
        </w:rPr>
        <w:t xml:space="preserve">, considerando </w:t>
      </w:r>
      <w:r w:rsidRPr="00F85253">
        <w:rPr>
          <w:rFonts w:ascii="Arial" w:hAnsi="Arial" w:cs="Arial"/>
          <w:color w:val="000000" w:themeColor="text1"/>
          <w:sz w:val="22"/>
          <w:szCs w:val="22"/>
          <w:lang w:val="es-ES_tradnl"/>
        </w:rPr>
        <w:t xml:space="preserve">los beneficios y costos del proyecto asociados al préstamo del Banco Interamericano de Desarrollo </w:t>
      </w:r>
      <w:r w:rsidR="00116B84" w:rsidRPr="00F85253">
        <w:rPr>
          <w:rFonts w:ascii="Arial" w:hAnsi="Arial" w:cs="Arial"/>
          <w:color w:val="000000" w:themeColor="text1"/>
          <w:sz w:val="22"/>
          <w:szCs w:val="22"/>
          <w:lang w:val="es-ES_tradnl"/>
        </w:rPr>
        <w:t>(</w:t>
      </w:r>
      <w:r w:rsidRPr="00F85253">
        <w:rPr>
          <w:rFonts w:ascii="Arial" w:hAnsi="Arial" w:cs="Arial"/>
          <w:color w:val="000000" w:themeColor="text1"/>
          <w:sz w:val="22"/>
          <w:szCs w:val="22"/>
          <w:lang w:val="es-ES_tradnl"/>
        </w:rPr>
        <w:t>BID</w:t>
      </w:r>
      <w:r w:rsidR="00116B84" w:rsidRPr="00F85253">
        <w:rPr>
          <w:rFonts w:ascii="Arial" w:hAnsi="Arial" w:cs="Arial"/>
          <w:color w:val="000000" w:themeColor="text1"/>
          <w:sz w:val="22"/>
          <w:szCs w:val="22"/>
          <w:lang w:val="es-ES_tradnl"/>
        </w:rPr>
        <w:t>)</w:t>
      </w:r>
      <w:r w:rsidRPr="00F85253">
        <w:rPr>
          <w:rFonts w:ascii="Arial" w:hAnsi="Arial" w:cs="Arial"/>
          <w:color w:val="000000" w:themeColor="text1"/>
          <w:sz w:val="22"/>
          <w:szCs w:val="22"/>
          <w:lang w:val="es-ES_tradnl"/>
        </w:rPr>
        <w:t xml:space="preserve">. </w:t>
      </w:r>
      <w:r w:rsidR="005D365E" w:rsidRPr="00F85253">
        <w:rPr>
          <w:rFonts w:ascii="Arial" w:hAnsi="Arial" w:cs="Arial"/>
          <w:color w:val="000000" w:themeColor="text1"/>
          <w:sz w:val="22"/>
          <w:szCs w:val="22"/>
          <w:lang w:val="es-ES_tradnl"/>
        </w:rPr>
        <w:t>Se toma en cuenta un período de 10 años</w:t>
      </w:r>
      <w:r w:rsidR="0023488A" w:rsidRPr="00F85253">
        <w:rPr>
          <w:rFonts w:ascii="Arial" w:hAnsi="Arial" w:cs="Arial"/>
          <w:color w:val="000000" w:themeColor="text1"/>
          <w:sz w:val="22"/>
          <w:szCs w:val="22"/>
          <w:lang w:val="es-ES_tradnl"/>
        </w:rPr>
        <w:t xml:space="preserve"> de</w:t>
      </w:r>
      <w:r w:rsidR="00116B84" w:rsidRPr="00F85253">
        <w:rPr>
          <w:rFonts w:ascii="Arial" w:hAnsi="Arial" w:cs="Arial"/>
          <w:color w:val="000000" w:themeColor="text1"/>
          <w:sz w:val="22"/>
          <w:szCs w:val="22"/>
          <w:lang w:val="es-ES_tradnl"/>
        </w:rPr>
        <w:t xml:space="preserve"> 2019 al </w:t>
      </w:r>
      <w:r w:rsidR="005D365E" w:rsidRPr="00F85253">
        <w:rPr>
          <w:rFonts w:ascii="Arial" w:hAnsi="Arial" w:cs="Arial"/>
          <w:color w:val="000000" w:themeColor="text1"/>
          <w:sz w:val="22"/>
          <w:szCs w:val="22"/>
          <w:lang w:val="es-ES_tradnl"/>
        </w:rPr>
        <w:t>2028.</w:t>
      </w:r>
      <w:r w:rsidR="0023488A" w:rsidRPr="00F85253">
        <w:rPr>
          <w:rFonts w:ascii="Arial" w:hAnsi="Arial" w:cs="Arial"/>
          <w:color w:val="000000" w:themeColor="text1"/>
          <w:sz w:val="22"/>
          <w:szCs w:val="22"/>
          <w:lang w:val="es-ES_tradnl"/>
        </w:rPr>
        <w:t xml:space="preserve"> </w:t>
      </w:r>
      <w:r w:rsidR="005D365E" w:rsidRPr="00F85253">
        <w:rPr>
          <w:rFonts w:ascii="Arial" w:hAnsi="Arial" w:cs="Arial"/>
          <w:color w:val="000000" w:themeColor="text1"/>
          <w:sz w:val="22"/>
          <w:szCs w:val="22"/>
          <w:lang w:val="es-ES_tradnl"/>
        </w:rPr>
        <w:t>S</w:t>
      </w:r>
      <w:r w:rsidR="00D67D24" w:rsidRPr="00F85253">
        <w:rPr>
          <w:rFonts w:ascii="Arial" w:hAnsi="Arial" w:cs="Arial"/>
          <w:color w:val="000000" w:themeColor="text1"/>
          <w:sz w:val="22"/>
          <w:szCs w:val="22"/>
          <w:lang w:val="es-ES_tradnl"/>
        </w:rPr>
        <w:t xml:space="preserve">e estima que </w:t>
      </w:r>
      <w:r w:rsidR="007B42AF" w:rsidRPr="00F85253">
        <w:rPr>
          <w:rFonts w:ascii="Arial" w:hAnsi="Arial" w:cs="Arial"/>
          <w:color w:val="000000" w:themeColor="text1"/>
          <w:sz w:val="22"/>
          <w:szCs w:val="22"/>
          <w:lang w:val="es-ES_tradnl"/>
        </w:rPr>
        <w:t xml:space="preserve">las inversiones del </w:t>
      </w:r>
      <w:r w:rsidR="00756CCE" w:rsidRPr="00F85253">
        <w:rPr>
          <w:rFonts w:ascii="Arial" w:hAnsi="Arial" w:cs="Arial"/>
          <w:color w:val="000000" w:themeColor="text1"/>
          <w:sz w:val="22"/>
          <w:szCs w:val="22"/>
          <w:lang w:val="es-ES_tradnl"/>
        </w:rPr>
        <w:t>p</w:t>
      </w:r>
      <w:r w:rsidR="007B42AF" w:rsidRPr="00F85253">
        <w:rPr>
          <w:rFonts w:ascii="Arial" w:hAnsi="Arial" w:cs="Arial"/>
          <w:color w:val="000000" w:themeColor="text1"/>
          <w:sz w:val="22"/>
          <w:szCs w:val="22"/>
          <w:lang w:val="es-ES_tradnl"/>
        </w:rPr>
        <w:t xml:space="preserve">rograma </w:t>
      </w:r>
      <w:r w:rsidR="00A03987" w:rsidRPr="00F85253">
        <w:rPr>
          <w:rFonts w:ascii="Arial" w:hAnsi="Arial" w:cs="Arial"/>
          <w:color w:val="000000" w:themeColor="text1"/>
          <w:sz w:val="22"/>
          <w:szCs w:val="22"/>
          <w:lang w:val="es-ES_tradnl"/>
        </w:rPr>
        <w:t>genera</w:t>
      </w:r>
      <w:r w:rsidR="007B42AF" w:rsidRPr="00F85253">
        <w:rPr>
          <w:rFonts w:ascii="Arial" w:hAnsi="Arial" w:cs="Arial"/>
          <w:color w:val="000000" w:themeColor="text1"/>
          <w:sz w:val="22"/>
          <w:szCs w:val="22"/>
          <w:lang w:val="es-ES_tradnl"/>
        </w:rPr>
        <w:t>n un V</w:t>
      </w:r>
      <w:r w:rsidR="00D67D24" w:rsidRPr="00F85253">
        <w:rPr>
          <w:rFonts w:ascii="Arial" w:hAnsi="Arial" w:cs="Arial"/>
          <w:color w:val="000000" w:themeColor="text1"/>
          <w:sz w:val="22"/>
          <w:szCs w:val="22"/>
          <w:lang w:val="es-ES_tradnl"/>
        </w:rPr>
        <w:t>alor Presente Neto (VPN)</w:t>
      </w:r>
      <w:r w:rsidR="0060656B" w:rsidRPr="00F85253">
        <w:rPr>
          <w:rFonts w:ascii="Arial" w:hAnsi="Arial" w:cs="Arial"/>
          <w:color w:val="000000" w:themeColor="text1"/>
          <w:sz w:val="22"/>
          <w:szCs w:val="22"/>
          <w:lang w:val="es-ES_tradnl"/>
        </w:rPr>
        <w:t xml:space="preserve"> de USD</w:t>
      </w:r>
      <w:r w:rsidR="0063588A" w:rsidRPr="00F85253">
        <w:rPr>
          <w:rFonts w:ascii="Arial" w:hAnsi="Arial" w:cs="Arial"/>
          <w:color w:val="000000" w:themeColor="text1"/>
          <w:sz w:val="22"/>
          <w:szCs w:val="22"/>
          <w:lang w:val="es-ES_tradnl"/>
        </w:rPr>
        <w:t xml:space="preserve"> </w:t>
      </w:r>
      <w:r w:rsidR="00255EDF" w:rsidRPr="00F85253">
        <w:rPr>
          <w:rFonts w:ascii="Arial" w:hAnsi="Arial" w:cs="Arial"/>
          <w:color w:val="000000" w:themeColor="text1"/>
          <w:sz w:val="22"/>
          <w:szCs w:val="22"/>
          <w:lang w:val="es-ES_tradnl"/>
        </w:rPr>
        <w:t>6</w:t>
      </w:r>
      <w:r w:rsidR="00DB0BE5" w:rsidRPr="00F85253">
        <w:rPr>
          <w:rFonts w:ascii="Arial" w:hAnsi="Arial" w:cs="Arial"/>
          <w:color w:val="000000" w:themeColor="text1"/>
          <w:sz w:val="22"/>
          <w:szCs w:val="22"/>
          <w:lang w:val="es-ES_tradnl"/>
        </w:rPr>
        <w:t>0.04</w:t>
      </w:r>
      <w:r w:rsidR="00255EDF" w:rsidRPr="00F85253">
        <w:rPr>
          <w:rFonts w:ascii="Arial" w:hAnsi="Arial" w:cs="Arial"/>
          <w:color w:val="000000" w:themeColor="text1"/>
          <w:sz w:val="22"/>
          <w:szCs w:val="22"/>
          <w:lang w:val="es-ES_tradnl"/>
        </w:rPr>
        <w:t xml:space="preserve"> </w:t>
      </w:r>
      <w:r w:rsidR="007B42AF" w:rsidRPr="00F85253">
        <w:rPr>
          <w:rFonts w:ascii="Arial" w:hAnsi="Arial" w:cs="Arial"/>
          <w:color w:val="000000" w:themeColor="text1"/>
          <w:sz w:val="22"/>
          <w:szCs w:val="22"/>
          <w:lang w:val="es-ES_tradnl"/>
        </w:rPr>
        <w:t>millones</w:t>
      </w:r>
      <w:r w:rsidR="006F4293" w:rsidRPr="00F85253">
        <w:rPr>
          <w:rFonts w:ascii="Arial" w:hAnsi="Arial" w:cs="Arial"/>
          <w:color w:val="000000" w:themeColor="text1"/>
          <w:sz w:val="22"/>
          <w:szCs w:val="22"/>
          <w:lang w:val="es-ES_tradnl"/>
        </w:rPr>
        <w:t>,</w:t>
      </w:r>
      <w:r w:rsidR="007B42AF" w:rsidRPr="00F85253">
        <w:rPr>
          <w:rFonts w:ascii="Arial" w:hAnsi="Arial" w:cs="Arial"/>
          <w:color w:val="000000" w:themeColor="text1"/>
          <w:sz w:val="22"/>
          <w:szCs w:val="22"/>
          <w:lang w:val="es-ES_tradnl"/>
        </w:rPr>
        <w:t xml:space="preserve"> con una Tasa Interna de Retorno</w:t>
      </w:r>
      <w:r w:rsidR="00D67D24" w:rsidRPr="00F85253">
        <w:rPr>
          <w:rFonts w:ascii="Arial" w:hAnsi="Arial" w:cs="Arial"/>
          <w:color w:val="000000" w:themeColor="text1"/>
          <w:sz w:val="22"/>
          <w:szCs w:val="22"/>
          <w:lang w:val="es-ES_tradnl"/>
        </w:rPr>
        <w:t xml:space="preserve"> (TIR)</w:t>
      </w:r>
      <w:r w:rsidR="007B42AF" w:rsidRPr="00F85253">
        <w:rPr>
          <w:rFonts w:ascii="Arial" w:hAnsi="Arial" w:cs="Arial"/>
          <w:color w:val="000000" w:themeColor="text1"/>
          <w:sz w:val="22"/>
          <w:szCs w:val="22"/>
          <w:lang w:val="es-ES_tradnl"/>
        </w:rPr>
        <w:t xml:space="preserve"> de </w:t>
      </w:r>
      <w:r w:rsidR="00255EDF" w:rsidRPr="00F85253">
        <w:rPr>
          <w:rFonts w:ascii="Arial" w:hAnsi="Arial" w:cs="Arial"/>
          <w:color w:val="000000" w:themeColor="text1"/>
          <w:sz w:val="22"/>
          <w:szCs w:val="22"/>
          <w:lang w:val="es-ES_tradnl"/>
        </w:rPr>
        <w:t>3</w:t>
      </w:r>
      <w:r w:rsidR="00DB0BE5" w:rsidRPr="00F85253">
        <w:rPr>
          <w:rFonts w:ascii="Arial" w:hAnsi="Arial" w:cs="Arial"/>
          <w:color w:val="000000" w:themeColor="text1"/>
          <w:sz w:val="22"/>
          <w:szCs w:val="22"/>
          <w:lang w:val="es-ES_tradnl"/>
        </w:rPr>
        <w:t>3</w:t>
      </w:r>
      <w:r w:rsidR="0038523B" w:rsidRPr="00F85253">
        <w:rPr>
          <w:rFonts w:ascii="Arial" w:hAnsi="Arial" w:cs="Arial"/>
          <w:color w:val="000000" w:themeColor="text1"/>
          <w:sz w:val="22"/>
          <w:szCs w:val="22"/>
          <w:lang w:val="es-ES_tradnl"/>
        </w:rPr>
        <w:t xml:space="preserve">%. </w:t>
      </w:r>
    </w:p>
    <w:p w14:paraId="44C91AE2" w14:textId="77777777" w:rsidR="00D665D8" w:rsidRPr="00F85253" w:rsidRDefault="00D665D8" w:rsidP="000B2BC8">
      <w:pPr>
        <w:pStyle w:val="Paragraph"/>
        <w:spacing w:before="0" w:after="0" w:line="276" w:lineRule="auto"/>
        <w:ind w:left="720"/>
        <w:outlineLvl w:val="9"/>
        <w:rPr>
          <w:rFonts w:ascii="Arial" w:hAnsi="Arial" w:cs="Arial"/>
          <w:sz w:val="22"/>
          <w:szCs w:val="22"/>
          <w:lang w:val="es-ES_tradnl"/>
        </w:rPr>
      </w:pPr>
    </w:p>
    <w:p w14:paraId="38047167" w14:textId="234A576E" w:rsidR="00BF232E" w:rsidRPr="00F85253" w:rsidRDefault="0023488A" w:rsidP="00BF232E">
      <w:pPr>
        <w:pStyle w:val="Paragraph"/>
        <w:numPr>
          <w:ilvl w:val="1"/>
          <w:numId w:val="2"/>
        </w:numPr>
        <w:tabs>
          <w:tab w:val="clear" w:pos="1296"/>
          <w:tab w:val="num" w:pos="720"/>
        </w:tabs>
        <w:spacing w:before="0" w:after="0" w:line="276" w:lineRule="auto"/>
        <w:ind w:left="720" w:hanging="720"/>
        <w:outlineLvl w:val="9"/>
        <w:rPr>
          <w:rFonts w:ascii="Arial" w:hAnsi="Arial" w:cs="Arial"/>
          <w:sz w:val="22"/>
          <w:szCs w:val="22"/>
          <w:lang w:val="es-ES_tradnl"/>
        </w:rPr>
      </w:pPr>
      <w:r w:rsidRPr="00F85253">
        <w:rPr>
          <w:rFonts w:ascii="Arial" w:hAnsi="Arial" w:cs="Arial"/>
          <w:color w:val="000000" w:themeColor="text1"/>
          <w:sz w:val="22"/>
          <w:szCs w:val="22"/>
          <w:lang w:val="es-ES_tradnl"/>
        </w:rPr>
        <w:t>La tasa interna de retorno</w:t>
      </w:r>
      <w:r w:rsidR="00A03987" w:rsidRPr="00F85253">
        <w:rPr>
          <w:rFonts w:ascii="Arial" w:hAnsi="Arial" w:cs="Arial"/>
          <w:color w:val="000000" w:themeColor="text1"/>
          <w:sz w:val="22"/>
          <w:szCs w:val="22"/>
          <w:lang w:val="es-ES_tradnl"/>
        </w:rPr>
        <w:t xml:space="preserve"> del programa</w:t>
      </w:r>
      <w:r w:rsidRPr="00F85253">
        <w:rPr>
          <w:rFonts w:ascii="Arial" w:hAnsi="Arial" w:cs="Arial"/>
          <w:color w:val="000000" w:themeColor="text1"/>
          <w:sz w:val="22"/>
          <w:szCs w:val="22"/>
          <w:lang w:val="es-ES_tradnl"/>
        </w:rPr>
        <w:t xml:space="preserve"> </w:t>
      </w:r>
      <w:r w:rsidR="00A03987" w:rsidRPr="00F85253">
        <w:rPr>
          <w:rFonts w:ascii="Arial" w:hAnsi="Arial" w:cs="Arial"/>
          <w:color w:val="000000" w:themeColor="text1"/>
          <w:sz w:val="22"/>
          <w:szCs w:val="22"/>
          <w:lang w:val="es-ES_tradnl"/>
        </w:rPr>
        <w:t>es alta, y es</w:t>
      </w:r>
      <w:r w:rsidRPr="00F85253">
        <w:rPr>
          <w:rFonts w:ascii="Arial" w:hAnsi="Arial" w:cs="Arial"/>
          <w:color w:val="000000" w:themeColor="text1"/>
          <w:sz w:val="22"/>
          <w:szCs w:val="22"/>
          <w:lang w:val="es-ES_tradnl"/>
        </w:rPr>
        <w:t xml:space="preserve"> influenciada principalmente por </w:t>
      </w:r>
      <w:r w:rsidR="00A03987" w:rsidRPr="00F85253">
        <w:rPr>
          <w:rFonts w:ascii="Arial" w:hAnsi="Arial" w:cs="Arial"/>
          <w:color w:val="000000" w:themeColor="text1"/>
          <w:sz w:val="22"/>
          <w:szCs w:val="22"/>
          <w:lang w:val="es-ES_tradnl"/>
        </w:rPr>
        <w:t>el ahorro generado por las</w:t>
      </w:r>
      <w:r w:rsidRPr="00F85253">
        <w:rPr>
          <w:rFonts w:ascii="Arial" w:hAnsi="Arial" w:cs="Arial"/>
          <w:color w:val="000000" w:themeColor="text1"/>
          <w:sz w:val="22"/>
          <w:szCs w:val="22"/>
          <w:lang w:val="es-ES_tradnl"/>
        </w:rPr>
        <w:t xml:space="preserve"> desvinculaciones del personal de las </w:t>
      </w:r>
      <w:r w:rsidR="0023565F" w:rsidRPr="00F85253">
        <w:rPr>
          <w:rFonts w:ascii="Arial" w:hAnsi="Arial" w:cs="Arial"/>
          <w:color w:val="000000" w:themeColor="text1"/>
          <w:sz w:val="22"/>
          <w:szCs w:val="22"/>
          <w:lang w:val="es-ES_tradnl"/>
        </w:rPr>
        <w:t>EEPP</w:t>
      </w:r>
      <w:r w:rsidR="00BF232E" w:rsidRPr="00F85253">
        <w:rPr>
          <w:rFonts w:ascii="Arial" w:hAnsi="Arial" w:cs="Arial"/>
          <w:color w:val="000000" w:themeColor="text1"/>
          <w:sz w:val="22"/>
          <w:szCs w:val="22"/>
          <w:lang w:val="es-ES_tradnl"/>
        </w:rPr>
        <w:t xml:space="preserve"> antes mencionadas.</w:t>
      </w:r>
      <w:r w:rsidRPr="00F85253">
        <w:rPr>
          <w:rFonts w:ascii="Arial" w:hAnsi="Arial" w:cs="Arial"/>
          <w:color w:val="000000" w:themeColor="text1"/>
          <w:sz w:val="22"/>
          <w:szCs w:val="22"/>
          <w:lang w:val="es-ES_tradnl"/>
        </w:rPr>
        <w:t xml:space="preserve"> </w:t>
      </w:r>
      <w:r w:rsidR="00A03987" w:rsidRPr="00F85253">
        <w:rPr>
          <w:rFonts w:ascii="Arial" w:hAnsi="Arial" w:cs="Arial"/>
          <w:color w:val="000000" w:themeColor="text1"/>
          <w:sz w:val="22"/>
          <w:szCs w:val="22"/>
          <w:lang w:val="es-ES_tradnl"/>
        </w:rPr>
        <w:t xml:space="preserve">Considerando </w:t>
      </w:r>
      <w:r w:rsidR="00A03987" w:rsidRPr="00F85253">
        <w:rPr>
          <w:rFonts w:ascii="Arial" w:hAnsi="Arial" w:cs="Arial"/>
          <w:b/>
          <w:color w:val="000000" w:themeColor="text1"/>
          <w:sz w:val="22"/>
          <w:szCs w:val="22"/>
          <w:lang w:val="es-ES_tradnl"/>
        </w:rPr>
        <w:t>únicamente</w:t>
      </w:r>
      <w:r w:rsidR="00A03987" w:rsidRPr="00F85253">
        <w:rPr>
          <w:rFonts w:ascii="Arial" w:hAnsi="Arial" w:cs="Arial"/>
          <w:color w:val="000000" w:themeColor="text1"/>
          <w:sz w:val="22"/>
          <w:szCs w:val="22"/>
          <w:lang w:val="es-ES_tradnl"/>
        </w:rPr>
        <w:t xml:space="preserve"> el eje de las desvinculaciones, el programa registra una TIR de </w:t>
      </w:r>
      <w:r w:rsidR="00255EDF" w:rsidRPr="00F85253">
        <w:rPr>
          <w:rFonts w:ascii="Arial" w:hAnsi="Arial" w:cs="Arial"/>
          <w:color w:val="000000" w:themeColor="text1"/>
          <w:sz w:val="22"/>
          <w:szCs w:val="22"/>
          <w:lang w:val="es-ES_tradnl"/>
        </w:rPr>
        <w:t>58</w:t>
      </w:r>
      <w:r w:rsidR="00A03987" w:rsidRPr="00F85253">
        <w:rPr>
          <w:rFonts w:ascii="Arial" w:hAnsi="Arial" w:cs="Arial"/>
          <w:color w:val="000000" w:themeColor="text1"/>
          <w:sz w:val="22"/>
          <w:szCs w:val="22"/>
          <w:lang w:val="es-ES_tradnl"/>
        </w:rPr>
        <w:t xml:space="preserve">%; mientras que, si se consideran </w:t>
      </w:r>
      <w:r w:rsidR="00A03987" w:rsidRPr="00F85253">
        <w:rPr>
          <w:rFonts w:ascii="Arial" w:hAnsi="Arial" w:cs="Arial"/>
          <w:b/>
          <w:color w:val="000000" w:themeColor="text1"/>
          <w:sz w:val="22"/>
          <w:szCs w:val="22"/>
          <w:lang w:val="es-ES_tradnl"/>
        </w:rPr>
        <w:t>únicamente</w:t>
      </w:r>
      <w:r w:rsidR="00A03987" w:rsidRPr="00F85253">
        <w:rPr>
          <w:rFonts w:ascii="Arial" w:hAnsi="Arial" w:cs="Arial"/>
          <w:color w:val="000000" w:themeColor="text1"/>
          <w:sz w:val="22"/>
          <w:szCs w:val="22"/>
          <w:lang w:val="es-ES_tradnl"/>
        </w:rPr>
        <w:t xml:space="preserve"> los ejes de transparencia y eficiencia por fusión, la TIR del programa alcanza el </w:t>
      </w:r>
      <w:r w:rsidR="00DB0BE5" w:rsidRPr="00F85253">
        <w:rPr>
          <w:rFonts w:ascii="Arial" w:hAnsi="Arial" w:cs="Arial"/>
          <w:color w:val="000000" w:themeColor="text1"/>
          <w:sz w:val="22"/>
          <w:szCs w:val="22"/>
          <w:lang w:val="es-ES_tradnl"/>
        </w:rPr>
        <w:t>7</w:t>
      </w:r>
      <w:r w:rsidR="00A03987" w:rsidRPr="00F85253">
        <w:rPr>
          <w:rFonts w:ascii="Arial" w:hAnsi="Arial" w:cs="Arial"/>
          <w:color w:val="000000" w:themeColor="text1"/>
          <w:sz w:val="22"/>
          <w:szCs w:val="22"/>
          <w:lang w:val="es-ES_tradnl"/>
        </w:rPr>
        <w:t xml:space="preserve">%. Se evidencia claramente, que el ahorro por desvinculaciones influye en el alto valor de la TIR del programa. </w:t>
      </w:r>
    </w:p>
    <w:p w14:paraId="52484CAA" w14:textId="77777777" w:rsidR="00BF232E" w:rsidRPr="00F85253" w:rsidRDefault="00BF232E" w:rsidP="00BF232E">
      <w:pPr>
        <w:pStyle w:val="ListParagraph"/>
        <w:spacing w:after="0"/>
        <w:rPr>
          <w:rFonts w:ascii="Arial" w:hAnsi="Arial" w:cs="Arial"/>
          <w:lang w:val="es-ES_tradnl"/>
        </w:rPr>
      </w:pPr>
    </w:p>
    <w:p w14:paraId="106D9B70" w14:textId="4BB41A92" w:rsidR="00CF0FE4" w:rsidRPr="00F85253" w:rsidRDefault="00CF0FE4" w:rsidP="00CF0FE4">
      <w:pPr>
        <w:pStyle w:val="Paragraph"/>
        <w:numPr>
          <w:ilvl w:val="1"/>
          <w:numId w:val="2"/>
        </w:numPr>
        <w:tabs>
          <w:tab w:val="clear" w:pos="1296"/>
          <w:tab w:val="num" w:pos="720"/>
        </w:tabs>
        <w:spacing w:before="0" w:after="0" w:line="276" w:lineRule="auto"/>
        <w:ind w:left="720" w:hanging="720"/>
        <w:outlineLvl w:val="9"/>
        <w:rPr>
          <w:rFonts w:ascii="Arial" w:hAnsi="Arial" w:cs="Arial"/>
          <w:sz w:val="22"/>
          <w:szCs w:val="22"/>
          <w:lang w:val="es-ES_tradnl"/>
        </w:rPr>
      </w:pPr>
      <w:r w:rsidRPr="00F85253">
        <w:rPr>
          <w:rFonts w:ascii="Arial" w:hAnsi="Arial" w:cs="Arial"/>
          <w:sz w:val="22"/>
          <w:szCs w:val="22"/>
          <w:lang w:val="es-ES_tradnl"/>
        </w:rPr>
        <w:t xml:space="preserve">Se realizan tres escenarios de sensibilidad, en los cuales se modifican los supuestos sobre los beneficios esperados y costos económicos asociados a la implementación del programa. En el primer escenario, se asume que el proceso de desvinculación de personal de las EEPP se lo realiza progresivamente, durante la implementación del programa (2019-2022); y, que los beneficios asociados a la transparencia y la fusión de las </w:t>
      </w:r>
      <w:proofErr w:type="gramStart"/>
      <w:r w:rsidRPr="00F85253">
        <w:rPr>
          <w:rFonts w:ascii="Arial" w:hAnsi="Arial" w:cs="Arial"/>
          <w:sz w:val="22"/>
          <w:szCs w:val="22"/>
          <w:lang w:val="es-ES_tradnl"/>
        </w:rPr>
        <w:t>empresas</w:t>
      </w:r>
      <w:r w:rsidR="009B3388" w:rsidRPr="00F85253">
        <w:rPr>
          <w:rFonts w:ascii="Arial" w:hAnsi="Arial" w:cs="Arial"/>
          <w:sz w:val="22"/>
          <w:szCs w:val="22"/>
          <w:lang w:val="es-ES_tradnl"/>
        </w:rPr>
        <w:t>,</w:t>
      </w:r>
      <w:proofErr w:type="gramEnd"/>
      <w:r w:rsidRPr="00F85253">
        <w:rPr>
          <w:rFonts w:ascii="Arial" w:hAnsi="Arial" w:cs="Arial"/>
          <w:sz w:val="22"/>
          <w:szCs w:val="22"/>
          <w:lang w:val="es-ES_tradnl"/>
        </w:rPr>
        <w:t xml:space="preserve"> inician en el año 2024, es decir, un año posterior a la finalización de la implementación del programa (2022). El segundo escenario supone menores beneficios en transparencia, al considerarse un proceso de largo plazo; y, un </w:t>
      </w:r>
      <w:r w:rsidRPr="00F85253">
        <w:rPr>
          <w:rFonts w:ascii="Arial" w:hAnsi="Arial" w:cs="Arial"/>
          <w:sz w:val="22"/>
          <w:szCs w:val="22"/>
          <w:lang w:val="es-ES_tradnl"/>
        </w:rPr>
        <w:lastRenderedPageBreak/>
        <w:t>incremento del 12% al 15% en los gastos de operación y mantenimiento Opex, durante la implementación del programa (2019-2022). Finalmente, el tercer escenario, es un escenario optimista, en el cual los beneficios esperados de los ejes de transparencia, y eficiencia por la fusión de las petroleras generan mayor ahorro.</w:t>
      </w:r>
    </w:p>
    <w:p w14:paraId="48DB4728" w14:textId="77777777" w:rsidR="00CF0FE4" w:rsidRPr="00F85253" w:rsidRDefault="00CF0FE4" w:rsidP="00CF0FE4">
      <w:pPr>
        <w:pStyle w:val="Paragraph"/>
        <w:spacing w:before="0" w:after="0" w:line="276" w:lineRule="auto"/>
        <w:ind w:left="720"/>
        <w:outlineLvl w:val="9"/>
        <w:rPr>
          <w:rFonts w:ascii="Arial" w:hAnsi="Arial" w:cs="Arial"/>
          <w:sz w:val="22"/>
          <w:szCs w:val="22"/>
          <w:lang w:val="es-ES_tradnl"/>
        </w:rPr>
      </w:pPr>
    </w:p>
    <w:p w14:paraId="4115DE44" w14:textId="0180E78D" w:rsidR="00CF0FE4" w:rsidRPr="00F85253" w:rsidRDefault="00CF0FE4" w:rsidP="00CF0FE4">
      <w:pPr>
        <w:pStyle w:val="Paragraph"/>
        <w:numPr>
          <w:ilvl w:val="1"/>
          <w:numId w:val="2"/>
        </w:numPr>
        <w:tabs>
          <w:tab w:val="clear" w:pos="1296"/>
          <w:tab w:val="num" w:pos="720"/>
        </w:tabs>
        <w:spacing w:before="0" w:after="0" w:line="276" w:lineRule="auto"/>
        <w:ind w:left="720" w:hanging="720"/>
        <w:outlineLvl w:val="9"/>
        <w:rPr>
          <w:rFonts w:ascii="Arial" w:hAnsi="Arial" w:cs="Arial"/>
          <w:sz w:val="22"/>
          <w:szCs w:val="22"/>
          <w:lang w:val="es-ES_tradnl"/>
        </w:rPr>
      </w:pPr>
      <w:r w:rsidRPr="00F85253">
        <w:rPr>
          <w:rFonts w:ascii="Arial" w:hAnsi="Arial" w:cs="Arial"/>
          <w:sz w:val="22"/>
          <w:szCs w:val="22"/>
          <w:lang w:val="es-ES_tradnl"/>
        </w:rPr>
        <w:t>Los resultados del análisis de sensibilidad muestran variaciones de la TIR y el VAN, en los diferentes escenarios. En el primer escenario se evidencia una reducción de la TIR en cinco puntos porcentuales,</w:t>
      </w:r>
      <w:r w:rsidR="009B3388" w:rsidRPr="00F85253">
        <w:rPr>
          <w:rFonts w:ascii="Arial" w:hAnsi="Arial" w:cs="Arial"/>
          <w:sz w:val="22"/>
          <w:szCs w:val="22"/>
          <w:lang w:val="es-ES_tradnl"/>
        </w:rPr>
        <w:t xml:space="preserve"> respecto al escenario original; m</w:t>
      </w:r>
      <w:r w:rsidRPr="00F85253">
        <w:rPr>
          <w:rFonts w:ascii="Arial" w:hAnsi="Arial" w:cs="Arial"/>
          <w:sz w:val="22"/>
          <w:szCs w:val="22"/>
          <w:lang w:val="es-ES_tradnl"/>
        </w:rPr>
        <w:t>ientras que, el segundo escenario presenta una disminución en dos puntos porcentuales. El escenario optimista evidencia una mejora, incrementado la TIR en dos puntos porcentuales. Se destaca que los cambios en la TIR y VAN, en el escenario 2 y 3, son menores al escenario 1 de sensibilidad. El resultado sugiere una mayor sensibilidad del programa</w:t>
      </w:r>
      <w:r w:rsidR="009B3388" w:rsidRPr="00F85253">
        <w:rPr>
          <w:rFonts w:ascii="Arial" w:hAnsi="Arial" w:cs="Arial"/>
          <w:sz w:val="22"/>
          <w:szCs w:val="22"/>
          <w:lang w:val="es-ES_tradnl"/>
        </w:rPr>
        <w:t>, respecto al eje de la</w:t>
      </w:r>
      <w:r w:rsidRPr="00F85253">
        <w:rPr>
          <w:rFonts w:ascii="Arial" w:hAnsi="Arial" w:cs="Arial"/>
          <w:sz w:val="22"/>
          <w:szCs w:val="22"/>
          <w:lang w:val="es-ES_tradnl"/>
        </w:rPr>
        <w:t xml:space="preserve"> desvinculaci</w:t>
      </w:r>
      <w:r w:rsidR="009B3388" w:rsidRPr="00F85253">
        <w:rPr>
          <w:rFonts w:ascii="Arial" w:hAnsi="Arial" w:cs="Arial"/>
          <w:sz w:val="22"/>
          <w:szCs w:val="22"/>
          <w:lang w:val="es-ES_tradnl"/>
        </w:rPr>
        <w:t>ón</w:t>
      </w:r>
      <w:r w:rsidRPr="00F85253">
        <w:rPr>
          <w:rFonts w:ascii="Arial" w:hAnsi="Arial" w:cs="Arial"/>
          <w:sz w:val="22"/>
          <w:szCs w:val="22"/>
          <w:lang w:val="es-ES_tradnl"/>
        </w:rPr>
        <w:t xml:space="preserve"> de personal de las EEPP.  </w:t>
      </w:r>
    </w:p>
    <w:p w14:paraId="0C3D54BB" w14:textId="77777777" w:rsidR="00BF232E" w:rsidRPr="00F85253" w:rsidRDefault="00BF232E" w:rsidP="00BF232E">
      <w:pPr>
        <w:pStyle w:val="ListParagraph"/>
        <w:spacing w:after="0"/>
        <w:rPr>
          <w:rFonts w:ascii="Arial" w:hAnsi="Arial" w:cs="Arial"/>
          <w:color w:val="000000" w:themeColor="text1"/>
          <w:lang w:val="es-ES_tradnl"/>
        </w:rPr>
      </w:pPr>
    </w:p>
    <w:p w14:paraId="7B8EA01E" w14:textId="5773B03F" w:rsidR="00A03987" w:rsidRPr="00F85253" w:rsidRDefault="00A03987" w:rsidP="00BF232E">
      <w:pPr>
        <w:pStyle w:val="Paragraph"/>
        <w:numPr>
          <w:ilvl w:val="1"/>
          <w:numId w:val="2"/>
        </w:numPr>
        <w:tabs>
          <w:tab w:val="clear" w:pos="1296"/>
          <w:tab w:val="num" w:pos="720"/>
        </w:tabs>
        <w:spacing w:before="0" w:after="0" w:line="276" w:lineRule="auto"/>
        <w:ind w:left="720" w:hanging="720"/>
        <w:outlineLvl w:val="9"/>
        <w:rPr>
          <w:rFonts w:ascii="Arial" w:hAnsi="Arial" w:cs="Arial"/>
          <w:sz w:val="22"/>
          <w:szCs w:val="22"/>
          <w:lang w:val="es-ES_tradnl"/>
        </w:rPr>
      </w:pPr>
      <w:r w:rsidRPr="00F85253">
        <w:rPr>
          <w:rFonts w:ascii="Arial" w:hAnsi="Arial" w:cs="Arial"/>
          <w:color w:val="000000" w:themeColor="text1"/>
          <w:sz w:val="22"/>
          <w:szCs w:val="22"/>
          <w:lang w:val="es-ES_tradnl"/>
        </w:rPr>
        <w:t xml:space="preserve">En conclusión, el análisis indica que el programa genera beneficios netos positivos y es </w:t>
      </w:r>
      <w:r w:rsidR="00BE6BF9" w:rsidRPr="00F85253">
        <w:rPr>
          <w:rFonts w:ascii="Arial" w:hAnsi="Arial" w:cs="Arial"/>
          <w:color w:val="000000" w:themeColor="text1"/>
          <w:sz w:val="22"/>
          <w:szCs w:val="22"/>
          <w:lang w:val="es-ES_tradnl"/>
        </w:rPr>
        <w:t xml:space="preserve">altamente </w:t>
      </w:r>
      <w:r w:rsidRPr="00F85253">
        <w:rPr>
          <w:rFonts w:ascii="Arial" w:hAnsi="Arial" w:cs="Arial"/>
          <w:color w:val="000000" w:themeColor="text1"/>
          <w:sz w:val="22"/>
          <w:szCs w:val="22"/>
          <w:lang w:val="es-ES_tradnl"/>
        </w:rPr>
        <w:t xml:space="preserve">rentable. </w:t>
      </w:r>
    </w:p>
    <w:p w14:paraId="68D2FE69" w14:textId="77777777" w:rsidR="008F4684" w:rsidRPr="00F85253" w:rsidRDefault="008F4684" w:rsidP="00BF232E">
      <w:pPr>
        <w:pStyle w:val="Paragraph"/>
        <w:spacing w:before="0" w:after="0" w:line="276" w:lineRule="auto"/>
        <w:rPr>
          <w:rFonts w:ascii="Arial" w:hAnsi="Arial" w:cs="Arial"/>
          <w:sz w:val="22"/>
          <w:szCs w:val="22"/>
          <w:lang w:val="es-ES_tradnl"/>
        </w:rPr>
      </w:pPr>
      <w:bookmarkStart w:id="3" w:name="_Hlk505625564"/>
    </w:p>
    <w:p w14:paraId="1F45A313" w14:textId="77777777" w:rsidR="00CF0FE4" w:rsidRPr="00F85253" w:rsidRDefault="00CF0FE4" w:rsidP="00BF232E">
      <w:pPr>
        <w:pStyle w:val="Paragraph"/>
        <w:spacing w:before="0" w:after="0" w:line="276" w:lineRule="auto"/>
        <w:rPr>
          <w:rFonts w:ascii="Arial" w:hAnsi="Arial" w:cs="Arial"/>
          <w:sz w:val="22"/>
          <w:szCs w:val="22"/>
          <w:lang w:val="es-ES_tradnl"/>
        </w:rPr>
      </w:pPr>
    </w:p>
    <w:p w14:paraId="54E8D076" w14:textId="77777777" w:rsidR="00F10D9A" w:rsidRPr="00F85253" w:rsidRDefault="008A4068" w:rsidP="00BF232E">
      <w:pPr>
        <w:pStyle w:val="Chapter"/>
        <w:numPr>
          <w:ilvl w:val="0"/>
          <w:numId w:val="2"/>
        </w:numPr>
        <w:spacing w:before="0" w:after="0" w:line="276" w:lineRule="auto"/>
        <w:ind w:left="900" w:hanging="792"/>
        <w:jc w:val="both"/>
        <w:outlineLvl w:val="0"/>
        <w:rPr>
          <w:rFonts w:ascii="Arial" w:hAnsi="Arial" w:cs="Arial"/>
          <w:sz w:val="22"/>
          <w:szCs w:val="22"/>
          <w:lang w:val="es-ES_tradnl"/>
        </w:rPr>
      </w:pPr>
      <w:bookmarkStart w:id="4" w:name="_Toc518739331"/>
      <w:bookmarkEnd w:id="3"/>
      <w:r w:rsidRPr="00F85253">
        <w:rPr>
          <w:rFonts w:ascii="Arial" w:hAnsi="Arial" w:cs="Arial"/>
          <w:sz w:val="22"/>
          <w:szCs w:val="22"/>
          <w:lang w:val="es-ES_tradnl"/>
        </w:rPr>
        <w:t xml:space="preserve">Problemas Específicos Por Solucionar </w:t>
      </w:r>
      <w:r w:rsidR="007E781F" w:rsidRPr="00F85253">
        <w:rPr>
          <w:rFonts w:ascii="Arial" w:hAnsi="Arial" w:cs="Arial"/>
          <w:sz w:val="22"/>
          <w:szCs w:val="22"/>
          <w:lang w:val="es-ES_tradnl"/>
        </w:rPr>
        <w:t xml:space="preserve">y </w:t>
      </w:r>
      <w:r w:rsidR="00274F27" w:rsidRPr="00F85253">
        <w:rPr>
          <w:rFonts w:ascii="Arial" w:hAnsi="Arial" w:cs="Arial"/>
          <w:sz w:val="22"/>
          <w:szCs w:val="22"/>
          <w:lang w:val="es-ES_tradnl"/>
        </w:rPr>
        <w:t xml:space="preserve">sus </w:t>
      </w:r>
      <w:r w:rsidR="007E781F" w:rsidRPr="00F85253">
        <w:rPr>
          <w:rFonts w:ascii="Arial" w:hAnsi="Arial" w:cs="Arial"/>
          <w:sz w:val="22"/>
          <w:szCs w:val="22"/>
          <w:lang w:val="es-ES_tradnl"/>
        </w:rPr>
        <w:t>Causas</w:t>
      </w:r>
      <w:r w:rsidR="00274F27" w:rsidRPr="00F85253">
        <w:rPr>
          <w:rFonts w:ascii="Arial" w:hAnsi="Arial" w:cs="Arial"/>
          <w:sz w:val="22"/>
          <w:szCs w:val="22"/>
          <w:lang w:val="es-ES_tradnl"/>
        </w:rPr>
        <w:t xml:space="preserve"> específicas</w:t>
      </w:r>
      <w:bookmarkEnd w:id="4"/>
    </w:p>
    <w:p w14:paraId="02921B8F" w14:textId="77777777" w:rsidR="00D665D8" w:rsidRPr="00F85253" w:rsidRDefault="00D665D8" w:rsidP="000B2BC8">
      <w:pPr>
        <w:pStyle w:val="Paragraph"/>
        <w:spacing w:before="0" w:after="0" w:line="276" w:lineRule="auto"/>
        <w:ind w:left="720"/>
        <w:rPr>
          <w:rFonts w:ascii="Arial" w:hAnsi="Arial" w:cs="Arial"/>
          <w:sz w:val="22"/>
          <w:szCs w:val="22"/>
        </w:rPr>
      </w:pPr>
    </w:p>
    <w:p w14:paraId="3A37E483" w14:textId="67D890B2" w:rsidR="00F41A89" w:rsidRPr="00F85253" w:rsidRDefault="00F41A89" w:rsidP="001E4112">
      <w:pPr>
        <w:pStyle w:val="Paragraph"/>
        <w:numPr>
          <w:ilvl w:val="1"/>
          <w:numId w:val="2"/>
        </w:numPr>
        <w:tabs>
          <w:tab w:val="clear" w:pos="1296"/>
          <w:tab w:val="num" w:pos="720"/>
        </w:tabs>
        <w:spacing w:before="0" w:after="0" w:line="276" w:lineRule="auto"/>
        <w:ind w:left="720" w:hanging="720"/>
        <w:rPr>
          <w:rFonts w:ascii="Arial" w:hAnsi="Arial" w:cs="Arial"/>
          <w:sz w:val="22"/>
          <w:szCs w:val="22"/>
        </w:rPr>
      </w:pPr>
      <w:r w:rsidRPr="00F85253">
        <w:rPr>
          <w:rFonts w:ascii="Arial" w:hAnsi="Arial" w:cs="Arial"/>
          <w:sz w:val="22"/>
          <w:szCs w:val="22"/>
        </w:rPr>
        <w:t xml:space="preserve">El principal problema identificado es la carga fiscal para el Estado derivada de la propiedad de </w:t>
      </w:r>
      <w:r w:rsidR="0023565F" w:rsidRPr="00F85253">
        <w:rPr>
          <w:rFonts w:ascii="Arial" w:hAnsi="Arial" w:cs="Arial"/>
          <w:sz w:val="22"/>
          <w:szCs w:val="22"/>
        </w:rPr>
        <w:t>EEPP</w:t>
      </w:r>
      <w:r w:rsidR="00BF232E" w:rsidRPr="00F85253">
        <w:rPr>
          <w:rFonts w:ascii="Arial" w:hAnsi="Arial" w:cs="Arial"/>
          <w:sz w:val="22"/>
          <w:szCs w:val="22"/>
        </w:rPr>
        <w:t>.</w:t>
      </w:r>
      <w:r w:rsidRPr="00F85253">
        <w:rPr>
          <w:rFonts w:ascii="Arial" w:hAnsi="Arial" w:cs="Arial"/>
          <w:sz w:val="22"/>
          <w:szCs w:val="22"/>
        </w:rPr>
        <w:t xml:space="preserve"> El monto estimado de recursos requerido (en asignaciones presupuestarias) para la gestión de las </w:t>
      </w:r>
      <w:r w:rsidR="0023565F" w:rsidRPr="00F85253">
        <w:rPr>
          <w:rFonts w:ascii="Arial" w:hAnsi="Arial" w:cs="Arial"/>
          <w:sz w:val="22"/>
          <w:szCs w:val="22"/>
        </w:rPr>
        <w:t>EEPP</w:t>
      </w:r>
      <w:r w:rsidRPr="00F85253">
        <w:rPr>
          <w:rFonts w:ascii="Arial" w:hAnsi="Arial" w:cs="Arial"/>
          <w:sz w:val="22"/>
          <w:szCs w:val="22"/>
        </w:rPr>
        <w:t xml:space="preserve"> de la función eje</w:t>
      </w:r>
      <w:r w:rsidR="008F4684" w:rsidRPr="00F85253">
        <w:rPr>
          <w:rFonts w:ascii="Arial" w:hAnsi="Arial" w:cs="Arial"/>
          <w:sz w:val="22"/>
          <w:szCs w:val="22"/>
        </w:rPr>
        <w:t>cutiva fue de aproximadamente 4.</w:t>
      </w:r>
      <w:r w:rsidR="00BF232E" w:rsidRPr="00F85253">
        <w:rPr>
          <w:rFonts w:ascii="Arial" w:hAnsi="Arial" w:cs="Arial"/>
          <w:sz w:val="22"/>
          <w:szCs w:val="22"/>
        </w:rPr>
        <w:t>2% del PIB en 2018;</w:t>
      </w:r>
      <w:r w:rsidRPr="00F85253">
        <w:rPr>
          <w:rFonts w:ascii="Arial" w:hAnsi="Arial" w:cs="Arial"/>
          <w:sz w:val="22"/>
          <w:szCs w:val="22"/>
        </w:rPr>
        <w:t xml:space="preserve"> mientras que, los salarios de la</w:t>
      </w:r>
      <w:r w:rsidR="008F4684" w:rsidRPr="00F85253">
        <w:rPr>
          <w:rFonts w:ascii="Arial" w:hAnsi="Arial" w:cs="Arial"/>
          <w:sz w:val="22"/>
          <w:szCs w:val="22"/>
        </w:rPr>
        <w:t xml:space="preserve">s </w:t>
      </w:r>
      <w:r w:rsidR="0023565F" w:rsidRPr="00F85253">
        <w:rPr>
          <w:rFonts w:ascii="Arial" w:hAnsi="Arial" w:cs="Arial"/>
          <w:sz w:val="22"/>
          <w:szCs w:val="22"/>
        </w:rPr>
        <w:t>EEPP</w:t>
      </w:r>
      <w:r w:rsidR="008F4684" w:rsidRPr="00F85253">
        <w:rPr>
          <w:rFonts w:ascii="Arial" w:hAnsi="Arial" w:cs="Arial"/>
          <w:sz w:val="22"/>
          <w:szCs w:val="22"/>
        </w:rPr>
        <w:t xml:space="preserve"> representaron el 0.</w:t>
      </w:r>
      <w:r w:rsidRPr="00F85253">
        <w:rPr>
          <w:rFonts w:ascii="Arial" w:hAnsi="Arial" w:cs="Arial"/>
          <w:sz w:val="22"/>
          <w:szCs w:val="22"/>
        </w:rPr>
        <w:t>9% del PIB en 2017 y 2018</w:t>
      </w:r>
      <w:r w:rsidRPr="00F85253">
        <w:rPr>
          <w:rFonts w:ascii="Arial" w:hAnsi="Arial" w:cs="Arial"/>
          <w:sz w:val="22"/>
          <w:szCs w:val="22"/>
          <w:vertAlign w:val="superscript"/>
        </w:rPr>
        <w:footnoteReference w:id="2"/>
      </w:r>
      <w:r w:rsidRPr="00F85253">
        <w:rPr>
          <w:rFonts w:ascii="Arial" w:hAnsi="Arial" w:cs="Arial"/>
          <w:sz w:val="22"/>
          <w:szCs w:val="22"/>
        </w:rPr>
        <w:t xml:space="preserve">. El </w:t>
      </w:r>
      <w:r w:rsidR="00BF232E" w:rsidRPr="00F85253">
        <w:rPr>
          <w:rFonts w:ascii="Arial" w:hAnsi="Arial" w:cs="Arial"/>
          <w:sz w:val="22"/>
          <w:szCs w:val="22"/>
        </w:rPr>
        <w:t>Sector Público No Financiero (</w:t>
      </w:r>
      <w:r w:rsidRPr="00F85253">
        <w:rPr>
          <w:rFonts w:ascii="Arial" w:hAnsi="Arial" w:cs="Arial"/>
          <w:sz w:val="22"/>
          <w:szCs w:val="22"/>
        </w:rPr>
        <w:t>SPNF</w:t>
      </w:r>
      <w:r w:rsidR="00BF232E" w:rsidRPr="00F85253">
        <w:rPr>
          <w:rFonts w:ascii="Arial" w:hAnsi="Arial" w:cs="Arial"/>
          <w:sz w:val="22"/>
          <w:szCs w:val="22"/>
        </w:rPr>
        <w:t>)</w:t>
      </w:r>
      <w:r w:rsidRPr="00F85253">
        <w:rPr>
          <w:rFonts w:ascii="Arial" w:hAnsi="Arial" w:cs="Arial"/>
          <w:sz w:val="22"/>
          <w:szCs w:val="22"/>
        </w:rPr>
        <w:t xml:space="preserve"> muestra un superávit de las EEPP, por los resultados de las petroleras y la Corporación Nacional de Telecomunicac</w:t>
      </w:r>
      <w:r w:rsidR="008F4684" w:rsidRPr="00F85253">
        <w:rPr>
          <w:rFonts w:ascii="Arial" w:hAnsi="Arial" w:cs="Arial"/>
          <w:sz w:val="22"/>
          <w:szCs w:val="22"/>
        </w:rPr>
        <w:t>iones (CNT), de alrededor de 1.</w:t>
      </w:r>
      <w:r w:rsidRPr="00F85253">
        <w:rPr>
          <w:rFonts w:ascii="Arial" w:hAnsi="Arial" w:cs="Arial"/>
          <w:sz w:val="22"/>
          <w:szCs w:val="22"/>
        </w:rPr>
        <w:t>4% del PIB (2000-2018)</w:t>
      </w:r>
      <w:r w:rsidR="00CC1030" w:rsidRPr="00F85253">
        <w:rPr>
          <w:rFonts w:ascii="Arial" w:hAnsi="Arial" w:cs="Arial"/>
          <w:sz w:val="22"/>
          <w:szCs w:val="22"/>
        </w:rPr>
        <w:t>;</w:t>
      </w:r>
      <w:r w:rsidRPr="00F85253">
        <w:rPr>
          <w:rFonts w:ascii="Arial" w:hAnsi="Arial" w:cs="Arial"/>
          <w:sz w:val="22"/>
          <w:szCs w:val="22"/>
        </w:rPr>
        <w:t xml:space="preserve"> mientras que</w:t>
      </w:r>
      <w:r w:rsidR="00CC1030" w:rsidRPr="00F85253">
        <w:rPr>
          <w:rFonts w:ascii="Arial" w:hAnsi="Arial" w:cs="Arial"/>
          <w:sz w:val="22"/>
          <w:szCs w:val="22"/>
        </w:rPr>
        <w:t>,</w:t>
      </w:r>
      <w:r w:rsidRPr="00F85253">
        <w:rPr>
          <w:rFonts w:ascii="Arial" w:hAnsi="Arial" w:cs="Arial"/>
          <w:sz w:val="22"/>
          <w:szCs w:val="22"/>
        </w:rPr>
        <w:t xml:space="preserve"> el conjunto restante arroja un déficit promedio del 1% del PIB durante dicho periodo</w:t>
      </w:r>
      <w:r w:rsidRPr="00F85253">
        <w:rPr>
          <w:rFonts w:ascii="Arial" w:hAnsi="Arial" w:cs="Arial"/>
          <w:sz w:val="22"/>
          <w:szCs w:val="22"/>
          <w:vertAlign w:val="superscript"/>
        </w:rPr>
        <w:footnoteReference w:id="3"/>
      </w:r>
      <w:r w:rsidR="00CC1030" w:rsidRPr="00F85253">
        <w:rPr>
          <w:rFonts w:ascii="Arial" w:hAnsi="Arial" w:cs="Arial"/>
          <w:sz w:val="22"/>
          <w:szCs w:val="22"/>
        </w:rPr>
        <w:t xml:space="preserve">. </w:t>
      </w:r>
      <w:r w:rsidRPr="00F85253">
        <w:rPr>
          <w:rFonts w:ascii="Arial" w:hAnsi="Arial" w:cs="Arial"/>
          <w:sz w:val="22"/>
          <w:szCs w:val="22"/>
        </w:rPr>
        <w:t>Los problemas específicos y causas determinantes son:</w:t>
      </w:r>
    </w:p>
    <w:p w14:paraId="2127540A" w14:textId="77777777" w:rsidR="00CB4053" w:rsidRPr="0009715F" w:rsidRDefault="00CB4053" w:rsidP="00CB4053">
      <w:pPr>
        <w:pStyle w:val="Paragraph"/>
        <w:numPr>
          <w:ilvl w:val="1"/>
          <w:numId w:val="34"/>
        </w:numPr>
        <w:tabs>
          <w:tab w:val="clear" w:pos="2736"/>
        </w:tabs>
        <w:ind w:left="720" w:hanging="720"/>
        <w:rPr>
          <w:rFonts w:ascii="Arial" w:hAnsi="Arial" w:cs="Arial"/>
          <w:sz w:val="22"/>
          <w:szCs w:val="22"/>
          <w:lang w:val="es-ES_tradnl"/>
        </w:rPr>
      </w:pPr>
      <w:r w:rsidRPr="0009715F">
        <w:rPr>
          <w:rFonts w:ascii="Arial" w:hAnsi="Arial" w:cs="Arial"/>
          <w:b/>
          <w:sz w:val="22"/>
          <w:szCs w:val="22"/>
          <w:lang w:val="es-ES_tradnl"/>
        </w:rPr>
        <w:t>Débil gobernanza corporativa</w:t>
      </w:r>
      <w:r>
        <w:rPr>
          <w:rFonts w:ascii="Arial" w:hAnsi="Arial" w:cs="Arial"/>
          <w:b/>
          <w:sz w:val="22"/>
          <w:szCs w:val="22"/>
          <w:lang w:val="es-ES_tradnl"/>
        </w:rPr>
        <w:t xml:space="preserve"> y fiscal</w:t>
      </w:r>
      <w:r w:rsidRPr="0009715F">
        <w:rPr>
          <w:rFonts w:ascii="Arial" w:hAnsi="Arial" w:cs="Arial"/>
          <w:sz w:val="22"/>
          <w:szCs w:val="22"/>
        </w:rPr>
        <w:t xml:space="preserve">. El marco normativo e institucional son inadecuados para la gestión de </w:t>
      </w:r>
      <w:r>
        <w:rPr>
          <w:rFonts w:ascii="Arial" w:hAnsi="Arial" w:cs="Arial"/>
          <w:sz w:val="22"/>
          <w:szCs w:val="22"/>
        </w:rPr>
        <w:t>EEPP</w:t>
      </w:r>
      <w:r w:rsidRPr="0009715F">
        <w:rPr>
          <w:rFonts w:ascii="Arial" w:hAnsi="Arial" w:cs="Arial"/>
          <w:sz w:val="22"/>
          <w:szCs w:val="22"/>
        </w:rPr>
        <w:t>:</w:t>
      </w:r>
    </w:p>
    <w:p w14:paraId="7CCFBA8D" w14:textId="112249CC" w:rsidR="00CB4053" w:rsidRPr="002914D1" w:rsidRDefault="00CB4053" w:rsidP="00CB4053">
      <w:pPr>
        <w:pStyle w:val="Paragraph"/>
        <w:numPr>
          <w:ilvl w:val="0"/>
          <w:numId w:val="35"/>
        </w:numPr>
        <w:spacing w:before="60" w:after="60"/>
        <w:ind w:left="1080"/>
        <w:rPr>
          <w:rFonts w:ascii="Arial" w:hAnsi="Arial" w:cs="Arial"/>
          <w:sz w:val="22"/>
          <w:szCs w:val="22"/>
        </w:rPr>
      </w:pPr>
      <w:r w:rsidRPr="0095494D">
        <w:rPr>
          <w:rFonts w:ascii="Arial" w:eastAsia="Arial" w:hAnsi="Arial" w:cs="Arial"/>
          <w:b/>
          <w:bCs/>
          <w:sz w:val="22"/>
          <w:szCs w:val="22"/>
        </w:rPr>
        <w:t>Inadecuado marco normativo</w:t>
      </w:r>
      <w:r w:rsidRPr="0095494D">
        <w:rPr>
          <w:rFonts w:ascii="Arial" w:hAnsi="Arial" w:cs="Arial"/>
          <w:sz w:val="22"/>
          <w:szCs w:val="22"/>
        </w:rPr>
        <w:t xml:space="preserve">: </w:t>
      </w:r>
      <w:bookmarkStart w:id="5" w:name="_Hlk10140524"/>
      <w:r w:rsidRPr="0095494D">
        <w:rPr>
          <w:rFonts w:ascii="Arial" w:hAnsi="Arial" w:cs="Arial"/>
          <w:sz w:val="22"/>
          <w:szCs w:val="22"/>
        </w:rPr>
        <w:t>(i)</w:t>
      </w:r>
      <w:r w:rsidRPr="0095494D">
        <w:rPr>
          <w:rFonts w:ascii="Arial" w:hAnsi="Arial" w:cs="Arial"/>
          <w:b/>
          <w:sz w:val="22"/>
          <w:szCs w:val="22"/>
        </w:rPr>
        <w:t xml:space="preserve"> </w:t>
      </w:r>
      <w:r w:rsidRPr="00DA54DB">
        <w:rPr>
          <w:rFonts w:ascii="Arial" w:hAnsi="Arial" w:cs="Arial"/>
          <w:sz w:val="22"/>
          <w:szCs w:val="22"/>
        </w:rPr>
        <w:t>el marco normativo no se alinea con los mejores estándares internacionales de gobierno corporativo</w:t>
      </w:r>
      <w:r>
        <w:rPr>
          <w:rFonts w:ascii="Arial" w:hAnsi="Arial" w:cs="Arial"/>
          <w:sz w:val="22"/>
          <w:szCs w:val="22"/>
        </w:rPr>
        <w:t xml:space="preserve"> </w:t>
      </w:r>
      <w:r w:rsidRPr="00DA54DB">
        <w:rPr>
          <w:rFonts w:ascii="Arial" w:hAnsi="Arial" w:cs="Arial"/>
          <w:sz w:val="22"/>
          <w:szCs w:val="22"/>
        </w:rPr>
        <w:t>(</w:t>
      </w:r>
      <w:hyperlink r:id="rId20" w:history="1">
        <w:r w:rsidRPr="00C45700">
          <w:rPr>
            <w:rStyle w:val="Hyperlink"/>
            <w:rFonts w:ascii="Arial" w:eastAsia="Arial" w:hAnsi="Arial" w:cs="Arial"/>
            <w:bCs/>
            <w:sz w:val="22"/>
            <w:szCs w:val="22"/>
          </w:rPr>
          <w:t>LOEP</w:t>
        </w:r>
      </w:hyperlink>
      <w:r w:rsidRPr="00DA54DB">
        <w:rPr>
          <w:rFonts w:ascii="Arial" w:hAnsi="Arial" w:cs="Arial"/>
          <w:sz w:val="22"/>
          <w:szCs w:val="22"/>
        </w:rPr>
        <w:t>)</w:t>
      </w:r>
      <w:r w:rsidRPr="00DA54DB">
        <w:rPr>
          <w:rStyle w:val="FootnoteReference"/>
          <w:rFonts w:ascii="Arial" w:hAnsi="Arial" w:cs="Arial"/>
          <w:sz w:val="22"/>
          <w:szCs w:val="22"/>
        </w:rPr>
        <w:footnoteReference w:id="4"/>
      </w:r>
      <w:r>
        <w:rPr>
          <w:rFonts w:ascii="Arial" w:hAnsi="Arial" w:cs="Arial"/>
          <w:sz w:val="22"/>
          <w:szCs w:val="22"/>
        </w:rPr>
        <w:t xml:space="preserve"> ya que no </w:t>
      </w:r>
      <w:r w:rsidRPr="00C675B8">
        <w:rPr>
          <w:rFonts w:ascii="Arial" w:hAnsi="Arial" w:cs="Arial"/>
          <w:sz w:val="22"/>
          <w:szCs w:val="22"/>
        </w:rPr>
        <w:t>s</w:t>
      </w:r>
      <w:r>
        <w:rPr>
          <w:rFonts w:ascii="Arial" w:hAnsi="Arial" w:cs="Arial"/>
          <w:sz w:val="22"/>
          <w:szCs w:val="22"/>
        </w:rPr>
        <w:t>ep</w:t>
      </w:r>
      <w:r w:rsidRPr="00C675B8">
        <w:rPr>
          <w:rFonts w:ascii="Arial" w:hAnsi="Arial" w:cs="Arial"/>
          <w:sz w:val="22"/>
          <w:szCs w:val="22"/>
        </w:rPr>
        <w:t>ara</w:t>
      </w:r>
      <w:r>
        <w:rPr>
          <w:rFonts w:ascii="Arial" w:hAnsi="Arial" w:cs="Arial"/>
          <w:sz w:val="22"/>
          <w:szCs w:val="22"/>
        </w:rPr>
        <w:t xml:space="preserve"> </w:t>
      </w:r>
      <w:r w:rsidRPr="00C675B8">
        <w:rPr>
          <w:rFonts w:ascii="Arial" w:hAnsi="Arial" w:cs="Arial"/>
          <w:sz w:val="22"/>
          <w:szCs w:val="22"/>
        </w:rPr>
        <w:t>la función de política pública, propiedad, y gestión administrativa</w:t>
      </w:r>
      <w:r>
        <w:rPr>
          <w:rStyle w:val="FootnoteReference"/>
          <w:rFonts w:ascii="Arial" w:hAnsi="Arial" w:cs="Arial"/>
          <w:sz w:val="22"/>
          <w:szCs w:val="22"/>
        </w:rPr>
        <w:footnoteReference w:id="5"/>
      </w:r>
      <w:r>
        <w:rPr>
          <w:rFonts w:ascii="Arial" w:hAnsi="Arial" w:cs="Arial"/>
          <w:sz w:val="22"/>
          <w:szCs w:val="22"/>
        </w:rPr>
        <w:t xml:space="preserve"> (las empresas no</w:t>
      </w:r>
      <w:r w:rsidRPr="00806DB6">
        <w:rPr>
          <w:rFonts w:ascii="Arial" w:hAnsi="Arial" w:cs="Arial"/>
          <w:sz w:val="22"/>
          <w:szCs w:val="22"/>
        </w:rPr>
        <w:t xml:space="preserve"> cuentan con directorios profesionalizados y los ministros del ramo presiden los directorios, limitando la separación de funciones y disminuyendo la frecuencia de sesiones</w:t>
      </w:r>
      <w:r>
        <w:rPr>
          <w:rFonts w:ascii="Arial" w:hAnsi="Arial" w:cs="Arial"/>
          <w:sz w:val="22"/>
          <w:szCs w:val="22"/>
        </w:rPr>
        <w:t xml:space="preserve">), y </w:t>
      </w:r>
      <w:r w:rsidRPr="00EA6A73">
        <w:rPr>
          <w:rFonts w:ascii="Arial" w:hAnsi="Arial" w:cs="Arial"/>
          <w:sz w:val="22"/>
          <w:szCs w:val="22"/>
        </w:rPr>
        <w:t xml:space="preserve">permite una discrecionalidad perjudicial en la creación y cambio </w:t>
      </w:r>
      <w:r>
        <w:rPr>
          <w:rFonts w:ascii="Arial" w:hAnsi="Arial" w:cs="Arial"/>
          <w:sz w:val="22"/>
          <w:szCs w:val="22"/>
        </w:rPr>
        <w:t>del</w:t>
      </w:r>
      <w:r w:rsidRPr="00EA6A73">
        <w:rPr>
          <w:rFonts w:ascii="Arial" w:hAnsi="Arial" w:cs="Arial"/>
          <w:sz w:val="22"/>
          <w:szCs w:val="22"/>
        </w:rPr>
        <w:t xml:space="preserve"> giro de negocio</w:t>
      </w:r>
      <w:r>
        <w:rPr>
          <w:rFonts w:ascii="Arial" w:hAnsi="Arial" w:cs="Arial"/>
          <w:sz w:val="22"/>
          <w:szCs w:val="22"/>
        </w:rPr>
        <w:t xml:space="preserve"> de las EEPP</w:t>
      </w:r>
      <w:r>
        <w:rPr>
          <w:rStyle w:val="FootnoteReference"/>
          <w:rFonts w:ascii="Arial" w:hAnsi="Arial" w:cs="Arial"/>
          <w:sz w:val="22"/>
          <w:szCs w:val="22"/>
        </w:rPr>
        <w:footnoteReference w:id="6"/>
      </w:r>
      <w:r>
        <w:rPr>
          <w:rFonts w:ascii="Arial" w:hAnsi="Arial" w:cs="Arial"/>
          <w:sz w:val="22"/>
          <w:szCs w:val="22"/>
        </w:rPr>
        <w:t xml:space="preserve">. La LOEP no cuenta con un Reglamento que la desarrolle.; (ii) </w:t>
      </w:r>
      <w:r w:rsidRPr="00E72E35">
        <w:rPr>
          <w:rFonts w:ascii="Arial" w:hAnsi="Arial" w:cs="Arial"/>
          <w:sz w:val="22"/>
          <w:szCs w:val="22"/>
        </w:rPr>
        <w:t>la participación de mujeres en órganos de dirección es escasa. De los 66</w:t>
      </w:r>
      <w:r>
        <w:rPr>
          <w:rFonts w:ascii="Arial" w:hAnsi="Arial" w:cs="Arial"/>
          <w:sz w:val="22"/>
          <w:szCs w:val="22"/>
        </w:rPr>
        <w:t> </w:t>
      </w:r>
      <w:r w:rsidRPr="00E72E35">
        <w:rPr>
          <w:rFonts w:ascii="Arial" w:hAnsi="Arial" w:cs="Arial"/>
          <w:sz w:val="22"/>
          <w:szCs w:val="22"/>
        </w:rPr>
        <w:t xml:space="preserve">puestos de directorio de las </w:t>
      </w:r>
      <w:r>
        <w:rPr>
          <w:rFonts w:ascii="Arial" w:hAnsi="Arial" w:cs="Arial"/>
          <w:sz w:val="22"/>
          <w:szCs w:val="22"/>
        </w:rPr>
        <w:t>EEPP en 2018</w:t>
      </w:r>
      <w:r w:rsidRPr="00E72E35">
        <w:rPr>
          <w:rFonts w:ascii="Arial" w:hAnsi="Arial" w:cs="Arial"/>
          <w:sz w:val="22"/>
          <w:szCs w:val="22"/>
        </w:rPr>
        <w:t xml:space="preserve">, solo </w:t>
      </w:r>
      <w:r w:rsidRPr="00E72E35">
        <w:rPr>
          <w:rFonts w:ascii="Arial" w:hAnsi="Arial" w:cs="Arial"/>
          <w:sz w:val="22"/>
          <w:szCs w:val="22"/>
        </w:rPr>
        <w:lastRenderedPageBreak/>
        <w:t>dos son ocupados por mujeres y únicamente debido a su nombramiento anterior como ministras</w:t>
      </w:r>
      <w:r>
        <w:rPr>
          <w:rFonts w:ascii="Arial" w:hAnsi="Arial" w:cs="Arial"/>
          <w:sz w:val="22"/>
          <w:szCs w:val="22"/>
        </w:rPr>
        <w:t>;</w:t>
      </w:r>
      <w:r w:rsidRPr="0095494D">
        <w:rPr>
          <w:rFonts w:ascii="Arial" w:hAnsi="Arial" w:cs="Arial"/>
          <w:sz w:val="22"/>
          <w:szCs w:val="22"/>
        </w:rPr>
        <w:t xml:space="preserve"> </w:t>
      </w:r>
      <w:r>
        <w:rPr>
          <w:rFonts w:ascii="Arial" w:hAnsi="Arial" w:cs="Arial"/>
          <w:sz w:val="22"/>
          <w:szCs w:val="22"/>
        </w:rPr>
        <w:t>(iii</w:t>
      </w:r>
      <w:r w:rsidRPr="0095494D">
        <w:rPr>
          <w:rFonts w:ascii="Arial" w:hAnsi="Arial" w:cs="Arial"/>
          <w:sz w:val="22"/>
          <w:szCs w:val="22"/>
        </w:rPr>
        <w:t>)</w:t>
      </w:r>
      <w:r>
        <w:rPr>
          <w:rFonts w:ascii="Arial" w:hAnsi="Arial" w:cs="Arial"/>
          <w:sz w:val="22"/>
          <w:szCs w:val="22"/>
        </w:rPr>
        <w:t xml:space="preserve"> el </w:t>
      </w:r>
      <w:r w:rsidRPr="00DA54DB">
        <w:rPr>
          <w:rFonts w:ascii="Arial" w:hAnsi="Arial" w:cs="Arial"/>
          <w:sz w:val="22"/>
          <w:szCs w:val="22"/>
        </w:rPr>
        <w:t xml:space="preserve">régimen fiscal de </w:t>
      </w:r>
      <w:r>
        <w:rPr>
          <w:rFonts w:ascii="Arial" w:hAnsi="Arial" w:cs="Arial"/>
          <w:sz w:val="22"/>
          <w:szCs w:val="22"/>
        </w:rPr>
        <w:t>EEPP</w:t>
      </w:r>
      <w:r w:rsidRPr="00DA54DB">
        <w:rPr>
          <w:rFonts w:ascii="Arial" w:hAnsi="Arial" w:cs="Arial"/>
          <w:sz w:val="22"/>
          <w:szCs w:val="22"/>
        </w:rPr>
        <w:t xml:space="preserve"> no es asimilable al de las compañías privadas</w:t>
      </w:r>
      <w:r w:rsidRPr="00DA54DB">
        <w:rPr>
          <w:rStyle w:val="FootnoteReference"/>
          <w:rFonts w:ascii="Arial" w:hAnsi="Arial" w:cs="Arial"/>
          <w:sz w:val="22"/>
          <w:szCs w:val="22"/>
        </w:rPr>
        <w:footnoteReference w:id="7"/>
      </w:r>
      <w:r>
        <w:rPr>
          <w:rFonts w:ascii="Arial" w:hAnsi="Arial" w:cs="Arial"/>
          <w:sz w:val="22"/>
          <w:szCs w:val="22"/>
        </w:rPr>
        <w:t>, estableciéndose así un marco de competencia desigual</w:t>
      </w:r>
      <w:r w:rsidRPr="00DA54DB">
        <w:rPr>
          <w:rFonts w:ascii="Arial" w:hAnsi="Arial" w:cs="Arial"/>
          <w:sz w:val="22"/>
          <w:szCs w:val="22"/>
        </w:rPr>
        <w:t xml:space="preserve">, </w:t>
      </w:r>
      <w:r>
        <w:rPr>
          <w:rFonts w:ascii="Arial" w:hAnsi="Arial" w:cs="Arial"/>
          <w:sz w:val="22"/>
          <w:szCs w:val="22"/>
          <w:lang w:val="es-ES_tradnl"/>
        </w:rPr>
        <w:t>ya que las EEPP se encuentran exentas al pago del impuesto a excedentes; y el régimen fiscal tampoco provee de incentivos para la reinversión de parte de los dividendos en el crecimiento de las empresas, con lo que se permite la absorción de cualquier excedente producido hacia las arcas públicas</w:t>
      </w:r>
      <w:r>
        <w:rPr>
          <w:rStyle w:val="FootnoteReference"/>
          <w:rFonts w:ascii="Arial" w:hAnsi="Arial" w:cs="Arial"/>
          <w:sz w:val="22"/>
          <w:szCs w:val="22"/>
          <w:lang w:val="es-ES_tradnl"/>
        </w:rPr>
        <w:footnoteReference w:id="8"/>
      </w:r>
      <w:r w:rsidRPr="00DA54DB">
        <w:rPr>
          <w:rFonts w:ascii="Arial" w:hAnsi="Arial" w:cs="Arial"/>
          <w:sz w:val="22"/>
          <w:szCs w:val="22"/>
        </w:rPr>
        <w:t>;</w:t>
      </w:r>
      <w:r>
        <w:rPr>
          <w:rFonts w:ascii="Arial" w:hAnsi="Arial" w:cs="Arial"/>
          <w:sz w:val="22"/>
          <w:szCs w:val="22"/>
        </w:rPr>
        <w:t xml:space="preserve"> (iv) los </w:t>
      </w:r>
      <w:r w:rsidRPr="003A03C9">
        <w:rPr>
          <w:rFonts w:ascii="Arial" w:hAnsi="Arial" w:cs="Arial"/>
          <w:sz w:val="22"/>
          <w:szCs w:val="22"/>
          <w:lang w:val="es-ES_tradnl"/>
        </w:rPr>
        <w:t>estándares de transparencia</w:t>
      </w:r>
      <w:r>
        <w:rPr>
          <w:rFonts w:ascii="Arial" w:hAnsi="Arial" w:cs="Arial"/>
          <w:sz w:val="22"/>
          <w:szCs w:val="22"/>
          <w:lang w:val="es-ES_tradnl"/>
        </w:rPr>
        <w:t xml:space="preserve"> de las EEPP no se alinean asimismo con las mejores prácticas en varios aspectos fundamentales: </w:t>
      </w:r>
      <w:r>
        <w:rPr>
          <w:rFonts w:ascii="Arial" w:hAnsi="Arial" w:cs="Arial"/>
          <w:sz w:val="22"/>
          <w:szCs w:val="22"/>
        </w:rPr>
        <w:t xml:space="preserve">al encontrarse exentas del pago de impuesto a la renta o similar, las </w:t>
      </w:r>
      <w:r w:rsidRPr="00544402">
        <w:rPr>
          <w:rFonts w:ascii="Arial" w:hAnsi="Arial" w:cs="Arial"/>
          <w:sz w:val="22"/>
          <w:szCs w:val="22"/>
        </w:rPr>
        <w:t>EEPP no tienen obligación de presentar declaraciones de renta que sean fiscalizadas por el Servicio de Rentas Internas (SRI), que no ha desarrollado capacidad específica para facilitar la tributación de las EEPP  bajo este instrumento; y al no ser exigible legalmente, la mayoría de las</w:t>
      </w:r>
      <w:r>
        <w:rPr>
          <w:rFonts w:ascii="Arial" w:hAnsi="Arial" w:cs="Arial"/>
          <w:sz w:val="22"/>
          <w:szCs w:val="22"/>
        </w:rPr>
        <w:t xml:space="preserve"> EEPP</w:t>
      </w:r>
      <w:r w:rsidRPr="00EF6384">
        <w:rPr>
          <w:rFonts w:ascii="Arial" w:hAnsi="Arial" w:cs="Arial"/>
          <w:sz w:val="22"/>
          <w:szCs w:val="22"/>
        </w:rPr>
        <w:t xml:space="preserve"> </w:t>
      </w:r>
      <w:r>
        <w:rPr>
          <w:rFonts w:ascii="Arial" w:hAnsi="Arial" w:cs="Arial"/>
          <w:sz w:val="22"/>
          <w:szCs w:val="22"/>
        </w:rPr>
        <w:t>no tienen E</w:t>
      </w:r>
      <w:r w:rsidRPr="00EF6384">
        <w:rPr>
          <w:rFonts w:ascii="Arial" w:hAnsi="Arial" w:cs="Arial"/>
          <w:sz w:val="22"/>
          <w:szCs w:val="22"/>
        </w:rPr>
        <w:t xml:space="preserve">stados </w:t>
      </w:r>
      <w:r>
        <w:rPr>
          <w:rFonts w:ascii="Arial" w:hAnsi="Arial" w:cs="Arial"/>
          <w:sz w:val="22"/>
          <w:szCs w:val="22"/>
        </w:rPr>
        <w:t>F</w:t>
      </w:r>
      <w:r w:rsidRPr="00EF6384">
        <w:rPr>
          <w:rFonts w:ascii="Arial" w:hAnsi="Arial" w:cs="Arial"/>
          <w:sz w:val="22"/>
          <w:szCs w:val="22"/>
        </w:rPr>
        <w:t>inancieros</w:t>
      </w:r>
      <w:r>
        <w:rPr>
          <w:rFonts w:ascii="Arial" w:hAnsi="Arial" w:cs="Arial"/>
          <w:sz w:val="22"/>
          <w:szCs w:val="22"/>
        </w:rPr>
        <w:t xml:space="preserve"> (EEFF)</w:t>
      </w:r>
      <w:r w:rsidRPr="00EF6384">
        <w:rPr>
          <w:rFonts w:ascii="Arial" w:hAnsi="Arial" w:cs="Arial"/>
          <w:sz w:val="22"/>
          <w:szCs w:val="22"/>
        </w:rPr>
        <w:t xml:space="preserve"> auditados </w:t>
      </w:r>
      <w:r>
        <w:rPr>
          <w:rFonts w:ascii="Arial" w:hAnsi="Arial" w:cs="Arial"/>
          <w:sz w:val="22"/>
          <w:szCs w:val="22"/>
        </w:rPr>
        <w:t>y publicados al día</w:t>
      </w:r>
      <w:r>
        <w:rPr>
          <w:rStyle w:val="FootnoteReference"/>
          <w:rFonts w:ascii="Arial" w:hAnsi="Arial" w:cs="Arial"/>
          <w:sz w:val="22"/>
          <w:szCs w:val="22"/>
        </w:rPr>
        <w:footnoteReference w:id="9"/>
      </w:r>
      <w:r>
        <w:rPr>
          <w:rFonts w:ascii="Arial" w:hAnsi="Arial" w:cs="Arial"/>
          <w:sz w:val="22"/>
          <w:szCs w:val="22"/>
        </w:rPr>
        <w:t>, utilizando normas contables internacionales, lo que dificulta la estimación de sus pasivos firmes y contingentes</w:t>
      </w:r>
      <w:bookmarkEnd w:id="5"/>
      <w:r>
        <w:rPr>
          <w:rFonts w:ascii="Arial" w:hAnsi="Arial" w:cs="Arial"/>
          <w:sz w:val="22"/>
          <w:szCs w:val="22"/>
        </w:rPr>
        <w:t>.</w:t>
      </w:r>
    </w:p>
    <w:p w14:paraId="4834B8E5" w14:textId="77777777" w:rsidR="00CB4053" w:rsidRPr="002914D1" w:rsidRDefault="00CB4053" w:rsidP="00CB4053">
      <w:pPr>
        <w:pStyle w:val="Paragraph"/>
        <w:numPr>
          <w:ilvl w:val="0"/>
          <w:numId w:val="35"/>
        </w:numPr>
        <w:spacing w:before="60" w:after="60"/>
        <w:ind w:left="1080"/>
        <w:rPr>
          <w:rFonts w:ascii="Arial" w:hAnsi="Arial" w:cs="Arial"/>
          <w:sz w:val="22"/>
          <w:szCs w:val="22"/>
        </w:rPr>
      </w:pPr>
      <w:r>
        <w:rPr>
          <w:rFonts w:ascii="Arial" w:hAnsi="Arial" w:cs="Arial"/>
          <w:b/>
          <w:sz w:val="22"/>
          <w:szCs w:val="22"/>
        </w:rPr>
        <w:t>Debilidad i</w:t>
      </w:r>
      <w:r w:rsidRPr="003555F4">
        <w:rPr>
          <w:rFonts w:ascii="Arial" w:hAnsi="Arial" w:cs="Arial"/>
          <w:b/>
          <w:sz w:val="22"/>
          <w:szCs w:val="22"/>
        </w:rPr>
        <w:t xml:space="preserve">nstitucional </w:t>
      </w:r>
      <w:r>
        <w:rPr>
          <w:rFonts w:ascii="Arial" w:hAnsi="Arial" w:cs="Arial"/>
          <w:b/>
          <w:sz w:val="22"/>
          <w:szCs w:val="22"/>
        </w:rPr>
        <w:t>y de gobernanza</w:t>
      </w:r>
      <w:r w:rsidRPr="0095494D">
        <w:rPr>
          <w:rFonts w:ascii="Arial" w:hAnsi="Arial" w:cs="Arial"/>
          <w:sz w:val="22"/>
          <w:szCs w:val="22"/>
        </w:rPr>
        <w:t xml:space="preserve">: </w:t>
      </w:r>
      <w:bookmarkStart w:id="6" w:name="_Hlk10140545"/>
      <w:r w:rsidRPr="0095494D">
        <w:rPr>
          <w:rFonts w:ascii="Arial" w:hAnsi="Arial" w:cs="Arial"/>
          <w:sz w:val="22"/>
          <w:szCs w:val="22"/>
        </w:rPr>
        <w:t>(i)</w:t>
      </w:r>
      <w:r w:rsidRPr="0095494D">
        <w:rPr>
          <w:rFonts w:ascii="Arial" w:hAnsi="Arial" w:cs="Arial"/>
          <w:b/>
          <w:sz w:val="22"/>
          <w:szCs w:val="22"/>
        </w:rPr>
        <w:t xml:space="preserve"> </w:t>
      </w:r>
      <w:r w:rsidRPr="00736D81">
        <w:rPr>
          <w:rFonts w:ascii="Arial" w:hAnsi="Arial" w:cs="Arial"/>
          <w:sz w:val="22"/>
          <w:szCs w:val="22"/>
        </w:rPr>
        <w:t xml:space="preserve">EMCO, </w:t>
      </w:r>
      <w:r>
        <w:rPr>
          <w:rFonts w:ascii="Arial" w:hAnsi="Arial" w:cs="Arial"/>
          <w:sz w:val="22"/>
          <w:szCs w:val="22"/>
        </w:rPr>
        <w:t>empresa pública sin</w:t>
      </w:r>
      <w:r w:rsidRPr="00291D06">
        <w:rPr>
          <w:rFonts w:ascii="Arial" w:hAnsi="Arial" w:cs="Arial"/>
          <w:sz w:val="22"/>
          <w:szCs w:val="22"/>
        </w:rPr>
        <w:t xml:space="preserve"> objeto mercantil</w:t>
      </w:r>
      <w:r>
        <w:rPr>
          <w:rFonts w:ascii="Arial" w:hAnsi="Arial" w:cs="Arial"/>
          <w:sz w:val="22"/>
          <w:szCs w:val="22"/>
        </w:rPr>
        <w:t xml:space="preserve">; </w:t>
      </w:r>
      <w:r w:rsidRPr="00736D81">
        <w:rPr>
          <w:rFonts w:ascii="Arial" w:hAnsi="Arial" w:cs="Arial"/>
          <w:sz w:val="22"/>
          <w:szCs w:val="22"/>
        </w:rPr>
        <w:t xml:space="preserve">asume funciones </w:t>
      </w:r>
      <w:r>
        <w:rPr>
          <w:rFonts w:ascii="Arial" w:hAnsi="Arial" w:cs="Arial"/>
          <w:sz w:val="22"/>
          <w:szCs w:val="22"/>
        </w:rPr>
        <w:t xml:space="preserve">de administración de EEPP </w:t>
      </w:r>
      <w:r w:rsidRPr="00736D81">
        <w:rPr>
          <w:rFonts w:ascii="Arial" w:hAnsi="Arial" w:cs="Arial"/>
          <w:sz w:val="22"/>
          <w:szCs w:val="22"/>
        </w:rPr>
        <w:t xml:space="preserve">que </w:t>
      </w:r>
      <w:r>
        <w:rPr>
          <w:rFonts w:ascii="Arial" w:hAnsi="Arial" w:cs="Arial"/>
          <w:sz w:val="22"/>
          <w:szCs w:val="22"/>
        </w:rPr>
        <w:t>no le</w:t>
      </w:r>
      <w:r w:rsidRPr="00736D81">
        <w:rPr>
          <w:rFonts w:ascii="Arial" w:hAnsi="Arial" w:cs="Arial"/>
          <w:sz w:val="22"/>
          <w:szCs w:val="22"/>
        </w:rPr>
        <w:t xml:space="preserve"> </w:t>
      </w:r>
      <w:r>
        <w:rPr>
          <w:rFonts w:ascii="Arial" w:hAnsi="Arial" w:cs="Arial"/>
          <w:sz w:val="22"/>
          <w:szCs w:val="22"/>
        </w:rPr>
        <w:t xml:space="preserve">deberían </w:t>
      </w:r>
      <w:r w:rsidRPr="00736D81">
        <w:rPr>
          <w:rFonts w:ascii="Arial" w:hAnsi="Arial" w:cs="Arial"/>
          <w:sz w:val="22"/>
          <w:szCs w:val="22"/>
        </w:rPr>
        <w:t>corresponde</w:t>
      </w:r>
      <w:r>
        <w:rPr>
          <w:rFonts w:ascii="Arial" w:hAnsi="Arial" w:cs="Arial"/>
          <w:sz w:val="22"/>
          <w:szCs w:val="22"/>
        </w:rPr>
        <w:t xml:space="preserve">r de acuerdo con las mejores prácticas internacionales, </w:t>
      </w:r>
      <w:r w:rsidRPr="00736D81">
        <w:rPr>
          <w:rFonts w:ascii="Arial" w:hAnsi="Arial" w:cs="Arial"/>
          <w:sz w:val="22"/>
          <w:szCs w:val="22"/>
        </w:rPr>
        <w:t>está sobredimensionada en</w:t>
      </w:r>
      <w:r>
        <w:rPr>
          <w:rFonts w:ascii="Arial" w:hAnsi="Arial" w:cs="Arial"/>
          <w:sz w:val="22"/>
          <w:szCs w:val="22"/>
        </w:rPr>
        <w:t xml:space="preserve"> </w:t>
      </w:r>
      <w:r w:rsidRPr="00736D81">
        <w:rPr>
          <w:rFonts w:ascii="Arial" w:hAnsi="Arial" w:cs="Arial"/>
          <w:sz w:val="22"/>
          <w:szCs w:val="22"/>
        </w:rPr>
        <w:t>personal</w:t>
      </w:r>
      <w:r w:rsidRPr="0095494D">
        <w:rPr>
          <w:rStyle w:val="FootnoteReference"/>
          <w:rFonts w:ascii="Arial" w:hAnsi="Arial" w:cs="Arial"/>
          <w:sz w:val="22"/>
          <w:szCs w:val="22"/>
        </w:rPr>
        <w:footnoteReference w:id="10"/>
      </w:r>
      <w:r>
        <w:rPr>
          <w:rFonts w:ascii="Arial" w:hAnsi="Arial" w:cs="Arial"/>
          <w:sz w:val="22"/>
          <w:szCs w:val="22"/>
        </w:rPr>
        <w:t xml:space="preserve">, y sus competencias se solapan con las del Ministerio de Economía y Finanzas (MEF) </w:t>
      </w:r>
      <w:r w:rsidRPr="002F0BB4">
        <w:rPr>
          <w:rFonts w:ascii="Arial" w:hAnsi="Arial" w:cs="Arial"/>
          <w:sz w:val="22"/>
          <w:szCs w:val="22"/>
        </w:rPr>
        <w:t xml:space="preserve">y los directorios de las </w:t>
      </w:r>
      <w:r>
        <w:rPr>
          <w:rFonts w:ascii="Arial" w:hAnsi="Arial" w:cs="Arial"/>
          <w:sz w:val="22"/>
          <w:szCs w:val="22"/>
        </w:rPr>
        <w:t>EEPP</w:t>
      </w:r>
      <w:r>
        <w:rPr>
          <w:rStyle w:val="FootnoteReference"/>
          <w:rFonts w:ascii="Arial" w:hAnsi="Arial" w:cs="Arial"/>
          <w:sz w:val="22"/>
          <w:szCs w:val="22"/>
        </w:rPr>
        <w:footnoteReference w:id="11"/>
      </w:r>
      <w:r>
        <w:rPr>
          <w:rFonts w:ascii="Arial" w:hAnsi="Arial" w:cs="Arial"/>
          <w:sz w:val="22"/>
          <w:szCs w:val="22"/>
        </w:rPr>
        <w:t xml:space="preserve">. No se cuenta, además, con mecanismos eficientes de </w:t>
      </w:r>
      <w:r w:rsidRPr="0000173B">
        <w:rPr>
          <w:rFonts w:ascii="Arial" w:hAnsi="Arial" w:cs="Arial"/>
          <w:sz w:val="22"/>
          <w:szCs w:val="22"/>
        </w:rPr>
        <w:t xml:space="preserve">evaluación </w:t>
      </w:r>
      <w:r>
        <w:rPr>
          <w:rFonts w:ascii="Arial" w:hAnsi="Arial" w:cs="Arial"/>
          <w:sz w:val="22"/>
          <w:szCs w:val="22"/>
        </w:rPr>
        <w:t>del</w:t>
      </w:r>
      <w:r w:rsidRPr="0000173B">
        <w:rPr>
          <w:rFonts w:ascii="Arial" w:hAnsi="Arial" w:cs="Arial"/>
          <w:sz w:val="22"/>
          <w:szCs w:val="22"/>
        </w:rPr>
        <w:t xml:space="preserve"> desempeño</w:t>
      </w:r>
      <w:r>
        <w:rPr>
          <w:rFonts w:ascii="Arial" w:hAnsi="Arial" w:cs="Arial"/>
          <w:sz w:val="22"/>
          <w:szCs w:val="22"/>
        </w:rPr>
        <w:t xml:space="preserve"> de las EEPP que permita un riguroso monitoreo del cumplimiento de los objetivos asociados a las EEPP mientras se garantiza un adecuado nivel de autonomía a sus directorios; </w:t>
      </w:r>
      <w:bookmarkStart w:id="7" w:name="_Hlk3475568"/>
      <w:r>
        <w:rPr>
          <w:rFonts w:ascii="Arial" w:hAnsi="Arial" w:cs="Arial"/>
          <w:sz w:val="22"/>
          <w:szCs w:val="22"/>
        </w:rPr>
        <w:t xml:space="preserve">(ii) la </w:t>
      </w:r>
      <w:r w:rsidRPr="001332F0">
        <w:rPr>
          <w:rFonts w:ascii="Arial" w:hAnsi="Arial" w:cs="Arial"/>
          <w:sz w:val="22"/>
          <w:szCs w:val="22"/>
        </w:rPr>
        <w:t xml:space="preserve">Dirección Nacional de Empresas Públicas </w:t>
      </w:r>
      <w:r>
        <w:rPr>
          <w:rFonts w:ascii="Arial" w:hAnsi="Arial" w:cs="Arial"/>
          <w:sz w:val="22"/>
          <w:szCs w:val="22"/>
        </w:rPr>
        <w:t>(</w:t>
      </w:r>
      <w:r w:rsidRPr="002F0BB4">
        <w:rPr>
          <w:rFonts w:ascii="Arial" w:hAnsi="Arial" w:cs="Arial"/>
          <w:bCs/>
          <w:sz w:val="22"/>
          <w:szCs w:val="22"/>
          <w:lang w:val="es-EC"/>
        </w:rPr>
        <w:t>D</w:t>
      </w:r>
      <w:r>
        <w:rPr>
          <w:rFonts w:ascii="Arial" w:hAnsi="Arial" w:cs="Arial"/>
          <w:bCs/>
          <w:sz w:val="22"/>
          <w:szCs w:val="22"/>
          <w:lang w:val="es-EC"/>
        </w:rPr>
        <w:t>NEP)</w:t>
      </w:r>
      <w:r w:rsidRPr="002F0BB4">
        <w:rPr>
          <w:rFonts w:ascii="Arial" w:hAnsi="Arial" w:cs="Arial"/>
          <w:sz w:val="22"/>
          <w:szCs w:val="22"/>
          <w:lang w:val="es-EC"/>
        </w:rPr>
        <w:t xml:space="preserve"> </w:t>
      </w:r>
      <w:r>
        <w:rPr>
          <w:rFonts w:ascii="Arial" w:hAnsi="Arial" w:cs="Arial"/>
          <w:sz w:val="22"/>
          <w:szCs w:val="22"/>
        </w:rPr>
        <w:t>tiene limitados recursos e instrumentos de gestión para regular los procesos presupuestarios entre el MEF y las EEPP</w:t>
      </w:r>
      <w:r>
        <w:rPr>
          <w:rStyle w:val="FootnoteReference"/>
          <w:rFonts w:ascii="Arial" w:hAnsi="Arial" w:cs="Arial"/>
          <w:sz w:val="22"/>
          <w:szCs w:val="22"/>
        </w:rPr>
        <w:footnoteReference w:id="12"/>
      </w:r>
      <w:bookmarkEnd w:id="7"/>
      <w:r>
        <w:rPr>
          <w:rFonts w:ascii="Arial" w:hAnsi="Arial" w:cs="Arial"/>
          <w:sz w:val="22"/>
          <w:szCs w:val="22"/>
        </w:rPr>
        <w:t>: (a) la DNEP no cuenta con</w:t>
      </w:r>
      <w:r w:rsidRPr="00B46AA2">
        <w:rPr>
          <w:rFonts w:ascii="Arial" w:hAnsi="Arial" w:cs="Arial"/>
          <w:sz w:val="22"/>
          <w:szCs w:val="22"/>
          <w:lang w:val="es-ES_tradnl"/>
        </w:rPr>
        <w:t xml:space="preserve"> sistemas de certificación de capacidad de pago</w:t>
      </w:r>
      <w:r>
        <w:rPr>
          <w:rFonts w:ascii="Arial" w:hAnsi="Arial" w:cs="Arial"/>
          <w:sz w:val="22"/>
          <w:szCs w:val="22"/>
        </w:rPr>
        <w:t xml:space="preserve">; (b) no dispone de información oportuna y adecuadamente estructurada sobre los EEFF y estadísticas de producción de las EEPP; (c) carece de instrumentos analíticos que permitan estimar costes de producción en sectores estratégicos como el eléctrico o el de hidrocarburos; y (d) no dispone de especialistas sectoriales en áreas estratégicas para el Estado; y (iii) los GAD tienen limitados recursos e instrumentos para la gestión de las EEPP, y la elaboración de la información financiera para reportar al MEF. </w:t>
      </w:r>
      <w:r w:rsidRPr="002914D1">
        <w:rPr>
          <w:rFonts w:ascii="Arial" w:hAnsi="Arial" w:cs="Arial"/>
          <w:sz w:val="22"/>
          <w:szCs w:val="22"/>
        </w:rPr>
        <w:t xml:space="preserve"> </w:t>
      </w:r>
      <w:r w:rsidRPr="009B2848">
        <w:rPr>
          <w:rFonts w:ascii="Arial" w:hAnsi="Arial" w:cs="Arial"/>
          <w:sz w:val="22"/>
          <w:szCs w:val="22"/>
        </w:rPr>
        <w:t xml:space="preserve">El catastro de </w:t>
      </w:r>
      <w:r>
        <w:rPr>
          <w:rFonts w:ascii="Arial" w:hAnsi="Arial" w:cs="Arial"/>
          <w:sz w:val="22"/>
          <w:szCs w:val="22"/>
        </w:rPr>
        <w:t>EEPP</w:t>
      </w:r>
      <w:r w:rsidRPr="009B2848">
        <w:rPr>
          <w:rFonts w:ascii="Arial" w:hAnsi="Arial" w:cs="Arial"/>
          <w:sz w:val="22"/>
          <w:szCs w:val="22"/>
        </w:rPr>
        <w:t xml:space="preserve"> de </w:t>
      </w:r>
      <w:r>
        <w:rPr>
          <w:rFonts w:ascii="Arial" w:hAnsi="Arial" w:cs="Arial"/>
          <w:sz w:val="22"/>
          <w:szCs w:val="22"/>
        </w:rPr>
        <w:t xml:space="preserve">los </w:t>
      </w:r>
      <w:r w:rsidRPr="009B2848">
        <w:rPr>
          <w:rFonts w:ascii="Arial" w:hAnsi="Arial" w:cs="Arial"/>
          <w:sz w:val="22"/>
          <w:szCs w:val="22"/>
        </w:rPr>
        <w:t>GAD y Universidades no se actualiza de manera regular y tampoco incluye información más allá del nombre y razón social de la E</w:t>
      </w:r>
      <w:r>
        <w:rPr>
          <w:rFonts w:ascii="Arial" w:hAnsi="Arial" w:cs="Arial"/>
          <w:sz w:val="22"/>
          <w:szCs w:val="22"/>
        </w:rPr>
        <w:t>EP</w:t>
      </w:r>
      <w:r w:rsidRPr="009B2848">
        <w:rPr>
          <w:rFonts w:ascii="Arial" w:hAnsi="Arial" w:cs="Arial"/>
          <w:sz w:val="22"/>
          <w:szCs w:val="22"/>
        </w:rPr>
        <w:t>P</w:t>
      </w:r>
      <w:bookmarkEnd w:id="6"/>
      <w:r>
        <w:rPr>
          <w:rStyle w:val="FootnoteReference"/>
          <w:rFonts w:ascii="Arial" w:hAnsi="Arial" w:cs="Arial"/>
          <w:sz w:val="22"/>
          <w:szCs w:val="22"/>
        </w:rPr>
        <w:footnoteReference w:id="13"/>
      </w:r>
      <w:r w:rsidRPr="009B2848">
        <w:rPr>
          <w:rFonts w:ascii="Arial" w:hAnsi="Arial" w:cs="Arial"/>
          <w:sz w:val="22"/>
          <w:szCs w:val="22"/>
        </w:rPr>
        <w:t>.</w:t>
      </w:r>
    </w:p>
    <w:p w14:paraId="29A604D5" w14:textId="77777777" w:rsidR="00CB4053" w:rsidRDefault="00CB4053" w:rsidP="00CB4053">
      <w:pPr>
        <w:pStyle w:val="Paragraph"/>
        <w:numPr>
          <w:ilvl w:val="1"/>
          <w:numId w:val="34"/>
        </w:numPr>
        <w:tabs>
          <w:tab w:val="clear" w:pos="2736"/>
        </w:tabs>
        <w:ind w:left="720" w:hanging="720"/>
        <w:rPr>
          <w:rFonts w:ascii="Arial" w:hAnsi="Arial" w:cs="Arial"/>
          <w:sz w:val="22"/>
          <w:szCs w:val="22"/>
        </w:rPr>
      </w:pPr>
      <w:bookmarkStart w:id="8" w:name="_Hlk10140567"/>
      <w:r>
        <w:rPr>
          <w:rFonts w:ascii="Arial" w:hAnsi="Arial" w:cs="Arial"/>
          <w:b/>
          <w:sz w:val="22"/>
          <w:szCs w:val="22"/>
          <w:lang w:val="es-ES_tradnl"/>
        </w:rPr>
        <w:t>D</w:t>
      </w:r>
      <w:r w:rsidRPr="000A64F2">
        <w:rPr>
          <w:rFonts w:ascii="Arial" w:hAnsi="Arial" w:cs="Arial"/>
          <w:b/>
          <w:sz w:val="22"/>
          <w:szCs w:val="22"/>
          <w:lang w:val="es-ES_tradnl"/>
        </w:rPr>
        <w:t xml:space="preserve">eficiente gestión </w:t>
      </w:r>
      <w:r>
        <w:rPr>
          <w:rFonts w:ascii="Arial" w:hAnsi="Arial" w:cs="Arial"/>
          <w:b/>
          <w:sz w:val="22"/>
          <w:szCs w:val="22"/>
          <w:lang w:val="es-ES_tradnl"/>
        </w:rPr>
        <w:t>de las EEPP</w:t>
      </w:r>
      <w:r w:rsidRPr="000A64F2">
        <w:rPr>
          <w:rFonts w:ascii="Arial" w:hAnsi="Arial" w:cs="Arial"/>
          <w:sz w:val="22"/>
          <w:szCs w:val="22"/>
          <w:lang w:val="es-ES_tradnl"/>
        </w:rPr>
        <w:t xml:space="preserve">. </w:t>
      </w:r>
      <w:r>
        <w:rPr>
          <w:rFonts w:ascii="Arial" w:hAnsi="Arial" w:cs="Arial"/>
          <w:sz w:val="22"/>
          <w:szCs w:val="22"/>
          <w:lang w:val="es-ES_tradnl"/>
        </w:rPr>
        <w:t>El análisis del portafolio de las 22 EEPP de la función ejecutiva muestra un limitado</w:t>
      </w:r>
      <w:r w:rsidRPr="000A64F2">
        <w:rPr>
          <w:rFonts w:ascii="Arial" w:hAnsi="Arial" w:cs="Arial"/>
          <w:sz w:val="22"/>
          <w:szCs w:val="22"/>
          <w:lang w:val="es-ES_tradnl"/>
        </w:rPr>
        <w:t xml:space="preserve"> </w:t>
      </w:r>
      <w:r w:rsidRPr="000A64F2">
        <w:rPr>
          <w:rFonts w:ascii="Arial" w:hAnsi="Arial" w:cs="Arial"/>
          <w:sz w:val="22"/>
          <w:szCs w:val="22"/>
        </w:rPr>
        <w:t xml:space="preserve">rendimiento financiero </w:t>
      </w:r>
      <w:r>
        <w:rPr>
          <w:rFonts w:ascii="Arial" w:hAnsi="Arial" w:cs="Arial"/>
          <w:sz w:val="22"/>
          <w:szCs w:val="22"/>
        </w:rPr>
        <w:t>debido a múltiples causas</w:t>
      </w:r>
      <w:bookmarkEnd w:id="8"/>
      <w:r w:rsidRPr="000A64F2">
        <w:rPr>
          <w:rFonts w:ascii="Arial" w:hAnsi="Arial" w:cs="Arial"/>
          <w:sz w:val="22"/>
          <w:szCs w:val="22"/>
        </w:rPr>
        <w:t xml:space="preserve">: </w:t>
      </w:r>
    </w:p>
    <w:p w14:paraId="61141879" w14:textId="77777777" w:rsidR="00CB4053" w:rsidRDefault="00CB4053" w:rsidP="00CB4053">
      <w:pPr>
        <w:pStyle w:val="Paragraph"/>
        <w:numPr>
          <w:ilvl w:val="2"/>
          <w:numId w:val="34"/>
        </w:numPr>
        <w:tabs>
          <w:tab w:val="clear" w:pos="1152"/>
        </w:tabs>
        <w:ind w:left="1170" w:hanging="180"/>
        <w:rPr>
          <w:rFonts w:ascii="Arial" w:hAnsi="Arial" w:cs="Arial"/>
          <w:sz w:val="22"/>
          <w:szCs w:val="22"/>
        </w:rPr>
      </w:pPr>
      <w:bookmarkStart w:id="9" w:name="_Hlk10140582"/>
      <w:r w:rsidRPr="00C47CD2">
        <w:rPr>
          <w:rFonts w:ascii="Arial" w:hAnsi="Arial" w:cs="Arial"/>
          <w:sz w:val="22"/>
          <w:szCs w:val="22"/>
        </w:rPr>
        <w:lastRenderedPageBreak/>
        <w:t xml:space="preserve">Las </w:t>
      </w:r>
      <w:r>
        <w:rPr>
          <w:rFonts w:ascii="Arial" w:hAnsi="Arial" w:cs="Arial"/>
          <w:sz w:val="22"/>
          <w:szCs w:val="22"/>
        </w:rPr>
        <w:t>EEPP</w:t>
      </w:r>
      <w:r w:rsidRPr="00C47CD2">
        <w:rPr>
          <w:rFonts w:ascii="Arial" w:hAnsi="Arial" w:cs="Arial"/>
          <w:sz w:val="22"/>
          <w:szCs w:val="22"/>
        </w:rPr>
        <w:t xml:space="preserve"> con mayor importancia fiscal, las petroleras Petroamazonas y Petroecuador, cuentan con alrededor del 30% del personal de todas las </w:t>
      </w:r>
      <w:r>
        <w:rPr>
          <w:rFonts w:ascii="Arial" w:hAnsi="Arial" w:cs="Arial"/>
          <w:sz w:val="22"/>
          <w:szCs w:val="22"/>
        </w:rPr>
        <w:t>EEPP</w:t>
      </w:r>
      <w:r w:rsidRPr="00C47CD2">
        <w:rPr>
          <w:rFonts w:ascii="Arial" w:hAnsi="Arial" w:cs="Arial"/>
          <w:sz w:val="22"/>
          <w:szCs w:val="22"/>
        </w:rPr>
        <w:t xml:space="preserve"> de la función ejecutiva y representan un 40% del valor patrimonial de dicho grupo de </w:t>
      </w:r>
      <w:r>
        <w:rPr>
          <w:rFonts w:ascii="Arial" w:hAnsi="Arial" w:cs="Arial"/>
          <w:sz w:val="22"/>
          <w:szCs w:val="22"/>
        </w:rPr>
        <w:t>EEPP.</w:t>
      </w:r>
      <w:r w:rsidRPr="00C47CD2">
        <w:rPr>
          <w:rFonts w:ascii="Arial" w:hAnsi="Arial" w:cs="Arial"/>
          <w:sz w:val="22"/>
          <w:szCs w:val="22"/>
        </w:rPr>
        <w:t xml:space="preserve"> </w:t>
      </w:r>
      <w:r>
        <w:rPr>
          <w:rFonts w:ascii="Arial" w:hAnsi="Arial" w:cs="Arial"/>
          <w:sz w:val="22"/>
          <w:szCs w:val="22"/>
        </w:rPr>
        <w:t xml:space="preserve">Los indicadores técnicos de </w:t>
      </w:r>
      <w:r w:rsidRPr="000A64F2">
        <w:rPr>
          <w:rFonts w:ascii="Arial" w:hAnsi="Arial" w:cs="Arial"/>
          <w:sz w:val="22"/>
          <w:szCs w:val="22"/>
          <w:lang w:val="es-ES_tradnl"/>
        </w:rPr>
        <w:t xml:space="preserve">eficiencia </w:t>
      </w:r>
      <w:r>
        <w:rPr>
          <w:rFonts w:ascii="Arial" w:hAnsi="Arial" w:cs="Arial"/>
          <w:sz w:val="22"/>
          <w:szCs w:val="22"/>
          <w:lang w:val="es-ES_tradnl"/>
        </w:rPr>
        <w:t xml:space="preserve">están por debajo de sus pares internacionales. </w:t>
      </w:r>
      <w:r>
        <w:rPr>
          <w:rFonts w:ascii="Arial" w:hAnsi="Arial" w:cs="Arial"/>
          <w:sz w:val="22"/>
          <w:szCs w:val="22"/>
        </w:rPr>
        <w:t>La ratio ingresos sobre número de empleados coloca a las dos empresas ecuatorianas (combinadas) por debajo de los niveles de las empresas petroleras más eficientes</w:t>
      </w:r>
      <w:bookmarkEnd w:id="9"/>
      <w:r>
        <w:rPr>
          <w:rFonts w:ascii="Arial" w:hAnsi="Arial" w:cs="Arial"/>
          <w:sz w:val="22"/>
          <w:szCs w:val="22"/>
        </w:rPr>
        <w:t>. Las causas relacionadas son</w:t>
      </w:r>
      <w:r>
        <w:rPr>
          <w:rFonts w:ascii="Arial" w:hAnsi="Arial" w:cs="Arial"/>
          <w:sz w:val="22"/>
          <w:szCs w:val="22"/>
          <w:lang w:val="es-ES_tradnl"/>
        </w:rPr>
        <w:t xml:space="preserve">: (a) la falta de </w:t>
      </w:r>
      <w:r w:rsidRPr="000A64F2">
        <w:rPr>
          <w:rFonts w:ascii="Arial" w:hAnsi="Arial" w:cs="Arial"/>
          <w:sz w:val="22"/>
          <w:szCs w:val="22"/>
        </w:rPr>
        <w:t>alineamiento de la estrategia del sector</w:t>
      </w:r>
      <w:r>
        <w:rPr>
          <w:rFonts w:ascii="Arial" w:hAnsi="Arial" w:cs="Arial"/>
          <w:sz w:val="22"/>
          <w:szCs w:val="22"/>
        </w:rPr>
        <w:t xml:space="preserve"> con </w:t>
      </w:r>
      <w:r w:rsidRPr="000A64F2">
        <w:rPr>
          <w:rFonts w:ascii="Arial" w:hAnsi="Arial" w:cs="Arial"/>
          <w:sz w:val="22"/>
          <w:szCs w:val="22"/>
        </w:rPr>
        <w:t>la matriz energética del país</w:t>
      </w:r>
      <w:r>
        <w:rPr>
          <w:rFonts w:ascii="Arial" w:hAnsi="Arial" w:cs="Arial"/>
          <w:sz w:val="22"/>
          <w:szCs w:val="22"/>
        </w:rPr>
        <w:t>; (b) la separación en varias empresas de los procesos “</w:t>
      </w:r>
      <w:r w:rsidRPr="000764D5">
        <w:rPr>
          <w:rFonts w:ascii="Arial" w:hAnsi="Arial" w:cs="Arial"/>
          <w:i/>
          <w:sz w:val="22"/>
          <w:szCs w:val="22"/>
        </w:rPr>
        <w:t>upstream</w:t>
      </w:r>
      <w:r>
        <w:rPr>
          <w:rFonts w:ascii="Arial" w:hAnsi="Arial" w:cs="Arial"/>
          <w:sz w:val="22"/>
          <w:szCs w:val="22"/>
        </w:rPr>
        <w:t>”</w:t>
      </w:r>
      <w:r w:rsidRPr="00C47CD2">
        <w:rPr>
          <w:rFonts w:ascii="Arial" w:hAnsi="Arial" w:cs="Arial"/>
          <w:sz w:val="22"/>
          <w:szCs w:val="22"/>
        </w:rPr>
        <w:t xml:space="preserve"> </w:t>
      </w:r>
      <w:r>
        <w:rPr>
          <w:rFonts w:ascii="Arial" w:hAnsi="Arial" w:cs="Arial"/>
          <w:sz w:val="22"/>
          <w:szCs w:val="22"/>
        </w:rPr>
        <w:t>(exploración y extracción, en Petroamazonas) “</w:t>
      </w:r>
      <w:r w:rsidRPr="000764D5">
        <w:rPr>
          <w:rFonts w:ascii="Arial" w:hAnsi="Arial" w:cs="Arial"/>
          <w:i/>
          <w:sz w:val="22"/>
          <w:szCs w:val="22"/>
        </w:rPr>
        <w:t>midstream</w:t>
      </w:r>
      <w:r>
        <w:rPr>
          <w:rFonts w:ascii="Arial" w:hAnsi="Arial" w:cs="Arial"/>
          <w:sz w:val="22"/>
          <w:szCs w:val="22"/>
        </w:rPr>
        <w:t xml:space="preserve">” (transporte) y </w:t>
      </w:r>
      <w:r w:rsidRPr="000764D5">
        <w:rPr>
          <w:rFonts w:ascii="Arial" w:hAnsi="Arial" w:cs="Arial"/>
          <w:i/>
          <w:sz w:val="22"/>
          <w:szCs w:val="22"/>
        </w:rPr>
        <w:t>downstream</w:t>
      </w:r>
      <w:r>
        <w:rPr>
          <w:rFonts w:ascii="Arial" w:hAnsi="Arial" w:cs="Arial"/>
          <w:sz w:val="22"/>
          <w:szCs w:val="22"/>
        </w:rPr>
        <w:t>, (comercialización, refinación, en Petroecuador)</w:t>
      </w:r>
      <w:r w:rsidRPr="00C47CD2">
        <w:rPr>
          <w:rFonts w:ascii="Arial" w:hAnsi="Arial" w:cs="Arial"/>
          <w:sz w:val="22"/>
          <w:szCs w:val="22"/>
        </w:rPr>
        <w:t xml:space="preserve"> </w:t>
      </w:r>
      <w:r>
        <w:rPr>
          <w:rFonts w:ascii="Arial" w:hAnsi="Arial" w:cs="Arial"/>
          <w:sz w:val="22"/>
          <w:szCs w:val="22"/>
        </w:rPr>
        <w:t>es inusual en comparación con empresas petroleras modernas y puede generar ineficiencias</w:t>
      </w:r>
      <w:r>
        <w:rPr>
          <w:rStyle w:val="FootnoteReference"/>
          <w:rFonts w:ascii="Arial" w:hAnsi="Arial" w:cs="Arial"/>
          <w:sz w:val="22"/>
          <w:szCs w:val="22"/>
        </w:rPr>
        <w:footnoteReference w:id="14"/>
      </w:r>
      <w:r>
        <w:rPr>
          <w:rFonts w:ascii="Arial" w:hAnsi="Arial" w:cs="Arial"/>
          <w:sz w:val="22"/>
          <w:szCs w:val="22"/>
        </w:rPr>
        <w:t>; y (c) las debilidades en gestión corporativa, régimen fiscal y transparencia comunes al sector.</w:t>
      </w:r>
    </w:p>
    <w:p w14:paraId="07890FA0" w14:textId="77777777" w:rsidR="00CB4053" w:rsidRDefault="00CB4053" w:rsidP="00CB4053">
      <w:pPr>
        <w:pStyle w:val="Paragraph"/>
        <w:numPr>
          <w:ilvl w:val="2"/>
          <w:numId w:val="34"/>
        </w:numPr>
        <w:tabs>
          <w:tab w:val="clear" w:pos="1152"/>
        </w:tabs>
        <w:ind w:hanging="162"/>
        <w:rPr>
          <w:rFonts w:ascii="Arial" w:hAnsi="Arial" w:cs="Arial"/>
          <w:sz w:val="22"/>
          <w:szCs w:val="22"/>
        </w:rPr>
      </w:pPr>
      <w:bookmarkStart w:id="10" w:name="_Hlk10140639"/>
      <w:r>
        <w:rPr>
          <w:rFonts w:ascii="Arial" w:hAnsi="Arial" w:cs="Arial"/>
          <w:sz w:val="22"/>
          <w:szCs w:val="22"/>
        </w:rPr>
        <w:t xml:space="preserve">Débil coordinación de las actividades de generación, transmisión y distribución (CELEC, CNEL y </w:t>
      </w:r>
      <w:r w:rsidRPr="007A4A80">
        <w:rPr>
          <w:rFonts w:ascii="Arial" w:hAnsi="Arial" w:cs="Arial"/>
          <w:sz w:val="22"/>
          <w:szCs w:val="22"/>
          <w:lang w:val="es-ES_tradnl"/>
        </w:rPr>
        <w:t>y otras empresas distribuidoras de electricidad</w:t>
      </w:r>
      <w:r>
        <w:rPr>
          <w:rFonts w:ascii="Arial" w:hAnsi="Arial" w:cs="Arial"/>
          <w:sz w:val="22"/>
          <w:szCs w:val="22"/>
        </w:rPr>
        <w:t>) generan ineficiencias técnicas, y las empresas enfrentan los desafíos de gobernanza corporativa y fiscal comunes a todas las EEPP;</w:t>
      </w:r>
    </w:p>
    <w:p w14:paraId="30293116" w14:textId="77777777" w:rsidR="00CB4053" w:rsidRDefault="00CB4053" w:rsidP="00CB4053">
      <w:pPr>
        <w:pStyle w:val="Paragraph"/>
        <w:numPr>
          <w:ilvl w:val="2"/>
          <w:numId w:val="34"/>
        </w:numPr>
        <w:tabs>
          <w:tab w:val="clear" w:pos="1152"/>
        </w:tabs>
        <w:ind w:left="1170" w:hanging="180"/>
        <w:rPr>
          <w:rFonts w:ascii="Arial" w:hAnsi="Arial" w:cs="Arial"/>
          <w:sz w:val="22"/>
          <w:szCs w:val="22"/>
        </w:rPr>
      </w:pPr>
      <w:r>
        <w:rPr>
          <w:rFonts w:ascii="Arial" w:hAnsi="Arial" w:cs="Arial"/>
          <w:sz w:val="22"/>
          <w:szCs w:val="22"/>
        </w:rPr>
        <w:t>La gestión de la línea aérea nacional, Tame, presenta importantes desafíos. En comparación con líneas aéreas similares</w:t>
      </w:r>
      <w:r>
        <w:rPr>
          <w:rStyle w:val="FootnoteReference"/>
          <w:rFonts w:ascii="Arial" w:hAnsi="Arial" w:cs="Arial"/>
          <w:sz w:val="22"/>
          <w:szCs w:val="22"/>
        </w:rPr>
        <w:footnoteReference w:id="15"/>
      </w:r>
      <w:r>
        <w:rPr>
          <w:rFonts w:ascii="Arial" w:hAnsi="Arial" w:cs="Arial"/>
          <w:sz w:val="22"/>
          <w:szCs w:val="22"/>
        </w:rPr>
        <w:t xml:space="preserve">, no cuenta con sistemas automatizados de gestión, asume internamente procesos generalmente externalizados (como el manejo de equipajes, o </w:t>
      </w:r>
      <w:r w:rsidRPr="005809F6">
        <w:rPr>
          <w:rFonts w:ascii="Arial" w:hAnsi="Arial" w:cs="Arial"/>
          <w:i/>
          <w:sz w:val="22"/>
          <w:szCs w:val="22"/>
        </w:rPr>
        <w:t>ground handling</w:t>
      </w:r>
      <w:r>
        <w:rPr>
          <w:rFonts w:ascii="Arial" w:hAnsi="Arial" w:cs="Arial"/>
          <w:sz w:val="22"/>
          <w:szCs w:val="22"/>
        </w:rPr>
        <w:t>, o los servicios de seguridad), y ha presentado pérdidas de US$73 millones en promedio (2013-2018), que se cubren con transferencias del Estado. En términos operativos, la aerolínea cuenta con 127 empleados por aeronave, mientras que compañías comparables tienen en promedio 85 servidores por avión</w:t>
      </w:r>
      <w:r>
        <w:rPr>
          <w:rStyle w:val="FootnoteReference"/>
          <w:rFonts w:ascii="Arial" w:hAnsi="Arial" w:cs="Arial"/>
          <w:sz w:val="22"/>
          <w:szCs w:val="22"/>
        </w:rPr>
        <w:footnoteReference w:id="16"/>
      </w:r>
      <w:r>
        <w:rPr>
          <w:rFonts w:ascii="Arial" w:hAnsi="Arial" w:cs="Arial"/>
          <w:sz w:val="22"/>
          <w:szCs w:val="22"/>
        </w:rPr>
        <w:t xml:space="preserve">.   </w:t>
      </w:r>
    </w:p>
    <w:p w14:paraId="374CE92B" w14:textId="77777777" w:rsidR="00CB4053" w:rsidRPr="00F550E6" w:rsidRDefault="00CB4053" w:rsidP="00CB4053">
      <w:pPr>
        <w:pStyle w:val="Paragraph"/>
        <w:numPr>
          <w:ilvl w:val="2"/>
          <w:numId w:val="34"/>
        </w:numPr>
        <w:tabs>
          <w:tab w:val="clear" w:pos="1152"/>
        </w:tabs>
        <w:ind w:left="1170" w:hanging="180"/>
        <w:rPr>
          <w:rFonts w:ascii="Arial" w:hAnsi="Arial" w:cs="Arial"/>
          <w:sz w:val="22"/>
          <w:szCs w:val="22"/>
        </w:rPr>
      </w:pPr>
      <w:r w:rsidRPr="00520792">
        <w:rPr>
          <w:rFonts w:ascii="Arial" w:hAnsi="Arial" w:cs="Arial"/>
          <w:sz w:val="22"/>
          <w:szCs w:val="22"/>
        </w:rPr>
        <w:t xml:space="preserve">En términos de Talento Humano (TH), </w:t>
      </w:r>
      <w:r w:rsidRPr="00520792">
        <w:rPr>
          <w:rFonts w:ascii="Arial" w:hAnsi="Arial" w:cs="Arial"/>
          <w:sz w:val="22"/>
          <w:szCs w:val="22"/>
          <w:lang w:val="es-ES_tradnl"/>
        </w:rPr>
        <w:t xml:space="preserve">las 22 </w:t>
      </w:r>
      <w:r>
        <w:rPr>
          <w:rFonts w:ascii="Arial" w:hAnsi="Arial" w:cs="Arial"/>
          <w:sz w:val="22"/>
          <w:szCs w:val="22"/>
          <w:lang w:val="es-ES_tradnl"/>
        </w:rPr>
        <w:t>EEPP</w:t>
      </w:r>
      <w:r w:rsidRPr="00520792">
        <w:rPr>
          <w:rFonts w:ascii="Arial" w:hAnsi="Arial" w:cs="Arial"/>
          <w:sz w:val="22"/>
          <w:szCs w:val="22"/>
          <w:lang w:val="es-ES_tradnl"/>
        </w:rPr>
        <w:t xml:space="preserve"> incluyen 39.881</w:t>
      </w:r>
      <w:r>
        <w:rPr>
          <w:rFonts w:ascii="Arial" w:hAnsi="Arial" w:cs="Arial"/>
          <w:sz w:val="22"/>
          <w:szCs w:val="22"/>
          <w:lang w:val="es-ES_tradnl"/>
        </w:rPr>
        <w:t> </w:t>
      </w:r>
      <w:r w:rsidRPr="00520792">
        <w:rPr>
          <w:rFonts w:ascii="Arial" w:hAnsi="Arial" w:cs="Arial"/>
          <w:sz w:val="22"/>
          <w:szCs w:val="22"/>
          <w:lang w:val="es-ES_tradnl"/>
        </w:rPr>
        <w:t>funcionarios, con salario promedio superior en 40% al de empresas del sector privado</w:t>
      </w:r>
      <w:r>
        <w:rPr>
          <w:rFonts w:ascii="Arial" w:hAnsi="Arial" w:cs="Arial"/>
          <w:sz w:val="22"/>
          <w:szCs w:val="22"/>
          <w:lang w:val="es-ES_tradnl"/>
        </w:rPr>
        <w:t xml:space="preserve">, </w:t>
      </w:r>
      <w:r w:rsidRPr="00520792">
        <w:rPr>
          <w:rFonts w:ascii="Arial" w:hAnsi="Arial" w:cs="Arial"/>
          <w:sz w:val="22"/>
          <w:szCs w:val="22"/>
          <w:lang w:val="es-ES_tradnl"/>
        </w:rPr>
        <w:t xml:space="preserve">cerca del 1% del PIB nacional (MEF, 2018). En comparación con industrias líder, se observa sobredimensionamiento en </w:t>
      </w:r>
      <w:r>
        <w:rPr>
          <w:rFonts w:ascii="Arial" w:hAnsi="Arial" w:cs="Arial"/>
          <w:sz w:val="22"/>
          <w:szCs w:val="22"/>
          <w:lang w:val="es-ES_tradnl"/>
        </w:rPr>
        <w:t>EEPP</w:t>
      </w:r>
      <w:r w:rsidRPr="00520792">
        <w:rPr>
          <w:rFonts w:ascii="Arial" w:hAnsi="Arial" w:cs="Arial"/>
          <w:sz w:val="22"/>
          <w:szCs w:val="22"/>
          <w:lang w:val="es-ES_tradnl"/>
        </w:rPr>
        <w:t xml:space="preserve"> de sectores estratégicos. El ratio ingresos sobre personal de las empresas petroleras </w:t>
      </w:r>
      <w:r>
        <w:rPr>
          <w:rFonts w:ascii="Arial" w:hAnsi="Arial" w:cs="Arial"/>
          <w:sz w:val="22"/>
          <w:szCs w:val="22"/>
          <w:lang w:val="es-ES_tradnl"/>
        </w:rPr>
        <w:t xml:space="preserve">está </w:t>
      </w:r>
      <w:r w:rsidRPr="00520792">
        <w:rPr>
          <w:rFonts w:ascii="Arial" w:hAnsi="Arial" w:cs="Arial"/>
          <w:sz w:val="22"/>
          <w:szCs w:val="22"/>
          <w:lang w:val="es-ES_tradnl"/>
        </w:rPr>
        <w:t>por debajo de las líderes del sector (</w:t>
      </w:r>
      <w:r>
        <w:rPr>
          <w:rFonts w:ascii="Arial" w:hAnsi="Arial" w:cs="Arial"/>
          <w:sz w:val="22"/>
          <w:szCs w:val="22"/>
          <w:lang w:val="es-ES_tradnl"/>
        </w:rPr>
        <w:t>ver cuadro </w:t>
      </w:r>
      <w:r w:rsidRPr="00520792">
        <w:rPr>
          <w:rFonts w:ascii="Arial" w:hAnsi="Arial" w:cs="Arial"/>
          <w:sz w:val="22"/>
          <w:szCs w:val="22"/>
          <w:lang w:val="es-ES_tradnl"/>
        </w:rPr>
        <w:t xml:space="preserve">1) y las primeras estimaciones del </w:t>
      </w:r>
      <w:r>
        <w:rPr>
          <w:rFonts w:ascii="Arial" w:hAnsi="Arial" w:cs="Arial"/>
          <w:sz w:val="22"/>
          <w:szCs w:val="22"/>
          <w:lang w:val="es-ES_tradnl"/>
        </w:rPr>
        <w:t>g</w:t>
      </w:r>
      <w:r w:rsidRPr="00520792">
        <w:rPr>
          <w:rFonts w:ascii="Arial" w:hAnsi="Arial" w:cs="Arial"/>
          <w:sz w:val="22"/>
          <w:szCs w:val="22"/>
          <w:lang w:val="es-ES_tradnl"/>
        </w:rPr>
        <w:t xml:space="preserve">obierno muestran que la fusión de dichas empresas podría acarrear ahorros en optimización de recursos </w:t>
      </w:r>
      <w:r>
        <w:rPr>
          <w:rFonts w:ascii="Arial" w:hAnsi="Arial" w:cs="Arial"/>
          <w:sz w:val="22"/>
          <w:szCs w:val="22"/>
          <w:lang w:val="es-ES_tradnl"/>
        </w:rPr>
        <w:t>d</w:t>
      </w:r>
      <w:r w:rsidRPr="00520792">
        <w:rPr>
          <w:rFonts w:ascii="Arial" w:hAnsi="Arial" w:cs="Arial"/>
          <w:sz w:val="22"/>
          <w:szCs w:val="22"/>
          <w:lang w:val="es-ES_tradnl"/>
        </w:rPr>
        <w:t>el 4-6% de los costes totales de las empresas</w:t>
      </w:r>
      <w:r>
        <w:rPr>
          <w:rStyle w:val="FootnoteReference"/>
          <w:rFonts w:ascii="Arial" w:hAnsi="Arial" w:cs="Arial"/>
          <w:sz w:val="22"/>
          <w:szCs w:val="22"/>
          <w:lang w:val="es-ES_tradnl"/>
        </w:rPr>
        <w:footnoteReference w:id="17"/>
      </w:r>
      <w:r w:rsidRPr="00520792">
        <w:rPr>
          <w:rFonts w:ascii="Arial" w:hAnsi="Arial" w:cs="Arial"/>
          <w:sz w:val="22"/>
          <w:szCs w:val="22"/>
          <w:lang w:val="es-ES_tradnl"/>
        </w:rPr>
        <w:t xml:space="preserve">. </w:t>
      </w:r>
      <w:r>
        <w:rPr>
          <w:rFonts w:ascii="Arial" w:hAnsi="Arial" w:cs="Arial"/>
          <w:sz w:val="22"/>
          <w:szCs w:val="22"/>
          <w:lang w:val="es-ES_tradnl"/>
        </w:rPr>
        <w:t>Las</w:t>
      </w:r>
      <w:r w:rsidRPr="00520792">
        <w:rPr>
          <w:rFonts w:ascii="Arial" w:hAnsi="Arial" w:cs="Arial"/>
          <w:sz w:val="22"/>
          <w:szCs w:val="22"/>
          <w:lang w:val="es-ES_tradnl"/>
        </w:rPr>
        <w:t xml:space="preserve"> </w:t>
      </w:r>
      <w:r>
        <w:rPr>
          <w:rFonts w:ascii="Arial" w:hAnsi="Arial" w:cs="Arial"/>
          <w:sz w:val="22"/>
          <w:szCs w:val="22"/>
          <w:lang w:val="es-ES_tradnl"/>
        </w:rPr>
        <w:t>EEPP</w:t>
      </w:r>
      <w:r w:rsidRPr="00520792">
        <w:rPr>
          <w:rFonts w:ascii="Arial" w:hAnsi="Arial" w:cs="Arial"/>
          <w:sz w:val="22"/>
          <w:szCs w:val="22"/>
          <w:lang w:val="es-ES_tradnl"/>
        </w:rPr>
        <w:t xml:space="preserve"> enfrenta</w:t>
      </w:r>
      <w:r>
        <w:rPr>
          <w:rFonts w:ascii="Arial" w:hAnsi="Arial" w:cs="Arial"/>
          <w:sz w:val="22"/>
          <w:szCs w:val="22"/>
          <w:lang w:val="es-ES_tradnl"/>
        </w:rPr>
        <w:t>n</w:t>
      </w:r>
      <w:r w:rsidRPr="00520792">
        <w:rPr>
          <w:rFonts w:ascii="Arial" w:hAnsi="Arial" w:cs="Arial"/>
          <w:sz w:val="22"/>
          <w:szCs w:val="22"/>
          <w:lang w:val="es-ES_tradnl"/>
        </w:rPr>
        <w:t xml:space="preserve"> restricciones de recursos para la financiación de las desvinculaciones</w:t>
      </w:r>
      <w:r>
        <w:rPr>
          <w:rFonts w:ascii="Arial" w:hAnsi="Arial" w:cs="Arial"/>
          <w:sz w:val="22"/>
          <w:szCs w:val="22"/>
          <w:lang w:val="es-ES_tradnl"/>
        </w:rPr>
        <w:t xml:space="preserve"> </w:t>
      </w:r>
      <w:r w:rsidRPr="007C29DE">
        <w:rPr>
          <w:rFonts w:ascii="Arial" w:hAnsi="Arial" w:cs="Arial"/>
          <w:sz w:val="22"/>
          <w:szCs w:val="22"/>
        </w:rPr>
        <w:t xml:space="preserve">y la ausencia de mecanismos presupuestarios </w:t>
      </w:r>
      <w:r>
        <w:rPr>
          <w:rFonts w:ascii="Arial" w:hAnsi="Arial" w:cs="Arial"/>
          <w:sz w:val="22"/>
          <w:szCs w:val="22"/>
        </w:rPr>
        <w:t>impiden</w:t>
      </w:r>
      <w:r w:rsidRPr="007C29DE">
        <w:rPr>
          <w:rFonts w:ascii="Arial" w:hAnsi="Arial" w:cs="Arial"/>
          <w:sz w:val="22"/>
          <w:szCs w:val="22"/>
        </w:rPr>
        <w:t xml:space="preserve"> provisionar adecuadamente los pagos futuros por </w:t>
      </w:r>
      <w:r w:rsidRPr="00437358">
        <w:rPr>
          <w:rFonts w:ascii="Arial" w:hAnsi="Arial" w:cs="Arial"/>
          <w:sz w:val="22"/>
          <w:szCs w:val="22"/>
        </w:rPr>
        <w:t>desvinculación</w:t>
      </w:r>
      <w:r w:rsidRPr="00520792">
        <w:rPr>
          <w:rFonts w:ascii="Arial" w:hAnsi="Arial" w:cs="Arial"/>
          <w:sz w:val="22"/>
          <w:szCs w:val="22"/>
          <w:lang w:val="es-ES_tradnl"/>
        </w:rPr>
        <w:t xml:space="preserve">. </w:t>
      </w:r>
      <w:bookmarkStart w:id="11" w:name="_Hlk11197033"/>
      <w:r w:rsidRPr="00520792">
        <w:rPr>
          <w:rFonts w:ascii="Arial" w:hAnsi="Arial" w:cs="Arial"/>
          <w:sz w:val="22"/>
          <w:szCs w:val="22"/>
          <w:lang w:val="es-ES_tradnl"/>
        </w:rPr>
        <w:t>Los procesos de desvinculación no siguen una planificación sistemática que permita definir, sobre la base de la planificación estratégica de la</w:t>
      </w:r>
      <w:r>
        <w:rPr>
          <w:rFonts w:ascii="Arial" w:hAnsi="Arial" w:cs="Arial"/>
          <w:sz w:val="22"/>
          <w:szCs w:val="22"/>
          <w:lang w:val="es-ES_tradnl"/>
        </w:rPr>
        <w:t>s</w:t>
      </w:r>
      <w:r w:rsidRPr="00520792">
        <w:rPr>
          <w:rFonts w:ascii="Arial" w:hAnsi="Arial" w:cs="Arial"/>
          <w:sz w:val="22"/>
          <w:szCs w:val="22"/>
          <w:lang w:val="es-ES_tradnl"/>
        </w:rPr>
        <w:t xml:space="preserve"> </w:t>
      </w:r>
      <w:r>
        <w:rPr>
          <w:rFonts w:ascii="Arial" w:hAnsi="Arial" w:cs="Arial"/>
          <w:sz w:val="22"/>
          <w:szCs w:val="22"/>
          <w:lang w:val="es-ES_tradnl"/>
        </w:rPr>
        <w:t>E</w:t>
      </w:r>
      <w:r w:rsidRPr="00520792">
        <w:rPr>
          <w:rFonts w:ascii="Arial" w:hAnsi="Arial" w:cs="Arial"/>
          <w:sz w:val="22"/>
          <w:szCs w:val="22"/>
          <w:lang w:val="es-ES_tradnl"/>
        </w:rPr>
        <w:t>E</w:t>
      </w:r>
      <w:r>
        <w:rPr>
          <w:rFonts w:ascii="Arial" w:hAnsi="Arial" w:cs="Arial"/>
          <w:sz w:val="22"/>
          <w:szCs w:val="22"/>
          <w:lang w:val="es-ES_tradnl"/>
        </w:rPr>
        <w:t>P</w:t>
      </w:r>
      <w:r w:rsidRPr="00520792">
        <w:rPr>
          <w:rFonts w:ascii="Arial" w:hAnsi="Arial" w:cs="Arial"/>
          <w:sz w:val="22"/>
          <w:szCs w:val="22"/>
          <w:lang w:val="es-ES_tradnl"/>
        </w:rPr>
        <w:t>P, los flujos de TH requerido (cantidad y perfiles</w:t>
      </w:r>
      <w:bookmarkEnd w:id="11"/>
      <w:r w:rsidRPr="00520792">
        <w:rPr>
          <w:rFonts w:ascii="Arial" w:hAnsi="Arial" w:cs="Arial"/>
          <w:sz w:val="22"/>
          <w:szCs w:val="22"/>
          <w:lang w:val="es-ES_tradnl"/>
        </w:rPr>
        <w:t xml:space="preserve">). </w:t>
      </w:r>
    </w:p>
    <w:p w14:paraId="1C99D7BC" w14:textId="77777777" w:rsidR="00CB4053" w:rsidRPr="00F6116C" w:rsidRDefault="00CB4053" w:rsidP="00CB4053">
      <w:pPr>
        <w:pStyle w:val="Paragraph"/>
        <w:ind w:left="1170"/>
        <w:jc w:val="center"/>
        <w:rPr>
          <w:rFonts w:ascii="Arial" w:hAnsi="Arial" w:cs="Arial"/>
          <w:b/>
          <w:sz w:val="18"/>
          <w:szCs w:val="18"/>
          <w:lang w:val="pt-BR"/>
        </w:rPr>
      </w:pPr>
      <w:r w:rsidRPr="00F6116C">
        <w:rPr>
          <w:rFonts w:ascii="Arial" w:hAnsi="Arial" w:cs="Arial"/>
          <w:b/>
          <w:sz w:val="18"/>
          <w:szCs w:val="18"/>
        </w:rPr>
        <w:t xml:space="preserve">Cuadro 1. </w:t>
      </w:r>
      <w:r w:rsidRPr="00F6116C">
        <w:rPr>
          <w:rFonts w:ascii="Arial" w:hAnsi="Arial" w:cs="Arial"/>
          <w:b/>
          <w:sz w:val="18"/>
          <w:szCs w:val="18"/>
          <w:lang w:val="pt-BR"/>
        </w:rPr>
        <w:t>Ratio de Ingresos sobre Número de empleados (Empresas Petroleras selecionadas)</w:t>
      </w:r>
    </w:p>
    <w:tbl>
      <w:tblPr>
        <w:tblStyle w:val="GridTable4-Accent1"/>
        <w:tblW w:w="7470" w:type="dxa"/>
        <w:tblInd w:w="1165" w:type="dxa"/>
        <w:tblLook w:val="04A0" w:firstRow="1" w:lastRow="0" w:firstColumn="1" w:lastColumn="0" w:noHBand="0" w:noVBand="1"/>
      </w:tblPr>
      <w:tblGrid>
        <w:gridCol w:w="3060"/>
        <w:gridCol w:w="2070"/>
        <w:gridCol w:w="1350"/>
        <w:gridCol w:w="990"/>
      </w:tblGrid>
      <w:tr w:rsidR="00CB4053" w:rsidRPr="00F6116C" w14:paraId="5882ECE8" w14:textId="77777777" w:rsidTr="00EE18A4">
        <w:trPr>
          <w:cnfStyle w:val="100000000000" w:firstRow="1" w:lastRow="0" w:firstColumn="0" w:lastColumn="0" w:oddVBand="0" w:evenVBand="0" w:oddHBand="0" w:evenHBand="0" w:firstRowFirstColumn="0" w:firstRowLastColumn="0" w:lastRowFirstColumn="0" w:lastRowLastColumn="0"/>
          <w:trHeight w:val="288"/>
          <w:tblHeader/>
        </w:trPr>
        <w:tc>
          <w:tcPr>
            <w:cnfStyle w:val="001000000000" w:firstRow="0" w:lastRow="0" w:firstColumn="1" w:lastColumn="0" w:oddVBand="0" w:evenVBand="0" w:oddHBand="0" w:evenHBand="0" w:firstRowFirstColumn="0" w:firstRowLastColumn="0" w:lastRowFirstColumn="0" w:lastRowLastColumn="0"/>
            <w:tcW w:w="306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hideMark/>
          </w:tcPr>
          <w:p w14:paraId="54F61B37" w14:textId="77777777" w:rsidR="00CB4053" w:rsidRPr="00F6116C" w:rsidRDefault="00CB4053" w:rsidP="00EE18A4">
            <w:pPr>
              <w:rPr>
                <w:rFonts w:ascii="Arial" w:hAnsi="Arial" w:cs="Arial"/>
                <w:sz w:val="18"/>
                <w:szCs w:val="18"/>
              </w:rPr>
            </w:pPr>
          </w:p>
        </w:tc>
        <w:tc>
          <w:tcPr>
            <w:tcW w:w="2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hideMark/>
          </w:tcPr>
          <w:p w14:paraId="007EF79C" w14:textId="77777777" w:rsidR="00CB4053" w:rsidRDefault="00CB4053" w:rsidP="00EE18A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sz w:val="18"/>
                <w:szCs w:val="18"/>
              </w:rPr>
            </w:pPr>
            <w:r w:rsidRPr="00F6116C">
              <w:rPr>
                <w:rFonts w:ascii="Arial" w:hAnsi="Arial" w:cs="Arial"/>
                <w:color w:val="000000"/>
                <w:sz w:val="18"/>
                <w:szCs w:val="18"/>
              </w:rPr>
              <w:t>Ingresos</w:t>
            </w:r>
          </w:p>
          <w:p w14:paraId="21EDBAFE" w14:textId="77777777" w:rsidR="00CB4053" w:rsidRPr="00F6116C" w:rsidRDefault="00CB4053" w:rsidP="00EE18A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sz w:val="18"/>
                <w:szCs w:val="18"/>
              </w:rPr>
            </w:pPr>
            <w:r w:rsidRPr="00F6116C">
              <w:rPr>
                <w:rFonts w:ascii="Arial" w:hAnsi="Arial" w:cs="Arial"/>
                <w:color w:val="000000"/>
                <w:sz w:val="18"/>
                <w:szCs w:val="18"/>
              </w:rPr>
              <w:t xml:space="preserve">(millones US$) </w:t>
            </w:r>
          </w:p>
        </w:tc>
        <w:tc>
          <w:tcPr>
            <w:tcW w:w="135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hideMark/>
          </w:tcPr>
          <w:p w14:paraId="382B7944" w14:textId="77777777" w:rsidR="00CB4053" w:rsidRPr="00F6116C" w:rsidRDefault="00CB4053" w:rsidP="00EE18A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sz w:val="18"/>
                <w:szCs w:val="18"/>
              </w:rPr>
            </w:pPr>
            <w:r w:rsidRPr="00F6116C">
              <w:rPr>
                <w:rFonts w:ascii="Arial" w:hAnsi="Arial" w:cs="Arial"/>
                <w:color w:val="000000"/>
                <w:sz w:val="18"/>
                <w:szCs w:val="18"/>
              </w:rPr>
              <w:t>Empleados</w:t>
            </w:r>
          </w:p>
        </w:tc>
        <w:tc>
          <w:tcPr>
            <w:tcW w:w="99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hideMark/>
          </w:tcPr>
          <w:p w14:paraId="76D8069F" w14:textId="77777777" w:rsidR="00CB4053" w:rsidRPr="00F6116C" w:rsidRDefault="00CB4053" w:rsidP="00EE18A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sz w:val="18"/>
                <w:szCs w:val="18"/>
              </w:rPr>
            </w:pPr>
            <w:r w:rsidRPr="00F6116C">
              <w:rPr>
                <w:rFonts w:ascii="Arial" w:hAnsi="Arial" w:cs="Arial"/>
                <w:color w:val="000000"/>
                <w:sz w:val="18"/>
                <w:szCs w:val="18"/>
              </w:rPr>
              <w:t>Ratio</w:t>
            </w:r>
          </w:p>
        </w:tc>
      </w:tr>
      <w:tr w:rsidR="00CB4053" w:rsidRPr="00F6116C" w14:paraId="25FA68B4" w14:textId="77777777" w:rsidTr="00EE18A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3060" w:type="dxa"/>
            <w:tcBorders>
              <w:top w:val="single" w:sz="4" w:space="0" w:color="auto"/>
              <w:left w:val="single" w:sz="4" w:space="0" w:color="auto"/>
              <w:bottom w:val="single" w:sz="4" w:space="0" w:color="auto"/>
              <w:right w:val="single" w:sz="4" w:space="0" w:color="auto"/>
            </w:tcBorders>
            <w:shd w:val="clear" w:color="auto" w:fill="auto"/>
            <w:noWrap/>
            <w:hideMark/>
          </w:tcPr>
          <w:p w14:paraId="31C776E5" w14:textId="77777777" w:rsidR="00CB4053" w:rsidRPr="00F6116C" w:rsidRDefault="00CB4053" w:rsidP="00EE18A4">
            <w:pPr>
              <w:contextualSpacing/>
              <w:rPr>
                <w:rFonts w:ascii="Arial" w:hAnsi="Arial" w:cs="Arial"/>
                <w:color w:val="000000"/>
                <w:sz w:val="18"/>
                <w:szCs w:val="18"/>
              </w:rPr>
            </w:pPr>
            <w:r w:rsidRPr="00F6116C">
              <w:rPr>
                <w:rFonts w:ascii="Arial" w:hAnsi="Arial" w:cs="Arial"/>
                <w:color w:val="000000"/>
                <w:sz w:val="18"/>
                <w:szCs w:val="18"/>
              </w:rPr>
              <w:t>Phillips 66</w:t>
            </w:r>
          </w:p>
        </w:tc>
        <w:tc>
          <w:tcPr>
            <w:tcW w:w="2070" w:type="dxa"/>
            <w:tcBorders>
              <w:top w:val="single" w:sz="4" w:space="0" w:color="auto"/>
              <w:left w:val="single" w:sz="4" w:space="0" w:color="auto"/>
              <w:bottom w:val="single" w:sz="4" w:space="0" w:color="auto"/>
              <w:right w:val="single" w:sz="4" w:space="0" w:color="auto"/>
            </w:tcBorders>
            <w:shd w:val="clear" w:color="auto" w:fill="auto"/>
            <w:noWrap/>
            <w:hideMark/>
          </w:tcPr>
          <w:p w14:paraId="4C28F746" w14:textId="77777777" w:rsidR="00CB4053" w:rsidRPr="00F6116C" w:rsidRDefault="00CB4053" w:rsidP="00EE18A4">
            <w:pPr>
              <w:contextualSpacing/>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F6116C">
              <w:rPr>
                <w:rFonts w:ascii="Arial" w:hAnsi="Arial" w:cs="Arial"/>
                <w:color w:val="000000"/>
                <w:sz w:val="18"/>
                <w:szCs w:val="18"/>
              </w:rPr>
              <w:t>111.460</w:t>
            </w:r>
          </w:p>
        </w:tc>
        <w:tc>
          <w:tcPr>
            <w:tcW w:w="1350" w:type="dxa"/>
            <w:tcBorders>
              <w:top w:val="single" w:sz="4" w:space="0" w:color="auto"/>
              <w:left w:val="single" w:sz="4" w:space="0" w:color="auto"/>
              <w:bottom w:val="single" w:sz="4" w:space="0" w:color="auto"/>
              <w:right w:val="single" w:sz="4" w:space="0" w:color="auto"/>
            </w:tcBorders>
            <w:shd w:val="clear" w:color="auto" w:fill="auto"/>
            <w:noWrap/>
            <w:hideMark/>
          </w:tcPr>
          <w:p w14:paraId="5AA3083A" w14:textId="77777777" w:rsidR="00CB4053" w:rsidRPr="00F6116C" w:rsidRDefault="00CB4053" w:rsidP="00EE18A4">
            <w:pPr>
              <w:contextualSpacing/>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F6116C">
              <w:rPr>
                <w:rFonts w:ascii="Arial" w:hAnsi="Arial" w:cs="Arial"/>
                <w:color w:val="000000"/>
                <w:sz w:val="18"/>
                <w:szCs w:val="18"/>
              </w:rPr>
              <w:t>14.600</w:t>
            </w:r>
          </w:p>
        </w:tc>
        <w:tc>
          <w:tcPr>
            <w:tcW w:w="990" w:type="dxa"/>
            <w:tcBorders>
              <w:top w:val="single" w:sz="4" w:space="0" w:color="auto"/>
              <w:left w:val="single" w:sz="4" w:space="0" w:color="auto"/>
              <w:bottom w:val="single" w:sz="4" w:space="0" w:color="auto"/>
              <w:right w:val="single" w:sz="4" w:space="0" w:color="auto"/>
            </w:tcBorders>
            <w:shd w:val="clear" w:color="auto" w:fill="auto"/>
            <w:noWrap/>
            <w:hideMark/>
          </w:tcPr>
          <w:p w14:paraId="3B7F8412" w14:textId="77777777" w:rsidR="00CB4053" w:rsidRPr="00F6116C" w:rsidRDefault="00CB4053" w:rsidP="00EE18A4">
            <w:pPr>
              <w:contextualSpacing/>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F6116C">
              <w:rPr>
                <w:rFonts w:ascii="Arial" w:hAnsi="Arial" w:cs="Arial"/>
                <w:color w:val="000000"/>
                <w:sz w:val="18"/>
                <w:szCs w:val="18"/>
              </w:rPr>
              <w:t>7,63</w:t>
            </w:r>
          </w:p>
        </w:tc>
      </w:tr>
      <w:tr w:rsidR="00CB4053" w:rsidRPr="00F6116C" w14:paraId="013F7460" w14:textId="77777777" w:rsidTr="00EE18A4">
        <w:trPr>
          <w:trHeight w:val="288"/>
        </w:trPr>
        <w:tc>
          <w:tcPr>
            <w:cnfStyle w:val="001000000000" w:firstRow="0" w:lastRow="0" w:firstColumn="1" w:lastColumn="0" w:oddVBand="0" w:evenVBand="0" w:oddHBand="0" w:evenHBand="0" w:firstRowFirstColumn="0" w:firstRowLastColumn="0" w:lastRowFirstColumn="0" w:lastRowLastColumn="0"/>
            <w:tcW w:w="3060" w:type="dxa"/>
            <w:tcBorders>
              <w:top w:val="single" w:sz="4" w:space="0" w:color="auto"/>
              <w:left w:val="single" w:sz="4" w:space="0" w:color="auto"/>
              <w:bottom w:val="single" w:sz="4" w:space="0" w:color="auto"/>
              <w:right w:val="single" w:sz="4" w:space="0" w:color="auto"/>
            </w:tcBorders>
            <w:shd w:val="clear" w:color="auto" w:fill="auto"/>
            <w:noWrap/>
            <w:hideMark/>
          </w:tcPr>
          <w:p w14:paraId="128F83C8" w14:textId="77777777" w:rsidR="00CB4053" w:rsidRPr="00F6116C" w:rsidRDefault="00CB4053" w:rsidP="00EE18A4">
            <w:pPr>
              <w:contextualSpacing/>
              <w:rPr>
                <w:rFonts w:ascii="Arial" w:hAnsi="Arial" w:cs="Arial"/>
                <w:color w:val="000000"/>
                <w:sz w:val="18"/>
                <w:szCs w:val="18"/>
              </w:rPr>
            </w:pPr>
            <w:r w:rsidRPr="00F6116C">
              <w:rPr>
                <w:rFonts w:ascii="Arial" w:hAnsi="Arial" w:cs="Arial"/>
                <w:color w:val="000000"/>
                <w:sz w:val="18"/>
                <w:szCs w:val="18"/>
              </w:rPr>
              <w:t>Royal Dutch Shell</w:t>
            </w:r>
          </w:p>
        </w:tc>
        <w:tc>
          <w:tcPr>
            <w:tcW w:w="2070" w:type="dxa"/>
            <w:tcBorders>
              <w:top w:val="single" w:sz="4" w:space="0" w:color="auto"/>
              <w:left w:val="single" w:sz="4" w:space="0" w:color="auto"/>
              <w:bottom w:val="single" w:sz="4" w:space="0" w:color="auto"/>
              <w:right w:val="single" w:sz="4" w:space="0" w:color="auto"/>
            </w:tcBorders>
            <w:shd w:val="clear" w:color="auto" w:fill="auto"/>
            <w:noWrap/>
            <w:hideMark/>
          </w:tcPr>
          <w:p w14:paraId="26BF4096" w14:textId="77777777" w:rsidR="00CB4053" w:rsidRPr="00F6116C" w:rsidRDefault="00CB4053" w:rsidP="00EE18A4">
            <w:pPr>
              <w:contextualSpacing/>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F6116C">
              <w:rPr>
                <w:rFonts w:ascii="Arial" w:hAnsi="Arial" w:cs="Arial"/>
                <w:color w:val="000000"/>
                <w:sz w:val="18"/>
                <w:szCs w:val="18"/>
              </w:rPr>
              <w:t>388.370</w:t>
            </w:r>
          </w:p>
        </w:tc>
        <w:tc>
          <w:tcPr>
            <w:tcW w:w="1350" w:type="dxa"/>
            <w:tcBorders>
              <w:top w:val="single" w:sz="4" w:space="0" w:color="auto"/>
              <w:left w:val="single" w:sz="4" w:space="0" w:color="auto"/>
              <w:bottom w:val="single" w:sz="4" w:space="0" w:color="auto"/>
              <w:right w:val="single" w:sz="4" w:space="0" w:color="auto"/>
            </w:tcBorders>
            <w:shd w:val="clear" w:color="auto" w:fill="auto"/>
            <w:noWrap/>
            <w:hideMark/>
          </w:tcPr>
          <w:p w14:paraId="121D856C" w14:textId="77777777" w:rsidR="00CB4053" w:rsidRPr="00F6116C" w:rsidRDefault="00CB4053" w:rsidP="00EE18A4">
            <w:pPr>
              <w:contextualSpacing/>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F6116C">
              <w:rPr>
                <w:rFonts w:ascii="Arial" w:hAnsi="Arial" w:cs="Arial"/>
                <w:color w:val="000000"/>
                <w:sz w:val="18"/>
                <w:szCs w:val="18"/>
              </w:rPr>
              <w:t>86.000</w:t>
            </w:r>
          </w:p>
        </w:tc>
        <w:tc>
          <w:tcPr>
            <w:tcW w:w="990" w:type="dxa"/>
            <w:tcBorders>
              <w:top w:val="single" w:sz="4" w:space="0" w:color="auto"/>
              <w:left w:val="single" w:sz="4" w:space="0" w:color="auto"/>
              <w:bottom w:val="single" w:sz="4" w:space="0" w:color="auto"/>
              <w:right w:val="single" w:sz="4" w:space="0" w:color="auto"/>
            </w:tcBorders>
            <w:shd w:val="clear" w:color="auto" w:fill="auto"/>
            <w:noWrap/>
            <w:hideMark/>
          </w:tcPr>
          <w:p w14:paraId="11944C4A" w14:textId="77777777" w:rsidR="00CB4053" w:rsidRPr="00F6116C" w:rsidRDefault="00CB4053" w:rsidP="00EE18A4">
            <w:pPr>
              <w:contextualSpacing/>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F6116C">
              <w:rPr>
                <w:rFonts w:ascii="Arial" w:hAnsi="Arial" w:cs="Arial"/>
                <w:color w:val="000000"/>
                <w:sz w:val="18"/>
                <w:szCs w:val="18"/>
              </w:rPr>
              <w:t>4,52</w:t>
            </w:r>
          </w:p>
        </w:tc>
      </w:tr>
      <w:tr w:rsidR="00CB4053" w:rsidRPr="00F6116C" w14:paraId="3BCFDAD8" w14:textId="77777777" w:rsidTr="00EE18A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3060" w:type="dxa"/>
            <w:tcBorders>
              <w:top w:val="single" w:sz="4" w:space="0" w:color="auto"/>
              <w:left w:val="single" w:sz="4" w:space="0" w:color="auto"/>
              <w:bottom w:val="single" w:sz="4" w:space="0" w:color="auto"/>
              <w:right w:val="single" w:sz="4" w:space="0" w:color="auto"/>
            </w:tcBorders>
            <w:shd w:val="clear" w:color="auto" w:fill="auto"/>
            <w:noWrap/>
            <w:hideMark/>
          </w:tcPr>
          <w:p w14:paraId="7A6030E8" w14:textId="77777777" w:rsidR="00CB4053" w:rsidRPr="00F6116C" w:rsidRDefault="00CB4053" w:rsidP="00EE18A4">
            <w:pPr>
              <w:contextualSpacing/>
              <w:rPr>
                <w:rFonts w:ascii="Arial" w:hAnsi="Arial" w:cs="Arial"/>
                <w:color w:val="000000"/>
                <w:sz w:val="18"/>
                <w:szCs w:val="18"/>
              </w:rPr>
            </w:pPr>
            <w:r w:rsidRPr="00F6116C">
              <w:rPr>
                <w:rFonts w:ascii="Arial" w:hAnsi="Arial" w:cs="Arial"/>
                <w:color w:val="000000"/>
                <w:sz w:val="18"/>
                <w:szCs w:val="18"/>
              </w:rPr>
              <w:t>BP Plc</w:t>
            </w:r>
          </w:p>
        </w:tc>
        <w:tc>
          <w:tcPr>
            <w:tcW w:w="2070" w:type="dxa"/>
            <w:tcBorders>
              <w:top w:val="single" w:sz="4" w:space="0" w:color="auto"/>
              <w:left w:val="single" w:sz="4" w:space="0" w:color="auto"/>
              <w:bottom w:val="single" w:sz="4" w:space="0" w:color="auto"/>
              <w:right w:val="single" w:sz="4" w:space="0" w:color="auto"/>
            </w:tcBorders>
            <w:shd w:val="clear" w:color="auto" w:fill="auto"/>
            <w:noWrap/>
            <w:hideMark/>
          </w:tcPr>
          <w:p w14:paraId="574130AA" w14:textId="77777777" w:rsidR="00CB4053" w:rsidRPr="00F6116C" w:rsidRDefault="00CB4053" w:rsidP="00EE18A4">
            <w:pPr>
              <w:contextualSpacing/>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F6116C">
              <w:rPr>
                <w:rFonts w:ascii="Arial" w:hAnsi="Arial" w:cs="Arial"/>
                <w:color w:val="000000"/>
                <w:sz w:val="18"/>
                <w:szCs w:val="18"/>
              </w:rPr>
              <w:t>298.750</w:t>
            </w:r>
          </w:p>
        </w:tc>
        <w:tc>
          <w:tcPr>
            <w:tcW w:w="1350" w:type="dxa"/>
            <w:tcBorders>
              <w:top w:val="single" w:sz="4" w:space="0" w:color="auto"/>
              <w:left w:val="single" w:sz="4" w:space="0" w:color="auto"/>
              <w:bottom w:val="single" w:sz="4" w:space="0" w:color="auto"/>
              <w:right w:val="single" w:sz="4" w:space="0" w:color="auto"/>
            </w:tcBorders>
            <w:shd w:val="clear" w:color="auto" w:fill="auto"/>
            <w:noWrap/>
            <w:hideMark/>
          </w:tcPr>
          <w:p w14:paraId="7AF4BCDA" w14:textId="77777777" w:rsidR="00CB4053" w:rsidRPr="00F6116C" w:rsidRDefault="00CB4053" w:rsidP="00EE18A4">
            <w:pPr>
              <w:contextualSpacing/>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F6116C">
              <w:rPr>
                <w:rFonts w:ascii="Arial" w:hAnsi="Arial" w:cs="Arial"/>
                <w:color w:val="000000"/>
                <w:sz w:val="18"/>
                <w:szCs w:val="18"/>
              </w:rPr>
              <w:t>73.000</w:t>
            </w:r>
          </w:p>
        </w:tc>
        <w:tc>
          <w:tcPr>
            <w:tcW w:w="990" w:type="dxa"/>
            <w:tcBorders>
              <w:top w:val="single" w:sz="4" w:space="0" w:color="auto"/>
              <w:left w:val="single" w:sz="4" w:space="0" w:color="auto"/>
              <w:bottom w:val="single" w:sz="4" w:space="0" w:color="auto"/>
              <w:right w:val="single" w:sz="4" w:space="0" w:color="auto"/>
            </w:tcBorders>
            <w:shd w:val="clear" w:color="auto" w:fill="auto"/>
            <w:noWrap/>
            <w:hideMark/>
          </w:tcPr>
          <w:p w14:paraId="19FDE1E5" w14:textId="77777777" w:rsidR="00CB4053" w:rsidRPr="00F6116C" w:rsidRDefault="00CB4053" w:rsidP="00EE18A4">
            <w:pPr>
              <w:contextualSpacing/>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F6116C">
              <w:rPr>
                <w:rFonts w:ascii="Arial" w:hAnsi="Arial" w:cs="Arial"/>
                <w:color w:val="000000"/>
                <w:sz w:val="18"/>
                <w:szCs w:val="18"/>
              </w:rPr>
              <w:t>4,09</w:t>
            </w:r>
          </w:p>
        </w:tc>
      </w:tr>
      <w:tr w:rsidR="00CB4053" w:rsidRPr="00F6116C" w14:paraId="625DA4E0" w14:textId="77777777" w:rsidTr="00EE18A4">
        <w:trPr>
          <w:trHeight w:val="288"/>
        </w:trPr>
        <w:tc>
          <w:tcPr>
            <w:cnfStyle w:val="001000000000" w:firstRow="0" w:lastRow="0" w:firstColumn="1" w:lastColumn="0" w:oddVBand="0" w:evenVBand="0" w:oddHBand="0" w:evenHBand="0" w:firstRowFirstColumn="0" w:firstRowLastColumn="0" w:lastRowFirstColumn="0" w:lastRowLastColumn="0"/>
            <w:tcW w:w="3060" w:type="dxa"/>
            <w:tcBorders>
              <w:top w:val="single" w:sz="4" w:space="0" w:color="auto"/>
              <w:left w:val="single" w:sz="4" w:space="0" w:color="auto"/>
              <w:bottom w:val="single" w:sz="4" w:space="0" w:color="auto"/>
              <w:right w:val="single" w:sz="4" w:space="0" w:color="auto"/>
            </w:tcBorders>
            <w:shd w:val="clear" w:color="auto" w:fill="auto"/>
            <w:noWrap/>
            <w:hideMark/>
          </w:tcPr>
          <w:p w14:paraId="300B6357" w14:textId="77777777" w:rsidR="00CB4053" w:rsidRPr="00F6116C" w:rsidRDefault="00CB4053" w:rsidP="00EE18A4">
            <w:pPr>
              <w:contextualSpacing/>
              <w:rPr>
                <w:rFonts w:ascii="Arial" w:hAnsi="Arial" w:cs="Arial"/>
                <w:color w:val="000000"/>
                <w:sz w:val="18"/>
                <w:szCs w:val="18"/>
              </w:rPr>
            </w:pPr>
            <w:r w:rsidRPr="00F6116C">
              <w:rPr>
                <w:rFonts w:ascii="Arial" w:hAnsi="Arial" w:cs="Arial"/>
                <w:color w:val="000000"/>
                <w:sz w:val="18"/>
                <w:szCs w:val="18"/>
              </w:rPr>
              <w:lastRenderedPageBreak/>
              <w:t>ExxonMobil</w:t>
            </w:r>
          </w:p>
        </w:tc>
        <w:tc>
          <w:tcPr>
            <w:tcW w:w="2070" w:type="dxa"/>
            <w:tcBorders>
              <w:top w:val="single" w:sz="4" w:space="0" w:color="auto"/>
              <w:left w:val="single" w:sz="4" w:space="0" w:color="auto"/>
              <w:bottom w:val="single" w:sz="4" w:space="0" w:color="auto"/>
              <w:right w:val="single" w:sz="4" w:space="0" w:color="auto"/>
            </w:tcBorders>
            <w:shd w:val="clear" w:color="auto" w:fill="auto"/>
            <w:noWrap/>
            <w:hideMark/>
          </w:tcPr>
          <w:p w14:paraId="3FEED666" w14:textId="77777777" w:rsidR="00CB4053" w:rsidRPr="00F6116C" w:rsidRDefault="00CB4053" w:rsidP="00EE18A4">
            <w:pPr>
              <w:contextualSpacing/>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F6116C">
              <w:rPr>
                <w:rFonts w:ascii="Arial" w:hAnsi="Arial" w:cs="Arial"/>
                <w:color w:val="000000"/>
                <w:sz w:val="18"/>
                <w:szCs w:val="18"/>
              </w:rPr>
              <w:t>290.200</w:t>
            </w:r>
          </w:p>
        </w:tc>
        <w:tc>
          <w:tcPr>
            <w:tcW w:w="1350" w:type="dxa"/>
            <w:tcBorders>
              <w:top w:val="single" w:sz="4" w:space="0" w:color="auto"/>
              <w:left w:val="single" w:sz="4" w:space="0" w:color="auto"/>
              <w:bottom w:val="single" w:sz="4" w:space="0" w:color="auto"/>
              <w:right w:val="single" w:sz="4" w:space="0" w:color="auto"/>
            </w:tcBorders>
            <w:shd w:val="clear" w:color="auto" w:fill="auto"/>
            <w:noWrap/>
            <w:hideMark/>
          </w:tcPr>
          <w:p w14:paraId="48A3E012" w14:textId="77777777" w:rsidR="00CB4053" w:rsidRPr="00F6116C" w:rsidRDefault="00CB4053" w:rsidP="00EE18A4">
            <w:pPr>
              <w:contextualSpacing/>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F6116C">
              <w:rPr>
                <w:rFonts w:ascii="Arial" w:hAnsi="Arial" w:cs="Arial"/>
                <w:color w:val="000000"/>
                <w:sz w:val="18"/>
                <w:szCs w:val="18"/>
              </w:rPr>
              <w:t>71.000</w:t>
            </w:r>
          </w:p>
        </w:tc>
        <w:tc>
          <w:tcPr>
            <w:tcW w:w="990" w:type="dxa"/>
            <w:tcBorders>
              <w:top w:val="single" w:sz="4" w:space="0" w:color="auto"/>
              <w:left w:val="single" w:sz="4" w:space="0" w:color="auto"/>
              <w:bottom w:val="single" w:sz="4" w:space="0" w:color="auto"/>
              <w:right w:val="single" w:sz="4" w:space="0" w:color="auto"/>
            </w:tcBorders>
            <w:shd w:val="clear" w:color="auto" w:fill="auto"/>
            <w:noWrap/>
            <w:hideMark/>
          </w:tcPr>
          <w:p w14:paraId="51D7E449" w14:textId="77777777" w:rsidR="00CB4053" w:rsidRPr="00F6116C" w:rsidRDefault="00CB4053" w:rsidP="00EE18A4">
            <w:pPr>
              <w:contextualSpacing/>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F6116C">
              <w:rPr>
                <w:rFonts w:ascii="Arial" w:hAnsi="Arial" w:cs="Arial"/>
                <w:color w:val="000000"/>
                <w:sz w:val="18"/>
                <w:szCs w:val="18"/>
              </w:rPr>
              <w:t>4,09</w:t>
            </w:r>
          </w:p>
        </w:tc>
      </w:tr>
      <w:tr w:rsidR="00CB4053" w:rsidRPr="00F6116C" w14:paraId="479BDD09" w14:textId="77777777" w:rsidTr="00EE18A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3060" w:type="dxa"/>
            <w:tcBorders>
              <w:top w:val="single" w:sz="4" w:space="0" w:color="auto"/>
              <w:left w:val="single" w:sz="4" w:space="0" w:color="auto"/>
              <w:bottom w:val="single" w:sz="4" w:space="0" w:color="auto"/>
              <w:right w:val="single" w:sz="4" w:space="0" w:color="auto"/>
            </w:tcBorders>
            <w:shd w:val="clear" w:color="auto" w:fill="auto"/>
            <w:noWrap/>
            <w:hideMark/>
          </w:tcPr>
          <w:p w14:paraId="3D8B15D8" w14:textId="77777777" w:rsidR="00CB4053" w:rsidRPr="00F6116C" w:rsidRDefault="00CB4053" w:rsidP="00EE18A4">
            <w:pPr>
              <w:rPr>
                <w:rFonts w:ascii="Arial" w:hAnsi="Arial" w:cs="Arial"/>
                <w:color w:val="000000"/>
                <w:sz w:val="18"/>
                <w:szCs w:val="18"/>
              </w:rPr>
            </w:pPr>
            <w:r w:rsidRPr="00F6116C">
              <w:rPr>
                <w:rFonts w:ascii="Arial" w:hAnsi="Arial" w:cs="Arial"/>
                <w:color w:val="000000"/>
                <w:sz w:val="18"/>
                <w:szCs w:val="18"/>
              </w:rPr>
              <w:t>Chevron</w:t>
            </w:r>
          </w:p>
        </w:tc>
        <w:tc>
          <w:tcPr>
            <w:tcW w:w="2070" w:type="dxa"/>
            <w:tcBorders>
              <w:top w:val="single" w:sz="4" w:space="0" w:color="auto"/>
              <w:left w:val="single" w:sz="4" w:space="0" w:color="auto"/>
              <w:bottom w:val="single" w:sz="4" w:space="0" w:color="auto"/>
              <w:right w:val="single" w:sz="4" w:space="0" w:color="auto"/>
            </w:tcBorders>
            <w:shd w:val="clear" w:color="auto" w:fill="auto"/>
            <w:noWrap/>
            <w:hideMark/>
          </w:tcPr>
          <w:p w14:paraId="1BD1CB99" w14:textId="77777777" w:rsidR="00CB4053" w:rsidRPr="00F6116C" w:rsidRDefault="00CB4053" w:rsidP="00EE18A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F6116C">
              <w:rPr>
                <w:rFonts w:ascii="Arial" w:hAnsi="Arial" w:cs="Arial"/>
                <w:color w:val="000000"/>
                <w:sz w:val="18"/>
                <w:szCs w:val="18"/>
              </w:rPr>
              <w:t>158.900</w:t>
            </w:r>
          </w:p>
        </w:tc>
        <w:tc>
          <w:tcPr>
            <w:tcW w:w="1350" w:type="dxa"/>
            <w:tcBorders>
              <w:top w:val="single" w:sz="4" w:space="0" w:color="auto"/>
              <w:left w:val="single" w:sz="4" w:space="0" w:color="auto"/>
              <w:bottom w:val="single" w:sz="4" w:space="0" w:color="auto"/>
              <w:right w:val="single" w:sz="4" w:space="0" w:color="auto"/>
            </w:tcBorders>
            <w:shd w:val="clear" w:color="auto" w:fill="auto"/>
            <w:noWrap/>
            <w:hideMark/>
          </w:tcPr>
          <w:p w14:paraId="5A7C7509" w14:textId="77777777" w:rsidR="00CB4053" w:rsidRPr="00F6116C" w:rsidRDefault="00CB4053" w:rsidP="00EE18A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F6116C">
              <w:rPr>
                <w:rFonts w:ascii="Arial" w:hAnsi="Arial" w:cs="Arial"/>
                <w:color w:val="000000"/>
                <w:sz w:val="18"/>
                <w:szCs w:val="18"/>
              </w:rPr>
              <w:t>51.900</w:t>
            </w:r>
          </w:p>
        </w:tc>
        <w:tc>
          <w:tcPr>
            <w:tcW w:w="990" w:type="dxa"/>
            <w:tcBorders>
              <w:top w:val="single" w:sz="4" w:space="0" w:color="auto"/>
              <w:left w:val="single" w:sz="4" w:space="0" w:color="auto"/>
              <w:bottom w:val="single" w:sz="4" w:space="0" w:color="auto"/>
              <w:right w:val="single" w:sz="4" w:space="0" w:color="auto"/>
            </w:tcBorders>
            <w:shd w:val="clear" w:color="auto" w:fill="auto"/>
            <w:noWrap/>
            <w:hideMark/>
          </w:tcPr>
          <w:p w14:paraId="73A2CCE8" w14:textId="77777777" w:rsidR="00CB4053" w:rsidRPr="00F6116C" w:rsidRDefault="00CB4053" w:rsidP="00EE18A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F6116C">
              <w:rPr>
                <w:rFonts w:ascii="Arial" w:hAnsi="Arial" w:cs="Arial"/>
                <w:color w:val="000000"/>
                <w:sz w:val="18"/>
                <w:szCs w:val="18"/>
              </w:rPr>
              <w:t>3,06</w:t>
            </w:r>
          </w:p>
        </w:tc>
      </w:tr>
      <w:tr w:rsidR="00CB4053" w:rsidRPr="00F6116C" w14:paraId="360EA97A" w14:textId="77777777" w:rsidTr="00EE18A4">
        <w:trPr>
          <w:trHeight w:val="288"/>
        </w:trPr>
        <w:tc>
          <w:tcPr>
            <w:cnfStyle w:val="001000000000" w:firstRow="0" w:lastRow="0" w:firstColumn="1" w:lastColumn="0" w:oddVBand="0" w:evenVBand="0" w:oddHBand="0" w:evenHBand="0" w:firstRowFirstColumn="0" w:firstRowLastColumn="0" w:lastRowFirstColumn="0" w:lastRowLastColumn="0"/>
            <w:tcW w:w="3060" w:type="dxa"/>
            <w:tcBorders>
              <w:top w:val="single" w:sz="4" w:space="0" w:color="auto"/>
              <w:left w:val="single" w:sz="4" w:space="0" w:color="auto"/>
              <w:bottom w:val="single" w:sz="4" w:space="0" w:color="auto"/>
              <w:right w:val="single" w:sz="4" w:space="0" w:color="auto"/>
            </w:tcBorders>
            <w:shd w:val="clear" w:color="auto" w:fill="auto"/>
            <w:noWrap/>
            <w:hideMark/>
          </w:tcPr>
          <w:p w14:paraId="417B8CBE" w14:textId="77777777" w:rsidR="00CB4053" w:rsidRPr="00F6116C" w:rsidRDefault="00CB4053" w:rsidP="00EE18A4">
            <w:pPr>
              <w:rPr>
                <w:rFonts w:ascii="Arial" w:hAnsi="Arial" w:cs="Arial"/>
                <w:color w:val="000000"/>
                <w:sz w:val="18"/>
                <w:szCs w:val="18"/>
              </w:rPr>
            </w:pPr>
            <w:r w:rsidRPr="00F6116C">
              <w:rPr>
                <w:rFonts w:ascii="Arial" w:hAnsi="Arial" w:cs="Arial"/>
                <w:color w:val="000000"/>
                <w:sz w:val="18"/>
                <w:szCs w:val="18"/>
              </w:rPr>
              <w:t>Ecopetrol</w:t>
            </w:r>
          </w:p>
        </w:tc>
        <w:tc>
          <w:tcPr>
            <w:tcW w:w="2070" w:type="dxa"/>
            <w:tcBorders>
              <w:top w:val="single" w:sz="4" w:space="0" w:color="auto"/>
              <w:left w:val="single" w:sz="4" w:space="0" w:color="auto"/>
              <w:bottom w:val="single" w:sz="4" w:space="0" w:color="auto"/>
              <w:right w:val="single" w:sz="4" w:space="0" w:color="auto"/>
            </w:tcBorders>
            <w:shd w:val="clear" w:color="auto" w:fill="auto"/>
            <w:noWrap/>
            <w:hideMark/>
          </w:tcPr>
          <w:p w14:paraId="3BD33322" w14:textId="77777777" w:rsidR="00CB4053" w:rsidRPr="00F6116C" w:rsidRDefault="00CB4053" w:rsidP="00EE18A4">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F6116C">
              <w:rPr>
                <w:rFonts w:ascii="Arial" w:hAnsi="Arial" w:cs="Arial"/>
                <w:color w:val="000000"/>
                <w:sz w:val="18"/>
                <w:szCs w:val="18"/>
              </w:rPr>
              <w:t>21.900</w:t>
            </w:r>
          </w:p>
        </w:tc>
        <w:tc>
          <w:tcPr>
            <w:tcW w:w="1350" w:type="dxa"/>
            <w:tcBorders>
              <w:top w:val="single" w:sz="4" w:space="0" w:color="auto"/>
              <w:left w:val="single" w:sz="4" w:space="0" w:color="auto"/>
              <w:bottom w:val="single" w:sz="4" w:space="0" w:color="auto"/>
              <w:right w:val="single" w:sz="4" w:space="0" w:color="auto"/>
            </w:tcBorders>
            <w:shd w:val="clear" w:color="auto" w:fill="auto"/>
            <w:noWrap/>
            <w:hideMark/>
          </w:tcPr>
          <w:p w14:paraId="305D7E96" w14:textId="77777777" w:rsidR="00CB4053" w:rsidRPr="00F6116C" w:rsidRDefault="00CB4053" w:rsidP="00EE18A4">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F6116C">
              <w:rPr>
                <w:rFonts w:ascii="Arial" w:hAnsi="Arial" w:cs="Arial"/>
                <w:color w:val="000000"/>
                <w:sz w:val="18"/>
                <w:szCs w:val="18"/>
              </w:rPr>
              <w:t>8.800</w:t>
            </w:r>
          </w:p>
        </w:tc>
        <w:tc>
          <w:tcPr>
            <w:tcW w:w="990" w:type="dxa"/>
            <w:tcBorders>
              <w:top w:val="single" w:sz="4" w:space="0" w:color="auto"/>
              <w:left w:val="single" w:sz="4" w:space="0" w:color="auto"/>
              <w:bottom w:val="single" w:sz="4" w:space="0" w:color="auto"/>
              <w:right w:val="single" w:sz="4" w:space="0" w:color="auto"/>
            </w:tcBorders>
            <w:shd w:val="clear" w:color="auto" w:fill="auto"/>
            <w:noWrap/>
            <w:hideMark/>
          </w:tcPr>
          <w:p w14:paraId="0DCE152A" w14:textId="77777777" w:rsidR="00CB4053" w:rsidRPr="00F6116C" w:rsidRDefault="00CB4053" w:rsidP="00EE18A4">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F6116C">
              <w:rPr>
                <w:rFonts w:ascii="Arial" w:hAnsi="Arial" w:cs="Arial"/>
                <w:color w:val="000000"/>
                <w:sz w:val="18"/>
                <w:szCs w:val="18"/>
              </w:rPr>
              <w:t>2,49</w:t>
            </w:r>
          </w:p>
        </w:tc>
      </w:tr>
      <w:tr w:rsidR="00CB4053" w:rsidRPr="00F6116C" w14:paraId="263329BA" w14:textId="77777777" w:rsidTr="00EE18A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3060" w:type="dxa"/>
            <w:tcBorders>
              <w:top w:val="single" w:sz="4" w:space="0" w:color="auto"/>
              <w:left w:val="single" w:sz="4" w:space="0" w:color="auto"/>
              <w:bottom w:val="single" w:sz="4" w:space="0" w:color="auto"/>
              <w:right w:val="single" w:sz="4" w:space="0" w:color="auto"/>
            </w:tcBorders>
            <w:shd w:val="clear" w:color="auto" w:fill="auto"/>
            <w:noWrap/>
            <w:hideMark/>
          </w:tcPr>
          <w:p w14:paraId="6B887027" w14:textId="77777777" w:rsidR="00CB4053" w:rsidRPr="00080F50" w:rsidRDefault="00CB4053" w:rsidP="00EE18A4">
            <w:pPr>
              <w:rPr>
                <w:rFonts w:ascii="Arial" w:hAnsi="Arial" w:cs="Arial"/>
                <w:color w:val="000000"/>
                <w:sz w:val="18"/>
                <w:szCs w:val="18"/>
              </w:rPr>
            </w:pPr>
            <w:r w:rsidRPr="00080F50">
              <w:rPr>
                <w:rFonts w:ascii="Arial" w:hAnsi="Arial" w:cs="Arial"/>
                <w:color w:val="000000"/>
                <w:sz w:val="18"/>
                <w:szCs w:val="18"/>
              </w:rPr>
              <w:t>Total</w:t>
            </w:r>
          </w:p>
        </w:tc>
        <w:tc>
          <w:tcPr>
            <w:tcW w:w="2070" w:type="dxa"/>
            <w:tcBorders>
              <w:top w:val="single" w:sz="4" w:space="0" w:color="auto"/>
              <w:left w:val="single" w:sz="4" w:space="0" w:color="auto"/>
              <w:bottom w:val="single" w:sz="4" w:space="0" w:color="auto"/>
              <w:right w:val="single" w:sz="4" w:space="0" w:color="auto"/>
            </w:tcBorders>
            <w:shd w:val="clear" w:color="auto" w:fill="auto"/>
            <w:noWrap/>
            <w:hideMark/>
          </w:tcPr>
          <w:p w14:paraId="6C438944" w14:textId="77777777" w:rsidR="00CB4053" w:rsidRPr="00080F50" w:rsidRDefault="00CB4053" w:rsidP="00EE18A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80F50">
              <w:rPr>
                <w:rFonts w:ascii="Arial" w:hAnsi="Arial" w:cs="Arial"/>
                <w:color w:val="000000"/>
                <w:sz w:val="18"/>
                <w:szCs w:val="18"/>
              </w:rPr>
              <w:t>209.360</w:t>
            </w:r>
          </w:p>
        </w:tc>
        <w:tc>
          <w:tcPr>
            <w:tcW w:w="1350" w:type="dxa"/>
            <w:tcBorders>
              <w:top w:val="single" w:sz="4" w:space="0" w:color="auto"/>
              <w:left w:val="single" w:sz="4" w:space="0" w:color="auto"/>
              <w:bottom w:val="single" w:sz="4" w:space="0" w:color="auto"/>
              <w:right w:val="single" w:sz="4" w:space="0" w:color="auto"/>
            </w:tcBorders>
            <w:shd w:val="clear" w:color="auto" w:fill="auto"/>
            <w:noWrap/>
            <w:hideMark/>
          </w:tcPr>
          <w:p w14:paraId="75F5F4B4" w14:textId="77777777" w:rsidR="00CB4053" w:rsidRPr="00080F50" w:rsidRDefault="00CB4053" w:rsidP="00EE18A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80F50">
              <w:rPr>
                <w:rFonts w:ascii="Arial" w:hAnsi="Arial" w:cs="Arial"/>
                <w:color w:val="000000"/>
                <w:sz w:val="18"/>
                <w:szCs w:val="18"/>
              </w:rPr>
              <w:t>98.280</w:t>
            </w:r>
          </w:p>
        </w:tc>
        <w:tc>
          <w:tcPr>
            <w:tcW w:w="990" w:type="dxa"/>
            <w:tcBorders>
              <w:top w:val="single" w:sz="4" w:space="0" w:color="auto"/>
              <w:left w:val="single" w:sz="4" w:space="0" w:color="auto"/>
              <w:bottom w:val="single" w:sz="4" w:space="0" w:color="auto"/>
              <w:right w:val="single" w:sz="4" w:space="0" w:color="auto"/>
            </w:tcBorders>
            <w:shd w:val="clear" w:color="auto" w:fill="auto"/>
            <w:noWrap/>
            <w:hideMark/>
          </w:tcPr>
          <w:p w14:paraId="77B99918" w14:textId="77777777" w:rsidR="00CB4053" w:rsidRPr="00080F50" w:rsidRDefault="00CB4053" w:rsidP="00EE18A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80F50">
              <w:rPr>
                <w:rFonts w:ascii="Arial" w:hAnsi="Arial" w:cs="Arial"/>
                <w:color w:val="000000"/>
                <w:sz w:val="18"/>
                <w:szCs w:val="18"/>
              </w:rPr>
              <w:t>2,13</w:t>
            </w:r>
          </w:p>
        </w:tc>
      </w:tr>
      <w:tr w:rsidR="00CB4053" w:rsidRPr="005C28D4" w14:paraId="2320FD19" w14:textId="77777777" w:rsidTr="00EE18A4">
        <w:trPr>
          <w:trHeight w:val="288"/>
        </w:trPr>
        <w:tc>
          <w:tcPr>
            <w:cnfStyle w:val="001000000000" w:firstRow="0" w:lastRow="0" w:firstColumn="1" w:lastColumn="0" w:oddVBand="0" w:evenVBand="0" w:oddHBand="0" w:evenHBand="0" w:firstRowFirstColumn="0" w:firstRowLastColumn="0" w:lastRowFirstColumn="0" w:lastRowLastColumn="0"/>
            <w:tcW w:w="3060" w:type="dxa"/>
            <w:tcBorders>
              <w:top w:val="single" w:sz="4" w:space="0" w:color="auto"/>
              <w:left w:val="single" w:sz="4" w:space="0" w:color="auto"/>
              <w:bottom w:val="single" w:sz="4" w:space="0" w:color="auto"/>
              <w:right w:val="single" w:sz="4" w:space="0" w:color="auto"/>
            </w:tcBorders>
            <w:shd w:val="clear" w:color="auto" w:fill="auto"/>
            <w:noWrap/>
            <w:hideMark/>
          </w:tcPr>
          <w:p w14:paraId="13D48FBA" w14:textId="77777777" w:rsidR="00CB4053" w:rsidRPr="00F6116C" w:rsidRDefault="00CB4053" w:rsidP="00EE18A4">
            <w:pPr>
              <w:rPr>
                <w:rFonts w:ascii="Arial" w:hAnsi="Arial" w:cs="Arial"/>
                <w:color w:val="000000"/>
                <w:sz w:val="18"/>
                <w:szCs w:val="18"/>
              </w:rPr>
            </w:pPr>
            <w:r w:rsidRPr="00F6116C">
              <w:rPr>
                <w:rFonts w:ascii="Arial" w:hAnsi="Arial" w:cs="Arial"/>
                <w:color w:val="000000"/>
                <w:sz w:val="18"/>
                <w:szCs w:val="18"/>
              </w:rPr>
              <w:t>Lukoil</w:t>
            </w:r>
          </w:p>
        </w:tc>
        <w:tc>
          <w:tcPr>
            <w:tcW w:w="2070" w:type="dxa"/>
            <w:tcBorders>
              <w:top w:val="single" w:sz="4" w:space="0" w:color="auto"/>
              <w:left w:val="single" w:sz="4" w:space="0" w:color="auto"/>
              <w:bottom w:val="single" w:sz="4" w:space="0" w:color="auto"/>
              <w:right w:val="single" w:sz="4" w:space="0" w:color="auto"/>
            </w:tcBorders>
            <w:shd w:val="clear" w:color="auto" w:fill="auto"/>
            <w:noWrap/>
            <w:hideMark/>
          </w:tcPr>
          <w:p w14:paraId="5C9A8D2A" w14:textId="77777777" w:rsidR="00CB4053" w:rsidRPr="00F6116C" w:rsidRDefault="00CB4053" w:rsidP="00EE18A4">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F6116C">
              <w:rPr>
                <w:rFonts w:ascii="Arial" w:hAnsi="Arial" w:cs="Arial"/>
                <w:color w:val="000000"/>
                <w:sz w:val="18"/>
                <w:szCs w:val="18"/>
              </w:rPr>
              <w:t>115.200</w:t>
            </w:r>
          </w:p>
        </w:tc>
        <w:tc>
          <w:tcPr>
            <w:tcW w:w="1350" w:type="dxa"/>
            <w:tcBorders>
              <w:top w:val="single" w:sz="4" w:space="0" w:color="auto"/>
              <w:left w:val="single" w:sz="4" w:space="0" w:color="auto"/>
              <w:bottom w:val="single" w:sz="4" w:space="0" w:color="auto"/>
              <w:right w:val="single" w:sz="4" w:space="0" w:color="auto"/>
            </w:tcBorders>
            <w:shd w:val="clear" w:color="auto" w:fill="auto"/>
            <w:noWrap/>
            <w:hideMark/>
          </w:tcPr>
          <w:p w14:paraId="30265FBF" w14:textId="77777777" w:rsidR="00CB4053" w:rsidRPr="00F6116C" w:rsidRDefault="00CB4053" w:rsidP="00EE18A4">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F6116C">
              <w:rPr>
                <w:rFonts w:ascii="Arial" w:hAnsi="Arial" w:cs="Arial"/>
                <w:color w:val="000000"/>
                <w:sz w:val="18"/>
                <w:szCs w:val="18"/>
              </w:rPr>
              <w:t>109.600</w:t>
            </w:r>
          </w:p>
        </w:tc>
        <w:tc>
          <w:tcPr>
            <w:tcW w:w="990" w:type="dxa"/>
            <w:tcBorders>
              <w:top w:val="single" w:sz="4" w:space="0" w:color="auto"/>
              <w:left w:val="single" w:sz="4" w:space="0" w:color="auto"/>
              <w:bottom w:val="single" w:sz="4" w:space="0" w:color="auto"/>
              <w:right w:val="single" w:sz="4" w:space="0" w:color="auto"/>
            </w:tcBorders>
            <w:shd w:val="clear" w:color="auto" w:fill="auto"/>
            <w:noWrap/>
            <w:hideMark/>
          </w:tcPr>
          <w:p w14:paraId="4B33F3E9" w14:textId="77777777" w:rsidR="00CB4053" w:rsidRPr="00F6116C" w:rsidRDefault="00CB4053" w:rsidP="00EE18A4">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F6116C">
              <w:rPr>
                <w:rFonts w:ascii="Arial" w:hAnsi="Arial" w:cs="Arial"/>
                <w:color w:val="000000"/>
                <w:sz w:val="18"/>
                <w:szCs w:val="18"/>
              </w:rPr>
              <w:t>1,05</w:t>
            </w:r>
          </w:p>
        </w:tc>
      </w:tr>
      <w:tr w:rsidR="00CB4053" w:rsidRPr="005C28D4" w14:paraId="24F878C4" w14:textId="77777777" w:rsidTr="00EE18A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3060" w:type="dxa"/>
            <w:tcBorders>
              <w:top w:val="single" w:sz="4" w:space="0" w:color="auto"/>
              <w:left w:val="single" w:sz="4" w:space="0" w:color="auto"/>
              <w:bottom w:val="single" w:sz="4" w:space="0" w:color="auto"/>
              <w:right w:val="single" w:sz="4" w:space="0" w:color="auto"/>
            </w:tcBorders>
            <w:shd w:val="clear" w:color="auto" w:fill="auto"/>
            <w:noWrap/>
            <w:hideMark/>
          </w:tcPr>
          <w:p w14:paraId="439A7E8D" w14:textId="77777777" w:rsidR="00CB4053" w:rsidRPr="00F6116C" w:rsidRDefault="00CB4053" w:rsidP="00EE18A4">
            <w:pPr>
              <w:rPr>
                <w:rFonts w:ascii="Arial" w:hAnsi="Arial" w:cs="Arial"/>
                <w:color w:val="000000"/>
                <w:sz w:val="18"/>
                <w:szCs w:val="18"/>
              </w:rPr>
            </w:pPr>
            <w:r w:rsidRPr="00F6116C">
              <w:rPr>
                <w:rFonts w:ascii="Arial" w:hAnsi="Arial" w:cs="Arial"/>
                <w:color w:val="000000"/>
                <w:sz w:val="18"/>
                <w:szCs w:val="18"/>
              </w:rPr>
              <w:t>Petroamazonas + Petroecuador</w:t>
            </w:r>
          </w:p>
        </w:tc>
        <w:tc>
          <w:tcPr>
            <w:tcW w:w="2070" w:type="dxa"/>
            <w:tcBorders>
              <w:top w:val="single" w:sz="4" w:space="0" w:color="auto"/>
              <w:left w:val="single" w:sz="4" w:space="0" w:color="auto"/>
              <w:bottom w:val="single" w:sz="4" w:space="0" w:color="auto"/>
              <w:right w:val="single" w:sz="4" w:space="0" w:color="auto"/>
            </w:tcBorders>
            <w:shd w:val="clear" w:color="auto" w:fill="auto"/>
            <w:noWrap/>
            <w:hideMark/>
          </w:tcPr>
          <w:p w14:paraId="18F5B23B" w14:textId="77777777" w:rsidR="00CB4053" w:rsidRPr="00F6116C" w:rsidRDefault="00CB4053" w:rsidP="00EE18A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F6116C">
              <w:rPr>
                <w:rFonts w:ascii="Arial" w:hAnsi="Arial" w:cs="Arial"/>
                <w:color w:val="000000"/>
                <w:sz w:val="18"/>
                <w:szCs w:val="18"/>
              </w:rPr>
              <w:t>11.647</w:t>
            </w:r>
          </w:p>
        </w:tc>
        <w:tc>
          <w:tcPr>
            <w:tcW w:w="1350" w:type="dxa"/>
            <w:tcBorders>
              <w:top w:val="single" w:sz="4" w:space="0" w:color="auto"/>
              <w:left w:val="single" w:sz="4" w:space="0" w:color="auto"/>
              <w:bottom w:val="single" w:sz="4" w:space="0" w:color="auto"/>
              <w:right w:val="single" w:sz="4" w:space="0" w:color="auto"/>
            </w:tcBorders>
            <w:shd w:val="clear" w:color="auto" w:fill="auto"/>
            <w:noWrap/>
            <w:hideMark/>
          </w:tcPr>
          <w:p w14:paraId="24C32E18" w14:textId="77777777" w:rsidR="00CB4053" w:rsidRPr="00F6116C" w:rsidRDefault="00CB4053" w:rsidP="00EE18A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F6116C">
              <w:rPr>
                <w:rFonts w:ascii="Arial" w:hAnsi="Arial" w:cs="Arial"/>
                <w:color w:val="000000"/>
                <w:sz w:val="18"/>
                <w:szCs w:val="18"/>
              </w:rPr>
              <w:t>11.600</w:t>
            </w:r>
          </w:p>
        </w:tc>
        <w:tc>
          <w:tcPr>
            <w:tcW w:w="990" w:type="dxa"/>
            <w:tcBorders>
              <w:top w:val="single" w:sz="4" w:space="0" w:color="auto"/>
              <w:left w:val="single" w:sz="4" w:space="0" w:color="auto"/>
              <w:bottom w:val="single" w:sz="4" w:space="0" w:color="auto"/>
              <w:right w:val="single" w:sz="4" w:space="0" w:color="auto"/>
            </w:tcBorders>
            <w:shd w:val="clear" w:color="auto" w:fill="auto"/>
            <w:noWrap/>
            <w:hideMark/>
          </w:tcPr>
          <w:p w14:paraId="6ECC0C15" w14:textId="77777777" w:rsidR="00CB4053" w:rsidRPr="00F6116C" w:rsidRDefault="00CB4053" w:rsidP="00EE18A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F6116C">
              <w:rPr>
                <w:rFonts w:ascii="Arial" w:hAnsi="Arial" w:cs="Arial"/>
                <w:color w:val="000000"/>
                <w:sz w:val="18"/>
                <w:szCs w:val="18"/>
              </w:rPr>
              <w:t>1,00</w:t>
            </w:r>
          </w:p>
        </w:tc>
      </w:tr>
      <w:tr w:rsidR="00CB4053" w:rsidRPr="005C28D4" w14:paraId="1C03760A" w14:textId="77777777" w:rsidTr="00EE18A4">
        <w:trPr>
          <w:trHeight w:val="288"/>
        </w:trPr>
        <w:tc>
          <w:tcPr>
            <w:cnfStyle w:val="001000000000" w:firstRow="0" w:lastRow="0" w:firstColumn="1" w:lastColumn="0" w:oddVBand="0" w:evenVBand="0" w:oddHBand="0" w:evenHBand="0" w:firstRowFirstColumn="0" w:firstRowLastColumn="0" w:lastRowFirstColumn="0" w:lastRowLastColumn="0"/>
            <w:tcW w:w="3060" w:type="dxa"/>
            <w:tcBorders>
              <w:top w:val="single" w:sz="4" w:space="0" w:color="auto"/>
              <w:left w:val="single" w:sz="4" w:space="0" w:color="auto"/>
              <w:bottom w:val="single" w:sz="4" w:space="0" w:color="auto"/>
              <w:right w:val="single" w:sz="4" w:space="0" w:color="auto"/>
            </w:tcBorders>
            <w:shd w:val="clear" w:color="auto" w:fill="auto"/>
            <w:noWrap/>
            <w:hideMark/>
          </w:tcPr>
          <w:p w14:paraId="6B3DC9D9" w14:textId="77777777" w:rsidR="00CB4053" w:rsidRPr="00F6116C" w:rsidRDefault="00CB4053" w:rsidP="00EE18A4">
            <w:pPr>
              <w:rPr>
                <w:rFonts w:ascii="Arial" w:hAnsi="Arial" w:cs="Arial"/>
                <w:color w:val="000000"/>
                <w:sz w:val="18"/>
                <w:szCs w:val="18"/>
              </w:rPr>
            </w:pPr>
            <w:r w:rsidRPr="00F6116C">
              <w:rPr>
                <w:rFonts w:ascii="Arial" w:hAnsi="Arial" w:cs="Arial"/>
                <w:color w:val="000000"/>
                <w:sz w:val="18"/>
                <w:szCs w:val="18"/>
              </w:rPr>
              <w:t>Sinopec</w:t>
            </w:r>
          </w:p>
        </w:tc>
        <w:tc>
          <w:tcPr>
            <w:tcW w:w="2070" w:type="dxa"/>
            <w:tcBorders>
              <w:top w:val="single" w:sz="4" w:space="0" w:color="auto"/>
              <w:left w:val="single" w:sz="4" w:space="0" w:color="auto"/>
              <w:bottom w:val="single" w:sz="4" w:space="0" w:color="auto"/>
              <w:right w:val="single" w:sz="4" w:space="0" w:color="auto"/>
            </w:tcBorders>
            <w:shd w:val="clear" w:color="auto" w:fill="auto"/>
            <w:noWrap/>
            <w:hideMark/>
          </w:tcPr>
          <w:p w14:paraId="3C757115" w14:textId="77777777" w:rsidR="00CB4053" w:rsidRPr="00F6116C" w:rsidRDefault="00CB4053" w:rsidP="00EE18A4">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F6116C">
              <w:rPr>
                <w:rFonts w:ascii="Arial" w:hAnsi="Arial" w:cs="Arial"/>
                <w:color w:val="000000"/>
                <w:sz w:val="18"/>
                <w:szCs w:val="18"/>
              </w:rPr>
              <w:t>426.000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hideMark/>
          </w:tcPr>
          <w:p w14:paraId="00801829" w14:textId="77777777" w:rsidR="00CB4053" w:rsidRPr="00F6116C" w:rsidRDefault="00CB4053" w:rsidP="00EE18A4">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F6116C">
              <w:rPr>
                <w:rFonts w:ascii="Arial" w:hAnsi="Arial" w:cs="Arial"/>
                <w:color w:val="000000"/>
                <w:sz w:val="18"/>
                <w:szCs w:val="18"/>
              </w:rPr>
              <w:t>446.230</w:t>
            </w:r>
          </w:p>
        </w:tc>
        <w:tc>
          <w:tcPr>
            <w:tcW w:w="990" w:type="dxa"/>
            <w:tcBorders>
              <w:top w:val="single" w:sz="4" w:space="0" w:color="auto"/>
              <w:left w:val="single" w:sz="4" w:space="0" w:color="auto"/>
              <w:bottom w:val="single" w:sz="4" w:space="0" w:color="auto"/>
              <w:right w:val="single" w:sz="4" w:space="0" w:color="auto"/>
            </w:tcBorders>
            <w:shd w:val="clear" w:color="auto" w:fill="auto"/>
            <w:noWrap/>
            <w:hideMark/>
          </w:tcPr>
          <w:p w14:paraId="4D2B9517" w14:textId="77777777" w:rsidR="00CB4053" w:rsidRPr="00F6116C" w:rsidRDefault="00CB4053" w:rsidP="00EE18A4">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F6116C">
              <w:rPr>
                <w:rFonts w:ascii="Arial" w:hAnsi="Arial" w:cs="Arial"/>
                <w:color w:val="000000"/>
                <w:sz w:val="18"/>
                <w:szCs w:val="18"/>
              </w:rPr>
              <w:t>0,95</w:t>
            </w:r>
          </w:p>
        </w:tc>
      </w:tr>
      <w:tr w:rsidR="00CB4053" w:rsidRPr="005C28D4" w14:paraId="0FF852B7" w14:textId="77777777" w:rsidTr="00EE18A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3060" w:type="dxa"/>
            <w:tcBorders>
              <w:top w:val="single" w:sz="4" w:space="0" w:color="auto"/>
              <w:left w:val="single" w:sz="4" w:space="0" w:color="auto"/>
              <w:bottom w:val="single" w:sz="4" w:space="0" w:color="auto"/>
              <w:right w:val="single" w:sz="4" w:space="0" w:color="auto"/>
            </w:tcBorders>
            <w:shd w:val="clear" w:color="auto" w:fill="auto"/>
            <w:noWrap/>
            <w:hideMark/>
          </w:tcPr>
          <w:p w14:paraId="4BD4250A" w14:textId="77777777" w:rsidR="00CB4053" w:rsidRPr="00F6116C" w:rsidRDefault="00CB4053" w:rsidP="00EE18A4">
            <w:pPr>
              <w:rPr>
                <w:rFonts w:ascii="Arial" w:hAnsi="Arial" w:cs="Arial"/>
                <w:color w:val="000000"/>
                <w:sz w:val="18"/>
                <w:szCs w:val="18"/>
              </w:rPr>
            </w:pPr>
            <w:r w:rsidRPr="00F6116C">
              <w:rPr>
                <w:rFonts w:ascii="Arial" w:hAnsi="Arial" w:cs="Arial"/>
                <w:color w:val="000000"/>
                <w:sz w:val="18"/>
                <w:szCs w:val="18"/>
              </w:rPr>
              <w:t>CNPC</w:t>
            </w:r>
          </w:p>
        </w:tc>
        <w:tc>
          <w:tcPr>
            <w:tcW w:w="2070" w:type="dxa"/>
            <w:tcBorders>
              <w:top w:val="single" w:sz="4" w:space="0" w:color="auto"/>
              <w:left w:val="single" w:sz="4" w:space="0" w:color="auto"/>
              <w:bottom w:val="single" w:sz="4" w:space="0" w:color="auto"/>
              <w:right w:val="single" w:sz="4" w:space="0" w:color="auto"/>
            </w:tcBorders>
            <w:shd w:val="clear" w:color="auto" w:fill="auto"/>
            <w:noWrap/>
            <w:hideMark/>
          </w:tcPr>
          <w:p w14:paraId="249DCE72" w14:textId="77777777" w:rsidR="00CB4053" w:rsidRPr="00F6116C" w:rsidRDefault="00CB4053" w:rsidP="00EE18A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F6116C">
              <w:rPr>
                <w:rFonts w:ascii="Arial" w:hAnsi="Arial" w:cs="Arial"/>
                <w:color w:val="000000"/>
                <w:sz w:val="18"/>
                <w:szCs w:val="18"/>
              </w:rPr>
              <w:t>346.000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hideMark/>
          </w:tcPr>
          <w:p w14:paraId="5505AEC6" w14:textId="77777777" w:rsidR="00CB4053" w:rsidRPr="00F6116C" w:rsidRDefault="00CB4053" w:rsidP="00EE18A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F6116C">
              <w:rPr>
                <w:rFonts w:ascii="Arial" w:hAnsi="Arial" w:cs="Arial"/>
                <w:color w:val="000000"/>
                <w:sz w:val="18"/>
                <w:szCs w:val="18"/>
              </w:rPr>
              <w:t>494.300</w:t>
            </w:r>
          </w:p>
        </w:tc>
        <w:tc>
          <w:tcPr>
            <w:tcW w:w="990" w:type="dxa"/>
            <w:tcBorders>
              <w:top w:val="single" w:sz="4" w:space="0" w:color="auto"/>
              <w:left w:val="single" w:sz="4" w:space="0" w:color="auto"/>
              <w:bottom w:val="single" w:sz="4" w:space="0" w:color="auto"/>
              <w:right w:val="single" w:sz="4" w:space="0" w:color="auto"/>
            </w:tcBorders>
            <w:shd w:val="clear" w:color="auto" w:fill="auto"/>
            <w:noWrap/>
            <w:hideMark/>
          </w:tcPr>
          <w:p w14:paraId="560EC715" w14:textId="77777777" w:rsidR="00CB4053" w:rsidRPr="00F6116C" w:rsidRDefault="00CB4053" w:rsidP="00EE18A4">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F6116C">
              <w:rPr>
                <w:rFonts w:ascii="Arial" w:hAnsi="Arial" w:cs="Arial"/>
                <w:color w:val="000000"/>
                <w:sz w:val="18"/>
                <w:szCs w:val="18"/>
              </w:rPr>
              <w:t>0,70</w:t>
            </w:r>
          </w:p>
        </w:tc>
      </w:tr>
      <w:tr w:rsidR="00CB4053" w:rsidRPr="005C28D4" w14:paraId="2E6F858D" w14:textId="77777777" w:rsidTr="00EE18A4">
        <w:trPr>
          <w:trHeight w:val="288"/>
        </w:trPr>
        <w:tc>
          <w:tcPr>
            <w:cnfStyle w:val="001000000000" w:firstRow="0" w:lastRow="0" w:firstColumn="1" w:lastColumn="0" w:oddVBand="0" w:evenVBand="0" w:oddHBand="0" w:evenHBand="0" w:firstRowFirstColumn="0" w:firstRowLastColumn="0" w:lastRowFirstColumn="0" w:lastRowLastColumn="0"/>
            <w:tcW w:w="3060" w:type="dxa"/>
            <w:tcBorders>
              <w:top w:val="single" w:sz="4" w:space="0" w:color="auto"/>
              <w:left w:val="single" w:sz="4" w:space="0" w:color="auto"/>
              <w:bottom w:val="single" w:sz="4" w:space="0" w:color="auto"/>
              <w:right w:val="single" w:sz="4" w:space="0" w:color="auto"/>
            </w:tcBorders>
            <w:shd w:val="clear" w:color="auto" w:fill="auto"/>
            <w:noWrap/>
            <w:hideMark/>
          </w:tcPr>
          <w:p w14:paraId="4489E10A" w14:textId="77777777" w:rsidR="00CB4053" w:rsidRPr="00F6116C" w:rsidRDefault="00CB4053" w:rsidP="00EE18A4">
            <w:pPr>
              <w:rPr>
                <w:rFonts w:ascii="Arial" w:hAnsi="Arial" w:cs="Arial"/>
                <w:color w:val="000000"/>
                <w:sz w:val="18"/>
                <w:szCs w:val="18"/>
              </w:rPr>
            </w:pPr>
            <w:r w:rsidRPr="00F6116C">
              <w:rPr>
                <w:rFonts w:ascii="Arial" w:hAnsi="Arial" w:cs="Arial"/>
                <w:color w:val="000000"/>
                <w:sz w:val="18"/>
                <w:szCs w:val="18"/>
              </w:rPr>
              <w:t>Rosneft</w:t>
            </w:r>
          </w:p>
        </w:tc>
        <w:tc>
          <w:tcPr>
            <w:tcW w:w="2070" w:type="dxa"/>
            <w:tcBorders>
              <w:top w:val="single" w:sz="4" w:space="0" w:color="auto"/>
              <w:left w:val="single" w:sz="4" w:space="0" w:color="auto"/>
              <w:bottom w:val="single" w:sz="4" w:space="0" w:color="auto"/>
              <w:right w:val="single" w:sz="4" w:space="0" w:color="auto"/>
            </w:tcBorders>
            <w:shd w:val="clear" w:color="auto" w:fill="auto"/>
            <w:noWrap/>
            <w:hideMark/>
          </w:tcPr>
          <w:p w14:paraId="788B1D10" w14:textId="77777777" w:rsidR="00CB4053" w:rsidRPr="00F6116C" w:rsidRDefault="00CB4053" w:rsidP="00EE18A4">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F6116C">
              <w:rPr>
                <w:rFonts w:ascii="Arial" w:hAnsi="Arial" w:cs="Arial"/>
                <w:color w:val="000000"/>
                <w:sz w:val="18"/>
                <w:szCs w:val="18"/>
              </w:rPr>
              <w:t>133.700</w:t>
            </w:r>
          </w:p>
        </w:tc>
        <w:tc>
          <w:tcPr>
            <w:tcW w:w="1350" w:type="dxa"/>
            <w:tcBorders>
              <w:top w:val="single" w:sz="4" w:space="0" w:color="auto"/>
              <w:left w:val="single" w:sz="4" w:space="0" w:color="auto"/>
              <w:bottom w:val="single" w:sz="4" w:space="0" w:color="auto"/>
              <w:right w:val="single" w:sz="4" w:space="0" w:color="auto"/>
            </w:tcBorders>
            <w:shd w:val="clear" w:color="auto" w:fill="auto"/>
            <w:noWrap/>
            <w:hideMark/>
          </w:tcPr>
          <w:p w14:paraId="0BE6E640" w14:textId="77777777" w:rsidR="00CB4053" w:rsidRPr="00F6116C" w:rsidRDefault="00CB4053" w:rsidP="00EE18A4">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F6116C">
              <w:rPr>
                <w:rFonts w:ascii="Arial" w:hAnsi="Arial" w:cs="Arial"/>
                <w:color w:val="000000"/>
                <w:sz w:val="18"/>
                <w:szCs w:val="18"/>
              </w:rPr>
              <w:t>261.000</w:t>
            </w:r>
          </w:p>
        </w:tc>
        <w:tc>
          <w:tcPr>
            <w:tcW w:w="990" w:type="dxa"/>
            <w:tcBorders>
              <w:top w:val="single" w:sz="4" w:space="0" w:color="auto"/>
              <w:left w:val="single" w:sz="4" w:space="0" w:color="auto"/>
              <w:bottom w:val="single" w:sz="4" w:space="0" w:color="auto"/>
              <w:right w:val="single" w:sz="4" w:space="0" w:color="auto"/>
            </w:tcBorders>
            <w:shd w:val="clear" w:color="auto" w:fill="auto"/>
            <w:noWrap/>
            <w:hideMark/>
          </w:tcPr>
          <w:p w14:paraId="341BED68" w14:textId="77777777" w:rsidR="00CB4053" w:rsidRPr="00F6116C" w:rsidRDefault="00CB4053" w:rsidP="00EE18A4">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F6116C">
              <w:rPr>
                <w:rFonts w:ascii="Arial" w:hAnsi="Arial" w:cs="Arial"/>
                <w:color w:val="000000"/>
                <w:sz w:val="18"/>
                <w:szCs w:val="18"/>
              </w:rPr>
              <w:t>0,51</w:t>
            </w:r>
          </w:p>
        </w:tc>
      </w:tr>
    </w:tbl>
    <w:p w14:paraId="076332BD" w14:textId="77777777" w:rsidR="00CB4053" w:rsidRPr="00520792" w:rsidRDefault="00CB4053" w:rsidP="00CB4053">
      <w:pPr>
        <w:pStyle w:val="Paragraph"/>
        <w:numPr>
          <w:ilvl w:val="1"/>
          <w:numId w:val="36"/>
        </w:numPr>
        <w:rPr>
          <w:rFonts w:ascii="Arial" w:hAnsi="Arial" w:cs="Arial"/>
          <w:sz w:val="22"/>
          <w:szCs w:val="22"/>
        </w:rPr>
      </w:pPr>
      <w:r w:rsidRPr="009B2848">
        <w:rPr>
          <w:rFonts w:ascii="Arial" w:hAnsi="Arial" w:cs="Arial"/>
          <w:sz w:val="18"/>
          <w:szCs w:val="22"/>
          <w:lang w:val="es-ES_tradnl"/>
        </w:rPr>
        <w:t xml:space="preserve">Fuente: </w:t>
      </w:r>
      <w:proofErr w:type="gramStart"/>
      <w:r w:rsidRPr="000764D5">
        <w:rPr>
          <w:rFonts w:ascii="Arial" w:hAnsi="Arial" w:cs="Arial"/>
          <w:i/>
          <w:sz w:val="18"/>
          <w:szCs w:val="22"/>
          <w:lang w:val="es-ES_tradnl"/>
        </w:rPr>
        <w:t>Offshore</w:t>
      </w:r>
      <w:proofErr w:type="gramEnd"/>
      <w:r w:rsidRPr="000764D5">
        <w:rPr>
          <w:rFonts w:ascii="Arial" w:hAnsi="Arial" w:cs="Arial"/>
          <w:i/>
          <w:sz w:val="18"/>
          <w:szCs w:val="22"/>
          <w:lang w:val="es-ES_tradnl"/>
        </w:rPr>
        <w:t xml:space="preserve"> Technology</w:t>
      </w:r>
      <w:r w:rsidRPr="009B2848">
        <w:rPr>
          <w:rFonts w:ascii="Arial" w:hAnsi="Arial" w:cs="Arial"/>
          <w:sz w:val="18"/>
          <w:szCs w:val="22"/>
          <w:lang w:val="es-ES_tradnl"/>
        </w:rPr>
        <w:t xml:space="preserve"> (2019), Sitios Web de las Empresas.</w:t>
      </w:r>
    </w:p>
    <w:p w14:paraId="6659DD63" w14:textId="50A7CC85" w:rsidR="008F6E6D" w:rsidRPr="00F85253" w:rsidRDefault="00CB4053" w:rsidP="000E3C5E">
      <w:pPr>
        <w:pStyle w:val="Paragraph"/>
        <w:numPr>
          <w:ilvl w:val="2"/>
          <w:numId w:val="34"/>
        </w:numPr>
        <w:tabs>
          <w:tab w:val="clear" w:pos="1152"/>
        </w:tabs>
        <w:ind w:left="1170" w:hanging="180"/>
        <w:rPr>
          <w:rFonts w:ascii="Arial" w:hAnsi="Arial" w:cs="Arial"/>
          <w:sz w:val="22"/>
          <w:szCs w:val="22"/>
        </w:rPr>
      </w:pPr>
      <w:r w:rsidRPr="00CB4053">
        <w:rPr>
          <w:rFonts w:ascii="Arial" w:hAnsi="Arial" w:cs="Arial"/>
          <w:sz w:val="22"/>
          <w:szCs w:val="22"/>
        </w:rPr>
        <w:t xml:space="preserve">Posibles dificultades en la implementación de la reforma debido a resistencias del personal afectado por los cambios y de resistencia de la ciudadanía en general, debido </w:t>
      </w:r>
      <w:r>
        <w:rPr>
          <w:rFonts w:ascii="Arial" w:hAnsi="Arial" w:cs="Arial"/>
          <w:sz w:val="22"/>
          <w:szCs w:val="22"/>
          <w:lang w:val="es-ES_tradnl"/>
        </w:rPr>
        <w:t>al d</w:t>
      </w:r>
      <w:r w:rsidRPr="00520792">
        <w:rPr>
          <w:rFonts w:ascii="Arial" w:hAnsi="Arial" w:cs="Arial"/>
          <w:sz w:val="22"/>
          <w:szCs w:val="22"/>
          <w:lang w:val="es-ES_tradnl"/>
        </w:rPr>
        <w:t xml:space="preserve">esconocimiento de los objetivos de la reforma de </w:t>
      </w:r>
      <w:r>
        <w:rPr>
          <w:rFonts w:ascii="Arial" w:hAnsi="Arial" w:cs="Arial"/>
          <w:sz w:val="22"/>
          <w:szCs w:val="22"/>
          <w:lang w:val="es-ES_tradnl"/>
        </w:rPr>
        <w:t>EEPP</w:t>
      </w:r>
      <w:r w:rsidRPr="00520792">
        <w:rPr>
          <w:rFonts w:ascii="Arial" w:hAnsi="Arial" w:cs="Arial"/>
          <w:sz w:val="22"/>
          <w:szCs w:val="22"/>
          <w:lang w:val="es-ES_tradnl"/>
        </w:rPr>
        <w:t xml:space="preserve"> y sus beneficios p</w:t>
      </w:r>
      <w:r>
        <w:rPr>
          <w:rFonts w:ascii="Arial" w:hAnsi="Arial" w:cs="Arial"/>
          <w:sz w:val="22"/>
          <w:szCs w:val="22"/>
          <w:lang w:val="es-ES_tradnl"/>
        </w:rPr>
        <w:t xml:space="preserve">ara </w:t>
      </w:r>
      <w:r w:rsidRPr="00520792">
        <w:rPr>
          <w:rFonts w:ascii="Arial" w:hAnsi="Arial" w:cs="Arial"/>
          <w:sz w:val="22"/>
          <w:szCs w:val="22"/>
          <w:lang w:val="es-ES_tradnl"/>
        </w:rPr>
        <w:t xml:space="preserve">las </w:t>
      </w:r>
      <w:r>
        <w:rPr>
          <w:rFonts w:ascii="Arial" w:hAnsi="Arial" w:cs="Arial"/>
          <w:sz w:val="22"/>
          <w:szCs w:val="22"/>
          <w:lang w:val="es-ES_tradnl"/>
        </w:rPr>
        <w:t>EEPP</w:t>
      </w:r>
      <w:r w:rsidRPr="00520792">
        <w:rPr>
          <w:rFonts w:ascii="Arial" w:hAnsi="Arial" w:cs="Arial"/>
          <w:sz w:val="22"/>
          <w:szCs w:val="22"/>
          <w:lang w:val="es-ES_tradnl"/>
        </w:rPr>
        <w:t xml:space="preserve">, </w:t>
      </w:r>
      <w:r>
        <w:rPr>
          <w:rFonts w:ascii="Arial" w:hAnsi="Arial" w:cs="Arial"/>
          <w:sz w:val="22"/>
          <w:szCs w:val="22"/>
          <w:lang w:val="es-ES_tradnl"/>
        </w:rPr>
        <w:t xml:space="preserve">el Estado y la </w:t>
      </w:r>
      <w:r w:rsidRPr="00783DD7">
        <w:rPr>
          <w:rFonts w:ascii="Arial" w:hAnsi="Arial" w:cs="Arial"/>
          <w:sz w:val="22"/>
          <w:szCs w:val="22"/>
          <w:lang w:val="es-ES_tradnl"/>
        </w:rPr>
        <w:t>ciudadanía</w:t>
      </w:r>
      <w:r>
        <w:rPr>
          <w:rFonts w:ascii="Arial" w:hAnsi="Arial" w:cs="Arial"/>
          <w:sz w:val="22"/>
          <w:szCs w:val="22"/>
          <w:lang w:val="es-ES_tradnl"/>
        </w:rPr>
        <w:t xml:space="preserve"> en general</w:t>
      </w:r>
      <w:bookmarkEnd w:id="10"/>
      <w:r>
        <w:rPr>
          <w:rFonts w:ascii="Arial" w:hAnsi="Arial" w:cs="Arial"/>
          <w:sz w:val="22"/>
          <w:szCs w:val="22"/>
          <w:lang w:val="es-ES_tradnl"/>
        </w:rPr>
        <w:t>.</w:t>
      </w:r>
    </w:p>
    <w:p w14:paraId="71615C3C" w14:textId="77777777" w:rsidR="004C30E5" w:rsidRPr="00F85253" w:rsidRDefault="004C30E5" w:rsidP="00477855">
      <w:pPr>
        <w:pStyle w:val="Compact"/>
        <w:spacing w:before="0" w:after="0" w:line="276" w:lineRule="auto"/>
        <w:ind w:left="1134"/>
        <w:jc w:val="both"/>
        <w:rPr>
          <w:rFonts w:ascii="Arial" w:hAnsi="Arial" w:cs="Arial"/>
          <w:sz w:val="22"/>
          <w:szCs w:val="22"/>
          <w:lang w:val="es-ES"/>
        </w:rPr>
      </w:pPr>
    </w:p>
    <w:p w14:paraId="5CE21CB8" w14:textId="77777777" w:rsidR="00811128" w:rsidRPr="00F85253" w:rsidRDefault="00811128" w:rsidP="00477855">
      <w:pPr>
        <w:pStyle w:val="Compact"/>
        <w:spacing w:before="0" w:after="0" w:line="276" w:lineRule="auto"/>
        <w:ind w:left="1134"/>
        <w:jc w:val="both"/>
        <w:rPr>
          <w:rFonts w:ascii="Arial" w:hAnsi="Arial" w:cs="Arial"/>
          <w:sz w:val="22"/>
          <w:szCs w:val="22"/>
          <w:lang w:val="es-ES"/>
        </w:rPr>
      </w:pPr>
    </w:p>
    <w:p w14:paraId="355FC3A5" w14:textId="77777777" w:rsidR="00F10D9A" w:rsidRPr="00F85253" w:rsidRDefault="007E781F" w:rsidP="001E4112">
      <w:pPr>
        <w:pStyle w:val="Chapter"/>
        <w:numPr>
          <w:ilvl w:val="0"/>
          <w:numId w:val="2"/>
        </w:numPr>
        <w:spacing w:before="0" w:after="0" w:line="276" w:lineRule="auto"/>
        <w:ind w:left="900" w:hanging="792"/>
        <w:jc w:val="both"/>
        <w:outlineLvl w:val="0"/>
        <w:rPr>
          <w:rFonts w:ascii="Arial" w:hAnsi="Arial" w:cs="Arial"/>
          <w:sz w:val="22"/>
          <w:szCs w:val="22"/>
          <w:lang w:val="es-ES_tradnl"/>
        </w:rPr>
      </w:pPr>
      <w:bookmarkStart w:id="12" w:name="_Toc518739332"/>
      <w:r w:rsidRPr="00F85253">
        <w:rPr>
          <w:rFonts w:ascii="Arial" w:hAnsi="Arial" w:cs="Arial"/>
          <w:sz w:val="22"/>
          <w:szCs w:val="22"/>
          <w:lang w:val="es-ES_tradnl"/>
        </w:rPr>
        <w:t>Soluciones propuestas</w:t>
      </w:r>
      <w:bookmarkEnd w:id="12"/>
    </w:p>
    <w:p w14:paraId="35E1561A" w14:textId="77777777" w:rsidR="00D665D8" w:rsidRPr="00F85253" w:rsidRDefault="00D665D8" w:rsidP="000B2BC8">
      <w:pPr>
        <w:pStyle w:val="Paragraph"/>
        <w:spacing w:before="0" w:after="0" w:line="276" w:lineRule="auto"/>
        <w:ind w:left="720"/>
        <w:outlineLvl w:val="9"/>
        <w:rPr>
          <w:rFonts w:ascii="Arial" w:hAnsi="Arial" w:cs="Arial"/>
          <w:b/>
          <w:sz w:val="22"/>
          <w:szCs w:val="22"/>
          <w:lang w:val="es-ES_tradnl"/>
        </w:rPr>
      </w:pPr>
      <w:bookmarkStart w:id="13" w:name="_Hlk511383983"/>
    </w:p>
    <w:p w14:paraId="20B0F006" w14:textId="6AF7ECF6" w:rsidR="002560FB" w:rsidRPr="00F85253" w:rsidRDefault="003A5E1F" w:rsidP="001E4112">
      <w:pPr>
        <w:pStyle w:val="Paragraph"/>
        <w:numPr>
          <w:ilvl w:val="1"/>
          <w:numId w:val="2"/>
        </w:numPr>
        <w:tabs>
          <w:tab w:val="clear" w:pos="1296"/>
          <w:tab w:val="num" w:pos="720"/>
        </w:tabs>
        <w:spacing w:before="0" w:after="0" w:line="276" w:lineRule="auto"/>
        <w:ind w:left="720" w:hanging="720"/>
        <w:outlineLvl w:val="9"/>
        <w:rPr>
          <w:rFonts w:ascii="Arial" w:hAnsi="Arial" w:cs="Arial"/>
          <w:b/>
          <w:sz w:val="22"/>
          <w:szCs w:val="22"/>
          <w:lang w:val="es-ES_tradnl"/>
        </w:rPr>
      </w:pPr>
      <w:r w:rsidRPr="00F85253">
        <w:rPr>
          <w:rFonts w:ascii="Arial" w:hAnsi="Arial" w:cs="Arial"/>
          <w:sz w:val="22"/>
          <w:szCs w:val="22"/>
          <w:lang w:val="es-ES_tradnl"/>
        </w:rPr>
        <w:t xml:space="preserve">El objetivo general es </w:t>
      </w:r>
      <w:r w:rsidR="002560FB" w:rsidRPr="00F85253">
        <w:rPr>
          <w:rFonts w:ascii="Arial" w:hAnsi="Arial" w:cs="Arial"/>
          <w:sz w:val="22"/>
          <w:szCs w:val="22"/>
          <w:lang w:val="es-ES_tradnl"/>
        </w:rPr>
        <w:t xml:space="preserve">reducir la carga fiscal para el estado, derivada de la propiedad de empresas públicas. Los objetivos específicos son: (i) incrementar el número de </w:t>
      </w:r>
      <w:r w:rsidR="0023565F" w:rsidRPr="00F85253">
        <w:rPr>
          <w:rFonts w:ascii="Arial" w:hAnsi="Arial" w:cs="Arial"/>
          <w:sz w:val="22"/>
          <w:szCs w:val="22"/>
          <w:lang w:val="es-ES_tradnl"/>
        </w:rPr>
        <w:t>EEPP</w:t>
      </w:r>
      <w:r w:rsidR="002560FB" w:rsidRPr="00F85253">
        <w:rPr>
          <w:rFonts w:ascii="Arial" w:hAnsi="Arial" w:cs="Arial"/>
          <w:sz w:val="22"/>
          <w:szCs w:val="22"/>
          <w:lang w:val="es-ES_tradnl"/>
        </w:rPr>
        <w:t xml:space="preserve"> alineadas a los principios de gobernanza corporativa de la O</w:t>
      </w:r>
      <w:r w:rsidR="004C30E5" w:rsidRPr="00F85253">
        <w:rPr>
          <w:rFonts w:ascii="Arial" w:hAnsi="Arial" w:cs="Arial"/>
          <w:sz w:val="22"/>
          <w:szCs w:val="22"/>
          <w:lang w:val="es-ES_tradnl"/>
        </w:rPr>
        <w:t>ECD</w:t>
      </w:r>
      <w:r w:rsidR="002560FB" w:rsidRPr="00F85253">
        <w:rPr>
          <w:rFonts w:ascii="Arial" w:hAnsi="Arial" w:cs="Arial"/>
          <w:sz w:val="22"/>
          <w:szCs w:val="22"/>
          <w:lang w:val="es-ES_tradnl"/>
        </w:rPr>
        <w:t xml:space="preserve">; incluyendo una gobernanza fiscal análoga a la del sector privado; y, (ii) aumentar la eficiencia de las </w:t>
      </w:r>
      <w:r w:rsidR="0023565F" w:rsidRPr="00F85253">
        <w:rPr>
          <w:rFonts w:ascii="Arial" w:hAnsi="Arial" w:cs="Arial"/>
          <w:sz w:val="22"/>
          <w:szCs w:val="22"/>
          <w:lang w:val="es-ES_tradnl"/>
        </w:rPr>
        <w:t>EEPP</w:t>
      </w:r>
      <w:r w:rsidR="002560FB" w:rsidRPr="00F85253">
        <w:rPr>
          <w:rFonts w:ascii="Arial" w:hAnsi="Arial" w:cs="Arial"/>
          <w:sz w:val="22"/>
          <w:szCs w:val="22"/>
          <w:lang w:val="es-ES_tradnl"/>
        </w:rPr>
        <w:t xml:space="preserve"> de</w:t>
      </w:r>
      <w:r w:rsidR="008155D4" w:rsidRPr="00F85253">
        <w:rPr>
          <w:rFonts w:ascii="Arial" w:hAnsi="Arial" w:cs="Arial"/>
          <w:sz w:val="22"/>
          <w:szCs w:val="22"/>
          <w:lang w:val="es-ES_tradnl"/>
        </w:rPr>
        <w:t xml:space="preserve"> </w:t>
      </w:r>
      <w:r w:rsidR="002560FB" w:rsidRPr="00F85253">
        <w:rPr>
          <w:rFonts w:ascii="Arial" w:hAnsi="Arial" w:cs="Arial"/>
          <w:sz w:val="22"/>
          <w:szCs w:val="22"/>
          <w:lang w:val="es-ES_tradnl"/>
        </w:rPr>
        <w:t>l</w:t>
      </w:r>
      <w:r w:rsidR="008155D4" w:rsidRPr="00F85253">
        <w:rPr>
          <w:rFonts w:ascii="Arial" w:hAnsi="Arial" w:cs="Arial"/>
          <w:sz w:val="22"/>
          <w:szCs w:val="22"/>
          <w:lang w:val="es-ES_tradnl"/>
        </w:rPr>
        <w:t>os</w:t>
      </w:r>
      <w:r w:rsidR="002560FB" w:rsidRPr="00F85253">
        <w:rPr>
          <w:rFonts w:ascii="Arial" w:hAnsi="Arial" w:cs="Arial"/>
          <w:sz w:val="22"/>
          <w:szCs w:val="22"/>
          <w:lang w:val="es-ES_tradnl"/>
        </w:rPr>
        <w:t xml:space="preserve"> sector</w:t>
      </w:r>
      <w:r w:rsidR="008155D4" w:rsidRPr="00F85253">
        <w:rPr>
          <w:rFonts w:ascii="Arial" w:hAnsi="Arial" w:cs="Arial"/>
          <w:sz w:val="22"/>
          <w:szCs w:val="22"/>
          <w:lang w:val="es-ES_tradnl"/>
        </w:rPr>
        <w:t>es</w:t>
      </w:r>
      <w:r w:rsidR="002560FB" w:rsidRPr="00F85253">
        <w:rPr>
          <w:rFonts w:ascii="Arial" w:hAnsi="Arial" w:cs="Arial"/>
          <w:sz w:val="22"/>
          <w:szCs w:val="22"/>
          <w:lang w:val="es-ES_tradnl"/>
        </w:rPr>
        <w:t xml:space="preserve"> de </w:t>
      </w:r>
      <w:r w:rsidR="008B0BF6" w:rsidRPr="00824032">
        <w:rPr>
          <w:rFonts w:ascii="Arial" w:hAnsi="Arial" w:cs="Arial"/>
          <w:sz w:val="22"/>
          <w:szCs w:val="22"/>
        </w:rPr>
        <w:t>hidrocarburos, eléctrico</w:t>
      </w:r>
      <w:r w:rsidR="004B3D30" w:rsidRPr="00F85253">
        <w:rPr>
          <w:rFonts w:ascii="Arial" w:hAnsi="Arial" w:cs="Arial"/>
          <w:sz w:val="22"/>
          <w:szCs w:val="22"/>
          <w:lang w:val="es-ES_tradnl"/>
        </w:rPr>
        <w:t xml:space="preserve"> y aeronáutico</w:t>
      </w:r>
      <w:r w:rsidR="002560FB" w:rsidRPr="00F85253">
        <w:rPr>
          <w:rFonts w:ascii="Arial" w:hAnsi="Arial" w:cs="Arial"/>
          <w:sz w:val="22"/>
          <w:szCs w:val="22"/>
          <w:lang w:val="es-ES_tradnl"/>
        </w:rPr>
        <w:t>.</w:t>
      </w:r>
    </w:p>
    <w:p w14:paraId="3EF4E215" w14:textId="77777777" w:rsidR="004D0889" w:rsidRPr="00F85253" w:rsidRDefault="004D0889" w:rsidP="001E4112">
      <w:pPr>
        <w:pStyle w:val="Paragraph"/>
        <w:spacing w:before="0" w:after="0" w:line="276" w:lineRule="auto"/>
        <w:ind w:left="720"/>
        <w:outlineLvl w:val="9"/>
        <w:rPr>
          <w:rFonts w:ascii="Arial" w:hAnsi="Arial" w:cs="Arial"/>
          <w:b/>
          <w:sz w:val="22"/>
          <w:szCs w:val="22"/>
          <w:lang w:val="es-ES_tradnl"/>
        </w:rPr>
      </w:pPr>
    </w:p>
    <w:p w14:paraId="09F5FAEE" w14:textId="77777777" w:rsidR="00CB4053" w:rsidRPr="00E908CF" w:rsidRDefault="00CB4053" w:rsidP="00CB4053">
      <w:pPr>
        <w:pStyle w:val="Paragraph"/>
        <w:numPr>
          <w:ilvl w:val="1"/>
          <w:numId w:val="34"/>
        </w:numPr>
        <w:tabs>
          <w:tab w:val="clear" w:pos="2736"/>
        </w:tabs>
        <w:ind w:left="720" w:hanging="720"/>
        <w:rPr>
          <w:rFonts w:ascii="Arial" w:hAnsi="Arial" w:cs="Arial"/>
          <w:sz w:val="22"/>
          <w:szCs w:val="22"/>
        </w:rPr>
      </w:pPr>
      <w:bookmarkStart w:id="14" w:name="_Hlk525578881"/>
      <w:r w:rsidRPr="00E908CF">
        <w:rPr>
          <w:rFonts w:ascii="Arial" w:hAnsi="Arial" w:cs="Arial"/>
          <w:b/>
          <w:sz w:val="22"/>
          <w:szCs w:val="22"/>
        </w:rPr>
        <w:t>Componente 1. Fortalecimiento del Marco de Gobernanza Corporativa y Fiscal de las EEPP (US$4,6 millones)</w:t>
      </w:r>
      <w:r w:rsidRPr="00E908CF">
        <w:rPr>
          <w:rFonts w:ascii="Arial" w:hAnsi="Arial" w:cs="Arial"/>
          <w:sz w:val="22"/>
          <w:szCs w:val="22"/>
        </w:rPr>
        <w:t xml:space="preserve">. </w:t>
      </w:r>
      <w:bookmarkStart w:id="15" w:name="_Hlk526446607"/>
    </w:p>
    <w:bookmarkEnd w:id="14"/>
    <w:bookmarkEnd w:id="15"/>
    <w:p w14:paraId="3CA81FAE" w14:textId="6F58EC9E" w:rsidR="00CB4053" w:rsidRPr="00282623" w:rsidRDefault="00CB4053" w:rsidP="000E3C5E">
      <w:pPr>
        <w:pStyle w:val="subpar"/>
        <w:numPr>
          <w:ilvl w:val="2"/>
          <w:numId w:val="39"/>
        </w:numPr>
        <w:rPr>
          <w:rFonts w:ascii="Arial" w:eastAsia="Arial" w:hAnsi="Arial" w:cs="Arial"/>
          <w:bCs/>
          <w:sz w:val="22"/>
          <w:szCs w:val="22"/>
        </w:rPr>
      </w:pPr>
      <w:r>
        <w:rPr>
          <w:rFonts w:ascii="Arial" w:eastAsia="Arial" w:hAnsi="Arial" w:cs="Arial"/>
          <w:b/>
          <w:sz w:val="22"/>
          <w:szCs w:val="22"/>
        </w:rPr>
        <w:t>Subcomponente 1.1. Mejora e implementación</w:t>
      </w:r>
      <w:r w:rsidRPr="00282623">
        <w:rPr>
          <w:rFonts w:ascii="Arial" w:eastAsia="Arial" w:hAnsi="Arial" w:cs="Arial"/>
          <w:b/>
          <w:sz w:val="22"/>
          <w:szCs w:val="22"/>
        </w:rPr>
        <w:t xml:space="preserve"> del marco normativo</w:t>
      </w:r>
      <w:r w:rsidRPr="00282623">
        <w:rPr>
          <w:rFonts w:ascii="Arial" w:hAnsi="Arial" w:cs="Arial"/>
          <w:b/>
          <w:sz w:val="22"/>
          <w:szCs w:val="22"/>
        </w:rPr>
        <w:t xml:space="preserve">. </w:t>
      </w:r>
      <w:r w:rsidRPr="00282623">
        <w:rPr>
          <w:rFonts w:ascii="Arial" w:hAnsi="Arial" w:cs="Arial"/>
          <w:sz w:val="22"/>
          <w:szCs w:val="22"/>
        </w:rPr>
        <w:t xml:space="preserve">(i) </w:t>
      </w:r>
      <w:r>
        <w:rPr>
          <w:rFonts w:ascii="Arial" w:eastAsia="Arial" w:hAnsi="Arial" w:cs="Arial"/>
          <w:sz w:val="22"/>
          <w:szCs w:val="22"/>
          <w:u w:val="single"/>
        </w:rPr>
        <w:t>M</w:t>
      </w:r>
      <w:r w:rsidRPr="00F550E6">
        <w:rPr>
          <w:rFonts w:ascii="Arial" w:eastAsia="Arial" w:hAnsi="Arial" w:cs="Arial"/>
          <w:sz w:val="22"/>
          <w:szCs w:val="22"/>
          <w:u w:val="single"/>
        </w:rPr>
        <w:t>arco normativo</w:t>
      </w:r>
      <w:r>
        <w:rPr>
          <w:rFonts w:ascii="Arial" w:eastAsia="Arial" w:hAnsi="Arial" w:cs="Arial"/>
          <w:sz w:val="22"/>
          <w:szCs w:val="22"/>
          <w:u w:val="single"/>
        </w:rPr>
        <w:t>.</w:t>
      </w:r>
      <w:r w:rsidRPr="00F550E6">
        <w:rPr>
          <w:rFonts w:ascii="Arial" w:eastAsia="Arial" w:hAnsi="Arial" w:cs="Arial"/>
          <w:sz w:val="22"/>
          <w:szCs w:val="22"/>
        </w:rPr>
        <w:t xml:space="preserve"> </w:t>
      </w:r>
      <w:r>
        <w:rPr>
          <w:rFonts w:ascii="Arial" w:hAnsi="Arial" w:cs="Arial"/>
          <w:sz w:val="22"/>
          <w:szCs w:val="22"/>
        </w:rPr>
        <w:t>Se financiará</w:t>
      </w:r>
      <w:r>
        <w:rPr>
          <w:rFonts w:ascii="Arial" w:eastAsia="Arial" w:hAnsi="Arial" w:cs="Arial"/>
          <w:sz w:val="22"/>
          <w:szCs w:val="22"/>
        </w:rPr>
        <w:t>:</w:t>
      </w:r>
      <w:r w:rsidRPr="007A0BD8">
        <w:rPr>
          <w:rFonts w:ascii="Arial" w:eastAsia="Arial" w:hAnsi="Arial" w:cs="Arial"/>
          <w:sz w:val="22"/>
          <w:szCs w:val="22"/>
        </w:rPr>
        <w:t xml:space="preserve"> </w:t>
      </w:r>
      <w:r>
        <w:rPr>
          <w:rFonts w:ascii="Arial" w:eastAsia="Arial" w:hAnsi="Arial" w:cs="Arial"/>
          <w:sz w:val="22"/>
          <w:szCs w:val="22"/>
        </w:rPr>
        <w:t xml:space="preserve">(a) </w:t>
      </w:r>
      <w:r>
        <w:rPr>
          <w:rFonts w:ascii="Arial" w:hAnsi="Arial" w:cs="Arial"/>
          <w:sz w:val="22"/>
          <w:szCs w:val="22"/>
        </w:rPr>
        <w:t>socialización</w:t>
      </w:r>
      <w:r w:rsidRPr="007A0BD8">
        <w:rPr>
          <w:rFonts w:ascii="Arial" w:eastAsia="Arial" w:hAnsi="Arial" w:cs="Arial"/>
          <w:sz w:val="22"/>
          <w:szCs w:val="22"/>
        </w:rPr>
        <w:t xml:space="preserve"> de la nueva</w:t>
      </w:r>
      <w:r>
        <w:rPr>
          <w:rFonts w:ascii="Arial" w:eastAsia="Arial" w:hAnsi="Arial" w:cs="Arial"/>
          <w:sz w:val="22"/>
          <w:szCs w:val="22"/>
        </w:rPr>
        <w:t xml:space="preserve"> </w:t>
      </w:r>
      <w:r w:rsidRPr="00282623">
        <w:rPr>
          <w:rFonts w:ascii="Arial" w:eastAsia="Arial" w:hAnsi="Arial" w:cs="Arial"/>
          <w:sz w:val="22"/>
          <w:szCs w:val="22"/>
        </w:rPr>
        <w:t>LOEP</w:t>
      </w:r>
      <w:r w:rsidRPr="00282623">
        <w:rPr>
          <w:rStyle w:val="FootnoteReference"/>
          <w:rFonts w:ascii="Arial" w:eastAsia="Arial" w:hAnsi="Arial" w:cs="Arial"/>
          <w:sz w:val="22"/>
          <w:szCs w:val="22"/>
        </w:rPr>
        <w:footnoteReference w:id="18"/>
      </w:r>
      <w:r w:rsidRPr="00282623">
        <w:rPr>
          <w:rFonts w:ascii="Arial" w:hAnsi="Arial" w:cs="Arial"/>
          <w:sz w:val="22"/>
          <w:szCs w:val="22"/>
          <w:vertAlign w:val="superscript"/>
        </w:rPr>
        <w:t>,</w:t>
      </w:r>
      <w:r w:rsidRPr="00282623">
        <w:rPr>
          <w:rStyle w:val="FootnoteReference"/>
          <w:rFonts w:ascii="Arial" w:eastAsia="Calibri" w:hAnsi="Arial" w:cs="Arial"/>
          <w:sz w:val="22"/>
          <w:szCs w:val="22"/>
        </w:rPr>
        <w:footnoteReference w:id="19"/>
      </w:r>
      <w:r w:rsidRPr="00282623">
        <w:rPr>
          <w:rFonts w:ascii="Arial" w:hAnsi="Arial" w:cs="Arial"/>
          <w:sz w:val="22"/>
          <w:szCs w:val="22"/>
          <w:vertAlign w:val="superscript"/>
        </w:rPr>
        <w:t>,</w:t>
      </w:r>
      <w:r w:rsidRPr="00282623">
        <w:rPr>
          <w:rStyle w:val="FootnoteReference"/>
          <w:rFonts w:ascii="Arial" w:hAnsi="Arial" w:cs="Arial"/>
          <w:sz w:val="22"/>
          <w:szCs w:val="22"/>
        </w:rPr>
        <w:footnoteReference w:id="20"/>
      </w:r>
      <w:r>
        <w:rPr>
          <w:rFonts w:ascii="Arial" w:eastAsia="Arial" w:hAnsi="Arial" w:cs="Arial"/>
          <w:sz w:val="22"/>
          <w:szCs w:val="22"/>
        </w:rPr>
        <w:t xml:space="preserve">, </w:t>
      </w:r>
      <w:r w:rsidRPr="000C06BC">
        <w:rPr>
          <w:rFonts w:ascii="Arial" w:hAnsi="Arial" w:cs="Arial"/>
          <w:sz w:val="22"/>
          <w:szCs w:val="22"/>
        </w:rPr>
        <w:t xml:space="preserve">incluyendo </w:t>
      </w:r>
      <w:r>
        <w:rPr>
          <w:rFonts w:ascii="Arial" w:hAnsi="Arial" w:cs="Arial"/>
          <w:sz w:val="22"/>
          <w:szCs w:val="22"/>
        </w:rPr>
        <w:t>los</w:t>
      </w:r>
      <w:r>
        <w:rPr>
          <w:rFonts w:ascii="Arial" w:hAnsi="Arial" w:cs="Arial"/>
          <w:bCs/>
          <w:sz w:val="22"/>
          <w:szCs w:val="22"/>
        </w:rPr>
        <w:t xml:space="preserve"> </w:t>
      </w:r>
      <w:r w:rsidRPr="00CC582C">
        <w:rPr>
          <w:rFonts w:ascii="Arial" w:hAnsi="Arial" w:cs="Arial"/>
          <w:bCs/>
          <w:sz w:val="22"/>
          <w:szCs w:val="22"/>
        </w:rPr>
        <w:t xml:space="preserve">objetivos para la participación de mujeres en los consejos directivos de las </w:t>
      </w:r>
      <w:r>
        <w:rPr>
          <w:rFonts w:ascii="Arial" w:hAnsi="Arial" w:cs="Arial"/>
          <w:bCs/>
          <w:sz w:val="22"/>
          <w:szCs w:val="22"/>
        </w:rPr>
        <w:t>EEPP;</w:t>
      </w:r>
      <w:r>
        <w:rPr>
          <w:rFonts w:ascii="Arial" w:eastAsia="Arial" w:hAnsi="Arial" w:cs="Arial"/>
          <w:sz w:val="22"/>
          <w:szCs w:val="22"/>
        </w:rPr>
        <w:t xml:space="preserve"> (b) elaboración del </w:t>
      </w:r>
      <w:r w:rsidRPr="00282623">
        <w:rPr>
          <w:rFonts w:ascii="Arial" w:eastAsia="Arial" w:hAnsi="Arial" w:cs="Arial"/>
          <w:sz w:val="22"/>
          <w:szCs w:val="22"/>
        </w:rPr>
        <w:t>reglamento</w:t>
      </w:r>
      <w:r>
        <w:rPr>
          <w:rFonts w:ascii="Arial" w:eastAsia="Arial" w:hAnsi="Arial" w:cs="Arial"/>
          <w:sz w:val="22"/>
          <w:szCs w:val="22"/>
        </w:rPr>
        <w:t xml:space="preserve"> de la LOEP; (c) </w:t>
      </w:r>
      <w:r w:rsidRPr="007A0BD8">
        <w:rPr>
          <w:rFonts w:ascii="Arial" w:eastAsia="Arial" w:hAnsi="Arial" w:cs="Arial"/>
          <w:sz w:val="22"/>
          <w:szCs w:val="22"/>
        </w:rPr>
        <w:t xml:space="preserve">verificación de implementación de la </w:t>
      </w:r>
      <w:r w:rsidRPr="00282623">
        <w:rPr>
          <w:rFonts w:ascii="Arial" w:eastAsia="Arial" w:hAnsi="Arial" w:cs="Arial"/>
          <w:sz w:val="22"/>
          <w:szCs w:val="22"/>
        </w:rPr>
        <w:t>LOEP</w:t>
      </w:r>
      <w:r>
        <w:rPr>
          <w:rFonts w:ascii="Arial" w:eastAsia="Arial" w:hAnsi="Arial" w:cs="Arial"/>
          <w:sz w:val="22"/>
          <w:szCs w:val="22"/>
        </w:rPr>
        <w:t xml:space="preserve"> y elaboración de normativa técnica </w:t>
      </w:r>
      <w:r w:rsidRPr="00282623">
        <w:rPr>
          <w:rFonts w:ascii="Arial" w:eastAsia="Arial" w:hAnsi="Arial" w:cs="Arial"/>
          <w:sz w:val="22"/>
          <w:szCs w:val="22"/>
        </w:rPr>
        <w:t>asociad</w:t>
      </w:r>
      <w:r>
        <w:rPr>
          <w:rFonts w:ascii="Arial" w:eastAsia="Arial" w:hAnsi="Arial" w:cs="Arial"/>
          <w:sz w:val="22"/>
          <w:szCs w:val="22"/>
        </w:rPr>
        <w:t>a</w:t>
      </w:r>
      <w:r w:rsidRPr="00282623">
        <w:rPr>
          <w:rFonts w:ascii="Arial" w:hAnsi="Arial" w:cs="Arial"/>
          <w:sz w:val="22"/>
          <w:szCs w:val="22"/>
        </w:rPr>
        <w:t>;</w:t>
      </w:r>
      <w:r>
        <w:rPr>
          <w:rFonts w:ascii="Arial" w:hAnsi="Arial" w:cs="Arial"/>
          <w:sz w:val="22"/>
          <w:szCs w:val="22"/>
        </w:rPr>
        <w:t xml:space="preserve"> y (d) capacitación de funcionarios y empleados en las reformas de la LOEP</w:t>
      </w:r>
      <w:r w:rsidRPr="00282623">
        <w:rPr>
          <w:rFonts w:ascii="Arial" w:hAnsi="Arial" w:cs="Arial"/>
          <w:sz w:val="22"/>
          <w:szCs w:val="22"/>
        </w:rPr>
        <w:t xml:space="preserve"> (ii) </w:t>
      </w:r>
      <w:r w:rsidRPr="00F550E6">
        <w:rPr>
          <w:rFonts w:ascii="Arial" w:hAnsi="Arial" w:cs="Arial"/>
          <w:sz w:val="22"/>
          <w:szCs w:val="22"/>
          <w:u w:val="single"/>
        </w:rPr>
        <w:t xml:space="preserve">régimen de </w:t>
      </w:r>
      <w:bookmarkStart w:id="16" w:name="_Hlk8385183"/>
      <w:r w:rsidRPr="00F550E6">
        <w:rPr>
          <w:rFonts w:ascii="Arial" w:hAnsi="Arial" w:cs="Arial"/>
          <w:sz w:val="22"/>
          <w:szCs w:val="22"/>
          <w:u w:val="single"/>
        </w:rPr>
        <w:t>gobernanza fiscal</w:t>
      </w:r>
      <w:r w:rsidRPr="00282623">
        <w:rPr>
          <w:rStyle w:val="FootnoteReference"/>
          <w:rFonts w:ascii="Arial" w:hAnsi="Arial" w:cs="Arial"/>
          <w:sz w:val="22"/>
          <w:szCs w:val="22"/>
        </w:rPr>
        <w:footnoteReference w:id="21"/>
      </w:r>
      <w:r w:rsidRPr="00F550E6">
        <w:rPr>
          <w:rFonts w:ascii="Arial" w:hAnsi="Arial" w:cs="Arial"/>
          <w:sz w:val="22"/>
          <w:szCs w:val="22"/>
        </w:rPr>
        <w:t>. Se financiará</w:t>
      </w:r>
      <w:r w:rsidRPr="00282623">
        <w:rPr>
          <w:rFonts w:ascii="Arial" w:hAnsi="Arial" w:cs="Arial"/>
          <w:sz w:val="22"/>
          <w:szCs w:val="22"/>
        </w:rPr>
        <w:t xml:space="preserve">: </w:t>
      </w:r>
      <w:r>
        <w:rPr>
          <w:rFonts w:ascii="Arial" w:hAnsi="Arial" w:cs="Arial"/>
          <w:sz w:val="22"/>
          <w:szCs w:val="22"/>
        </w:rPr>
        <w:t>(</w:t>
      </w:r>
      <w:r w:rsidRPr="00282623">
        <w:rPr>
          <w:rFonts w:ascii="Arial" w:hAnsi="Arial" w:cs="Arial"/>
          <w:sz w:val="22"/>
          <w:szCs w:val="22"/>
        </w:rPr>
        <w:t xml:space="preserve">a) diseño de la función recaudadora sobre </w:t>
      </w:r>
      <w:r>
        <w:rPr>
          <w:rFonts w:ascii="Arial" w:hAnsi="Arial" w:cs="Arial"/>
          <w:sz w:val="22"/>
          <w:szCs w:val="22"/>
        </w:rPr>
        <w:t>EEPP</w:t>
      </w:r>
      <w:r w:rsidRPr="00282623">
        <w:rPr>
          <w:rFonts w:ascii="Arial" w:hAnsi="Arial" w:cs="Arial"/>
          <w:sz w:val="22"/>
          <w:szCs w:val="22"/>
        </w:rPr>
        <w:t xml:space="preserve"> en SRI y capacitación a funcionarios del SRI</w:t>
      </w:r>
      <w:r w:rsidRPr="00282623">
        <w:rPr>
          <w:rFonts w:ascii="Arial" w:eastAsia="Arial" w:hAnsi="Arial" w:cs="Arial"/>
          <w:sz w:val="22"/>
          <w:szCs w:val="22"/>
        </w:rPr>
        <w:t xml:space="preserve">; </w:t>
      </w:r>
      <w:r>
        <w:rPr>
          <w:rFonts w:ascii="Arial" w:eastAsia="Arial" w:hAnsi="Arial" w:cs="Arial"/>
          <w:sz w:val="22"/>
          <w:szCs w:val="22"/>
        </w:rPr>
        <w:t>(b</w:t>
      </w:r>
      <w:r w:rsidRPr="00282623">
        <w:rPr>
          <w:rFonts w:ascii="Arial" w:eastAsia="Arial" w:hAnsi="Arial" w:cs="Arial"/>
          <w:sz w:val="22"/>
          <w:szCs w:val="22"/>
        </w:rPr>
        <w:t xml:space="preserve">) </w:t>
      </w:r>
      <w:r w:rsidRPr="00282623">
        <w:rPr>
          <w:rFonts w:ascii="Arial" w:hAnsi="Arial" w:cs="Arial"/>
          <w:sz w:val="22"/>
          <w:szCs w:val="22"/>
        </w:rPr>
        <w:t xml:space="preserve">diseño de la función tributaria </w:t>
      </w:r>
      <w:r>
        <w:rPr>
          <w:rFonts w:ascii="Arial" w:hAnsi="Arial" w:cs="Arial"/>
          <w:sz w:val="22"/>
          <w:szCs w:val="22"/>
        </w:rPr>
        <w:t xml:space="preserve">de las EEPP </w:t>
      </w:r>
      <w:r w:rsidRPr="00282623">
        <w:rPr>
          <w:rFonts w:ascii="Arial" w:hAnsi="Arial" w:cs="Arial"/>
          <w:sz w:val="22"/>
          <w:szCs w:val="22"/>
        </w:rPr>
        <w:t xml:space="preserve">y capacitación </w:t>
      </w:r>
      <w:r w:rsidRPr="00282623">
        <w:rPr>
          <w:rFonts w:ascii="Arial" w:eastAsia="Arial" w:hAnsi="Arial" w:cs="Arial"/>
          <w:bCs/>
          <w:sz w:val="22"/>
          <w:szCs w:val="22"/>
        </w:rPr>
        <w:t>para enfrentar responsabilidades tributarias</w:t>
      </w:r>
      <w:r w:rsidRPr="00282623">
        <w:rPr>
          <w:rFonts w:ascii="Arial" w:hAnsi="Arial" w:cs="Arial"/>
          <w:sz w:val="22"/>
          <w:szCs w:val="22"/>
        </w:rPr>
        <w:t xml:space="preserve"> a empleados de </w:t>
      </w:r>
      <w:r>
        <w:rPr>
          <w:rFonts w:ascii="Arial" w:eastAsia="Arial" w:hAnsi="Arial" w:cs="Arial"/>
          <w:bCs/>
          <w:sz w:val="22"/>
          <w:szCs w:val="22"/>
        </w:rPr>
        <w:t>EEPP</w:t>
      </w:r>
      <w:r w:rsidRPr="00282623">
        <w:rPr>
          <w:rFonts w:ascii="Arial" w:eastAsia="Arial" w:hAnsi="Arial" w:cs="Arial"/>
          <w:bCs/>
          <w:sz w:val="22"/>
          <w:szCs w:val="22"/>
        </w:rPr>
        <w:t xml:space="preserve">; </w:t>
      </w:r>
      <w:r>
        <w:rPr>
          <w:rFonts w:ascii="Arial" w:eastAsia="Arial" w:hAnsi="Arial" w:cs="Arial"/>
          <w:bCs/>
          <w:sz w:val="22"/>
          <w:szCs w:val="22"/>
        </w:rPr>
        <w:t xml:space="preserve">y (c) </w:t>
      </w:r>
      <w:r w:rsidRPr="00F550E6">
        <w:rPr>
          <w:rFonts w:ascii="Arial" w:eastAsia="Arial" w:hAnsi="Arial" w:cs="Arial"/>
          <w:bCs/>
          <w:sz w:val="22"/>
          <w:szCs w:val="22"/>
        </w:rPr>
        <w:t>diseño del régimen fiscal de las empresas en sector hidrocarburos</w:t>
      </w:r>
      <w:r>
        <w:rPr>
          <w:rFonts w:ascii="Arial" w:eastAsia="Arial" w:hAnsi="Arial" w:cs="Arial"/>
          <w:bCs/>
          <w:sz w:val="22"/>
          <w:szCs w:val="22"/>
        </w:rPr>
        <w:t xml:space="preserve">; y </w:t>
      </w:r>
      <w:r w:rsidRPr="00282623">
        <w:rPr>
          <w:rFonts w:ascii="Arial" w:eastAsia="Arial" w:hAnsi="Arial" w:cs="Arial"/>
          <w:bCs/>
          <w:sz w:val="22"/>
          <w:szCs w:val="22"/>
        </w:rPr>
        <w:t>(iii)</w:t>
      </w:r>
      <w:r>
        <w:rPr>
          <w:rFonts w:ascii="Arial" w:eastAsia="Arial" w:hAnsi="Arial" w:cs="Arial"/>
          <w:bCs/>
          <w:sz w:val="22"/>
          <w:szCs w:val="22"/>
        </w:rPr>
        <w:t> </w:t>
      </w:r>
      <w:r>
        <w:rPr>
          <w:rFonts w:ascii="Arial" w:eastAsia="Arial" w:hAnsi="Arial" w:cs="Arial"/>
          <w:bCs/>
          <w:sz w:val="22"/>
          <w:szCs w:val="22"/>
          <w:u w:val="single"/>
        </w:rPr>
        <w:t>T</w:t>
      </w:r>
      <w:r w:rsidRPr="00F550E6">
        <w:rPr>
          <w:rFonts w:ascii="Arial" w:eastAsia="Arial" w:hAnsi="Arial" w:cs="Arial"/>
          <w:bCs/>
          <w:sz w:val="22"/>
          <w:szCs w:val="22"/>
          <w:u w:val="single"/>
        </w:rPr>
        <w:t>ransparencia y rendición de cuentas</w:t>
      </w:r>
      <w:r>
        <w:rPr>
          <w:rFonts w:ascii="Arial" w:eastAsia="Arial" w:hAnsi="Arial" w:cs="Arial"/>
          <w:bCs/>
          <w:sz w:val="22"/>
          <w:szCs w:val="22"/>
          <w:u w:val="single"/>
        </w:rPr>
        <w:t xml:space="preserve">. </w:t>
      </w:r>
      <w:r>
        <w:rPr>
          <w:rFonts w:ascii="Arial" w:hAnsi="Arial" w:cs="Arial"/>
          <w:sz w:val="22"/>
          <w:szCs w:val="22"/>
        </w:rPr>
        <w:t>Se financiará</w:t>
      </w:r>
      <w:r w:rsidRPr="00282623">
        <w:rPr>
          <w:rFonts w:ascii="Arial" w:eastAsia="Arial" w:hAnsi="Arial" w:cs="Arial"/>
          <w:bCs/>
          <w:sz w:val="22"/>
          <w:szCs w:val="22"/>
        </w:rPr>
        <w:t xml:space="preserve">: </w:t>
      </w:r>
      <w:r>
        <w:rPr>
          <w:rFonts w:ascii="Arial" w:eastAsia="Arial" w:hAnsi="Arial" w:cs="Arial"/>
          <w:bCs/>
          <w:sz w:val="22"/>
          <w:szCs w:val="22"/>
        </w:rPr>
        <w:t>(</w:t>
      </w:r>
      <w:r w:rsidRPr="00282623">
        <w:rPr>
          <w:rFonts w:ascii="Arial" w:eastAsia="Arial" w:hAnsi="Arial" w:cs="Arial"/>
          <w:bCs/>
          <w:sz w:val="22"/>
          <w:szCs w:val="22"/>
        </w:rPr>
        <w:t xml:space="preserve">a) </w:t>
      </w:r>
      <w:r w:rsidRPr="00282623">
        <w:rPr>
          <w:rFonts w:ascii="Arial" w:hAnsi="Arial" w:cs="Arial"/>
          <w:sz w:val="22"/>
          <w:szCs w:val="22"/>
        </w:rPr>
        <w:t>capacitación a e</w:t>
      </w:r>
      <w:r w:rsidRPr="00282623">
        <w:rPr>
          <w:rFonts w:ascii="Arial" w:eastAsia="Arial" w:hAnsi="Arial" w:cs="Arial"/>
          <w:bCs/>
          <w:sz w:val="22"/>
          <w:szCs w:val="22"/>
        </w:rPr>
        <w:t xml:space="preserve">mpleados de las </w:t>
      </w:r>
      <w:r>
        <w:rPr>
          <w:rFonts w:ascii="Arial" w:eastAsia="Arial" w:hAnsi="Arial" w:cs="Arial"/>
          <w:bCs/>
          <w:sz w:val="22"/>
          <w:szCs w:val="22"/>
        </w:rPr>
        <w:t>EEPP</w:t>
      </w:r>
      <w:r w:rsidRPr="00282623">
        <w:rPr>
          <w:rFonts w:ascii="Arial" w:eastAsia="Arial" w:hAnsi="Arial" w:cs="Arial"/>
          <w:bCs/>
          <w:sz w:val="22"/>
          <w:szCs w:val="22"/>
        </w:rPr>
        <w:t xml:space="preserve"> en </w:t>
      </w:r>
      <w:r w:rsidRPr="00783DD7">
        <w:rPr>
          <w:rFonts w:ascii="Arial" w:eastAsia="Arial" w:hAnsi="Arial" w:cs="Arial"/>
          <w:bCs/>
          <w:sz w:val="22"/>
          <w:szCs w:val="22"/>
        </w:rPr>
        <w:t>N</w:t>
      </w:r>
      <w:r w:rsidRPr="000764D5">
        <w:rPr>
          <w:rFonts w:ascii="Arial" w:eastAsia="Arial" w:hAnsi="Arial" w:cs="Arial"/>
          <w:bCs/>
          <w:sz w:val="22"/>
          <w:szCs w:val="22"/>
        </w:rPr>
        <w:t xml:space="preserve">ormas </w:t>
      </w:r>
      <w:r w:rsidRPr="00783DD7">
        <w:rPr>
          <w:rFonts w:ascii="Arial" w:eastAsia="Arial" w:hAnsi="Arial" w:cs="Arial"/>
          <w:bCs/>
          <w:sz w:val="22"/>
          <w:szCs w:val="22"/>
        </w:rPr>
        <w:t>I</w:t>
      </w:r>
      <w:r w:rsidRPr="000764D5">
        <w:rPr>
          <w:rFonts w:ascii="Arial" w:eastAsia="Arial" w:hAnsi="Arial" w:cs="Arial"/>
          <w:bCs/>
          <w:sz w:val="22"/>
          <w:szCs w:val="22"/>
        </w:rPr>
        <w:t xml:space="preserve">nternacionales de </w:t>
      </w:r>
      <w:r w:rsidRPr="00783DD7">
        <w:rPr>
          <w:rFonts w:ascii="Arial" w:eastAsia="Arial" w:hAnsi="Arial" w:cs="Arial"/>
          <w:bCs/>
          <w:sz w:val="22"/>
          <w:szCs w:val="22"/>
        </w:rPr>
        <w:t>I</w:t>
      </w:r>
      <w:r w:rsidRPr="000764D5">
        <w:rPr>
          <w:rFonts w:ascii="Arial" w:eastAsia="Arial" w:hAnsi="Arial" w:cs="Arial"/>
          <w:bCs/>
          <w:sz w:val="22"/>
          <w:szCs w:val="22"/>
        </w:rPr>
        <w:t xml:space="preserve">nformación </w:t>
      </w:r>
      <w:r w:rsidRPr="00783DD7">
        <w:rPr>
          <w:rFonts w:ascii="Arial" w:eastAsia="Arial" w:hAnsi="Arial" w:cs="Arial"/>
          <w:bCs/>
          <w:sz w:val="22"/>
          <w:szCs w:val="22"/>
        </w:rPr>
        <w:t>Financiera (NIIF)</w:t>
      </w:r>
      <w:r w:rsidRPr="00282623">
        <w:rPr>
          <w:rFonts w:ascii="Arial" w:eastAsia="Arial" w:hAnsi="Arial" w:cs="Arial"/>
          <w:bCs/>
          <w:sz w:val="22"/>
          <w:szCs w:val="22"/>
        </w:rPr>
        <w:t xml:space="preserve"> y reporte de </w:t>
      </w:r>
      <w:bookmarkEnd w:id="16"/>
      <w:r>
        <w:rPr>
          <w:rFonts w:ascii="Arial" w:eastAsia="Arial" w:hAnsi="Arial" w:cs="Arial"/>
          <w:bCs/>
          <w:sz w:val="22"/>
          <w:szCs w:val="22"/>
        </w:rPr>
        <w:t>EEFF</w:t>
      </w:r>
      <w:r w:rsidRPr="00282623">
        <w:rPr>
          <w:rFonts w:ascii="Arial" w:eastAsia="Arial" w:hAnsi="Arial" w:cs="Arial"/>
          <w:bCs/>
          <w:sz w:val="22"/>
          <w:szCs w:val="22"/>
        </w:rPr>
        <w:t xml:space="preserve">; </w:t>
      </w:r>
      <w:r>
        <w:rPr>
          <w:rFonts w:ascii="Arial" w:eastAsia="Arial" w:hAnsi="Arial" w:cs="Arial"/>
          <w:bCs/>
          <w:sz w:val="22"/>
          <w:szCs w:val="22"/>
        </w:rPr>
        <w:t>(</w:t>
      </w:r>
      <w:r w:rsidRPr="00282623">
        <w:rPr>
          <w:rFonts w:ascii="Arial" w:eastAsia="Arial" w:hAnsi="Arial" w:cs="Arial"/>
          <w:bCs/>
          <w:sz w:val="22"/>
          <w:szCs w:val="22"/>
        </w:rPr>
        <w:t xml:space="preserve">b) elaboración de un informe con los criterios para la precalificación de auditoras externas; </w:t>
      </w:r>
      <w:r>
        <w:rPr>
          <w:rFonts w:ascii="Arial" w:eastAsia="Arial" w:hAnsi="Arial" w:cs="Arial"/>
          <w:bCs/>
          <w:sz w:val="22"/>
          <w:szCs w:val="22"/>
        </w:rPr>
        <w:t>y (</w:t>
      </w:r>
      <w:r w:rsidRPr="00282623">
        <w:rPr>
          <w:rFonts w:ascii="Arial" w:eastAsia="Arial" w:hAnsi="Arial" w:cs="Arial"/>
          <w:bCs/>
          <w:sz w:val="22"/>
          <w:szCs w:val="22"/>
        </w:rPr>
        <w:t xml:space="preserve">c) apoyo </w:t>
      </w:r>
      <w:r>
        <w:rPr>
          <w:rFonts w:ascii="Arial" w:eastAsia="Arial" w:hAnsi="Arial" w:cs="Arial"/>
          <w:bCs/>
          <w:sz w:val="22"/>
          <w:szCs w:val="22"/>
        </w:rPr>
        <w:t xml:space="preserve">técnico para la </w:t>
      </w:r>
      <w:r w:rsidRPr="00282623">
        <w:rPr>
          <w:rFonts w:ascii="Arial" w:eastAsia="Arial" w:hAnsi="Arial" w:cs="Arial"/>
          <w:bCs/>
          <w:sz w:val="22"/>
          <w:szCs w:val="22"/>
        </w:rPr>
        <w:t>obtención del certificado ISO</w:t>
      </w:r>
      <w:r>
        <w:rPr>
          <w:rFonts w:ascii="Arial" w:eastAsia="Arial" w:hAnsi="Arial" w:cs="Arial"/>
          <w:bCs/>
          <w:sz w:val="22"/>
          <w:szCs w:val="22"/>
        </w:rPr>
        <w:noBreakHyphen/>
      </w:r>
      <w:r w:rsidRPr="00282623">
        <w:rPr>
          <w:rFonts w:ascii="Arial" w:eastAsia="Arial" w:hAnsi="Arial" w:cs="Arial"/>
          <w:bCs/>
          <w:sz w:val="22"/>
          <w:szCs w:val="22"/>
        </w:rPr>
        <w:t xml:space="preserve">7001 de las </w:t>
      </w:r>
      <w:r>
        <w:rPr>
          <w:rFonts w:ascii="Arial" w:eastAsia="Arial" w:hAnsi="Arial" w:cs="Arial"/>
          <w:bCs/>
          <w:sz w:val="22"/>
          <w:szCs w:val="22"/>
        </w:rPr>
        <w:t>EEPP</w:t>
      </w:r>
      <w:r w:rsidRPr="00282623">
        <w:rPr>
          <w:rFonts w:ascii="Arial" w:eastAsia="Arial" w:hAnsi="Arial" w:cs="Arial"/>
          <w:bCs/>
          <w:sz w:val="22"/>
          <w:szCs w:val="22"/>
        </w:rPr>
        <w:t>.</w:t>
      </w:r>
    </w:p>
    <w:p w14:paraId="18D417ED" w14:textId="77777777" w:rsidR="00CB4053" w:rsidRPr="00A1564B" w:rsidRDefault="00CB4053" w:rsidP="000E3C5E">
      <w:pPr>
        <w:pStyle w:val="subpar"/>
        <w:numPr>
          <w:ilvl w:val="2"/>
          <w:numId w:val="39"/>
        </w:numPr>
        <w:rPr>
          <w:rFonts w:ascii="Arial" w:hAnsi="Arial" w:cs="Arial"/>
          <w:sz w:val="22"/>
          <w:szCs w:val="22"/>
        </w:rPr>
      </w:pPr>
      <w:r>
        <w:rPr>
          <w:rFonts w:ascii="Arial" w:hAnsi="Arial" w:cs="Arial"/>
          <w:b/>
          <w:sz w:val="22"/>
          <w:szCs w:val="22"/>
        </w:rPr>
        <w:lastRenderedPageBreak/>
        <w:t xml:space="preserve">Subcomponente 1.2. </w:t>
      </w:r>
      <w:r w:rsidRPr="00282623">
        <w:rPr>
          <w:rFonts w:ascii="Arial" w:hAnsi="Arial" w:cs="Arial"/>
          <w:b/>
          <w:sz w:val="22"/>
          <w:szCs w:val="22"/>
        </w:rPr>
        <w:t xml:space="preserve">Rediseño de la función propietaria y de gestión. </w:t>
      </w:r>
      <w:r w:rsidRPr="00282623">
        <w:rPr>
          <w:rFonts w:ascii="Arial" w:hAnsi="Arial" w:cs="Arial"/>
          <w:sz w:val="22"/>
          <w:szCs w:val="22"/>
        </w:rPr>
        <w:t>(i)</w:t>
      </w:r>
      <w:r>
        <w:rPr>
          <w:rFonts w:ascii="Arial" w:hAnsi="Arial" w:cs="Arial"/>
          <w:sz w:val="22"/>
          <w:szCs w:val="22"/>
        </w:rPr>
        <w:t> </w:t>
      </w:r>
      <w:r w:rsidRPr="00F550E6">
        <w:rPr>
          <w:rFonts w:ascii="Arial" w:hAnsi="Arial" w:cs="Arial"/>
          <w:sz w:val="22"/>
          <w:szCs w:val="22"/>
          <w:u w:val="single"/>
        </w:rPr>
        <w:t>Apoyo a la implementación de la nueva entidad de gestión propietaria de las EEPP que sustituiría a EMCO</w:t>
      </w:r>
      <w:r w:rsidRPr="00282623">
        <w:rPr>
          <w:rStyle w:val="FootnoteReference"/>
          <w:rFonts w:ascii="Arial" w:hAnsi="Arial" w:cs="Arial"/>
          <w:sz w:val="22"/>
          <w:szCs w:val="22"/>
        </w:rPr>
        <w:footnoteReference w:id="22"/>
      </w:r>
      <w:r>
        <w:rPr>
          <w:rFonts w:ascii="Arial" w:hAnsi="Arial" w:cs="Arial"/>
          <w:sz w:val="22"/>
          <w:szCs w:val="22"/>
        </w:rPr>
        <w:t xml:space="preserve">. </w:t>
      </w:r>
      <w:bookmarkStart w:id="17" w:name="_Hlk11291574"/>
      <w:r>
        <w:rPr>
          <w:rFonts w:ascii="Arial" w:hAnsi="Arial" w:cs="Arial"/>
          <w:sz w:val="22"/>
          <w:szCs w:val="22"/>
        </w:rPr>
        <w:t>Se financiará</w:t>
      </w:r>
      <w:bookmarkEnd w:id="17"/>
      <w:r>
        <w:rPr>
          <w:rFonts w:ascii="Arial" w:hAnsi="Arial" w:cs="Arial"/>
          <w:sz w:val="22"/>
          <w:szCs w:val="22"/>
        </w:rPr>
        <w:t>: (a)</w:t>
      </w:r>
      <w:r w:rsidRPr="00282623">
        <w:rPr>
          <w:rFonts w:ascii="Arial" w:hAnsi="Arial" w:cs="Arial"/>
          <w:sz w:val="22"/>
          <w:szCs w:val="22"/>
        </w:rPr>
        <w:t xml:space="preserve"> </w:t>
      </w:r>
      <w:r w:rsidRPr="0076011B">
        <w:rPr>
          <w:rFonts w:ascii="Arial" w:hAnsi="Arial" w:cs="Arial"/>
          <w:sz w:val="22"/>
          <w:szCs w:val="22"/>
        </w:rPr>
        <w:t>supervisión de medidas de implementación de la nueva entidad propietaria de EEPP</w:t>
      </w:r>
      <w:r w:rsidRPr="00F550E6">
        <w:rPr>
          <w:rFonts w:ascii="Arial" w:hAnsi="Arial" w:cs="Arial"/>
          <w:sz w:val="22"/>
          <w:szCs w:val="22"/>
        </w:rPr>
        <w:t xml:space="preserve"> </w:t>
      </w:r>
      <w:r>
        <w:rPr>
          <w:rFonts w:ascii="Arial" w:hAnsi="Arial" w:cs="Arial"/>
          <w:sz w:val="22"/>
          <w:szCs w:val="22"/>
        </w:rPr>
        <w:t xml:space="preserve">y elaboración del estatuto orgánico; (b) capacitación a los empleados de la nueva entidad, </w:t>
      </w:r>
      <w:r w:rsidRPr="0071008E">
        <w:rPr>
          <w:rFonts w:ascii="Arial" w:hAnsi="Arial" w:cs="Arial"/>
          <w:sz w:val="22"/>
          <w:szCs w:val="22"/>
        </w:rPr>
        <w:t>incluyendo el diseño de una estrategia de gestión del cambio</w:t>
      </w:r>
      <w:r>
        <w:rPr>
          <w:rFonts w:ascii="Arial" w:hAnsi="Arial" w:cs="Arial"/>
          <w:sz w:val="22"/>
          <w:szCs w:val="22"/>
        </w:rPr>
        <w:t xml:space="preserve">; (c) socialización; y (d) </w:t>
      </w:r>
      <w:r w:rsidRPr="00A1564B">
        <w:rPr>
          <w:rFonts w:ascii="Arial" w:hAnsi="Arial" w:cs="Arial"/>
          <w:sz w:val="22"/>
          <w:szCs w:val="22"/>
        </w:rPr>
        <w:t>diseño de contrato de gestión del desempeño entre entidad propietaria y EEPP</w:t>
      </w:r>
      <w:r w:rsidRPr="00282623">
        <w:rPr>
          <w:rFonts w:ascii="Arial" w:hAnsi="Arial" w:cs="Arial"/>
          <w:sz w:val="22"/>
          <w:szCs w:val="22"/>
        </w:rPr>
        <w:t>; (ii) </w:t>
      </w:r>
      <w:r w:rsidRPr="00F550E6">
        <w:rPr>
          <w:rFonts w:ascii="Arial" w:hAnsi="Arial" w:cs="Arial"/>
          <w:sz w:val="22"/>
          <w:szCs w:val="22"/>
          <w:u w:val="single"/>
        </w:rPr>
        <w:t xml:space="preserve">fortalecimiento de la </w:t>
      </w:r>
      <w:r w:rsidRPr="00F550E6">
        <w:rPr>
          <w:rFonts w:ascii="Arial" w:hAnsi="Arial" w:cs="Arial"/>
          <w:bCs/>
          <w:sz w:val="22"/>
          <w:szCs w:val="22"/>
          <w:u w:val="single"/>
          <w:lang w:val="es-EC"/>
        </w:rPr>
        <w:t>DNEP</w:t>
      </w:r>
      <w:r>
        <w:rPr>
          <w:rFonts w:ascii="Arial" w:hAnsi="Arial" w:cs="Arial"/>
          <w:bCs/>
          <w:sz w:val="22"/>
          <w:szCs w:val="22"/>
          <w:lang w:val="es-EC"/>
        </w:rPr>
        <w:t xml:space="preserve">. </w:t>
      </w:r>
      <w:r>
        <w:rPr>
          <w:rFonts w:ascii="Arial" w:hAnsi="Arial" w:cs="Arial"/>
          <w:sz w:val="22"/>
          <w:szCs w:val="22"/>
        </w:rPr>
        <w:t>Se financiará</w:t>
      </w:r>
      <w:r>
        <w:rPr>
          <w:rFonts w:ascii="Arial" w:hAnsi="Arial" w:cs="Arial"/>
          <w:bCs/>
          <w:sz w:val="22"/>
          <w:szCs w:val="22"/>
          <w:lang w:val="es-EC"/>
        </w:rPr>
        <w:t>: (</w:t>
      </w:r>
      <w:r w:rsidRPr="00282623">
        <w:rPr>
          <w:rFonts w:ascii="Arial" w:hAnsi="Arial" w:cs="Arial"/>
          <w:sz w:val="22"/>
          <w:szCs w:val="22"/>
        </w:rPr>
        <w:t xml:space="preserve">a) </w:t>
      </w:r>
      <w:r>
        <w:rPr>
          <w:rFonts w:ascii="Arial" w:hAnsi="Arial" w:cs="Arial"/>
          <w:sz w:val="22"/>
          <w:szCs w:val="22"/>
        </w:rPr>
        <w:t xml:space="preserve">desarrollo de </w:t>
      </w:r>
      <w:r w:rsidRPr="00282623">
        <w:rPr>
          <w:rFonts w:ascii="Arial" w:hAnsi="Arial" w:cs="Arial"/>
          <w:sz w:val="22"/>
          <w:szCs w:val="22"/>
        </w:rPr>
        <w:t xml:space="preserve">estudios </w:t>
      </w:r>
      <w:r>
        <w:rPr>
          <w:rFonts w:ascii="Arial" w:hAnsi="Arial" w:cs="Arial"/>
          <w:sz w:val="22"/>
          <w:szCs w:val="22"/>
        </w:rPr>
        <w:t xml:space="preserve">y sistemas </w:t>
      </w:r>
      <w:r w:rsidRPr="00282623">
        <w:rPr>
          <w:rFonts w:ascii="Arial" w:hAnsi="Arial" w:cs="Arial"/>
          <w:sz w:val="22"/>
          <w:szCs w:val="22"/>
        </w:rPr>
        <w:t xml:space="preserve">de costes de producción para asistir la formulación </w:t>
      </w:r>
      <w:r w:rsidRPr="00A1564B">
        <w:rPr>
          <w:rFonts w:ascii="Arial" w:hAnsi="Arial" w:cs="Arial"/>
          <w:sz w:val="22"/>
          <w:szCs w:val="22"/>
        </w:rPr>
        <w:t xml:space="preserve">presupuestaria; </w:t>
      </w:r>
      <w:r>
        <w:rPr>
          <w:rFonts w:ascii="Arial" w:hAnsi="Arial" w:cs="Arial"/>
          <w:sz w:val="22"/>
          <w:szCs w:val="22"/>
        </w:rPr>
        <w:t>(</w:t>
      </w:r>
      <w:r w:rsidRPr="00A1564B">
        <w:rPr>
          <w:rFonts w:ascii="Arial" w:hAnsi="Arial" w:cs="Arial"/>
          <w:sz w:val="22"/>
          <w:szCs w:val="22"/>
        </w:rPr>
        <w:t xml:space="preserve">b) </w:t>
      </w:r>
      <w:r>
        <w:rPr>
          <w:rFonts w:ascii="Arial" w:hAnsi="Arial" w:cs="Arial"/>
          <w:sz w:val="22"/>
          <w:szCs w:val="22"/>
        </w:rPr>
        <w:t xml:space="preserve">desarrollo de </w:t>
      </w:r>
      <w:r w:rsidRPr="00A1564B">
        <w:rPr>
          <w:rFonts w:ascii="Arial" w:hAnsi="Arial" w:cs="Arial"/>
          <w:sz w:val="22"/>
          <w:szCs w:val="22"/>
        </w:rPr>
        <w:t xml:space="preserve">sistemas de certificación de capacidad de pago; </w:t>
      </w:r>
      <w:r>
        <w:rPr>
          <w:rFonts w:ascii="Arial" w:hAnsi="Arial" w:cs="Arial"/>
          <w:sz w:val="22"/>
          <w:szCs w:val="22"/>
        </w:rPr>
        <w:t>(</w:t>
      </w:r>
      <w:r w:rsidRPr="00A1564B">
        <w:rPr>
          <w:rFonts w:ascii="Arial" w:hAnsi="Arial" w:cs="Arial"/>
          <w:sz w:val="22"/>
          <w:szCs w:val="22"/>
        </w:rPr>
        <w:t xml:space="preserve">c) </w:t>
      </w:r>
      <w:r>
        <w:rPr>
          <w:rFonts w:ascii="Arial" w:hAnsi="Arial" w:cs="Arial"/>
          <w:sz w:val="22"/>
          <w:szCs w:val="22"/>
        </w:rPr>
        <w:t xml:space="preserve">desarrollo de software para la generación de </w:t>
      </w:r>
      <w:r w:rsidRPr="00A1564B">
        <w:rPr>
          <w:rFonts w:ascii="Arial" w:hAnsi="Arial" w:cs="Arial"/>
          <w:sz w:val="22"/>
          <w:szCs w:val="22"/>
        </w:rPr>
        <w:t xml:space="preserve">estadísticas financieras a través de sistemas de reporte especializados; y </w:t>
      </w:r>
      <w:r>
        <w:rPr>
          <w:rFonts w:ascii="Arial" w:hAnsi="Arial" w:cs="Arial"/>
          <w:sz w:val="22"/>
          <w:szCs w:val="22"/>
        </w:rPr>
        <w:t>(</w:t>
      </w:r>
      <w:r w:rsidRPr="00A1564B">
        <w:rPr>
          <w:rFonts w:ascii="Arial" w:hAnsi="Arial" w:cs="Arial"/>
          <w:sz w:val="22"/>
          <w:szCs w:val="22"/>
        </w:rPr>
        <w:t>d)</w:t>
      </w:r>
      <w:r>
        <w:rPr>
          <w:rFonts w:ascii="Arial" w:hAnsi="Arial" w:cs="Arial"/>
          <w:sz w:val="22"/>
          <w:szCs w:val="22"/>
        </w:rPr>
        <w:t> </w:t>
      </w:r>
      <w:r w:rsidRPr="00A1564B">
        <w:rPr>
          <w:rFonts w:ascii="Arial" w:hAnsi="Arial" w:cs="Arial"/>
          <w:sz w:val="22"/>
          <w:szCs w:val="22"/>
        </w:rPr>
        <w:t>capacitación a funcionarios en sectores estratégicos</w:t>
      </w:r>
      <w:r w:rsidRPr="007A6A11">
        <w:rPr>
          <w:rStyle w:val="FootnoteReference"/>
          <w:rFonts w:ascii="Arial" w:hAnsi="Arial" w:cs="Arial"/>
        </w:rPr>
        <w:footnoteReference w:id="23"/>
      </w:r>
      <w:r w:rsidRPr="00A1564B">
        <w:rPr>
          <w:rFonts w:ascii="Arial" w:hAnsi="Arial" w:cs="Arial"/>
          <w:sz w:val="22"/>
          <w:szCs w:val="22"/>
        </w:rPr>
        <w:t>; y (iii) </w:t>
      </w:r>
      <w:r w:rsidRPr="00F550E6">
        <w:rPr>
          <w:rFonts w:ascii="Arial" w:hAnsi="Arial" w:cs="Arial"/>
          <w:sz w:val="22"/>
          <w:szCs w:val="22"/>
          <w:u w:val="single"/>
        </w:rPr>
        <w:t>apoyo a los GAD</w:t>
      </w:r>
      <w:r>
        <w:rPr>
          <w:rFonts w:ascii="Arial" w:hAnsi="Arial" w:cs="Arial"/>
          <w:sz w:val="22"/>
          <w:szCs w:val="22"/>
        </w:rPr>
        <w:t>. Se financiará: (a) asistencia técnica</w:t>
      </w:r>
      <w:r w:rsidRPr="00C853ED">
        <w:rPr>
          <w:rFonts w:ascii="Arial" w:hAnsi="Arial" w:cs="Arial"/>
          <w:sz w:val="22"/>
          <w:szCs w:val="22"/>
        </w:rPr>
        <w:t xml:space="preserve"> en la adopción de las reformas de la LOEP en sus EEPP</w:t>
      </w:r>
      <w:r>
        <w:rPr>
          <w:rStyle w:val="FootnoteReference"/>
          <w:rFonts w:ascii="Arial" w:hAnsi="Arial" w:cs="Arial"/>
          <w:sz w:val="22"/>
          <w:szCs w:val="22"/>
        </w:rPr>
        <w:footnoteReference w:id="24"/>
      </w:r>
      <w:r>
        <w:rPr>
          <w:rFonts w:ascii="Arial" w:hAnsi="Arial" w:cs="Arial"/>
          <w:sz w:val="22"/>
          <w:szCs w:val="22"/>
        </w:rPr>
        <w:t xml:space="preserve">; y (b) desarrollo del </w:t>
      </w:r>
      <w:r w:rsidRPr="00F550E6">
        <w:rPr>
          <w:rFonts w:ascii="Arial" w:hAnsi="Arial" w:cs="Arial"/>
          <w:sz w:val="22"/>
          <w:szCs w:val="22"/>
        </w:rPr>
        <w:t>análisis de sostenibilidad financiera de EEPP de los GAD</w:t>
      </w:r>
      <w:r w:rsidRPr="00A1564B">
        <w:rPr>
          <w:rFonts w:ascii="Arial" w:hAnsi="Arial" w:cs="Arial"/>
          <w:sz w:val="22"/>
          <w:szCs w:val="22"/>
        </w:rPr>
        <w:t>.</w:t>
      </w:r>
    </w:p>
    <w:p w14:paraId="1BA69E0A" w14:textId="77777777" w:rsidR="00CB4053" w:rsidRPr="00F550E6" w:rsidRDefault="00CB4053" w:rsidP="00CB4053">
      <w:pPr>
        <w:pStyle w:val="Paragraph"/>
        <w:numPr>
          <w:ilvl w:val="1"/>
          <w:numId w:val="34"/>
        </w:numPr>
        <w:tabs>
          <w:tab w:val="clear" w:pos="2736"/>
        </w:tabs>
        <w:ind w:left="720" w:hanging="720"/>
        <w:rPr>
          <w:rFonts w:ascii="Arial" w:hAnsi="Arial" w:cs="Arial"/>
          <w:sz w:val="22"/>
          <w:szCs w:val="22"/>
        </w:rPr>
      </w:pPr>
      <w:r w:rsidRPr="00A1564B">
        <w:rPr>
          <w:rFonts w:ascii="Arial" w:hAnsi="Arial" w:cs="Arial"/>
          <w:b/>
          <w:sz w:val="22"/>
          <w:szCs w:val="22"/>
        </w:rPr>
        <w:t xml:space="preserve">Componente 2. </w:t>
      </w:r>
      <w:bookmarkStart w:id="18" w:name="_Hlk525579028"/>
      <w:r w:rsidRPr="00A1564B">
        <w:rPr>
          <w:rFonts w:ascii="Arial" w:hAnsi="Arial" w:cs="Arial"/>
          <w:b/>
          <w:sz w:val="22"/>
          <w:szCs w:val="22"/>
        </w:rPr>
        <w:t xml:space="preserve">Optimización de la cartera de </w:t>
      </w:r>
      <w:r>
        <w:rPr>
          <w:rFonts w:ascii="Arial" w:hAnsi="Arial" w:cs="Arial"/>
          <w:b/>
          <w:sz w:val="22"/>
          <w:szCs w:val="22"/>
        </w:rPr>
        <w:t>EEPP</w:t>
      </w:r>
      <w:r w:rsidRPr="00A1564B">
        <w:rPr>
          <w:rFonts w:ascii="Arial" w:hAnsi="Arial" w:cs="Arial"/>
          <w:b/>
          <w:sz w:val="22"/>
          <w:szCs w:val="22"/>
        </w:rPr>
        <w:t xml:space="preserve"> (US$</w:t>
      </w:r>
      <w:r>
        <w:rPr>
          <w:rFonts w:ascii="Arial" w:hAnsi="Arial" w:cs="Arial"/>
          <w:b/>
          <w:sz w:val="22"/>
          <w:szCs w:val="22"/>
        </w:rPr>
        <w:t>70,8</w:t>
      </w:r>
      <w:r w:rsidRPr="00A1564B">
        <w:rPr>
          <w:rFonts w:ascii="Arial" w:hAnsi="Arial" w:cs="Arial"/>
          <w:b/>
          <w:sz w:val="22"/>
          <w:szCs w:val="22"/>
        </w:rPr>
        <w:t xml:space="preserve"> millones). </w:t>
      </w:r>
      <w:bookmarkStart w:id="19" w:name="_Hlk10140873"/>
    </w:p>
    <w:p w14:paraId="6209AF49" w14:textId="4BC55087" w:rsidR="00CB4053" w:rsidRDefault="00CB4053" w:rsidP="002D0B42">
      <w:pPr>
        <w:pStyle w:val="subpar"/>
        <w:numPr>
          <w:ilvl w:val="2"/>
          <w:numId w:val="40"/>
        </w:numPr>
        <w:rPr>
          <w:rFonts w:ascii="Arial" w:hAnsi="Arial" w:cs="Arial"/>
          <w:sz w:val="22"/>
          <w:szCs w:val="22"/>
        </w:rPr>
      </w:pPr>
      <w:r>
        <w:rPr>
          <w:rFonts w:ascii="Arial" w:hAnsi="Arial" w:cs="Arial"/>
          <w:b/>
          <w:sz w:val="22"/>
          <w:szCs w:val="22"/>
        </w:rPr>
        <w:t xml:space="preserve">Subcomponente 2.1. Rediseño de EEPP. </w:t>
      </w:r>
      <w:r w:rsidRPr="00A1564B">
        <w:rPr>
          <w:rFonts w:ascii="Arial" w:hAnsi="Arial" w:cs="Arial"/>
          <w:sz w:val="22"/>
          <w:szCs w:val="22"/>
        </w:rPr>
        <w:t xml:space="preserve">(i) </w:t>
      </w:r>
      <w:r w:rsidRPr="00F550E6">
        <w:rPr>
          <w:rFonts w:ascii="Arial" w:hAnsi="Arial" w:cs="Arial"/>
          <w:sz w:val="22"/>
          <w:szCs w:val="22"/>
          <w:u w:val="single"/>
        </w:rPr>
        <w:t xml:space="preserve">Apoyo a la </w:t>
      </w:r>
      <w:r w:rsidRPr="00F550E6">
        <w:rPr>
          <w:rFonts w:ascii="Arial" w:eastAsia="Arial" w:hAnsi="Arial" w:cs="Arial"/>
          <w:bCs/>
          <w:sz w:val="22"/>
          <w:szCs w:val="22"/>
          <w:u w:val="single"/>
        </w:rPr>
        <w:t>fusión de Petroamazonas y Petroecuador</w:t>
      </w:r>
      <w:r>
        <w:rPr>
          <w:rFonts w:ascii="Arial" w:eastAsia="Arial" w:hAnsi="Arial" w:cs="Arial"/>
          <w:bCs/>
          <w:sz w:val="22"/>
          <w:szCs w:val="22"/>
        </w:rPr>
        <w:t xml:space="preserve">. </w:t>
      </w:r>
      <w:r w:rsidRPr="00A1564B">
        <w:rPr>
          <w:rFonts w:ascii="Arial" w:hAnsi="Arial" w:cs="Arial"/>
          <w:sz w:val="22"/>
          <w:szCs w:val="22"/>
        </w:rPr>
        <w:t>Se financiará</w:t>
      </w:r>
      <w:r w:rsidRPr="00A1564B">
        <w:rPr>
          <w:rFonts w:ascii="Arial" w:eastAsia="Arial" w:hAnsi="Arial" w:cs="Arial"/>
          <w:bCs/>
          <w:sz w:val="22"/>
          <w:szCs w:val="22"/>
        </w:rPr>
        <w:t xml:space="preserve">: </w:t>
      </w:r>
      <w:r>
        <w:rPr>
          <w:rFonts w:ascii="Arial" w:eastAsia="Arial" w:hAnsi="Arial" w:cs="Arial"/>
          <w:bCs/>
          <w:sz w:val="22"/>
          <w:szCs w:val="22"/>
        </w:rPr>
        <w:t>(</w:t>
      </w:r>
      <w:r w:rsidRPr="00A1564B">
        <w:rPr>
          <w:rFonts w:ascii="Arial" w:eastAsia="Arial" w:hAnsi="Arial" w:cs="Arial"/>
          <w:bCs/>
          <w:sz w:val="22"/>
          <w:szCs w:val="22"/>
        </w:rPr>
        <w:t>a)</w:t>
      </w:r>
      <w:r>
        <w:rPr>
          <w:rFonts w:ascii="Arial" w:eastAsia="Arial" w:hAnsi="Arial" w:cs="Arial"/>
          <w:bCs/>
          <w:sz w:val="22"/>
          <w:szCs w:val="22"/>
        </w:rPr>
        <w:t> </w:t>
      </w:r>
      <w:r w:rsidRPr="00A1564B">
        <w:rPr>
          <w:rFonts w:ascii="Arial" w:hAnsi="Arial" w:cs="Arial"/>
          <w:sz w:val="22"/>
          <w:szCs w:val="22"/>
        </w:rPr>
        <w:t xml:space="preserve">elaboración de la </w:t>
      </w:r>
      <w:r w:rsidRPr="00A1564B">
        <w:rPr>
          <w:rFonts w:ascii="Arial" w:eastAsia="Arial" w:hAnsi="Arial" w:cs="Arial"/>
          <w:bCs/>
          <w:sz w:val="22"/>
          <w:szCs w:val="22"/>
        </w:rPr>
        <w:t>estrategia de fusión</w:t>
      </w:r>
      <w:r w:rsidRPr="00A1564B">
        <w:rPr>
          <w:rFonts w:ascii="Arial" w:hAnsi="Arial" w:cs="Arial"/>
          <w:sz w:val="22"/>
          <w:szCs w:val="22"/>
        </w:rPr>
        <w:t xml:space="preserve">; </w:t>
      </w:r>
      <w:r>
        <w:rPr>
          <w:rFonts w:ascii="Arial" w:hAnsi="Arial" w:cs="Arial"/>
          <w:sz w:val="22"/>
          <w:szCs w:val="22"/>
        </w:rPr>
        <w:t>(</w:t>
      </w:r>
      <w:r w:rsidRPr="00A1564B">
        <w:rPr>
          <w:rFonts w:ascii="Arial" w:hAnsi="Arial" w:cs="Arial"/>
          <w:sz w:val="22"/>
          <w:szCs w:val="22"/>
        </w:rPr>
        <w:t>b) implementación de la fusión</w:t>
      </w:r>
      <w:r>
        <w:rPr>
          <w:rFonts w:ascii="Arial" w:hAnsi="Arial" w:cs="Arial"/>
          <w:sz w:val="22"/>
          <w:szCs w:val="22"/>
        </w:rPr>
        <w:t xml:space="preserve"> (incluyendo diseño e implementación de una estrategia de gestión del cambio)</w:t>
      </w:r>
      <w:r>
        <w:rPr>
          <w:rStyle w:val="FootnoteReference"/>
          <w:rFonts w:ascii="Arial" w:hAnsi="Arial" w:cs="Arial"/>
          <w:sz w:val="22"/>
          <w:szCs w:val="22"/>
        </w:rPr>
        <w:footnoteReference w:id="25"/>
      </w:r>
      <w:r>
        <w:rPr>
          <w:rFonts w:ascii="Arial" w:hAnsi="Arial" w:cs="Arial"/>
          <w:sz w:val="22"/>
          <w:szCs w:val="22"/>
        </w:rPr>
        <w:t xml:space="preserve">; (c) asistencia técnica </w:t>
      </w:r>
      <w:r w:rsidRPr="00F550E6">
        <w:rPr>
          <w:rFonts w:ascii="Arial" w:hAnsi="Arial" w:cs="Arial"/>
          <w:sz w:val="22"/>
          <w:szCs w:val="22"/>
        </w:rPr>
        <w:t xml:space="preserve">sobre cadena de valor (exploración y producción petrolera) para mejorar la eficiencia </w:t>
      </w:r>
      <w:r>
        <w:rPr>
          <w:rFonts w:ascii="Arial" w:hAnsi="Arial" w:cs="Arial"/>
          <w:sz w:val="22"/>
          <w:szCs w:val="22"/>
        </w:rPr>
        <w:t xml:space="preserve">de la fusión; (d) </w:t>
      </w:r>
      <w:r w:rsidRPr="00905C69">
        <w:rPr>
          <w:rFonts w:ascii="Arial" w:hAnsi="Arial" w:cs="Arial"/>
          <w:sz w:val="22"/>
          <w:szCs w:val="22"/>
        </w:rPr>
        <w:t xml:space="preserve">implementación del Sistema informático de </w:t>
      </w:r>
      <w:r w:rsidRPr="00783DD7">
        <w:rPr>
          <w:rFonts w:ascii="Arial" w:hAnsi="Arial" w:cs="Arial"/>
          <w:sz w:val="22"/>
          <w:szCs w:val="22"/>
        </w:rPr>
        <w:t>gestión (SAP</w:t>
      </w:r>
      <w:r w:rsidRPr="002C6830">
        <w:rPr>
          <w:rFonts w:ascii="Arial" w:hAnsi="Arial" w:cs="Arial"/>
          <w:sz w:val="22"/>
          <w:szCs w:val="22"/>
        </w:rPr>
        <w:t>)</w:t>
      </w:r>
      <w:r w:rsidRPr="00C9211E">
        <w:rPr>
          <w:rFonts w:ascii="Arial" w:hAnsi="Arial" w:cs="Arial"/>
          <w:sz w:val="22"/>
          <w:szCs w:val="22"/>
        </w:rPr>
        <w:t xml:space="preserve">; </w:t>
      </w:r>
      <w:r>
        <w:rPr>
          <w:rFonts w:ascii="Arial" w:hAnsi="Arial" w:cs="Arial"/>
          <w:sz w:val="22"/>
          <w:szCs w:val="22"/>
        </w:rPr>
        <w:t xml:space="preserve">(e) asesoría legal en la fusión; </w:t>
      </w:r>
      <w:r w:rsidRPr="00C9211E">
        <w:rPr>
          <w:rFonts w:ascii="Arial" w:hAnsi="Arial" w:cs="Arial"/>
          <w:sz w:val="22"/>
          <w:szCs w:val="22"/>
        </w:rPr>
        <w:t>(ii) </w:t>
      </w:r>
      <w:r w:rsidRPr="00F550E6">
        <w:rPr>
          <w:rFonts w:ascii="Arial" w:hAnsi="Arial" w:cs="Arial"/>
          <w:sz w:val="22"/>
          <w:szCs w:val="22"/>
          <w:u w:val="single"/>
        </w:rPr>
        <w:t>optimización del funcionamiento de la CELEC y CNEL</w:t>
      </w:r>
      <w:r>
        <w:rPr>
          <w:rFonts w:ascii="Arial" w:hAnsi="Arial" w:cs="Arial"/>
          <w:sz w:val="22"/>
          <w:szCs w:val="22"/>
        </w:rPr>
        <w:t xml:space="preserve">. </w:t>
      </w:r>
      <w:r w:rsidRPr="00A1564B">
        <w:rPr>
          <w:rFonts w:ascii="Arial" w:hAnsi="Arial" w:cs="Arial"/>
          <w:sz w:val="22"/>
          <w:szCs w:val="22"/>
        </w:rPr>
        <w:t>Se financiará</w:t>
      </w:r>
      <w:r>
        <w:rPr>
          <w:rFonts w:ascii="Arial" w:hAnsi="Arial" w:cs="Arial"/>
          <w:sz w:val="22"/>
          <w:szCs w:val="22"/>
        </w:rPr>
        <w:t xml:space="preserve"> una consultoría que incluya</w:t>
      </w:r>
      <w:r w:rsidRPr="00A1564B">
        <w:rPr>
          <w:rFonts w:ascii="Arial" w:hAnsi="Arial" w:cs="Arial"/>
          <w:sz w:val="22"/>
          <w:szCs w:val="22"/>
        </w:rPr>
        <w:t xml:space="preserve">: </w:t>
      </w:r>
      <w:r>
        <w:rPr>
          <w:rFonts w:ascii="Arial" w:hAnsi="Arial" w:cs="Arial"/>
          <w:sz w:val="22"/>
          <w:szCs w:val="22"/>
        </w:rPr>
        <w:t>(</w:t>
      </w:r>
      <w:r w:rsidRPr="00A1564B">
        <w:rPr>
          <w:rFonts w:ascii="Arial" w:hAnsi="Arial" w:cs="Arial"/>
          <w:sz w:val="22"/>
          <w:szCs w:val="22"/>
        </w:rPr>
        <w:t xml:space="preserve">a) </w:t>
      </w:r>
      <w:r w:rsidRPr="00C84BDF">
        <w:rPr>
          <w:rFonts w:ascii="Arial" w:hAnsi="Arial" w:cs="Arial"/>
          <w:sz w:val="22"/>
          <w:szCs w:val="22"/>
        </w:rPr>
        <w:t>diagn</w:t>
      </w:r>
      <w:r>
        <w:rPr>
          <w:rFonts w:ascii="Arial" w:hAnsi="Arial" w:cs="Arial"/>
          <w:sz w:val="22"/>
          <w:szCs w:val="22"/>
        </w:rPr>
        <w:t>ó</w:t>
      </w:r>
      <w:r w:rsidRPr="00C84BDF">
        <w:rPr>
          <w:rFonts w:ascii="Arial" w:hAnsi="Arial" w:cs="Arial"/>
          <w:sz w:val="22"/>
          <w:szCs w:val="22"/>
        </w:rPr>
        <w:t>stico institucional y propuesta coordinada de gestión del sector eléctrico</w:t>
      </w:r>
      <w:r>
        <w:rPr>
          <w:rFonts w:ascii="Arial" w:hAnsi="Arial" w:cs="Arial"/>
          <w:sz w:val="22"/>
          <w:szCs w:val="22"/>
        </w:rPr>
        <w:t xml:space="preserve">, </w:t>
      </w:r>
      <w:r w:rsidRPr="0071008E">
        <w:rPr>
          <w:rFonts w:ascii="Arial" w:hAnsi="Arial" w:cs="Arial"/>
          <w:sz w:val="22"/>
          <w:szCs w:val="22"/>
        </w:rPr>
        <w:t>incluyendo el diseño de una estrategia de gestión del cambio</w:t>
      </w:r>
      <w:r w:rsidRPr="00C84BDF">
        <w:rPr>
          <w:rFonts w:ascii="Arial" w:hAnsi="Arial" w:cs="Arial"/>
          <w:sz w:val="22"/>
          <w:szCs w:val="22"/>
        </w:rPr>
        <w:t xml:space="preserve">; </w:t>
      </w:r>
      <w:r>
        <w:rPr>
          <w:rFonts w:ascii="Arial" w:hAnsi="Arial" w:cs="Arial"/>
          <w:sz w:val="22"/>
          <w:szCs w:val="22"/>
        </w:rPr>
        <w:t>(</w:t>
      </w:r>
      <w:r w:rsidRPr="00C84BDF">
        <w:rPr>
          <w:rFonts w:ascii="Arial" w:hAnsi="Arial" w:cs="Arial"/>
          <w:sz w:val="22"/>
          <w:szCs w:val="22"/>
        </w:rPr>
        <w:t xml:space="preserve">b) implementación de las reformas a la LOEP; </w:t>
      </w:r>
      <w:r>
        <w:rPr>
          <w:rFonts w:ascii="Arial" w:hAnsi="Arial" w:cs="Arial"/>
          <w:sz w:val="22"/>
          <w:szCs w:val="22"/>
        </w:rPr>
        <w:t>(</w:t>
      </w:r>
      <w:r w:rsidRPr="00C84BDF">
        <w:rPr>
          <w:rFonts w:ascii="Arial" w:hAnsi="Arial" w:cs="Arial"/>
          <w:sz w:val="22"/>
          <w:szCs w:val="22"/>
        </w:rPr>
        <w:t xml:space="preserve">c) estudios de costes de producción, </w:t>
      </w:r>
      <w:r>
        <w:rPr>
          <w:rFonts w:ascii="Arial" w:hAnsi="Arial" w:cs="Arial"/>
          <w:sz w:val="22"/>
          <w:szCs w:val="22"/>
        </w:rPr>
        <w:t>con</w:t>
      </w:r>
      <w:r w:rsidRPr="00C84BDF">
        <w:rPr>
          <w:rFonts w:ascii="Arial" w:hAnsi="Arial" w:cs="Arial"/>
          <w:sz w:val="22"/>
          <w:szCs w:val="22"/>
        </w:rPr>
        <w:t xml:space="preserve"> estimación de valor de activos</w:t>
      </w:r>
      <w:r w:rsidRPr="00A1564B">
        <w:rPr>
          <w:rFonts w:ascii="Arial" w:eastAsia="Arial" w:hAnsi="Arial" w:cs="Arial"/>
          <w:bCs/>
          <w:sz w:val="22"/>
          <w:szCs w:val="22"/>
        </w:rPr>
        <w:t xml:space="preserve">; </w:t>
      </w:r>
      <w:r>
        <w:rPr>
          <w:rFonts w:ascii="Arial" w:eastAsia="Arial" w:hAnsi="Arial" w:cs="Arial"/>
          <w:bCs/>
          <w:sz w:val="22"/>
          <w:szCs w:val="22"/>
        </w:rPr>
        <w:t xml:space="preserve">y </w:t>
      </w:r>
      <w:r w:rsidRPr="00A1564B">
        <w:rPr>
          <w:rFonts w:ascii="Arial" w:eastAsia="Arial" w:hAnsi="Arial" w:cs="Arial"/>
          <w:bCs/>
          <w:sz w:val="22"/>
          <w:szCs w:val="22"/>
        </w:rPr>
        <w:t xml:space="preserve">(iii) </w:t>
      </w:r>
      <w:bookmarkEnd w:id="18"/>
      <w:r w:rsidRPr="00F550E6">
        <w:rPr>
          <w:rFonts w:ascii="Arial" w:eastAsia="Arial" w:hAnsi="Arial" w:cs="Arial"/>
          <w:bCs/>
          <w:sz w:val="22"/>
          <w:szCs w:val="22"/>
          <w:u w:val="single"/>
        </w:rPr>
        <w:t>valoración patrimonial de Tame</w:t>
      </w:r>
      <w:r>
        <w:rPr>
          <w:rFonts w:ascii="Arial" w:eastAsia="Arial" w:hAnsi="Arial" w:cs="Arial"/>
          <w:bCs/>
          <w:sz w:val="22"/>
          <w:szCs w:val="22"/>
        </w:rPr>
        <w:t>. Se financiará: (a)</w:t>
      </w:r>
      <w:r w:rsidRPr="00A1564B">
        <w:rPr>
          <w:rFonts w:ascii="Arial" w:eastAsia="Arial" w:hAnsi="Arial" w:cs="Arial"/>
          <w:bCs/>
          <w:sz w:val="22"/>
          <w:szCs w:val="22"/>
        </w:rPr>
        <w:t xml:space="preserve"> </w:t>
      </w:r>
      <w:r w:rsidRPr="00A1564B">
        <w:rPr>
          <w:rFonts w:ascii="Arial" w:hAnsi="Arial" w:cs="Arial"/>
          <w:sz w:val="22"/>
          <w:szCs w:val="22"/>
        </w:rPr>
        <w:t xml:space="preserve">evaluación de pertinencia de propiedad estatal, análisis de mercado, y estrategia de puesta en </w:t>
      </w:r>
      <w:r w:rsidRPr="00783DD7">
        <w:rPr>
          <w:rFonts w:ascii="Arial" w:hAnsi="Arial" w:cs="Arial"/>
          <w:sz w:val="22"/>
          <w:szCs w:val="22"/>
        </w:rPr>
        <w:t>valor</w:t>
      </w:r>
      <w:r w:rsidRPr="00A1564B">
        <w:rPr>
          <w:rStyle w:val="FootnoteReference"/>
          <w:rFonts w:ascii="Arial" w:hAnsi="Arial" w:cs="Arial"/>
          <w:sz w:val="22"/>
          <w:szCs w:val="22"/>
        </w:rPr>
        <w:footnoteReference w:id="26"/>
      </w:r>
      <w:r>
        <w:rPr>
          <w:rFonts w:ascii="Arial" w:hAnsi="Arial" w:cs="Arial"/>
          <w:sz w:val="22"/>
          <w:szCs w:val="22"/>
        </w:rPr>
        <w:t xml:space="preserve">; y (b) elaboración de los </w:t>
      </w:r>
      <w:r w:rsidRPr="00F550E6">
        <w:rPr>
          <w:rFonts w:ascii="Arial" w:hAnsi="Arial" w:cs="Arial"/>
          <w:sz w:val="22"/>
          <w:szCs w:val="22"/>
        </w:rPr>
        <w:t>Estados Financieros con las NIIF 2017-2018</w:t>
      </w:r>
      <w:r>
        <w:rPr>
          <w:rFonts w:ascii="Arial" w:hAnsi="Arial" w:cs="Arial"/>
          <w:sz w:val="22"/>
          <w:szCs w:val="22"/>
        </w:rPr>
        <w:t>.</w:t>
      </w:r>
      <w:r w:rsidRPr="00A1564B">
        <w:rPr>
          <w:rFonts w:ascii="Arial" w:hAnsi="Arial" w:cs="Arial"/>
          <w:sz w:val="22"/>
          <w:szCs w:val="22"/>
        </w:rPr>
        <w:t xml:space="preserve"> </w:t>
      </w:r>
    </w:p>
    <w:p w14:paraId="1BCA258C" w14:textId="7E001E73" w:rsidR="004420A4" w:rsidRPr="00F85253" w:rsidRDefault="00CB4053" w:rsidP="000E3C5E">
      <w:pPr>
        <w:pStyle w:val="subpar"/>
        <w:numPr>
          <w:ilvl w:val="2"/>
          <w:numId w:val="40"/>
        </w:numPr>
        <w:rPr>
          <w:lang w:val="es-EC"/>
        </w:rPr>
      </w:pPr>
      <w:r w:rsidRPr="000E3C5E">
        <w:rPr>
          <w:rFonts w:ascii="Arial" w:hAnsi="Arial" w:cs="Arial"/>
          <w:b/>
          <w:sz w:val="22"/>
          <w:szCs w:val="22"/>
          <w:lang w:val="es-ES_tradnl"/>
        </w:rPr>
        <w:t>Subcomponente</w:t>
      </w:r>
      <w:r w:rsidRPr="000E3C5E">
        <w:rPr>
          <w:rFonts w:ascii="Arial" w:hAnsi="Arial" w:cs="Arial"/>
          <w:b/>
        </w:rPr>
        <w:t xml:space="preserve"> 2.2. Mejora de la gestión y optimización del TH.</w:t>
      </w:r>
      <w:r w:rsidRPr="000E3C5E">
        <w:rPr>
          <w:rFonts w:ascii="Arial" w:hAnsi="Arial" w:cs="Arial"/>
        </w:rPr>
        <w:t xml:space="preserve"> Se financiará: (i) desvinculaciones del personal derivado de las consultorías de optimización financiadas por el Programa, de las EEPP EMCO, Petroecuador, Petroamazonas, CELEC, CNEL y Tame. Para ello, se apoyará el financiamiento de desvinculaciones</w:t>
      </w:r>
      <w:r>
        <w:rPr>
          <w:rStyle w:val="FootnoteReference"/>
          <w:rFonts w:ascii="Arial" w:hAnsi="Arial" w:cs="Arial"/>
          <w:sz w:val="22"/>
          <w:szCs w:val="22"/>
        </w:rPr>
        <w:footnoteReference w:id="27"/>
      </w:r>
      <w:r w:rsidRPr="000E3C5E">
        <w:rPr>
          <w:rFonts w:ascii="Arial" w:hAnsi="Arial" w:cs="Arial"/>
        </w:rPr>
        <w:t xml:space="preserve"> priorizadas en las modalidades: (a) obligatoria por edad (más de 70 años)</w:t>
      </w:r>
      <w:r>
        <w:rPr>
          <w:rStyle w:val="FootnoteReference"/>
          <w:rFonts w:ascii="Arial" w:hAnsi="Arial" w:cs="Arial"/>
          <w:sz w:val="22"/>
          <w:szCs w:val="22"/>
        </w:rPr>
        <w:footnoteReference w:id="28"/>
      </w:r>
      <w:r w:rsidRPr="000E3C5E">
        <w:rPr>
          <w:rFonts w:ascii="Arial" w:hAnsi="Arial" w:cs="Arial"/>
        </w:rPr>
        <w:t>; (b) voluntaria por enfermedad catastrófica, invalidez o discapacidad</w:t>
      </w:r>
      <w:r>
        <w:rPr>
          <w:rStyle w:val="FootnoteReference"/>
          <w:rFonts w:ascii="Arial" w:hAnsi="Arial" w:cs="Arial"/>
          <w:sz w:val="22"/>
          <w:szCs w:val="22"/>
        </w:rPr>
        <w:footnoteReference w:id="29"/>
      </w:r>
      <w:r w:rsidRPr="000E3C5E">
        <w:rPr>
          <w:rFonts w:ascii="Arial" w:hAnsi="Arial" w:cs="Arial"/>
        </w:rPr>
        <w:t>; (c) renuncia voluntaria</w:t>
      </w:r>
      <w:r>
        <w:rPr>
          <w:rStyle w:val="FootnoteReference"/>
          <w:rFonts w:ascii="Arial" w:hAnsi="Arial" w:cs="Arial"/>
          <w:sz w:val="22"/>
          <w:szCs w:val="22"/>
        </w:rPr>
        <w:footnoteReference w:id="30"/>
      </w:r>
      <w:r w:rsidRPr="000E3C5E">
        <w:rPr>
          <w:rFonts w:ascii="Arial" w:hAnsi="Arial" w:cs="Arial"/>
        </w:rPr>
        <w:t>; y (d) supresión de puestos</w:t>
      </w:r>
      <w:r>
        <w:rPr>
          <w:rStyle w:val="FootnoteReference"/>
          <w:rFonts w:ascii="Arial" w:hAnsi="Arial" w:cs="Arial"/>
          <w:sz w:val="22"/>
          <w:szCs w:val="22"/>
        </w:rPr>
        <w:footnoteReference w:id="31"/>
      </w:r>
      <w:r w:rsidRPr="000E3C5E">
        <w:rPr>
          <w:rFonts w:ascii="Arial" w:hAnsi="Arial" w:cs="Arial"/>
          <w:vertAlign w:val="superscript"/>
        </w:rPr>
        <w:t>,</w:t>
      </w:r>
      <w:r>
        <w:rPr>
          <w:rStyle w:val="FootnoteReference"/>
          <w:rFonts w:ascii="Arial" w:hAnsi="Arial" w:cs="Arial"/>
          <w:sz w:val="22"/>
          <w:szCs w:val="22"/>
        </w:rPr>
        <w:footnoteReference w:id="32"/>
      </w:r>
      <w:r w:rsidRPr="000E3C5E">
        <w:rPr>
          <w:rFonts w:ascii="Arial" w:hAnsi="Arial" w:cs="Arial"/>
        </w:rPr>
        <w:t xml:space="preserve">, las cuales deberán cumplir con </w:t>
      </w:r>
      <w:r w:rsidRPr="000E3C5E">
        <w:rPr>
          <w:rFonts w:ascii="Arial" w:hAnsi="Arial" w:cs="Arial"/>
        </w:rPr>
        <w:lastRenderedPageBreak/>
        <w:t>los requisitos de elegibilidad y demás requerimientos establecidos para tal fin en el Reglamento Operativo del Programa (ROP). Dichas modalidades se encuentran avaladas por el marco legal vigente (Ley Orgánica de Servicio Público (LOSEP) y LOEP</w:t>
      </w:r>
      <w:r>
        <w:rPr>
          <w:rStyle w:val="FootnoteReference"/>
          <w:rFonts w:ascii="Arial" w:hAnsi="Arial" w:cs="Arial"/>
          <w:sz w:val="22"/>
          <w:szCs w:val="22"/>
        </w:rPr>
        <w:footnoteReference w:id="33"/>
      </w:r>
      <w:r w:rsidRPr="000E3C5E">
        <w:rPr>
          <w:rFonts w:ascii="Arial" w:hAnsi="Arial" w:cs="Arial"/>
        </w:rPr>
        <w:t xml:space="preserve">). Estas jubilaciones beneficiarán a </w:t>
      </w:r>
      <w:r w:rsidR="00D01FAD">
        <w:rPr>
          <w:rFonts w:ascii="Arial" w:hAnsi="Arial" w:cs="Arial"/>
        </w:rPr>
        <w:t xml:space="preserve">aproximadamente </w:t>
      </w:r>
      <w:r w:rsidRPr="000E3C5E">
        <w:rPr>
          <w:rFonts w:ascii="Arial" w:hAnsi="Arial" w:cs="Arial"/>
        </w:rPr>
        <w:t>3.350 empleados de dichas EEPP; con una bonificación promedio de US$30.000;</w:t>
      </w:r>
      <w:r w:rsidRPr="009A0E7F">
        <w:rPr>
          <w:rFonts w:eastAsia="Calibri" w:cstheme="minorHAnsi"/>
          <w:lang w:eastAsia="x-none"/>
        </w:rPr>
        <w:t xml:space="preserve"> </w:t>
      </w:r>
      <w:r w:rsidRPr="000E3C5E">
        <w:rPr>
          <w:rFonts w:ascii="Arial" w:hAnsi="Arial" w:cs="Arial"/>
        </w:rPr>
        <w:t>y (ii) implementación de la estrategia de comunicación (pública e interna) que facilite la comprensión de la reforma y beneficios para el ciudadano</w:t>
      </w:r>
      <w:r w:rsidRPr="00656A48">
        <w:rPr>
          <w:rStyle w:val="FootnoteReference"/>
          <w:rFonts w:ascii="Arial" w:hAnsi="Arial" w:cs="Arial"/>
          <w:sz w:val="22"/>
          <w:szCs w:val="22"/>
        </w:rPr>
        <w:footnoteReference w:id="34"/>
      </w:r>
      <w:bookmarkEnd w:id="19"/>
      <w:r w:rsidRPr="000E3C5E">
        <w:rPr>
          <w:rFonts w:ascii="Arial" w:hAnsi="Arial" w:cs="Arial"/>
        </w:rPr>
        <w:t>.</w:t>
      </w:r>
      <w:bookmarkStart w:id="20" w:name="_Hlk5875121"/>
    </w:p>
    <w:p w14:paraId="4103BFAA" w14:textId="77777777" w:rsidR="004420A4" w:rsidRPr="00F85253" w:rsidRDefault="004420A4" w:rsidP="004420A4">
      <w:pPr>
        <w:pStyle w:val="ListParagraph"/>
        <w:widowControl w:val="0"/>
        <w:autoSpaceDE w:val="0"/>
        <w:autoSpaceDN w:val="0"/>
        <w:adjustRightInd w:val="0"/>
        <w:spacing w:after="0"/>
        <w:ind w:left="709" w:right="79"/>
        <w:jc w:val="both"/>
        <w:rPr>
          <w:rFonts w:ascii="Arial" w:hAnsi="Arial" w:cs="Arial"/>
          <w:lang w:val="es-EC"/>
        </w:rPr>
      </w:pPr>
    </w:p>
    <w:p w14:paraId="06331D35" w14:textId="73679124" w:rsidR="004420A4" w:rsidRPr="00F85253" w:rsidRDefault="002560FB" w:rsidP="004420A4">
      <w:pPr>
        <w:pStyle w:val="ListParagraph"/>
        <w:widowControl w:val="0"/>
        <w:numPr>
          <w:ilvl w:val="1"/>
          <w:numId w:val="2"/>
        </w:numPr>
        <w:tabs>
          <w:tab w:val="clear" w:pos="1296"/>
          <w:tab w:val="num" w:pos="709"/>
        </w:tabs>
        <w:autoSpaceDE w:val="0"/>
        <w:autoSpaceDN w:val="0"/>
        <w:adjustRightInd w:val="0"/>
        <w:spacing w:after="0"/>
        <w:ind w:left="709" w:right="79" w:hanging="709"/>
        <w:jc w:val="both"/>
        <w:rPr>
          <w:rFonts w:ascii="Arial" w:hAnsi="Arial" w:cs="Arial"/>
          <w:lang w:val="es-EC"/>
        </w:rPr>
      </w:pPr>
      <w:r w:rsidRPr="00F85253">
        <w:rPr>
          <w:rFonts w:ascii="Arial" w:hAnsi="Arial" w:cs="Arial"/>
          <w:b/>
          <w:bCs/>
          <w:color w:val="000000"/>
          <w:spacing w:val="-6"/>
          <w:lang w:val="es-EC"/>
        </w:rPr>
        <w:t>A</w:t>
      </w:r>
      <w:r w:rsidRPr="00F85253">
        <w:rPr>
          <w:rFonts w:ascii="Arial" w:hAnsi="Arial" w:cs="Arial"/>
          <w:b/>
          <w:bCs/>
          <w:color w:val="000000"/>
          <w:spacing w:val="2"/>
          <w:lang w:val="es-EC"/>
        </w:rPr>
        <w:t>d</w:t>
      </w:r>
      <w:r w:rsidRPr="00F85253">
        <w:rPr>
          <w:rFonts w:ascii="Arial" w:hAnsi="Arial" w:cs="Arial"/>
          <w:b/>
          <w:bCs/>
          <w:color w:val="000000"/>
          <w:spacing w:val="1"/>
          <w:lang w:val="es-EC"/>
        </w:rPr>
        <w:t>mi</w:t>
      </w:r>
      <w:r w:rsidRPr="00F85253">
        <w:rPr>
          <w:rFonts w:ascii="Arial" w:hAnsi="Arial" w:cs="Arial"/>
          <w:b/>
          <w:bCs/>
          <w:color w:val="000000"/>
          <w:lang w:val="es-EC"/>
        </w:rPr>
        <w:t>n</w:t>
      </w:r>
      <w:r w:rsidRPr="00F85253">
        <w:rPr>
          <w:rFonts w:ascii="Arial" w:hAnsi="Arial" w:cs="Arial"/>
          <w:b/>
          <w:bCs/>
          <w:color w:val="000000"/>
          <w:spacing w:val="1"/>
          <w:lang w:val="es-EC"/>
        </w:rPr>
        <w:t>i</w:t>
      </w:r>
      <w:r w:rsidRPr="00F85253">
        <w:rPr>
          <w:rFonts w:ascii="Arial" w:hAnsi="Arial" w:cs="Arial"/>
          <w:b/>
          <w:bCs/>
          <w:color w:val="000000"/>
          <w:lang w:val="es-EC"/>
        </w:rPr>
        <w:t>s</w:t>
      </w:r>
      <w:r w:rsidRPr="00F85253">
        <w:rPr>
          <w:rFonts w:ascii="Arial" w:hAnsi="Arial" w:cs="Arial"/>
          <w:b/>
          <w:bCs/>
          <w:color w:val="000000"/>
          <w:spacing w:val="1"/>
          <w:lang w:val="es-EC"/>
        </w:rPr>
        <w:t>tr</w:t>
      </w:r>
      <w:r w:rsidRPr="00F85253">
        <w:rPr>
          <w:rFonts w:ascii="Arial" w:hAnsi="Arial" w:cs="Arial"/>
          <w:b/>
          <w:bCs/>
          <w:color w:val="000000"/>
          <w:lang w:val="es-EC"/>
        </w:rPr>
        <w:t>a</w:t>
      </w:r>
      <w:r w:rsidRPr="00F85253">
        <w:rPr>
          <w:rFonts w:ascii="Arial" w:hAnsi="Arial" w:cs="Arial"/>
          <w:b/>
          <w:bCs/>
          <w:color w:val="000000"/>
          <w:spacing w:val="-3"/>
          <w:lang w:val="es-EC"/>
        </w:rPr>
        <w:t>c</w:t>
      </w:r>
      <w:r w:rsidRPr="00F85253">
        <w:rPr>
          <w:rFonts w:ascii="Arial" w:hAnsi="Arial" w:cs="Arial"/>
          <w:b/>
          <w:bCs/>
          <w:color w:val="000000"/>
          <w:spacing w:val="1"/>
          <w:lang w:val="es-EC"/>
        </w:rPr>
        <w:t>i</w:t>
      </w:r>
      <w:r w:rsidRPr="00F85253">
        <w:rPr>
          <w:rFonts w:ascii="Arial" w:hAnsi="Arial" w:cs="Arial"/>
          <w:b/>
          <w:bCs/>
          <w:color w:val="000000"/>
          <w:lang w:val="es-EC"/>
        </w:rPr>
        <w:t>ón</w:t>
      </w:r>
      <w:r w:rsidRPr="00F85253">
        <w:rPr>
          <w:rFonts w:ascii="Arial" w:hAnsi="Arial" w:cs="Arial"/>
          <w:b/>
          <w:bCs/>
          <w:color w:val="000000"/>
          <w:spacing w:val="35"/>
          <w:lang w:val="es-EC"/>
        </w:rPr>
        <w:t xml:space="preserve"> </w:t>
      </w:r>
      <w:r w:rsidRPr="00F85253">
        <w:rPr>
          <w:rFonts w:ascii="Arial" w:hAnsi="Arial" w:cs="Arial"/>
          <w:b/>
          <w:bCs/>
          <w:color w:val="000000"/>
          <w:spacing w:val="-1"/>
          <w:lang w:val="es-EC"/>
        </w:rPr>
        <w:t>d</w:t>
      </w:r>
      <w:r w:rsidRPr="00F85253">
        <w:rPr>
          <w:rFonts w:ascii="Arial" w:hAnsi="Arial" w:cs="Arial"/>
          <w:b/>
          <w:bCs/>
          <w:color w:val="000000"/>
          <w:spacing w:val="-3"/>
          <w:lang w:val="es-EC"/>
        </w:rPr>
        <w:t>e</w:t>
      </w:r>
      <w:r w:rsidRPr="00F85253">
        <w:rPr>
          <w:rFonts w:ascii="Arial" w:hAnsi="Arial" w:cs="Arial"/>
          <w:b/>
          <w:bCs/>
          <w:color w:val="000000"/>
          <w:lang w:val="es-EC"/>
        </w:rPr>
        <w:t>l</w:t>
      </w:r>
      <w:r w:rsidRPr="00F85253">
        <w:rPr>
          <w:rFonts w:ascii="Arial" w:hAnsi="Arial" w:cs="Arial"/>
          <w:b/>
          <w:bCs/>
          <w:color w:val="000000"/>
          <w:spacing w:val="34"/>
          <w:lang w:val="es-EC"/>
        </w:rPr>
        <w:t xml:space="preserve"> </w:t>
      </w:r>
      <w:r w:rsidRPr="00F85253">
        <w:rPr>
          <w:rFonts w:ascii="Arial" w:hAnsi="Arial" w:cs="Arial"/>
          <w:b/>
          <w:bCs/>
          <w:color w:val="000000"/>
          <w:lang w:val="es-EC"/>
        </w:rPr>
        <w:t>p</w:t>
      </w:r>
      <w:r w:rsidRPr="00F85253">
        <w:rPr>
          <w:rFonts w:ascii="Arial" w:hAnsi="Arial" w:cs="Arial"/>
          <w:b/>
          <w:bCs/>
          <w:color w:val="000000"/>
          <w:spacing w:val="-2"/>
          <w:lang w:val="es-EC"/>
        </w:rPr>
        <w:t>r</w:t>
      </w:r>
      <w:r w:rsidRPr="00F85253">
        <w:rPr>
          <w:rFonts w:ascii="Arial" w:hAnsi="Arial" w:cs="Arial"/>
          <w:b/>
          <w:bCs/>
          <w:color w:val="000000"/>
          <w:lang w:val="es-EC"/>
        </w:rPr>
        <w:t>og</w:t>
      </w:r>
      <w:r w:rsidRPr="00F85253">
        <w:rPr>
          <w:rFonts w:ascii="Arial" w:hAnsi="Arial" w:cs="Arial"/>
          <w:b/>
          <w:bCs/>
          <w:color w:val="000000"/>
          <w:spacing w:val="1"/>
          <w:lang w:val="es-EC"/>
        </w:rPr>
        <w:t>r</w:t>
      </w:r>
      <w:r w:rsidRPr="00F85253">
        <w:rPr>
          <w:rFonts w:ascii="Arial" w:hAnsi="Arial" w:cs="Arial"/>
          <w:b/>
          <w:bCs/>
          <w:color w:val="000000"/>
          <w:lang w:val="es-EC"/>
        </w:rPr>
        <w:t>a</w:t>
      </w:r>
      <w:r w:rsidRPr="00F85253">
        <w:rPr>
          <w:rFonts w:ascii="Arial" w:hAnsi="Arial" w:cs="Arial"/>
          <w:b/>
          <w:bCs/>
          <w:color w:val="000000"/>
          <w:spacing w:val="1"/>
          <w:lang w:val="es-EC"/>
        </w:rPr>
        <w:t>m</w:t>
      </w:r>
      <w:r w:rsidR="00867FB4" w:rsidRPr="00F85253">
        <w:rPr>
          <w:rFonts w:ascii="Arial" w:hAnsi="Arial" w:cs="Arial"/>
          <w:b/>
          <w:bCs/>
          <w:color w:val="000000"/>
          <w:lang w:val="es-EC"/>
        </w:rPr>
        <w:t>a</w:t>
      </w:r>
      <w:r w:rsidRPr="00F85253">
        <w:rPr>
          <w:rFonts w:ascii="Arial" w:hAnsi="Arial" w:cs="Arial"/>
          <w:b/>
          <w:bCs/>
          <w:color w:val="000000"/>
          <w:lang w:val="es-EC"/>
        </w:rPr>
        <w:t xml:space="preserve"> (</w:t>
      </w:r>
      <w:r w:rsidRPr="00F85253">
        <w:rPr>
          <w:rFonts w:ascii="Arial" w:hAnsi="Arial" w:cs="Arial"/>
          <w:b/>
          <w:bCs/>
          <w:lang w:val="es-EC"/>
        </w:rPr>
        <w:t>USD</w:t>
      </w:r>
      <w:r w:rsidR="00477855" w:rsidRPr="00F85253">
        <w:rPr>
          <w:rFonts w:ascii="Arial" w:hAnsi="Arial" w:cs="Arial"/>
          <w:b/>
          <w:bCs/>
          <w:lang w:val="es-EC"/>
        </w:rPr>
        <w:t xml:space="preserve"> </w:t>
      </w:r>
      <w:r w:rsidR="008E3FF8" w:rsidRPr="00F85253">
        <w:rPr>
          <w:rFonts w:ascii="Arial" w:hAnsi="Arial" w:cs="Arial"/>
          <w:b/>
          <w:bCs/>
          <w:lang w:val="es-EC"/>
        </w:rPr>
        <w:t>3.</w:t>
      </w:r>
      <w:r w:rsidR="00CB4053">
        <w:rPr>
          <w:rFonts w:ascii="Arial" w:hAnsi="Arial" w:cs="Arial"/>
          <w:b/>
          <w:bCs/>
          <w:lang w:val="es-EC"/>
        </w:rPr>
        <w:t>4</w:t>
      </w:r>
      <w:r w:rsidR="00D665D8" w:rsidRPr="00F85253">
        <w:rPr>
          <w:rFonts w:ascii="Arial" w:hAnsi="Arial" w:cs="Arial"/>
          <w:b/>
          <w:bCs/>
          <w:lang w:val="es-EC"/>
        </w:rPr>
        <w:t xml:space="preserve"> </w:t>
      </w:r>
      <w:r w:rsidRPr="00F85253">
        <w:rPr>
          <w:rFonts w:ascii="Arial" w:hAnsi="Arial" w:cs="Arial"/>
          <w:b/>
          <w:bCs/>
          <w:lang w:val="es-EC"/>
        </w:rPr>
        <w:t>millones).</w:t>
      </w:r>
      <w:r w:rsidRPr="00F85253">
        <w:rPr>
          <w:rFonts w:ascii="Arial" w:hAnsi="Arial" w:cs="Arial"/>
          <w:b/>
          <w:bCs/>
          <w:spacing w:val="34"/>
          <w:lang w:val="es-EC"/>
        </w:rPr>
        <w:t xml:space="preserve"> </w:t>
      </w:r>
      <w:r w:rsidRPr="00F85253">
        <w:rPr>
          <w:rFonts w:ascii="Arial" w:hAnsi="Arial" w:cs="Arial"/>
          <w:color w:val="000000"/>
          <w:spacing w:val="-1"/>
          <w:lang w:val="es-EC"/>
        </w:rPr>
        <w:t>Adicionalmente, s</w:t>
      </w:r>
      <w:r w:rsidRPr="00F85253">
        <w:rPr>
          <w:rFonts w:ascii="Arial" w:hAnsi="Arial" w:cs="Arial"/>
          <w:color w:val="000000"/>
          <w:lang w:val="es-EC"/>
        </w:rPr>
        <w:t>e</w:t>
      </w:r>
      <w:r w:rsidRPr="00F85253">
        <w:rPr>
          <w:rFonts w:ascii="Arial" w:hAnsi="Arial" w:cs="Arial"/>
          <w:color w:val="000000"/>
          <w:spacing w:val="32"/>
          <w:lang w:val="es-EC"/>
        </w:rPr>
        <w:t xml:space="preserve"> </w:t>
      </w:r>
      <w:r w:rsidRPr="00F85253">
        <w:rPr>
          <w:rFonts w:ascii="Arial" w:hAnsi="Arial" w:cs="Arial"/>
          <w:color w:val="000000"/>
          <w:spacing w:val="3"/>
          <w:lang w:val="es-EC"/>
        </w:rPr>
        <w:t>f</w:t>
      </w:r>
      <w:r w:rsidRPr="00F85253">
        <w:rPr>
          <w:rFonts w:ascii="Arial" w:hAnsi="Arial" w:cs="Arial"/>
          <w:color w:val="000000"/>
          <w:spacing w:val="-1"/>
          <w:lang w:val="es-EC"/>
        </w:rPr>
        <w:t>i</w:t>
      </w:r>
      <w:r w:rsidRPr="00F85253">
        <w:rPr>
          <w:rFonts w:ascii="Arial" w:hAnsi="Arial" w:cs="Arial"/>
          <w:color w:val="000000"/>
          <w:lang w:val="es-EC"/>
        </w:rPr>
        <w:t>na</w:t>
      </w:r>
      <w:r w:rsidRPr="00F85253">
        <w:rPr>
          <w:rFonts w:ascii="Arial" w:hAnsi="Arial" w:cs="Arial"/>
          <w:color w:val="000000"/>
          <w:spacing w:val="-3"/>
          <w:lang w:val="es-EC"/>
        </w:rPr>
        <w:t>n</w:t>
      </w:r>
      <w:r w:rsidRPr="00F85253">
        <w:rPr>
          <w:rFonts w:ascii="Arial" w:hAnsi="Arial" w:cs="Arial"/>
          <w:color w:val="000000"/>
          <w:lang w:val="es-EC"/>
        </w:rPr>
        <w:t>c</w:t>
      </w:r>
      <w:r w:rsidRPr="00F85253">
        <w:rPr>
          <w:rFonts w:ascii="Arial" w:hAnsi="Arial" w:cs="Arial"/>
          <w:color w:val="000000"/>
          <w:spacing w:val="-1"/>
          <w:lang w:val="es-EC"/>
        </w:rPr>
        <w:t>i</w:t>
      </w:r>
      <w:r w:rsidRPr="00F85253">
        <w:rPr>
          <w:rFonts w:ascii="Arial" w:hAnsi="Arial" w:cs="Arial"/>
          <w:color w:val="000000"/>
          <w:lang w:val="es-EC"/>
        </w:rPr>
        <w:t>a</w:t>
      </w:r>
      <w:r w:rsidRPr="00F85253">
        <w:rPr>
          <w:rFonts w:ascii="Arial" w:hAnsi="Arial" w:cs="Arial"/>
          <w:color w:val="000000"/>
          <w:spacing w:val="1"/>
          <w:lang w:val="es-EC"/>
        </w:rPr>
        <w:t>r</w:t>
      </w:r>
      <w:r w:rsidRPr="00F85253">
        <w:rPr>
          <w:rFonts w:ascii="Arial" w:hAnsi="Arial" w:cs="Arial"/>
          <w:color w:val="000000"/>
          <w:lang w:val="es-EC"/>
        </w:rPr>
        <w:t>án</w:t>
      </w:r>
      <w:r w:rsidRPr="00F85253">
        <w:rPr>
          <w:rFonts w:ascii="Arial" w:hAnsi="Arial" w:cs="Arial"/>
          <w:color w:val="000000"/>
          <w:spacing w:val="35"/>
          <w:lang w:val="es-EC"/>
        </w:rPr>
        <w:t xml:space="preserve"> </w:t>
      </w:r>
      <w:r w:rsidRPr="00F85253">
        <w:rPr>
          <w:rFonts w:ascii="Arial" w:hAnsi="Arial" w:cs="Arial"/>
          <w:color w:val="000000"/>
          <w:spacing w:val="-1"/>
          <w:lang w:val="es-EC"/>
        </w:rPr>
        <w:t>l</w:t>
      </w:r>
      <w:r w:rsidRPr="00F85253">
        <w:rPr>
          <w:rFonts w:ascii="Arial" w:hAnsi="Arial" w:cs="Arial"/>
          <w:color w:val="000000"/>
          <w:lang w:val="es-EC"/>
        </w:rPr>
        <w:t>os</w:t>
      </w:r>
      <w:r w:rsidRPr="00F85253">
        <w:rPr>
          <w:rFonts w:ascii="Arial" w:hAnsi="Arial" w:cs="Arial"/>
          <w:color w:val="000000"/>
          <w:spacing w:val="30"/>
          <w:lang w:val="es-EC"/>
        </w:rPr>
        <w:t xml:space="preserve"> </w:t>
      </w:r>
      <w:r w:rsidRPr="00F85253">
        <w:rPr>
          <w:rFonts w:ascii="Arial" w:hAnsi="Arial" w:cs="Arial"/>
          <w:color w:val="000000"/>
          <w:spacing w:val="2"/>
          <w:lang w:val="es-EC"/>
        </w:rPr>
        <w:t>g</w:t>
      </w:r>
      <w:r w:rsidRPr="00F85253">
        <w:rPr>
          <w:rFonts w:ascii="Arial" w:hAnsi="Arial" w:cs="Arial"/>
          <w:color w:val="000000"/>
          <w:lang w:val="es-EC"/>
        </w:rPr>
        <w:t>as</w:t>
      </w:r>
      <w:r w:rsidRPr="00F85253">
        <w:rPr>
          <w:rFonts w:ascii="Arial" w:hAnsi="Arial" w:cs="Arial"/>
          <w:color w:val="000000"/>
          <w:spacing w:val="1"/>
          <w:lang w:val="es-EC"/>
        </w:rPr>
        <w:t>t</w:t>
      </w:r>
      <w:r w:rsidRPr="00F85253">
        <w:rPr>
          <w:rFonts w:ascii="Arial" w:hAnsi="Arial" w:cs="Arial"/>
          <w:color w:val="000000"/>
          <w:spacing w:val="-3"/>
          <w:lang w:val="es-EC"/>
        </w:rPr>
        <w:t xml:space="preserve">os </w:t>
      </w:r>
      <w:r w:rsidRPr="00F85253">
        <w:rPr>
          <w:rFonts w:ascii="Arial" w:hAnsi="Arial" w:cs="Arial"/>
          <w:color w:val="000000"/>
          <w:lang w:val="es-EC"/>
        </w:rPr>
        <w:t>de</w:t>
      </w:r>
      <w:r w:rsidRPr="00F85253">
        <w:rPr>
          <w:rFonts w:ascii="Arial" w:hAnsi="Arial" w:cs="Arial"/>
          <w:color w:val="000000"/>
          <w:spacing w:val="2"/>
          <w:lang w:val="es-EC"/>
        </w:rPr>
        <w:t xml:space="preserve"> </w:t>
      </w:r>
      <w:r w:rsidRPr="00F85253">
        <w:rPr>
          <w:rFonts w:ascii="Arial" w:hAnsi="Arial" w:cs="Arial"/>
          <w:color w:val="000000"/>
          <w:lang w:val="es-EC"/>
        </w:rPr>
        <w:t>ad</w:t>
      </w:r>
      <w:r w:rsidRPr="00F85253">
        <w:rPr>
          <w:rFonts w:ascii="Arial" w:hAnsi="Arial" w:cs="Arial"/>
          <w:color w:val="000000"/>
          <w:spacing w:val="1"/>
          <w:lang w:val="es-EC"/>
        </w:rPr>
        <w:t>m</w:t>
      </w:r>
      <w:r w:rsidRPr="00F85253">
        <w:rPr>
          <w:rFonts w:ascii="Arial" w:hAnsi="Arial" w:cs="Arial"/>
          <w:color w:val="000000"/>
          <w:spacing w:val="-1"/>
          <w:lang w:val="es-EC"/>
        </w:rPr>
        <w:t>i</w:t>
      </w:r>
      <w:r w:rsidRPr="00F85253">
        <w:rPr>
          <w:rFonts w:ascii="Arial" w:hAnsi="Arial" w:cs="Arial"/>
          <w:color w:val="000000"/>
          <w:lang w:val="es-EC"/>
        </w:rPr>
        <w:t>n</w:t>
      </w:r>
      <w:r w:rsidRPr="00F85253">
        <w:rPr>
          <w:rFonts w:ascii="Arial" w:hAnsi="Arial" w:cs="Arial"/>
          <w:color w:val="000000"/>
          <w:spacing w:val="-1"/>
          <w:lang w:val="es-EC"/>
        </w:rPr>
        <w:t>i</w:t>
      </w:r>
      <w:r w:rsidRPr="00F85253">
        <w:rPr>
          <w:rFonts w:ascii="Arial" w:hAnsi="Arial" w:cs="Arial"/>
          <w:color w:val="000000"/>
          <w:lang w:val="es-EC"/>
        </w:rPr>
        <w:t>s</w:t>
      </w:r>
      <w:r w:rsidRPr="00F85253">
        <w:rPr>
          <w:rFonts w:ascii="Arial" w:hAnsi="Arial" w:cs="Arial"/>
          <w:color w:val="000000"/>
          <w:spacing w:val="1"/>
          <w:lang w:val="es-EC"/>
        </w:rPr>
        <w:t>tr</w:t>
      </w:r>
      <w:r w:rsidRPr="00F85253">
        <w:rPr>
          <w:rFonts w:ascii="Arial" w:hAnsi="Arial" w:cs="Arial"/>
          <w:color w:val="000000"/>
          <w:lang w:val="es-EC"/>
        </w:rPr>
        <w:t>ac</w:t>
      </w:r>
      <w:r w:rsidRPr="00F85253">
        <w:rPr>
          <w:rFonts w:ascii="Arial" w:hAnsi="Arial" w:cs="Arial"/>
          <w:color w:val="000000"/>
          <w:spacing w:val="-1"/>
          <w:lang w:val="es-EC"/>
        </w:rPr>
        <w:t>i</w:t>
      </w:r>
      <w:r w:rsidRPr="00F85253">
        <w:rPr>
          <w:rFonts w:ascii="Arial" w:hAnsi="Arial" w:cs="Arial"/>
          <w:color w:val="000000"/>
          <w:lang w:val="es-EC"/>
        </w:rPr>
        <w:t xml:space="preserve">ón </w:t>
      </w:r>
      <w:r w:rsidRPr="00F85253">
        <w:rPr>
          <w:rFonts w:ascii="Arial" w:hAnsi="Arial" w:cs="Arial"/>
          <w:color w:val="000000"/>
          <w:spacing w:val="1"/>
          <w:lang w:val="es-EC"/>
        </w:rPr>
        <w:t>r</w:t>
      </w:r>
      <w:r w:rsidRPr="00F85253">
        <w:rPr>
          <w:rFonts w:ascii="Arial" w:hAnsi="Arial" w:cs="Arial"/>
          <w:color w:val="000000"/>
          <w:lang w:val="es-EC"/>
        </w:rPr>
        <w:t>e</w:t>
      </w:r>
      <w:r w:rsidRPr="00F85253">
        <w:rPr>
          <w:rFonts w:ascii="Arial" w:hAnsi="Arial" w:cs="Arial"/>
          <w:color w:val="000000"/>
          <w:spacing w:val="-1"/>
          <w:lang w:val="es-EC"/>
        </w:rPr>
        <w:t>l</w:t>
      </w:r>
      <w:r w:rsidRPr="00F85253">
        <w:rPr>
          <w:rFonts w:ascii="Arial" w:hAnsi="Arial" w:cs="Arial"/>
          <w:color w:val="000000"/>
          <w:lang w:val="es-EC"/>
        </w:rPr>
        <w:t>ac</w:t>
      </w:r>
      <w:r w:rsidRPr="00F85253">
        <w:rPr>
          <w:rFonts w:ascii="Arial" w:hAnsi="Arial" w:cs="Arial"/>
          <w:color w:val="000000"/>
          <w:spacing w:val="-1"/>
          <w:lang w:val="es-EC"/>
        </w:rPr>
        <w:t>i</w:t>
      </w:r>
      <w:r w:rsidRPr="00F85253">
        <w:rPr>
          <w:rFonts w:ascii="Arial" w:hAnsi="Arial" w:cs="Arial"/>
          <w:color w:val="000000"/>
          <w:lang w:val="es-EC"/>
        </w:rPr>
        <w:t>onados</w:t>
      </w:r>
      <w:r w:rsidRPr="00F85253">
        <w:rPr>
          <w:rFonts w:ascii="Arial" w:hAnsi="Arial" w:cs="Arial"/>
          <w:color w:val="000000"/>
          <w:spacing w:val="3"/>
          <w:lang w:val="es-EC"/>
        </w:rPr>
        <w:t xml:space="preserve"> </w:t>
      </w:r>
      <w:r w:rsidRPr="00F85253">
        <w:rPr>
          <w:rFonts w:ascii="Arial" w:hAnsi="Arial" w:cs="Arial"/>
          <w:color w:val="000000"/>
          <w:lang w:val="es-EC"/>
        </w:rPr>
        <w:t>con</w:t>
      </w:r>
      <w:r w:rsidRPr="00F85253">
        <w:rPr>
          <w:rFonts w:ascii="Arial" w:hAnsi="Arial" w:cs="Arial"/>
          <w:color w:val="000000"/>
          <w:spacing w:val="2"/>
          <w:lang w:val="es-EC"/>
        </w:rPr>
        <w:t xml:space="preserve"> </w:t>
      </w:r>
      <w:r w:rsidRPr="00F85253">
        <w:rPr>
          <w:rFonts w:ascii="Arial" w:hAnsi="Arial" w:cs="Arial"/>
          <w:color w:val="000000"/>
          <w:lang w:val="es-EC"/>
        </w:rPr>
        <w:t>el</w:t>
      </w:r>
      <w:r w:rsidRPr="00F85253">
        <w:rPr>
          <w:rFonts w:ascii="Arial" w:hAnsi="Arial" w:cs="Arial"/>
          <w:color w:val="000000"/>
          <w:spacing w:val="2"/>
          <w:lang w:val="es-EC"/>
        </w:rPr>
        <w:t xml:space="preserve"> </w:t>
      </w:r>
      <w:r w:rsidRPr="00F85253">
        <w:rPr>
          <w:rFonts w:ascii="Arial" w:hAnsi="Arial" w:cs="Arial"/>
          <w:color w:val="000000"/>
          <w:spacing w:val="-1"/>
          <w:lang w:val="es-EC"/>
        </w:rPr>
        <w:t>O</w:t>
      </w:r>
      <w:r w:rsidRPr="00F85253">
        <w:rPr>
          <w:rFonts w:ascii="Arial" w:hAnsi="Arial" w:cs="Arial"/>
          <w:color w:val="000000"/>
          <w:spacing w:val="-2"/>
          <w:lang w:val="es-EC"/>
        </w:rPr>
        <w:t>r</w:t>
      </w:r>
      <w:r w:rsidRPr="00F85253">
        <w:rPr>
          <w:rFonts w:ascii="Arial" w:hAnsi="Arial" w:cs="Arial"/>
          <w:color w:val="000000"/>
          <w:spacing w:val="2"/>
          <w:lang w:val="es-EC"/>
        </w:rPr>
        <w:t>g</w:t>
      </w:r>
      <w:r w:rsidRPr="00F85253">
        <w:rPr>
          <w:rFonts w:ascii="Arial" w:hAnsi="Arial" w:cs="Arial"/>
          <w:color w:val="000000"/>
          <w:lang w:val="es-EC"/>
        </w:rPr>
        <w:t>an</w:t>
      </w:r>
      <w:r w:rsidRPr="00F85253">
        <w:rPr>
          <w:rFonts w:ascii="Arial" w:hAnsi="Arial" w:cs="Arial"/>
          <w:color w:val="000000"/>
          <w:spacing w:val="-1"/>
          <w:lang w:val="es-EC"/>
        </w:rPr>
        <w:t>i</w:t>
      </w:r>
      <w:r w:rsidRPr="00F85253">
        <w:rPr>
          <w:rFonts w:ascii="Arial" w:hAnsi="Arial" w:cs="Arial"/>
          <w:color w:val="000000"/>
          <w:lang w:val="es-EC"/>
        </w:rPr>
        <w:t>s</w:t>
      </w:r>
      <w:r w:rsidRPr="00F85253">
        <w:rPr>
          <w:rFonts w:ascii="Arial" w:hAnsi="Arial" w:cs="Arial"/>
          <w:color w:val="000000"/>
          <w:spacing w:val="1"/>
          <w:lang w:val="es-EC"/>
        </w:rPr>
        <w:t>m</w:t>
      </w:r>
      <w:r w:rsidRPr="00F85253">
        <w:rPr>
          <w:rFonts w:ascii="Arial" w:hAnsi="Arial" w:cs="Arial"/>
          <w:color w:val="000000"/>
          <w:lang w:val="es-EC"/>
        </w:rPr>
        <w:t>o</w:t>
      </w:r>
      <w:r w:rsidRPr="00F85253">
        <w:rPr>
          <w:rFonts w:ascii="Arial" w:hAnsi="Arial" w:cs="Arial"/>
          <w:color w:val="000000"/>
          <w:spacing w:val="3"/>
          <w:lang w:val="es-EC"/>
        </w:rPr>
        <w:t xml:space="preserve"> </w:t>
      </w:r>
      <w:r w:rsidRPr="00F85253">
        <w:rPr>
          <w:rFonts w:ascii="Arial" w:hAnsi="Arial" w:cs="Arial"/>
          <w:color w:val="000000"/>
          <w:spacing w:val="-3"/>
          <w:lang w:val="es-EC"/>
        </w:rPr>
        <w:t>E</w:t>
      </w:r>
      <w:r w:rsidRPr="00F85253">
        <w:rPr>
          <w:rFonts w:ascii="Arial" w:hAnsi="Arial" w:cs="Arial"/>
          <w:color w:val="000000"/>
          <w:spacing w:val="1"/>
          <w:lang w:val="es-EC"/>
        </w:rPr>
        <w:t>j</w:t>
      </w:r>
      <w:r w:rsidRPr="00F85253">
        <w:rPr>
          <w:rFonts w:ascii="Arial" w:hAnsi="Arial" w:cs="Arial"/>
          <w:color w:val="000000"/>
          <w:lang w:val="es-EC"/>
        </w:rPr>
        <w:t>ecu</w:t>
      </w:r>
      <w:r w:rsidRPr="00F85253">
        <w:rPr>
          <w:rFonts w:ascii="Arial" w:hAnsi="Arial" w:cs="Arial"/>
          <w:color w:val="000000"/>
          <w:spacing w:val="1"/>
          <w:lang w:val="es-EC"/>
        </w:rPr>
        <w:t>t</w:t>
      </w:r>
      <w:r w:rsidRPr="00F85253">
        <w:rPr>
          <w:rFonts w:ascii="Arial" w:hAnsi="Arial" w:cs="Arial"/>
          <w:color w:val="000000"/>
          <w:spacing w:val="-3"/>
          <w:lang w:val="es-EC"/>
        </w:rPr>
        <w:t>o</w:t>
      </w:r>
      <w:r w:rsidRPr="00F85253">
        <w:rPr>
          <w:rFonts w:ascii="Arial" w:hAnsi="Arial" w:cs="Arial"/>
          <w:color w:val="000000"/>
          <w:lang w:val="es-EC"/>
        </w:rPr>
        <w:t xml:space="preserve">r </w:t>
      </w:r>
      <w:r w:rsidRPr="00F85253">
        <w:rPr>
          <w:rFonts w:ascii="Arial" w:hAnsi="Arial" w:cs="Arial"/>
          <w:color w:val="000000"/>
          <w:spacing w:val="1"/>
          <w:lang w:val="es-EC"/>
        </w:rPr>
        <w:t>(O</w:t>
      </w:r>
      <w:r w:rsidRPr="00F85253">
        <w:rPr>
          <w:rFonts w:ascii="Arial" w:hAnsi="Arial" w:cs="Arial"/>
          <w:color w:val="000000"/>
          <w:spacing w:val="-1"/>
          <w:lang w:val="es-EC"/>
        </w:rPr>
        <w:t>E</w:t>
      </w:r>
      <w:r w:rsidRPr="00F85253">
        <w:rPr>
          <w:rFonts w:ascii="Arial" w:hAnsi="Arial" w:cs="Arial"/>
          <w:color w:val="000000"/>
          <w:spacing w:val="8"/>
          <w:lang w:val="es-EC"/>
        </w:rPr>
        <w:t>)</w:t>
      </w:r>
      <w:r w:rsidRPr="00F85253">
        <w:rPr>
          <w:rFonts w:ascii="Arial" w:hAnsi="Arial" w:cs="Arial"/>
          <w:color w:val="000000"/>
          <w:lang w:val="es-EC"/>
        </w:rPr>
        <w:t>, las e</w:t>
      </w:r>
      <w:r w:rsidRPr="00F85253">
        <w:rPr>
          <w:rFonts w:ascii="Arial" w:hAnsi="Arial" w:cs="Arial"/>
          <w:color w:val="000000"/>
          <w:spacing w:val="-2"/>
          <w:lang w:val="es-EC"/>
        </w:rPr>
        <w:t>v</w:t>
      </w:r>
      <w:r w:rsidRPr="00F85253">
        <w:rPr>
          <w:rFonts w:ascii="Arial" w:hAnsi="Arial" w:cs="Arial"/>
          <w:color w:val="000000"/>
          <w:lang w:val="es-EC"/>
        </w:rPr>
        <w:t>a</w:t>
      </w:r>
      <w:r w:rsidRPr="00F85253">
        <w:rPr>
          <w:rFonts w:ascii="Arial" w:hAnsi="Arial" w:cs="Arial"/>
          <w:color w:val="000000"/>
          <w:spacing w:val="-1"/>
          <w:lang w:val="es-EC"/>
        </w:rPr>
        <w:t>l</w:t>
      </w:r>
      <w:r w:rsidRPr="00F85253">
        <w:rPr>
          <w:rFonts w:ascii="Arial" w:hAnsi="Arial" w:cs="Arial"/>
          <w:color w:val="000000"/>
          <w:lang w:val="es-EC"/>
        </w:rPr>
        <w:t>uac</w:t>
      </w:r>
      <w:r w:rsidRPr="00F85253">
        <w:rPr>
          <w:rFonts w:ascii="Arial" w:hAnsi="Arial" w:cs="Arial"/>
          <w:color w:val="000000"/>
          <w:spacing w:val="-1"/>
          <w:lang w:val="es-EC"/>
        </w:rPr>
        <w:t>i</w:t>
      </w:r>
      <w:r w:rsidRPr="00F85253">
        <w:rPr>
          <w:rFonts w:ascii="Arial" w:hAnsi="Arial" w:cs="Arial"/>
          <w:color w:val="000000"/>
          <w:lang w:val="es-EC"/>
        </w:rPr>
        <w:t>ones</w:t>
      </w:r>
      <w:r w:rsidRPr="00F85253">
        <w:rPr>
          <w:rFonts w:ascii="Arial" w:hAnsi="Arial" w:cs="Arial"/>
          <w:color w:val="000000"/>
          <w:spacing w:val="2"/>
          <w:lang w:val="es-EC"/>
        </w:rPr>
        <w:t xml:space="preserve"> </w:t>
      </w:r>
      <w:r w:rsidRPr="00F85253">
        <w:rPr>
          <w:rFonts w:ascii="Arial" w:hAnsi="Arial" w:cs="Arial"/>
          <w:color w:val="000000"/>
          <w:lang w:val="es-EC"/>
        </w:rPr>
        <w:t>y</w:t>
      </w:r>
      <w:r w:rsidRPr="00F85253">
        <w:rPr>
          <w:rFonts w:ascii="Arial" w:hAnsi="Arial" w:cs="Arial"/>
          <w:color w:val="000000"/>
          <w:spacing w:val="-1"/>
          <w:lang w:val="es-EC"/>
        </w:rPr>
        <w:t xml:space="preserve"> </w:t>
      </w:r>
      <w:r w:rsidRPr="00F85253">
        <w:rPr>
          <w:rFonts w:ascii="Arial" w:hAnsi="Arial" w:cs="Arial"/>
          <w:color w:val="000000"/>
          <w:lang w:val="es-EC"/>
        </w:rPr>
        <w:t>aud</w:t>
      </w:r>
      <w:r w:rsidRPr="00F85253">
        <w:rPr>
          <w:rFonts w:ascii="Arial" w:hAnsi="Arial" w:cs="Arial"/>
          <w:color w:val="000000"/>
          <w:spacing w:val="-1"/>
          <w:lang w:val="es-EC"/>
        </w:rPr>
        <w:t>i</w:t>
      </w:r>
      <w:r w:rsidRPr="00F85253">
        <w:rPr>
          <w:rFonts w:ascii="Arial" w:hAnsi="Arial" w:cs="Arial"/>
          <w:color w:val="000000"/>
          <w:spacing w:val="1"/>
          <w:lang w:val="es-EC"/>
        </w:rPr>
        <w:t>t</w:t>
      </w:r>
      <w:r w:rsidRPr="00F85253">
        <w:rPr>
          <w:rFonts w:ascii="Arial" w:hAnsi="Arial" w:cs="Arial"/>
          <w:color w:val="000000"/>
          <w:lang w:val="es-EC"/>
        </w:rPr>
        <w:t>o</w:t>
      </w:r>
      <w:r w:rsidRPr="00F85253">
        <w:rPr>
          <w:rFonts w:ascii="Arial" w:hAnsi="Arial" w:cs="Arial"/>
          <w:color w:val="000000"/>
          <w:spacing w:val="1"/>
          <w:lang w:val="es-EC"/>
        </w:rPr>
        <w:t>r</w:t>
      </w:r>
      <w:r w:rsidRPr="00F85253">
        <w:rPr>
          <w:rFonts w:ascii="Arial" w:hAnsi="Arial" w:cs="Arial"/>
          <w:color w:val="000000"/>
          <w:spacing w:val="-4"/>
          <w:lang w:val="es-EC"/>
        </w:rPr>
        <w:t>í</w:t>
      </w:r>
      <w:r w:rsidRPr="00F85253">
        <w:rPr>
          <w:rFonts w:ascii="Arial" w:hAnsi="Arial" w:cs="Arial"/>
          <w:color w:val="000000"/>
          <w:lang w:val="es-EC"/>
        </w:rPr>
        <w:t>as del programa, y se prevé un monto para posibles contingencias.</w:t>
      </w:r>
    </w:p>
    <w:p w14:paraId="47DCB373" w14:textId="77777777" w:rsidR="004420A4" w:rsidRPr="00F85253" w:rsidRDefault="004420A4" w:rsidP="004420A4">
      <w:pPr>
        <w:pStyle w:val="ListParagraph"/>
        <w:widowControl w:val="0"/>
        <w:autoSpaceDE w:val="0"/>
        <w:autoSpaceDN w:val="0"/>
        <w:adjustRightInd w:val="0"/>
        <w:spacing w:after="0"/>
        <w:ind w:left="709" w:right="79"/>
        <w:jc w:val="both"/>
        <w:rPr>
          <w:rFonts w:ascii="Arial" w:hAnsi="Arial" w:cs="Arial"/>
          <w:lang w:val="es-EC"/>
        </w:rPr>
      </w:pPr>
    </w:p>
    <w:p w14:paraId="2C327B03" w14:textId="78DD22AF" w:rsidR="00177C00" w:rsidRPr="00F85253" w:rsidRDefault="00074BDF" w:rsidP="004420A4">
      <w:pPr>
        <w:pStyle w:val="ListParagraph"/>
        <w:widowControl w:val="0"/>
        <w:numPr>
          <w:ilvl w:val="1"/>
          <w:numId w:val="2"/>
        </w:numPr>
        <w:tabs>
          <w:tab w:val="clear" w:pos="1296"/>
          <w:tab w:val="num" w:pos="709"/>
        </w:tabs>
        <w:autoSpaceDE w:val="0"/>
        <w:autoSpaceDN w:val="0"/>
        <w:adjustRightInd w:val="0"/>
        <w:spacing w:after="0"/>
        <w:ind w:left="709" w:right="79" w:hanging="709"/>
        <w:jc w:val="both"/>
        <w:rPr>
          <w:rFonts w:ascii="Arial" w:hAnsi="Arial" w:cs="Arial"/>
          <w:lang w:val="es-EC"/>
        </w:rPr>
      </w:pPr>
      <w:r w:rsidRPr="00F85253">
        <w:rPr>
          <w:rFonts w:ascii="Arial" w:hAnsi="Arial" w:cs="Arial"/>
          <w:color w:val="000000"/>
          <w:lang w:val="es-EC"/>
        </w:rPr>
        <w:t>El impacto esperado es la reducción de la carga fiscal del Estado derivada de la propiedad de EEP</w:t>
      </w:r>
      <w:r w:rsidR="00047C73" w:rsidRPr="00F85253">
        <w:rPr>
          <w:rFonts w:ascii="Arial" w:hAnsi="Arial" w:cs="Arial"/>
          <w:color w:val="000000"/>
          <w:lang w:val="es-EC"/>
        </w:rPr>
        <w:t>P</w:t>
      </w:r>
      <w:r w:rsidR="004420A4" w:rsidRPr="00F85253">
        <w:rPr>
          <w:rFonts w:ascii="Arial" w:hAnsi="Arial" w:cs="Arial"/>
          <w:color w:val="000000"/>
          <w:lang w:val="es-EC"/>
        </w:rPr>
        <w:t>,</w:t>
      </w:r>
      <w:r w:rsidRPr="00F85253">
        <w:rPr>
          <w:rFonts w:ascii="Arial" w:hAnsi="Arial" w:cs="Arial"/>
          <w:color w:val="000000"/>
          <w:lang w:val="es-EC"/>
        </w:rPr>
        <w:t xml:space="preserve"> medido como el </w:t>
      </w:r>
      <w:r w:rsidR="00EF1936" w:rsidRPr="00F85253">
        <w:rPr>
          <w:rFonts w:ascii="Arial" w:hAnsi="Arial" w:cs="Arial"/>
          <w:color w:val="000000"/>
          <w:lang w:val="es-EC"/>
        </w:rPr>
        <w:t xml:space="preserve">monto de transferencias del Presupuesto General del Estado (PGE) a las </w:t>
      </w:r>
      <w:r w:rsidR="0023565F" w:rsidRPr="00F85253">
        <w:rPr>
          <w:rFonts w:ascii="Arial" w:hAnsi="Arial" w:cs="Arial"/>
          <w:color w:val="000000"/>
          <w:lang w:val="es-EC"/>
        </w:rPr>
        <w:t>EEPP</w:t>
      </w:r>
      <w:r w:rsidR="00EF1936" w:rsidRPr="00F85253">
        <w:rPr>
          <w:rFonts w:ascii="Arial" w:hAnsi="Arial" w:cs="Arial"/>
          <w:color w:val="000000"/>
          <w:lang w:val="es-EC"/>
        </w:rPr>
        <w:t xml:space="preserve"> sobre el PIB. </w:t>
      </w:r>
    </w:p>
    <w:bookmarkEnd w:id="20"/>
    <w:p w14:paraId="76ECBD99" w14:textId="77777777" w:rsidR="00713F60" w:rsidRPr="00F85253" w:rsidRDefault="00713F60" w:rsidP="001E4112">
      <w:pPr>
        <w:pStyle w:val="Paragraph"/>
        <w:spacing w:before="0" w:after="0" w:line="276" w:lineRule="auto"/>
        <w:outlineLvl w:val="9"/>
        <w:rPr>
          <w:rFonts w:ascii="Arial" w:hAnsi="Arial" w:cs="Arial"/>
          <w:color w:val="FF0000"/>
          <w:sz w:val="22"/>
          <w:szCs w:val="22"/>
          <w:lang w:val="es-ES_tradnl"/>
        </w:rPr>
      </w:pPr>
    </w:p>
    <w:p w14:paraId="73329E29" w14:textId="77777777" w:rsidR="00F10D9A" w:rsidRPr="00F85253" w:rsidRDefault="007E781F" w:rsidP="001E4112">
      <w:pPr>
        <w:pStyle w:val="Chapter"/>
        <w:numPr>
          <w:ilvl w:val="0"/>
          <w:numId w:val="2"/>
        </w:numPr>
        <w:spacing w:before="0" w:after="0" w:line="276" w:lineRule="auto"/>
        <w:ind w:left="900" w:hanging="792"/>
        <w:jc w:val="both"/>
        <w:outlineLvl w:val="0"/>
        <w:rPr>
          <w:rFonts w:ascii="Arial" w:hAnsi="Arial" w:cs="Arial"/>
          <w:sz w:val="22"/>
          <w:szCs w:val="22"/>
          <w:lang w:val="es-ES_tradnl"/>
        </w:rPr>
      </w:pPr>
      <w:bookmarkStart w:id="21" w:name="_Toc518739333"/>
      <w:bookmarkEnd w:id="13"/>
      <w:r w:rsidRPr="00F85253">
        <w:rPr>
          <w:rFonts w:ascii="Arial" w:hAnsi="Arial" w:cs="Arial"/>
          <w:sz w:val="22"/>
          <w:szCs w:val="22"/>
          <w:lang w:val="es-ES_tradnl"/>
        </w:rPr>
        <w:t xml:space="preserve">Calculo del beneficio generado con </w:t>
      </w:r>
      <w:r w:rsidR="006C4B97" w:rsidRPr="00F85253">
        <w:rPr>
          <w:rFonts w:ascii="Arial" w:hAnsi="Arial" w:cs="Arial"/>
          <w:sz w:val="22"/>
          <w:szCs w:val="22"/>
          <w:lang w:val="es-ES_tradnl"/>
        </w:rPr>
        <w:t>Instituciones fiscales más eficientes</w:t>
      </w:r>
      <w:r w:rsidRPr="00F85253">
        <w:rPr>
          <w:rFonts w:ascii="Arial" w:hAnsi="Arial" w:cs="Arial"/>
          <w:sz w:val="22"/>
          <w:szCs w:val="22"/>
          <w:lang w:val="es-ES_tradnl"/>
        </w:rPr>
        <w:t>.</w:t>
      </w:r>
      <w:bookmarkEnd w:id="21"/>
      <w:r w:rsidRPr="00F85253">
        <w:rPr>
          <w:rFonts w:ascii="Arial" w:hAnsi="Arial" w:cs="Arial"/>
          <w:sz w:val="22"/>
          <w:szCs w:val="22"/>
          <w:lang w:val="es-ES_tradnl"/>
        </w:rPr>
        <w:t xml:space="preserve"> </w:t>
      </w:r>
    </w:p>
    <w:p w14:paraId="77EA91FD" w14:textId="77777777" w:rsidR="00D0100F" w:rsidRPr="00F85253" w:rsidRDefault="00384F4B" w:rsidP="001E4112">
      <w:pPr>
        <w:pStyle w:val="Paragraph"/>
        <w:numPr>
          <w:ilvl w:val="1"/>
          <w:numId w:val="2"/>
        </w:numPr>
        <w:tabs>
          <w:tab w:val="clear" w:pos="1296"/>
          <w:tab w:val="num" w:pos="720"/>
          <w:tab w:val="num" w:pos="2196"/>
        </w:tabs>
        <w:spacing w:before="0" w:after="0" w:line="276" w:lineRule="auto"/>
        <w:ind w:left="720" w:hanging="720"/>
        <w:outlineLvl w:val="9"/>
        <w:rPr>
          <w:rFonts w:ascii="Arial" w:hAnsi="Arial" w:cs="Arial"/>
          <w:b/>
          <w:sz w:val="22"/>
          <w:szCs w:val="22"/>
          <w:lang w:val="es-ES_tradnl"/>
        </w:rPr>
      </w:pPr>
      <w:r w:rsidRPr="00F85253">
        <w:rPr>
          <w:rFonts w:ascii="Arial" w:hAnsi="Arial" w:cs="Arial"/>
          <w:b/>
          <w:sz w:val="22"/>
          <w:szCs w:val="22"/>
          <w:lang w:val="es-ES_tradnl"/>
        </w:rPr>
        <w:t>Supuesto</w:t>
      </w:r>
    </w:p>
    <w:p w14:paraId="7CEF83ED" w14:textId="77777777" w:rsidR="00870F9F" w:rsidRPr="00F85253" w:rsidRDefault="00870F9F" w:rsidP="001E4112">
      <w:pPr>
        <w:pStyle w:val="Paragraph"/>
        <w:tabs>
          <w:tab w:val="num" w:pos="2196"/>
        </w:tabs>
        <w:spacing w:before="0" w:after="0" w:line="276" w:lineRule="auto"/>
        <w:ind w:left="720"/>
        <w:outlineLvl w:val="9"/>
        <w:rPr>
          <w:rFonts w:ascii="Arial" w:hAnsi="Arial" w:cs="Arial"/>
          <w:b/>
          <w:sz w:val="22"/>
          <w:szCs w:val="22"/>
          <w:lang w:val="es-ES_tradnl"/>
        </w:rPr>
      </w:pPr>
    </w:p>
    <w:tbl>
      <w:tblPr>
        <w:tblW w:w="0" w:type="auto"/>
        <w:tblInd w:w="715"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8613"/>
      </w:tblGrid>
      <w:tr w:rsidR="00F10D9A" w:rsidRPr="00824032" w14:paraId="59BE9794" w14:textId="77777777" w:rsidTr="00963AD9">
        <w:tc>
          <w:tcPr>
            <w:tcW w:w="8640" w:type="dxa"/>
          </w:tcPr>
          <w:p w14:paraId="0BA52665" w14:textId="3A2DB163" w:rsidR="00F10D9A" w:rsidRPr="00F85253" w:rsidRDefault="00EF1936" w:rsidP="000933C2">
            <w:pPr>
              <w:pStyle w:val="Paragraph"/>
              <w:spacing w:before="0" w:after="0" w:line="276" w:lineRule="auto"/>
              <w:outlineLvl w:val="9"/>
              <w:rPr>
                <w:rFonts w:ascii="Arial" w:hAnsi="Arial" w:cs="Arial"/>
                <w:i/>
                <w:sz w:val="22"/>
                <w:szCs w:val="22"/>
                <w:lang w:val="es-ES_tradnl"/>
              </w:rPr>
            </w:pPr>
            <w:r w:rsidRPr="00F85253">
              <w:rPr>
                <w:rFonts w:ascii="Arial" w:hAnsi="Arial" w:cs="Arial"/>
                <w:i/>
                <w:sz w:val="22"/>
                <w:szCs w:val="22"/>
                <w:lang w:val="es-ES_tradnl"/>
              </w:rPr>
              <w:t xml:space="preserve">A partir del fortalecimiento del Marco de Gobernanza Corporativa y Fiscal de las </w:t>
            </w:r>
            <w:r w:rsidR="0023565F" w:rsidRPr="00F85253">
              <w:rPr>
                <w:rFonts w:ascii="Arial" w:hAnsi="Arial" w:cs="Arial"/>
                <w:i/>
                <w:sz w:val="22"/>
                <w:szCs w:val="22"/>
                <w:lang w:val="es-ES_tradnl"/>
              </w:rPr>
              <w:t>EEPP</w:t>
            </w:r>
            <w:r w:rsidRPr="00F85253">
              <w:rPr>
                <w:rFonts w:ascii="Arial" w:hAnsi="Arial" w:cs="Arial"/>
                <w:i/>
                <w:sz w:val="22"/>
                <w:szCs w:val="22"/>
                <w:lang w:val="es-ES_tradnl"/>
              </w:rPr>
              <w:t xml:space="preserve">; y, de la Optimización de la cartera de </w:t>
            </w:r>
            <w:r w:rsidR="0023565F" w:rsidRPr="00F85253">
              <w:rPr>
                <w:rFonts w:ascii="Arial" w:hAnsi="Arial" w:cs="Arial"/>
                <w:i/>
                <w:sz w:val="22"/>
                <w:szCs w:val="22"/>
                <w:lang w:val="es-ES_tradnl"/>
              </w:rPr>
              <w:t>EEPP</w:t>
            </w:r>
            <w:r w:rsidRPr="00F85253">
              <w:rPr>
                <w:rFonts w:ascii="Arial" w:hAnsi="Arial" w:cs="Arial"/>
                <w:i/>
                <w:sz w:val="22"/>
                <w:szCs w:val="22"/>
                <w:lang w:val="es-ES_tradnl"/>
              </w:rPr>
              <w:t>, se espera reducir la carga fiscal del Estado, derivada de la propiedad de empresas públicas.</w:t>
            </w:r>
            <w:r w:rsidR="00E25EBA" w:rsidRPr="00F85253">
              <w:rPr>
                <w:rFonts w:ascii="Arial" w:hAnsi="Arial" w:cs="Arial"/>
                <w:i/>
                <w:sz w:val="22"/>
                <w:szCs w:val="22"/>
                <w:lang w:val="es-ES_tradnl"/>
              </w:rPr>
              <w:t xml:space="preserve"> </w:t>
            </w:r>
            <w:r w:rsidR="00C675E4" w:rsidRPr="00F85253">
              <w:rPr>
                <w:rFonts w:ascii="Arial" w:hAnsi="Arial" w:cs="Arial"/>
                <w:i/>
                <w:sz w:val="22"/>
                <w:szCs w:val="22"/>
                <w:lang w:val="es-ES_tradnl"/>
              </w:rPr>
              <w:t>El</w:t>
            </w:r>
            <w:r w:rsidR="001C0A13" w:rsidRPr="00F85253">
              <w:rPr>
                <w:rFonts w:ascii="Arial" w:hAnsi="Arial" w:cs="Arial"/>
                <w:i/>
                <w:sz w:val="22"/>
                <w:szCs w:val="22"/>
                <w:lang w:val="es-ES_tradnl"/>
              </w:rPr>
              <w:t xml:space="preserve"> beneficio económico</w:t>
            </w:r>
            <w:r w:rsidR="00C675E4" w:rsidRPr="00F85253">
              <w:rPr>
                <w:rFonts w:ascii="Arial" w:hAnsi="Arial" w:cs="Arial"/>
                <w:i/>
                <w:sz w:val="22"/>
                <w:szCs w:val="22"/>
                <w:lang w:val="es-ES_tradnl"/>
              </w:rPr>
              <w:t xml:space="preserve"> es el</w:t>
            </w:r>
            <w:r w:rsidR="001C0A13" w:rsidRPr="00F85253">
              <w:rPr>
                <w:rFonts w:ascii="Arial" w:hAnsi="Arial" w:cs="Arial"/>
                <w:i/>
                <w:sz w:val="22"/>
                <w:szCs w:val="22"/>
                <w:lang w:val="es-ES_tradnl"/>
              </w:rPr>
              <w:t xml:space="preserve"> resultado</w:t>
            </w:r>
            <w:r w:rsidR="00B737FF" w:rsidRPr="00F85253">
              <w:rPr>
                <w:rFonts w:ascii="Arial" w:hAnsi="Arial" w:cs="Arial"/>
                <w:i/>
                <w:sz w:val="22"/>
                <w:szCs w:val="22"/>
                <w:lang w:val="es-ES_tradnl"/>
              </w:rPr>
              <w:t xml:space="preserve"> de los ahorros que se produce</w:t>
            </w:r>
            <w:r w:rsidR="001C0A13" w:rsidRPr="00F85253">
              <w:rPr>
                <w:rFonts w:ascii="Arial" w:hAnsi="Arial" w:cs="Arial"/>
                <w:i/>
                <w:sz w:val="22"/>
                <w:szCs w:val="22"/>
                <w:lang w:val="es-ES_tradnl"/>
              </w:rPr>
              <w:t>n</w:t>
            </w:r>
            <w:r w:rsidR="00B737FF" w:rsidRPr="00F85253">
              <w:rPr>
                <w:rFonts w:ascii="Arial" w:hAnsi="Arial" w:cs="Arial"/>
                <w:i/>
                <w:sz w:val="22"/>
                <w:szCs w:val="22"/>
                <w:lang w:val="es-ES_tradnl"/>
              </w:rPr>
              <w:t xml:space="preserve"> </w:t>
            </w:r>
            <w:r w:rsidR="001C0A13" w:rsidRPr="00F85253">
              <w:rPr>
                <w:rFonts w:ascii="Arial" w:hAnsi="Arial" w:cs="Arial"/>
                <w:i/>
                <w:sz w:val="22"/>
                <w:szCs w:val="22"/>
                <w:lang w:val="es-ES_tradnl"/>
              </w:rPr>
              <w:t xml:space="preserve">por </w:t>
            </w:r>
            <w:r w:rsidR="00162BBB" w:rsidRPr="00F85253">
              <w:rPr>
                <w:rFonts w:ascii="Arial" w:hAnsi="Arial" w:cs="Arial"/>
                <w:i/>
                <w:sz w:val="22"/>
                <w:szCs w:val="22"/>
                <w:lang w:val="es-ES_tradnl"/>
              </w:rPr>
              <w:t xml:space="preserve">la mejora en transparencia de los procesos de las </w:t>
            </w:r>
            <w:r w:rsidR="0023565F" w:rsidRPr="00F85253">
              <w:rPr>
                <w:rFonts w:ascii="Arial" w:hAnsi="Arial" w:cs="Arial"/>
                <w:i/>
                <w:sz w:val="22"/>
                <w:szCs w:val="22"/>
                <w:lang w:val="es-ES_tradnl"/>
              </w:rPr>
              <w:t>EEPP</w:t>
            </w:r>
            <w:r w:rsidR="00162BBB" w:rsidRPr="00F85253">
              <w:rPr>
                <w:rFonts w:ascii="Arial" w:hAnsi="Arial" w:cs="Arial"/>
                <w:i/>
                <w:sz w:val="22"/>
                <w:szCs w:val="22"/>
                <w:lang w:val="es-ES_tradnl"/>
              </w:rPr>
              <w:t>,</w:t>
            </w:r>
            <w:r w:rsidRPr="00F85253">
              <w:rPr>
                <w:rFonts w:ascii="Arial" w:hAnsi="Arial" w:cs="Arial"/>
                <w:i/>
                <w:sz w:val="22"/>
                <w:szCs w:val="22"/>
                <w:lang w:val="es-ES_tradnl"/>
              </w:rPr>
              <w:t xml:space="preserve"> debido a su alineación a los principios de gobernanza corporativa de la O</w:t>
            </w:r>
            <w:r w:rsidR="000933C2" w:rsidRPr="00F85253">
              <w:rPr>
                <w:rFonts w:ascii="Arial" w:hAnsi="Arial" w:cs="Arial"/>
                <w:i/>
                <w:sz w:val="22"/>
                <w:szCs w:val="22"/>
                <w:lang w:val="es-ES_tradnl"/>
              </w:rPr>
              <w:t>ECD</w:t>
            </w:r>
            <w:r w:rsidRPr="00F85253">
              <w:rPr>
                <w:rFonts w:ascii="Arial" w:hAnsi="Arial" w:cs="Arial"/>
                <w:i/>
                <w:sz w:val="22"/>
                <w:szCs w:val="22"/>
                <w:lang w:val="es-ES_tradnl"/>
              </w:rPr>
              <w:t xml:space="preserve"> e incorporación de mecanismos de transparencia</w:t>
            </w:r>
            <w:r w:rsidR="0036111E" w:rsidRPr="00F85253">
              <w:rPr>
                <w:rFonts w:ascii="Arial" w:hAnsi="Arial" w:cs="Arial"/>
                <w:i/>
                <w:sz w:val="22"/>
                <w:szCs w:val="22"/>
                <w:lang w:val="es-ES_tradnl"/>
              </w:rPr>
              <w:t xml:space="preserve"> (Certificado ISO-37001)</w:t>
            </w:r>
            <w:r w:rsidRPr="00F85253">
              <w:rPr>
                <w:rFonts w:ascii="Arial" w:hAnsi="Arial" w:cs="Arial"/>
                <w:i/>
                <w:sz w:val="22"/>
                <w:szCs w:val="22"/>
                <w:lang w:val="es-ES_tradnl"/>
              </w:rPr>
              <w:t xml:space="preserve"> y rendición de cuentas; así como los ahorros generados por  la mejora de la eficiencia por la fusión de las empresas públicas petroleras; y, los ahorros derivados de la desvinculación de personal en las </w:t>
            </w:r>
            <w:r w:rsidR="0023565F" w:rsidRPr="00F85253">
              <w:rPr>
                <w:rFonts w:ascii="Arial" w:hAnsi="Arial" w:cs="Arial"/>
                <w:i/>
                <w:sz w:val="22"/>
                <w:szCs w:val="22"/>
                <w:lang w:val="es-ES_tradnl"/>
              </w:rPr>
              <w:t>EEPP</w:t>
            </w:r>
            <w:r w:rsidRPr="00F85253">
              <w:rPr>
                <w:rFonts w:ascii="Arial" w:hAnsi="Arial" w:cs="Arial"/>
                <w:i/>
                <w:sz w:val="22"/>
                <w:szCs w:val="22"/>
                <w:lang w:val="es-ES_tradnl"/>
              </w:rPr>
              <w:t xml:space="preserve"> Petroamazonas, Petroecuador, CNEL, CELEC</w:t>
            </w:r>
            <w:r w:rsidR="005241C0" w:rsidRPr="00F85253">
              <w:rPr>
                <w:rFonts w:ascii="Arial" w:hAnsi="Arial" w:cs="Arial"/>
                <w:i/>
                <w:sz w:val="22"/>
                <w:szCs w:val="22"/>
                <w:lang w:val="es-ES_tradnl"/>
              </w:rPr>
              <w:t xml:space="preserve">, </w:t>
            </w:r>
            <w:r w:rsidRPr="00F85253">
              <w:rPr>
                <w:rFonts w:ascii="Arial" w:hAnsi="Arial" w:cs="Arial"/>
                <w:i/>
                <w:sz w:val="22"/>
                <w:szCs w:val="22"/>
                <w:lang w:val="es-ES_tradnl"/>
              </w:rPr>
              <w:t>TAME</w:t>
            </w:r>
            <w:r w:rsidR="005241C0" w:rsidRPr="00F85253">
              <w:rPr>
                <w:rFonts w:ascii="Arial" w:hAnsi="Arial" w:cs="Arial"/>
                <w:i/>
                <w:sz w:val="22"/>
                <w:szCs w:val="22"/>
                <w:lang w:val="es-ES_tradnl"/>
              </w:rPr>
              <w:t xml:space="preserve"> y EMCO</w:t>
            </w:r>
            <w:r w:rsidRPr="00F85253">
              <w:rPr>
                <w:rFonts w:ascii="Arial" w:hAnsi="Arial" w:cs="Arial"/>
                <w:i/>
                <w:sz w:val="22"/>
                <w:szCs w:val="22"/>
                <w:lang w:val="es-ES_tradnl"/>
              </w:rPr>
              <w:t>.</w:t>
            </w:r>
          </w:p>
        </w:tc>
      </w:tr>
    </w:tbl>
    <w:p w14:paraId="6C323235" w14:textId="77777777" w:rsidR="000933C2" w:rsidRPr="00F85253" w:rsidRDefault="000933C2" w:rsidP="001E4112">
      <w:pPr>
        <w:pStyle w:val="Paragraph"/>
        <w:tabs>
          <w:tab w:val="num" w:pos="2196"/>
        </w:tabs>
        <w:spacing w:before="0" w:after="0" w:line="276" w:lineRule="auto"/>
        <w:ind w:left="720"/>
        <w:outlineLvl w:val="9"/>
        <w:rPr>
          <w:rFonts w:ascii="Arial" w:hAnsi="Arial" w:cs="Arial"/>
          <w:color w:val="000000"/>
          <w:sz w:val="22"/>
          <w:szCs w:val="22"/>
          <w:lang w:val="es-ES_tradnl"/>
        </w:rPr>
      </w:pPr>
    </w:p>
    <w:p w14:paraId="0096B402" w14:textId="663A6808" w:rsidR="00436FE2" w:rsidRPr="00F85253" w:rsidRDefault="00EF1936" w:rsidP="001E4112">
      <w:pPr>
        <w:pStyle w:val="Paragraph"/>
        <w:numPr>
          <w:ilvl w:val="1"/>
          <w:numId w:val="2"/>
        </w:numPr>
        <w:tabs>
          <w:tab w:val="clear" w:pos="1296"/>
          <w:tab w:val="num" w:pos="720"/>
          <w:tab w:val="num" w:pos="1800"/>
          <w:tab w:val="num" w:pos="2196"/>
        </w:tabs>
        <w:spacing w:before="0" w:after="0" w:line="276" w:lineRule="auto"/>
        <w:ind w:left="720" w:hanging="720"/>
        <w:outlineLvl w:val="9"/>
        <w:rPr>
          <w:rFonts w:ascii="Arial" w:hAnsi="Arial" w:cs="Arial"/>
          <w:color w:val="000000"/>
          <w:sz w:val="22"/>
          <w:szCs w:val="22"/>
          <w:lang w:val="es-ES_tradnl"/>
        </w:rPr>
      </w:pPr>
      <w:r w:rsidRPr="00F85253">
        <w:rPr>
          <w:rFonts w:ascii="Arial" w:hAnsi="Arial" w:cs="Arial"/>
          <w:sz w:val="22"/>
          <w:szCs w:val="22"/>
        </w:rPr>
        <w:t xml:space="preserve">El supuesto está directamente asociado a todos los resultados de la Matriz de Resultados del programa, los cuales están orientados a: (i) aumentar las sesiones ordinarias de los Directorios, respecto al total de sesiones; (ii) incrementar el porcentaje de </w:t>
      </w:r>
      <w:r w:rsidR="0023565F" w:rsidRPr="00F85253">
        <w:rPr>
          <w:rFonts w:ascii="Arial" w:hAnsi="Arial" w:cs="Arial"/>
          <w:sz w:val="22"/>
          <w:szCs w:val="22"/>
        </w:rPr>
        <w:t>EEPP</w:t>
      </w:r>
      <w:r w:rsidRPr="00F85253">
        <w:rPr>
          <w:rFonts w:ascii="Arial" w:hAnsi="Arial" w:cs="Arial"/>
          <w:sz w:val="22"/>
          <w:szCs w:val="22"/>
        </w:rPr>
        <w:t xml:space="preserve"> con estados financieros auditados al día; (iii) aumentar la proporción de mujeres en los Directorios de las </w:t>
      </w:r>
      <w:r w:rsidR="0023565F" w:rsidRPr="00F85253">
        <w:rPr>
          <w:rFonts w:ascii="Arial" w:hAnsi="Arial" w:cs="Arial"/>
          <w:sz w:val="22"/>
          <w:szCs w:val="22"/>
        </w:rPr>
        <w:t>EEPP</w:t>
      </w:r>
      <w:r w:rsidRPr="00F85253">
        <w:rPr>
          <w:rFonts w:ascii="Arial" w:hAnsi="Arial" w:cs="Arial"/>
          <w:sz w:val="22"/>
          <w:szCs w:val="22"/>
        </w:rPr>
        <w:t xml:space="preserve">; e, (iv) incrementar la eficiencia productiva. </w:t>
      </w:r>
      <w:proofErr w:type="gramStart"/>
      <w:r w:rsidR="00CC2A1C" w:rsidRPr="00F85253">
        <w:rPr>
          <w:rFonts w:ascii="Arial" w:hAnsi="Arial" w:cs="Arial"/>
          <w:i/>
          <w:color w:val="000000"/>
          <w:sz w:val="22"/>
          <w:szCs w:val="22"/>
          <w:lang w:val="es-ES_tradnl"/>
        </w:rPr>
        <w:t>En caso que</w:t>
      </w:r>
      <w:proofErr w:type="gramEnd"/>
      <w:r w:rsidR="00502181" w:rsidRPr="00F85253">
        <w:rPr>
          <w:rFonts w:ascii="Arial" w:hAnsi="Arial" w:cs="Arial"/>
          <w:i/>
          <w:color w:val="000000"/>
          <w:sz w:val="22"/>
          <w:szCs w:val="22"/>
          <w:lang w:val="es-ES_tradnl"/>
        </w:rPr>
        <w:t xml:space="preserve"> </w:t>
      </w:r>
      <w:r w:rsidR="00052D29" w:rsidRPr="00F85253">
        <w:rPr>
          <w:rFonts w:ascii="Arial" w:hAnsi="Arial" w:cs="Arial"/>
          <w:i/>
          <w:color w:val="000000"/>
          <w:sz w:val="22"/>
          <w:szCs w:val="22"/>
          <w:lang w:val="es-ES_tradnl"/>
        </w:rPr>
        <w:t xml:space="preserve">las actividades y productos relacionados a </w:t>
      </w:r>
      <w:r w:rsidR="00CC2A1C" w:rsidRPr="00F85253">
        <w:rPr>
          <w:rFonts w:ascii="Arial" w:hAnsi="Arial" w:cs="Arial"/>
          <w:i/>
          <w:color w:val="000000"/>
          <w:sz w:val="22"/>
          <w:szCs w:val="22"/>
          <w:lang w:val="es-ES_tradnl"/>
        </w:rPr>
        <w:t xml:space="preserve">estos resultados no </w:t>
      </w:r>
      <w:r w:rsidR="00052D29" w:rsidRPr="00F85253">
        <w:rPr>
          <w:rFonts w:ascii="Arial" w:hAnsi="Arial" w:cs="Arial"/>
          <w:i/>
          <w:color w:val="000000"/>
          <w:sz w:val="22"/>
          <w:szCs w:val="22"/>
          <w:lang w:val="es-ES_tradnl"/>
        </w:rPr>
        <w:t xml:space="preserve">se ejecuten, el </w:t>
      </w:r>
      <w:r w:rsidR="00CC2A1C" w:rsidRPr="00F85253">
        <w:rPr>
          <w:rFonts w:ascii="Arial" w:hAnsi="Arial" w:cs="Arial"/>
          <w:i/>
          <w:color w:val="000000"/>
          <w:sz w:val="22"/>
          <w:szCs w:val="22"/>
          <w:lang w:val="es-ES_tradnl"/>
        </w:rPr>
        <w:t>beneficio</w:t>
      </w:r>
      <w:r w:rsidR="00052D29" w:rsidRPr="00F85253">
        <w:rPr>
          <w:rFonts w:ascii="Arial" w:hAnsi="Arial" w:cs="Arial"/>
          <w:i/>
          <w:color w:val="000000"/>
          <w:sz w:val="22"/>
          <w:szCs w:val="22"/>
          <w:lang w:val="es-ES_tradnl"/>
        </w:rPr>
        <w:t xml:space="preserve"> esperado no se generaría; y, por ende, no se alcanza</w:t>
      </w:r>
      <w:r w:rsidR="00C458B9" w:rsidRPr="00F85253">
        <w:rPr>
          <w:rFonts w:ascii="Arial" w:hAnsi="Arial" w:cs="Arial"/>
          <w:i/>
          <w:color w:val="000000"/>
          <w:sz w:val="22"/>
          <w:szCs w:val="22"/>
          <w:lang w:val="es-ES_tradnl"/>
        </w:rPr>
        <w:t>ría</w:t>
      </w:r>
      <w:r w:rsidR="00052D29" w:rsidRPr="00F85253">
        <w:rPr>
          <w:rFonts w:ascii="Arial" w:hAnsi="Arial" w:cs="Arial"/>
          <w:i/>
          <w:color w:val="000000"/>
          <w:sz w:val="22"/>
          <w:szCs w:val="22"/>
          <w:lang w:val="es-ES_tradnl"/>
        </w:rPr>
        <w:t xml:space="preserve"> </w:t>
      </w:r>
      <w:r w:rsidR="00354332" w:rsidRPr="00F85253">
        <w:rPr>
          <w:rFonts w:ascii="Arial" w:hAnsi="Arial" w:cs="Arial"/>
          <w:i/>
          <w:color w:val="000000"/>
          <w:sz w:val="22"/>
          <w:szCs w:val="22"/>
          <w:lang w:val="es-ES_tradnl"/>
        </w:rPr>
        <w:t>el objetivo del proyecto</w:t>
      </w:r>
      <w:r w:rsidR="00502181" w:rsidRPr="00F85253">
        <w:rPr>
          <w:rFonts w:ascii="Arial" w:hAnsi="Arial" w:cs="Arial"/>
          <w:i/>
          <w:color w:val="000000"/>
          <w:sz w:val="22"/>
          <w:szCs w:val="22"/>
          <w:lang w:val="es-ES_tradnl"/>
        </w:rPr>
        <w:t xml:space="preserve">. </w:t>
      </w:r>
      <w:r w:rsidR="00052D29" w:rsidRPr="00F85253">
        <w:rPr>
          <w:rFonts w:ascii="Arial" w:hAnsi="Arial" w:cs="Arial"/>
          <w:i/>
          <w:color w:val="000000"/>
          <w:sz w:val="22"/>
          <w:szCs w:val="22"/>
          <w:lang w:val="es-ES_tradnl"/>
        </w:rPr>
        <w:t>Es decir, se destaca l</w:t>
      </w:r>
      <w:r w:rsidR="00502181" w:rsidRPr="00F85253">
        <w:rPr>
          <w:rFonts w:ascii="Arial" w:hAnsi="Arial" w:cs="Arial"/>
          <w:i/>
          <w:color w:val="000000"/>
          <w:sz w:val="22"/>
          <w:szCs w:val="22"/>
          <w:lang w:val="es-ES_tradnl"/>
        </w:rPr>
        <w:t>a lógica vertical</w:t>
      </w:r>
      <w:r w:rsidR="0036111E" w:rsidRPr="00F85253">
        <w:rPr>
          <w:rFonts w:ascii="Arial" w:hAnsi="Arial" w:cs="Arial"/>
          <w:i/>
          <w:color w:val="000000"/>
          <w:sz w:val="22"/>
          <w:szCs w:val="22"/>
          <w:lang w:val="es-ES_tradnl"/>
        </w:rPr>
        <w:t xml:space="preserve"> del programa</w:t>
      </w:r>
      <w:r w:rsidR="00502181" w:rsidRPr="00F85253">
        <w:rPr>
          <w:rFonts w:ascii="Arial" w:hAnsi="Arial" w:cs="Arial"/>
          <w:i/>
          <w:color w:val="000000"/>
          <w:sz w:val="22"/>
          <w:szCs w:val="22"/>
          <w:lang w:val="es-ES_tradnl"/>
        </w:rPr>
        <w:t>, donde sus</w:t>
      </w:r>
      <w:r w:rsidR="00052D29" w:rsidRPr="00F85253">
        <w:rPr>
          <w:rFonts w:ascii="Arial" w:hAnsi="Arial" w:cs="Arial"/>
          <w:i/>
          <w:color w:val="000000"/>
          <w:sz w:val="22"/>
          <w:szCs w:val="22"/>
          <w:lang w:val="es-ES_tradnl"/>
        </w:rPr>
        <w:t xml:space="preserve"> resultados contribuyen </w:t>
      </w:r>
      <w:r w:rsidR="00502181" w:rsidRPr="00F85253">
        <w:rPr>
          <w:rFonts w:ascii="Arial" w:hAnsi="Arial" w:cs="Arial"/>
          <w:i/>
          <w:color w:val="000000"/>
          <w:sz w:val="22"/>
          <w:szCs w:val="22"/>
          <w:lang w:val="es-ES_tradnl"/>
        </w:rPr>
        <w:t>al alcance de</w:t>
      </w:r>
      <w:r w:rsidR="00052D29" w:rsidRPr="00F85253">
        <w:rPr>
          <w:rFonts w:ascii="Arial" w:hAnsi="Arial" w:cs="Arial"/>
          <w:i/>
          <w:color w:val="000000"/>
          <w:sz w:val="22"/>
          <w:szCs w:val="22"/>
          <w:lang w:val="es-ES_tradnl"/>
        </w:rPr>
        <w:t xml:space="preserve"> </w:t>
      </w:r>
      <w:r w:rsidR="00502181" w:rsidRPr="00F85253">
        <w:rPr>
          <w:rFonts w:ascii="Arial" w:hAnsi="Arial" w:cs="Arial"/>
          <w:i/>
          <w:color w:val="000000"/>
          <w:sz w:val="22"/>
          <w:szCs w:val="22"/>
          <w:lang w:val="es-ES_tradnl"/>
        </w:rPr>
        <w:t>l</w:t>
      </w:r>
      <w:r w:rsidR="00052D29" w:rsidRPr="00F85253">
        <w:rPr>
          <w:rFonts w:ascii="Arial" w:hAnsi="Arial" w:cs="Arial"/>
          <w:i/>
          <w:color w:val="000000"/>
          <w:sz w:val="22"/>
          <w:szCs w:val="22"/>
          <w:lang w:val="es-ES_tradnl"/>
        </w:rPr>
        <w:t>os objetivos específicos y del</w:t>
      </w:r>
      <w:r w:rsidR="00502181" w:rsidRPr="00F85253">
        <w:rPr>
          <w:rFonts w:ascii="Arial" w:hAnsi="Arial" w:cs="Arial"/>
          <w:i/>
          <w:color w:val="000000"/>
          <w:sz w:val="22"/>
          <w:szCs w:val="22"/>
          <w:lang w:val="es-ES_tradnl"/>
        </w:rPr>
        <w:t xml:space="preserve"> objetivo general</w:t>
      </w:r>
      <w:r w:rsidR="00052D29" w:rsidRPr="00F85253">
        <w:rPr>
          <w:rFonts w:ascii="Arial" w:hAnsi="Arial" w:cs="Arial"/>
          <w:i/>
          <w:color w:val="000000"/>
          <w:sz w:val="22"/>
          <w:szCs w:val="22"/>
          <w:lang w:val="es-ES_tradnl"/>
        </w:rPr>
        <w:t xml:space="preserve"> d</w:t>
      </w:r>
      <w:r w:rsidR="00502181" w:rsidRPr="00F85253">
        <w:rPr>
          <w:rFonts w:ascii="Arial" w:hAnsi="Arial" w:cs="Arial"/>
          <w:i/>
          <w:color w:val="000000"/>
          <w:sz w:val="22"/>
          <w:szCs w:val="22"/>
          <w:lang w:val="es-ES_tradnl"/>
        </w:rPr>
        <w:t>e</w:t>
      </w:r>
      <w:r w:rsidR="00CC2A1C" w:rsidRPr="00F85253">
        <w:rPr>
          <w:rFonts w:ascii="Arial" w:hAnsi="Arial" w:cs="Arial"/>
          <w:i/>
          <w:color w:val="000000"/>
          <w:sz w:val="22"/>
          <w:szCs w:val="22"/>
          <w:lang w:val="es-ES_tradnl"/>
        </w:rPr>
        <w:t>l</w:t>
      </w:r>
      <w:r w:rsidR="00502181" w:rsidRPr="00F85253">
        <w:rPr>
          <w:rFonts w:ascii="Arial" w:hAnsi="Arial" w:cs="Arial"/>
          <w:i/>
          <w:color w:val="000000"/>
          <w:sz w:val="22"/>
          <w:szCs w:val="22"/>
          <w:lang w:val="es-ES_tradnl"/>
        </w:rPr>
        <w:t xml:space="preserve"> </w:t>
      </w:r>
      <w:r w:rsidR="00CC2A1C" w:rsidRPr="00F85253">
        <w:rPr>
          <w:rFonts w:ascii="Arial" w:hAnsi="Arial" w:cs="Arial"/>
          <w:i/>
          <w:color w:val="000000"/>
          <w:sz w:val="22"/>
          <w:szCs w:val="22"/>
          <w:lang w:val="es-ES_tradnl"/>
        </w:rPr>
        <w:t>programa</w:t>
      </w:r>
      <w:r w:rsidR="00052D29" w:rsidRPr="00F85253">
        <w:rPr>
          <w:rFonts w:ascii="Arial" w:hAnsi="Arial" w:cs="Arial"/>
          <w:i/>
          <w:color w:val="000000"/>
          <w:sz w:val="22"/>
          <w:szCs w:val="22"/>
          <w:lang w:val="es-ES_tradnl"/>
        </w:rPr>
        <w:t xml:space="preserve">, como se evidencia en el </w:t>
      </w:r>
      <w:r w:rsidR="00C458B9" w:rsidRPr="00F85253">
        <w:rPr>
          <w:rFonts w:ascii="Arial" w:hAnsi="Arial" w:cs="Arial"/>
          <w:i/>
          <w:color w:val="000000"/>
          <w:sz w:val="22"/>
          <w:szCs w:val="22"/>
          <w:lang w:val="es-ES_tradnl"/>
        </w:rPr>
        <w:t>G</w:t>
      </w:r>
      <w:r w:rsidR="00052D29" w:rsidRPr="00F85253">
        <w:rPr>
          <w:rFonts w:ascii="Arial" w:hAnsi="Arial" w:cs="Arial"/>
          <w:i/>
          <w:color w:val="000000"/>
          <w:sz w:val="22"/>
          <w:szCs w:val="22"/>
          <w:lang w:val="es-ES_tradnl"/>
        </w:rPr>
        <w:t>ráfico</w:t>
      </w:r>
      <w:r w:rsidR="00C458B9" w:rsidRPr="00F85253">
        <w:rPr>
          <w:rFonts w:ascii="Arial" w:hAnsi="Arial" w:cs="Arial"/>
          <w:i/>
          <w:color w:val="000000"/>
          <w:sz w:val="22"/>
          <w:szCs w:val="22"/>
          <w:lang w:val="es-ES_tradnl"/>
        </w:rPr>
        <w:t xml:space="preserve"> 1</w:t>
      </w:r>
      <w:r w:rsidR="00354332" w:rsidRPr="00F85253">
        <w:rPr>
          <w:rFonts w:ascii="Arial" w:hAnsi="Arial" w:cs="Arial"/>
          <w:color w:val="000000"/>
          <w:sz w:val="22"/>
          <w:szCs w:val="22"/>
          <w:lang w:val="es-ES_tradnl"/>
        </w:rPr>
        <w:t>.</w:t>
      </w:r>
    </w:p>
    <w:p w14:paraId="30846674" w14:textId="77777777" w:rsidR="00436FE2" w:rsidRPr="00F85253" w:rsidRDefault="00436FE2" w:rsidP="00436FE2">
      <w:pPr>
        <w:pStyle w:val="Paragraph"/>
        <w:tabs>
          <w:tab w:val="num" w:pos="1800"/>
          <w:tab w:val="num" w:pos="2196"/>
        </w:tabs>
        <w:spacing w:before="0" w:after="0" w:line="276" w:lineRule="auto"/>
        <w:ind w:left="720"/>
        <w:outlineLvl w:val="9"/>
        <w:rPr>
          <w:rFonts w:ascii="Arial" w:hAnsi="Arial" w:cs="Arial"/>
          <w:color w:val="000000"/>
          <w:sz w:val="22"/>
          <w:szCs w:val="22"/>
          <w:lang w:val="es-ES_tradnl"/>
        </w:rPr>
      </w:pPr>
    </w:p>
    <w:p w14:paraId="625B2CAF" w14:textId="77777777" w:rsidR="001325D5" w:rsidRPr="00F85253" w:rsidRDefault="001325D5" w:rsidP="002543DC">
      <w:pPr>
        <w:pStyle w:val="Paragraph"/>
        <w:tabs>
          <w:tab w:val="num" w:pos="2196"/>
        </w:tabs>
        <w:spacing w:before="0" w:after="0" w:line="276" w:lineRule="auto"/>
        <w:ind w:left="720"/>
        <w:outlineLvl w:val="9"/>
        <w:rPr>
          <w:rFonts w:ascii="Arial" w:hAnsi="Arial" w:cs="Arial"/>
          <w:color w:val="000000"/>
          <w:sz w:val="22"/>
          <w:szCs w:val="22"/>
          <w:lang w:val="es-ES_tradnl"/>
        </w:rPr>
      </w:pPr>
      <w:r w:rsidRPr="00F85253">
        <w:rPr>
          <w:rFonts w:ascii="Arial" w:hAnsi="Arial" w:cs="Arial"/>
          <w:color w:val="000000"/>
          <w:sz w:val="22"/>
          <w:szCs w:val="22"/>
          <w:lang w:val="es-ES_tradnl"/>
        </w:rPr>
        <w:t xml:space="preserve">      </w:t>
      </w:r>
    </w:p>
    <w:p w14:paraId="5ECE11EC" w14:textId="77777777" w:rsidR="00502181" w:rsidRPr="00F85253" w:rsidRDefault="003A1C73" w:rsidP="002543DC">
      <w:pPr>
        <w:spacing w:after="0"/>
        <w:jc w:val="both"/>
        <w:rPr>
          <w:rFonts w:ascii="Arial" w:hAnsi="Arial" w:cs="Arial"/>
          <w:color w:val="000000"/>
          <w:lang w:val="es-ES_tradnl"/>
        </w:rPr>
      </w:pPr>
      <w:r w:rsidRPr="00F85253">
        <w:rPr>
          <w:rFonts w:ascii="Arial" w:hAnsi="Arial" w:cs="Arial"/>
          <w:color w:val="000000"/>
          <w:lang w:val="es-ES_tradnl"/>
        </w:rPr>
        <w:br w:type="page"/>
      </w:r>
    </w:p>
    <w:p w14:paraId="229272E3" w14:textId="77777777" w:rsidR="00651EDD" w:rsidRPr="00F85253" w:rsidRDefault="00651EDD" w:rsidP="002543DC">
      <w:pPr>
        <w:pStyle w:val="ListParagraph"/>
        <w:spacing w:after="0"/>
        <w:ind w:left="1440"/>
        <w:jc w:val="both"/>
        <w:rPr>
          <w:rFonts w:ascii="Arial" w:hAnsi="Arial" w:cs="Arial"/>
          <w:b/>
          <w:color w:val="222222"/>
          <w:lang w:val="es-ES_tradnl"/>
        </w:rPr>
        <w:sectPr w:rsidR="00651EDD" w:rsidRPr="00F85253">
          <w:pgSz w:w="11906" w:h="16838"/>
          <w:pgMar w:top="994" w:right="1440" w:bottom="1166" w:left="1354" w:header="720" w:footer="720" w:gutter="0"/>
          <w:cols w:space="720"/>
          <w:docGrid w:linePitch="360"/>
        </w:sectPr>
      </w:pPr>
    </w:p>
    <w:p w14:paraId="674E345F" w14:textId="77777777" w:rsidR="003A1C73" w:rsidRPr="00F85253" w:rsidRDefault="003A1C73" w:rsidP="002543DC">
      <w:pPr>
        <w:pStyle w:val="ListParagraph"/>
        <w:spacing w:after="0"/>
        <w:ind w:left="1440"/>
        <w:jc w:val="both"/>
        <w:rPr>
          <w:rFonts w:ascii="Arial" w:hAnsi="Arial" w:cs="Arial"/>
          <w:b/>
          <w:color w:val="222222"/>
          <w:lang w:val="es-ES_tradnl"/>
        </w:rPr>
      </w:pPr>
      <w:r w:rsidRPr="00F85253">
        <w:rPr>
          <w:rFonts w:ascii="Arial" w:hAnsi="Arial" w:cs="Arial"/>
          <w:b/>
          <w:color w:val="222222"/>
          <w:lang w:val="es-ES_tradnl"/>
        </w:rPr>
        <w:lastRenderedPageBreak/>
        <w:t>Gráfico 1 – Lógica Vertical Sintetizada del proyecto</w:t>
      </w:r>
    </w:p>
    <w:p w14:paraId="3E3C0C69" w14:textId="77777777" w:rsidR="003A1C73" w:rsidRPr="00F85253" w:rsidRDefault="003A1C73" w:rsidP="002543DC">
      <w:pPr>
        <w:spacing w:after="0"/>
        <w:jc w:val="both"/>
        <w:rPr>
          <w:rFonts w:ascii="Arial" w:hAnsi="Arial" w:cs="Arial"/>
          <w:lang w:val="es-ES_tradnl"/>
        </w:rPr>
      </w:pPr>
    </w:p>
    <w:p w14:paraId="20B4E134" w14:textId="7042E112" w:rsidR="003A1C73" w:rsidRPr="00F85253" w:rsidRDefault="00FF00B5" w:rsidP="002543DC">
      <w:pPr>
        <w:spacing w:after="0"/>
        <w:ind w:left="567" w:right="446"/>
        <w:jc w:val="both"/>
        <w:rPr>
          <w:rFonts w:ascii="Arial" w:hAnsi="Arial" w:cs="Arial"/>
          <w:lang w:val="es-ES_tradnl"/>
        </w:rPr>
      </w:pPr>
      <w:r w:rsidRPr="00F85253">
        <w:rPr>
          <w:noProof/>
          <w:lang w:val="es-EC" w:eastAsia="es-EC"/>
        </w:rPr>
        <mc:AlternateContent>
          <mc:Choice Requires="wps">
            <w:drawing>
              <wp:anchor distT="0" distB="0" distL="114300" distR="114300" simplePos="0" relativeHeight="251685888" behindDoc="0" locked="0" layoutInCell="1" allowOverlap="1" wp14:anchorId="21F98A22" wp14:editId="597E0668">
                <wp:simplePos x="0" y="0"/>
                <wp:positionH relativeFrom="column">
                  <wp:posOffset>5881370</wp:posOffset>
                </wp:positionH>
                <wp:positionV relativeFrom="paragraph">
                  <wp:posOffset>4110355</wp:posOffset>
                </wp:positionV>
                <wp:extent cx="1727200" cy="850900"/>
                <wp:effectExtent l="0" t="0" r="25400" b="25400"/>
                <wp:wrapNone/>
                <wp:docPr id="5" name="5 Rectángulo redondeado"/>
                <wp:cNvGraphicFramePr/>
                <a:graphic xmlns:a="http://schemas.openxmlformats.org/drawingml/2006/main">
                  <a:graphicData uri="http://schemas.microsoft.com/office/word/2010/wordprocessingShape">
                    <wps:wsp>
                      <wps:cNvSpPr/>
                      <wps:spPr>
                        <a:xfrm>
                          <a:off x="0" y="0"/>
                          <a:ext cx="1727200" cy="850900"/>
                        </a:xfrm>
                        <a:prstGeom prst="roundRect">
                          <a:avLst/>
                        </a:prstGeom>
                        <a:ln w="9525"/>
                      </wps:spPr>
                      <wps:style>
                        <a:lnRef idx="2">
                          <a:schemeClr val="accent5"/>
                        </a:lnRef>
                        <a:fillRef idx="1">
                          <a:schemeClr val="lt1"/>
                        </a:fillRef>
                        <a:effectRef idx="0">
                          <a:schemeClr val="accent5"/>
                        </a:effectRef>
                        <a:fontRef idx="minor">
                          <a:schemeClr val="dk1"/>
                        </a:fontRef>
                      </wps:style>
                      <wps:txbx>
                        <w:txbxContent>
                          <w:p w14:paraId="644194FD" w14:textId="135E7450" w:rsidR="00EE18A4" w:rsidRPr="00FF00B5" w:rsidRDefault="00EE18A4" w:rsidP="000D1780">
                            <w:pPr>
                              <w:spacing w:after="0" w:line="240" w:lineRule="auto"/>
                              <w:jc w:val="both"/>
                              <w:rPr>
                                <w:rFonts w:cstheme="minorHAnsi"/>
                                <w:sz w:val="14"/>
                                <w:szCs w:val="16"/>
                                <w:lang w:val="es-ES_tradnl"/>
                              </w:rPr>
                            </w:pPr>
                            <w:r w:rsidRPr="00FF00B5">
                              <w:rPr>
                                <w:rFonts w:cstheme="minorHAnsi"/>
                                <w:b/>
                                <w:sz w:val="14"/>
                                <w:szCs w:val="16"/>
                                <w:lang w:val="es-ES_tradnl"/>
                              </w:rPr>
                              <w:t xml:space="preserve">P 2.3.1. </w:t>
                            </w:r>
                            <w:r w:rsidRPr="00FF00B5">
                              <w:rPr>
                                <w:rFonts w:cstheme="minorHAnsi"/>
                                <w:sz w:val="14"/>
                                <w:szCs w:val="16"/>
                                <w:lang w:val="es-ES_tradnl"/>
                              </w:rPr>
                              <w:t xml:space="preserve">Informe con la puesta en valor de TAME: Valoración patrimonial, análisis de mercado, estrategia de puesta en valor e implementación. </w:t>
                            </w:r>
                          </w:p>
                          <w:p w14:paraId="3E210235" w14:textId="250DFC31" w:rsidR="00EE18A4" w:rsidRPr="00FF00B5" w:rsidRDefault="00EE18A4" w:rsidP="000D1780">
                            <w:pPr>
                              <w:spacing w:after="0" w:line="240" w:lineRule="auto"/>
                              <w:jc w:val="both"/>
                              <w:rPr>
                                <w:rFonts w:cstheme="minorHAnsi"/>
                                <w:sz w:val="14"/>
                                <w:szCs w:val="16"/>
                                <w:lang w:val="es-EC"/>
                              </w:rPr>
                            </w:pPr>
                            <w:r w:rsidRPr="00FF00B5">
                              <w:rPr>
                                <w:rFonts w:cstheme="minorHAnsi"/>
                                <w:sz w:val="14"/>
                                <w:szCs w:val="16"/>
                                <w:lang w:val="es-EC"/>
                              </w:rPr>
                              <w:t>P 2.3.2. Estados Financieros con las NIIF 2017-2018 implementados.</w:t>
                            </w:r>
                          </w:p>
                          <w:p w14:paraId="42FD9889" w14:textId="77777777" w:rsidR="00EE18A4" w:rsidRPr="000D1780" w:rsidRDefault="00EE18A4" w:rsidP="000D1780">
                            <w:pPr>
                              <w:spacing w:after="0" w:line="240" w:lineRule="auto"/>
                              <w:jc w:val="both"/>
                              <w:rPr>
                                <w:sz w:val="16"/>
                                <w:szCs w:val="16"/>
                                <w:lang w:val="es-EC"/>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1F98A22" id="5 Rectángulo redondeado" o:spid="_x0000_s1026" style="position:absolute;left:0;text-align:left;margin-left:463.1pt;margin-top:323.65pt;width:136pt;height:67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" fillcolor="white [3201]" strokecolor="#4bacc6 [3208]">
                <v:textbox>
                  <w:txbxContent>
                    <w:p w14:paraId="644194FD" w14:textId="135E7450" w:rsidR="00EE18A4" w:rsidRPr="00FF00B5" w:rsidRDefault="00EE18A4" w:rsidP="000D1780">
                      <w:pPr>
                        <w:spacing w:after="0" w:line="240" w:lineRule="auto"/>
                        <w:jc w:val="both"/>
                        <w:rPr>
                          <w:rFonts w:cstheme="minorHAnsi"/>
                          <w:sz w:val="14"/>
                          <w:szCs w:val="16"/>
                          <w:lang w:val="es-ES_tradnl"/>
                        </w:rPr>
                      </w:pPr>
                      <w:r w:rsidRPr="00FF00B5">
                        <w:rPr>
                          <w:rFonts w:cstheme="minorHAnsi"/>
                          <w:b/>
                          <w:sz w:val="14"/>
                          <w:szCs w:val="16"/>
                          <w:lang w:val="es-ES_tradnl"/>
                        </w:rPr>
                        <w:t xml:space="preserve">P 2.3.1. </w:t>
                      </w:r>
                      <w:r w:rsidRPr="00FF00B5">
                        <w:rPr>
                          <w:rFonts w:cstheme="minorHAnsi"/>
                          <w:sz w:val="14"/>
                          <w:szCs w:val="16"/>
                          <w:lang w:val="es-ES_tradnl"/>
                        </w:rPr>
                        <w:t xml:space="preserve">Informe con la puesta en valor de TAME: Valoración patrimonial, análisis de mercado, estrategia de puesta en valor e implementación. </w:t>
                      </w:r>
                    </w:p>
                    <w:p w14:paraId="3E210235" w14:textId="250DFC31" w:rsidR="00EE18A4" w:rsidRPr="00FF00B5" w:rsidRDefault="00EE18A4" w:rsidP="000D1780">
                      <w:pPr>
                        <w:spacing w:after="0" w:line="240" w:lineRule="auto"/>
                        <w:jc w:val="both"/>
                        <w:rPr>
                          <w:rFonts w:cstheme="minorHAnsi"/>
                          <w:sz w:val="14"/>
                          <w:szCs w:val="16"/>
                          <w:lang w:val="es-EC"/>
                        </w:rPr>
                      </w:pPr>
                      <w:r w:rsidRPr="00FF00B5">
                        <w:rPr>
                          <w:rFonts w:cstheme="minorHAnsi"/>
                          <w:sz w:val="14"/>
                          <w:szCs w:val="16"/>
                          <w:lang w:val="es-EC"/>
                        </w:rPr>
                        <w:t>P 2.3.2. Estados Financieros con las NIIF 2017-2018 implementados.</w:t>
                      </w:r>
                    </w:p>
                    <w:p w14:paraId="42FD9889" w14:textId="77777777" w:rsidR="00EE18A4" w:rsidRPr="000D1780" w:rsidRDefault="00EE18A4" w:rsidP="000D1780">
                      <w:pPr>
                        <w:spacing w:after="0" w:line="240" w:lineRule="auto"/>
                        <w:jc w:val="both"/>
                        <w:rPr>
                          <w:sz w:val="16"/>
                          <w:szCs w:val="16"/>
                          <w:lang w:val="es-EC"/>
                        </w:rPr>
                      </w:pPr>
                    </w:p>
                  </w:txbxContent>
                </v:textbox>
              </v:roundrect>
            </w:pict>
          </mc:Fallback>
        </mc:AlternateContent>
      </w:r>
      <w:r w:rsidRPr="00F85253">
        <w:rPr>
          <w:noProof/>
          <w:lang w:val="es-EC" w:eastAsia="es-EC"/>
        </w:rPr>
        <mc:AlternateContent>
          <mc:Choice Requires="wps">
            <w:drawing>
              <wp:anchor distT="0" distB="0" distL="114300" distR="114300" simplePos="0" relativeHeight="251683840" behindDoc="0" locked="0" layoutInCell="1" allowOverlap="1" wp14:anchorId="78A20547" wp14:editId="7E424A9A">
                <wp:simplePos x="0" y="0"/>
                <wp:positionH relativeFrom="column">
                  <wp:posOffset>375920</wp:posOffset>
                </wp:positionH>
                <wp:positionV relativeFrom="paragraph">
                  <wp:posOffset>4326255</wp:posOffset>
                </wp:positionV>
                <wp:extent cx="5378450" cy="1333500"/>
                <wp:effectExtent l="0" t="0" r="12700" b="19050"/>
                <wp:wrapNone/>
                <wp:docPr id="4" name="4 Rectángulo redondeado"/>
                <wp:cNvGraphicFramePr/>
                <a:graphic xmlns:a="http://schemas.openxmlformats.org/drawingml/2006/main">
                  <a:graphicData uri="http://schemas.microsoft.com/office/word/2010/wordprocessingShape">
                    <wps:wsp>
                      <wps:cNvSpPr/>
                      <wps:spPr>
                        <a:xfrm>
                          <a:off x="0" y="0"/>
                          <a:ext cx="5378450" cy="1333500"/>
                        </a:xfrm>
                        <a:prstGeom prst="roundRect">
                          <a:avLst/>
                        </a:prstGeom>
                        <a:ln w="9525"/>
                      </wps:spPr>
                      <wps:style>
                        <a:lnRef idx="2">
                          <a:schemeClr val="accent5"/>
                        </a:lnRef>
                        <a:fillRef idx="1">
                          <a:schemeClr val="lt1"/>
                        </a:fillRef>
                        <a:effectRef idx="0">
                          <a:schemeClr val="accent5"/>
                        </a:effectRef>
                        <a:fontRef idx="minor">
                          <a:schemeClr val="dk1"/>
                        </a:fontRef>
                      </wps:style>
                      <wps:txbx>
                        <w:txbxContent>
                          <w:p w14:paraId="57FC6349" w14:textId="677A590A" w:rsidR="00EE18A4" w:rsidRPr="00FF00B5" w:rsidRDefault="00EE18A4" w:rsidP="00A821AA">
                            <w:pPr>
                              <w:spacing w:after="0" w:line="240" w:lineRule="auto"/>
                              <w:jc w:val="both"/>
                              <w:rPr>
                                <w:sz w:val="16"/>
                                <w:szCs w:val="16"/>
                                <w:lang w:val="es-EC"/>
                              </w:rPr>
                            </w:pPr>
                            <w:r w:rsidRPr="00FF00B5">
                              <w:rPr>
                                <w:sz w:val="16"/>
                                <w:szCs w:val="16"/>
                                <w:lang w:val="es-EC"/>
                              </w:rPr>
                              <w:t xml:space="preserve">P 1.4.1. Nueva entidad de gestión propietaria de las </w:t>
                            </w:r>
                            <w:r>
                              <w:rPr>
                                <w:sz w:val="16"/>
                                <w:szCs w:val="16"/>
                                <w:lang w:val="es-EC"/>
                              </w:rPr>
                              <w:t>EEPP</w:t>
                            </w:r>
                            <w:r w:rsidRPr="00FF00B5">
                              <w:rPr>
                                <w:sz w:val="16"/>
                                <w:szCs w:val="16"/>
                                <w:lang w:val="es-EC"/>
                              </w:rPr>
                              <w:t xml:space="preserve"> que sustituiría a EMCO implementada</w:t>
                            </w:r>
                          </w:p>
                          <w:p w14:paraId="782E3A6C" w14:textId="0DDF60A3" w:rsidR="00EE18A4" w:rsidRPr="00FF00B5" w:rsidRDefault="00EE18A4" w:rsidP="00A821AA">
                            <w:pPr>
                              <w:spacing w:after="0" w:line="240" w:lineRule="auto"/>
                              <w:jc w:val="both"/>
                              <w:rPr>
                                <w:sz w:val="16"/>
                                <w:szCs w:val="16"/>
                                <w:lang w:val="es-EC"/>
                              </w:rPr>
                            </w:pPr>
                            <w:r w:rsidRPr="00FF00B5">
                              <w:rPr>
                                <w:sz w:val="16"/>
                                <w:szCs w:val="16"/>
                                <w:lang w:val="es-EC"/>
                              </w:rPr>
                              <w:t xml:space="preserve">P 1.4.2. Informe de contrato de gestión del desempeño entre entidad propietaria y </w:t>
                            </w:r>
                            <w:r>
                              <w:rPr>
                                <w:sz w:val="16"/>
                                <w:szCs w:val="16"/>
                                <w:lang w:val="es-EC"/>
                              </w:rPr>
                              <w:t>EEPP</w:t>
                            </w:r>
                            <w:r w:rsidRPr="00FF00B5">
                              <w:rPr>
                                <w:sz w:val="16"/>
                                <w:szCs w:val="16"/>
                                <w:lang w:val="es-EC"/>
                              </w:rPr>
                              <w:t xml:space="preserve"> diseñado</w:t>
                            </w:r>
                          </w:p>
                          <w:p w14:paraId="01B7FCE7" w14:textId="77777777" w:rsidR="00EE18A4" w:rsidRPr="00FF00B5" w:rsidRDefault="00EE18A4" w:rsidP="00A821AA">
                            <w:pPr>
                              <w:spacing w:after="0" w:line="240" w:lineRule="auto"/>
                              <w:jc w:val="both"/>
                              <w:rPr>
                                <w:sz w:val="16"/>
                                <w:szCs w:val="16"/>
                                <w:lang w:val="es-EC"/>
                              </w:rPr>
                            </w:pPr>
                            <w:r w:rsidRPr="00FF00B5">
                              <w:rPr>
                                <w:sz w:val="16"/>
                                <w:szCs w:val="16"/>
                                <w:lang w:val="es-EC"/>
                              </w:rPr>
                              <w:t xml:space="preserve">P 1.5.1. Desarrollo de instrumentos de gestión: (i) estudios de costes de producción para asistir la formulación presupuestaria; (ii) sistemas de certificación de capacidad de pago y límites de endeudamiento; (iii) estadísticas financieras a través de sistemas de reporte especializados. </w:t>
                            </w:r>
                          </w:p>
                          <w:p w14:paraId="04B7FEAE" w14:textId="77777777" w:rsidR="00EE18A4" w:rsidRPr="00FF00B5" w:rsidRDefault="00EE18A4" w:rsidP="00A821AA">
                            <w:pPr>
                              <w:spacing w:after="0" w:line="240" w:lineRule="auto"/>
                              <w:jc w:val="both"/>
                              <w:rPr>
                                <w:sz w:val="16"/>
                                <w:szCs w:val="16"/>
                                <w:lang w:val="es-EC"/>
                              </w:rPr>
                            </w:pPr>
                            <w:r w:rsidRPr="00FF00B5">
                              <w:rPr>
                                <w:sz w:val="16"/>
                                <w:szCs w:val="16"/>
                                <w:lang w:val="es-EC"/>
                              </w:rPr>
                              <w:t xml:space="preserve">P 1.5.2. Funcionarios capacitados en sectores estratégicos </w:t>
                            </w:r>
                          </w:p>
                          <w:p w14:paraId="5E36A8A4" w14:textId="68477C3D" w:rsidR="00EE18A4" w:rsidRPr="00FF00B5" w:rsidRDefault="00EE18A4" w:rsidP="00A821AA">
                            <w:pPr>
                              <w:spacing w:after="0" w:line="240" w:lineRule="auto"/>
                              <w:jc w:val="both"/>
                              <w:rPr>
                                <w:sz w:val="16"/>
                                <w:szCs w:val="16"/>
                                <w:lang w:val="es-EC"/>
                              </w:rPr>
                            </w:pPr>
                            <w:r w:rsidRPr="00FF00B5">
                              <w:rPr>
                                <w:sz w:val="16"/>
                                <w:szCs w:val="16"/>
                                <w:lang w:val="es-EC"/>
                              </w:rPr>
                              <w:t xml:space="preserve">P 1.5.3. Apoyo a los Gobiernos Autónomos Descentralizados (GAD) en la adopción de las reformas de la LOEP en sus </w:t>
                            </w:r>
                            <w:r>
                              <w:rPr>
                                <w:sz w:val="16"/>
                                <w:szCs w:val="16"/>
                                <w:lang w:val="es-EC"/>
                              </w:rPr>
                              <w:t>EEPP</w:t>
                            </w:r>
                            <w:r w:rsidRPr="00FF00B5">
                              <w:rPr>
                                <w:sz w:val="16"/>
                                <w:szCs w:val="16"/>
                                <w:lang w:val="es-EC"/>
                              </w:rPr>
                              <w:t xml:space="preserve"> implementado</w:t>
                            </w:r>
                          </w:p>
                          <w:p w14:paraId="7DF3B903" w14:textId="586D5B74" w:rsidR="00EE18A4" w:rsidRPr="00FF00B5" w:rsidRDefault="00EE18A4" w:rsidP="00A821AA">
                            <w:pPr>
                              <w:spacing w:after="0" w:line="240" w:lineRule="auto"/>
                              <w:jc w:val="both"/>
                              <w:rPr>
                                <w:sz w:val="16"/>
                                <w:szCs w:val="16"/>
                                <w:lang w:val="es-EC"/>
                              </w:rPr>
                            </w:pPr>
                            <w:r w:rsidRPr="00FF00B5">
                              <w:rPr>
                                <w:sz w:val="16"/>
                                <w:szCs w:val="16"/>
                                <w:lang w:val="es-EC"/>
                              </w:rPr>
                              <w:t>P 1.5.4. Análisis de sostenibilidad financiera de EEPP de los GAD diseñado e implementado.</w:t>
                            </w:r>
                          </w:p>
                          <w:p w14:paraId="3C62C6E2" w14:textId="46111E0B" w:rsidR="00EE18A4" w:rsidRPr="00A821AA" w:rsidRDefault="00EE18A4" w:rsidP="00A821AA">
                            <w:pPr>
                              <w:spacing w:after="0" w:line="240" w:lineRule="auto"/>
                              <w:jc w:val="both"/>
                              <w:rPr>
                                <w:sz w:val="17"/>
                                <w:szCs w:val="17"/>
                                <w:lang w:val="es-EC"/>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8A20547" id="4 Rectángulo redondeado" o:spid="_x0000_s1027" style="position:absolute;left:0;text-align:left;margin-left:29.6pt;margin-top:340.65pt;width:423.5pt;height:1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" fillcolor="white [3201]" strokecolor="#4bacc6 [3208]">
                <v:textbox>
                  <w:txbxContent>
                    <w:p w14:paraId="57FC6349" w14:textId="677A590A" w:rsidR="00EE18A4" w:rsidRPr="00FF00B5" w:rsidRDefault="00EE18A4" w:rsidP="00A821AA">
                      <w:pPr>
                        <w:spacing w:after="0" w:line="240" w:lineRule="auto"/>
                        <w:jc w:val="both"/>
                        <w:rPr>
                          <w:sz w:val="16"/>
                          <w:szCs w:val="16"/>
                          <w:lang w:val="es-EC"/>
                        </w:rPr>
                      </w:pPr>
                      <w:r w:rsidRPr="00FF00B5">
                        <w:rPr>
                          <w:sz w:val="16"/>
                          <w:szCs w:val="16"/>
                          <w:lang w:val="es-EC"/>
                        </w:rPr>
                        <w:t xml:space="preserve">P 1.4.1. Nueva entidad de gestión propietaria de las </w:t>
                      </w:r>
                      <w:r>
                        <w:rPr>
                          <w:sz w:val="16"/>
                          <w:szCs w:val="16"/>
                          <w:lang w:val="es-EC"/>
                        </w:rPr>
                        <w:t>EEPP</w:t>
                      </w:r>
                      <w:r w:rsidRPr="00FF00B5">
                        <w:rPr>
                          <w:sz w:val="16"/>
                          <w:szCs w:val="16"/>
                          <w:lang w:val="es-EC"/>
                        </w:rPr>
                        <w:t xml:space="preserve"> que sustituiría a EMCO implementada</w:t>
                      </w:r>
                    </w:p>
                    <w:p w14:paraId="782E3A6C" w14:textId="0DDF60A3" w:rsidR="00EE18A4" w:rsidRPr="00FF00B5" w:rsidRDefault="00EE18A4" w:rsidP="00A821AA">
                      <w:pPr>
                        <w:spacing w:after="0" w:line="240" w:lineRule="auto"/>
                        <w:jc w:val="both"/>
                        <w:rPr>
                          <w:sz w:val="16"/>
                          <w:szCs w:val="16"/>
                          <w:lang w:val="es-EC"/>
                        </w:rPr>
                      </w:pPr>
                      <w:r w:rsidRPr="00FF00B5">
                        <w:rPr>
                          <w:sz w:val="16"/>
                          <w:szCs w:val="16"/>
                          <w:lang w:val="es-EC"/>
                        </w:rPr>
                        <w:t xml:space="preserve">P 1.4.2. Informe de contrato de gestión del desempeño entre entidad propietaria y </w:t>
                      </w:r>
                      <w:r>
                        <w:rPr>
                          <w:sz w:val="16"/>
                          <w:szCs w:val="16"/>
                          <w:lang w:val="es-EC"/>
                        </w:rPr>
                        <w:t>EEPP</w:t>
                      </w:r>
                      <w:r w:rsidRPr="00FF00B5">
                        <w:rPr>
                          <w:sz w:val="16"/>
                          <w:szCs w:val="16"/>
                          <w:lang w:val="es-EC"/>
                        </w:rPr>
                        <w:t xml:space="preserve"> diseñado</w:t>
                      </w:r>
                    </w:p>
                    <w:p w14:paraId="01B7FCE7" w14:textId="77777777" w:rsidR="00EE18A4" w:rsidRPr="00FF00B5" w:rsidRDefault="00EE18A4" w:rsidP="00A821AA">
                      <w:pPr>
                        <w:spacing w:after="0" w:line="240" w:lineRule="auto"/>
                        <w:jc w:val="both"/>
                        <w:rPr>
                          <w:sz w:val="16"/>
                          <w:szCs w:val="16"/>
                          <w:lang w:val="es-EC"/>
                        </w:rPr>
                      </w:pPr>
                      <w:r w:rsidRPr="00FF00B5">
                        <w:rPr>
                          <w:sz w:val="16"/>
                          <w:szCs w:val="16"/>
                          <w:lang w:val="es-EC"/>
                        </w:rPr>
                        <w:t xml:space="preserve">P 1.5.1. Desarrollo de instrumentos de gestión: (i) estudios de costes de producción para asistir la formulación presupuestaria; (ii) sistemas de certificación de capacidad de pago y límites de endeudamiento; (iii) estadísticas financieras a través de sistemas de reporte especializados. </w:t>
                      </w:r>
                    </w:p>
                    <w:p w14:paraId="04B7FEAE" w14:textId="77777777" w:rsidR="00EE18A4" w:rsidRPr="00FF00B5" w:rsidRDefault="00EE18A4" w:rsidP="00A821AA">
                      <w:pPr>
                        <w:spacing w:after="0" w:line="240" w:lineRule="auto"/>
                        <w:jc w:val="both"/>
                        <w:rPr>
                          <w:sz w:val="16"/>
                          <w:szCs w:val="16"/>
                          <w:lang w:val="es-EC"/>
                        </w:rPr>
                      </w:pPr>
                      <w:r w:rsidRPr="00FF00B5">
                        <w:rPr>
                          <w:sz w:val="16"/>
                          <w:szCs w:val="16"/>
                          <w:lang w:val="es-EC"/>
                        </w:rPr>
                        <w:t xml:space="preserve">P 1.5.2. Funcionarios capacitados en sectores estratégicos </w:t>
                      </w:r>
                    </w:p>
                    <w:p w14:paraId="5E36A8A4" w14:textId="68477C3D" w:rsidR="00EE18A4" w:rsidRPr="00FF00B5" w:rsidRDefault="00EE18A4" w:rsidP="00A821AA">
                      <w:pPr>
                        <w:spacing w:after="0" w:line="240" w:lineRule="auto"/>
                        <w:jc w:val="both"/>
                        <w:rPr>
                          <w:sz w:val="16"/>
                          <w:szCs w:val="16"/>
                          <w:lang w:val="es-EC"/>
                        </w:rPr>
                      </w:pPr>
                      <w:r w:rsidRPr="00FF00B5">
                        <w:rPr>
                          <w:sz w:val="16"/>
                          <w:szCs w:val="16"/>
                          <w:lang w:val="es-EC"/>
                        </w:rPr>
                        <w:t xml:space="preserve">P 1.5.3. Apoyo a los Gobiernos Autónomos Descentralizados (GAD) en la adopción de las reformas de la LOEP en sus </w:t>
                      </w:r>
                      <w:r>
                        <w:rPr>
                          <w:sz w:val="16"/>
                          <w:szCs w:val="16"/>
                          <w:lang w:val="es-EC"/>
                        </w:rPr>
                        <w:t>EEPP</w:t>
                      </w:r>
                      <w:r w:rsidRPr="00FF00B5">
                        <w:rPr>
                          <w:sz w:val="16"/>
                          <w:szCs w:val="16"/>
                          <w:lang w:val="es-EC"/>
                        </w:rPr>
                        <w:t xml:space="preserve"> implementado</w:t>
                      </w:r>
                    </w:p>
                    <w:p w14:paraId="7DF3B903" w14:textId="586D5B74" w:rsidR="00EE18A4" w:rsidRPr="00FF00B5" w:rsidRDefault="00EE18A4" w:rsidP="00A821AA">
                      <w:pPr>
                        <w:spacing w:after="0" w:line="240" w:lineRule="auto"/>
                        <w:jc w:val="both"/>
                        <w:rPr>
                          <w:sz w:val="16"/>
                          <w:szCs w:val="16"/>
                          <w:lang w:val="es-EC"/>
                        </w:rPr>
                      </w:pPr>
                      <w:r w:rsidRPr="00FF00B5">
                        <w:rPr>
                          <w:sz w:val="16"/>
                          <w:szCs w:val="16"/>
                          <w:lang w:val="es-EC"/>
                        </w:rPr>
                        <w:t>P 1.5.4. Análisis de sostenibilidad financiera de EEPP de los GAD diseñado e implementado.</w:t>
                      </w:r>
                    </w:p>
                    <w:p w14:paraId="3C62C6E2" w14:textId="46111E0B" w:rsidR="00EE18A4" w:rsidRPr="00A821AA" w:rsidRDefault="00EE18A4" w:rsidP="00A821AA">
                      <w:pPr>
                        <w:spacing w:after="0" w:line="240" w:lineRule="auto"/>
                        <w:jc w:val="both"/>
                        <w:rPr>
                          <w:sz w:val="17"/>
                          <w:szCs w:val="17"/>
                          <w:lang w:val="es-EC"/>
                        </w:rPr>
                      </w:pPr>
                    </w:p>
                  </w:txbxContent>
                </v:textbox>
              </v:roundrect>
            </w:pict>
          </mc:Fallback>
        </mc:AlternateContent>
      </w:r>
      <w:r w:rsidRPr="00F85253">
        <w:rPr>
          <w:noProof/>
          <w:lang w:val="es-EC" w:eastAsia="es-EC"/>
        </w:rPr>
        <mc:AlternateContent>
          <mc:Choice Requires="wps">
            <w:drawing>
              <wp:anchor distT="0" distB="0" distL="114300" distR="114300" simplePos="0" relativeHeight="251681792" behindDoc="0" locked="0" layoutInCell="1" allowOverlap="1" wp14:anchorId="1A013EA0" wp14:editId="50C1688C">
                <wp:simplePos x="0" y="0"/>
                <wp:positionH relativeFrom="column">
                  <wp:posOffset>382270</wp:posOffset>
                </wp:positionH>
                <wp:positionV relativeFrom="paragraph">
                  <wp:posOffset>2453005</wp:posOffset>
                </wp:positionV>
                <wp:extent cx="5378450" cy="1784350"/>
                <wp:effectExtent l="0" t="0" r="12700" b="25400"/>
                <wp:wrapNone/>
                <wp:docPr id="3" name="3 Rectángulo redondeado"/>
                <wp:cNvGraphicFramePr/>
                <a:graphic xmlns:a="http://schemas.openxmlformats.org/drawingml/2006/main">
                  <a:graphicData uri="http://schemas.microsoft.com/office/word/2010/wordprocessingShape">
                    <wps:wsp>
                      <wps:cNvSpPr/>
                      <wps:spPr>
                        <a:xfrm>
                          <a:off x="0" y="0"/>
                          <a:ext cx="5378450" cy="1784350"/>
                        </a:xfrm>
                        <a:prstGeom prst="roundRect">
                          <a:avLst/>
                        </a:prstGeom>
                        <a:ln w="9525"/>
                      </wps:spPr>
                      <wps:style>
                        <a:lnRef idx="2">
                          <a:schemeClr val="accent5"/>
                        </a:lnRef>
                        <a:fillRef idx="1">
                          <a:schemeClr val="lt1"/>
                        </a:fillRef>
                        <a:effectRef idx="0">
                          <a:schemeClr val="accent5"/>
                        </a:effectRef>
                        <a:fontRef idx="minor">
                          <a:schemeClr val="dk1"/>
                        </a:fontRef>
                      </wps:style>
                      <wps:txbx>
                        <w:txbxContent>
                          <w:p w14:paraId="28DE5726" w14:textId="075CFF08" w:rsidR="00EE18A4" w:rsidRPr="00FF00B5" w:rsidRDefault="00EE18A4" w:rsidP="00A821AA">
                            <w:pPr>
                              <w:spacing w:after="0" w:line="240" w:lineRule="auto"/>
                              <w:jc w:val="both"/>
                              <w:rPr>
                                <w:rFonts w:eastAsia="Times New Roman" w:cstheme="minorHAnsi"/>
                                <w:spacing w:val="-2"/>
                                <w:sz w:val="16"/>
                                <w:szCs w:val="16"/>
                                <w:lang w:val="es-ES_tradnl"/>
                              </w:rPr>
                            </w:pPr>
                            <w:r w:rsidRPr="00FF00B5">
                              <w:rPr>
                                <w:rFonts w:cstheme="minorHAnsi"/>
                                <w:sz w:val="16"/>
                                <w:szCs w:val="16"/>
                                <w:lang w:val="es-ES"/>
                              </w:rPr>
                              <w:t xml:space="preserve">P 1.1.1. </w:t>
                            </w:r>
                            <w:r w:rsidRPr="00FF00B5">
                              <w:rPr>
                                <w:rFonts w:eastAsia="Times New Roman" w:cstheme="minorHAnsi"/>
                                <w:spacing w:val="-2"/>
                                <w:sz w:val="16"/>
                                <w:szCs w:val="16"/>
                                <w:lang w:val="es-ES_tradnl"/>
                              </w:rPr>
                              <w:t>Marco normativo revisado: Informe reportando las medidas de la nueva LOEP implementada</w:t>
                            </w:r>
                          </w:p>
                          <w:p w14:paraId="17E459EC" w14:textId="5E51E8CE" w:rsidR="00EE18A4" w:rsidRPr="00FF00B5" w:rsidRDefault="00EE18A4" w:rsidP="00A821AA">
                            <w:pPr>
                              <w:spacing w:after="0" w:line="240" w:lineRule="auto"/>
                              <w:jc w:val="both"/>
                              <w:rPr>
                                <w:rFonts w:eastAsia="Times New Roman" w:cstheme="minorHAnsi"/>
                                <w:spacing w:val="-2"/>
                                <w:sz w:val="16"/>
                                <w:szCs w:val="16"/>
                                <w:lang w:val="es-ES_tradnl"/>
                              </w:rPr>
                            </w:pPr>
                            <w:r w:rsidRPr="00FF00B5">
                              <w:rPr>
                                <w:rFonts w:eastAsia="Times New Roman" w:cstheme="minorHAnsi"/>
                                <w:spacing w:val="-2"/>
                                <w:sz w:val="16"/>
                                <w:szCs w:val="16"/>
                                <w:lang w:val="es-ES_tradnl"/>
                              </w:rPr>
                              <w:t>P 1.1.2. Marco normativo revisado: reglamento de la LOEP elaborado</w:t>
                            </w:r>
                          </w:p>
                          <w:p w14:paraId="058D8286" w14:textId="5C661666" w:rsidR="00EE18A4" w:rsidRPr="00FF00B5" w:rsidRDefault="00EE18A4" w:rsidP="00A821AA">
                            <w:pPr>
                              <w:spacing w:after="0" w:line="240" w:lineRule="auto"/>
                              <w:jc w:val="both"/>
                              <w:rPr>
                                <w:rFonts w:eastAsia="Times New Roman" w:cstheme="minorHAnsi"/>
                                <w:spacing w:val="-2"/>
                                <w:sz w:val="16"/>
                                <w:szCs w:val="16"/>
                                <w:lang w:val="es-ES_tradnl"/>
                              </w:rPr>
                            </w:pPr>
                            <w:r w:rsidRPr="00FF00B5">
                              <w:rPr>
                                <w:rFonts w:eastAsia="Times New Roman" w:cstheme="minorHAnsi"/>
                                <w:spacing w:val="-2"/>
                                <w:sz w:val="16"/>
                                <w:szCs w:val="16"/>
                                <w:lang w:val="es-ES_tradnl"/>
                              </w:rPr>
                              <w:t>P 1.1.3. Marco normativo revisado: normativa técnica elaborada</w:t>
                            </w:r>
                          </w:p>
                          <w:p w14:paraId="366F81FF" w14:textId="70446146" w:rsidR="00EE18A4" w:rsidRPr="00FF00B5" w:rsidRDefault="00EE18A4" w:rsidP="00A821AA">
                            <w:pPr>
                              <w:spacing w:after="0" w:line="240" w:lineRule="auto"/>
                              <w:jc w:val="both"/>
                              <w:rPr>
                                <w:rFonts w:cstheme="minorHAnsi"/>
                                <w:sz w:val="16"/>
                                <w:szCs w:val="16"/>
                                <w:lang w:val="es-ES"/>
                              </w:rPr>
                            </w:pPr>
                            <w:r w:rsidRPr="00FF00B5">
                              <w:rPr>
                                <w:rFonts w:cstheme="minorHAnsi"/>
                                <w:sz w:val="16"/>
                                <w:szCs w:val="16"/>
                                <w:lang w:val="es-ES"/>
                              </w:rPr>
                              <w:t>P 1.1.4. Funcionarios públicos y empleados de EEPP capacitados en lineamientos de gobernanza corporativa de la OCDE y reformas de la LOEP</w:t>
                            </w:r>
                          </w:p>
                          <w:p w14:paraId="18EBC76A" w14:textId="77777777" w:rsidR="00EE18A4" w:rsidRPr="00FF00B5" w:rsidRDefault="00EE18A4" w:rsidP="008E1840">
                            <w:pPr>
                              <w:spacing w:after="0" w:line="240" w:lineRule="auto"/>
                              <w:jc w:val="both"/>
                              <w:rPr>
                                <w:rFonts w:cstheme="minorHAnsi"/>
                                <w:sz w:val="16"/>
                                <w:szCs w:val="16"/>
                                <w:lang w:val="es-ES"/>
                              </w:rPr>
                            </w:pPr>
                            <w:r w:rsidRPr="00FF00B5">
                              <w:rPr>
                                <w:rFonts w:cstheme="minorHAnsi"/>
                                <w:sz w:val="16"/>
                                <w:szCs w:val="16"/>
                                <w:lang w:val="es-ES"/>
                              </w:rPr>
                              <w:t>P 1.2.1. Informe con el diseño de la función recaudadora sobre EEPP en SRI elaborado</w:t>
                            </w:r>
                          </w:p>
                          <w:p w14:paraId="284DEE8C" w14:textId="637B305D" w:rsidR="00EE18A4" w:rsidRPr="00FF00B5" w:rsidRDefault="00EE18A4" w:rsidP="008E1840">
                            <w:pPr>
                              <w:spacing w:after="0" w:line="240" w:lineRule="auto"/>
                              <w:jc w:val="both"/>
                              <w:rPr>
                                <w:sz w:val="16"/>
                                <w:szCs w:val="16"/>
                                <w:lang w:val="es-EC"/>
                              </w:rPr>
                            </w:pPr>
                            <w:r w:rsidRPr="00FF00B5">
                              <w:rPr>
                                <w:sz w:val="16"/>
                                <w:szCs w:val="16"/>
                                <w:lang w:val="es-EC"/>
                              </w:rPr>
                              <w:t xml:space="preserve">P 1.2.2. Funcionarios públicos del SRI capacitados en función recaudadora sobre </w:t>
                            </w:r>
                            <w:r>
                              <w:rPr>
                                <w:sz w:val="16"/>
                                <w:szCs w:val="16"/>
                                <w:lang w:val="es-EC"/>
                              </w:rPr>
                              <w:t>EEPP</w:t>
                            </w:r>
                            <w:r w:rsidRPr="00FF00B5">
                              <w:rPr>
                                <w:sz w:val="16"/>
                                <w:szCs w:val="16"/>
                                <w:lang w:val="es-EC"/>
                              </w:rPr>
                              <w:t xml:space="preserve"> y mejora de capacidades </w:t>
                            </w:r>
                          </w:p>
                          <w:p w14:paraId="50C53DCF" w14:textId="4FACF4F4" w:rsidR="00EE18A4" w:rsidRPr="00FF00B5" w:rsidRDefault="00EE18A4" w:rsidP="008E1840">
                            <w:pPr>
                              <w:spacing w:after="0" w:line="240" w:lineRule="auto"/>
                              <w:jc w:val="both"/>
                              <w:rPr>
                                <w:sz w:val="16"/>
                                <w:szCs w:val="16"/>
                                <w:lang w:val="es-EC"/>
                              </w:rPr>
                            </w:pPr>
                            <w:r w:rsidRPr="00FF00B5">
                              <w:rPr>
                                <w:sz w:val="16"/>
                                <w:szCs w:val="16"/>
                                <w:lang w:val="es-EC"/>
                              </w:rPr>
                              <w:t xml:space="preserve">P 1.2.3. Empleados de las </w:t>
                            </w:r>
                            <w:r>
                              <w:rPr>
                                <w:sz w:val="16"/>
                                <w:szCs w:val="16"/>
                                <w:lang w:val="es-EC"/>
                              </w:rPr>
                              <w:t>EEPP</w:t>
                            </w:r>
                            <w:r w:rsidRPr="00FF00B5">
                              <w:rPr>
                                <w:sz w:val="16"/>
                                <w:szCs w:val="16"/>
                                <w:lang w:val="es-EC"/>
                              </w:rPr>
                              <w:t xml:space="preserve"> capacitados para enfrentar responsabilidades tributarias</w:t>
                            </w:r>
                          </w:p>
                          <w:p w14:paraId="39E11CF2" w14:textId="77777777" w:rsidR="00EE18A4" w:rsidRPr="00FF00B5" w:rsidRDefault="00EE18A4" w:rsidP="008E1840">
                            <w:pPr>
                              <w:spacing w:after="0" w:line="240" w:lineRule="auto"/>
                              <w:jc w:val="both"/>
                              <w:rPr>
                                <w:sz w:val="16"/>
                                <w:szCs w:val="16"/>
                                <w:lang w:val="es-EC"/>
                              </w:rPr>
                            </w:pPr>
                            <w:r w:rsidRPr="00FF00B5">
                              <w:rPr>
                                <w:sz w:val="16"/>
                                <w:szCs w:val="16"/>
                                <w:lang w:val="es-EC"/>
                              </w:rPr>
                              <w:t>P 1.2.4. Informe con el diseño del régimen fiscal de las empresas en sector hidrocarburos.</w:t>
                            </w:r>
                          </w:p>
                          <w:p w14:paraId="769CE36A" w14:textId="20089077" w:rsidR="00EE18A4" w:rsidRPr="00FF00B5" w:rsidRDefault="00EE18A4" w:rsidP="008E1840">
                            <w:pPr>
                              <w:spacing w:after="0" w:line="240" w:lineRule="auto"/>
                              <w:jc w:val="both"/>
                              <w:rPr>
                                <w:rFonts w:cstheme="minorHAnsi"/>
                                <w:sz w:val="16"/>
                                <w:szCs w:val="16"/>
                                <w:lang w:val="es-ES"/>
                              </w:rPr>
                            </w:pPr>
                            <w:proofErr w:type="gramStart"/>
                            <w:r w:rsidRPr="00FF00B5">
                              <w:rPr>
                                <w:rFonts w:cstheme="minorHAnsi"/>
                                <w:sz w:val="16"/>
                                <w:szCs w:val="16"/>
                                <w:lang w:val="es-ES"/>
                              </w:rPr>
                              <w:t>P  1.3.1</w:t>
                            </w:r>
                            <w:proofErr w:type="gramEnd"/>
                            <w:r w:rsidRPr="00FF00B5">
                              <w:rPr>
                                <w:rFonts w:cstheme="minorHAnsi"/>
                                <w:sz w:val="16"/>
                                <w:szCs w:val="16"/>
                                <w:lang w:val="es-ES"/>
                              </w:rPr>
                              <w:t xml:space="preserve"> Empleados de las </w:t>
                            </w:r>
                            <w:r>
                              <w:rPr>
                                <w:rFonts w:cstheme="minorHAnsi"/>
                                <w:sz w:val="16"/>
                                <w:szCs w:val="16"/>
                                <w:lang w:val="es-ES"/>
                              </w:rPr>
                              <w:t>EEPP</w:t>
                            </w:r>
                            <w:r w:rsidRPr="00FF00B5">
                              <w:rPr>
                                <w:rFonts w:cstheme="minorHAnsi"/>
                                <w:sz w:val="16"/>
                                <w:szCs w:val="16"/>
                                <w:lang w:val="es-ES"/>
                              </w:rPr>
                              <w:t xml:space="preserve"> capacitados en implementación de NIIF y reporte de Estados Financieros.</w:t>
                            </w:r>
                          </w:p>
                          <w:p w14:paraId="7BCD5091" w14:textId="77777777" w:rsidR="00EE18A4" w:rsidRPr="00FF00B5" w:rsidRDefault="00EE18A4" w:rsidP="008E1840">
                            <w:pPr>
                              <w:spacing w:after="0" w:line="240" w:lineRule="auto"/>
                              <w:jc w:val="both"/>
                              <w:rPr>
                                <w:sz w:val="16"/>
                                <w:szCs w:val="16"/>
                                <w:lang w:val="es-EC"/>
                              </w:rPr>
                            </w:pPr>
                            <w:r w:rsidRPr="00FF00B5">
                              <w:rPr>
                                <w:sz w:val="16"/>
                                <w:szCs w:val="16"/>
                                <w:lang w:val="es-EC"/>
                              </w:rPr>
                              <w:t>P 1.3.2. Informe con los criterios para la precalificación de auditoras externas.</w:t>
                            </w:r>
                          </w:p>
                          <w:p w14:paraId="0E98BCA5" w14:textId="696C6769" w:rsidR="00EE18A4" w:rsidRPr="00FF00B5" w:rsidRDefault="00EE18A4" w:rsidP="008E1840">
                            <w:pPr>
                              <w:spacing w:after="0" w:line="240" w:lineRule="auto"/>
                              <w:jc w:val="both"/>
                              <w:rPr>
                                <w:sz w:val="16"/>
                                <w:szCs w:val="16"/>
                                <w:lang w:val="es-EC"/>
                              </w:rPr>
                            </w:pPr>
                            <w:r w:rsidRPr="00FF00B5">
                              <w:rPr>
                                <w:sz w:val="16"/>
                                <w:szCs w:val="16"/>
                                <w:lang w:val="es-EC"/>
                              </w:rPr>
                              <w:t xml:space="preserve">P 1.3.3. Apoyo a la implementación medidas Anticorrupción: (obtención del certificado ISO-37001 de las </w:t>
                            </w:r>
                            <w:r>
                              <w:rPr>
                                <w:sz w:val="16"/>
                                <w:szCs w:val="16"/>
                                <w:lang w:val="es-EC"/>
                              </w:rPr>
                              <w:t>EEPP</w:t>
                            </w:r>
                            <w:r w:rsidRPr="00FF00B5">
                              <w:rPr>
                                <w:sz w:val="16"/>
                                <w:szCs w:val="16"/>
                                <w:lang w:val="es-EC"/>
                              </w:rPr>
                              <w:t>)</w:t>
                            </w:r>
                          </w:p>
                          <w:p w14:paraId="73E6C192" w14:textId="77777777" w:rsidR="00EE18A4" w:rsidRPr="00A821AA" w:rsidRDefault="00EE18A4" w:rsidP="008E1840">
                            <w:pPr>
                              <w:spacing w:after="0" w:line="240" w:lineRule="auto"/>
                              <w:jc w:val="both"/>
                              <w:rPr>
                                <w:sz w:val="17"/>
                                <w:szCs w:val="17"/>
                                <w:lang w:val="es-EC"/>
                              </w:rPr>
                            </w:pPr>
                          </w:p>
                          <w:p w14:paraId="62455571" w14:textId="77777777" w:rsidR="00EE18A4" w:rsidRPr="008E1840" w:rsidRDefault="00EE18A4" w:rsidP="00A821AA">
                            <w:pPr>
                              <w:spacing w:after="0" w:line="240" w:lineRule="auto"/>
                              <w:jc w:val="both"/>
                              <w:rPr>
                                <w:rFonts w:cstheme="minorHAnsi"/>
                                <w:sz w:val="17"/>
                                <w:szCs w:val="17"/>
                                <w:lang w:val="es-EC"/>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A013EA0" id="3 Rectángulo redondeado" o:spid="_x0000_s1028" style="position:absolute;left:0;text-align:left;margin-left:30.1pt;margin-top:193.15pt;width:423.5pt;height:140.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" fillcolor="white [3201]" strokecolor="#4bacc6 [3208]">
                <v:textbox>
                  <w:txbxContent>
                    <w:p w14:paraId="28DE5726" w14:textId="075CFF08" w:rsidR="00EE18A4" w:rsidRPr="00FF00B5" w:rsidRDefault="00EE18A4" w:rsidP="00A821AA">
                      <w:pPr>
                        <w:spacing w:after="0" w:line="240" w:lineRule="auto"/>
                        <w:jc w:val="both"/>
                        <w:rPr>
                          <w:rFonts w:eastAsia="Times New Roman" w:cstheme="minorHAnsi"/>
                          <w:spacing w:val="-2"/>
                          <w:sz w:val="16"/>
                          <w:szCs w:val="16"/>
                          <w:lang w:val="es-ES_tradnl"/>
                        </w:rPr>
                      </w:pPr>
                      <w:r w:rsidRPr="00FF00B5">
                        <w:rPr>
                          <w:rFonts w:cstheme="minorHAnsi"/>
                          <w:sz w:val="16"/>
                          <w:szCs w:val="16"/>
                          <w:lang w:val="es-ES"/>
                        </w:rPr>
                        <w:t xml:space="preserve">P 1.1.1. </w:t>
                      </w:r>
                      <w:r w:rsidRPr="00FF00B5">
                        <w:rPr>
                          <w:rFonts w:eastAsia="Times New Roman" w:cstheme="minorHAnsi"/>
                          <w:spacing w:val="-2"/>
                          <w:sz w:val="16"/>
                          <w:szCs w:val="16"/>
                          <w:lang w:val="es-ES_tradnl"/>
                        </w:rPr>
                        <w:t>Marco normativo revisado: Informe reportando las medidas de la nueva LOEP implementada</w:t>
                      </w:r>
                    </w:p>
                    <w:p w14:paraId="17E459EC" w14:textId="5E51E8CE" w:rsidR="00EE18A4" w:rsidRPr="00FF00B5" w:rsidRDefault="00EE18A4" w:rsidP="00A821AA">
                      <w:pPr>
                        <w:spacing w:after="0" w:line="240" w:lineRule="auto"/>
                        <w:jc w:val="both"/>
                        <w:rPr>
                          <w:rFonts w:eastAsia="Times New Roman" w:cstheme="minorHAnsi"/>
                          <w:spacing w:val="-2"/>
                          <w:sz w:val="16"/>
                          <w:szCs w:val="16"/>
                          <w:lang w:val="es-ES_tradnl"/>
                        </w:rPr>
                      </w:pPr>
                      <w:r w:rsidRPr="00FF00B5">
                        <w:rPr>
                          <w:rFonts w:eastAsia="Times New Roman" w:cstheme="minorHAnsi"/>
                          <w:spacing w:val="-2"/>
                          <w:sz w:val="16"/>
                          <w:szCs w:val="16"/>
                          <w:lang w:val="es-ES_tradnl"/>
                        </w:rPr>
                        <w:t>P 1.1.2. Marco normativo revisado: reglamento de la LOEP elaborado</w:t>
                      </w:r>
                    </w:p>
                    <w:p w14:paraId="058D8286" w14:textId="5C661666" w:rsidR="00EE18A4" w:rsidRPr="00FF00B5" w:rsidRDefault="00EE18A4" w:rsidP="00A821AA">
                      <w:pPr>
                        <w:spacing w:after="0" w:line="240" w:lineRule="auto"/>
                        <w:jc w:val="both"/>
                        <w:rPr>
                          <w:rFonts w:eastAsia="Times New Roman" w:cstheme="minorHAnsi"/>
                          <w:spacing w:val="-2"/>
                          <w:sz w:val="16"/>
                          <w:szCs w:val="16"/>
                          <w:lang w:val="es-ES_tradnl"/>
                        </w:rPr>
                      </w:pPr>
                      <w:r w:rsidRPr="00FF00B5">
                        <w:rPr>
                          <w:rFonts w:eastAsia="Times New Roman" w:cstheme="minorHAnsi"/>
                          <w:spacing w:val="-2"/>
                          <w:sz w:val="16"/>
                          <w:szCs w:val="16"/>
                          <w:lang w:val="es-ES_tradnl"/>
                        </w:rPr>
                        <w:t>P 1.1.3. Marco normativo revisado: normativa técnica elaborada</w:t>
                      </w:r>
                    </w:p>
                    <w:p w14:paraId="366F81FF" w14:textId="70446146" w:rsidR="00EE18A4" w:rsidRPr="00FF00B5" w:rsidRDefault="00EE18A4" w:rsidP="00A821AA">
                      <w:pPr>
                        <w:spacing w:after="0" w:line="240" w:lineRule="auto"/>
                        <w:jc w:val="both"/>
                        <w:rPr>
                          <w:rFonts w:cstheme="minorHAnsi"/>
                          <w:sz w:val="16"/>
                          <w:szCs w:val="16"/>
                          <w:lang w:val="es-ES"/>
                        </w:rPr>
                      </w:pPr>
                      <w:r w:rsidRPr="00FF00B5">
                        <w:rPr>
                          <w:rFonts w:cstheme="minorHAnsi"/>
                          <w:sz w:val="16"/>
                          <w:szCs w:val="16"/>
                          <w:lang w:val="es-ES"/>
                        </w:rPr>
                        <w:t>P 1.1.4. Funcionarios públicos y empleados de EEPP capacitados en lineamientos de gobernanza corporativa de la OCDE y reformas de la LOEP</w:t>
                      </w:r>
                    </w:p>
                    <w:p w14:paraId="18EBC76A" w14:textId="77777777" w:rsidR="00EE18A4" w:rsidRPr="00FF00B5" w:rsidRDefault="00EE18A4" w:rsidP="008E1840">
                      <w:pPr>
                        <w:spacing w:after="0" w:line="240" w:lineRule="auto"/>
                        <w:jc w:val="both"/>
                        <w:rPr>
                          <w:rFonts w:cstheme="minorHAnsi"/>
                          <w:sz w:val="16"/>
                          <w:szCs w:val="16"/>
                          <w:lang w:val="es-ES"/>
                        </w:rPr>
                      </w:pPr>
                      <w:r w:rsidRPr="00FF00B5">
                        <w:rPr>
                          <w:rFonts w:cstheme="minorHAnsi"/>
                          <w:sz w:val="16"/>
                          <w:szCs w:val="16"/>
                          <w:lang w:val="es-ES"/>
                        </w:rPr>
                        <w:t>P 1.2.1. Informe con el diseño de la función recaudadora sobre EEPP en SRI elaborado</w:t>
                      </w:r>
                    </w:p>
                    <w:p w14:paraId="284DEE8C" w14:textId="637B305D" w:rsidR="00EE18A4" w:rsidRPr="00FF00B5" w:rsidRDefault="00EE18A4" w:rsidP="008E1840">
                      <w:pPr>
                        <w:spacing w:after="0" w:line="240" w:lineRule="auto"/>
                        <w:jc w:val="both"/>
                        <w:rPr>
                          <w:sz w:val="16"/>
                          <w:szCs w:val="16"/>
                          <w:lang w:val="es-EC"/>
                        </w:rPr>
                      </w:pPr>
                      <w:r w:rsidRPr="00FF00B5">
                        <w:rPr>
                          <w:sz w:val="16"/>
                          <w:szCs w:val="16"/>
                          <w:lang w:val="es-EC"/>
                        </w:rPr>
                        <w:t xml:space="preserve">P 1.2.2. Funcionarios públicos del SRI capacitados en función recaudadora sobre </w:t>
                      </w:r>
                      <w:r>
                        <w:rPr>
                          <w:sz w:val="16"/>
                          <w:szCs w:val="16"/>
                          <w:lang w:val="es-EC"/>
                        </w:rPr>
                        <w:t>EEPP</w:t>
                      </w:r>
                      <w:r w:rsidRPr="00FF00B5">
                        <w:rPr>
                          <w:sz w:val="16"/>
                          <w:szCs w:val="16"/>
                          <w:lang w:val="es-EC"/>
                        </w:rPr>
                        <w:t xml:space="preserve"> y mejora de capacidades </w:t>
                      </w:r>
                    </w:p>
                    <w:p w14:paraId="50C53DCF" w14:textId="4FACF4F4" w:rsidR="00EE18A4" w:rsidRPr="00FF00B5" w:rsidRDefault="00EE18A4" w:rsidP="008E1840">
                      <w:pPr>
                        <w:spacing w:after="0" w:line="240" w:lineRule="auto"/>
                        <w:jc w:val="both"/>
                        <w:rPr>
                          <w:sz w:val="16"/>
                          <w:szCs w:val="16"/>
                          <w:lang w:val="es-EC"/>
                        </w:rPr>
                      </w:pPr>
                      <w:r w:rsidRPr="00FF00B5">
                        <w:rPr>
                          <w:sz w:val="16"/>
                          <w:szCs w:val="16"/>
                          <w:lang w:val="es-EC"/>
                        </w:rPr>
                        <w:t xml:space="preserve">P 1.2.3. Empleados de las </w:t>
                      </w:r>
                      <w:r>
                        <w:rPr>
                          <w:sz w:val="16"/>
                          <w:szCs w:val="16"/>
                          <w:lang w:val="es-EC"/>
                        </w:rPr>
                        <w:t>EEPP</w:t>
                      </w:r>
                      <w:r w:rsidRPr="00FF00B5">
                        <w:rPr>
                          <w:sz w:val="16"/>
                          <w:szCs w:val="16"/>
                          <w:lang w:val="es-EC"/>
                        </w:rPr>
                        <w:t xml:space="preserve"> capacitados para enfrentar responsabilidades tributarias</w:t>
                      </w:r>
                    </w:p>
                    <w:p w14:paraId="39E11CF2" w14:textId="77777777" w:rsidR="00EE18A4" w:rsidRPr="00FF00B5" w:rsidRDefault="00EE18A4" w:rsidP="008E1840">
                      <w:pPr>
                        <w:spacing w:after="0" w:line="240" w:lineRule="auto"/>
                        <w:jc w:val="both"/>
                        <w:rPr>
                          <w:sz w:val="16"/>
                          <w:szCs w:val="16"/>
                          <w:lang w:val="es-EC"/>
                        </w:rPr>
                      </w:pPr>
                      <w:r w:rsidRPr="00FF00B5">
                        <w:rPr>
                          <w:sz w:val="16"/>
                          <w:szCs w:val="16"/>
                          <w:lang w:val="es-EC"/>
                        </w:rPr>
                        <w:t>P 1.2.4. Informe con el diseño del régimen fiscal de las empresas en sector hidrocarburos.</w:t>
                      </w:r>
                    </w:p>
                    <w:p w14:paraId="769CE36A" w14:textId="20089077" w:rsidR="00EE18A4" w:rsidRPr="00FF00B5" w:rsidRDefault="00EE18A4" w:rsidP="008E1840">
                      <w:pPr>
                        <w:spacing w:after="0" w:line="240" w:lineRule="auto"/>
                        <w:jc w:val="both"/>
                        <w:rPr>
                          <w:rFonts w:cstheme="minorHAnsi"/>
                          <w:sz w:val="16"/>
                          <w:szCs w:val="16"/>
                          <w:lang w:val="es-ES"/>
                        </w:rPr>
                      </w:pPr>
                      <w:proofErr w:type="gramStart"/>
                      <w:r w:rsidRPr="00FF00B5">
                        <w:rPr>
                          <w:rFonts w:cstheme="minorHAnsi"/>
                          <w:sz w:val="16"/>
                          <w:szCs w:val="16"/>
                          <w:lang w:val="es-ES"/>
                        </w:rPr>
                        <w:t>P  1.3.1</w:t>
                      </w:r>
                      <w:proofErr w:type="gramEnd"/>
                      <w:r w:rsidRPr="00FF00B5">
                        <w:rPr>
                          <w:rFonts w:cstheme="minorHAnsi"/>
                          <w:sz w:val="16"/>
                          <w:szCs w:val="16"/>
                          <w:lang w:val="es-ES"/>
                        </w:rPr>
                        <w:t xml:space="preserve"> Empleados de las </w:t>
                      </w:r>
                      <w:r>
                        <w:rPr>
                          <w:rFonts w:cstheme="minorHAnsi"/>
                          <w:sz w:val="16"/>
                          <w:szCs w:val="16"/>
                          <w:lang w:val="es-ES"/>
                        </w:rPr>
                        <w:t>EEPP</w:t>
                      </w:r>
                      <w:r w:rsidRPr="00FF00B5">
                        <w:rPr>
                          <w:rFonts w:cstheme="minorHAnsi"/>
                          <w:sz w:val="16"/>
                          <w:szCs w:val="16"/>
                          <w:lang w:val="es-ES"/>
                        </w:rPr>
                        <w:t xml:space="preserve"> capacitados en implementación de NIIF y reporte de Estados Financieros.</w:t>
                      </w:r>
                    </w:p>
                    <w:p w14:paraId="7BCD5091" w14:textId="77777777" w:rsidR="00EE18A4" w:rsidRPr="00FF00B5" w:rsidRDefault="00EE18A4" w:rsidP="008E1840">
                      <w:pPr>
                        <w:spacing w:after="0" w:line="240" w:lineRule="auto"/>
                        <w:jc w:val="both"/>
                        <w:rPr>
                          <w:sz w:val="16"/>
                          <w:szCs w:val="16"/>
                          <w:lang w:val="es-EC"/>
                        </w:rPr>
                      </w:pPr>
                      <w:r w:rsidRPr="00FF00B5">
                        <w:rPr>
                          <w:sz w:val="16"/>
                          <w:szCs w:val="16"/>
                          <w:lang w:val="es-EC"/>
                        </w:rPr>
                        <w:t>P 1.3.2. Informe con los criterios para la precalificación de auditoras externas.</w:t>
                      </w:r>
                    </w:p>
                    <w:p w14:paraId="0E98BCA5" w14:textId="696C6769" w:rsidR="00EE18A4" w:rsidRPr="00FF00B5" w:rsidRDefault="00EE18A4" w:rsidP="008E1840">
                      <w:pPr>
                        <w:spacing w:after="0" w:line="240" w:lineRule="auto"/>
                        <w:jc w:val="both"/>
                        <w:rPr>
                          <w:sz w:val="16"/>
                          <w:szCs w:val="16"/>
                          <w:lang w:val="es-EC"/>
                        </w:rPr>
                      </w:pPr>
                      <w:r w:rsidRPr="00FF00B5">
                        <w:rPr>
                          <w:sz w:val="16"/>
                          <w:szCs w:val="16"/>
                          <w:lang w:val="es-EC"/>
                        </w:rPr>
                        <w:t xml:space="preserve">P 1.3.3. Apoyo a la implementación medidas Anticorrupción: (obtención del certificado ISO-37001 de las </w:t>
                      </w:r>
                      <w:r>
                        <w:rPr>
                          <w:sz w:val="16"/>
                          <w:szCs w:val="16"/>
                          <w:lang w:val="es-EC"/>
                        </w:rPr>
                        <w:t>EEPP</w:t>
                      </w:r>
                      <w:r w:rsidRPr="00FF00B5">
                        <w:rPr>
                          <w:sz w:val="16"/>
                          <w:szCs w:val="16"/>
                          <w:lang w:val="es-EC"/>
                        </w:rPr>
                        <w:t>)</w:t>
                      </w:r>
                    </w:p>
                    <w:p w14:paraId="73E6C192" w14:textId="77777777" w:rsidR="00EE18A4" w:rsidRPr="00A821AA" w:rsidRDefault="00EE18A4" w:rsidP="008E1840">
                      <w:pPr>
                        <w:spacing w:after="0" w:line="240" w:lineRule="auto"/>
                        <w:jc w:val="both"/>
                        <w:rPr>
                          <w:sz w:val="17"/>
                          <w:szCs w:val="17"/>
                          <w:lang w:val="es-EC"/>
                        </w:rPr>
                      </w:pPr>
                    </w:p>
                    <w:p w14:paraId="62455571" w14:textId="77777777" w:rsidR="00EE18A4" w:rsidRPr="008E1840" w:rsidRDefault="00EE18A4" w:rsidP="00A821AA">
                      <w:pPr>
                        <w:spacing w:after="0" w:line="240" w:lineRule="auto"/>
                        <w:jc w:val="both"/>
                        <w:rPr>
                          <w:rFonts w:cstheme="minorHAnsi"/>
                          <w:sz w:val="17"/>
                          <w:szCs w:val="17"/>
                          <w:lang w:val="es-EC"/>
                        </w:rPr>
                      </w:pPr>
                    </w:p>
                  </w:txbxContent>
                </v:textbox>
              </v:roundrect>
            </w:pict>
          </mc:Fallback>
        </mc:AlternateContent>
      </w:r>
      <w:r w:rsidR="008E1840" w:rsidRPr="00F85253">
        <w:rPr>
          <w:rFonts w:ascii="Arial" w:hAnsi="Arial" w:cs="Arial"/>
          <w:noProof/>
          <w:lang w:val="es-EC" w:eastAsia="es-EC"/>
        </w:rPr>
        <mc:AlternateContent>
          <mc:Choice Requires="wps">
            <w:drawing>
              <wp:anchor distT="0" distB="0" distL="114300" distR="114300" simplePos="0" relativeHeight="251676672" behindDoc="0" locked="0" layoutInCell="1" allowOverlap="1" wp14:anchorId="3148A1BE" wp14:editId="7114B8EA">
                <wp:simplePos x="0" y="0"/>
                <wp:positionH relativeFrom="column">
                  <wp:posOffset>-1996440</wp:posOffset>
                </wp:positionH>
                <wp:positionV relativeFrom="paragraph">
                  <wp:posOffset>3541395</wp:posOffset>
                </wp:positionV>
                <wp:extent cx="4102735" cy="249555"/>
                <wp:effectExtent l="2540" t="0" r="14605" b="14605"/>
                <wp:wrapNone/>
                <wp:docPr id="134" name="Rectangle 134"/>
                <wp:cNvGraphicFramePr/>
                <a:graphic xmlns:a="http://schemas.openxmlformats.org/drawingml/2006/main">
                  <a:graphicData uri="http://schemas.microsoft.com/office/word/2010/wordprocessingShape">
                    <wps:wsp>
                      <wps:cNvSpPr/>
                      <wps:spPr>
                        <a:xfrm rot="16200000" flipH="1">
                          <a:off x="0" y="0"/>
                          <a:ext cx="4102735" cy="249555"/>
                        </a:xfrm>
                        <a:prstGeom prst="rect">
                          <a:avLst/>
                        </a:prstGeom>
                        <a:solidFill>
                          <a:schemeClr val="bg1"/>
                        </a:solidFill>
                        <a:ln w="15875">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0BF5BAE" w14:textId="77777777" w:rsidR="00EE18A4" w:rsidRPr="00EE7959" w:rsidRDefault="00EE18A4" w:rsidP="003A1C73">
                            <w:pPr>
                              <w:jc w:val="center"/>
                              <w:rPr>
                                <w:color w:val="000000" w:themeColor="text1"/>
                              </w:rPr>
                            </w:pPr>
                            <w:r w:rsidRPr="00EE7959">
                              <w:rPr>
                                <w:color w:val="000000" w:themeColor="text1"/>
                              </w:rPr>
                              <w:t>Productos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48A1BE" id="Rectangle 134" o:spid="_x0000_s1029" style="position:absolute;left:0;text-align:left;margin-left:-157.2pt;margin-top:278.85pt;width:323.05pt;height:19.65pt;rotation:90;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" fillcolor="white [3212]" strokecolor="#31849b [2408]" strokeweight="1.25pt">
                <v:textbox>
                  <w:txbxContent>
                    <w:p w14:paraId="50BF5BAE" w14:textId="77777777" w:rsidR="00EE18A4" w:rsidRPr="00EE7959" w:rsidRDefault="00EE18A4" w:rsidP="003A1C73">
                      <w:pPr>
                        <w:jc w:val="center"/>
                        <w:rPr>
                          <w:color w:val="000000" w:themeColor="text1"/>
                        </w:rPr>
                      </w:pPr>
                      <w:r w:rsidRPr="00EE7959">
                        <w:rPr>
                          <w:color w:val="000000" w:themeColor="text1"/>
                        </w:rPr>
                        <w:t>Productos</w:t>
                      </w:r>
                    </w:p>
                  </w:txbxContent>
                </v:textbox>
              </v:rect>
            </w:pict>
          </mc:Fallback>
        </mc:AlternateContent>
      </w:r>
      <w:r w:rsidR="00114F5D" w:rsidRPr="00F85253">
        <w:rPr>
          <w:noProof/>
          <w:lang w:val="es-EC" w:eastAsia="es-EC"/>
        </w:rPr>
        <w:drawing>
          <wp:inline distT="0" distB="0" distL="0" distR="0" wp14:anchorId="5398EC7A" wp14:editId="70C153EC">
            <wp:extent cx="8997950" cy="4038600"/>
            <wp:effectExtent l="19050" t="0" r="31750" b="19050"/>
            <wp:docPr id="1"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r w:rsidR="00337075" w:rsidRPr="00F85253">
        <w:rPr>
          <w:noProof/>
          <w:lang w:val="es-EC" w:eastAsia="es-EC"/>
        </w:rPr>
        <mc:AlternateContent>
          <mc:Choice Requires="wps">
            <w:drawing>
              <wp:anchor distT="0" distB="0" distL="114300" distR="114300" simplePos="0" relativeHeight="251677696" behindDoc="0" locked="0" layoutInCell="1" allowOverlap="1" wp14:anchorId="0724124B" wp14:editId="0DDE866A">
                <wp:simplePos x="0" y="0"/>
                <wp:positionH relativeFrom="column">
                  <wp:posOffset>-455838</wp:posOffset>
                </wp:positionH>
                <wp:positionV relativeFrom="paragraph">
                  <wp:posOffset>934407</wp:posOffset>
                </wp:positionV>
                <wp:extent cx="1033832" cy="255905"/>
                <wp:effectExtent l="7937" t="0" r="21908" b="21907"/>
                <wp:wrapNone/>
                <wp:docPr id="115" name="Rectangle 115"/>
                <wp:cNvGraphicFramePr/>
                <a:graphic xmlns:a="http://schemas.openxmlformats.org/drawingml/2006/main">
                  <a:graphicData uri="http://schemas.microsoft.com/office/word/2010/wordprocessingShape">
                    <wps:wsp>
                      <wps:cNvSpPr/>
                      <wps:spPr>
                        <a:xfrm rot="16200000">
                          <a:off x="0" y="0"/>
                          <a:ext cx="1033832" cy="255905"/>
                        </a:xfrm>
                        <a:prstGeom prst="rect">
                          <a:avLst/>
                        </a:prstGeom>
                        <a:solidFill>
                          <a:schemeClr val="accent5">
                            <a:lumMod val="60000"/>
                            <a:lumOff val="40000"/>
                          </a:schemeClr>
                        </a:solidFill>
                        <a:ln w="19050">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021D827" w14:textId="77777777" w:rsidR="00EE18A4" w:rsidRPr="00EE7959" w:rsidRDefault="00EE18A4" w:rsidP="00D11B36">
                            <w:pPr>
                              <w:jc w:val="center"/>
                              <w:rPr>
                                <w:color w:val="000000" w:themeColor="text1"/>
                              </w:rPr>
                            </w:pPr>
                            <w:r w:rsidRPr="00EE7959">
                              <w:rPr>
                                <w:color w:val="000000" w:themeColor="text1"/>
                              </w:rPr>
                              <w:t>Resultados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24124B" id="Rectangle 115" o:spid="_x0000_s1030" style="position:absolute;left:0;text-align:left;margin-left:-35.9pt;margin-top:73.6pt;width:81.4pt;height:20.15pt;rotation:-9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" fillcolor="#92cddc [1944]" strokecolor="#31849b [2408]" strokeweight="1.5pt">
                <v:textbox>
                  <w:txbxContent>
                    <w:p w14:paraId="5021D827" w14:textId="77777777" w:rsidR="00EE18A4" w:rsidRPr="00EE7959" w:rsidRDefault="00EE18A4" w:rsidP="00D11B36">
                      <w:pPr>
                        <w:jc w:val="center"/>
                        <w:rPr>
                          <w:color w:val="000000" w:themeColor="text1"/>
                        </w:rPr>
                      </w:pPr>
                      <w:r w:rsidRPr="00EE7959">
                        <w:rPr>
                          <w:color w:val="000000" w:themeColor="text1"/>
                        </w:rPr>
                        <w:t>Resultados</w:t>
                      </w:r>
                    </w:p>
                  </w:txbxContent>
                </v:textbox>
              </v:rect>
            </w:pict>
          </mc:Fallback>
        </mc:AlternateContent>
      </w:r>
      <w:r w:rsidR="00337075" w:rsidRPr="00F85253">
        <w:rPr>
          <w:rFonts w:ascii="Arial" w:hAnsi="Arial" w:cs="Arial"/>
          <w:noProof/>
          <w:lang w:val="es-EC" w:eastAsia="es-EC"/>
        </w:rPr>
        <mc:AlternateContent>
          <mc:Choice Requires="wps">
            <w:drawing>
              <wp:anchor distT="0" distB="0" distL="114300" distR="114300" simplePos="0" relativeHeight="251678720" behindDoc="0" locked="0" layoutInCell="1" allowOverlap="1" wp14:anchorId="2CD748B5" wp14:editId="5A0D0412">
                <wp:simplePos x="0" y="0"/>
                <wp:positionH relativeFrom="column">
                  <wp:posOffset>-187113</wp:posOffset>
                </wp:positionH>
                <wp:positionV relativeFrom="paragraph">
                  <wp:posOffset>126683</wp:posOffset>
                </wp:positionV>
                <wp:extent cx="498649" cy="245110"/>
                <wp:effectExtent l="0" t="6667" r="9207" b="9208"/>
                <wp:wrapNone/>
                <wp:docPr id="10" name="Rectangle 10"/>
                <wp:cNvGraphicFramePr/>
                <a:graphic xmlns:a="http://schemas.openxmlformats.org/drawingml/2006/main">
                  <a:graphicData uri="http://schemas.microsoft.com/office/word/2010/wordprocessingShape">
                    <wps:wsp>
                      <wps:cNvSpPr/>
                      <wps:spPr>
                        <a:xfrm rot="16200000">
                          <a:off x="0" y="0"/>
                          <a:ext cx="498649" cy="245110"/>
                        </a:xfrm>
                        <a:prstGeom prst="rect">
                          <a:avLst/>
                        </a:prstGeom>
                        <a:solidFill>
                          <a:schemeClr val="accent5">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CC83B0" w14:textId="77777777" w:rsidR="00EE18A4" w:rsidRPr="00337075" w:rsidRDefault="00EE18A4" w:rsidP="003A1C73">
                            <w:pPr>
                              <w:rPr>
                                <w:b/>
                                <w:sz w:val="14"/>
                              </w:rPr>
                            </w:pPr>
                            <w:r w:rsidRPr="00337075">
                              <w:rPr>
                                <w:b/>
                                <w:sz w:val="12"/>
                              </w:rPr>
                              <w:t>Impact</w:t>
                            </w:r>
                            <w:r w:rsidRPr="00337075">
                              <w:rPr>
                                <w:b/>
                                <w:sz w:val="14"/>
                              </w:rPr>
                              <w: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D748B5" id="Rectangle 10" o:spid="_x0000_s1031" style="position:absolute;left:0;text-align:left;margin-left:-14.75pt;margin-top:10pt;width:39.25pt;height:19.3pt;rotation:-9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" fillcolor="#31849b [2408]" stroked="f" strokeweight="2pt">
                <v:textbox>
                  <w:txbxContent>
                    <w:p w14:paraId="48CC83B0" w14:textId="77777777" w:rsidR="00EE18A4" w:rsidRPr="00337075" w:rsidRDefault="00EE18A4" w:rsidP="003A1C73">
                      <w:pPr>
                        <w:rPr>
                          <w:b/>
                          <w:sz w:val="14"/>
                        </w:rPr>
                      </w:pPr>
                      <w:r w:rsidRPr="00337075">
                        <w:rPr>
                          <w:b/>
                          <w:sz w:val="12"/>
                        </w:rPr>
                        <w:t>Impact</w:t>
                      </w:r>
                      <w:r w:rsidRPr="00337075">
                        <w:rPr>
                          <w:b/>
                          <w:sz w:val="14"/>
                        </w:rPr>
                        <w:t>o</w:t>
                      </w:r>
                    </w:p>
                  </w:txbxContent>
                </v:textbox>
              </v:rect>
            </w:pict>
          </mc:Fallback>
        </mc:AlternateContent>
      </w:r>
    </w:p>
    <w:p w14:paraId="56303F30" w14:textId="77777777" w:rsidR="00651EDD" w:rsidRPr="00F85253" w:rsidRDefault="00651EDD" w:rsidP="00114F5D">
      <w:pPr>
        <w:pStyle w:val="Paragraph"/>
        <w:tabs>
          <w:tab w:val="num" w:pos="2196"/>
        </w:tabs>
        <w:spacing w:before="0" w:after="0" w:line="276" w:lineRule="auto"/>
        <w:ind w:left="720"/>
        <w:outlineLvl w:val="9"/>
        <w:rPr>
          <w:rFonts w:ascii="Arial" w:hAnsi="Arial" w:cs="Arial"/>
          <w:b/>
          <w:color w:val="000000"/>
          <w:sz w:val="22"/>
          <w:szCs w:val="22"/>
          <w:lang w:val="es-ES_tradnl"/>
        </w:rPr>
        <w:sectPr w:rsidR="00651EDD" w:rsidRPr="00F85253" w:rsidSect="00651EDD">
          <w:pgSz w:w="16838" w:h="11906" w:orient="landscape"/>
          <w:pgMar w:top="1355" w:right="992" w:bottom="1440" w:left="1168" w:header="720" w:footer="720" w:gutter="0"/>
          <w:cols w:space="720"/>
          <w:docGrid w:linePitch="360"/>
        </w:sectPr>
      </w:pPr>
    </w:p>
    <w:p w14:paraId="13F4F03A" w14:textId="04CB5A38" w:rsidR="004F7F39" w:rsidRPr="00F85253" w:rsidRDefault="007E781F" w:rsidP="002543DC">
      <w:pPr>
        <w:pStyle w:val="Paragraph"/>
        <w:numPr>
          <w:ilvl w:val="1"/>
          <w:numId w:val="2"/>
        </w:numPr>
        <w:tabs>
          <w:tab w:val="clear" w:pos="1296"/>
          <w:tab w:val="num" w:pos="720"/>
          <w:tab w:val="num" w:pos="1800"/>
          <w:tab w:val="num" w:pos="2196"/>
        </w:tabs>
        <w:spacing w:before="0" w:after="0" w:line="276" w:lineRule="auto"/>
        <w:ind w:left="720" w:hanging="720"/>
        <w:outlineLvl w:val="9"/>
        <w:rPr>
          <w:rFonts w:ascii="Arial" w:hAnsi="Arial" w:cs="Arial"/>
          <w:color w:val="000000"/>
          <w:sz w:val="22"/>
          <w:szCs w:val="22"/>
          <w:lang w:val="es-ES_tradnl"/>
        </w:rPr>
      </w:pPr>
      <w:r w:rsidRPr="00F85253">
        <w:rPr>
          <w:rFonts w:ascii="Arial" w:hAnsi="Arial" w:cs="Arial"/>
          <w:b/>
          <w:color w:val="000000"/>
          <w:sz w:val="22"/>
          <w:szCs w:val="22"/>
          <w:lang w:val="es-ES_tradnl"/>
        </w:rPr>
        <w:lastRenderedPageBreak/>
        <w:t>Descripción de la metodología.</w:t>
      </w:r>
      <w:r w:rsidRPr="00F85253">
        <w:rPr>
          <w:rFonts w:ascii="Arial" w:hAnsi="Arial" w:cs="Arial"/>
          <w:color w:val="000000"/>
          <w:sz w:val="22"/>
          <w:szCs w:val="22"/>
          <w:lang w:val="es-ES_tradnl"/>
        </w:rPr>
        <w:t xml:space="preserve"> </w:t>
      </w:r>
      <w:r w:rsidR="005F5621" w:rsidRPr="00F85253">
        <w:rPr>
          <w:rFonts w:ascii="Arial" w:hAnsi="Arial" w:cs="Arial"/>
          <w:color w:val="000000"/>
          <w:sz w:val="22"/>
          <w:szCs w:val="22"/>
          <w:lang w:val="es-ES_tradnl"/>
        </w:rPr>
        <w:t>La economía ecuatoriana presenta síntomas de desaceleración</w:t>
      </w:r>
      <w:r w:rsidR="005F5621" w:rsidRPr="00F85253">
        <w:rPr>
          <w:rFonts w:ascii="Arial" w:hAnsi="Arial" w:cs="Arial"/>
          <w:sz w:val="22"/>
          <w:szCs w:val="22"/>
          <w:lang w:val="es-ES_tradnl"/>
        </w:rPr>
        <w:t xml:space="preserve">. </w:t>
      </w:r>
      <w:r w:rsidR="005F5621" w:rsidRPr="00F85253">
        <w:rPr>
          <w:rFonts w:ascii="Arial" w:hAnsi="Arial" w:cs="Arial"/>
          <w:sz w:val="22"/>
          <w:szCs w:val="22"/>
        </w:rPr>
        <w:t>El Producto In</w:t>
      </w:r>
      <w:r w:rsidR="00B72FD9" w:rsidRPr="00F85253">
        <w:rPr>
          <w:rFonts w:ascii="Arial" w:hAnsi="Arial" w:cs="Arial"/>
          <w:sz w:val="22"/>
          <w:szCs w:val="22"/>
        </w:rPr>
        <w:t>terno Bruto (PIB) en el año 2018</w:t>
      </w:r>
      <w:r w:rsidR="005F5621" w:rsidRPr="00F85253">
        <w:rPr>
          <w:rFonts w:ascii="Arial" w:hAnsi="Arial" w:cs="Arial"/>
          <w:sz w:val="22"/>
          <w:szCs w:val="22"/>
        </w:rPr>
        <w:t xml:space="preserve"> registró un crecimiento </w:t>
      </w:r>
      <w:r w:rsidR="00B72FD9" w:rsidRPr="00F85253">
        <w:rPr>
          <w:rFonts w:ascii="Arial" w:hAnsi="Arial" w:cs="Arial"/>
          <w:sz w:val="22"/>
          <w:szCs w:val="22"/>
        </w:rPr>
        <w:t>de</w:t>
      </w:r>
      <w:r w:rsidR="0068349C" w:rsidRPr="00F85253">
        <w:rPr>
          <w:rFonts w:ascii="Arial" w:hAnsi="Arial" w:cs="Arial"/>
          <w:sz w:val="22"/>
          <w:szCs w:val="22"/>
        </w:rPr>
        <w:t xml:space="preserve"> 1.</w:t>
      </w:r>
      <w:r w:rsidR="005F5621" w:rsidRPr="00F85253">
        <w:rPr>
          <w:rFonts w:ascii="Arial" w:hAnsi="Arial" w:cs="Arial"/>
          <w:sz w:val="22"/>
          <w:szCs w:val="22"/>
        </w:rPr>
        <w:t>4%</w:t>
      </w:r>
      <w:r w:rsidR="005F5621" w:rsidRPr="00F85253">
        <w:rPr>
          <w:rStyle w:val="FootnoteReference"/>
          <w:rFonts w:ascii="Arial" w:hAnsi="Arial" w:cs="Arial"/>
          <w:sz w:val="22"/>
          <w:szCs w:val="22"/>
        </w:rPr>
        <w:footnoteReference w:id="35"/>
      </w:r>
      <w:r w:rsidR="00B72FD9" w:rsidRPr="00F85253">
        <w:rPr>
          <w:rFonts w:ascii="Arial" w:hAnsi="Arial" w:cs="Arial"/>
          <w:sz w:val="22"/>
          <w:szCs w:val="22"/>
        </w:rPr>
        <w:t>, y l</w:t>
      </w:r>
      <w:r w:rsidR="005F5621" w:rsidRPr="00F85253">
        <w:rPr>
          <w:rFonts w:ascii="Arial" w:hAnsi="Arial" w:cs="Arial"/>
          <w:sz w:val="22"/>
          <w:szCs w:val="22"/>
        </w:rPr>
        <w:t>as proyecciones de crecimiento de mediano plazo no superan el 1% del PIB, en promedio,</w:t>
      </w:r>
      <w:r w:rsidR="00B72FD9" w:rsidRPr="00F85253">
        <w:rPr>
          <w:rFonts w:ascii="Arial" w:hAnsi="Arial" w:cs="Arial"/>
          <w:sz w:val="22"/>
          <w:szCs w:val="22"/>
        </w:rPr>
        <w:t xml:space="preserve"> entre 2018 y 2021</w:t>
      </w:r>
      <w:r w:rsidR="005F5621" w:rsidRPr="00F85253">
        <w:rPr>
          <w:rStyle w:val="FootnoteReference"/>
          <w:rFonts w:ascii="Arial" w:hAnsi="Arial" w:cs="Arial"/>
          <w:sz w:val="22"/>
          <w:szCs w:val="22"/>
        </w:rPr>
        <w:footnoteReference w:id="36"/>
      </w:r>
      <w:r w:rsidR="005F5621" w:rsidRPr="00F85253">
        <w:rPr>
          <w:rFonts w:ascii="Arial" w:hAnsi="Arial" w:cs="Arial"/>
          <w:sz w:val="22"/>
          <w:szCs w:val="22"/>
        </w:rPr>
        <w:t>.</w:t>
      </w:r>
      <w:r w:rsidR="00B72FD9" w:rsidRPr="00F85253">
        <w:rPr>
          <w:rFonts w:ascii="Arial" w:hAnsi="Arial" w:cs="Arial"/>
          <w:sz w:val="22"/>
          <w:szCs w:val="22"/>
        </w:rPr>
        <w:t xml:space="preserve"> </w:t>
      </w:r>
      <w:r w:rsidR="00A96BFD" w:rsidRPr="00F85253">
        <w:rPr>
          <w:rFonts w:ascii="Arial" w:hAnsi="Arial" w:cs="Arial"/>
          <w:sz w:val="22"/>
          <w:szCs w:val="22"/>
        </w:rPr>
        <w:t xml:space="preserve">La propiedad de </w:t>
      </w:r>
      <w:r w:rsidR="0023565F" w:rsidRPr="00F85253">
        <w:rPr>
          <w:rFonts w:ascii="Arial" w:hAnsi="Arial" w:cs="Arial"/>
          <w:sz w:val="22"/>
          <w:szCs w:val="22"/>
        </w:rPr>
        <w:t>EEPP</w:t>
      </w:r>
      <w:r w:rsidR="00A96BFD" w:rsidRPr="00F85253">
        <w:rPr>
          <w:rFonts w:ascii="Arial" w:hAnsi="Arial" w:cs="Arial"/>
          <w:sz w:val="22"/>
          <w:szCs w:val="22"/>
        </w:rPr>
        <w:t xml:space="preserve"> genera una carga fiscal para el estado; por ende, </w:t>
      </w:r>
      <w:r w:rsidR="00B72FD9" w:rsidRPr="00F85253">
        <w:rPr>
          <w:rFonts w:ascii="Arial" w:hAnsi="Arial" w:cs="Arial"/>
          <w:sz w:val="22"/>
          <w:szCs w:val="22"/>
        </w:rPr>
        <w:t xml:space="preserve">se desea incrementar el número de </w:t>
      </w:r>
      <w:r w:rsidR="0023565F" w:rsidRPr="00F85253">
        <w:rPr>
          <w:rFonts w:ascii="Arial" w:hAnsi="Arial" w:cs="Arial"/>
          <w:sz w:val="22"/>
          <w:szCs w:val="22"/>
        </w:rPr>
        <w:t>EEPP</w:t>
      </w:r>
      <w:r w:rsidR="00B72FD9" w:rsidRPr="00F85253">
        <w:rPr>
          <w:rFonts w:ascii="Arial" w:hAnsi="Arial" w:cs="Arial"/>
          <w:sz w:val="22"/>
          <w:szCs w:val="22"/>
        </w:rPr>
        <w:t xml:space="preserve"> alineadas a los principios de gobernanza corporativa de la O</w:t>
      </w:r>
      <w:r w:rsidR="0068349C" w:rsidRPr="00F85253">
        <w:rPr>
          <w:rFonts w:ascii="Arial" w:hAnsi="Arial" w:cs="Arial"/>
          <w:sz w:val="22"/>
          <w:szCs w:val="22"/>
        </w:rPr>
        <w:t>ECD</w:t>
      </w:r>
      <w:r w:rsidR="000656D5" w:rsidRPr="00F85253">
        <w:rPr>
          <w:rFonts w:ascii="Arial" w:hAnsi="Arial" w:cs="Arial"/>
          <w:sz w:val="22"/>
          <w:szCs w:val="22"/>
        </w:rPr>
        <w:t xml:space="preserve">; incluyendo una </w:t>
      </w:r>
      <w:r w:rsidR="003B29EB" w:rsidRPr="00F85253">
        <w:rPr>
          <w:rFonts w:ascii="Arial" w:hAnsi="Arial" w:cs="Arial"/>
          <w:sz w:val="22"/>
          <w:szCs w:val="22"/>
        </w:rPr>
        <w:t xml:space="preserve">gobernanza </w:t>
      </w:r>
      <w:r w:rsidR="000656D5" w:rsidRPr="00F85253">
        <w:rPr>
          <w:rFonts w:ascii="Arial" w:hAnsi="Arial" w:cs="Arial"/>
          <w:sz w:val="22"/>
          <w:szCs w:val="22"/>
        </w:rPr>
        <w:t xml:space="preserve">fiscal análoga a la del sector </w:t>
      </w:r>
      <w:r w:rsidR="0066513C" w:rsidRPr="00F85253">
        <w:rPr>
          <w:rFonts w:ascii="Arial" w:hAnsi="Arial" w:cs="Arial"/>
          <w:sz w:val="22"/>
          <w:szCs w:val="22"/>
        </w:rPr>
        <w:t>privado</w:t>
      </w:r>
      <w:r w:rsidR="00B72FD9" w:rsidRPr="00F85253">
        <w:rPr>
          <w:rFonts w:ascii="Arial" w:hAnsi="Arial" w:cs="Arial"/>
          <w:sz w:val="22"/>
          <w:szCs w:val="22"/>
        </w:rPr>
        <w:t xml:space="preserve">; y </w:t>
      </w:r>
      <w:r w:rsidR="00BE338D" w:rsidRPr="00F85253">
        <w:rPr>
          <w:rFonts w:ascii="Arial" w:hAnsi="Arial" w:cs="Arial"/>
          <w:sz w:val="22"/>
          <w:szCs w:val="22"/>
        </w:rPr>
        <w:t xml:space="preserve">aumentar la eficiencia de las </w:t>
      </w:r>
      <w:r w:rsidR="0023565F" w:rsidRPr="00F85253">
        <w:rPr>
          <w:rFonts w:ascii="Arial" w:hAnsi="Arial" w:cs="Arial"/>
          <w:sz w:val="22"/>
          <w:szCs w:val="22"/>
        </w:rPr>
        <w:t>EEPP</w:t>
      </w:r>
      <w:r w:rsidR="00BE338D" w:rsidRPr="00F85253">
        <w:rPr>
          <w:rFonts w:ascii="Arial" w:hAnsi="Arial" w:cs="Arial"/>
          <w:sz w:val="22"/>
          <w:szCs w:val="22"/>
        </w:rPr>
        <w:t xml:space="preserve"> del sector de </w:t>
      </w:r>
      <w:r w:rsidR="008B0BF6" w:rsidRPr="00824032">
        <w:rPr>
          <w:rFonts w:ascii="Arial" w:hAnsi="Arial" w:cs="Arial"/>
          <w:sz w:val="22"/>
          <w:szCs w:val="22"/>
        </w:rPr>
        <w:t>hidrocarburos, eléctrico</w:t>
      </w:r>
      <w:r w:rsidR="000656D5" w:rsidRPr="00F85253">
        <w:rPr>
          <w:rFonts w:ascii="Arial" w:hAnsi="Arial" w:cs="Arial"/>
          <w:sz w:val="22"/>
          <w:szCs w:val="22"/>
        </w:rPr>
        <w:t xml:space="preserve"> y aeronáutico</w:t>
      </w:r>
      <w:r w:rsidR="002536B0" w:rsidRPr="00F85253">
        <w:rPr>
          <w:rFonts w:ascii="Arial" w:hAnsi="Arial" w:cs="Arial"/>
          <w:sz w:val="22"/>
          <w:szCs w:val="22"/>
        </w:rPr>
        <w:t>,</w:t>
      </w:r>
      <w:r w:rsidR="00A96BFD" w:rsidRPr="00F85253">
        <w:rPr>
          <w:rFonts w:ascii="Arial" w:hAnsi="Arial" w:cs="Arial"/>
          <w:sz w:val="22"/>
          <w:szCs w:val="22"/>
        </w:rPr>
        <w:t xml:space="preserve"> con el objetivo de disminuir dicha</w:t>
      </w:r>
      <w:r w:rsidR="002536B0" w:rsidRPr="00F85253">
        <w:rPr>
          <w:rFonts w:ascii="Arial" w:hAnsi="Arial" w:cs="Arial"/>
          <w:sz w:val="22"/>
          <w:szCs w:val="22"/>
        </w:rPr>
        <w:t xml:space="preserve"> carga fiscal</w:t>
      </w:r>
      <w:r w:rsidR="00A96BFD" w:rsidRPr="00F85253">
        <w:rPr>
          <w:rFonts w:ascii="Arial" w:hAnsi="Arial" w:cs="Arial"/>
          <w:sz w:val="22"/>
          <w:szCs w:val="22"/>
        </w:rPr>
        <w:t>.</w:t>
      </w:r>
      <w:r w:rsidR="002536B0" w:rsidRPr="00F85253">
        <w:rPr>
          <w:rFonts w:ascii="Arial" w:hAnsi="Arial" w:cs="Arial"/>
          <w:sz w:val="22"/>
          <w:szCs w:val="22"/>
        </w:rPr>
        <w:t xml:space="preserve"> Para tal </w:t>
      </w:r>
      <w:r w:rsidR="00A96BFD" w:rsidRPr="00F85253">
        <w:rPr>
          <w:rFonts w:ascii="Arial" w:hAnsi="Arial" w:cs="Arial"/>
          <w:sz w:val="22"/>
          <w:szCs w:val="22"/>
        </w:rPr>
        <w:t>fin,</w:t>
      </w:r>
      <w:r w:rsidR="002536B0" w:rsidRPr="00F85253">
        <w:rPr>
          <w:rFonts w:ascii="Arial" w:hAnsi="Arial" w:cs="Arial"/>
          <w:sz w:val="22"/>
          <w:szCs w:val="22"/>
        </w:rPr>
        <w:t xml:space="preserve"> se implementa el Programa de Apoyo a la Reforma de empresas públicas</w:t>
      </w:r>
      <w:r w:rsidR="00A96BFD" w:rsidRPr="00F85253">
        <w:rPr>
          <w:rFonts w:ascii="Arial" w:hAnsi="Arial" w:cs="Arial"/>
          <w:sz w:val="22"/>
          <w:szCs w:val="22"/>
        </w:rPr>
        <w:t xml:space="preserve">; </w:t>
      </w:r>
      <w:r w:rsidR="005A01ED" w:rsidRPr="00F85253">
        <w:rPr>
          <w:rFonts w:ascii="Arial" w:hAnsi="Arial" w:cs="Arial"/>
          <w:sz w:val="22"/>
          <w:szCs w:val="22"/>
        </w:rPr>
        <w:t>y, se evalúa el mismo, mediante</w:t>
      </w:r>
      <w:r w:rsidR="00A96BFD" w:rsidRPr="00F85253">
        <w:rPr>
          <w:rFonts w:ascii="Arial" w:hAnsi="Arial" w:cs="Arial"/>
          <w:sz w:val="22"/>
          <w:szCs w:val="22"/>
        </w:rPr>
        <w:t xml:space="preserve"> el análisis económico del </w:t>
      </w:r>
      <w:r w:rsidR="005A01ED" w:rsidRPr="00F85253">
        <w:rPr>
          <w:rFonts w:ascii="Arial" w:hAnsi="Arial" w:cs="Arial"/>
          <w:sz w:val="22"/>
          <w:szCs w:val="22"/>
        </w:rPr>
        <w:t>programa, presentado a continuación</w:t>
      </w:r>
      <w:r w:rsidR="00A96BFD" w:rsidRPr="00F85253">
        <w:rPr>
          <w:rFonts w:ascii="Arial" w:hAnsi="Arial" w:cs="Arial"/>
          <w:sz w:val="22"/>
          <w:szCs w:val="22"/>
        </w:rPr>
        <w:t>.</w:t>
      </w:r>
      <w:r w:rsidR="005A01ED" w:rsidRPr="00F85253">
        <w:rPr>
          <w:rFonts w:ascii="Arial" w:hAnsi="Arial" w:cs="Arial"/>
          <w:sz w:val="22"/>
          <w:szCs w:val="22"/>
        </w:rPr>
        <w:t xml:space="preserve"> </w:t>
      </w:r>
    </w:p>
    <w:p w14:paraId="36B0A81A" w14:textId="77777777" w:rsidR="007F2603" w:rsidRPr="00F85253" w:rsidRDefault="007F2603" w:rsidP="007F2603">
      <w:pPr>
        <w:pStyle w:val="Paragraph"/>
        <w:tabs>
          <w:tab w:val="num" w:pos="2196"/>
        </w:tabs>
        <w:spacing w:before="0" w:after="0" w:line="276" w:lineRule="auto"/>
        <w:ind w:left="720"/>
        <w:outlineLvl w:val="9"/>
        <w:rPr>
          <w:rFonts w:ascii="Arial" w:hAnsi="Arial" w:cs="Arial"/>
          <w:color w:val="000000"/>
          <w:sz w:val="22"/>
          <w:szCs w:val="22"/>
          <w:lang w:val="es-ES_tradnl"/>
        </w:rPr>
      </w:pPr>
    </w:p>
    <w:p w14:paraId="322DCEC7" w14:textId="52210609" w:rsidR="00E233B1" w:rsidRPr="00F85253" w:rsidRDefault="00C34608" w:rsidP="002543DC">
      <w:pPr>
        <w:pStyle w:val="Paragraph"/>
        <w:keepNext/>
        <w:keepLines/>
        <w:tabs>
          <w:tab w:val="num" w:pos="2196"/>
        </w:tabs>
        <w:spacing w:before="0" w:after="0" w:line="276" w:lineRule="auto"/>
        <w:ind w:left="720"/>
        <w:outlineLvl w:val="9"/>
        <w:rPr>
          <w:rFonts w:ascii="Arial" w:hAnsi="Arial" w:cs="Arial"/>
          <w:sz w:val="22"/>
          <w:szCs w:val="22"/>
          <w:lang w:val="es-ES_tradnl"/>
        </w:rPr>
      </w:pPr>
      <w:r w:rsidRPr="00F85253">
        <w:rPr>
          <w:rFonts w:ascii="Arial" w:hAnsi="Arial" w:cs="Arial"/>
          <w:b/>
          <w:color w:val="000000"/>
          <w:sz w:val="22"/>
          <w:szCs w:val="22"/>
          <w:lang w:val="es-ES_tradnl"/>
        </w:rPr>
        <w:t>Estimación de los</w:t>
      </w:r>
      <w:r w:rsidR="00BE338D" w:rsidRPr="00F85253">
        <w:rPr>
          <w:rFonts w:ascii="Arial" w:hAnsi="Arial" w:cs="Arial"/>
          <w:b/>
          <w:color w:val="000000"/>
          <w:sz w:val="22"/>
          <w:szCs w:val="22"/>
          <w:lang w:val="es-ES_tradnl"/>
        </w:rPr>
        <w:t xml:space="preserve"> </w:t>
      </w:r>
      <w:r w:rsidR="008F0B2E" w:rsidRPr="00F85253">
        <w:rPr>
          <w:rFonts w:ascii="Arial" w:hAnsi="Arial" w:cs="Arial"/>
          <w:b/>
          <w:color w:val="000000"/>
          <w:sz w:val="22"/>
          <w:szCs w:val="22"/>
          <w:lang w:val="es-ES_tradnl"/>
        </w:rPr>
        <w:t>Beneficios</w:t>
      </w:r>
      <w:r w:rsidR="00BE338D" w:rsidRPr="00F85253">
        <w:rPr>
          <w:rFonts w:ascii="Arial" w:hAnsi="Arial" w:cs="Arial"/>
          <w:b/>
          <w:color w:val="000000"/>
          <w:sz w:val="22"/>
          <w:szCs w:val="22"/>
          <w:lang w:val="es-ES_tradnl"/>
        </w:rPr>
        <w:t xml:space="preserve"> netos,</w:t>
      </w:r>
      <w:r w:rsidR="008F0B2E" w:rsidRPr="00F85253">
        <w:rPr>
          <w:rFonts w:ascii="Arial" w:hAnsi="Arial" w:cs="Arial"/>
          <w:b/>
          <w:color w:val="000000"/>
          <w:sz w:val="22"/>
          <w:szCs w:val="22"/>
          <w:lang w:val="es-ES_tradnl"/>
        </w:rPr>
        <w:t xml:space="preserve"> </w:t>
      </w:r>
      <w:r w:rsidR="005D450B" w:rsidRPr="00F85253">
        <w:rPr>
          <w:rFonts w:ascii="Arial" w:hAnsi="Arial" w:cs="Arial"/>
          <w:b/>
          <w:color w:val="000000"/>
          <w:sz w:val="22"/>
          <w:szCs w:val="22"/>
          <w:lang w:val="es-ES_tradnl"/>
        </w:rPr>
        <w:t xml:space="preserve">como resultado </w:t>
      </w:r>
      <w:r w:rsidR="00C62715" w:rsidRPr="00F85253">
        <w:rPr>
          <w:rFonts w:ascii="Arial" w:hAnsi="Arial" w:cs="Arial"/>
          <w:b/>
          <w:color w:val="000000"/>
          <w:sz w:val="22"/>
          <w:szCs w:val="22"/>
          <w:lang w:val="es-ES_tradnl"/>
        </w:rPr>
        <w:t xml:space="preserve">del </w:t>
      </w:r>
      <w:r w:rsidR="00BE338D" w:rsidRPr="00F85253">
        <w:rPr>
          <w:rFonts w:ascii="Arial" w:hAnsi="Arial" w:cs="Arial"/>
          <w:b/>
          <w:color w:val="000000"/>
          <w:sz w:val="22"/>
          <w:szCs w:val="22"/>
          <w:lang w:val="es-ES_tradnl"/>
        </w:rPr>
        <w:t xml:space="preserve">fortalecimiento </w:t>
      </w:r>
      <w:r w:rsidR="00C62715" w:rsidRPr="00F85253">
        <w:rPr>
          <w:rFonts w:ascii="Arial" w:hAnsi="Arial" w:cs="Arial"/>
          <w:b/>
          <w:color w:val="000000"/>
          <w:sz w:val="22"/>
          <w:szCs w:val="22"/>
          <w:lang w:val="es-ES_tradnl"/>
        </w:rPr>
        <w:t>del Marco de Gobernanza Cor</w:t>
      </w:r>
      <w:r w:rsidR="003D154A" w:rsidRPr="00F85253">
        <w:rPr>
          <w:rFonts w:ascii="Arial" w:hAnsi="Arial" w:cs="Arial"/>
          <w:b/>
          <w:color w:val="000000"/>
          <w:sz w:val="22"/>
          <w:szCs w:val="22"/>
          <w:lang w:val="es-ES_tradnl"/>
        </w:rPr>
        <w:t xml:space="preserve">porativa y fiscal de las </w:t>
      </w:r>
      <w:r w:rsidR="0023565F" w:rsidRPr="00F85253">
        <w:rPr>
          <w:rFonts w:ascii="Arial" w:hAnsi="Arial" w:cs="Arial"/>
          <w:b/>
          <w:color w:val="000000"/>
          <w:sz w:val="22"/>
          <w:szCs w:val="22"/>
          <w:lang w:val="es-ES_tradnl"/>
        </w:rPr>
        <w:t>EEPP</w:t>
      </w:r>
      <w:r w:rsidR="0036111E" w:rsidRPr="00F85253">
        <w:rPr>
          <w:rFonts w:ascii="Arial" w:hAnsi="Arial" w:cs="Arial"/>
          <w:b/>
          <w:color w:val="000000"/>
          <w:sz w:val="22"/>
          <w:szCs w:val="22"/>
          <w:lang w:val="es-ES_tradnl"/>
        </w:rPr>
        <w:t>;</w:t>
      </w:r>
      <w:r w:rsidR="003D154A" w:rsidRPr="00F85253">
        <w:rPr>
          <w:rFonts w:ascii="Arial" w:hAnsi="Arial" w:cs="Arial"/>
          <w:b/>
          <w:color w:val="000000"/>
          <w:sz w:val="22"/>
          <w:szCs w:val="22"/>
          <w:lang w:val="es-ES_tradnl"/>
        </w:rPr>
        <w:t xml:space="preserve"> y</w:t>
      </w:r>
      <w:r w:rsidR="0036111E" w:rsidRPr="00F85253">
        <w:rPr>
          <w:rFonts w:ascii="Arial" w:hAnsi="Arial" w:cs="Arial"/>
          <w:b/>
          <w:color w:val="000000"/>
          <w:sz w:val="22"/>
          <w:szCs w:val="22"/>
          <w:lang w:val="es-ES_tradnl"/>
        </w:rPr>
        <w:t>,</w:t>
      </w:r>
      <w:r w:rsidR="00C62715" w:rsidRPr="00F85253">
        <w:rPr>
          <w:rFonts w:ascii="Arial" w:hAnsi="Arial" w:cs="Arial"/>
          <w:b/>
          <w:color w:val="000000"/>
          <w:sz w:val="22"/>
          <w:szCs w:val="22"/>
          <w:lang w:val="es-ES_tradnl"/>
        </w:rPr>
        <w:t xml:space="preserve"> de la </w:t>
      </w:r>
      <w:r w:rsidR="0036111E" w:rsidRPr="00F85253">
        <w:rPr>
          <w:rFonts w:ascii="Arial" w:hAnsi="Arial" w:cs="Arial"/>
          <w:b/>
          <w:color w:val="000000"/>
          <w:sz w:val="22"/>
          <w:szCs w:val="22"/>
          <w:lang w:val="es-ES_tradnl"/>
        </w:rPr>
        <w:t>O</w:t>
      </w:r>
      <w:r w:rsidR="00C62715" w:rsidRPr="00F85253">
        <w:rPr>
          <w:rFonts w:ascii="Arial" w:hAnsi="Arial" w:cs="Arial"/>
          <w:b/>
          <w:color w:val="000000"/>
          <w:sz w:val="22"/>
          <w:szCs w:val="22"/>
          <w:lang w:val="es-ES_tradnl"/>
        </w:rPr>
        <w:t xml:space="preserve">ptimización de la cartera de </w:t>
      </w:r>
      <w:r w:rsidR="0023565F" w:rsidRPr="00F85253">
        <w:rPr>
          <w:rFonts w:ascii="Arial" w:hAnsi="Arial" w:cs="Arial"/>
          <w:b/>
          <w:color w:val="000000"/>
          <w:sz w:val="22"/>
          <w:szCs w:val="22"/>
          <w:lang w:val="es-ES_tradnl"/>
        </w:rPr>
        <w:t>EEPP</w:t>
      </w:r>
      <w:r w:rsidR="00B11B86" w:rsidRPr="00F85253">
        <w:rPr>
          <w:rFonts w:ascii="Arial" w:hAnsi="Arial" w:cs="Arial"/>
          <w:b/>
          <w:color w:val="000000"/>
          <w:sz w:val="22"/>
          <w:szCs w:val="22"/>
          <w:lang w:val="es-ES_tradnl"/>
        </w:rPr>
        <w:t>.</w:t>
      </w:r>
    </w:p>
    <w:p w14:paraId="22628043" w14:textId="77777777" w:rsidR="00D665D8" w:rsidRPr="00F85253" w:rsidRDefault="00D665D8" w:rsidP="000B2BC8">
      <w:pPr>
        <w:pStyle w:val="Paragraph"/>
        <w:tabs>
          <w:tab w:val="num" w:pos="2196"/>
        </w:tabs>
        <w:spacing w:before="0" w:after="0" w:line="276" w:lineRule="auto"/>
        <w:ind w:left="720"/>
        <w:outlineLvl w:val="9"/>
        <w:rPr>
          <w:rFonts w:ascii="Arial" w:hAnsi="Arial" w:cs="Arial"/>
          <w:sz w:val="22"/>
          <w:szCs w:val="22"/>
          <w:lang w:val="es-ES_tradnl"/>
        </w:rPr>
      </w:pPr>
    </w:p>
    <w:p w14:paraId="37DF4742" w14:textId="57F157AB" w:rsidR="00C40E53" w:rsidRPr="00F85253" w:rsidRDefault="00845869" w:rsidP="003D154A">
      <w:pPr>
        <w:pStyle w:val="Paragraph"/>
        <w:numPr>
          <w:ilvl w:val="1"/>
          <w:numId w:val="2"/>
        </w:numPr>
        <w:tabs>
          <w:tab w:val="clear" w:pos="1296"/>
          <w:tab w:val="num" w:pos="720"/>
          <w:tab w:val="num" w:pos="1800"/>
          <w:tab w:val="num" w:pos="2196"/>
        </w:tabs>
        <w:spacing w:before="0" w:after="0" w:line="276" w:lineRule="auto"/>
        <w:ind w:left="720" w:hanging="720"/>
        <w:outlineLvl w:val="9"/>
        <w:rPr>
          <w:rFonts w:ascii="Arial" w:hAnsi="Arial" w:cs="Arial"/>
          <w:sz w:val="22"/>
          <w:szCs w:val="22"/>
          <w:lang w:val="es-ES_tradnl"/>
        </w:rPr>
      </w:pPr>
      <w:r w:rsidRPr="00F85253">
        <w:rPr>
          <w:rFonts w:ascii="Arial" w:hAnsi="Arial" w:cs="Arial"/>
          <w:b/>
          <w:sz w:val="22"/>
          <w:szCs w:val="22"/>
          <w:lang w:val="es-ES_tradnl"/>
        </w:rPr>
        <w:t xml:space="preserve">Programa de Apoyo a la Reforma de </w:t>
      </w:r>
      <w:r w:rsidR="0023565F" w:rsidRPr="00F85253">
        <w:rPr>
          <w:rFonts w:ascii="Arial" w:hAnsi="Arial" w:cs="Arial"/>
          <w:b/>
          <w:sz w:val="22"/>
          <w:szCs w:val="22"/>
          <w:lang w:val="es-ES_tradnl"/>
        </w:rPr>
        <w:t>EEPP</w:t>
      </w:r>
      <w:r w:rsidR="00EC0E19" w:rsidRPr="00F85253">
        <w:rPr>
          <w:rFonts w:ascii="Arial" w:hAnsi="Arial" w:cs="Arial"/>
          <w:b/>
          <w:sz w:val="22"/>
          <w:szCs w:val="22"/>
          <w:lang w:val="es-ES_tradnl"/>
        </w:rPr>
        <w:t>:</w:t>
      </w:r>
      <w:r w:rsidR="00EC0E19" w:rsidRPr="00F85253">
        <w:rPr>
          <w:rFonts w:ascii="Arial" w:hAnsi="Arial" w:cs="Arial"/>
          <w:sz w:val="22"/>
          <w:szCs w:val="22"/>
          <w:lang w:val="es-ES_tradnl"/>
        </w:rPr>
        <w:t xml:space="preserve"> </w:t>
      </w:r>
      <w:r w:rsidR="00886AD6" w:rsidRPr="00F85253">
        <w:rPr>
          <w:rFonts w:ascii="Arial" w:hAnsi="Arial" w:cs="Arial"/>
          <w:sz w:val="22"/>
          <w:szCs w:val="22"/>
          <w:lang w:val="es-ES_tradnl"/>
        </w:rPr>
        <w:t>Se presentan los resultados de la implementación del programa</w:t>
      </w:r>
      <w:r w:rsidR="00B35AF2" w:rsidRPr="00F85253">
        <w:rPr>
          <w:rFonts w:ascii="Arial" w:hAnsi="Arial" w:cs="Arial"/>
          <w:sz w:val="22"/>
          <w:szCs w:val="22"/>
          <w:lang w:val="es-ES_tradnl"/>
        </w:rPr>
        <w:t>, tomando en cuen</w:t>
      </w:r>
      <w:r w:rsidR="003D154A" w:rsidRPr="00F85253">
        <w:rPr>
          <w:rFonts w:ascii="Arial" w:hAnsi="Arial" w:cs="Arial"/>
          <w:sz w:val="22"/>
          <w:szCs w:val="22"/>
          <w:lang w:val="es-ES_tradnl"/>
        </w:rPr>
        <w:t>ta los beneficios y costos del proyecto asociados al préstamo del Banco Interamericano de Desarrollo</w:t>
      </w:r>
      <w:r w:rsidR="00886AD6" w:rsidRPr="00F85253">
        <w:rPr>
          <w:rFonts w:ascii="Arial" w:hAnsi="Arial" w:cs="Arial"/>
          <w:sz w:val="22"/>
          <w:szCs w:val="22"/>
          <w:lang w:val="es-ES_tradnl"/>
        </w:rPr>
        <w:t>.</w:t>
      </w:r>
      <w:r w:rsidR="00D83FD8" w:rsidRPr="00F85253">
        <w:rPr>
          <w:rFonts w:ascii="Arial" w:hAnsi="Arial" w:cs="Arial"/>
          <w:sz w:val="22"/>
          <w:szCs w:val="22"/>
          <w:lang w:val="es-ES_tradnl"/>
        </w:rPr>
        <w:t xml:space="preserve"> </w:t>
      </w:r>
    </w:p>
    <w:p w14:paraId="0BBD7C4E" w14:textId="77777777" w:rsidR="00D665D8" w:rsidRPr="00F85253" w:rsidRDefault="00D665D8" w:rsidP="000B2BC8">
      <w:pPr>
        <w:pStyle w:val="Paragraph"/>
        <w:tabs>
          <w:tab w:val="num" w:pos="2196"/>
        </w:tabs>
        <w:spacing w:before="0" w:after="0" w:line="276" w:lineRule="auto"/>
        <w:ind w:left="720"/>
        <w:outlineLvl w:val="9"/>
        <w:rPr>
          <w:rFonts w:ascii="Arial" w:hAnsi="Arial" w:cs="Arial"/>
          <w:sz w:val="22"/>
          <w:szCs w:val="22"/>
          <w:lang w:val="es-ES_tradnl"/>
        </w:rPr>
      </w:pPr>
    </w:p>
    <w:p w14:paraId="7F568131" w14:textId="77777777" w:rsidR="00703A65" w:rsidRPr="00F85253" w:rsidRDefault="00B35AF2" w:rsidP="002543DC">
      <w:pPr>
        <w:pStyle w:val="Paragraph"/>
        <w:numPr>
          <w:ilvl w:val="1"/>
          <w:numId w:val="2"/>
        </w:numPr>
        <w:tabs>
          <w:tab w:val="clear" w:pos="1296"/>
          <w:tab w:val="num" w:pos="720"/>
          <w:tab w:val="num" w:pos="1800"/>
          <w:tab w:val="num" w:pos="2196"/>
        </w:tabs>
        <w:spacing w:before="0" w:after="0" w:line="276" w:lineRule="auto"/>
        <w:ind w:left="720" w:hanging="720"/>
        <w:outlineLvl w:val="9"/>
        <w:rPr>
          <w:rFonts w:ascii="Arial" w:hAnsi="Arial" w:cs="Arial"/>
          <w:sz w:val="22"/>
          <w:szCs w:val="22"/>
          <w:lang w:val="es-ES_tradnl"/>
        </w:rPr>
      </w:pPr>
      <w:r w:rsidRPr="00F85253">
        <w:rPr>
          <w:rFonts w:ascii="Arial" w:hAnsi="Arial" w:cs="Arial"/>
          <w:b/>
          <w:sz w:val="22"/>
          <w:szCs w:val="22"/>
          <w:lang w:val="es-ES_tradnl"/>
        </w:rPr>
        <w:t>Resultados</w:t>
      </w:r>
      <w:r w:rsidR="00FD5DB4" w:rsidRPr="00F85253">
        <w:rPr>
          <w:rFonts w:ascii="Arial" w:hAnsi="Arial" w:cs="Arial"/>
          <w:sz w:val="22"/>
          <w:szCs w:val="22"/>
          <w:lang w:val="es-ES_tradnl"/>
        </w:rPr>
        <w:t xml:space="preserve">: </w:t>
      </w:r>
      <w:r w:rsidR="00B04ED5" w:rsidRPr="00F85253">
        <w:rPr>
          <w:rFonts w:ascii="Arial" w:hAnsi="Arial" w:cs="Arial"/>
          <w:sz w:val="22"/>
          <w:szCs w:val="22"/>
          <w:lang w:val="es-ES_tradnl"/>
        </w:rPr>
        <w:t>En la tabla 1, l</w:t>
      </w:r>
      <w:r w:rsidR="006F7A24" w:rsidRPr="00F85253">
        <w:rPr>
          <w:rFonts w:ascii="Arial" w:hAnsi="Arial" w:cs="Arial"/>
          <w:color w:val="000000"/>
          <w:sz w:val="22"/>
          <w:szCs w:val="22"/>
          <w:lang w:val="es-ES_tradnl"/>
        </w:rPr>
        <w:t xml:space="preserve">a columna 1 presenta </w:t>
      </w:r>
      <w:r w:rsidR="00845869" w:rsidRPr="00F85253">
        <w:rPr>
          <w:rFonts w:ascii="Arial" w:hAnsi="Arial" w:cs="Arial"/>
          <w:color w:val="000000"/>
          <w:sz w:val="22"/>
          <w:szCs w:val="22"/>
          <w:lang w:val="es-ES_tradnl"/>
        </w:rPr>
        <w:t>la descripción de los ítems a ser tomados en cuenta, ta</w:t>
      </w:r>
      <w:r w:rsidR="00B04ED5" w:rsidRPr="00F85253">
        <w:rPr>
          <w:rFonts w:ascii="Arial" w:hAnsi="Arial" w:cs="Arial"/>
          <w:color w:val="000000"/>
          <w:sz w:val="22"/>
          <w:szCs w:val="22"/>
          <w:lang w:val="es-ES_tradnl"/>
        </w:rPr>
        <w:t>nto en los beneficios como</w:t>
      </w:r>
      <w:r w:rsidR="00C6079F" w:rsidRPr="00F85253">
        <w:rPr>
          <w:rFonts w:ascii="Arial" w:hAnsi="Arial" w:cs="Arial"/>
          <w:color w:val="000000"/>
          <w:sz w:val="22"/>
          <w:szCs w:val="22"/>
          <w:lang w:val="es-ES_tradnl"/>
        </w:rPr>
        <w:t xml:space="preserve"> en los</w:t>
      </w:r>
      <w:r w:rsidR="00B04ED5" w:rsidRPr="00F85253">
        <w:rPr>
          <w:rFonts w:ascii="Arial" w:hAnsi="Arial" w:cs="Arial"/>
          <w:color w:val="000000"/>
          <w:sz w:val="22"/>
          <w:szCs w:val="22"/>
          <w:lang w:val="es-ES_tradnl"/>
        </w:rPr>
        <w:t xml:space="preserve"> costo</w:t>
      </w:r>
      <w:r w:rsidR="00845869" w:rsidRPr="00F85253">
        <w:rPr>
          <w:rFonts w:ascii="Arial" w:hAnsi="Arial" w:cs="Arial"/>
          <w:color w:val="000000"/>
          <w:sz w:val="22"/>
          <w:szCs w:val="22"/>
          <w:lang w:val="es-ES_tradnl"/>
        </w:rPr>
        <w:t>s económicos del programa. La colu</w:t>
      </w:r>
      <w:r w:rsidR="00984B7F" w:rsidRPr="00F85253">
        <w:rPr>
          <w:rFonts w:ascii="Arial" w:hAnsi="Arial" w:cs="Arial"/>
          <w:color w:val="000000"/>
          <w:sz w:val="22"/>
          <w:szCs w:val="22"/>
          <w:lang w:val="es-ES_tradnl"/>
        </w:rPr>
        <w:t>mna 2 presenta los</w:t>
      </w:r>
      <w:r w:rsidR="006F7A24" w:rsidRPr="00F85253">
        <w:rPr>
          <w:rFonts w:ascii="Arial" w:hAnsi="Arial" w:cs="Arial"/>
          <w:color w:val="000000"/>
          <w:sz w:val="22"/>
          <w:szCs w:val="22"/>
          <w:lang w:val="es-ES_tradnl"/>
        </w:rPr>
        <w:t xml:space="preserve"> montos</w:t>
      </w:r>
      <w:r w:rsidR="00845869" w:rsidRPr="00F85253">
        <w:rPr>
          <w:rFonts w:ascii="Arial" w:hAnsi="Arial" w:cs="Arial"/>
          <w:color w:val="000000"/>
          <w:sz w:val="22"/>
          <w:szCs w:val="22"/>
          <w:lang w:val="es-ES_tradnl"/>
        </w:rPr>
        <w:t xml:space="preserve"> o valores</w:t>
      </w:r>
      <w:r w:rsidR="006F7A24" w:rsidRPr="00F85253">
        <w:rPr>
          <w:rFonts w:ascii="Arial" w:hAnsi="Arial" w:cs="Arial"/>
          <w:color w:val="000000"/>
          <w:sz w:val="22"/>
          <w:szCs w:val="22"/>
          <w:lang w:val="es-ES_tradnl"/>
        </w:rPr>
        <w:t xml:space="preserve"> </w:t>
      </w:r>
      <w:r w:rsidR="00C6079F" w:rsidRPr="00F85253">
        <w:rPr>
          <w:rFonts w:ascii="Arial" w:hAnsi="Arial" w:cs="Arial"/>
          <w:color w:val="000000"/>
          <w:sz w:val="22"/>
          <w:szCs w:val="22"/>
          <w:lang w:val="es-ES_tradnl"/>
        </w:rPr>
        <w:t xml:space="preserve">totales </w:t>
      </w:r>
      <w:r w:rsidR="00984B7F" w:rsidRPr="00F85253">
        <w:rPr>
          <w:rFonts w:ascii="Arial" w:hAnsi="Arial" w:cs="Arial"/>
          <w:color w:val="000000"/>
          <w:sz w:val="22"/>
          <w:szCs w:val="22"/>
          <w:lang w:val="es-ES_tradnl"/>
        </w:rPr>
        <w:t>de cada ítem</w:t>
      </w:r>
      <w:r w:rsidR="00C6079F" w:rsidRPr="00F85253">
        <w:rPr>
          <w:rFonts w:ascii="Arial" w:hAnsi="Arial" w:cs="Arial"/>
          <w:color w:val="000000"/>
          <w:sz w:val="22"/>
          <w:szCs w:val="22"/>
          <w:lang w:val="es-ES_tradnl"/>
        </w:rPr>
        <w:t>, durante el plazo del proyecto</w:t>
      </w:r>
      <w:r w:rsidR="006F7A24" w:rsidRPr="00F85253">
        <w:rPr>
          <w:rFonts w:ascii="Arial" w:hAnsi="Arial" w:cs="Arial"/>
          <w:color w:val="000000"/>
          <w:sz w:val="22"/>
          <w:szCs w:val="22"/>
          <w:lang w:val="es-ES_tradnl"/>
        </w:rPr>
        <w:t>.</w:t>
      </w:r>
      <w:r w:rsidR="00DB21D0" w:rsidRPr="00F85253">
        <w:rPr>
          <w:rFonts w:ascii="Arial" w:hAnsi="Arial" w:cs="Arial"/>
          <w:color w:val="000000"/>
          <w:sz w:val="22"/>
          <w:szCs w:val="22"/>
          <w:lang w:val="es-ES_tradnl"/>
        </w:rPr>
        <w:t xml:space="preserve"> </w:t>
      </w:r>
      <w:r w:rsidR="006F7A24" w:rsidRPr="00F85253">
        <w:rPr>
          <w:rFonts w:ascii="Arial" w:hAnsi="Arial" w:cs="Arial"/>
          <w:sz w:val="22"/>
          <w:szCs w:val="22"/>
          <w:lang w:val="es-ES_tradnl"/>
        </w:rPr>
        <w:t xml:space="preserve">Las demás columnas </w:t>
      </w:r>
      <w:r w:rsidR="00C77582" w:rsidRPr="00F85253">
        <w:rPr>
          <w:rFonts w:ascii="Arial" w:hAnsi="Arial" w:cs="Arial"/>
          <w:sz w:val="22"/>
          <w:szCs w:val="22"/>
          <w:lang w:val="es-ES_tradnl"/>
        </w:rPr>
        <w:t>re</w:t>
      </w:r>
      <w:r w:rsidR="006F7A24" w:rsidRPr="00F85253">
        <w:rPr>
          <w:rFonts w:ascii="Arial" w:hAnsi="Arial" w:cs="Arial"/>
          <w:sz w:val="22"/>
          <w:szCs w:val="22"/>
          <w:lang w:val="es-ES_tradnl"/>
        </w:rPr>
        <w:t>presentan un per</w:t>
      </w:r>
      <w:r w:rsidR="00063F6D" w:rsidRPr="00F85253">
        <w:rPr>
          <w:rFonts w:ascii="Arial" w:hAnsi="Arial" w:cs="Arial"/>
          <w:sz w:val="22"/>
          <w:szCs w:val="22"/>
          <w:lang w:val="es-ES_tradnl"/>
        </w:rPr>
        <w:t>í</w:t>
      </w:r>
      <w:r w:rsidR="006F7A24" w:rsidRPr="00F85253">
        <w:rPr>
          <w:rFonts w:ascii="Arial" w:hAnsi="Arial" w:cs="Arial"/>
          <w:sz w:val="22"/>
          <w:szCs w:val="22"/>
          <w:lang w:val="es-ES_tradnl"/>
        </w:rPr>
        <w:t>odo de 1</w:t>
      </w:r>
      <w:r w:rsidR="00B04ED5" w:rsidRPr="00F85253">
        <w:rPr>
          <w:rFonts w:ascii="Arial" w:hAnsi="Arial" w:cs="Arial"/>
          <w:sz w:val="22"/>
          <w:szCs w:val="22"/>
          <w:lang w:val="es-ES_tradnl"/>
        </w:rPr>
        <w:t>0</w:t>
      </w:r>
      <w:r w:rsidR="006F7A24" w:rsidRPr="00F85253">
        <w:rPr>
          <w:rFonts w:ascii="Arial" w:hAnsi="Arial" w:cs="Arial"/>
          <w:sz w:val="22"/>
          <w:szCs w:val="22"/>
          <w:lang w:val="es-ES_tradnl"/>
        </w:rPr>
        <w:t xml:space="preserve"> años,</w:t>
      </w:r>
      <w:r w:rsidR="00845869" w:rsidRPr="00F85253">
        <w:rPr>
          <w:rFonts w:ascii="Arial" w:hAnsi="Arial" w:cs="Arial"/>
          <w:sz w:val="22"/>
          <w:szCs w:val="22"/>
          <w:lang w:val="es-ES_tradnl"/>
        </w:rPr>
        <w:t xml:space="preserve"> a partir de 2019, en los</w:t>
      </w:r>
      <w:r w:rsidR="006F7A24" w:rsidRPr="00F85253">
        <w:rPr>
          <w:rFonts w:ascii="Arial" w:hAnsi="Arial" w:cs="Arial"/>
          <w:sz w:val="22"/>
          <w:szCs w:val="22"/>
          <w:lang w:val="es-ES_tradnl"/>
        </w:rPr>
        <w:t xml:space="preserve"> cual</w:t>
      </w:r>
      <w:r w:rsidR="00845869" w:rsidRPr="00F85253">
        <w:rPr>
          <w:rFonts w:ascii="Arial" w:hAnsi="Arial" w:cs="Arial"/>
          <w:sz w:val="22"/>
          <w:szCs w:val="22"/>
          <w:lang w:val="es-ES_tradnl"/>
        </w:rPr>
        <w:t>es</w:t>
      </w:r>
      <w:r w:rsidR="006F7A24" w:rsidRPr="00F85253">
        <w:rPr>
          <w:rFonts w:ascii="Arial" w:hAnsi="Arial" w:cs="Arial"/>
          <w:sz w:val="22"/>
          <w:szCs w:val="22"/>
          <w:lang w:val="es-ES_tradnl"/>
        </w:rPr>
        <w:t xml:space="preserve"> los </w:t>
      </w:r>
      <w:r w:rsidR="00845869" w:rsidRPr="00F85253">
        <w:rPr>
          <w:rFonts w:ascii="Arial" w:hAnsi="Arial" w:cs="Arial"/>
          <w:sz w:val="22"/>
          <w:szCs w:val="22"/>
          <w:lang w:val="es-ES_tradnl"/>
        </w:rPr>
        <w:t>montos del programa</w:t>
      </w:r>
      <w:r w:rsidR="006F7A24" w:rsidRPr="00F85253">
        <w:rPr>
          <w:rFonts w:ascii="Arial" w:hAnsi="Arial" w:cs="Arial"/>
          <w:sz w:val="22"/>
          <w:szCs w:val="22"/>
          <w:lang w:val="es-ES_tradnl"/>
        </w:rPr>
        <w:t xml:space="preserve"> son distribuidos</w:t>
      </w:r>
      <w:r w:rsidR="00703A65" w:rsidRPr="00F85253">
        <w:rPr>
          <w:rFonts w:ascii="Arial" w:hAnsi="Arial" w:cs="Arial"/>
          <w:sz w:val="22"/>
          <w:szCs w:val="22"/>
          <w:lang w:val="es-ES_tradnl"/>
        </w:rPr>
        <w:t>, en función de los plazos</w:t>
      </w:r>
      <w:r w:rsidR="00C77582" w:rsidRPr="00F85253">
        <w:rPr>
          <w:rFonts w:ascii="Arial" w:hAnsi="Arial" w:cs="Arial"/>
          <w:sz w:val="22"/>
          <w:szCs w:val="22"/>
          <w:lang w:val="es-ES_tradnl"/>
        </w:rPr>
        <w:t xml:space="preserve"> definidos</w:t>
      </w:r>
      <w:r w:rsidR="00703A65" w:rsidRPr="00F85253">
        <w:rPr>
          <w:rFonts w:ascii="Arial" w:hAnsi="Arial" w:cs="Arial"/>
          <w:sz w:val="22"/>
          <w:szCs w:val="22"/>
          <w:lang w:val="es-ES_tradnl"/>
        </w:rPr>
        <w:t xml:space="preserve"> para la ejecución del programa y los beneficios esperados</w:t>
      </w:r>
      <w:r w:rsidR="006F7A24" w:rsidRPr="00F85253">
        <w:rPr>
          <w:rFonts w:ascii="Arial" w:hAnsi="Arial" w:cs="Arial"/>
          <w:sz w:val="22"/>
          <w:szCs w:val="22"/>
          <w:lang w:val="es-ES_tradnl"/>
        </w:rPr>
        <w:t>.</w:t>
      </w:r>
      <w:r w:rsidR="00703A65" w:rsidRPr="00F85253">
        <w:rPr>
          <w:rFonts w:ascii="Arial" w:hAnsi="Arial" w:cs="Arial"/>
          <w:sz w:val="22"/>
          <w:szCs w:val="22"/>
          <w:lang w:val="es-ES_tradnl"/>
        </w:rPr>
        <w:t xml:space="preserve"> </w:t>
      </w:r>
    </w:p>
    <w:p w14:paraId="34A7323B" w14:textId="77777777" w:rsidR="00D665D8" w:rsidRPr="00F85253" w:rsidRDefault="00D665D8" w:rsidP="000B2BC8">
      <w:pPr>
        <w:pStyle w:val="Paragraph"/>
        <w:tabs>
          <w:tab w:val="num" w:pos="2196"/>
        </w:tabs>
        <w:spacing w:before="0" w:after="0" w:line="276" w:lineRule="auto"/>
        <w:ind w:left="720"/>
        <w:outlineLvl w:val="9"/>
        <w:rPr>
          <w:rFonts w:ascii="Arial" w:hAnsi="Arial" w:cs="Arial"/>
          <w:sz w:val="22"/>
          <w:szCs w:val="22"/>
          <w:lang w:val="es-ES_tradnl"/>
        </w:rPr>
      </w:pPr>
    </w:p>
    <w:p w14:paraId="0D3EDDF9" w14:textId="7B33B13C" w:rsidR="006F7A24" w:rsidRPr="00F85253" w:rsidRDefault="0038177B" w:rsidP="005A01ED">
      <w:pPr>
        <w:pStyle w:val="Paragraph"/>
        <w:numPr>
          <w:ilvl w:val="1"/>
          <w:numId w:val="2"/>
        </w:numPr>
        <w:tabs>
          <w:tab w:val="clear" w:pos="1296"/>
          <w:tab w:val="num" w:pos="720"/>
          <w:tab w:val="num" w:pos="1800"/>
          <w:tab w:val="num" w:pos="2196"/>
        </w:tabs>
        <w:spacing w:before="0" w:after="0" w:line="276" w:lineRule="auto"/>
        <w:ind w:left="720" w:hanging="720"/>
        <w:outlineLvl w:val="9"/>
        <w:rPr>
          <w:rFonts w:ascii="Arial" w:hAnsi="Arial" w:cs="Arial"/>
          <w:sz w:val="22"/>
          <w:szCs w:val="22"/>
          <w:lang w:val="es-ES_tradnl"/>
        </w:rPr>
      </w:pPr>
      <w:r w:rsidRPr="00F85253">
        <w:rPr>
          <w:rFonts w:ascii="Arial" w:hAnsi="Arial" w:cs="Arial"/>
          <w:sz w:val="22"/>
          <w:szCs w:val="22"/>
          <w:lang w:val="es-ES_tradnl"/>
        </w:rPr>
        <w:t xml:space="preserve">Los beneficios económicos consideran los ahorros generados por eficiencia en la fusión de las petroleras, mayor transparencia en las </w:t>
      </w:r>
      <w:r w:rsidR="0023565F" w:rsidRPr="00F85253">
        <w:rPr>
          <w:rFonts w:ascii="Arial" w:hAnsi="Arial" w:cs="Arial"/>
          <w:sz w:val="22"/>
          <w:szCs w:val="22"/>
          <w:lang w:val="es-ES_tradnl"/>
        </w:rPr>
        <w:t>EEPP</w:t>
      </w:r>
      <w:r w:rsidRPr="00F85253">
        <w:rPr>
          <w:rFonts w:ascii="Arial" w:hAnsi="Arial" w:cs="Arial"/>
          <w:sz w:val="22"/>
          <w:szCs w:val="22"/>
          <w:lang w:val="es-ES_tradnl"/>
        </w:rPr>
        <w:t xml:space="preserve"> y el ahorro</w:t>
      </w:r>
      <w:r w:rsidRPr="00F85253">
        <w:rPr>
          <w:rStyle w:val="FootnoteReference"/>
          <w:rFonts w:ascii="Arial" w:hAnsi="Arial" w:cs="Arial"/>
          <w:sz w:val="22"/>
          <w:szCs w:val="22"/>
          <w:lang w:val="es-ES_tradnl"/>
        </w:rPr>
        <w:footnoteReference w:id="37"/>
      </w:r>
      <w:r w:rsidRPr="00F85253">
        <w:rPr>
          <w:rFonts w:ascii="Arial" w:hAnsi="Arial" w:cs="Arial"/>
          <w:sz w:val="22"/>
          <w:szCs w:val="22"/>
          <w:lang w:val="es-ES_tradnl"/>
        </w:rPr>
        <w:t xml:space="preserve"> por las desvinculaciones. </w:t>
      </w:r>
      <w:r w:rsidR="00703A65" w:rsidRPr="00F85253">
        <w:rPr>
          <w:rFonts w:ascii="Arial" w:hAnsi="Arial" w:cs="Arial"/>
          <w:sz w:val="22"/>
          <w:szCs w:val="22"/>
          <w:lang w:val="es-ES_tradnl"/>
        </w:rPr>
        <w:t>Los cost</w:t>
      </w:r>
      <w:r w:rsidR="00457244" w:rsidRPr="00F85253">
        <w:rPr>
          <w:rFonts w:ascii="Arial" w:hAnsi="Arial" w:cs="Arial"/>
          <w:sz w:val="22"/>
          <w:szCs w:val="22"/>
          <w:lang w:val="es-ES_tradnl"/>
        </w:rPr>
        <w:t>o</w:t>
      </w:r>
      <w:r w:rsidR="00703A65" w:rsidRPr="00F85253">
        <w:rPr>
          <w:rFonts w:ascii="Arial" w:hAnsi="Arial" w:cs="Arial"/>
          <w:sz w:val="22"/>
          <w:szCs w:val="22"/>
          <w:lang w:val="es-ES_tradnl"/>
        </w:rPr>
        <w:t>s</w:t>
      </w:r>
      <w:r w:rsidR="00C77582" w:rsidRPr="00F85253">
        <w:rPr>
          <w:rFonts w:ascii="Arial" w:hAnsi="Arial" w:cs="Arial"/>
          <w:sz w:val="22"/>
          <w:szCs w:val="22"/>
          <w:lang w:val="es-ES_tradnl"/>
        </w:rPr>
        <w:t xml:space="preserve"> económicos</w:t>
      </w:r>
      <w:r w:rsidR="0094334C" w:rsidRPr="00F85253">
        <w:rPr>
          <w:rFonts w:ascii="Arial" w:hAnsi="Arial" w:cs="Arial"/>
          <w:sz w:val="22"/>
          <w:szCs w:val="22"/>
          <w:lang w:val="es-ES_tradnl"/>
        </w:rPr>
        <w:t xml:space="preserve"> del proyecto</w:t>
      </w:r>
      <w:r w:rsidR="00703A65" w:rsidRPr="00F85253">
        <w:rPr>
          <w:rFonts w:ascii="Arial" w:hAnsi="Arial" w:cs="Arial"/>
          <w:sz w:val="22"/>
          <w:szCs w:val="22"/>
          <w:lang w:val="es-ES_tradnl"/>
        </w:rPr>
        <w:t xml:space="preserve"> hacen referencia a</w:t>
      </w:r>
      <w:r w:rsidR="0094334C" w:rsidRPr="00F85253">
        <w:rPr>
          <w:rFonts w:ascii="Arial" w:hAnsi="Arial" w:cs="Arial"/>
          <w:sz w:val="22"/>
          <w:szCs w:val="22"/>
          <w:lang w:val="es-ES_tradnl"/>
        </w:rPr>
        <w:t xml:space="preserve"> la inversión realizada por el BID</w:t>
      </w:r>
      <w:r w:rsidR="005A01ED" w:rsidRPr="00F85253">
        <w:rPr>
          <w:rFonts w:ascii="Arial" w:hAnsi="Arial" w:cs="Arial"/>
          <w:sz w:val="22"/>
          <w:szCs w:val="22"/>
          <w:lang w:val="es-ES_tradnl"/>
        </w:rPr>
        <w:t xml:space="preserve"> en</w:t>
      </w:r>
      <w:r w:rsidR="009A3C3A" w:rsidRPr="00F85253">
        <w:rPr>
          <w:rFonts w:ascii="Arial" w:hAnsi="Arial" w:cs="Arial"/>
          <w:sz w:val="22"/>
          <w:szCs w:val="22"/>
          <w:lang w:val="es-ES_tradnl"/>
        </w:rPr>
        <w:t>: a)</w:t>
      </w:r>
      <w:r w:rsidR="005A01ED" w:rsidRPr="00F85253">
        <w:rPr>
          <w:rFonts w:ascii="Arial" w:hAnsi="Arial" w:cs="Arial"/>
          <w:sz w:val="22"/>
          <w:szCs w:val="22"/>
          <w:lang w:val="es-ES_tradnl"/>
        </w:rPr>
        <w:t xml:space="preserve"> la optimización de la cartera de </w:t>
      </w:r>
      <w:r w:rsidR="0023565F" w:rsidRPr="00F85253">
        <w:rPr>
          <w:rFonts w:ascii="Arial" w:hAnsi="Arial" w:cs="Arial"/>
          <w:sz w:val="22"/>
          <w:szCs w:val="22"/>
          <w:lang w:val="es-ES_tradnl"/>
        </w:rPr>
        <w:t>EEPP</w:t>
      </w:r>
      <w:r w:rsidR="005A01ED" w:rsidRPr="00F85253">
        <w:rPr>
          <w:rFonts w:ascii="Arial" w:hAnsi="Arial" w:cs="Arial"/>
          <w:sz w:val="22"/>
          <w:szCs w:val="22"/>
          <w:lang w:val="es-ES_tradnl"/>
        </w:rPr>
        <w:t xml:space="preserve">, que abarca la fusión de las petroleras, la optimización de CELEC, CNEL, consultorías para TAME y estrategias de comunicación; además, </w:t>
      </w:r>
      <w:r w:rsidR="0036111E" w:rsidRPr="00F85253">
        <w:rPr>
          <w:rFonts w:ascii="Arial" w:hAnsi="Arial" w:cs="Arial"/>
          <w:sz w:val="22"/>
          <w:szCs w:val="22"/>
          <w:lang w:val="es-ES_tradnl"/>
        </w:rPr>
        <w:t>d</w:t>
      </w:r>
      <w:r w:rsidR="005A01ED" w:rsidRPr="00F85253">
        <w:rPr>
          <w:rFonts w:ascii="Arial" w:hAnsi="Arial" w:cs="Arial"/>
          <w:sz w:val="22"/>
          <w:szCs w:val="22"/>
          <w:lang w:val="es-ES_tradnl"/>
        </w:rPr>
        <w:t xml:space="preserve">el costo por las desvinculaciones del personal de </w:t>
      </w:r>
      <w:r w:rsidR="008A5C1A" w:rsidRPr="00F85253">
        <w:rPr>
          <w:rFonts w:ascii="Arial" w:hAnsi="Arial" w:cs="Arial"/>
          <w:sz w:val="22"/>
          <w:szCs w:val="22"/>
          <w:lang w:val="es-ES_tradnl"/>
        </w:rPr>
        <w:t>EEPP</w:t>
      </w:r>
      <w:r w:rsidR="0036111E" w:rsidRPr="00F85253">
        <w:rPr>
          <w:rFonts w:ascii="Arial" w:hAnsi="Arial" w:cs="Arial"/>
          <w:sz w:val="22"/>
          <w:szCs w:val="22"/>
          <w:lang w:val="es-ES_tradnl"/>
        </w:rPr>
        <w:t xml:space="preserve">; </w:t>
      </w:r>
      <w:r w:rsidR="009A3C3A" w:rsidRPr="00F85253">
        <w:rPr>
          <w:rFonts w:ascii="Arial" w:hAnsi="Arial" w:cs="Arial"/>
          <w:sz w:val="22"/>
          <w:szCs w:val="22"/>
          <w:lang w:val="es-ES_tradnl"/>
        </w:rPr>
        <w:t xml:space="preserve">b) </w:t>
      </w:r>
      <w:r w:rsidR="005A01ED" w:rsidRPr="00F85253">
        <w:rPr>
          <w:rFonts w:ascii="Arial" w:hAnsi="Arial" w:cs="Arial"/>
          <w:sz w:val="22"/>
          <w:szCs w:val="22"/>
          <w:lang w:val="es-ES_tradnl"/>
        </w:rPr>
        <w:t xml:space="preserve">las actividades para el fortalecimiento del Marco de Gobernanza Corporativa; y, </w:t>
      </w:r>
      <w:r w:rsidR="009A3C3A" w:rsidRPr="00F85253">
        <w:rPr>
          <w:rFonts w:ascii="Arial" w:hAnsi="Arial" w:cs="Arial"/>
          <w:sz w:val="22"/>
          <w:szCs w:val="22"/>
          <w:lang w:val="es-ES_tradnl"/>
        </w:rPr>
        <w:t xml:space="preserve">c) </w:t>
      </w:r>
      <w:r w:rsidR="00AE5D04" w:rsidRPr="00F85253">
        <w:rPr>
          <w:rFonts w:ascii="Arial" w:hAnsi="Arial" w:cs="Arial"/>
          <w:sz w:val="22"/>
          <w:szCs w:val="22"/>
          <w:lang w:val="es-ES_tradnl"/>
        </w:rPr>
        <w:t>la A</w:t>
      </w:r>
      <w:r w:rsidR="005A01ED" w:rsidRPr="00F85253">
        <w:rPr>
          <w:rFonts w:ascii="Arial" w:hAnsi="Arial" w:cs="Arial"/>
          <w:sz w:val="22"/>
          <w:szCs w:val="22"/>
          <w:lang w:val="es-ES_tradnl"/>
        </w:rPr>
        <w:t xml:space="preserve">dministración del programa, </w:t>
      </w:r>
      <w:r w:rsidR="00C77582" w:rsidRPr="00F85253">
        <w:rPr>
          <w:rFonts w:ascii="Arial" w:hAnsi="Arial" w:cs="Arial"/>
          <w:sz w:val="22"/>
          <w:szCs w:val="22"/>
          <w:lang w:val="es-ES_tradnl"/>
        </w:rPr>
        <w:t>en precios de eficiencia</w:t>
      </w:r>
      <w:r w:rsidR="00984B7F" w:rsidRPr="00F85253">
        <w:rPr>
          <w:rFonts w:ascii="Arial" w:hAnsi="Arial" w:cs="Arial"/>
          <w:sz w:val="22"/>
          <w:szCs w:val="22"/>
          <w:lang w:val="es-ES_tradnl"/>
        </w:rPr>
        <w:t xml:space="preserve">. </w:t>
      </w:r>
      <w:r w:rsidR="00AE5D04" w:rsidRPr="00F85253">
        <w:rPr>
          <w:rFonts w:ascii="Arial" w:hAnsi="Arial" w:cs="Arial"/>
          <w:sz w:val="22"/>
          <w:szCs w:val="22"/>
          <w:lang w:val="es-ES_tradnl"/>
        </w:rPr>
        <w:t>Así como,</w:t>
      </w:r>
      <w:r w:rsidR="00664F9B" w:rsidRPr="00F85253">
        <w:rPr>
          <w:rFonts w:ascii="Arial" w:hAnsi="Arial" w:cs="Arial"/>
          <w:sz w:val="22"/>
          <w:szCs w:val="22"/>
          <w:lang w:val="es-ES_tradnl"/>
        </w:rPr>
        <w:t xml:space="preserve"> los </w:t>
      </w:r>
      <w:r w:rsidR="00A624E9" w:rsidRPr="00F85253">
        <w:rPr>
          <w:rFonts w:ascii="Arial" w:hAnsi="Arial" w:cs="Arial"/>
          <w:sz w:val="22"/>
          <w:szCs w:val="22"/>
          <w:lang w:val="es-ES_tradnl"/>
        </w:rPr>
        <w:t xml:space="preserve">d) </w:t>
      </w:r>
      <w:r w:rsidR="00664F9B" w:rsidRPr="00F85253">
        <w:rPr>
          <w:rFonts w:ascii="Arial" w:hAnsi="Arial" w:cs="Arial"/>
          <w:sz w:val="22"/>
          <w:szCs w:val="22"/>
          <w:lang w:val="es-ES_tradnl"/>
        </w:rPr>
        <w:t xml:space="preserve">gastos de operación </w:t>
      </w:r>
      <w:r w:rsidR="00AE5D04" w:rsidRPr="00F85253">
        <w:rPr>
          <w:rFonts w:ascii="Arial" w:hAnsi="Arial" w:cs="Arial"/>
          <w:sz w:val="22"/>
          <w:szCs w:val="22"/>
          <w:lang w:val="es-ES_tradnl"/>
        </w:rPr>
        <w:t xml:space="preserve">y mantenimiento </w:t>
      </w:r>
      <w:r w:rsidR="00664F9B" w:rsidRPr="00F85253">
        <w:rPr>
          <w:rFonts w:ascii="Arial" w:hAnsi="Arial" w:cs="Arial"/>
          <w:sz w:val="22"/>
          <w:szCs w:val="22"/>
          <w:lang w:val="es-ES_tradnl"/>
        </w:rPr>
        <w:t>del programa</w:t>
      </w:r>
      <w:r w:rsidR="00AE5D04" w:rsidRPr="00F85253">
        <w:rPr>
          <w:rFonts w:ascii="Arial" w:hAnsi="Arial" w:cs="Arial"/>
          <w:sz w:val="22"/>
          <w:szCs w:val="22"/>
          <w:lang w:val="es-ES_tradnl"/>
        </w:rPr>
        <w:t>- Opex</w:t>
      </w:r>
      <w:r w:rsidR="00664F9B" w:rsidRPr="00F85253">
        <w:rPr>
          <w:rFonts w:ascii="Arial" w:hAnsi="Arial" w:cs="Arial"/>
          <w:sz w:val="22"/>
          <w:szCs w:val="22"/>
          <w:lang w:val="es-ES_tradnl"/>
        </w:rPr>
        <w:t xml:space="preserve">. </w:t>
      </w:r>
    </w:p>
    <w:p w14:paraId="3FD65972" w14:textId="77777777" w:rsidR="00D665D8" w:rsidRPr="00F85253" w:rsidRDefault="00D665D8" w:rsidP="000B2BC8">
      <w:pPr>
        <w:pStyle w:val="Paragraph"/>
        <w:tabs>
          <w:tab w:val="num" w:pos="2196"/>
        </w:tabs>
        <w:spacing w:before="0" w:after="0" w:line="276" w:lineRule="auto"/>
        <w:ind w:left="720"/>
        <w:outlineLvl w:val="9"/>
        <w:rPr>
          <w:rFonts w:ascii="Arial" w:hAnsi="Arial" w:cs="Arial"/>
          <w:color w:val="FF0000"/>
          <w:sz w:val="22"/>
          <w:szCs w:val="22"/>
          <w:lang w:val="es-ES_tradnl"/>
        </w:rPr>
      </w:pPr>
    </w:p>
    <w:p w14:paraId="1D3248E7" w14:textId="0923503F" w:rsidR="000B5B5D" w:rsidRPr="00F85253" w:rsidRDefault="00634F44" w:rsidP="002543DC">
      <w:pPr>
        <w:pStyle w:val="Paragraph"/>
        <w:numPr>
          <w:ilvl w:val="1"/>
          <w:numId w:val="2"/>
        </w:numPr>
        <w:tabs>
          <w:tab w:val="clear" w:pos="1296"/>
          <w:tab w:val="num" w:pos="720"/>
          <w:tab w:val="num" w:pos="1800"/>
          <w:tab w:val="num" w:pos="2196"/>
        </w:tabs>
        <w:spacing w:before="0" w:after="0" w:line="276" w:lineRule="auto"/>
        <w:ind w:left="720" w:hanging="720"/>
        <w:outlineLvl w:val="9"/>
        <w:rPr>
          <w:rFonts w:ascii="Arial" w:hAnsi="Arial" w:cs="Arial"/>
          <w:color w:val="FF0000"/>
          <w:sz w:val="22"/>
          <w:szCs w:val="22"/>
          <w:lang w:val="es-ES_tradnl"/>
        </w:rPr>
      </w:pPr>
      <w:r w:rsidRPr="00F85253">
        <w:rPr>
          <w:rFonts w:ascii="Arial" w:hAnsi="Arial" w:cs="Arial"/>
          <w:b/>
          <w:sz w:val="22"/>
          <w:szCs w:val="22"/>
          <w:lang w:val="es-ES_tradnl"/>
        </w:rPr>
        <w:t>Los beneficios económicos</w:t>
      </w:r>
      <w:r w:rsidRPr="00F85253">
        <w:rPr>
          <w:rFonts w:ascii="Arial" w:hAnsi="Arial" w:cs="Arial"/>
          <w:sz w:val="22"/>
          <w:szCs w:val="22"/>
          <w:lang w:val="es-ES_tradnl"/>
        </w:rPr>
        <w:t xml:space="preserve"> se estiman con la información</w:t>
      </w:r>
      <w:r w:rsidR="0094334C" w:rsidRPr="00F85253">
        <w:rPr>
          <w:rFonts w:ascii="Arial" w:hAnsi="Arial" w:cs="Arial"/>
          <w:sz w:val="22"/>
          <w:szCs w:val="22"/>
          <w:lang w:val="es-ES_tradnl"/>
        </w:rPr>
        <w:t xml:space="preserve"> agregada</w:t>
      </w:r>
      <w:r w:rsidR="000B5B5D" w:rsidRPr="00F85253">
        <w:rPr>
          <w:rFonts w:ascii="Arial" w:hAnsi="Arial" w:cs="Arial"/>
          <w:sz w:val="22"/>
          <w:szCs w:val="22"/>
          <w:lang w:val="es-ES_tradnl"/>
        </w:rPr>
        <w:t xml:space="preserve"> de Empresas Públicas no Financieras </w:t>
      </w:r>
      <w:r w:rsidR="001E7D7B" w:rsidRPr="00F85253">
        <w:rPr>
          <w:rFonts w:ascii="Arial" w:hAnsi="Arial" w:cs="Arial"/>
          <w:sz w:val="22"/>
          <w:szCs w:val="22"/>
          <w:lang w:val="es-ES_tradnl"/>
        </w:rPr>
        <w:t>(</w:t>
      </w:r>
      <w:r w:rsidR="000B5B5D" w:rsidRPr="00F85253">
        <w:rPr>
          <w:rFonts w:ascii="Arial" w:hAnsi="Arial" w:cs="Arial"/>
          <w:sz w:val="22"/>
          <w:szCs w:val="22"/>
          <w:lang w:val="es-ES_tradnl"/>
        </w:rPr>
        <w:t>EPNF</w:t>
      </w:r>
      <w:r w:rsidR="001E7D7B" w:rsidRPr="00F85253">
        <w:rPr>
          <w:rFonts w:ascii="Arial" w:hAnsi="Arial" w:cs="Arial"/>
          <w:sz w:val="22"/>
          <w:szCs w:val="22"/>
          <w:lang w:val="es-ES_tradnl"/>
        </w:rPr>
        <w:t>)</w:t>
      </w:r>
      <w:r w:rsidR="0094334C" w:rsidRPr="00F85253">
        <w:rPr>
          <w:rFonts w:ascii="Arial" w:hAnsi="Arial" w:cs="Arial"/>
          <w:sz w:val="22"/>
          <w:szCs w:val="22"/>
          <w:lang w:val="es-ES_tradnl"/>
        </w:rPr>
        <w:t xml:space="preserve"> </w:t>
      </w:r>
      <w:r w:rsidR="000B5B5D" w:rsidRPr="00F85253">
        <w:rPr>
          <w:rFonts w:ascii="Arial" w:hAnsi="Arial" w:cs="Arial"/>
          <w:sz w:val="22"/>
          <w:szCs w:val="22"/>
          <w:lang w:val="es-ES_tradnl"/>
        </w:rPr>
        <w:t>d</w:t>
      </w:r>
      <w:r w:rsidR="0094334C" w:rsidRPr="00F85253">
        <w:rPr>
          <w:rFonts w:ascii="Arial" w:hAnsi="Arial" w:cs="Arial"/>
          <w:sz w:val="22"/>
          <w:szCs w:val="22"/>
          <w:lang w:val="es-ES_tradnl"/>
        </w:rPr>
        <w:t>el Banco Central del Ecuador</w:t>
      </w:r>
      <w:r w:rsidR="00457244" w:rsidRPr="00F85253">
        <w:rPr>
          <w:rFonts w:ascii="Arial" w:hAnsi="Arial" w:cs="Arial"/>
          <w:sz w:val="22"/>
          <w:szCs w:val="22"/>
          <w:lang w:val="es-ES_tradnl"/>
        </w:rPr>
        <w:t xml:space="preserve"> (BCE)</w:t>
      </w:r>
      <w:r w:rsidR="0094334C" w:rsidRPr="00F85253">
        <w:rPr>
          <w:rStyle w:val="FootnoteReference"/>
          <w:rFonts w:ascii="Arial" w:hAnsi="Arial" w:cs="Arial"/>
          <w:sz w:val="22"/>
          <w:szCs w:val="22"/>
          <w:lang w:val="es-ES_tradnl"/>
        </w:rPr>
        <w:footnoteReference w:id="38"/>
      </w:r>
      <w:r w:rsidRPr="00F85253">
        <w:rPr>
          <w:rFonts w:ascii="Arial" w:hAnsi="Arial" w:cs="Arial"/>
          <w:sz w:val="22"/>
          <w:szCs w:val="22"/>
          <w:lang w:val="es-ES_tradnl"/>
        </w:rPr>
        <w:t xml:space="preserve">. </w:t>
      </w:r>
      <w:r w:rsidR="000B5B5D" w:rsidRPr="00F85253">
        <w:rPr>
          <w:rFonts w:ascii="Arial" w:hAnsi="Arial" w:cs="Arial"/>
          <w:sz w:val="22"/>
          <w:szCs w:val="22"/>
          <w:lang w:val="es-ES_tradnl"/>
        </w:rPr>
        <w:t xml:space="preserve">Los datos son trimestrales desde 2010 a 2018, con información sobre: </w:t>
      </w:r>
      <w:r w:rsidR="000C1140" w:rsidRPr="00F85253">
        <w:rPr>
          <w:rFonts w:ascii="Arial" w:hAnsi="Arial" w:cs="Arial"/>
          <w:sz w:val="22"/>
          <w:szCs w:val="22"/>
          <w:lang w:val="es-ES_tradnl"/>
        </w:rPr>
        <w:t>i</w:t>
      </w:r>
      <w:r w:rsidR="0066795B" w:rsidRPr="00F85253">
        <w:rPr>
          <w:rFonts w:ascii="Arial" w:hAnsi="Arial" w:cs="Arial"/>
          <w:sz w:val="22"/>
          <w:szCs w:val="22"/>
          <w:lang w:val="es-ES_tradnl"/>
        </w:rPr>
        <w:t xml:space="preserve">ngresos </w:t>
      </w:r>
      <w:r w:rsidR="000C1140" w:rsidRPr="00F85253">
        <w:rPr>
          <w:rFonts w:ascii="Arial" w:hAnsi="Arial" w:cs="Arial"/>
          <w:sz w:val="22"/>
          <w:szCs w:val="22"/>
          <w:lang w:val="es-ES_tradnl"/>
        </w:rPr>
        <w:t>o</w:t>
      </w:r>
      <w:r w:rsidR="0066795B" w:rsidRPr="00F85253">
        <w:rPr>
          <w:rFonts w:ascii="Arial" w:hAnsi="Arial" w:cs="Arial"/>
          <w:sz w:val="22"/>
          <w:szCs w:val="22"/>
          <w:lang w:val="es-ES_tradnl"/>
        </w:rPr>
        <w:t>peracionales;</w:t>
      </w:r>
      <w:r w:rsidR="000B5B5D" w:rsidRPr="00F85253">
        <w:rPr>
          <w:rFonts w:ascii="Arial" w:hAnsi="Arial" w:cs="Arial"/>
          <w:sz w:val="22"/>
          <w:szCs w:val="22"/>
          <w:lang w:val="es-ES_tradnl"/>
        </w:rPr>
        <w:t xml:space="preserve"> </w:t>
      </w:r>
      <w:r w:rsidR="000C1140" w:rsidRPr="00F85253">
        <w:rPr>
          <w:rFonts w:ascii="Arial" w:hAnsi="Arial" w:cs="Arial"/>
          <w:sz w:val="22"/>
          <w:szCs w:val="22"/>
          <w:lang w:val="es-ES_tradnl"/>
        </w:rPr>
        <w:t>e</w:t>
      </w:r>
      <w:r w:rsidR="000B5B5D" w:rsidRPr="00F85253">
        <w:rPr>
          <w:rFonts w:ascii="Arial" w:hAnsi="Arial" w:cs="Arial"/>
          <w:sz w:val="22"/>
          <w:szCs w:val="22"/>
          <w:lang w:val="es-ES_tradnl"/>
        </w:rPr>
        <w:t xml:space="preserve">gresos </w:t>
      </w:r>
      <w:r w:rsidR="000C1140" w:rsidRPr="00F85253">
        <w:rPr>
          <w:rFonts w:ascii="Arial" w:hAnsi="Arial" w:cs="Arial"/>
          <w:sz w:val="22"/>
          <w:szCs w:val="22"/>
          <w:lang w:val="es-ES_tradnl"/>
        </w:rPr>
        <w:t>o</w:t>
      </w:r>
      <w:r w:rsidR="000B5B5D" w:rsidRPr="00F85253">
        <w:rPr>
          <w:rFonts w:ascii="Arial" w:hAnsi="Arial" w:cs="Arial"/>
          <w:sz w:val="22"/>
          <w:szCs w:val="22"/>
          <w:lang w:val="es-ES_tradnl"/>
        </w:rPr>
        <w:t xml:space="preserve">peracionales de </w:t>
      </w:r>
      <w:r w:rsidR="000C1140" w:rsidRPr="00F85253">
        <w:rPr>
          <w:rFonts w:ascii="Arial" w:hAnsi="Arial" w:cs="Arial"/>
          <w:sz w:val="22"/>
          <w:szCs w:val="22"/>
          <w:lang w:val="es-ES_tradnl"/>
        </w:rPr>
        <w:t>s</w:t>
      </w:r>
      <w:r w:rsidR="000B5B5D" w:rsidRPr="00F85253">
        <w:rPr>
          <w:rFonts w:ascii="Arial" w:hAnsi="Arial" w:cs="Arial"/>
          <w:sz w:val="22"/>
          <w:szCs w:val="22"/>
          <w:lang w:val="es-ES_tradnl"/>
        </w:rPr>
        <w:t xml:space="preserve">ueldos, </w:t>
      </w:r>
      <w:r w:rsidR="000C1140" w:rsidRPr="00F85253">
        <w:rPr>
          <w:rFonts w:ascii="Arial" w:hAnsi="Arial" w:cs="Arial"/>
          <w:sz w:val="22"/>
          <w:szCs w:val="22"/>
          <w:lang w:val="es-ES_tradnl"/>
        </w:rPr>
        <w:t>a</w:t>
      </w:r>
      <w:r w:rsidR="000B5B5D" w:rsidRPr="00F85253">
        <w:rPr>
          <w:rFonts w:ascii="Arial" w:hAnsi="Arial" w:cs="Arial"/>
          <w:sz w:val="22"/>
          <w:szCs w:val="22"/>
          <w:lang w:val="es-ES_tradnl"/>
        </w:rPr>
        <w:t>portes al IESS</w:t>
      </w:r>
      <w:r w:rsidR="00AE5D04" w:rsidRPr="00F85253">
        <w:rPr>
          <w:rFonts w:ascii="Arial" w:hAnsi="Arial" w:cs="Arial"/>
          <w:sz w:val="22"/>
          <w:szCs w:val="22"/>
          <w:lang w:val="es-ES_tradnl"/>
        </w:rPr>
        <w:t>,</w:t>
      </w:r>
      <w:r w:rsidR="000B5B5D" w:rsidRPr="00F85253">
        <w:rPr>
          <w:rFonts w:ascii="Arial" w:hAnsi="Arial" w:cs="Arial"/>
          <w:sz w:val="22"/>
          <w:szCs w:val="22"/>
          <w:lang w:val="es-ES_tradnl"/>
        </w:rPr>
        <w:t xml:space="preserve"> y </w:t>
      </w:r>
      <w:r w:rsidR="000C1140" w:rsidRPr="00F85253">
        <w:rPr>
          <w:rFonts w:ascii="Arial" w:hAnsi="Arial" w:cs="Arial"/>
          <w:sz w:val="22"/>
          <w:szCs w:val="22"/>
          <w:lang w:val="es-ES_tradnl"/>
        </w:rPr>
        <w:t>c</w:t>
      </w:r>
      <w:r w:rsidR="000B5B5D" w:rsidRPr="00F85253">
        <w:rPr>
          <w:rFonts w:ascii="Arial" w:hAnsi="Arial" w:cs="Arial"/>
          <w:sz w:val="22"/>
          <w:szCs w:val="22"/>
          <w:lang w:val="es-ES_tradnl"/>
        </w:rPr>
        <w:t>ompra</w:t>
      </w:r>
      <w:r w:rsidR="0066795B" w:rsidRPr="00F85253">
        <w:rPr>
          <w:rFonts w:ascii="Arial" w:hAnsi="Arial" w:cs="Arial"/>
          <w:sz w:val="22"/>
          <w:szCs w:val="22"/>
          <w:lang w:val="es-ES_tradnl"/>
        </w:rPr>
        <w:t xml:space="preserve"> de </w:t>
      </w:r>
      <w:r w:rsidR="000C1140" w:rsidRPr="00F85253">
        <w:rPr>
          <w:rFonts w:ascii="Arial" w:hAnsi="Arial" w:cs="Arial"/>
          <w:sz w:val="22"/>
          <w:szCs w:val="22"/>
          <w:lang w:val="es-ES_tradnl"/>
        </w:rPr>
        <w:t>b</w:t>
      </w:r>
      <w:r w:rsidR="0066795B" w:rsidRPr="00F85253">
        <w:rPr>
          <w:rFonts w:ascii="Arial" w:hAnsi="Arial" w:cs="Arial"/>
          <w:sz w:val="22"/>
          <w:szCs w:val="22"/>
          <w:lang w:val="es-ES_tradnl"/>
        </w:rPr>
        <w:t xml:space="preserve">ienes y </w:t>
      </w:r>
      <w:r w:rsidR="000C1140" w:rsidRPr="00F85253">
        <w:rPr>
          <w:rFonts w:ascii="Arial" w:hAnsi="Arial" w:cs="Arial"/>
          <w:sz w:val="22"/>
          <w:szCs w:val="22"/>
          <w:lang w:val="es-ES_tradnl"/>
        </w:rPr>
        <w:t>s</w:t>
      </w:r>
      <w:r w:rsidR="0066795B" w:rsidRPr="00F85253">
        <w:rPr>
          <w:rFonts w:ascii="Arial" w:hAnsi="Arial" w:cs="Arial"/>
          <w:sz w:val="22"/>
          <w:szCs w:val="22"/>
          <w:lang w:val="es-ES_tradnl"/>
        </w:rPr>
        <w:t>ervicios;</w:t>
      </w:r>
      <w:r w:rsidR="000B5B5D" w:rsidRPr="00F85253">
        <w:rPr>
          <w:rFonts w:ascii="Arial" w:hAnsi="Arial" w:cs="Arial"/>
          <w:sz w:val="22"/>
          <w:szCs w:val="22"/>
          <w:lang w:val="es-ES_tradnl"/>
        </w:rPr>
        <w:t xml:space="preserve"> </w:t>
      </w:r>
      <w:r w:rsidR="000C1140" w:rsidRPr="00F85253">
        <w:rPr>
          <w:rFonts w:ascii="Arial" w:hAnsi="Arial" w:cs="Arial"/>
          <w:sz w:val="22"/>
          <w:szCs w:val="22"/>
          <w:lang w:val="es-ES_tradnl"/>
        </w:rPr>
        <w:t>i</w:t>
      </w:r>
      <w:r w:rsidR="000B5B5D" w:rsidRPr="00F85253">
        <w:rPr>
          <w:rFonts w:ascii="Arial" w:hAnsi="Arial" w:cs="Arial"/>
          <w:sz w:val="22"/>
          <w:szCs w:val="22"/>
          <w:lang w:val="es-ES_tradnl"/>
        </w:rPr>
        <w:t xml:space="preserve">ngresos no </w:t>
      </w:r>
      <w:r w:rsidR="000C1140" w:rsidRPr="00F85253">
        <w:rPr>
          <w:rFonts w:ascii="Arial" w:hAnsi="Arial" w:cs="Arial"/>
          <w:sz w:val="22"/>
          <w:szCs w:val="22"/>
          <w:lang w:val="es-ES_tradnl"/>
        </w:rPr>
        <w:t>o</w:t>
      </w:r>
      <w:r w:rsidR="000B5B5D" w:rsidRPr="00F85253">
        <w:rPr>
          <w:rFonts w:ascii="Arial" w:hAnsi="Arial" w:cs="Arial"/>
          <w:sz w:val="22"/>
          <w:szCs w:val="22"/>
          <w:lang w:val="es-ES_tradnl"/>
        </w:rPr>
        <w:t>peracionales</w:t>
      </w:r>
      <w:r w:rsidR="0066795B" w:rsidRPr="00F85253">
        <w:rPr>
          <w:rFonts w:ascii="Arial" w:hAnsi="Arial" w:cs="Arial"/>
          <w:sz w:val="22"/>
          <w:szCs w:val="22"/>
          <w:lang w:val="es-ES_tradnl"/>
        </w:rPr>
        <w:t xml:space="preserve">, </w:t>
      </w:r>
      <w:r w:rsidR="000C1140" w:rsidRPr="00F85253">
        <w:rPr>
          <w:rFonts w:ascii="Arial" w:hAnsi="Arial" w:cs="Arial"/>
          <w:sz w:val="22"/>
          <w:szCs w:val="22"/>
          <w:lang w:val="es-ES_tradnl"/>
        </w:rPr>
        <w:t>egresos oper</w:t>
      </w:r>
      <w:r w:rsidR="0066795B" w:rsidRPr="00F85253">
        <w:rPr>
          <w:rFonts w:ascii="Arial" w:hAnsi="Arial" w:cs="Arial"/>
          <w:sz w:val="22"/>
          <w:szCs w:val="22"/>
          <w:lang w:val="es-ES_tradnl"/>
        </w:rPr>
        <w:t>aciones de intereses,</w:t>
      </w:r>
      <w:r w:rsidR="00BE0CBE" w:rsidRPr="00F85253">
        <w:rPr>
          <w:rFonts w:ascii="Arial" w:hAnsi="Arial" w:cs="Arial"/>
          <w:sz w:val="22"/>
          <w:szCs w:val="22"/>
          <w:lang w:val="es-ES_tradnl"/>
        </w:rPr>
        <w:t xml:space="preserve"> </w:t>
      </w:r>
      <w:r w:rsidR="000C1140" w:rsidRPr="00F85253">
        <w:rPr>
          <w:rFonts w:ascii="Arial" w:hAnsi="Arial" w:cs="Arial"/>
          <w:sz w:val="22"/>
          <w:szCs w:val="22"/>
          <w:lang w:val="es-ES_tradnl"/>
        </w:rPr>
        <w:t>t</w:t>
      </w:r>
      <w:r w:rsidR="0066795B" w:rsidRPr="00F85253">
        <w:rPr>
          <w:rFonts w:ascii="Arial" w:hAnsi="Arial" w:cs="Arial"/>
          <w:sz w:val="22"/>
          <w:szCs w:val="22"/>
          <w:lang w:val="es-ES_tradnl"/>
        </w:rPr>
        <w:t xml:space="preserve">ransferencias </w:t>
      </w:r>
      <w:r w:rsidR="00BE0CBE" w:rsidRPr="00F85253">
        <w:rPr>
          <w:rFonts w:ascii="Arial" w:hAnsi="Arial" w:cs="Arial"/>
          <w:sz w:val="22"/>
          <w:szCs w:val="22"/>
          <w:lang w:val="es-ES_tradnl"/>
        </w:rPr>
        <w:t>del</w:t>
      </w:r>
      <w:r w:rsidR="0066795B" w:rsidRPr="00F85253">
        <w:rPr>
          <w:rFonts w:ascii="Arial" w:hAnsi="Arial" w:cs="Arial"/>
          <w:sz w:val="22"/>
          <w:szCs w:val="22"/>
          <w:lang w:val="es-ES_tradnl"/>
        </w:rPr>
        <w:t xml:space="preserve"> </w:t>
      </w:r>
      <w:r w:rsidR="0066795B" w:rsidRPr="00F85253">
        <w:rPr>
          <w:rFonts w:ascii="Arial" w:hAnsi="Arial" w:cs="Arial"/>
          <w:sz w:val="22"/>
          <w:szCs w:val="22"/>
          <w:lang w:val="es-ES_tradnl"/>
        </w:rPr>
        <w:lastRenderedPageBreak/>
        <w:t xml:space="preserve">sector público, y </w:t>
      </w:r>
      <w:r w:rsidR="000C1140" w:rsidRPr="00F85253">
        <w:rPr>
          <w:rFonts w:ascii="Arial" w:hAnsi="Arial" w:cs="Arial"/>
          <w:sz w:val="22"/>
          <w:szCs w:val="22"/>
          <w:lang w:val="es-ES_tradnl"/>
        </w:rPr>
        <w:t>o</w:t>
      </w:r>
      <w:r w:rsidR="0066795B" w:rsidRPr="00F85253">
        <w:rPr>
          <w:rFonts w:ascii="Arial" w:hAnsi="Arial" w:cs="Arial"/>
          <w:sz w:val="22"/>
          <w:szCs w:val="22"/>
          <w:lang w:val="es-ES_tradnl"/>
        </w:rPr>
        <w:t xml:space="preserve">tros; y, </w:t>
      </w:r>
      <w:r w:rsidR="000C1140" w:rsidRPr="00F85253">
        <w:rPr>
          <w:rFonts w:ascii="Arial" w:hAnsi="Arial" w:cs="Arial"/>
          <w:sz w:val="22"/>
          <w:szCs w:val="22"/>
          <w:lang w:val="es-ES_tradnl"/>
        </w:rPr>
        <w:t>e</w:t>
      </w:r>
      <w:r w:rsidR="0066795B" w:rsidRPr="00F85253">
        <w:rPr>
          <w:rFonts w:ascii="Arial" w:hAnsi="Arial" w:cs="Arial"/>
          <w:sz w:val="22"/>
          <w:szCs w:val="22"/>
          <w:lang w:val="es-ES_tradnl"/>
        </w:rPr>
        <w:t xml:space="preserve">gresos de </w:t>
      </w:r>
      <w:r w:rsidR="000C1140" w:rsidRPr="00F85253">
        <w:rPr>
          <w:rFonts w:ascii="Arial" w:hAnsi="Arial" w:cs="Arial"/>
          <w:sz w:val="22"/>
          <w:szCs w:val="22"/>
          <w:lang w:val="es-ES_tradnl"/>
        </w:rPr>
        <w:t>c</w:t>
      </w:r>
      <w:r w:rsidR="0066795B" w:rsidRPr="00F85253">
        <w:rPr>
          <w:rFonts w:ascii="Arial" w:hAnsi="Arial" w:cs="Arial"/>
          <w:sz w:val="22"/>
          <w:szCs w:val="22"/>
          <w:lang w:val="es-ES_tradnl"/>
        </w:rPr>
        <w:t>apital.</w:t>
      </w:r>
      <w:r w:rsidR="00984B7F" w:rsidRPr="00F85253">
        <w:rPr>
          <w:rFonts w:ascii="Arial" w:hAnsi="Arial" w:cs="Arial"/>
          <w:sz w:val="22"/>
          <w:szCs w:val="22"/>
          <w:lang w:val="es-ES_tradnl"/>
        </w:rPr>
        <w:t xml:space="preserve"> A pesar</w:t>
      </w:r>
      <w:r w:rsidR="00B11B86" w:rsidRPr="00F85253">
        <w:rPr>
          <w:rFonts w:ascii="Arial" w:hAnsi="Arial" w:cs="Arial"/>
          <w:sz w:val="22"/>
          <w:szCs w:val="22"/>
          <w:lang w:val="es-ES_tradnl"/>
        </w:rPr>
        <w:t xml:space="preserve"> de</w:t>
      </w:r>
      <w:r w:rsidR="00984B7F" w:rsidRPr="00F85253">
        <w:rPr>
          <w:rFonts w:ascii="Arial" w:hAnsi="Arial" w:cs="Arial"/>
          <w:sz w:val="22"/>
          <w:szCs w:val="22"/>
          <w:lang w:val="es-ES_tradnl"/>
        </w:rPr>
        <w:t xml:space="preserve"> que se ha registrado la liquidación o creación de nuevas </w:t>
      </w:r>
      <w:r w:rsidR="0023565F" w:rsidRPr="00F85253">
        <w:rPr>
          <w:rFonts w:ascii="Arial" w:hAnsi="Arial" w:cs="Arial"/>
          <w:sz w:val="22"/>
          <w:szCs w:val="22"/>
          <w:lang w:val="es-ES_tradnl"/>
        </w:rPr>
        <w:t>EEPP</w:t>
      </w:r>
      <w:r w:rsidR="00984B7F" w:rsidRPr="00F85253">
        <w:rPr>
          <w:rFonts w:ascii="Arial" w:hAnsi="Arial" w:cs="Arial"/>
          <w:sz w:val="22"/>
          <w:szCs w:val="22"/>
          <w:lang w:val="es-ES_tradnl"/>
        </w:rPr>
        <w:t>, los montos publicados por el BCE se mueven principalmente en función de la información de las petroleras</w:t>
      </w:r>
      <w:r w:rsidR="000879B1" w:rsidRPr="00F85253">
        <w:rPr>
          <w:rFonts w:ascii="Arial" w:hAnsi="Arial" w:cs="Arial"/>
          <w:sz w:val="22"/>
          <w:szCs w:val="22"/>
          <w:lang w:val="es-ES_tradnl"/>
        </w:rPr>
        <w:t xml:space="preserve"> (Petroecuador y Petroamazonas</w:t>
      </w:r>
      <w:r w:rsidR="000E006E" w:rsidRPr="00F85253">
        <w:rPr>
          <w:rFonts w:ascii="Arial" w:hAnsi="Arial" w:cs="Arial"/>
          <w:sz w:val="22"/>
          <w:szCs w:val="22"/>
          <w:lang w:val="es-ES_tradnl"/>
        </w:rPr>
        <w:t>)</w:t>
      </w:r>
      <w:r w:rsidR="000C1140" w:rsidRPr="00F85253">
        <w:rPr>
          <w:rFonts w:ascii="Arial" w:hAnsi="Arial" w:cs="Arial"/>
          <w:sz w:val="22"/>
          <w:szCs w:val="22"/>
          <w:lang w:val="es-ES_tradnl"/>
        </w:rPr>
        <w:t>, Tame, Flope</w:t>
      </w:r>
      <w:r w:rsidR="00410D73" w:rsidRPr="00F85253">
        <w:rPr>
          <w:rFonts w:ascii="Arial" w:hAnsi="Arial" w:cs="Arial"/>
          <w:sz w:val="22"/>
          <w:szCs w:val="22"/>
          <w:lang w:val="es-ES_tradnl"/>
        </w:rPr>
        <w:t>c</w:t>
      </w:r>
      <w:r w:rsidR="000879B1" w:rsidRPr="00F85253">
        <w:rPr>
          <w:rFonts w:ascii="Arial" w:hAnsi="Arial" w:cs="Arial"/>
          <w:sz w:val="22"/>
          <w:szCs w:val="22"/>
          <w:lang w:val="es-ES_tradnl"/>
        </w:rPr>
        <w:t xml:space="preserve">, Ferrocarriles del Ecuador, </w:t>
      </w:r>
      <w:r w:rsidR="00664F9B" w:rsidRPr="00F85253">
        <w:rPr>
          <w:rFonts w:ascii="Arial" w:hAnsi="Arial" w:cs="Arial"/>
          <w:sz w:val="22"/>
          <w:szCs w:val="22"/>
          <w:lang w:val="es-ES_tradnl"/>
        </w:rPr>
        <w:t xml:space="preserve">y </w:t>
      </w:r>
      <w:r w:rsidR="000879B1" w:rsidRPr="00F85253">
        <w:rPr>
          <w:rFonts w:ascii="Arial" w:hAnsi="Arial" w:cs="Arial"/>
          <w:sz w:val="22"/>
          <w:szCs w:val="22"/>
          <w:lang w:val="es-ES_tradnl"/>
        </w:rPr>
        <w:t>Agua Potable;</w:t>
      </w:r>
      <w:r w:rsidR="00984B7F" w:rsidRPr="00F85253">
        <w:rPr>
          <w:rFonts w:ascii="Arial" w:hAnsi="Arial" w:cs="Arial"/>
          <w:sz w:val="22"/>
          <w:szCs w:val="22"/>
          <w:lang w:val="es-ES_tradnl"/>
        </w:rPr>
        <w:t xml:space="preserve"> por ende, de manera general, los montos principales se han mantenido durante el período 2010-2018.   </w:t>
      </w:r>
    </w:p>
    <w:p w14:paraId="2D237B45" w14:textId="77777777" w:rsidR="00D665D8" w:rsidRPr="00F85253" w:rsidRDefault="00D665D8" w:rsidP="000B2BC8">
      <w:pPr>
        <w:pStyle w:val="Paragraph"/>
        <w:tabs>
          <w:tab w:val="num" w:pos="2196"/>
        </w:tabs>
        <w:spacing w:before="0" w:after="0" w:line="276" w:lineRule="auto"/>
        <w:ind w:left="720"/>
        <w:outlineLvl w:val="9"/>
        <w:rPr>
          <w:rFonts w:ascii="Arial" w:hAnsi="Arial" w:cs="Arial"/>
          <w:color w:val="FF0000"/>
          <w:sz w:val="22"/>
          <w:szCs w:val="22"/>
          <w:lang w:val="es-ES_tradnl"/>
        </w:rPr>
      </w:pPr>
    </w:p>
    <w:p w14:paraId="453CC621" w14:textId="77777777" w:rsidR="00580526" w:rsidRPr="00F85253" w:rsidRDefault="000422FB" w:rsidP="002543DC">
      <w:pPr>
        <w:pStyle w:val="Paragraph"/>
        <w:numPr>
          <w:ilvl w:val="1"/>
          <w:numId w:val="2"/>
        </w:numPr>
        <w:tabs>
          <w:tab w:val="clear" w:pos="1296"/>
          <w:tab w:val="num" w:pos="720"/>
          <w:tab w:val="num" w:pos="1800"/>
          <w:tab w:val="num" w:pos="2196"/>
        </w:tabs>
        <w:spacing w:before="0" w:after="0" w:line="276" w:lineRule="auto"/>
        <w:ind w:left="720" w:hanging="720"/>
        <w:outlineLvl w:val="9"/>
        <w:rPr>
          <w:rFonts w:ascii="Arial" w:hAnsi="Arial" w:cs="Arial"/>
          <w:color w:val="FF0000"/>
          <w:sz w:val="22"/>
          <w:szCs w:val="22"/>
          <w:lang w:val="es-ES_tradnl"/>
        </w:rPr>
      </w:pPr>
      <w:r w:rsidRPr="00F85253">
        <w:rPr>
          <w:rFonts w:ascii="Arial" w:hAnsi="Arial" w:cs="Arial"/>
          <w:sz w:val="22"/>
          <w:szCs w:val="22"/>
          <w:lang w:val="es-ES_tradnl"/>
        </w:rPr>
        <w:t>S</w:t>
      </w:r>
      <w:r w:rsidR="00634F44" w:rsidRPr="00F85253">
        <w:rPr>
          <w:rFonts w:ascii="Arial" w:hAnsi="Arial" w:cs="Arial"/>
          <w:sz w:val="22"/>
          <w:szCs w:val="22"/>
          <w:lang w:val="es-ES_tradnl"/>
        </w:rPr>
        <w:t>e proyectan de m</w:t>
      </w:r>
      <w:r w:rsidR="00410D73" w:rsidRPr="00F85253">
        <w:rPr>
          <w:rFonts w:ascii="Arial" w:hAnsi="Arial" w:cs="Arial"/>
          <w:sz w:val="22"/>
          <w:szCs w:val="22"/>
          <w:lang w:val="es-ES_tradnl"/>
        </w:rPr>
        <w:t>anera trimestral las series de e</w:t>
      </w:r>
      <w:r w:rsidR="00634F44" w:rsidRPr="00F85253">
        <w:rPr>
          <w:rFonts w:ascii="Arial" w:hAnsi="Arial" w:cs="Arial"/>
          <w:sz w:val="22"/>
          <w:szCs w:val="22"/>
          <w:lang w:val="es-ES_tradnl"/>
        </w:rPr>
        <w:t xml:space="preserve">gresos </w:t>
      </w:r>
      <w:r w:rsidR="00410D73" w:rsidRPr="00F85253">
        <w:rPr>
          <w:rFonts w:ascii="Arial" w:hAnsi="Arial" w:cs="Arial"/>
          <w:sz w:val="22"/>
          <w:szCs w:val="22"/>
          <w:lang w:val="es-ES_tradnl"/>
        </w:rPr>
        <w:t>o</w:t>
      </w:r>
      <w:r w:rsidR="00E9763A" w:rsidRPr="00F85253">
        <w:rPr>
          <w:rFonts w:ascii="Arial" w:hAnsi="Arial" w:cs="Arial"/>
          <w:sz w:val="22"/>
          <w:szCs w:val="22"/>
          <w:lang w:val="es-ES_tradnl"/>
        </w:rPr>
        <w:t xml:space="preserve">peracionales de </w:t>
      </w:r>
      <w:r w:rsidR="00410D73" w:rsidRPr="00F85253">
        <w:rPr>
          <w:rFonts w:ascii="Arial" w:hAnsi="Arial" w:cs="Arial"/>
          <w:sz w:val="22"/>
          <w:szCs w:val="22"/>
          <w:lang w:val="es-ES_tradnl"/>
        </w:rPr>
        <w:t>s</w:t>
      </w:r>
      <w:r w:rsidR="00634F44" w:rsidRPr="00F85253">
        <w:rPr>
          <w:rFonts w:ascii="Arial" w:hAnsi="Arial" w:cs="Arial"/>
          <w:sz w:val="22"/>
          <w:szCs w:val="22"/>
          <w:lang w:val="es-ES_tradnl"/>
        </w:rPr>
        <w:t>ueldos (incluido el aporte del IESS)</w:t>
      </w:r>
      <w:r w:rsidRPr="00F85253">
        <w:rPr>
          <w:rFonts w:ascii="Arial" w:hAnsi="Arial" w:cs="Arial"/>
          <w:sz w:val="22"/>
          <w:szCs w:val="22"/>
          <w:lang w:val="es-ES_tradnl"/>
        </w:rPr>
        <w:t xml:space="preserve">, </w:t>
      </w:r>
      <w:r w:rsidR="00410D73" w:rsidRPr="00F85253">
        <w:rPr>
          <w:rFonts w:ascii="Arial" w:hAnsi="Arial" w:cs="Arial"/>
          <w:sz w:val="22"/>
          <w:szCs w:val="22"/>
          <w:lang w:val="es-ES_tradnl"/>
        </w:rPr>
        <w:t>c</w:t>
      </w:r>
      <w:r w:rsidR="00634F44" w:rsidRPr="00F85253">
        <w:rPr>
          <w:rFonts w:ascii="Arial" w:hAnsi="Arial" w:cs="Arial"/>
          <w:sz w:val="22"/>
          <w:szCs w:val="22"/>
          <w:lang w:val="es-ES_tradnl"/>
        </w:rPr>
        <w:t xml:space="preserve">ompra de </w:t>
      </w:r>
      <w:r w:rsidR="00410D73" w:rsidRPr="00F85253">
        <w:rPr>
          <w:rFonts w:ascii="Arial" w:hAnsi="Arial" w:cs="Arial"/>
          <w:sz w:val="22"/>
          <w:szCs w:val="22"/>
          <w:lang w:val="es-ES_tradnl"/>
        </w:rPr>
        <w:t>b</w:t>
      </w:r>
      <w:r w:rsidR="00634F44" w:rsidRPr="00F85253">
        <w:rPr>
          <w:rFonts w:ascii="Arial" w:hAnsi="Arial" w:cs="Arial"/>
          <w:sz w:val="22"/>
          <w:szCs w:val="22"/>
          <w:lang w:val="es-ES_tradnl"/>
        </w:rPr>
        <w:t xml:space="preserve">ienes y </w:t>
      </w:r>
      <w:r w:rsidR="00410D73" w:rsidRPr="00F85253">
        <w:rPr>
          <w:rFonts w:ascii="Arial" w:hAnsi="Arial" w:cs="Arial"/>
          <w:sz w:val="22"/>
          <w:szCs w:val="22"/>
          <w:lang w:val="es-ES_tradnl"/>
        </w:rPr>
        <w:t>s</w:t>
      </w:r>
      <w:r w:rsidRPr="00F85253">
        <w:rPr>
          <w:rFonts w:ascii="Arial" w:hAnsi="Arial" w:cs="Arial"/>
          <w:sz w:val="22"/>
          <w:szCs w:val="22"/>
          <w:lang w:val="es-ES_tradnl"/>
        </w:rPr>
        <w:t xml:space="preserve">ervicios; y, </w:t>
      </w:r>
      <w:r w:rsidR="00410D73" w:rsidRPr="00F85253">
        <w:rPr>
          <w:rFonts w:ascii="Arial" w:hAnsi="Arial" w:cs="Arial"/>
          <w:sz w:val="22"/>
          <w:szCs w:val="22"/>
          <w:lang w:val="es-ES_tradnl"/>
        </w:rPr>
        <w:t>e</w:t>
      </w:r>
      <w:r w:rsidR="00634F44" w:rsidRPr="00F85253">
        <w:rPr>
          <w:rFonts w:ascii="Arial" w:hAnsi="Arial" w:cs="Arial"/>
          <w:sz w:val="22"/>
          <w:szCs w:val="22"/>
          <w:lang w:val="es-ES_tradnl"/>
        </w:rPr>
        <w:t>gres</w:t>
      </w:r>
      <w:r w:rsidRPr="00F85253">
        <w:rPr>
          <w:rFonts w:ascii="Arial" w:hAnsi="Arial" w:cs="Arial"/>
          <w:sz w:val="22"/>
          <w:szCs w:val="22"/>
          <w:lang w:val="es-ES_tradnl"/>
        </w:rPr>
        <w:t xml:space="preserve">os de </w:t>
      </w:r>
      <w:r w:rsidR="00410D73" w:rsidRPr="00F85253">
        <w:rPr>
          <w:rFonts w:ascii="Arial" w:hAnsi="Arial" w:cs="Arial"/>
          <w:sz w:val="22"/>
          <w:szCs w:val="22"/>
          <w:lang w:val="es-ES_tradnl"/>
        </w:rPr>
        <w:t>c</w:t>
      </w:r>
      <w:r w:rsidR="00634F44" w:rsidRPr="00F85253">
        <w:rPr>
          <w:rFonts w:ascii="Arial" w:hAnsi="Arial" w:cs="Arial"/>
          <w:sz w:val="22"/>
          <w:szCs w:val="22"/>
          <w:lang w:val="es-ES_tradnl"/>
        </w:rPr>
        <w:t xml:space="preserve">apital. </w:t>
      </w:r>
      <w:r w:rsidR="0094334C" w:rsidRPr="00F85253">
        <w:rPr>
          <w:rFonts w:ascii="Arial" w:hAnsi="Arial" w:cs="Arial"/>
          <w:sz w:val="22"/>
          <w:szCs w:val="22"/>
          <w:lang w:val="es-ES_tradnl"/>
        </w:rPr>
        <w:t xml:space="preserve"> </w:t>
      </w:r>
      <w:r w:rsidR="00E9763A" w:rsidRPr="00F85253">
        <w:rPr>
          <w:rFonts w:ascii="Arial" w:hAnsi="Arial" w:cs="Arial"/>
          <w:sz w:val="22"/>
          <w:szCs w:val="22"/>
          <w:lang w:val="es-EC"/>
        </w:rPr>
        <w:t>Considerando el comportamiento del PIB, el cual registra etapas o regímenes de expansión y recesión, se estima la probabilidad latente de una expansión económica mediante un modelo de series de tiempo no lineal Markov-switching</w:t>
      </w:r>
      <w:r w:rsidR="00462C90" w:rsidRPr="00F85253">
        <w:rPr>
          <w:rStyle w:val="FootnoteReference"/>
          <w:rFonts w:ascii="Arial" w:hAnsi="Arial" w:cs="Arial"/>
          <w:sz w:val="22"/>
          <w:szCs w:val="22"/>
          <w:lang w:val="es-ES_tradnl"/>
        </w:rPr>
        <w:footnoteReference w:id="39"/>
      </w:r>
      <w:r w:rsidR="00E9763A" w:rsidRPr="00F85253">
        <w:rPr>
          <w:rFonts w:ascii="Arial" w:hAnsi="Arial" w:cs="Arial"/>
          <w:sz w:val="22"/>
          <w:szCs w:val="22"/>
          <w:lang w:val="es-EC"/>
        </w:rPr>
        <w:t xml:space="preserve">, el cual es utilizado </w:t>
      </w:r>
      <w:r w:rsidR="00AA02DF" w:rsidRPr="00F85253">
        <w:rPr>
          <w:rFonts w:ascii="Arial" w:hAnsi="Arial" w:cs="Arial"/>
          <w:sz w:val="22"/>
          <w:szCs w:val="22"/>
          <w:lang w:val="es-EC"/>
        </w:rPr>
        <w:t>en casos que</w:t>
      </w:r>
      <w:r w:rsidR="00E9763A" w:rsidRPr="00F85253">
        <w:rPr>
          <w:rFonts w:ascii="Arial" w:hAnsi="Arial" w:cs="Arial"/>
          <w:sz w:val="22"/>
          <w:szCs w:val="22"/>
          <w:lang w:val="es-EC"/>
        </w:rPr>
        <w:t xml:space="preserve"> las series de tiempo involucran múltiples regímenes. </w:t>
      </w:r>
      <w:r w:rsidR="00AA02DF" w:rsidRPr="00F85253">
        <w:rPr>
          <w:rFonts w:ascii="Arial" w:hAnsi="Arial" w:cs="Arial"/>
          <w:sz w:val="22"/>
          <w:szCs w:val="22"/>
          <w:lang w:val="es-ES_tradnl"/>
        </w:rPr>
        <w:t xml:space="preserve">La probabilidad estimada del modelo Markov-switching, es proyectada al futuro mediante un modelo Autoregresivo de orden seis, el cual captura la etapa de consolidación económica (año y medio). </w:t>
      </w:r>
    </w:p>
    <w:p w14:paraId="4789C571" w14:textId="77777777" w:rsidR="00D665D8" w:rsidRPr="00F85253" w:rsidRDefault="00D665D8" w:rsidP="000B2BC8">
      <w:pPr>
        <w:pStyle w:val="Paragraph"/>
        <w:tabs>
          <w:tab w:val="num" w:pos="1800"/>
          <w:tab w:val="num" w:pos="2196"/>
        </w:tabs>
        <w:spacing w:before="0" w:after="0" w:line="276" w:lineRule="auto"/>
        <w:outlineLvl w:val="9"/>
        <w:rPr>
          <w:rFonts w:ascii="Arial" w:hAnsi="Arial" w:cs="Arial"/>
          <w:sz w:val="22"/>
          <w:szCs w:val="22"/>
          <w:lang w:val="es-ES_tradnl"/>
        </w:rPr>
      </w:pPr>
    </w:p>
    <w:p w14:paraId="0B6857A5" w14:textId="77777777" w:rsidR="00815DFD" w:rsidRPr="00F85253" w:rsidRDefault="00AA02DF" w:rsidP="002543DC">
      <w:pPr>
        <w:pStyle w:val="Paragraph"/>
        <w:tabs>
          <w:tab w:val="num" w:pos="1800"/>
          <w:tab w:val="num" w:pos="2196"/>
        </w:tabs>
        <w:spacing w:before="0" w:after="0" w:line="276" w:lineRule="auto"/>
        <w:ind w:left="720"/>
        <w:outlineLvl w:val="9"/>
        <w:rPr>
          <w:rFonts w:ascii="Arial" w:hAnsi="Arial" w:cs="Arial"/>
          <w:sz w:val="22"/>
          <w:szCs w:val="22"/>
          <w:lang w:val="es-ES_tradnl"/>
        </w:rPr>
      </w:pPr>
      <w:r w:rsidRPr="00F85253">
        <w:rPr>
          <w:rFonts w:ascii="Arial" w:hAnsi="Arial" w:cs="Arial"/>
          <w:sz w:val="22"/>
          <w:szCs w:val="22"/>
          <w:lang w:val="es-ES_tradnl"/>
        </w:rPr>
        <w:t>Por último, m</w:t>
      </w:r>
      <w:r w:rsidR="000E4345" w:rsidRPr="00F85253">
        <w:rPr>
          <w:rFonts w:ascii="Arial" w:hAnsi="Arial" w:cs="Arial"/>
          <w:sz w:val="22"/>
          <w:szCs w:val="22"/>
          <w:lang w:val="es-ES_tradnl"/>
        </w:rPr>
        <w:t>ediante un</w:t>
      </w:r>
      <w:r w:rsidRPr="00F85253">
        <w:rPr>
          <w:rFonts w:ascii="Arial" w:hAnsi="Arial" w:cs="Arial"/>
          <w:sz w:val="22"/>
          <w:szCs w:val="22"/>
          <w:lang w:val="es-ES_tradnl"/>
        </w:rPr>
        <w:t xml:space="preserve"> Modelo de Vector de Corrección de Errores</w:t>
      </w:r>
      <w:r w:rsidR="000E4345" w:rsidRPr="00F85253">
        <w:rPr>
          <w:rFonts w:ascii="Arial" w:hAnsi="Arial" w:cs="Arial"/>
          <w:sz w:val="22"/>
          <w:szCs w:val="22"/>
          <w:lang w:val="es-ES_tradnl"/>
        </w:rPr>
        <w:t xml:space="preserve"> </w:t>
      </w:r>
      <w:r w:rsidR="001E7D7B" w:rsidRPr="00F85253">
        <w:rPr>
          <w:rFonts w:ascii="Arial" w:hAnsi="Arial" w:cs="Arial"/>
          <w:sz w:val="22"/>
          <w:szCs w:val="22"/>
          <w:lang w:val="es-ES_tradnl"/>
        </w:rPr>
        <w:t>(</w:t>
      </w:r>
      <w:r w:rsidR="000E4345" w:rsidRPr="00F85253">
        <w:rPr>
          <w:rFonts w:ascii="Arial" w:hAnsi="Arial" w:cs="Arial"/>
          <w:sz w:val="22"/>
          <w:szCs w:val="22"/>
          <w:lang w:val="es-ES_tradnl"/>
        </w:rPr>
        <w:t>VEC</w:t>
      </w:r>
      <w:r w:rsidR="001E7D7B" w:rsidRPr="00F85253">
        <w:rPr>
          <w:rFonts w:ascii="Arial" w:hAnsi="Arial" w:cs="Arial"/>
          <w:sz w:val="22"/>
          <w:szCs w:val="22"/>
          <w:lang w:val="es-ES_tradnl"/>
        </w:rPr>
        <w:t>)</w:t>
      </w:r>
      <w:r w:rsidRPr="00F85253">
        <w:rPr>
          <w:rFonts w:ascii="Arial" w:hAnsi="Arial" w:cs="Arial"/>
          <w:sz w:val="22"/>
          <w:szCs w:val="22"/>
          <w:lang w:val="es-ES_tradnl"/>
        </w:rPr>
        <w:t xml:space="preserve">, el cual considera como variable exógena la probabilidad estimada de expansión económica, se proyectan </w:t>
      </w:r>
      <w:r w:rsidR="00815DFD" w:rsidRPr="00F85253">
        <w:rPr>
          <w:rFonts w:ascii="Arial" w:hAnsi="Arial" w:cs="Arial"/>
          <w:sz w:val="22"/>
          <w:szCs w:val="22"/>
          <w:lang w:val="es-ES_tradnl"/>
        </w:rPr>
        <w:t>al 202</w:t>
      </w:r>
      <w:r w:rsidR="005304B2" w:rsidRPr="00F85253">
        <w:rPr>
          <w:rFonts w:ascii="Arial" w:hAnsi="Arial" w:cs="Arial"/>
          <w:sz w:val="22"/>
          <w:szCs w:val="22"/>
          <w:lang w:val="es-ES_tradnl"/>
        </w:rPr>
        <w:t>8</w:t>
      </w:r>
      <w:r w:rsidR="00815DFD" w:rsidRPr="00F85253">
        <w:rPr>
          <w:rFonts w:ascii="Arial" w:hAnsi="Arial" w:cs="Arial"/>
          <w:sz w:val="22"/>
          <w:szCs w:val="22"/>
          <w:lang w:val="es-ES_tradnl"/>
        </w:rPr>
        <w:t xml:space="preserve"> </w:t>
      </w:r>
      <w:r w:rsidRPr="00F85253">
        <w:rPr>
          <w:rFonts w:ascii="Arial" w:hAnsi="Arial" w:cs="Arial"/>
          <w:sz w:val="22"/>
          <w:szCs w:val="22"/>
          <w:lang w:val="es-ES_tradnl"/>
        </w:rPr>
        <w:t xml:space="preserve">las cuentas de </w:t>
      </w:r>
      <w:r w:rsidR="00410D73" w:rsidRPr="00F85253">
        <w:rPr>
          <w:rFonts w:ascii="Arial" w:hAnsi="Arial" w:cs="Arial"/>
          <w:sz w:val="22"/>
          <w:szCs w:val="22"/>
          <w:lang w:val="es-ES_tradnl"/>
        </w:rPr>
        <w:t>e</w:t>
      </w:r>
      <w:r w:rsidRPr="00F85253">
        <w:rPr>
          <w:rFonts w:ascii="Arial" w:hAnsi="Arial" w:cs="Arial"/>
          <w:sz w:val="22"/>
          <w:szCs w:val="22"/>
          <w:lang w:val="es-ES_tradnl"/>
        </w:rPr>
        <w:t xml:space="preserve">gresos </w:t>
      </w:r>
      <w:r w:rsidR="00410D73" w:rsidRPr="00F85253">
        <w:rPr>
          <w:rFonts w:ascii="Arial" w:hAnsi="Arial" w:cs="Arial"/>
          <w:sz w:val="22"/>
          <w:szCs w:val="22"/>
          <w:lang w:val="es-ES_tradnl"/>
        </w:rPr>
        <w:t>o</w:t>
      </w:r>
      <w:r w:rsidRPr="00F85253">
        <w:rPr>
          <w:rFonts w:ascii="Arial" w:hAnsi="Arial" w:cs="Arial"/>
          <w:sz w:val="22"/>
          <w:szCs w:val="22"/>
          <w:lang w:val="es-ES_tradnl"/>
        </w:rPr>
        <w:t xml:space="preserve">peracionales de </w:t>
      </w:r>
      <w:r w:rsidR="00410D73" w:rsidRPr="00F85253">
        <w:rPr>
          <w:rFonts w:ascii="Arial" w:hAnsi="Arial" w:cs="Arial"/>
          <w:sz w:val="22"/>
          <w:szCs w:val="22"/>
          <w:lang w:val="es-ES_tradnl"/>
        </w:rPr>
        <w:t>s</w:t>
      </w:r>
      <w:r w:rsidRPr="00F85253">
        <w:rPr>
          <w:rFonts w:ascii="Arial" w:hAnsi="Arial" w:cs="Arial"/>
          <w:sz w:val="22"/>
          <w:szCs w:val="22"/>
          <w:lang w:val="es-ES_tradnl"/>
        </w:rPr>
        <w:t xml:space="preserve">ueldos (incluido el aporte del IESS), </w:t>
      </w:r>
      <w:r w:rsidR="00410D73" w:rsidRPr="00F85253">
        <w:rPr>
          <w:rFonts w:ascii="Arial" w:hAnsi="Arial" w:cs="Arial"/>
          <w:sz w:val="22"/>
          <w:szCs w:val="22"/>
          <w:lang w:val="es-ES_tradnl"/>
        </w:rPr>
        <w:t>c</w:t>
      </w:r>
      <w:r w:rsidRPr="00F85253">
        <w:rPr>
          <w:rFonts w:ascii="Arial" w:hAnsi="Arial" w:cs="Arial"/>
          <w:sz w:val="22"/>
          <w:szCs w:val="22"/>
          <w:lang w:val="es-ES_tradnl"/>
        </w:rPr>
        <w:t xml:space="preserve">ompra de </w:t>
      </w:r>
      <w:r w:rsidR="00410D73" w:rsidRPr="00F85253">
        <w:rPr>
          <w:rFonts w:ascii="Arial" w:hAnsi="Arial" w:cs="Arial"/>
          <w:sz w:val="22"/>
          <w:szCs w:val="22"/>
          <w:lang w:val="es-ES_tradnl"/>
        </w:rPr>
        <w:t>b</w:t>
      </w:r>
      <w:r w:rsidRPr="00F85253">
        <w:rPr>
          <w:rFonts w:ascii="Arial" w:hAnsi="Arial" w:cs="Arial"/>
          <w:sz w:val="22"/>
          <w:szCs w:val="22"/>
          <w:lang w:val="es-ES_tradnl"/>
        </w:rPr>
        <w:t xml:space="preserve">ienes y </w:t>
      </w:r>
      <w:r w:rsidR="00410D73" w:rsidRPr="00F85253">
        <w:rPr>
          <w:rFonts w:ascii="Arial" w:hAnsi="Arial" w:cs="Arial"/>
          <w:sz w:val="22"/>
          <w:szCs w:val="22"/>
          <w:lang w:val="es-ES_tradnl"/>
        </w:rPr>
        <w:t>s</w:t>
      </w:r>
      <w:r w:rsidRPr="00F85253">
        <w:rPr>
          <w:rFonts w:ascii="Arial" w:hAnsi="Arial" w:cs="Arial"/>
          <w:sz w:val="22"/>
          <w:szCs w:val="22"/>
          <w:lang w:val="es-ES_tradnl"/>
        </w:rPr>
        <w:t xml:space="preserve">ervicios; y, </w:t>
      </w:r>
      <w:r w:rsidR="00410D73" w:rsidRPr="00F85253">
        <w:rPr>
          <w:rFonts w:ascii="Arial" w:hAnsi="Arial" w:cs="Arial"/>
          <w:sz w:val="22"/>
          <w:szCs w:val="22"/>
          <w:lang w:val="es-ES_tradnl"/>
        </w:rPr>
        <w:t>e</w:t>
      </w:r>
      <w:r w:rsidRPr="00F85253">
        <w:rPr>
          <w:rFonts w:ascii="Arial" w:hAnsi="Arial" w:cs="Arial"/>
          <w:sz w:val="22"/>
          <w:szCs w:val="22"/>
          <w:lang w:val="es-ES_tradnl"/>
        </w:rPr>
        <w:t xml:space="preserve">gresos de </w:t>
      </w:r>
      <w:r w:rsidR="00410D73" w:rsidRPr="00F85253">
        <w:rPr>
          <w:rFonts w:ascii="Arial" w:hAnsi="Arial" w:cs="Arial"/>
          <w:sz w:val="22"/>
          <w:szCs w:val="22"/>
          <w:lang w:val="es-ES_tradnl"/>
        </w:rPr>
        <w:t>c</w:t>
      </w:r>
      <w:r w:rsidRPr="00F85253">
        <w:rPr>
          <w:rFonts w:ascii="Arial" w:hAnsi="Arial" w:cs="Arial"/>
          <w:sz w:val="22"/>
          <w:szCs w:val="22"/>
          <w:lang w:val="es-ES_tradnl"/>
        </w:rPr>
        <w:t>apital</w:t>
      </w:r>
      <w:r w:rsidR="00815DFD" w:rsidRPr="00F85253">
        <w:rPr>
          <w:rFonts w:ascii="Arial" w:hAnsi="Arial" w:cs="Arial"/>
          <w:sz w:val="22"/>
          <w:szCs w:val="22"/>
          <w:lang w:val="es-ES_tradnl"/>
        </w:rPr>
        <w:t>.</w:t>
      </w:r>
    </w:p>
    <w:p w14:paraId="3CF71561" w14:textId="77777777" w:rsidR="00D665D8" w:rsidRPr="00F85253" w:rsidRDefault="00D665D8" w:rsidP="000B2BC8">
      <w:pPr>
        <w:pStyle w:val="Paragraph"/>
        <w:tabs>
          <w:tab w:val="num" w:pos="2196"/>
        </w:tabs>
        <w:spacing w:before="0" w:after="0" w:line="276" w:lineRule="auto"/>
        <w:ind w:left="720"/>
        <w:outlineLvl w:val="9"/>
        <w:rPr>
          <w:rFonts w:ascii="Arial" w:hAnsi="Arial" w:cs="Arial"/>
          <w:sz w:val="22"/>
          <w:szCs w:val="22"/>
          <w:lang w:val="es-ES_tradnl"/>
        </w:rPr>
      </w:pPr>
    </w:p>
    <w:p w14:paraId="6DFC0C2B" w14:textId="216A2845" w:rsidR="00815DFD" w:rsidRPr="00F85253" w:rsidRDefault="005304B2" w:rsidP="002543DC">
      <w:pPr>
        <w:pStyle w:val="Paragraph"/>
        <w:numPr>
          <w:ilvl w:val="1"/>
          <w:numId w:val="2"/>
        </w:numPr>
        <w:tabs>
          <w:tab w:val="clear" w:pos="1296"/>
          <w:tab w:val="num" w:pos="720"/>
          <w:tab w:val="num" w:pos="1800"/>
          <w:tab w:val="num" w:pos="2196"/>
        </w:tabs>
        <w:spacing w:before="0" w:after="0" w:line="276" w:lineRule="auto"/>
        <w:ind w:left="720" w:hanging="720"/>
        <w:outlineLvl w:val="9"/>
        <w:rPr>
          <w:rFonts w:ascii="Arial" w:hAnsi="Arial" w:cs="Arial"/>
          <w:sz w:val="22"/>
          <w:szCs w:val="22"/>
          <w:lang w:val="es-ES_tradnl"/>
        </w:rPr>
      </w:pPr>
      <w:r w:rsidRPr="00F85253">
        <w:rPr>
          <w:rFonts w:ascii="Arial" w:hAnsi="Arial" w:cs="Arial"/>
          <w:sz w:val="22"/>
          <w:szCs w:val="22"/>
          <w:lang w:val="es-ES_tradnl"/>
        </w:rPr>
        <w:t>Las cuentas proyectadas al 2028</w:t>
      </w:r>
      <w:r w:rsidR="00815DFD" w:rsidRPr="00F85253">
        <w:rPr>
          <w:rFonts w:ascii="Arial" w:hAnsi="Arial" w:cs="Arial"/>
          <w:sz w:val="22"/>
          <w:szCs w:val="22"/>
          <w:lang w:val="es-ES_tradnl"/>
        </w:rPr>
        <w:t xml:space="preserve"> son utilizadas para estimar los beneficios</w:t>
      </w:r>
      <w:r w:rsidR="001E7D7B" w:rsidRPr="00F85253">
        <w:rPr>
          <w:rFonts w:ascii="Arial" w:hAnsi="Arial" w:cs="Arial"/>
          <w:sz w:val="22"/>
          <w:szCs w:val="22"/>
          <w:lang w:val="es-ES_tradnl"/>
        </w:rPr>
        <w:t xml:space="preserve">, los cuales </w:t>
      </w:r>
      <w:r w:rsidR="00815DFD" w:rsidRPr="00F85253">
        <w:rPr>
          <w:rFonts w:ascii="Arial" w:hAnsi="Arial" w:cs="Arial"/>
          <w:sz w:val="22"/>
          <w:szCs w:val="22"/>
          <w:lang w:val="es-ES_tradnl"/>
        </w:rPr>
        <w:t xml:space="preserve">se definen como los ahorros, por costos evitados, generados por la desvinculación del personal en </w:t>
      </w:r>
      <w:r w:rsidR="0023565F" w:rsidRPr="00F85253">
        <w:rPr>
          <w:rFonts w:ascii="Arial" w:hAnsi="Arial" w:cs="Arial"/>
          <w:sz w:val="22"/>
          <w:szCs w:val="22"/>
          <w:lang w:val="es-ES_tradnl"/>
        </w:rPr>
        <w:t>EEPP</w:t>
      </w:r>
      <w:r w:rsidR="00815DFD" w:rsidRPr="00F85253">
        <w:rPr>
          <w:rFonts w:ascii="Arial" w:hAnsi="Arial" w:cs="Arial"/>
          <w:sz w:val="22"/>
          <w:szCs w:val="22"/>
          <w:lang w:val="es-ES_tradnl"/>
        </w:rPr>
        <w:t>, el ahorro por la mejora en transparencia; y, el ahorro por mayor eficiencia</w:t>
      </w:r>
      <w:r w:rsidR="0021627C" w:rsidRPr="00F85253">
        <w:rPr>
          <w:rFonts w:ascii="Arial" w:hAnsi="Arial" w:cs="Arial"/>
          <w:sz w:val="22"/>
          <w:szCs w:val="22"/>
          <w:lang w:val="es-ES_tradnl"/>
        </w:rPr>
        <w:t>,</w:t>
      </w:r>
      <w:r w:rsidR="00815DFD" w:rsidRPr="00F85253">
        <w:rPr>
          <w:rFonts w:ascii="Arial" w:hAnsi="Arial" w:cs="Arial"/>
          <w:sz w:val="22"/>
          <w:szCs w:val="22"/>
          <w:lang w:val="es-ES_tradnl"/>
        </w:rPr>
        <w:t xml:space="preserve"> debido a la fusión de las empresas públicas petroleras. </w:t>
      </w:r>
    </w:p>
    <w:p w14:paraId="796BB6F8" w14:textId="77777777" w:rsidR="00D665D8" w:rsidRPr="00F85253" w:rsidRDefault="00D665D8" w:rsidP="000B2BC8">
      <w:pPr>
        <w:pStyle w:val="Paragraph"/>
        <w:tabs>
          <w:tab w:val="num" w:pos="2196"/>
        </w:tabs>
        <w:spacing w:before="0" w:after="0" w:line="276" w:lineRule="auto"/>
        <w:ind w:left="720"/>
        <w:outlineLvl w:val="9"/>
        <w:rPr>
          <w:rFonts w:ascii="Arial" w:hAnsi="Arial" w:cs="Arial"/>
          <w:sz w:val="22"/>
          <w:szCs w:val="22"/>
          <w:lang w:val="es-ES_tradnl"/>
        </w:rPr>
      </w:pPr>
    </w:p>
    <w:p w14:paraId="345730EB" w14:textId="2ACA47B2" w:rsidR="00286BDB" w:rsidRPr="00F85253" w:rsidRDefault="00FB67B6" w:rsidP="002543DC">
      <w:pPr>
        <w:pStyle w:val="Paragraph"/>
        <w:numPr>
          <w:ilvl w:val="1"/>
          <w:numId w:val="2"/>
        </w:numPr>
        <w:tabs>
          <w:tab w:val="clear" w:pos="1296"/>
          <w:tab w:val="num" w:pos="720"/>
          <w:tab w:val="num" w:pos="1800"/>
          <w:tab w:val="num" w:pos="2196"/>
        </w:tabs>
        <w:spacing w:before="0" w:after="0" w:line="276" w:lineRule="auto"/>
        <w:ind w:left="720" w:hanging="720"/>
        <w:outlineLvl w:val="9"/>
        <w:rPr>
          <w:rFonts w:ascii="Arial" w:hAnsi="Arial" w:cs="Arial"/>
          <w:sz w:val="22"/>
          <w:szCs w:val="22"/>
          <w:lang w:val="es-ES_tradnl"/>
        </w:rPr>
      </w:pPr>
      <w:r w:rsidRPr="00F85253">
        <w:rPr>
          <w:rFonts w:ascii="Arial" w:hAnsi="Arial" w:cs="Arial"/>
          <w:sz w:val="22"/>
          <w:szCs w:val="22"/>
          <w:lang w:val="es-ES_tradnl"/>
        </w:rPr>
        <w:t>S</w:t>
      </w:r>
      <w:r w:rsidRPr="00F85253">
        <w:rPr>
          <w:rFonts w:ascii="Arial" w:hAnsi="Arial" w:cs="Arial"/>
          <w:color w:val="000000" w:themeColor="text1"/>
          <w:sz w:val="22"/>
          <w:szCs w:val="22"/>
          <w:lang w:val="es-ES_tradnl"/>
        </w:rPr>
        <w:t>e</w:t>
      </w:r>
      <w:r w:rsidR="00925249" w:rsidRPr="00F85253">
        <w:rPr>
          <w:rFonts w:ascii="Arial" w:hAnsi="Arial" w:cs="Arial"/>
          <w:sz w:val="22"/>
          <w:szCs w:val="22"/>
          <w:lang w:val="es-ES_tradnl"/>
        </w:rPr>
        <w:t xml:space="preserve"> espera que la</w:t>
      </w:r>
      <w:r w:rsidRPr="00F85253">
        <w:rPr>
          <w:rFonts w:ascii="Arial" w:hAnsi="Arial" w:cs="Arial"/>
          <w:sz w:val="22"/>
          <w:szCs w:val="22"/>
          <w:lang w:val="es-ES_tradnl"/>
        </w:rPr>
        <w:t xml:space="preserve"> </w:t>
      </w:r>
      <w:r w:rsidRPr="00F85253">
        <w:rPr>
          <w:rFonts w:ascii="Arial" w:hAnsi="Arial" w:cs="Arial"/>
          <w:b/>
          <w:sz w:val="22"/>
          <w:szCs w:val="22"/>
          <w:lang w:val="es-ES_tradnl"/>
        </w:rPr>
        <w:t>desvinculaci</w:t>
      </w:r>
      <w:r w:rsidR="00925249" w:rsidRPr="00F85253">
        <w:rPr>
          <w:rFonts w:ascii="Arial" w:hAnsi="Arial" w:cs="Arial"/>
          <w:b/>
          <w:sz w:val="22"/>
          <w:szCs w:val="22"/>
          <w:lang w:val="es-ES_tradnl"/>
        </w:rPr>
        <w:t>ón</w:t>
      </w:r>
      <w:r w:rsidRPr="00F85253">
        <w:rPr>
          <w:rFonts w:ascii="Arial" w:hAnsi="Arial" w:cs="Arial"/>
          <w:b/>
          <w:sz w:val="22"/>
          <w:szCs w:val="22"/>
          <w:lang w:val="es-ES_tradnl"/>
        </w:rPr>
        <w:t xml:space="preserve"> de personal</w:t>
      </w:r>
      <w:r w:rsidRPr="00F85253">
        <w:rPr>
          <w:rFonts w:ascii="Arial" w:hAnsi="Arial" w:cs="Arial"/>
          <w:sz w:val="22"/>
          <w:szCs w:val="22"/>
          <w:lang w:val="es-ES_tradnl"/>
        </w:rPr>
        <w:t xml:space="preserve"> </w:t>
      </w:r>
      <w:r w:rsidR="001458A1" w:rsidRPr="00F85253">
        <w:rPr>
          <w:rFonts w:ascii="Arial" w:hAnsi="Arial" w:cs="Arial"/>
          <w:sz w:val="22"/>
          <w:szCs w:val="22"/>
          <w:lang w:val="es-ES_tradnl"/>
        </w:rPr>
        <w:t xml:space="preserve">en las </w:t>
      </w:r>
      <w:r w:rsidR="00410D73" w:rsidRPr="00F85253">
        <w:rPr>
          <w:rFonts w:ascii="Arial" w:hAnsi="Arial" w:cs="Arial"/>
          <w:sz w:val="22"/>
          <w:szCs w:val="22"/>
          <w:lang w:val="es-ES_tradnl"/>
        </w:rPr>
        <w:t>e</w:t>
      </w:r>
      <w:r w:rsidR="001458A1" w:rsidRPr="00F85253">
        <w:rPr>
          <w:rFonts w:ascii="Arial" w:hAnsi="Arial" w:cs="Arial"/>
          <w:sz w:val="22"/>
          <w:szCs w:val="22"/>
          <w:lang w:val="es-ES_tradnl"/>
        </w:rPr>
        <w:t xml:space="preserve">mpresas </w:t>
      </w:r>
      <w:r w:rsidR="00410D73" w:rsidRPr="00F85253">
        <w:rPr>
          <w:rFonts w:ascii="Arial" w:hAnsi="Arial" w:cs="Arial"/>
          <w:sz w:val="22"/>
          <w:szCs w:val="22"/>
          <w:lang w:val="es-ES_tradnl"/>
        </w:rPr>
        <w:t>p</w:t>
      </w:r>
      <w:r w:rsidR="001458A1" w:rsidRPr="00F85253">
        <w:rPr>
          <w:rFonts w:ascii="Arial" w:hAnsi="Arial" w:cs="Arial"/>
          <w:sz w:val="22"/>
          <w:szCs w:val="22"/>
          <w:lang w:val="es-ES_tradnl"/>
        </w:rPr>
        <w:t>úblicas gener</w:t>
      </w:r>
      <w:r w:rsidR="00925249" w:rsidRPr="00F85253">
        <w:rPr>
          <w:rFonts w:ascii="Arial" w:hAnsi="Arial" w:cs="Arial"/>
          <w:sz w:val="22"/>
          <w:szCs w:val="22"/>
          <w:lang w:val="es-ES_tradnl"/>
        </w:rPr>
        <w:t>e</w:t>
      </w:r>
      <w:r w:rsidRPr="00F85253">
        <w:rPr>
          <w:rFonts w:ascii="Arial" w:hAnsi="Arial" w:cs="Arial"/>
          <w:sz w:val="22"/>
          <w:szCs w:val="22"/>
          <w:lang w:val="es-ES_tradnl"/>
        </w:rPr>
        <w:t xml:space="preserve"> un ahorro. </w:t>
      </w:r>
      <w:r w:rsidR="00880CD5" w:rsidRPr="00F85253">
        <w:rPr>
          <w:rFonts w:ascii="Arial" w:hAnsi="Arial" w:cs="Arial"/>
          <w:sz w:val="22"/>
          <w:szCs w:val="22"/>
          <w:lang w:val="es-ES_tradnl"/>
        </w:rPr>
        <w:t xml:space="preserve">EMCO dispuso el ajuste en 10% de la nómina de talento humano en </w:t>
      </w:r>
      <w:r w:rsidR="0023565F" w:rsidRPr="00F85253">
        <w:rPr>
          <w:rFonts w:ascii="Arial" w:hAnsi="Arial" w:cs="Arial"/>
          <w:sz w:val="22"/>
          <w:szCs w:val="22"/>
          <w:lang w:val="es-ES_tradnl"/>
        </w:rPr>
        <w:t>EEPP</w:t>
      </w:r>
      <w:r w:rsidR="00AE5D04" w:rsidRPr="00F85253">
        <w:rPr>
          <w:rFonts w:ascii="Arial" w:hAnsi="Arial" w:cs="Arial"/>
          <w:sz w:val="22"/>
          <w:szCs w:val="22"/>
          <w:lang w:val="es-ES_tradnl"/>
        </w:rPr>
        <w:t>.</w:t>
      </w:r>
      <w:r w:rsidR="00880CD5" w:rsidRPr="00F85253">
        <w:rPr>
          <w:rFonts w:ascii="Arial" w:hAnsi="Arial" w:cs="Arial"/>
          <w:sz w:val="22"/>
          <w:szCs w:val="22"/>
          <w:lang w:val="es-ES_tradnl"/>
        </w:rPr>
        <w:t xml:space="preserve"> La decisión se enmarca en el Decreto Ejecutivo No. 135, con el objetivo de optimizar y reducir el gasto público</w:t>
      </w:r>
      <w:r w:rsidR="00880CD5" w:rsidRPr="00F85253">
        <w:rPr>
          <w:rStyle w:val="FootnoteReference"/>
          <w:rFonts w:ascii="Arial" w:hAnsi="Arial" w:cs="Arial"/>
          <w:sz w:val="22"/>
          <w:szCs w:val="22"/>
          <w:lang w:val="es-ES_tradnl"/>
        </w:rPr>
        <w:footnoteReference w:id="40"/>
      </w:r>
      <w:r w:rsidR="00925249" w:rsidRPr="00F85253">
        <w:rPr>
          <w:rFonts w:ascii="Arial" w:hAnsi="Arial" w:cs="Arial"/>
          <w:sz w:val="22"/>
          <w:szCs w:val="22"/>
          <w:lang w:val="es-ES_tradnl"/>
        </w:rPr>
        <w:t xml:space="preserve">. </w:t>
      </w:r>
      <w:r w:rsidR="00B53FB7" w:rsidRPr="00F85253">
        <w:rPr>
          <w:rFonts w:ascii="Arial" w:hAnsi="Arial" w:cs="Arial"/>
          <w:sz w:val="22"/>
          <w:szCs w:val="22"/>
          <w:lang w:val="es-ES_tradnl"/>
        </w:rPr>
        <w:t>El</w:t>
      </w:r>
      <w:r w:rsidR="00612A48" w:rsidRPr="00F85253">
        <w:rPr>
          <w:rFonts w:ascii="Arial" w:hAnsi="Arial" w:cs="Arial"/>
          <w:sz w:val="22"/>
          <w:szCs w:val="22"/>
          <w:lang w:val="es-ES_tradnl"/>
        </w:rPr>
        <w:t xml:space="preserve"> </w:t>
      </w:r>
      <w:r w:rsidR="00836E94" w:rsidRPr="00F85253">
        <w:rPr>
          <w:rFonts w:ascii="Arial" w:hAnsi="Arial" w:cs="Arial"/>
          <w:sz w:val="22"/>
          <w:szCs w:val="22"/>
          <w:lang w:val="es-ES_tradnl"/>
        </w:rPr>
        <w:t xml:space="preserve">monto </w:t>
      </w:r>
      <w:r w:rsidR="00612A48" w:rsidRPr="00F85253">
        <w:rPr>
          <w:rFonts w:ascii="Arial" w:hAnsi="Arial" w:cs="Arial"/>
          <w:sz w:val="22"/>
          <w:szCs w:val="22"/>
          <w:lang w:val="es-ES_tradnl"/>
        </w:rPr>
        <w:t>del ahorro por</w:t>
      </w:r>
      <w:r w:rsidR="00836E94" w:rsidRPr="00F85253">
        <w:rPr>
          <w:rFonts w:ascii="Arial" w:hAnsi="Arial" w:cs="Arial"/>
          <w:sz w:val="22"/>
          <w:szCs w:val="22"/>
          <w:lang w:val="es-ES_tradnl"/>
        </w:rPr>
        <w:t xml:space="preserve"> la</w:t>
      </w:r>
      <w:r w:rsidR="00612A48" w:rsidRPr="00F85253">
        <w:rPr>
          <w:rFonts w:ascii="Arial" w:hAnsi="Arial" w:cs="Arial"/>
          <w:sz w:val="22"/>
          <w:szCs w:val="22"/>
          <w:lang w:val="es-ES_tradnl"/>
        </w:rPr>
        <w:t xml:space="preserve"> </w:t>
      </w:r>
      <w:r w:rsidR="00836E94" w:rsidRPr="00F85253">
        <w:rPr>
          <w:rFonts w:ascii="Arial" w:hAnsi="Arial" w:cs="Arial"/>
          <w:sz w:val="22"/>
          <w:szCs w:val="22"/>
          <w:lang w:val="es-ES_tradnl"/>
        </w:rPr>
        <w:t xml:space="preserve">desvinculación </w:t>
      </w:r>
      <w:r w:rsidR="00880CD5" w:rsidRPr="00F85253">
        <w:rPr>
          <w:rFonts w:ascii="Arial" w:hAnsi="Arial" w:cs="Arial"/>
          <w:sz w:val="22"/>
          <w:szCs w:val="22"/>
          <w:lang w:val="es-ES_tradnl"/>
        </w:rPr>
        <w:t xml:space="preserve">de personal en </w:t>
      </w:r>
      <w:r w:rsidR="0023565F" w:rsidRPr="00F85253">
        <w:rPr>
          <w:rFonts w:ascii="Arial" w:hAnsi="Arial" w:cs="Arial"/>
          <w:sz w:val="22"/>
          <w:szCs w:val="22"/>
          <w:lang w:val="es-ES_tradnl"/>
        </w:rPr>
        <w:t>EEPP</w:t>
      </w:r>
      <w:r w:rsidR="00612A48" w:rsidRPr="00F85253">
        <w:rPr>
          <w:rFonts w:ascii="Arial" w:hAnsi="Arial" w:cs="Arial"/>
          <w:sz w:val="22"/>
          <w:szCs w:val="22"/>
          <w:lang w:val="es-ES_tradnl"/>
        </w:rPr>
        <w:t xml:space="preserve"> fue proporcionado por el </w:t>
      </w:r>
      <w:r w:rsidR="00925249" w:rsidRPr="00F85253">
        <w:rPr>
          <w:rFonts w:ascii="Arial" w:hAnsi="Arial" w:cs="Arial"/>
          <w:sz w:val="22"/>
          <w:szCs w:val="22"/>
          <w:lang w:val="es-ES_tradnl"/>
        </w:rPr>
        <w:t>MEF</w:t>
      </w:r>
      <w:r w:rsidR="00612A48" w:rsidRPr="00F85253">
        <w:rPr>
          <w:rFonts w:ascii="Arial" w:hAnsi="Arial" w:cs="Arial"/>
          <w:sz w:val="22"/>
          <w:szCs w:val="22"/>
          <w:lang w:val="es-ES_tradnl"/>
        </w:rPr>
        <w:t>.</w:t>
      </w:r>
      <w:r w:rsidR="00836E94" w:rsidRPr="00F85253">
        <w:rPr>
          <w:rFonts w:ascii="Arial" w:hAnsi="Arial" w:cs="Arial"/>
          <w:sz w:val="22"/>
          <w:szCs w:val="22"/>
          <w:lang w:val="es-ES_tradnl"/>
        </w:rPr>
        <w:t xml:space="preserve"> Se estima que el ahorro total anual por desvinculaciones es de USD 108 millones, de los cuales, el valor proporcional al financiamiento del BID</w:t>
      </w:r>
      <w:r w:rsidR="00836E94" w:rsidRPr="00F85253">
        <w:rPr>
          <w:rStyle w:val="FootnoteReference"/>
          <w:rFonts w:ascii="Arial" w:hAnsi="Arial" w:cs="Arial"/>
          <w:sz w:val="22"/>
          <w:szCs w:val="22"/>
          <w:lang w:val="es-ES_tradnl"/>
        </w:rPr>
        <w:footnoteReference w:id="41"/>
      </w:r>
      <w:r w:rsidR="00836E94" w:rsidRPr="00F85253">
        <w:rPr>
          <w:rFonts w:ascii="Arial" w:hAnsi="Arial" w:cs="Arial"/>
          <w:sz w:val="22"/>
          <w:szCs w:val="22"/>
          <w:lang w:val="es-ES_tradnl"/>
        </w:rPr>
        <w:t xml:space="preserve"> es de USD 27 millones. Es decir, el programa del BID genera un beneficio (ahorro) anual por desvinculaciones de USD 27 millones.</w:t>
      </w:r>
      <w:r w:rsidR="00925249" w:rsidRPr="00F85253">
        <w:rPr>
          <w:rFonts w:ascii="Arial" w:hAnsi="Arial" w:cs="Arial"/>
          <w:sz w:val="22"/>
          <w:szCs w:val="22"/>
          <w:lang w:val="es-ES_tradnl"/>
        </w:rPr>
        <w:t xml:space="preserve"> </w:t>
      </w:r>
    </w:p>
    <w:p w14:paraId="0FFC85B6" w14:textId="77777777" w:rsidR="00D665D8" w:rsidRPr="00F85253" w:rsidRDefault="00D665D8" w:rsidP="000B2BC8">
      <w:pPr>
        <w:pStyle w:val="Paragraph"/>
        <w:tabs>
          <w:tab w:val="num" w:pos="2196"/>
        </w:tabs>
        <w:spacing w:before="0" w:after="0" w:line="276" w:lineRule="auto"/>
        <w:ind w:left="720"/>
        <w:outlineLvl w:val="9"/>
        <w:rPr>
          <w:rFonts w:ascii="Arial" w:hAnsi="Arial" w:cs="Arial"/>
          <w:sz w:val="22"/>
          <w:szCs w:val="22"/>
          <w:lang w:val="es-ES_tradnl"/>
        </w:rPr>
      </w:pPr>
    </w:p>
    <w:p w14:paraId="65A23E87" w14:textId="309D3F53" w:rsidR="00585B68" w:rsidRPr="00F85253" w:rsidRDefault="0021627C" w:rsidP="002543DC">
      <w:pPr>
        <w:pStyle w:val="Paragraph"/>
        <w:numPr>
          <w:ilvl w:val="1"/>
          <w:numId w:val="2"/>
        </w:numPr>
        <w:tabs>
          <w:tab w:val="clear" w:pos="1296"/>
          <w:tab w:val="num" w:pos="720"/>
          <w:tab w:val="num" w:pos="1800"/>
          <w:tab w:val="num" w:pos="2196"/>
        </w:tabs>
        <w:spacing w:before="0" w:after="0" w:line="276" w:lineRule="auto"/>
        <w:ind w:left="720" w:hanging="720"/>
        <w:outlineLvl w:val="9"/>
        <w:rPr>
          <w:rFonts w:ascii="Arial" w:hAnsi="Arial" w:cs="Arial"/>
          <w:sz w:val="22"/>
          <w:szCs w:val="22"/>
          <w:lang w:val="es-ES_tradnl"/>
        </w:rPr>
      </w:pPr>
      <w:r w:rsidRPr="00F85253">
        <w:rPr>
          <w:rFonts w:ascii="Arial" w:hAnsi="Arial" w:cs="Arial"/>
          <w:sz w:val="22"/>
          <w:szCs w:val="22"/>
          <w:lang w:val="es-ES_tradnl"/>
        </w:rPr>
        <w:t>Se asume</w:t>
      </w:r>
      <w:r w:rsidR="000578B0" w:rsidRPr="00F85253">
        <w:rPr>
          <w:rFonts w:ascii="Arial" w:hAnsi="Arial" w:cs="Arial"/>
          <w:sz w:val="22"/>
          <w:szCs w:val="22"/>
          <w:lang w:val="es-ES_tradnl"/>
        </w:rPr>
        <w:t xml:space="preserve"> </w:t>
      </w:r>
      <w:r w:rsidR="002E242C" w:rsidRPr="00F85253">
        <w:rPr>
          <w:rFonts w:ascii="Arial" w:hAnsi="Arial" w:cs="Arial"/>
          <w:sz w:val="22"/>
          <w:szCs w:val="22"/>
          <w:lang w:val="es-ES_tradnl"/>
        </w:rPr>
        <w:t>que con un mayor porcentaje de e</w:t>
      </w:r>
      <w:r w:rsidR="000578B0" w:rsidRPr="00F85253">
        <w:rPr>
          <w:rFonts w:ascii="Arial" w:hAnsi="Arial" w:cs="Arial"/>
          <w:sz w:val="22"/>
          <w:szCs w:val="22"/>
          <w:lang w:val="es-ES_tradnl"/>
        </w:rPr>
        <w:t xml:space="preserve">mpresas </w:t>
      </w:r>
      <w:r w:rsidR="002E242C" w:rsidRPr="00F85253">
        <w:rPr>
          <w:rFonts w:ascii="Arial" w:hAnsi="Arial" w:cs="Arial"/>
          <w:sz w:val="22"/>
          <w:szCs w:val="22"/>
          <w:lang w:val="es-ES_tradnl"/>
        </w:rPr>
        <w:t>p</w:t>
      </w:r>
      <w:r w:rsidR="000578B0" w:rsidRPr="00F85253">
        <w:rPr>
          <w:rFonts w:ascii="Arial" w:hAnsi="Arial" w:cs="Arial"/>
          <w:sz w:val="22"/>
          <w:szCs w:val="22"/>
          <w:lang w:val="es-ES_tradnl"/>
        </w:rPr>
        <w:t>úblicas alineadas a los principios de Gobe</w:t>
      </w:r>
      <w:r w:rsidR="001672C4" w:rsidRPr="00F85253">
        <w:rPr>
          <w:rFonts w:ascii="Arial" w:hAnsi="Arial" w:cs="Arial"/>
          <w:sz w:val="22"/>
          <w:szCs w:val="22"/>
          <w:lang w:val="es-ES_tradnl"/>
        </w:rPr>
        <w:t>rnanza Corporativa de la OECD,</w:t>
      </w:r>
      <w:r w:rsidR="000578B0" w:rsidRPr="00F85253">
        <w:rPr>
          <w:rFonts w:ascii="Arial" w:hAnsi="Arial" w:cs="Arial"/>
          <w:sz w:val="22"/>
          <w:szCs w:val="22"/>
          <w:lang w:val="es-ES_tradnl"/>
        </w:rPr>
        <w:t xml:space="preserve"> con estados financieros auditados</w:t>
      </w:r>
      <w:r w:rsidR="002B4EAF" w:rsidRPr="00F85253">
        <w:rPr>
          <w:rFonts w:ascii="Arial" w:hAnsi="Arial" w:cs="Arial"/>
          <w:sz w:val="22"/>
          <w:szCs w:val="22"/>
          <w:lang w:val="es-ES_tradnl"/>
        </w:rPr>
        <w:t>,</w:t>
      </w:r>
      <w:r w:rsidR="000578B0" w:rsidRPr="00F85253">
        <w:rPr>
          <w:rFonts w:ascii="Arial" w:hAnsi="Arial" w:cs="Arial"/>
          <w:sz w:val="22"/>
          <w:szCs w:val="22"/>
          <w:lang w:val="es-ES_tradnl"/>
        </w:rPr>
        <w:t xml:space="preserve"> </w:t>
      </w:r>
      <w:r w:rsidR="002E242C" w:rsidRPr="00F85253">
        <w:rPr>
          <w:rFonts w:ascii="Arial" w:hAnsi="Arial" w:cs="Arial"/>
          <w:sz w:val="22"/>
          <w:szCs w:val="22"/>
          <w:lang w:val="es-ES_tradnl"/>
        </w:rPr>
        <w:t>y certificado</w:t>
      </w:r>
      <w:r w:rsidR="001672C4" w:rsidRPr="00F85253">
        <w:rPr>
          <w:rFonts w:ascii="Arial" w:hAnsi="Arial" w:cs="Arial"/>
          <w:sz w:val="22"/>
          <w:szCs w:val="22"/>
          <w:lang w:val="es-ES_tradnl"/>
        </w:rPr>
        <w:t xml:space="preserve"> ISO-37001, </w:t>
      </w:r>
      <w:r w:rsidR="00A304BF" w:rsidRPr="00F85253">
        <w:rPr>
          <w:rFonts w:ascii="Arial" w:hAnsi="Arial" w:cs="Arial"/>
          <w:sz w:val="22"/>
          <w:szCs w:val="22"/>
          <w:lang w:val="es-ES_tradnl"/>
        </w:rPr>
        <w:t>existirá</w:t>
      </w:r>
      <w:r w:rsidR="00585B68" w:rsidRPr="00F85253">
        <w:rPr>
          <w:rFonts w:ascii="Arial" w:hAnsi="Arial" w:cs="Arial"/>
          <w:sz w:val="22"/>
          <w:szCs w:val="22"/>
          <w:lang w:val="es-ES_tradnl"/>
        </w:rPr>
        <w:t xml:space="preserve"> </w:t>
      </w:r>
      <w:r w:rsidR="00585B68" w:rsidRPr="00F85253">
        <w:rPr>
          <w:rFonts w:ascii="Arial" w:hAnsi="Arial" w:cs="Arial"/>
          <w:b/>
          <w:sz w:val="22"/>
          <w:szCs w:val="22"/>
          <w:lang w:val="es-ES_tradnl"/>
        </w:rPr>
        <w:t xml:space="preserve">mayor </w:t>
      </w:r>
      <w:r w:rsidR="000578B0" w:rsidRPr="00F85253">
        <w:rPr>
          <w:rFonts w:ascii="Arial" w:hAnsi="Arial" w:cs="Arial"/>
          <w:b/>
          <w:sz w:val="22"/>
          <w:szCs w:val="22"/>
          <w:lang w:val="es-ES_tradnl"/>
        </w:rPr>
        <w:t xml:space="preserve">transparencia en las </w:t>
      </w:r>
      <w:r w:rsidR="0023565F" w:rsidRPr="00F85253">
        <w:rPr>
          <w:rFonts w:ascii="Arial" w:hAnsi="Arial" w:cs="Arial"/>
          <w:b/>
          <w:sz w:val="22"/>
          <w:szCs w:val="22"/>
          <w:lang w:val="es-ES_tradnl"/>
        </w:rPr>
        <w:t>EEPP</w:t>
      </w:r>
      <w:r w:rsidR="002E242C" w:rsidRPr="00F85253">
        <w:rPr>
          <w:rFonts w:ascii="Arial" w:hAnsi="Arial" w:cs="Arial"/>
          <w:b/>
          <w:sz w:val="22"/>
          <w:szCs w:val="22"/>
          <w:lang w:val="es-ES_tradnl"/>
        </w:rPr>
        <w:t>.</w:t>
      </w:r>
      <w:r w:rsidR="000578B0" w:rsidRPr="00F85253">
        <w:rPr>
          <w:rFonts w:ascii="Arial" w:hAnsi="Arial" w:cs="Arial"/>
          <w:sz w:val="22"/>
          <w:szCs w:val="22"/>
          <w:lang w:val="es-ES_tradnl"/>
        </w:rPr>
        <w:t xml:space="preserve"> La falta de transparencia genera costos adicionales en la adquisición de bienes y </w:t>
      </w:r>
      <w:r w:rsidR="000578B0" w:rsidRPr="00F85253">
        <w:rPr>
          <w:rFonts w:ascii="Arial" w:hAnsi="Arial" w:cs="Arial"/>
          <w:sz w:val="22"/>
          <w:szCs w:val="22"/>
          <w:lang w:val="es-ES_tradnl"/>
        </w:rPr>
        <w:lastRenderedPageBreak/>
        <w:t xml:space="preserve">servicios en el Sector Público. </w:t>
      </w:r>
      <w:r w:rsidR="00947CF6" w:rsidRPr="00F85253">
        <w:rPr>
          <w:rFonts w:ascii="Arial" w:hAnsi="Arial" w:cs="Arial"/>
          <w:sz w:val="22"/>
          <w:szCs w:val="22"/>
          <w:lang w:val="es-ES_tradnl"/>
        </w:rPr>
        <w:t>Por ende, se asume que l</w:t>
      </w:r>
      <w:r w:rsidR="002B4EAF" w:rsidRPr="00F85253">
        <w:rPr>
          <w:rFonts w:ascii="Arial" w:hAnsi="Arial" w:cs="Arial"/>
          <w:sz w:val="22"/>
          <w:szCs w:val="22"/>
          <w:lang w:val="es-ES_tradnl"/>
        </w:rPr>
        <w:t xml:space="preserve">a implementación del programa </w:t>
      </w:r>
      <w:r w:rsidR="00947CF6" w:rsidRPr="00F85253">
        <w:rPr>
          <w:rFonts w:ascii="Arial" w:hAnsi="Arial" w:cs="Arial"/>
          <w:sz w:val="22"/>
          <w:szCs w:val="22"/>
          <w:lang w:val="es-ES_tradnl"/>
        </w:rPr>
        <w:t>genera</w:t>
      </w:r>
      <w:r w:rsidR="00583E05" w:rsidRPr="00F85253">
        <w:rPr>
          <w:rFonts w:ascii="Arial" w:hAnsi="Arial" w:cs="Arial"/>
          <w:sz w:val="22"/>
          <w:szCs w:val="22"/>
          <w:lang w:val="es-ES_tradnl"/>
        </w:rPr>
        <w:t>rá</w:t>
      </w:r>
      <w:r w:rsidR="00947CF6" w:rsidRPr="00F85253">
        <w:rPr>
          <w:rFonts w:ascii="Arial" w:hAnsi="Arial" w:cs="Arial"/>
          <w:sz w:val="22"/>
          <w:szCs w:val="22"/>
          <w:lang w:val="es-ES_tradnl"/>
        </w:rPr>
        <w:t xml:space="preserve"> </w:t>
      </w:r>
      <w:r w:rsidR="00A7179A" w:rsidRPr="00F85253">
        <w:rPr>
          <w:rFonts w:ascii="Arial" w:hAnsi="Arial" w:cs="Arial"/>
          <w:sz w:val="22"/>
          <w:szCs w:val="22"/>
          <w:lang w:val="es-ES_tradnl"/>
        </w:rPr>
        <w:t>ahorros</w:t>
      </w:r>
      <w:r w:rsidR="002B4EAF" w:rsidRPr="00F85253">
        <w:rPr>
          <w:rFonts w:ascii="Arial" w:hAnsi="Arial" w:cs="Arial"/>
          <w:sz w:val="22"/>
          <w:szCs w:val="22"/>
          <w:lang w:val="es-ES_tradnl"/>
        </w:rPr>
        <w:t xml:space="preserve">, por costos evitados, debido a la mejora en la transparencia. </w:t>
      </w:r>
      <w:r w:rsidR="00947CF6" w:rsidRPr="00F85253">
        <w:rPr>
          <w:rFonts w:ascii="Arial" w:hAnsi="Arial" w:cs="Arial"/>
          <w:sz w:val="22"/>
          <w:szCs w:val="22"/>
          <w:lang w:val="es-ES_tradnl"/>
        </w:rPr>
        <w:t>La OECD</w:t>
      </w:r>
      <w:r w:rsidR="00947CF6" w:rsidRPr="00F85253">
        <w:rPr>
          <w:rStyle w:val="FootnoteReference"/>
          <w:rFonts w:ascii="Arial" w:hAnsi="Arial" w:cs="Arial"/>
          <w:sz w:val="22"/>
          <w:szCs w:val="22"/>
          <w:lang w:val="es-ES_tradnl"/>
        </w:rPr>
        <w:footnoteReference w:id="42"/>
      </w:r>
      <w:r w:rsidR="00947CF6" w:rsidRPr="00F85253">
        <w:rPr>
          <w:rFonts w:ascii="Arial" w:hAnsi="Arial" w:cs="Arial"/>
          <w:sz w:val="22"/>
          <w:szCs w:val="22"/>
          <w:lang w:val="es-ES_tradnl"/>
        </w:rPr>
        <w:t xml:space="preserve"> estimó el porcentaje de los sobornos, respecto al valor total de la transacción, en diferentes industrias, que </w:t>
      </w:r>
      <w:r w:rsidR="00A304BF" w:rsidRPr="00F85253">
        <w:rPr>
          <w:rFonts w:ascii="Arial" w:hAnsi="Arial" w:cs="Arial"/>
          <w:sz w:val="22"/>
          <w:szCs w:val="22"/>
          <w:lang w:val="es-ES_tradnl"/>
        </w:rPr>
        <w:t>representan</w:t>
      </w:r>
      <w:r w:rsidR="00947CF6" w:rsidRPr="00F85253">
        <w:rPr>
          <w:rFonts w:ascii="Arial" w:hAnsi="Arial" w:cs="Arial"/>
          <w:sz w:val="22"/>
          <w:szCs w:val="22"/>
          <w:lang w:val="es-ES_tradnl"/>
        </w:rPr>
        <w:t xml:space="preserve"> costos adicionales en la adquisición de bienes y servicios. </w:t>
      </w:r>
      <w:r w:rsidR="00A304BF" w:rsidRPr="00F85253">
        <w:rPr>
          <w:rFonts w:ascii="Arial" w:hAnsi="Arial" w:cs="Arial"/>
          <w:sz w:val="22"/>
          <w:szCs w:val="22"/>
          <w:lang w:val="es-ES_tradnl"/>
        </w:rPr>
        <w:t>Conforme</w:t>
      </w:r>
      <w:r w:rsidR="00583E05" w:rsidRPr="00F85253">
        <w:rPr>
          <w:rFonts w:ascii="Arial" w:hAnsi="Arial" w:cs="Arial"/>
          <w:sz w:val="22"/>
          <w:szCs w:val="22"/>
          <w:lang w:val="es-ES_tradnl"/>
        </w:rPr>
        <w:t xml:space="preserve"> a</w:t>
      </w:r>
      <w:r w:rsidR="00A304BF" w:rsidRPr="00F85253">
        <w:rPr>
          <w:rFonts w:ascii="Arial" w:hAnsi="Arial" w:cs="Arial"/>
          <w:sz w:val="22"/>
          <w:szCs w:val="22"/>
          <w:lang w:val="es-ES_tradnl"/>
        </w:rPr>
        <w:t xml:space="preserve"> los valores de la OECE, el ahorro en los valores de las adquisiciones en</w:t>
      </w:r>
      <w:r w:rsidR="000578B0" w:rsidRPr="00F85253">
        <w:rPr>
          <w:rFonts w:ascii="Arial" w:hAnsi="Arial" w:cs="Arial"/>
          <w:sz w:val="22"/>
          <w:szCs w:val="22"/>
          <w:lang w:val="es-ES_tradnl"/>
        </w:rPr>
        <w:t xml:space="preserve"> ausencia de </w:t>
      </w:r>
      <w:proofErr w:type="gramStart"/>
      <w:r w:rsidR="000578B0" w:rsidRPr="00F85253">
        <w:rPr>
          <w:rFonts w:ascii="Arial" w:hAnsi="Arial" w:cs="Arial"/>
          <w:sz w:val="22"/>
          <w:szCs w:val="22"/>
          <w:lang w:val="es-ES_tradnl"/>
        </w:rPr>
        <w:t>corrupción,</w:t>
      </w:r>
      <w:proofErr w:type="gramEnd"/>
      <w:r w:rsidR="000578B0" w:rsidRPr="00F85253">
        <w:rPr>
          <w:rFonts w:ascii="Arial" w:hAnsi="Arial" w:cs="Arial"/>
          <w:sz w:val="22"/>
          <w:szCs w:val="22"/>
          <w:lang w:val="es-ES_tradnl"/>
        </w:rPr>
        <w:t xml:space="preserve"> es 1</w:t>
      </w:r>
      <w:r w:rsidR="00C408C7" w:rsidRPr="00F85253">
        <w:rPr>
          <w:rFonts w:ascii="Arial" w:hAnsi="Arial" w:cs="Arial"/>
          <w:sz w:val="22"/>
          <w:szCs w:val="22"/>
          <w:lang w:val="es-ES_tradnl"/>
        </w:rPr>
        <w:t>9</w:t>
      </w:r>
      <w:r w:rsidR="000578B0" w:rsidRPr="00F85253">
        <w:rPr>
          <w:rFonts w:ascii="Arial" w:hAnsi="Arial" w:cs="Arial"/>
          <w:sz w:val="22"/>
          <w:szCs w:val="22"/>
          <w:lang w:val="es-ES_tradnl"/>
        </w:rPr>
        <w:t>.</w:t>
      </w:r>
      <w:r w:rsidR="00C408C7" w:rsidRPr="00F85253">
        <w:rPr>
          <w:rFonts w:ascii="Arial" w:hAnsi="Arial" w:cs="Arial"/>
          <w:sz w:val="22"/>
          <w:szCs w:val="22"/>
          <w:lang w:val="es-ES_tradnl"/>
        </w:rPr>
        <w:t>5</w:t>
      </w:r>
      <w:r w:rsidR="000578B0" w:rsidRPr="00F85253">
        <w:rPr>
          <w:rFonts w:ascii="Arial" w:hAnsi="Arial" w:cs="Arial"/>
          <w:sz w:val="22"/>
          <w:szCs w:val="22"/>
          <w:lang w:val="es-ES_tradnl"/>
        </w:rPr>
        <w:t>%</w:t>
      </w:r>
      <w:r w:rsidR="00D61781" w:rsidRPr="00F85253">
        <w:rPr>
          <w:rStyle w:val="FootnoteReference"/>
          <w:rFonts w:ascii="Arial" w:hAnsi="Arial" w:cs="Arial"/>
          <w:sz w:val="22"/>
          <w:szCs w:val="22"/>
          <w:lang w:val="es-ES_tradnl"/>
        </w:rPr>
        <w:footnoteReference w:id="43"/>
      </w:r>
      <w:r w:rsidR="000578B0" w:rsidRPr="00F85253">
        <w:rPr>
          <w:rFonts w:ascii="Arial" w:hAnsi="Arial" w:cs="Arial"/>
          <w:sz w:val="22"/>
          <w:szCs w:val="22"/>
          <w:lang w:val="es-ES_tradnl"/>
        </w:rPr>
        <w:t xml:space="preserve">. </w:t>
      </w:r>
    </w:p>
    <w:p w14:paraId="1C45AFB7" w14:textId="77777777" w:rsidR="00D665D8" w:rsidRPr="00F85253" w:rsidRDefault="00D665D8" w:rsidP="000B2BC8">
      <w:pPr>
        <w:pStyle w:val="Paragraph"/>
        <w:tabs>
          <w:tab w:val="num" w:pos="720"/>
          <w:tab w:val="num" w:pos="1800"/>
          <w:tab w:val="num" w:pos="2196"/>
        </w:tabs>
        <w:spacing w:before="0" w:after="0" w:line="276" w:lineRule="auto"/>
        <w:outlineLvl w:val="9"/>
        <w:rPr>
          <w:rFonts w:ascii="Arial" w:hAnsi="Arial" w:cs="Arial"/>
          <w:sz w:val="22"/>
          <w:szCs w:val="22"/>
          <w:lang w:val="es-ES_tradnl"/>
        </w:rPr>
      </w:pPr>
    </w:p>
    <w:p w14:paraId="2358FD1A" w14:textId="1B931CBC" w:rsidR="00583E05" w:rsidRPr="00F85253" w:rsidRDefault="00583E05" w:rsidP="00583E05">
      <w:pPr>
        <w:pStyle w:val="Paragraph"/>
        <w:tabs>
          <w:tab w:val="num" w:pos="720"/>
          <w:tab w:val="num" w:pos="1800"/>
          <w:tab w:val="num" w:pos="2196"/>
        </w:tabs>
        <w:spacing w:before="0" w:after="0" w:line="276" w:lineRule="auto"/>
        <w:ind w:left="720"/>
        <w:outlineLvl w:val="9"/>
        <w:rPr>
          <w:rFonts w:ascii="Arial" w:hAnsi="Arial" w:cs="Arial"/>
          <w:sz w:val="22"/>
          <w:szCs w:val="22"/>
          <w:lang w:val="es-ES_tradnl"/>
        </w:rPr>
      </w:pPr>
      <w:r w:rsidRPr="00F85253">
        <w:rPr>
          <w:rFonts w:ascii="Arial" w:hAnsi="Arial" w:cs="Arial"/>
          <w:sz w:val="22"/>
          <w:szCs w:val="22"/>
          <w:lang w:val="es-ES_tradnl"/>
        </w:rPr>
        <w:t xml:space="preserve">Por otro lado, según el Informe global de la corrupción 2009, de la </w:t>
      </w:r>
      <w:r w:rsidRPr="00F85253">
        <w:rPr>
          <w:rFonts w:ascii="Arial" w:hAnsi="Arial" w:cs="Arial"/>
          <w:i/>
          <w:sz w:val="22"/>
          <w:szCs w:val="22"/>
          <w:lang w:val="es-ES_tradnl"/>
        </w:rPr>
        <w:t>Transparency International Organization</w:t>
      </w:r>
      <w:r w:rsidRPr="00F85253">
        <w:rPr>
          <w:rFonts w:ascii="Arial" w:hAnsi="Arial" w:cs="Arial"/>
          <w:sz w:val="22"/>
          <w:szCs w:val="22"/>
          <w:lang w:val="es-ES_tradnl"/>
        </w:rPr>
        <w:t>, en países emergentes</w:t>
      </w:r>
      <w:r w:rsidR="0086261A" w:rsidRPr="00F85253">
        <w:rPr>
          <w:rStyle w:val="FootnoteReference"/>
          <w:rFonts w:ascii="Arial" w:hAnsi="Arial" w:cs="Arial"/>
          <w:sz w:val="22"/>
          <w:szCs w:val="22"/>
          <w:lang w:val="es-ES_tradnl"/>
        </w:rPr>
        <w:footnoteReference w:id="44"/>
      </w:r>
      <w:r w:rsidRPr="00F85253">
        <w:rPr>
          <w:rFonts w:ascii="Arial" w:hAnsi="Arial" w:cs="Arial"/>
          <w:sz w:val="22"/>
          <w:szCs w:val="22"/>
          <w:lang w:val="es-ES_tradnl"/>
        </w:rPr>
        <w:t xml:space="preserve"> “las compañías con programas anticorrupción y pautas éticas, según se ha comprobado, sufren hasta un 50% menos de incidentes de corrupción”. Para los países emergentes, en promedio, el Índice de percepción de la corrupción IPC</w:t>
      </w:r>
      <w:r w:rsidR="008C5F87" w:rsidRPr="00F85253">
        <w:rPr>
          <w:rStyle w:val="FootnoteReference"/>
          <w:rFonts w:ascii="Arial" w:hAnsi="Arial" w:cs="Arial"/>
          <w:sz w:val="22"/>
          <w:szCs w:val="22"/>
          <w:lang w:val="es-ES_tradnl"/>
        </w:rPr>
        <w:footnoteReference w:id="45"/>
      </w:r>
      <w:r w:rsidR="00A7179A" w:rsidRPr="00F85253">
        <w:rPr>
          <w:rFonts w:ascii="Arial" w:hAnsi="Arial" w:cs="Arial"/>
          <w:sz w:val="22"/>
          <w:szCs w:val="22"/>
          <w:lang w:val="es-ES_tradnl"/>
        </w:rPr>
        <w:t xml:space="preserve"> </w:t>
      </w:r>
      <w:r w:rsidRPr="00F85253">
        <w:rPr>
          <w:rFonts w:ascii="Arial" w:hAnsi="Arial" w:cs="Arial"/>
          <w:sz w:val="22"/>
          <w:szCs w:val="22"/>
          <w:lang w:val="es-ES_tradnl"/>
        </w:rPr>
        <w:t>es de 36.57</w:t>
      </w:r>
      <w:r w:rsidR="007A5506" w:rsidRPr="00F85253">
        <w:rPr>
          <w:rFonts w:ascii="Arial" w:hAnsi="Arial" w:cs="Arial"/>
          <w:sz w:val="22"/>
          <w:szCs w:val="22"/>
          <w:lang w:val="es-ES_tradnl"/>
        </w:rPr>
        <w:t xml:space="preserve"> puntos</w:t>
      </w:r>
      <w:r w:rsidRPr="00F85253">
        <w:rPr>
          <w:rFonts w:ascii="Arial" w:hAnsi="Arial" w:cs="Arial"/>
          <w:sz w:val="22"/>
          <w:szCs w:val="22"/>
          <w:lang w:val="es-ES_tradnl"/>
        </w:rPr>
        <w:t xml:space="preserve">, y para Ecuador es de 32.71. Por ende, proporcionalmente, se asume que si en Ecuador, se implementan programas anticorrupción y pautas éticas, se puede ahorrar un 45% del costo de la corrupción (19.5%). Es decir, los costos evitados por la mejora en transparencia se obtienen de multiplicar la cuenta proyectada de egresos operacionales de compra de bienes y servicios de las </w:t>
      </w:r>
      <w:r w:rsidR="0023565F" w:rsidRPr="00F85253">
        <w:rPr>
          <w:rFonts w:ascii="Arial" w:hAnsi="Arial" w:cs="Arial"/>
          <w:sz w:val="22"/>
          <w:szCs w:val="22"/>
          <w:lang w:val="es-ES_tradnl"/>
        </w:rPr>
        <w:t>EEPP</w:t>
      </w:r>
      <w:r w:rsidR="002E242C" w:rsidRPr="00F85253">
        <w:rPr>
          <w:rFonts w:ascii="Arial" w:hAnsi="Arial" w:cs="Arial"/>
          <w:sz w:val="22"/>
          <w:szCs w:val="22"/>
          <w:lang w:val="es-ES_tradnl"/>
        </w:rPr>
        <w:t>,</w:t>
      </w:r>
      <w:r w:rsidRPr="00F85253">
        <w:rPr>
          <w:rFonts w:ascii="Arial" w:hAnsi="Arial" w:cs="Arial"/>
          <w:sz w:val="22"/>
          <w:szCs w:val="22"/>
          <w:lang w:val="es-ES_tradnl"/>
        </w:rPr>
        <w:t xml:space="preserve"> por el porcentaje de ahorro que se espera alcanzar por la mejora en transparencia. Se asume que se puede alcanzar el 45% del 19.5%.</w:t>
      </w:r>
    </w:p>
    <w:p w14:paraId="0F935CBA" w14:textId="77777777" w:rsidR="00583E05" w:rsidRPr="00F85253" w:rsidRDefault="00583E05" w:rsidP="002543DC">
      <w:pPr>
        <w:pStyle w:val="Paragraph"/>
        <w:tabs>
          <w:tab w:val="num" w:pos="720"/>
          <w:tab w:val="num" w:pos="1800"/>
          <w:tab w:val="num" w:pos="2196"/>
        </w:tabs>
        <w:spacing w:before="0" w:after="0" w:line="276" w:lineRule="auto"/>
        <w:ind w:left="720"/>
        <w:outlineLvl w:val="9"/>
        <w:rPr>
          <w:rFonts w:ascii="Arial" w:hAnsi="Arial" w:cs="Arial"/>
          <w:sz w:val="22"/>
          <w:szCs w:val="22"/>
          <w:lang w:val="es-ES_tradnl"/>
        </w:rPr>
      </w:pPr>
    </w:p>
    <w:p w14:paraId="36E72B64" w14:textId="46440043" w:rsidR="00A03EC7" w:rsidRPr="00F85253" w:rsidRDefault="00FB67B6" w:rsidP="00702C1F">
      <w:pPr>
        <w:pStyle w:val="Paragraph"/>
        <w:numPr>
          <w:ilvl w:val="1"/>
          <w:numId w:val="2"/>
        </w:numPr>
        <w:tabs>
          <w:tab w:val="clear" w:pos="1296"/>
          <w:tab w:val="num" w:pos="720"/>
          <w:tab w:val="num" w:pos="1800"/>
          <w:tab w:val="num" w:pos="2196"/>
        </w:tabs>
        <w:spacing w:before="0" w:after="0" w:line="276" w:lineRule="auto"/>
        <w:ind w:left="720" w:hanging="720"/>
        <w:outlineLvl w:val="9"/>
        <w:rPr>
          <w:rFonts w:ascii="Arial" w:hAnsi="Arial" w:cs="Arial"/>
          <w:sz w:val="22"/>
          <w:szCs w:val="22"/>
          <w:lang w:val="es-ES_tradnl"/>
        </w:rPr>
      </w:pPr>
      <w:r w:rsidRPr="00F85253">
        <w:rPr>
          <w:rFonts w:ascii="Arial" w:hAnsi="Arial" w:cs="Arial"/>
          <w:sz w:val="22"/>
          <w:szCs w:val="22"/>
          <w:lang w:val="es-ES_tradnl"/>
        </w:rPr>
        <w:t xml:space="preserve">Se </w:t>
      </w:r>
      <w:r w:rsidR="0021627C" w:rsidRPr="00F85253">
        <w:rPr>
          <w:rFonts w:ascii="Arial" w:hAnsi="Arial" w:cs="Arial"/>
          <w:sz w:val="22"/>
          <w:szCs w:val="22"/>
          <w:lang w:val="es-ES_tradnl"/>
        </w:rPr>
        <w:t>asume</w:t>
      </w:r>
      <w:r w:rsidRPr="00F85253">
        <w:rPr>
          <w:rFonts w:ascii="Arial" w:hAnsi="Arial" w:cs="Arial"/>
          <w:sz w:val="22"/>
          <w:szCs w:val="22"/>
          <w:lang w:val="es-ES_tradnl"/>
        </w:rPr>
        <w:t xml:space="preserve"> que la </w:t>
      </w:r>
      <w:r w:rsidRPr="00F85253">
        <w:rPr>
          <w:rFonts w:ascii="Arial" w:hAnsi="Arial" w:cs="Arial"/>
          <w:b/>
          <w:sz w:val="22"/>
          <w:szCs w:val="22"/>
          <w:lang w:val="es-ES_tradnl"/>
        </w:rPr>
        <w:t xml:space="preserve">fusión de las </w:t>
      </w:r>
      <w:r w:rsidR="0023565F" w:rsidRPr="00F85253">
        <w:rPr>
          <w:rFonts w:ascii="Arial" w:hAnsi="Arial" w:cs="Arial"/>
          <w:b/>
          <w:sz w:val="22"/>
          <w:szCs w:val="22"/>
          <w:lang w:val="es-ES_tradnl"/>
        </w:rPr>
        <w:t>EEPP</w:t>
      </w:r>
      <w:r w:rsidR="005210A8" w:rsidRPr="00F85253">
        <w:rPr>
          <w:rFonts w:ascii="Arial" w:hAnsi="Arial" w:cs="Arial"/>
          <w:b/>
          <w:sz w:val="22"/>
          <w:szCs w:val="22"/>
          <w:lang w:val="es-ES_tradnl"/>
        </w:rPr>
        <w:t xml:space="preserve"> </w:t>
      </w:r>
      <w:r w:rsidRPr="00F85253">
        <w:rPr>
          <w:rFonts w:ascii="Arial" w:hAnsi="Arial" w:cs="Arial"/>
          <w:b/>
          <w:sz w:val="22"/>
          <w:szCs w:val="22"/>
          <w:lang w:val="es-ES_tradnl"/>
        </w:rPr>
        <w:t>petroleras</w:t>
      </w:r>
      <w:r w:rsidR="0021627C" w:rsidRPr="00F85253">
        <w:rPr>
          <w:rFonts w:ascii="Arial" w:hAnsi="Arial" w:cs="Arial"/>
          <w:b/>
          <w:sz w:val="22"/>
          <w:szCs w:val="22"/>
          <w:lang w:val="es-ES_tradnl"/>
        </w:rPr>
        <w:t>:</w:t>
      </w:r>
      <w:r w:rsidR="005210A8" w:rsidRPr="00F85253">
        <w:rPr>
          <w:rFonts w:ascii="Arial" w:hAnsi="Arial" w:cs="Arial"/>
          <w:b/>
          <w:sz w:val="22"/>
          <w:szCs w:val="22"/>
          <w:lang w:val="es-ES_tradnl"/>
        </w:rPr>
        <w:t xml:space="preserve"> Petroecuador y Petroamazonas</w:t>
      </w:r>
      <w:r w:rsidR="0021627C" w:rsidRPr="00F85253">
        <w:rPr>
          <w:rFonts w:ascii="Arial" w:hAnsi="Arial" w:cs="Arial"/>
          <w:sz w:val="22"/>
          <w:szCs w:val="22"/>
          <w:lang w:val="es-ES_tradnl"/>
        </w:rPr>
        <w:t>,</w:t>
      </w:r>
      <w:r w:rsidRPr="00F85253">
        <w:rPr>
          <w:rFonts w:ascii="Arial" w:hAnsi="Arial" w:cs="Arial"/>
          <w:sz w:val="22"/>
          <w:szCs w:val="22"/>
          <w:lang w:val="es-ES_tradnl"/>
        </w:rPr>
        <w:t xml:space="preserve"> gener</w:t>
      </w:r>
      <w:r w:rsidR="001B11DC" w:rsidRPr="00F85253">
        <w:rPr>
          <w:rFonts w:ascii="Arial" w:hAnsi="Arial" w:cs="Arial"/>
          <w:sz w:val="22"/>
          <w:szCs w:val="22"/>
          <w:lang w:val="es-ES_tradnl"/>
        </w:rPr>
        <w:t>a</w:t>
      </w:r>
      <w:r w:rsidR="004460C1" w:rsidRPr="00F85253">
        <w:rPr>
          <w:rFonts w:ascii="Arial" w:hAnsi="Arial" w:cs="Arial"/>
          <w:sz w:val="22"/>
          <w:szCs w:val="22"/>
          <w:lang w:val="es-ES_tradnl"/>
        </w:rPr>
        <w:t>rá</w:t>
      </w:r>
      <w:r w:rsidRPr="00F85253">
        <w:rPr>
          <w:rFonts w:ascii="Arial" w:hAnsi="Arial" w:cs="Arial"/>
          <w:sz w:val="22"/>
          <w:szCs w:val="22"/>
          <w:lang w:val="es-ES_tradnl"/>
        </w:rPr>
        <w:t xml:space="preserve"> ahorros por </w:t>
      </w:r>
      <w:r w:rsidR="00925249" w:rsidRPr="00F85253">
        <w:rPr>
          <w:rFonts w:ascii="Arial" w:hAnsi="Arial" w:cs="Arial"/>
          <w:sz w:val="22"/>
          <w:szCs w:val="22"/>
          <w:lang w:val="es-ES_tradnl"/>
        </w:rPr>
        <w:t xml:space="preserve">la mejora en </w:t>
      </w:r>
      <w:r w:rsidRPr="00F85253">
        <w:rPr>
          <w:rFonts w:ascii="Arial" w:hAnsi="Arial" w:cs="Arial"/>
          <w:sz w:val="22"/>
          <w:szCs w:val="22"/>
          <w:lang w:val="es-ES_tradnl"/>
        </w:rPr>
        <w:t>eficiencia.</w:t>
      </w:r>
      <w:r w:rsidR="004460C1" w:rsidRPr="00F85253">
        <w:rPr>
          <w:rFonts w:ascii="Arial" w:hAnsi="Arial" w:cs="Arial"/>
          <w:sz w:val="22"/>
          <w:szCs w:val="22"/>
          <w:lang w:val="es-ES_tradnl"/>
        </w:rPr>
        <w:t xml:space="preserve"> </w:t>
      </w:r>
      <w:r w:rsidR="00337A35" w:rsidRPr="00F85253">
        <w:rPr>
          <w:rFonts w:ascii="Arial" w:hAnsi="Arial" w:cs="Arial"/>
          <w:sz w:val="22"/>
          <w:szCs w:val="22"/>
          <w:lang w:val="es-ES_tradnl"/>
        </w:rPr>
        <w:t xml:space="preserve">Bradley, Desay, Kim (1988) </w:t>
      </w:r>
      <w:r w:rsidR="001F1A0C" w:rsidRPr="00F85253">
        <w:rPr>
          <w:rFonts w:ascii="Arial" w:hAnsi="Arial" w:cs="Arial"/>
          <w:sz w:val="22"/>
          <w:szCs w:val="22"/>
          <w:lang w:val="es-ES_tradnl"/>
        </w:rPr>
        <w:t>y</w:t>
      </w:r>
      <w:r w:rsidR="00337A35" w:rsidRPr="00F85253">
        <w:rPr>
          <w:rFonts w:ascii="Arial" w:hAnsi="Arial" w:cs="Arial"/>
          <w:sz w:val="22"/>
          <w:szCs w:val="22"/>
          <w:lang w:val="es-ES_tradnl"/>
        </w:rPr>
        <w:t xml:space="preserve"> Andrade, Mitchell</w:t>
      </w:r>
      <w:r w:rsidR="00757FFA" w:rsidRPr="00F85253">
        <w:rPr>
          <w:rFonts w:ascii="Arial" w:hAnsi="Arial" w:cs="Arial"/>
          <w:sz w:val="22"/>
          <w:szCs w:val="22"/>
          <w:lang w:val="es-ES_tradnl"/>
        </w:rPr>
        <w:t>,</w:t>
      </w:r>
      <w:r w:rsidR="00337A35" w:rsidRPr="00F85253">
        <w:rPr>
          <w:rFonts w:ascii="Arial" w:hAnsi="Arial" w:cs="Arial"/>
          <w:sz w:val="22"/>
          <w:szCs w:val="22"/>
          <w:lang w:val="es-ES_tradnl"/>
        </w:rPr>
        <w:t xml:space="preserve"> Stanfford (2001), entre otros, argumentan que las fusiones, en promedio, generan riqueza a las empresas</w:t>
      </w:r>
      <w:r w:rsidR="00337A35" w:rsidRPr="00F85253">
        <w:rPr>
          <w:rStyle w:val="FootnoteReference"/>
          <w:rFonts w:ascii="Arial" w:hAnsi="Arial" w:cs="Arial"/>
          <w:sz w:val="22"/>
          <w:szCs w:val="22"/>
          <w:lang w:val="es-ES_tradnl"/>
        </w:rPr>
        <w:footnoteReference w:id="46"/>
      </w:r>
      <w:r w:rsidR="00337A35" w:rsidRPr="00F85253">
        <w:rPr>
          <w:rFonts w:ascii="Arial" w:hAnsi="Arial" w:cs="Arial"/>
          <w:sz w:val="22"/>
          <w:szCs w:val="22"/>
          <w:lang w:val="es-ES_tradnl"/>
        </w:rPr>
        <w:t xml:space="preserve">. </w:t>
      </w:r>
      <w:r w:rsidR="00697E04" w:rsidRPr="00F85253">
        <w:rPr>
          <w:rFonts w:ascii="Arial" w:hAnsi="Arial" w:cs="Arial"/>
          <w:sz w:val="22"/>
          <w:szCs w:val="22"/>
          <w:lang w:val="es-ES_tradnl"/>
        </w:rPr>
        <w:t>Acorde a los autores, e</w:t>
      </w:r>
      <w:r w:rsidR="00337A35" w:rsidRPr="00F85253">
        <w:rPr>
          <w:rFonts w:ascii="Arial" w:hAnsi="Arial" w:cs="Arial"/>
          <w:sz w:val="22"/>
          <w:szCs w:val="22"/>
          <w:lang w:val="es-ES_tradnl"/>
        </w:rPr>
        <w:t xml:space="preserve">xisten tres posibles fuentes de ganancia: </w:t>
      </w:r>
      <w:r w:rsidR="00A03EC7" w:rsidRPr="00F85253">
        <w:rPr>
          <w:rFonts w:ascii="Arial" w:hAnsi="Arial" w:cs="Arial"/>
          <w:sz w:val="22"/>
          <w:szCs w:val="22"/>
          <w:lang w:val="es-ES_tradnl"/>
        </w:rPr>
        <w:t xml:space="preserve">a) </w:t>
      </w:r>
      <w:r w:rsidR="00337A35" w:rsidRPr="00F85253">
        <w:rPr>
          <w:rFonts w:ascii="Arial" w:hAnsi="Arial" w:cs="Arial"/>
          <w:sz w:val="22"/>
          <w:szCs w:val="22"/>
          <w:lang w:val="es-ES_tradnl"/>
        </w:rPr>
        <w:t xml:space="preserve">eficiencias productivas (aumentando las ganancias operacionales o disminuyendo los gastos en inversión), </w:t>
      </w:r>
      <w:r w:rsidR="00A03EC7" w:rsidRPr="00F85253">
        <w:rPr>
          <w:rFonts w:ascii="Arial" w:hAnsi="Arial" w:cs="Arial"/>
          <w:sz w:val="22"/>
          <w:szCs w:val="22"/>
          <w:lang w:val="es-ES_tradnl"/>
        </w:rPr>
        <w:t>b) ahorro en impuestos;</w:t>
      </w:r>
      <w:r w:rsidR="00337A35" w:rsidRPr="00F85253">
        <w:rPr>
          <w:rFonts w:ascii="Arial" w:hAnsi="Arial" w:cs="Arial"/>
          <w:sz w:val="22"/>
          <w:szCs w:val="22"/>
          <w:lang w:val="es-ES_tradnl"/>
        </w:rPr>
        <w:t xml:space="preserve"> </w:t>
      </w:r>
      <w:r w:rsidR="00A03EC7" w:rsidRPr="00F85253">
        <w:rPr>
          <w:rFonts w:ascii="Arial" w:hAnsi="Arial" w:cs="Arial"/>
          <w:sz w:val="22"/>
          <w:szCs w:val="22"/>
          <w:lang w:val="es-ES_tradnl"/>
        </w:rPr>
        <w:t>y, c)</w:t>
      </w:r>
      <w:r w:rsidR="00337A35" w:rsidRPr="00F85253">
        <w:rPr>
          <w:rFonts w:ascii="Arial" w:hAnsi="Arial" w:cs="Arial"/>
          <w:sz w:val="22"/>
          <w:szCs w:val="22"/>
          <w:lang w:val="es-ES_tradnl"/>
        </w:rPr>
        <w:t xml:space="preserve"> fortalec</w:t>
      </w:r>
      <w:r w:rsidR="00BD7328" w:rsidRPr="00F85253">
        <w:rPr>
          <w:rFonts w:ascii="Arial" w:hAnsi="Arial" w:cs="Arial"/>
          <w:sz w:val="22"/>
          <w:szCs w:val="22"/>
          <w:lang w:val="es-ES_tradnl"/>
        </w:rPr>
        <w:t>imiento</w:t>
      </w:r>
      <w:r w:rsidR="00337A35" w:rsidRPr="00F85253">
        <w:rPr>
          <w:rFonts w:ascii="Arial" w:hAnsi="Arial" w:cs="Arial"/>
          <w:sz w:val="22"/>
          <w:szCs w:val="22"/>
          <w:lang w:val="es-ES_tradnl"/>
        </w:rPr>
        <w:t xml:space="preserve"> </w:t>
      </w:r>
      <w:r w:rsidR="00BD7328" w:rsidRPr="00F85253">
        <w:rPr>
          <w:rFonts w:ascii="Arial" w:hAnsi="Arial" w:cs="Arial"/>
          <w:sz w:val="22"/>
          <w:szCs w:val="22"/>
          <w:lang w:val="es-ES_tradnl"/>
        </w:rPr>
        <w:t>d</w:t>
      </w:r>
      <w:r w:rsidR="00337A35" w:rsidRPr="00F85253">
        <w:rPr>
          <w:rFonts w:ascii="Arial" w:hAnsi="Arial" w:cs="Arial"/>
          <w:sz w:val="22"/>
          <w:szCs w:val="22"/>
          <w:lang w:val="es-ES_tradnl"/>
        </w:rPr>
        <w:t xml:space="preserve">el poder de mercado (aumento de precios al consumidor, o disminución de precio </w:t>
      </w:r>
      <w:r w:rsidR="004E44F3" w:rsidRPr="00F85253">
        <w:rPr>
          <w:rFonts w:ascii="Arial" w:hAnsi="Arial" w:cs="Arial"/>
          <w:sz w:val="22"/>
          <w:szCs w:val="22"/>
          <w:lang w:val="es-ES_tradnl"/>
        </w:rPr>
        <w:t>a</w:t>
      </w:r>
      <w:r w:rsidR="00337A35" w:rsidRPr="00F85253">
        <w:rPr>
          <w:rFonts w:ascii="Arial" w:hAnsi="Arial" w:cs="Arial"/>
          <w:sz w:val="22"/>
          <w:szCs w:val="22"/>
          <w:lang w:val="es-ES_tradnl"/>
        </w:rPr>
        <w:t xml:space="preserve"> proveedores).</w:t>
      </w:r>
      <w:r w:rsidR="00BD7328" w:rsidRPr="00F85253">
        <w:rPr>
          <w:rFonts w:ascii="Arial" w:hAnsi="Arial" w:cs="Arial"/>
          <w:sz w:val="22"/>
          <w:szCs w:val="22"/>
          <w:lang w:val="es-ES_tradnl"/>
        </w:rPr>
        <w:t xml:space="preserve"> Devos et al</w:t>
      </w:r>
      <w:r w:rsidR="00FE7247" w:rsidRPr="00F85253">
        <w:rPr>
          <w:rFonts w:ascii="Arial" w:hAnsi="Arial" w:cs="Arial"/>
          <w:sz w:val="22"/>
          <w:szCs w:val="22"/>
          <w:lang w:val="es-ES_tradnl"/>
        </w:rPr>
        <w:t>.</w:t>
      </w:r>
      <w:r w:rsidR="00BD7328" w:rsidRPr="00F85253">
        <w:rPr>
          <w:rFonts w:ascii="Arial" w:hAnsi="Arial" w:cs="Arial"/>
          <w:sz w:val="22"/>
          <w:szCs w:val="22"/>
          <w:lang w:val="es-ES_tradnl"/>
        </w:rPr>
        <w:t xml:space="preserve"> (2009) estiman las ganancias </w:t>
      </w:r>
      <w:r w:rsidR="00A03EC7" w:rsidRPr="00F85253">
        <w:rPr>
          <w:rFonts w:ascii="Arial" w:hAnsi="Arial" w:cs="Arial"/>
          <w:sz w:val="22"/>
          <w:szCs w:val="22"/>
          <w:lang w:val="es-ES_tradnl"/>
        </w:rPr>
        <w:t>en fusiones, considerando estas tres posibles fuentes</w:t>
      </w:r>
      <w:r w:rsidR="00BD7328" w:rsidRPr="00F85253">
        <w:rPr>
          <w:rStyle w:val="FootnoteReference"/>
          <w:rFonts w:ascii="Arial" w:hAnsi="Arial" w:cs="Arial"/>
          <w:sz w:val="22"/>
          <w:szCs w:val="22"/>
          <w:lang w:val="es-ES_tradnl"/>
        </w:rPr>
        <w:footnoteReference w:id="47"/>
      </w:r>
      <w:r w:rsidR="00FE7247" w:rsidRPr="00F85253">
        <w:rPr>
          <w:rFonts w:ascii="Arial" w:hAnsi="Arial" w:cs="Arial"/>
          <w:sz w:val="22"/>
          <w:szCs w:val="22"/>
          <w:lang w:val="es-ES_tradnl"/>
        </w:rPr>
        <w:t>, sus</w:t>
      </w:r>
      <w:r w:rsidR="00BD7328" w:rsidRPr="00F85253">
        <w:rPr>
          <w:rFonts w:ascii="Arial" w:hAnsi="Arial" w:cs="Arial"/>
          <w:sz w:val="22"/>
          <w:szCs w:val="22"/>
          <w:lang w:val="es-ES_tradnl"/>
        </w:rPr>
        <w:t xml:space="preserve"> resultados muestran que las fusiones generan sinergias principalmente </w:t>
      </w:r>
      <w:r w:rsidR="00763968" w:rsidRPr="00F85253">
        <w:rPr>
          <w:rFonts w:ascii="Arial" w:hAnsi="Arial" w:cs="Arial"/>
          <w:sz w:val="22"/>
          <w:szCs w:val="22"/>
          <w:lang w:val="es-ES_tradnl"/>
        </w:rPr>
        <w:t>en</w:t>
      </w:r>
      <w:r w:rsidR="00BD7328" w:rsidRPr="00F85253">
        <w:rPr>
          <w:rFonts w:ascii="Arial" w:hAnsi="Arial" w:cs="Arial"/>
          <w:sz w:val="22"/>
          <w:szCs w:val="22"/>
          <w:lang w:val="es-ES_tradnl"/>
        </w:rPr>
        <w:t xml:space="preserve"> la reducción en inversiones</w:t>
      </w:r>
      <w:r w:rsidR="008D1244" w:rsidRPr="00F85253">
        <w:rPr>
          <w:rFonts w:ascii="Arial" w:hAnsi="Arial" w:cs="Arial"/>
          <w:sz w:val="22"/>
          <w:szCs w:val="22"/>
          <w:lang w:val="es-ES_tradnl"/>
        </w:rPr>
        <w:t xml:space="preserve"> (eficiencia operativa)</w:t>
      </w:r>
      <w:r w:rsidR="00697E04" w:rsidRPr="00F85253">
        <w:rPr>
          <w:rFonts w:ascii="Arial" w:hAnsi="Arial" w:cs="Arial"/>
          <w:sz w:val="22"/>
          <w:szCs w:val="22"/>
          <w:lang w:val="es-ES_tradnl"/>
        </w:rPr>
        <w:t xml:space="preserve">; </w:t>
      </w:r>
      <w:r w:rsidR="00A03EC7" w:rsidRPr="00F85253">
        <w:rPr>
          <w:rFonts w:ascii="Arial" w:hAnsi="Arial" w:cs="Arial"/>
          <w:sz w:val="22"/>
          <w:szCs w:val="22"/>
          <w:lang w:val="es-ES_tradnl"/>
        </w:rPr>
        <w:t>mientras que</w:t>
      </w:r>
      <w:r w:rsidR="00BD7328" w:rsidRPr="00F85253">
        <w:rPr>
          <w:rFonts w:ascii="Arial" w:hAnsi="Arial" w:cs="Arial"/>
          <w:sz w:val="22"/>
          <w:szCs w:val="22"/>
          <w:lang w:val="es-ES_tradnl"/>
        </w:rPr>
        <w:t>, la sinergia ge</w:t>
      </w:r>
      <w:r w:rsidR="002F05F2" w:rsidRPr="00F85253">
        <w:rPr>
          <w:rFonts w:ascii="Arial" w:hAnsi="Arial" w:cs="Arial"/>
          <w:sz w:val="22"/>
          <w:szCs w:val="22"/>
          <w:lang w:val="es-ES_tradnl"/>
        </w:rPr>
        <w:t>nerada por ahorro en impuestos y</w:t>
      </w:r>
      <w:r w:rsidR="00BD7328" w:rsidRPr="00F85253">
        <w:rPr>
          <w:rFonts w:ascii="Arial" w:hAnsi="Arial" w:cs="Arial"/>
          <w:sz w:val="22"/>
          <w:szCs w:val="22"/>
          <w:lang w:val="es-ES_tradnl"/>
        </w:rPr>
        <w:t xml:space="preserve"> aumento de poder de </w:t>
      </w:r>
      <w:r w:rsidR="00BD7328" w:rsidRPr="00F85253">
        <w:rPr>
          <w:rFonts w:ascii="Arial" w:hAnsi="Arial" w:cs="Arial"/>
          <w:sz w:val="22"/>
          <w:szCs w:val="22"/>
          <w:lang w:val="es-ES_tradnl"/>
        </w:rPr>
        <w:lastRenderedPageBreak/>
        <w:t>mercado no son económicamente significativas</w:t>
      </w:r>
      <w:r w:rsidR="00ED1FBF" w:rsidRPr="00F85253">
        <w:rPr>
          <w:rStyle w:val="FootnoteReference"/>
          <w:rFonts w:ascii="Arial" w:hAnsi="Arial" w:cs="Arial"/>
          <w:sz w:val="22"/>
          <w:szCs w:val="22"/>
          <w:lang w:val="es-ES_tradnl"/>
        </w:rPr>
        <w:footnoteReference w:id="48"/>
      </w:r>
      <w:r w:rsidR="002F05F2" w:rsidRPr="00F85253">
        <w:rPr>
          <w:rFonts w:ascii="Arial" w:hAnsi="Arial" w:cs="Arial"/>
          <w:sz w:val="22"/>
          <w:szCs w:val="22"/>
          <w:lang w:val="es-ES_tradnl"/>
        </w:rPr>
        <w:t>.</w:t>
      </w:r>
      <w:r w:rsidR="000856F1" w:rsidRPr="00F85253">
        <w:rPr>
          <w:rFonts w:ascii="Arial" w:hAnsi="Arial" w:cs="Arial"/>
          <w:sz w:val="22"/>
          <w:szCs w:val="22"/>
          <w:lang w:val="es-ES_tradnl"/>
        </w:rPr>
        <w:t xml:space="preserve"> </w:t>
      </w:r>
      <w:r w:rsidR="002F05F2" w:rsidRPr="00F85253">
        <w:rPr>
          <w:rFonts w:ascii="Arial" w:hAnsi="Arial" w:cs="Arial"/>
          <w:sz w:val="22"/>
          <w:szCs w:val="22"/>
          <w:lang w:val="es-ES_tradnl"/>
        </w:rPr>
        <w:t>Por ende</w:t>
      </w:r>
      <w:r w:rsidR="008D1244" w:rsidRPr="00F85253">
        <w:rPr>
          <w:rFonts w:ascii="Arial" w:hAnsi="Arial" w:cs="Arial"/>
          <w:sz w:val="22"/>
          <w:szCs w:val="22"/>
          <w:lang w:val="es-ES_tradnl"/>
        </w:rPr>
        <w:t xml:space="preserve">, </w:t>
      </w:r>
      <w:r w:rsidR="00A03EC7" w:rsidRPr="00F85253">
        <w:rPr>
          <w:rFonts w:ascii="Arial" w:hAnsi="Arial" w:cs="Arial"/>
          <w:sz w:val="22"/>
          <w:szCs w:val="22"/>
          <w:lang w:val="es-ES_tradnl"/>
        </w:rPr>
        <w:t>los beneficios por impuesto o poder de mercado</w:t>
      </w:r>
      <w:r w:rsidR="00D71553" w:rsidRPr="00F85253">
        <w:rPr>
          <w:rFonts w:ascii="Arial" w:hAnsi="Arial" w:cs="Arial"/>
          <w:sz w:val="22"/>
          <w:szCs w:val="22"/>
          <w:lang w:val="es-ES_tradnl"/>
        </w:rPr>
        <w:t xml:space="preserve"> </w:t>
      </w:r>
      <w:r w:rsidR="008D1244" w:rsidRPr="00F85253">
        <w:rPr>
          <w:rFonts w:ascii="Arial" w:hAnsi="Arial" w:cs="Arial"/>
          <w:sz w:val="22"/>
          <w:szCs w:val="22"/>
          <w:lang w:val="es-ES_tradnl"/>
        </w:rPr>
        <w:t xml:space="preserve">no </w:t>
      </w:r>
      <w:r w:rsidR="00697E04" w:rsidRPr="00F85253">
        <w:rPr>
          <w:rFonts w:ascii="Arial" w:hAnsi="Arial" w:cs="Arial"/>
          <w:sz w:val="22"/>
          <w:szCs w:val="22"/>
          <w:lang w:val="es-ES_tradnl"/>
        </w:rPr>
        <w:t>son</w:t>
      </w:r>
      <w:r w:rsidR="000856F1" w:rsidRPr="00F85253">
        <w:rPr>
          <w:rFonts w:ascii="Arial" w:hAnsi="Arial" w:cs="Arial"/>
          <w:sz w:val="22"/>
          <w:szCs w:val="22"/>
          <w:lang w:val="es-ES_tradnl"/>
        </w:rPr>
        <w:t xml:space="preserve"> considera</w:t>
      </w:r>
      <w:r w:rsidR="00697E04" w:rsidRPr="00F85253">
        <w:rPr>
          <w:rFonts w:ascii="Arial" w:hAnsi="Arial" w:cs="Arial"/>
          <w:sz w:val="22"/>
          <w:szCs w:val="22"/>
          <w:lang w:val="es-ES_tradnl"/>
        </w:rPr>
        <w:t>dos</w:t>
      </w:r>
      <w:r w:rsidR="000856F1" w:rsidRPr="00F85253">
        <w:rPr>
          <w:rFonts w:ascii="Arial" w:hAnsi="Arial" w:cs="Arial"/>
          <w:sz w:val="22"/>
          <w:szCs w:val="22"/>
          <w:lang w:val="es-ES_tradnl"/>
        </w:rPr>
        <w:t xml:space="preserve"> en la cuantificación de los beneficios del programa</w:t>
      </w:r>
      <w:r w:rsidR="00D71553" w:rsidRPr="00F85253">
        <w:rPr>
          <w:rFonts w:ascii="Arial" w:hAnsi="Arial" w:cs="Arial"/>
          <w:sz w:val="22"/>
          <w:szCs w:val="22"/>
          <w:lang w:val="es-ES_tradnl"/>
        </w:rPr>
        <w:t xml:space="preserve"> analizado en el presente documento</w:t>
      </w:r>
      <w:r w:rsidR="002F05F2" w:rsidRPr="00F85253">
        <w:rPr>
          <w:rFonts w:ascii="Arial" w:hAnsi="Arial" w:cs="Arial"/>
          <w:sz w:val="22"/>
          <w:szCs w:val="22"/>
          <w:lang w:val="es-ES_tradnl"/>
        </w:rPr>
        <w:t>; y, se considera únicamente el beneficio por mejora en sinergia operativa</w:t>
      </w:r>
      <w:r w:rsidR="00BD7328" w:rsidRPr="00F85253">
        <w:rPr>
          <w:rFonts w:ascii="Arial" w:hAnsi="Arial" w:cs="Arial"/>
          <w:sz w:val="22"/>
          <w:szCs w:val="22"/>
          <w:lang w:val="es-ES_tradnl"/>
        </w:rPr>
        <w:t xml:space="preserve">. </w:t>
      </w:r>
    </w:p>
    <w:p w14:paraId="72A3B3BD" w14:textId="77777777" w:rsidR="00A03EC7" w:rsidRPr="00F85253" w:rsidRDefault="00A03EC7" w:rsidP="00A03EC7">
      <w:pPr>
        <w:pStyle w:val="Paragraph"/>
        <w:tabs>
          <w:tab w:val="num" w:pos="2196"/>
        </w:tabs>
        <w:spacing w:before="0" w:after="0" w:line="276" w:lineRule="auto"/>
        <w:ind w:left="720"/>
        <w:outlineLvl w:val="9"/>
        <w:rPr>
          <w:rFonts w:ascii="Arial" w:hAnsi="Arial" w:cs="Arial"/>
          <w:sz w:val="22"/>
          <w:szCs w:val="22"/>
          <w:lang w:val="es-ES_tradnl"/>
        </w:rPr>
      </w:pPr>
    </w:p>
    <w:p w14:paraId="72D5145F" w14:textId="41BEAFDD" w:rsidR="001F1A0C" w:rsidRPr="00F85253" w:rsidRDefault="002F05F2" w:rsidP="00A03EC7">
      <w:pPr>
        <w:pStyle w:val="Paragraph"/>
        <w:tabs>
          <w:tab w:val="num" w:pos="2196"/>
        </w:tabs>
        <w:spacing w:before="0" w:after="0" w:line="276" w:lineRule="auto"/>
        <w:ind w:left="720"/>
        <w:outlineLvl w:val="9"/>
        <w:rPr>
          <w:rFonts w:ascii="Arial" w:hAnsi="Arial" w:cs="Arial"/>
          <w:sz w:val="22"/>
          <w:szCs w:val="22"/>
          <w:lang w:val="es-ES_tradnl"/>
        </w:rPr>
      </w:pPr>
      <w:r w:rsidRPr="00F85253">
        <w:rPr>
          <w:rFonts w:ascii="Arial" w:hAnsi="Arial" w:cs="Arial"/>
          <w:sz w:val="22"/>
          <w:szCs w:val="22"/>
          <w:lang w:val="es-ES_tradnl"/>
        </w:rPr>
        <w:t>En el marco de los resultados de</w:t>
      </w:r>
      <w:r w:rsidR="00A03EC7" w:rsidRPr="00F85253">
        <w:rPr>
          <w:rFonts w:ascii="Arial" w:hAnsi="Arial" w:cs="Arial"/>
          <w:sz w:val="22"/>
          <w:szCs w:val="22"/>
          <w:lang w:val="es-ES_tradnl"/>
        </w:rPr>
        <w:t xml:space="preserve"> </w:t>
      </w:r>
      <w:r w:rsidRPr="00F85253">
        <w:rPr>
          <w:rFonts w:ascii="Arial" w:hAnsi="Arial" w:cs="Arial"/>
          <w:sz w:val="22"/>
          <w:szCs w:val="22"/>
          <w:lang w:val="es-ES_tradnl"/>
        </w:rPr>
        <w:t>Devos et al., 2009, e</w:t>
      </w:r>
      <w:r w:rsidR="004E44F3" w:rsidRPr="00F85253">
        <w:rPr>
          <w:rFonts w:ascii="Arial" w:hAnsi="Arial" w:cs="Arial"/>
          <w:sz w:val="22"/>
          <w:szCs w:val="22"/>
          <w:lang w:val="es-ES_tradnl"/>
        </w:rPr>
        <w:t xml:space="preserve">l promedio de </w:t>
      </w:r>
      <w:r w:rsidR="009F0200" w:rsidRPr="00F85253">
        <w:rPr>
          <w:rFonts w:ascii="Arial" w:hAnsi="Arial" w:cs="Arial"/>
          <w:sz w:val="22"/>
          <w:szCs w:val="22"/>
          <w:lang w:val="es-ES_tradnl"/>
        </w:rPr>
        <w:t>l</w:t>
      </w:r>
      <w:r w:rsidR="00337A35" w:rsidRPr="00F85253">
        <w:rPr>
          <w:rFonts w:ascii="Arial" w:hAnsi="Arial" w:cs="Arial"/>
          <w:sz w:val="22"/>
          <w:szCs w:val="22"/>
          <w:lang w:val="es-ES_tradnl"/>
        </w:rPr>
        <w:t>a sinergia operativa</w:t>
      </w:r>
      <w:r w:rsidR="000856F1" w:rsidRPr="00F85253">
        <w:rPr>
          <w:rFonts w:ascii="Arial" w:hAnsi="Arial" w:cs="Arial"/>
          <w:sz w:val="22"/>
          <w:szCs w:val="22"/>
          <w:lang w:val="es-ES_tradnl"/>
        </w:rPr>
        <w:t xml:space="preserve"> (</w:t>
      </w:r>
      <w:r w:rsidR="00D71553" w:rsidRPr="00F85253">
        <w:rPr>
          <w:rFonts w:ascii="Arial" w:hAnsi="Arial" w:cs="Arial"/>
          <w:sz w:val="22"/>
          <w:szCs w:val="22"/>
          <w:lang w:val="es-ES_tradnl"/>
        </w:rPr>
        <w:t xml:space="preserve">ganancia </w:t>
      </w:r>
      <w:r w:rsidR="000856F1" w:rsidRPr="00F85253">
        <w:rPr>
          <w:rFonts w:ascii="Arial" w:hAnsi="Arial" w:cs="Arial"/>
          <w:sz w:val="22"/>
          <w:szCs w:val="22"/>
          <w:lang w:val="es-ES_tradnl"/>
        </w:rPr>
        <w:t>en eficiencia)</w:t>
      </w:r>
      <w:r w:rsidR="009F0200" w:rsidRPr="00F85253">
        <w:rPr>
          <w:rFonts w:ascii="Arial" w:hAnsi="Arial" w:cs="Arial"/>
          <w:sz w:val="22"/>
          <w:szCs w:val="22"/>
          <w:lang w:val="es-ES_tradnl"/>
        </w:rPr>
        <w:t xml:space="preserve"> es de</w:t>
      </w:r>
      <w:r w:rsidR="00337A35" w:rsidRPr="00F85253">
        <w:rPr>
          <w:rFonts w:ascii="Arial" w:hAnsi="Arial" w:cs="Arial"/>
          <w:sz w:val="22"/>
          <w:szCs w:val="22"/>
          <w:lang w:val="es-ES_tradnl"/>
        </w:rPr>
        <w:t xml:space="preserve"> 13.29%</w:t>
      </w:r>
      <w:r w:rsidR="009F0200" w:rsidRPr="00F85253">
        <w:rPr>
          <w:rFonts w:ascii="Arial" w:hAnsi="Arial" w:cs="Arial"/>
          <w:sz w:val="22"/>
          <w:szCs w:val="22"/>
          <w:lang w:val="es-ES_tradnl"/>
        </w:rPr>
        <w:t xml:space="preserve">, y su mediana es de 5.39%, </w:t>
      </w:r>
      <w:r w:rsidR="00A97BAE" w:rsidRPr="00F85253">
        <w:rPr>
          <w:rFonts w:ascii="Arial" w:hAnsi="Arial" w:cs="Arial"/>
          <w:sz w:val="22"/>
          <w:szCs w:val="22"/>
          <w:lang w:val="es-ES_tradnl"/>
        </w:rPr>
        <w:t>la</w:t>
      </w:r>
      <w:r w:rsidR="004E44F3" w:rsidRPr="00F85253">
        <w:rPr>
          <w:rFonts w:ascii="Arial" w:hAnsi="Arial" w:cs="Arial"/>
          <w:sz w:val="22"/>
          <w:szCs w:val="22"/>
          <w:lang w:val="es-ES_tradnl"/>
        </w:rPr>
        <w:t xml:space="preserve"> cual </w:t>
      </w:r>
      <w:r w:rsidR="00337A35" w:rsidRPr="00F85253">
        <w:rPr>
          <w:rFonts w:ascii="Arial" w:hAnsi="Arial" w:cs="Arial"/>
          <w:sz w:val="22"/>
          <w:szCs w:val="22"/>
          <w:lang w:val="es-ES_tradnl"/>
        </w:rPr>
        <w:t>responde a la</w:t>
      </w:r>
      <w:r w:rsidR="000856F1" w:rsidRPr="00F85253">
        <w:rPr>
          <w:rFonts w:ascii="Arial" w:hAnsi="Arial" w:cs="Arial"/>
          <w:sz w:val="22"/>
          <w:szCs w:val="22"/>
          <w:lang w:val="es-ES_tradnl"/>
        </w:rPr>
        <w:t xml:space="preserve"> mejora en eficiencia por</w:t>
      </w:r>
      <w:r w:rsidR="00337A35" w:rsidRPr="00F85253">
        <w:rPr>
          <w:rFonts w:ascii="Arial" w:hAnsi="Arial" w:cs="Arial"/>
          <w:sz w:val="22"/>
          <w:szCs w:val="22"/>
          <w:lang w:val="es-ES_tradnl"/>
        </w:rPr>
        <w:t xml:space="preserve"> reducción de inversiones. </w:t>
      </w:r>
      <w:r w:rsidR="009F0200" w:rsidRPr="00F85253">
        <w:rPr>
          <w:rFonts w:ascii="Arial" w:hAnsi="Arial" w:cs="Arial"/>
          <w:sz w:val="22"/>
          <w:szCs w:val="22"/>
          <w:lang w:val="es-ES_tradnl"/>
        </w:rPr>
        <w:t>Es decir, l</w:t>
      </w:r>
      <w:r w:rsidR="00337A35" w:rsidRPr="00F85253">
        <w:rPr>
          <w:rFonts w:ascii="Arial" w:hAnsi="Arial" w:cs="Arial"/>
          <w:sz w:val="22"/>
          <w:szCs w:val="22"/>
          <w:lang w:val="es-ES_tradnl"/>
        </w:rPr>
        <w:t>os resultado</w:t>
      </w:r>
      <w:r w:rsidR="000856F1" w:rsidRPr="00F85253">
        <w:rPr>
          <w:rFonts w:ascii="Arial" w:hAnsi="Arial" w:cs="Arial"/>
          <w:sz w:val="22"/>
          <w:szCs w:val="22"/>
          <w:lang w:val="es-ES_tradnl"/>
        </w:rPr>
        <w:t>s indican que los beneficios de la</w:t>
      </w:r>
      <w:r w:rsidR="00337A35" w:rsidRPr="00F85253">
        <w:rPr>
          <w:rFonts w:ascii="Arial" w:hAnsi="Arial" w:cs="Arial"/>
          <w:sz w:val="22"/>
          <w:szCs w:val="22"/>
          <w:lang w:val="es-ES_tradnl"/>
        </w:rPr>
        <w:t xml:space="preserve"> fusión se generan por </w:t>
      </w:r>
      <w:r w:rsidR="000856F1" w:rsidRPr="00F85253">
        <w:rPr>
          <w:rFonts w:ascii="Arial" w:hAnsi="Arial" w:cs="Arial"/>
          <w:sz w:val="22"/>
          <w:szCs w:val="22"/>
          <w:lang w:val="es-ES_tradnl"/>
        </w:rPr>
        <w:t>eficiencia</w:t>
      </w:r>
      <w:r w:rsidR="00D71553" w:rsidRPr="00F85253">
        <w:rPr>
          <w:rFonts w:ascii="Arial" w:hAnsi="Arial" w:cs="Arial"/>
          <w:sz w:val="22"/>
          <w:szCs w:val="22"/>
          <w:lang w:val="es-ES_tradnl"/>
        </w:rPr>
        <w:t xml:space="preserve"> operativa</w:t>
      </w:r>
      <w:r w:rsidR="000856F1" w:rsidRPr="00F85253">
        <w:rPr>
          <w:rFonts w:ascii="Arial" w:hAnsi="Arial" w:cs="Arial"/>
          <w:sz w:val="22"/>
          <w:szCs w:val="22"/>
          <w:lang w:val="es-ES_tradnl"/>
        </w:rPr>
        <w:t xml:space="preserve">, considerando </w:t>
      </w:r>
      <w:r w:rsidR="00337A35" w:rsidRPr="00F85253">
        <w:rPr>
          <w:rFonts w:ascii="Arial" w:hAnsi="Arial" w:cs="Arial"/>
          <w:sz w:val="22"/>
          <w:szCs w:val="22"/>
          <w:lang w:val="es-ES_tradnl"/>
        </w:rPr>
        <w:t>la reducción de gastos de inversión o de capital</w:t>
      </w:r>
      <w:r w:rsidR="000856F1" w:rsidRPr="00F85253">
        <w:rPr>
          <w:rFonts w:ascii="Arial" w:hAnsi="Arial" w:cs="Arial"/>
          <w:sz w:val="22"/>
          <w:szCs w:val="22"/>
          <w:lang w:val="es-ES_tradnl"/>
        </w:rPr>
        <w:t>;</w:t>
      </w:r>
      <w:r w:rsidR="00763968" w:rsidRPr="00F85253">
        <w:rPr>
          <w:rFonts w:ascii="Arial" w:hAnsi="Arial" w:cs="Arial"/>
          <w:sz w:val="22"/>
          <w:szCs w:val="22"/>
          <w:lang w:val="es-ES_tradnl"/>
        </w:rPr>
        <w:t xml:space="preserve"> y</w:t>
      </w:r>
      <w:r w:rsidR="000856F1" w:rsidRPr="00F85253">
        <w:rPr>
          <w:rFonts w:ascii="Arial" w:hAnsi="Arial" w:cs="Arial"/>
          <w:sz w:val="22"/>
          <w:szCs w:val="22"/>
          <w:lang w:val="es-ES_tradnl"/>
        </w:rPr>
        <w:t>,</w:t>
      </w:r>
      <w:r w:rsidR="00763968" w:rsidRPr="00F85253">
        <w:rPr>
          <w:rFonts w:ascii="Arial" w:hAnsi="Arial" w:cs="Arial"/>
          <w:sz w:val="22"/>
          <w:szCs w:val="22"/>
          <w:lang w:val="es-ES_tradnl"/>
        </w:rPr>
        <w:t xml:space="preserve"> alcanza el</w:t>
      </w:r>
      <w:r w:rsidR="00337A35" w:rsidRPr="00F85253">
        <w:rPr>
          <w:rFonts w:ascii="Arial" w:hAnsi="Arial" w:cs="Arial"/>
          <w:sz w:val="22"/>
          <w:szCs w:val="22"/>
          <w:lang w:val="es-ES_tradnl"/>
        </w:rPr>
        <w:t xml:space="preserve"> 5.39%</w:t>
      </w:r>
      <w:r w:rsidR="008F35CF" w:rsidRPr="00F85253">
        <w:rPr>
          <w:rFonts w:ascii="Arial" w:hAnsi="Arial" w:cs="Arial"/>
          <w:sz w:val="22"/>
          <w:szCs w:val="22"/>
          <w:lang w:val="es-ES_tradnl"/>
        </w:rPr>
        <w:t xml:space="preserve"> (mediana</w:t>
      </w:r>
      <w:r w:rsidR="00843F83" w:rsidRPr="00F85253">
        <w:rPr>
          <w:rStyle w:val="FootnoteReference"/>
          <w:rFonts w:ascii="Arial" w:hAnsi="Arial" w:cs="Arial"/>
          <w:sz w:val="22"/>
          <w:szCs w:val="22"/>
          <w:lang w:val="es-ES_tradnl"/>
        </w:rPr>
        <w:footnoteReference w:id="49"/>
      </w:r>
      <w:r w:rsidR="008F35CF" w:rsidRPr="00F85253">
        <w:rPr>
          <w:rFonts w:ascii="Arial" w:hAnsi="Arial" w:cs="Arial"/>
          <w:sz w:val="22"/>
          <w:szCs w:val="22"/>
          <w:lang w:val="es-ES_tradnl"/>
        </w:rPr>
        <w:t>)</w:t>
      </w:r>
      <w:r w:rsidR="00EA6035" w:rsidRPr="00F85253">
        <w:rPr>
          <w:rFonts w:ascii="Arial" w:hAnsi="Arial" w:cs="Arial"/>
          <w:sz w:val="22"/>
          <w:szCs w:val="22"/>
          <w:lang w:val="es-ES_tradnl"/>
        </w:rPr>
        <w:t xml:space="preserve"> </w:t>
      </w:r>
      <w:r w:rsidR="00763968" w:rsidRPr="00F85253">
        <w:rPr>
          <w:rFonts w:ascii="Arial" w:hAnsi="Arial" w:cs="Arial"/>
          <w:sz w:val="22"/>
          <w:szCs w:val="22"/>
          <w:lang w:val="es-ES_tradnl"/>
        </w:rPr>
        <w:t xml:space="preserve">en </w:t>
      </w:r>
      <w:r w:rsidR="00EA6035" w:rsidRPr="00F85253">
        <w:rPr>
          <w:rFonts w:ascii="Arial" w:hAnsi="Arial" w:cs="Arial"/>
          <w:sz w:val="22"/>
          <w:szCs w:val="22"/>
          <w:lang w:val="es-ES_tradnl"/>
        </w:rPr>
        <w:t>empresas de Estados Unidos</w:t>
      </w:r>
      <w:r w:rsidR="00337A35" w:rsidRPr="00F85253">
        <w:rPr>
          <w:rFonts w:ascii="Arial" w:hAnsi="Arial" w:cs="Arial"/>
          <w:sz w:val="22"/>
          <w:szCs w:val="22"/>
          <w:lang w:val="es-ES_tradnl"/>
        </w:rPr>
        <w:t>.</w:t>
      </w:r>
      <w:r w:rsidR="00F90035" w:rsidRPr="00F85253">
        <w:rPr>
          <w:rFonts w:ascii="Arial" w:hAnsi="Arial" w:cs="Arial"/>
          <w:sz w:val="22"/>
          <w:szCs w:val="22"/>
          <w:lang w:val="es-ES_tradnl"/>
        </w:rPr>
        <w:t xml:space="preserve"> </w:t>
      </w:r>
      <w:r w:rsidR="00A97BAE" w:rsidRPr="00F85253">
        <w:rPr>
          <w:rFonts w:ascii="Arial" w:hAnsi="Arial" w:cs="Arial"/>
          <w:sz w:val="22"/>
          <w:szCs w:val="22"/>
          <w:lang w:val="es-ES_tradnl"/>
        </w:rPr>
        <w:t>E</w:t>
      </w:r>
      <w:r w:rsidR="00131933" w:rsidRPr="00F85253">
        <w:rPr>
          <w:rFonts w:ascii="Arial" w:hAnsi="Arial" w:cs="Arial"/>
          <w:sz w:val="22"/>
          <w:szCs w:val="22"/>
          <w:lang w:val="es-ES_tradnl"/>
        </w:rPr>
        <w:t>l índice del nivel de Productividad total de los factores</w:t>
      </w:r>
      <w:r w:rsidR="00131933" w:rsidRPr="00F85253">
        <w:rPr>
          <w:rStyle w:val="FootnoteReference"/>
          <w:rFonts w:ascii="Arial" w:hAnsi="Arial" w:cs="Arial"/>
          <w:sz w:val="22"/>
          <w:szCs w:val="22"/>
          <w:lang w:val="es-ES_tradnl"/>
        </w:rPr>
        <w:footnoteReference w:id="50"/>
      </w:r>
      <w:r w:rsidR="00A97BAE" w:rsidRPr="00F85253">
        <w:rPr>
          <w:rFonts w:ascii="Arial" w:hAnsi="Arial" w:cs="Arial"/>
          <w:sz w:val="22"/>
          <w:szCs w:val="22"/>
          <w:lang w:val="es-ES_tradnl"/>
        </w:rPr>
        <w:t xml:space="preserve"> en</w:t>
      </w:r>
      <w:r w:rsidR="008F35CF" w:rsidRPr="00F85253">
        <w:rPr>
          <w:rFonts w:ascii="Arial" w:hAnsi="Arial" w:cs="Arial"/>
          <w:sz w:val="22"/>
          <w:szCs w:val="22"/>
          <w:lang w:val="es-ES_tradnl"/>
        </w:rPr>
        <w:t xml:space="preserve"> Estados Unidos es de 1, y para Ecuador de 0.41, por ende, se espera que proporcionalmente, Ecuador alcance el 41% del ahorro generado por la fusión.</w:t>
      </w:r>
      <w:r w:rsidR="006B51C8" w:rsidRPr="00F85253">
        <w:rPr>
          <w:rFonts w:ascii="Arial" w:hAnsi="Arial" w:cs="Arial"/>
          <w:sz w:val="22"/>
          <w:szCs w:val="22"/>
          <w:lang w:val="es-ES_tradnl"/>
        </w:rPr>
        <w:t xml:space="preserve"> </w:t>
      </w:r>
      <w:r w:rsidR="00F90035" w:rsidRPr="00F85253">
        <w:rPr>
          <w:rFonts w:ascii="Arial" w:hAnsi="Arial" w:cs="Arial"/>
          <w:sz w:val="22"/>
          <w:szCs w:val="22"/>
          <w:lang w:val="es-ES_tradnl"/>
        </w:rPr>
        <w:t xml:space="preserve">Los costos evitados por eficiencia en la fusión de las </w:t>
      </w:r>
      <w:r w:rsidR="0023565F" w:rsidRPr="00F85253">
        <w:rPr>
          <w:rFonts w:ascii="Arial" w:hAnsi="Arial" w:cs="Arial"/>
          <w:sz w:val="22"/>
          <w:szCs w:val="22"/>
          <w:lang w:val="es-ES_tradnl"/>
        </w:rPr>
        <w:t>EEPP</w:t>
      </w:r>
      <w:r w:rsidR="00F90035" w:rsidRPr="00F85253">
        <w:rPr>
          <w:rFonts w:ascii="Arial" w:hAnsi="Arial" w:cs="Arial"/>
          <w:sz w:val="22"/>
          <w:szCs w:val="22"/>
          <w:lang w:val="es-ES_tradnl"/>
        </w:rPr>
        <w:t xml:space="preserve"> petroleras se obtiene del producto de la cuenta proyectada de egresos de capital (ponderado por el monto correspondiente a las </w:t>
      </w:r>
      <w:r w:rsidR="0023565F" w:rsidRPr="00F85253">
        <w:rPr>
          <w:rFonts w:ascii="Arial" w:hAnsi="Arial" w:cs="Arial"/>
          <w:sz w:val="22"/>
          <w:szCs w:val="22"/>
          <w:lang w:val="es-ES_tradnl"/>
        </w:rPr>
        <w:t>EEPP</w:t>
      </w:r>
      <w:r w:rsidR="00F90035" w:rsidRPr="00F85253">
        <w:rPr>
          <w:rFonts w:ascii="Arial" w:hAnsi="Arial" w:cs="Arial"/>
          <w:sz w:val="22"/>
          <w:szCs w:val="22"/>
          <w:lang w:val="es-ES_tradnl"/>
        </w:rPr>
        <w:t xml:space="preserve"> petroleras), por el ahorro esperado en capital, debido a la fusión de las </w:t>
      </w:r>
      <w:r w:rsidR="0023565F" w:rsidRPr="00F85253">
        <w:rPr>
          <w:rFonts w:ascii="Arial" w:hAnsi="Arial" w:cs="Arial"/>
          <w:sz w:val="22"/>
          <w:szCs w:val="22"/>
          <w:lang w:val="es-ES_tradnl"/>
        </w:rPr>
        <w:t>EEPP</w:t>
      </w:r>
      <w:r w:rsidR="00F90035" w:rsidRPr="00F85253">
        <w:rPr>
          <w:rFonts w:ascii="Arial" w:hAnsi="Arial" w:cs="Arial"/>
          <w:sz w:val="22"/>
          <w:szCs w:val="22"/>
          <w:lang w:val="es-ES_tradnl"/>
        </w:rPr>
        <w:t xml:space="preserve"> petroleas. Se asume que del </w:t>
      </w:r>
      <w:r w:rsidR="008F35CF" w:rsidRPr="00F85253">
        <w:rPr>
          <w:rFonts w:ascii="Arial" w:hAnsi="Arial" w:cs="Arial"/>
          <w:sz w:val="22"/>
          <w:szCs w:val="22"/>
          <w:lang w:val="es-ES_tradnl"/>
        </w:rPr>
        <w:t>5.39</w:t>
      </w:r>
      <w:r w:rsidR="00F90035" w:rsidRPr="00F85253">
        <w:rPr>
          <w:rFonts w:ascii="Arial" w:hAnsi="Arial" w:cs="Arial"/>
          <w:sz w:val="22"/>
          <w:szCs w:val="22"/>
          <w:lang w:val="es-ES_tradnl"/>
        </w:rPr>
        <w:t>%, se puede alcanzar un 4</w:t>
      </w:r>
      <w:r w:rsidR="008F35CF" w:rsidRPr="00F85253">
        <w:rPr>
          <w:rFonts w:ascii="Arial" w:hAnsi="Arial" w:cs="Arial"/>
          <w:sz w:val="22"/>
          <w:szCs w:val="22"/>
          <w:lang w:val="es-ES_tradnl"/>
        </w:rPr>
        <w:t>1</w:t>
      </w:r>
      <w:r w:rsidR="00F90035" w:rsidRPr="00F85253">
        <w:rPr>
          <w:rFonts w:ascii="Arial" w:hAnsi="Arial" w:cs="Arial"/>
          <w:sz w:val="22"/>
          <w:szCs w:val="22"/>
          <w:lang w:val="es-ES_tradnl"/>
        </w:rPr>
        <w:t>%.</w:t>
      </w:r>
    </w:p>
    <w:p w14:paraId="66628FC9" w14:textId="77777777" w:rsidR="00D665D8" w:rsidRPr="00F85253" w:rsidRDefault="00D665D8" w:rsidP="000B2BC8">
      <w:pPr>
        <w:pStyle w:val="Paragraph"/>
        <w:tabs>
          <w:tab w:val="num" w:pos="2196"/>
        </w:tabs>
        <w:spacing w:before="0" w:after="0" w:line="276" w:lineRule="auto"/>
        <w:ind w:left="720"/>
        <w:outlineLvl w:val="9"/>
        <w:rPr>
          <w:rFonts w:ascii="Arial" w:hAnsi="Arial" w:cs="Arial"/>
          <w:sz w:val="22"/>
          <w:szCs w:val="22"/>
          <w:lang w:val="es-ES_tradnl"/>
        </w:rPr>
      </w:pPr>
    </w:p>
    <w:p w14:paraId="6E32F838" w14:textId="4AAE8E20" w:rsidR="000A1085" w:rsidRPr="00F85253" w:rsidRDefault="0021627C" w:rsidP="002543DC">
      <w:pPr>
        <w:pStyle w:val="Paragraph"/>
        <w:numPr>
          <w:ilvl w:val="1"/>
          <w:numId w:val="2"/>
        </w:numPr>
        <w:tabs>
          <w:tab w:val="clear" w:pos="1296"/>
          <w:tab w:val="num" w:pos="720"/>
          <w:tab w:val="num" w:pos="1800"/>
          <w:tab w:val="num" w:pos="2196"/>
        </w:tabs>
        <w:spacing w:before="0" w:after="0" w:line="276" w:lineRule="auto"/>
        <w:ind w:left="720" w:hanging="720"/>
        <w:outlineLvl w:val="9"/>
        <w:rPr>
          <w:rFonts w:ascii="Arial" w:hAnsi="Arial" w:cs="Arial"/>
          <w:sz w:val="22"/>
          <w:szCs w:val="22"/>
          <w:lang w:val="es-ES_tradnl"/>
        </w:rPr>
      </w:pPr>
      <w:r w:rsidRPr="00F85253">
        <w:rPr>
          <w:rFonts w:ascii="Arial" w:hAnsi="Arial" w:cs="Arial"/>
          <w:sz w:val="22"/>
          <w:szCs w:val="22"/>
          <w:lang w:val="es-ES_tradnl"/>
        </w:rPr>
        <w:t>E</w:t>
      </w:r>
      <w:r w:rsidR="000A1085" w:rsidRPr="00F85253">
        <w:rPr>
          <w:rFonts w:ascii="Arial" w:hAnsi="Arial" w:cs="Arial"/>
          <w:sz w:val="22"/>
          <w:szCs w:val="22"/>
          <w:lang w:val="es-ES_tradnl"/>
        </w:rPr>
        <w:t xml:space="preserve">l ahorro por desvinculaciones inicia en el año 2021, suponiendo que el </w:t>
      </w:r>
      <w:r w:rsidR="00E07C84" w:rsidRPr="00F85253">
        <w:rPr>
          <w:rFonts w:ascii="Arial" w:hAnsi="Arial" w:cs="Arial"/>
          <w:sz w:val="22"/>
          <w:szCs w:val="22"/>
          <w:lang w:val="es-ES_tradnl"/>
        </w:rPr>
        <w:t>10</w:t>
      </w:r>
      <w:r w:rsidR="00583391" w:rsidRPr="00F85253">
        <w:rPr>
          <w:rFonts w:ascii="Arial" w:hAnsi="Arial" w:cs="Arial"/>
          <w:sz w:val="22"/>
          <w:szCs w:val="22"/>
          <w:lang w:val="es-ES_tradnl"/>
        </w:rPr>
        <w:t>0</w:t>
      </w:r>
      <w:r w:rsidR="000A1085" w:rsidRPr="00F85253">
        <w:rPr>
          <w:rFonts w:ascii="Arial" w:hAnsi="Arial" w:cs="Arial"/>
          <w:sz w:val="22"/>
          <w:szCs w:val="22"/>
          <w:lang w:val="es-ES_tradnl"/>
        </w:rPr>
        <w:t>% de las personas se</w:t>
      </w:r>
      <w:r w:rsidR="00E07C84" w:rsidRPr="00F85253">
        <w:rPr>
          <w:rFonts w:ascii="Arial" w:hAnsi="Arial" w:cs="Arial"/>
          <w:sz w:val="22"/>
          <w:szCs w:val="22"/>
          <w:lang w:val="es-ES_tradnl"/>
        </w:rPr>
        <w:t xml:space="preserve"> han desvinculado para ese año</w:t>
      </w:r>
      <w:r w:rsidR="00463B8B" w:rsidRPr="00F85253">
        <w:rPr>
          <w:rStyle w:val="FootnoteReference"/>
          <w:rFonts w:ascii="Arial" w:hAnsi="Arial" w:cs="Arial"/>
          <w:sz w:val="22"/>
          <w:szCs w:val="22"/>
          <w:lang w:val="es-ES_tradnl"/>
        </w:rPr>
        <w:footnoteReference w:id="51"/>
      </w:r>
      <w:r w:rsidR="00940071" w:rsidRPr="00F85253">
        <w:rPr>
          <w:rFonts w:ascii="Arial" w:hAnsi="Arial" w:cs="Arial"/>
          <w:sz w:val="22"/>
          <w:szCs w:val="22"/>
          <w:lang w:val="es-ES_tradnl"/>
        </w:rPr>
        <w:t>. Por su parte, el beneficio</w:t>
      </w:r>
      <w:r w:rsidR="000A1085" w:rsidRPr="00F85253">
        <w:rPr>
          <w:rFonts w:ascii="Arial" w:hAnsi="Arial" w:cs="Arial"/>
          <w:sz w:val="22"/>
          <w:szCs w:val="22"/>
          <w:lang w:val="es-ES_tradnl"/>
        </w:rPr>
        <w:t xml:space="preserve"> por transparencia se supone inicia una vez implementado el programa, es decir, a partir del año 202</w:t>
      </w:r>
      <w:r w:rsidR="00493C3D" w:rsidRPr="00F85253">
        <w:rPr>
          <w:rFonts w:ascii="Arial" w:hAnsi="Arial" w:cs="Arial"/>
          <w:sz w:val="22"/>
          <w:szCs w:val="22"/>
          <w:lang w:val="es-ES_tradnl"/>
        </w:rPr>
        <w:t>3</w:t>
      </w:r>
      <w:r w:rsidRPr="00F85253">
        <w:rPr>
          <w:rFonts w:ascii="Arial" w:hAnsi="Arial" w:cs="Arial"/>
          <w:sz w:val="22"/>
          <w:szCs w:val="22"/>
          <w:lang w:val="es-ES_tradnl"/>
        </w:rPr>
        <w:t>, al igual que e</w:t>
      </w:r>
      <w:r w:rsidR="006A4F17" w:rsidRPr="00F85253">
        <w:rPr>
          <w:rFonts w:ascii="Arial" w:hAnsi="Arial" w:cs="Arial"/>
          <w:sz w:val="22"/>
          <w:szCs w:val="22"/>
          <w:lang w:val="es-ES_tradnl"/>
        </w:rPr>
        <w:t>l ah</w:t>
      </w:r>
      <w:r w:rsidR="00867245" w:rsidRPr="00F85253">
        <w:rPr>
          <w:rFonts w:ascii="Arial" w:hAnsi="Arial" w:cs="Arial"/>
          <w:sz w:val="22"/>
          <w:szCs w:val="22"/>
          <w:lang w:val="es-ES_tradnl"/>
        </w:rPr>
        <w:t xml:space="preserve">orro por la fusión de las empresas petroleras. </w:t>
      </w:r>
    </w:p>
    <w:p w14:paraId="34697342" w14:textId="77777777" w:rsidR="00D665D8" w:rsidRPr="00F85253" w:rsidRDefault="00D665D8" w:rsidP="000B2BC8">
      <w:pPr>
        <w:pStyle w:val="Paragraph"/>
        <w:tabs>
          <w:tab w:val="num" w:pos="2196"/>
        </w:tabs>
        <w:spacing w:before="0" w:after="0" w:line="276" w:lineRule="auto"/>
        <w:ind w:left="720"/>
        <w:outlineLvl w:val="9"/>
        <w:rPr>
          <w:rFonts w:ascii="Arial" w:hAnsi="Arial" w:cs="Arial"/>
          <w:sz w:val="22"/>
          <w:szCs w:val="22"/>
          <w:lang w:val="es-ES_tradnl"/>
        </w:rPr>
      </w:pPr>
    </w:p>
    <w:p w14:paraId="4C7768A4" w14:textId="39097548" w:rsidR="006F7A24" w:rsidRPr="00F85253" w:rsidRDefault="006F7A24" w:rsidP="002543DC">
      <w:pPr>
        <w:pStyle w:val="Paragraph"/>
        <w:numPr>
          <w:ilvl w:val="1"/>
          <w:numId w:val="2"/>
        </w:numPr>
        <w:tabs>
          <w:tab w:val="clear" w:pos="1296"/>
          <w:tab w:val="num" w:pos="720"/>
          <w:tab w:val="num" w:pos="1800"/>
          <w:tab w:val="num" w:pos="2196"/>
        </w:tabs>
        <w:spacing w:before="0" w:after="0" w:line="276" w:lineRule="auto"/>
        <w:ind w:left="720" w:hanging="720"/>
        <w:outlineLvl w:val="9"/>
        <w:rPr>
          <w:rFonts w:ascii="Arial" w:hAnsi="Arial" w:cs="Arial"/>
          <w:sz w:val="22"/>
          <w:szCs w:val="22"/>
          <w:lang w:val="es-ES_tradnl"/>
        </w:rPr>
      </w:pPr>
      <w:r w:rsidRPr="00F85253">
        <w:rPr>
          <w:rFonts w:ascii="Arial" w:hAnsi="Arial" w:cs="Arial"/>
          <w:sz w:val="22"/>
          <w:szCs w:val="22"/>
          <w:lang w:val="es-ES_tradnl"/>
        </w:rPr>
        <w:t>La</w:t>
      </w:r>
      <w:r w:rsidR="00AA6DB2" w:rsidRPr="00F85253">
        <w:rPr>
          <w:rFonts w:ascii="Arial" w:hAnsi="Arial" w:cs="Arial"/>
          <w:sz w:val="22"/>
          <w:szCs w:val="22"/>
          <w:lang w:val="es-ES_tradnl"/>
        </w:rPr>
        <w:t>s</w:t>
      </w:r>
      <w:r w:rsidRPr="00F85253">
        <w:rPr>
          <w:rFonts w:ascii="Arial" w:hAnsi="Arial" w:cs="Arial"/>
          <w:sz w:val="22"/>
          <w:szCs w:val="22"/>
          <w:lang w:val="es-ES_tradnl"/>
        </w:rPr>
        <w:t xml:space="preserve"> línea</w:t>
      </w:r>
      <w:r w:rsidR="00AA6DB2" w:rsidRPr="00F85253">
        <w:rPr>
          <w:rFonts w:ascii="Arial" w:hAnsi="Arial" w:cs="Arial"/>
          <w:sz w:val="22"/>
          <w:szCs w:val="22"/>
          <w:lang w:val="es-ES_tradnl"/>
        </w:rPr>
        <w:t>s</w:t>
      </w:r>
      <w:r w:rsidRPr="00F85253">
        <w:rPr>
          <w:rFonts w:ascii="Arial" w:hAnsi="Arial" w:cs="Arial"/>
          <w:sz w:val="22"/>
          <w:szCs w:val="22"/>
          <w:lang w:val="es-ES_tradnl"/>
        </w:rPr>
        <w:t xml:space="preserve"> </w:t>
      </w:r>
      <w:r w:rsidR="00AA6DB2" w:rsidRPr="00F85253">
        <w:rPr>
          <w:rFonts w:ascii="Arial" w:hAnsi="Arial" w:cs="Arial"/>
          <w:sz w:val="22"/>
          <w:szCs w:val="22"/>
          <w:lang w:val="es-ES_tradnl"/>
        </w:rPr>
        <w:t xml:space="preserve">de Beneficios Económicos, en el período considerado, estima </w:t>
      </w:r>
      <w:r w:rsidR="00583391" w:rsidRPr="00F85253">
        <w:rPr>
          <w:rFonts w:ascii="Arial" w:hAnsi="Arial" w:cs="Arial"/>
          <w:sz w:val="22"/>
          <w:szCs w:val="22"/>
          <w:lang w:val="es-ES_tradnl"/>
        </w:rPr>
        <w:t>un</w:t>
      </w:r>
      <w:r w:rsidR="00AA6DB2" w:rsidRPr="00F85253">
        <w:rPr>
          <w:rFonts w:ascii="Arial" w:hAnsi="Arial" w:cs="Arial"/>
          <w:sz w:val="22"/>
          <w:szCs w:val="22"/>
          <w:lang w:val="es-ES_tradnl"/>
        </w:rPr>
        <w:t xml:space="preserve"> ahorro por costos evitados por desvinculaciones de</w:t>
      </w:r>
      <w:r w:rsidR="00867245" w:rsidRPr="00F85253">
        <w:rPr>
          <w:rFonts w:ascii="Arial" w:hAnsi="Arial" w:cs="Arial"/>
          <w:sz w:val="22"/>
          <w:szCs w:val="22"/>
          <w:lang w:val="es-ES_tradnl"/>
        </w:rPr>
        <w:t xml:space="preserve"> USD </w:t>
      </w:r>
      <w:r w:rsidR="00940071" w:rsidRPr="00F85253">
        <w:rPr>
          <w:rFonts w:ascii="Arial" w:hAnsi="Arial" w:cs="Arial"/>
          <w:sz w:val="22"/>
          <w:szCs w:val="22"/>
          <w:lang w:val="es-ES_tradnl"/>
        </w:rPr>
        <w:t>218.54</w:t>
      </w:r>
      <w:r w:rsidR="00DB1160" w:rsidRPr="00F85253">
        <w:rPr>
          <w:rFonts w:ascii="Arial" w:hAnsi="Arial" w:cs="Arial"/>
          <w:sz w:val="22"/>
          <w:szCs w:val="22"/>
          <w:lang w:val="es-ES_tradnl"/>
        </w:rPr>
        <w:t xml:space="preserve"> millones</w:t>
      </w:r>
      <w:r w:rsidR="00AA6DB2" w:rsidRPr="00F85253">
        <w:rPr>
          <w:rFonts w:ascii="Arial" w:hAnsi="Arial" w:cs="Arial"/>
          <w:sz w:val="22"/>
          <w:szCs w:val="22"/>
          <w:lang w:val="es-ES_tradnl"/>
        </w:rPr>
        <w:t xml:space="preserve">, por mejora de transparencia de </w:t>
      </w:r>
      <w:r w:rsidR="00DB1160" w:rsidRPr="00F85253">
        <w:rPr>
          <w:rFonts w:ascii="Arial" w:hAnsi="Arial" w:cs="Arial"/>
          <w:sz w:val="22"/>
          <w:szCs w:val="22"/>
          <w:lang w:val="es-ES_tradnl"/>
        </w:rPr>
        <w:t xml:space="preserve">USD </w:t>
      </w:r>
      <w:r w:rsidR="00940071" w:rsidRPr="00F85253">
        <w:rPr>
          <w:rFonts w:ascii="Arial" w:hAnsi="Arial" w:cs="Arial"/>
          <w:sz w:val="22"/>
          <w:szCs w:val="22"/>
          <w:lang w:val="es-ES_tradnl"/>
        </w:rPr>
        <w:t>9.01</w:t>
      </w:r>
      <w:r w:rsidR="00BF15D1" w:rsidRPr="00F85253">
        <w:rPr>
          <w:rFonts w:ascii="Arial" w:hAnsi="Arial" w:cs="Arial"/>
          <w:sz w:val="22"/>
          <w:szCs w:val="22"/>
          <w:lang w:val="es-ES_tradnl"/>
        </w:rPr>
        <w:t xml:space="preserve"> </w:t>
      </w:r>
      <w:r w:rsidR="00DB1160" w:rsidRPr="00F85253">
        <w:rPr>
          <w:rFonts w:ascii="Arial" w:hAnsi="Arial" w:cs="Arial"/>
          <w:sz w:val="22"/>
          <w:szCs w:val="22"/>
          <w:lang w:val="es-ES_tradnl"/>
        </w:rPr>
        <w:t>millones</w:t>
      </w:r>
      <w:r w:rsidR="00AA6DB2" w:rsidRPr="00F85253">
        <w:rPr>
          <w:rFonts w:ascii="Arial" w:hAnsi="Arial" w:cs="Arial"/>
          <w:sz w:val="22"/>
          <w:szCs w:val="22"/>
          <w:lang w:val="es-ES_tradnl"/>
        </w:rPr>
        <w:t xml:space="preserve">, y por eficiencia por fusión </w:t>
      </w:r>
      <w:r w:rsidR="00DB1160" w:rsidRPr="00F85253">
        <w:rPr>
          <w:rFonts w:ascii="Arial" w:hAnsi="Arial" w:cs="Arial"/>
          <w:sz w:val="22"/>
          <w:szCs w:val="22"/>
          <w:lang w:val="es-ES_tradnl"/>
        </w:rPr>
        <w:t xml:space="preserve">de las </w:t>
      </w:r>
      <w:r w:rsidR="0023565F" w:rsidRPr="00F85253">
        <w:rPr>
          <w:rFonts w:ascii="Arial" w:hAnsi="Arial" w:cs="Arial"/>
          <w:sz w:val="22"/>
          <w:szCs w:val="22"/>
          <w:lang w:val="es-ES_tradnl"/>
        </w:rPr>
        <w:t>EEPP</w:t>
      </w:r>
      <w:r w:rsidR="00DB1160" w:rsidRPr="00F85253">
        <w:rPr>
          <w:rFonts w:ascii="Arial" w:hAnsi="Arial" w:cs="Arial"/>
          <w:sz w:val="22"/>
          <w:szCs w:val="22"/>
          <w:lang w:val="es-ES_tradnl"/>
        </w:rPr>
        <w:t xml:space="preserve"> petroleras </w:t>
      </w:r>
      <w:r w:rsidR="00AA6DB2" w:rsidRPr="00F85253">
        <w:rPr>
          <w:rFonts w:ascii="Arial" w:hAnsi="Arial" w:cs="Arial"/>
          <w:sz w:val="22"/>
          <w:szCs w:val="22"/>
          <w:lang w:val="es-ES_tradnl"/>
        </w:rPr>
        <w:t xml:space="preserve">de </w:t>
      </w:r>
      <w:r w:rsidR="00DB1160" w:rsidRPr="00F85253">
        <w:rPr>
          <w:rFonts w:ascii="Arial" w:hAnsi="Arial" w:cs="Arial"/>
          <w:sz w:val="22"/>
          <w:szCs w:val="22"/>
          <w:lang w:val="es-ES_tradnl"/>
        </w:rPr>
        <w:t xml:space="preserve">USD </w:t>
      </w:r>
      <w:r w:rsidR="00441D06" w:rsidRPr="00F85253">
        <w:rPr>
          <w:rFonts w:ascii="Arial" w:hAnsi="Arial" w:cs="Arial"/>
          <w:sz w:val="22"/>
          <w:szCs w:val="22"/>
          <w:lang w:val="es-ES_tradnl"/>
        </w:rPr>
        <w:t>63.91</w:t>
      </w:r>
      <w:r w:rsidR="00BF15D1" w:rsidRPr="00F85253">
        <w:rPr>
          <w:rFonts w:ascii="Arial" w:hAnsi="Arial" w:cs="Arial"/>
          <w:sz w:val="22"/>
          <w:szCs w:val="22"/>
          <w:lang w:val="es-ES_tradnl"/>
        </w:rPr>
        <w:t xml:space="preserve"> </w:t>
      </w:r>
      <w:r w:rsidR="00DB1160" w:rsidRPr="00F85253">
        <w:rPr>
          <w:rFonts w:ascii="Arial" w:hAnsi="Arial" w:cs="Arial"/>
          <w:sz w:val="22"/>
          <w:szCs w:val="22"/>
          <w:lang w:val="es-ES_tradnl"/>
        </w:rPr>
        <w:t>millones</w:t>
      </w:r>
      <w:r w:rsidR="00AA6DB2" w:rsidRPr="00F85253">
        <w:rPr>
          <w:rFonts w:ascii="Arial" w:hAnsi="Arial" w:cs="Arial"/>
          <w:sz w:val="22"/>
          <w:szCs w:val="22"/>
          <w:lang w:val="es-ES_tradnl"/>
        </w:rPr>
        <w:t xml:space="preserve">. El total </w:t>
      </w:r>
      <w:r w:rsidRPr="00F85253">
        <w:rPr>
          <w:rFonts w:ascii="Arial" w:hAnsi="Arial" w:cs="Arial"/>
          <w:sz w:val="22"/>
          <w:szCs w:val="22"/>
          <w:lang w:val="es-ES_tradnl"/>
        </w:rPr>
        <w:t>de los beneficios</w:t>
      </w:r>
      <w:r w:rsidR="00AA6DB2" w:rsidRPr="00F85253">
        <w:rPr>
          <w:rFonts w:ascii="Arial" w:hAnsi="Arial" w:cs="Arial"/>
          <w:sz w:val="22"/>
          <w:szCs w:val="22"/>
          <w:lang w:val="es-ES_tradnl"/>
        </w:rPr>
        <w:t>,</w:t>
      </w:r>
      <w:r w:rsidRPr="00F85253">
        <w:rPr>
          <w:rFonts w:ascii="Arial" w:hAnsi="Arial" w:cs="Arial"/>
          <w:sz w:val="22"/>
          <w:szCs w:val="22"/>
          <w:lang w:val="es-ES_tradnl"/>
        </w:rPr>
        <w:t xml:space="preserve"> </w:t>
      </w:r>
      <w:r w:rsidR="00AA6DB2" w:rsidRPr="00F85253">
        <w:rPr>
          <w:rFonts w:ascii="Arial" w:hAnsi="Arial" w:cs="Arial"/>
          <w:sz w:val="22"/>
          <w:szCs w:val="22"/>
          <w:lang w:val="es-ES_tradnl"/>
        </w:rPr>
        <w:t>en los 10 años, suma los ahorros generados por el</w:t>
      </w:r>
      <w:r w:rsidRPr="00F85253">
        <w:rPr>
          <w:rFonts w:ascii="Arial" w:hAnsi="Arial" w:cs="Arial"/>
          <w:sz w:val="22"/>
          <w:szCs w:val="22"/>
          <w:lang w:val="es-ES_tradnl"/>
        </w:rPr>
        <w:t xml:space="preserve"> </w:t>
      </w:r>
      <w:r w:rsidR="00AA6DB2" w:rsidRPr="00F85253">
        <w:rPr>
          <w:rFonts w:ascii="Arial" w:hAnsi="Arial" w:cs="Arial"/>
          <w:sz w:val="22"/>
          <w:szCs w:val="22"/>
          <w:lang w:val="es-ES_tradnl"/>
        </w:rPr>
        <w:t>programa</w:t>
      </w:r>
      <w:r w:rsidR="00DB1160" w:rsidRPr="00F85253">
        <w:rPr>
          <w:rFonts w:ascii="Arial" w:hAnsi="Arial" w:cs="Arial"/>
          <w:sz w:val="22"/>
          <w:szCs w:val="22"/>
          <w:lang w:val="es-ES_tradnl"/>
        </w:rPr>
        <w:t xml:space="preserve">, con un valor total de USD </w:t>
      </w:r>
      <w:r w:rsidR="00441D06" w:rsidRPr="00F85253">
        <w:rPr>
          <w:rFonts w:ascii="Arial" w:hAnsi="Arial" w:cs="Arial"/>
          <w:sz w:val="22"/>
          <w:szCs w:val="22"/>
          <w:lang w:val="es-ES_tradnl"/>
        </w:rPr>
        <w:t>291.46</w:t>
      </w:r>
      <w:r w:rsidR="00BF15D1" w:rsidRPr="00F85253">
        <w:rPr>
          <w:rFonts w:ascii="Arial" w:hAnsi="Arial" w:cs="Arial"/>
          <w:sz w:val="22"/>
          <w:szCs w:val="22"/>
          <w:lang w:val="es-ES_tradnl"/>
        </w:rPr>
        <w:t xml:space="preserve"> </w:t>
      </w:r>
      <w:r w:rsidR="00583391" w:rsidRPr="00F85253">
        <w:rPr>
          <w:rFonts w:ascii="Arial" w:hAnsi="Arial" w:cs="Arial"/>
          <w:sz w:val="22"/>
          <w:szCs w:val="22"/>
          <w:lang w:val="es-ES_tradnl"/>
        </w:rPr>
        <w:t>millones</w:t>
      </w:r>
      <w:r w:rsidRPr="00F85253">
        <w:rPr>
          <w:rFonts w:ascii="Arial" w:hAnsi="Arial" w:cs="Arial"/>
          <w:sz w:val="22"/>
          <w:szCs w:val="22"/>
          <w:lang w:val="es-ES_tradnl"/>
        </w:rPr>
        <w:t xml:space="preserve">. </w:t>
      </w:r>
    </w:p>
    <w:p w14:paraId="1BF6483A" w14:textId="77777777" w:rsidR="00D665D8" w:rsidRPr="00F85253" w:rsidRDefault="00D665D8" w:rsidP="000B2BC8">
      <w:pPr>
        <w:pStyle w:val="Paragraph"/>
        <w:tabs>
          <w:tab w:val="num" w:pos="2196"/>
        </w:tabs>
        <w:spacing w:before="0" w:after="0" w:line="276" w:lineRule="auto"/>
        <w:ind w:left="720"/>
        <w:outlineLvl w:val="9"/>
        <w:rPr>
          <w:rFonts w:ascii="Arial" w:hAnsi="Arial" w:cs="Arial"/>
          <w:sz w:val="22"/>
          <w:szCs w:val="22"/>
          <w:lang w:val="es-ES_tradnl"/>
        </w:rPr>
      </w:pPr>
    </w:p>
    <w:p w14:paraId="523D9B15" w14:textId="2E711E54" w:rsidR="003114F6" w:rsidRPr="00F85253" w:rsidRDefault="00073687" w:rsidP="003114F6">
      <w:pPr>
        <w:pStyle w:val="Paragraph"/>
        <w:numPr>
          <w:ilvl w:val="1"/>
          <w:numId w:val="2"/>
        </w:numPr>
        <w:tabs>
          <w:tab w:val="clear" w:pos="1296"/>
          <w:tab w:val="num" w:pos="720"/>
          <w:tab w:val="num" w:pos="1800"/>
          <w:tab w:val="num" w:pos="2196"/>
        </w:tabs>
        <w:spacing w:before="0" w:after="0" w:line="276" w:lineRule="auto"/>
        <w:ind w:left="720" w:hanging="720"/>
        <w:outlineLvl w:val="9"/>
        <w:rPr>
          <w:rFonts w:ascii="Arial" w:hAnsi="Arial" w:cs="Arial"/>
          <w:sz w:val="22"/>
          <w:szCs w:val="22"/>
          <w:lang w:val="es-ES_tradnl"/>
        </w:rPr>
      </w:pPr>
      <w:r w:rsidRPr="00F85253">
        <w:rPr>
          <w:rFonts w:ascii="Arial" w:hAnsi="Arial" w:cs="Arial"/>
          <w:b/>
          <w:sz w:val="22"/>
          <w:szCs w:val="22"/>
          <w:lang w:val="es-ES_tradnl"/>
        </w:rPr>
        <w:t>Los costos económicos</w:t>
      </w:r>
      <w:r w:rsidRPr="00F85253">
        <w:rPr>
          <w:rFonts w:ascii="Arial" w:hAnsi="Arial" w:cs="Arial"/>
          <w:sz w:val="22"/>
          <w:szCs w:val="22"/>
          <w:lang w:val="es-ES_tradnl"/>
        </w:rPr>
        <w:t xml:space="preserve"> toman en cuenta</w:t>
      </w:r>
      <w:r w:rsidR="00867245" w:rsidRPr="00F85253">
        <w:rPr>
          <w:rFonts w:ascii="Arial" w:hAnsi="Arial" w:cs="Arial"/>
          <w:sz w:val="22"/>
          <w:szCs w:val="22"/>
          <w:lang w:val="es-ES_tradnl"/>
        </w:rPr>
        <w:t xml:space="preserve"> los</w:t>
      </w:r>
      <w:r w:rsidR="00801A87" w:rsidRPr="00F85253">
        <w:rPr>
          <w:rFonts w:ascii="Arial" w:hAnsi="Arial" w:cs="Arial"/>
          <w:sz w:val="22"/>
          <w:szCs w:val="22"/>
          <w:lang w:val="es-ES_tradnl"/>
        </w:rPr>
        <w:t xml:space="preserve"> </w:t>
      </w:r>
      <w:r w:rsidR="00867245" w:rsidRPr="00F85253">
        <w:rPr>
          <w:rFonts w:ascii="Arial" w:hAnsi="Arial" w:cs="Arial"/>
          <w:sz w:val="22"/>
          <w:szCs w:val="22"/>
          <w:lang w:val="es-ES_tradnl"/>
        </w:rPr>
        <w:t>g</w:t>
      </w:r>
      <w:r w:rsidR="00801A87" w:rsidRPr="00F85253">
        <w:rPr>
          <w:rFonts w:ascii="Arial" w:hAnsi="Arial" w:cs="Arial"/>
          <w:sz w:val="22"/>
          <w:szCs w:val="22"/>
          <w:lang w:val="es-ES_tradnl"/>
        </w:rPr>
        <w:t>asto</w:t>
      </w:r>
      <w:r w:rsidR="00867245" w:rsidRPr="00F85253">
        <w:rPr>
          <w:rFonts w:ascii="Arial" w:hAnsi="Arial" w:cs="Arial"/>
          <w:sz w:val="22"/>
          <w:szCs w:val="22"/>
          <w:lang w:val="es-ES_tradnl"/>
        </w:rPr>
        <w:t>s</w:t>
      </w:r>
      <w:r w:rsidR="00801A87" w:rsidRPr="00F85253">
        <w:rPr>
          <w:rFonts w:ascii="Arial" w:hAnsi="Arial" w:cs="Arial"/>
          <w:sz w:val="22"/>
          <w:szCs w:val="22"/>
          <w:lang w:val="es-ES_tradnl"/>
        </w:rPr>
        <w:t xml:space="preserve"> en </w:t>
      </w:r>
      <w:r w:rsidR="00867245" w:rsidRPr="00F85253">
        <w:rPr>
          <w:rFonts w:ascii="Arial" w:hAnsi="Arial" w:cs="Arial"/>
          <w:sz w:val="22"/>
          <w:szCs w:val="22"/>
          <w:lang w:val="es-ES_tradnl"/>
        </w:rPr>
        <w:t>c</w:t>
      </w:r>
      <w:r w:rsidR="00801A87" w:rsidRPr="00F85253">
        <w:rPr>
          <w:rFonts w:ascii="Arial" w:hAnsi="Arial" w:cs="Arial"/>
          <w:sz w:val="22"/>
          <w:szCs w:val="22"/>
          <w:lang w:val="es-ES_tradnl"/>
        </w:rPr>
        <w:t>apital</w:t>
      </w:r>
      <w:r w:rsidR="00652FA9" w:rsidRPr="00F85253">
        <w:rPr>
          <w:rFonts w:ascii="Arial" w:hAnsi="Arial" w:cs="Arial"/>
          <w:sz w:val="22"/>
          <w:szCs w:val="22"/>
          <w:lang w:val="es-ES_tradnl"/>
        </w:rPr>
        <w:t xml:space="preserve"> </w:t>
      </w:r>
      <w:r w:rsidR="00801A87" w:rsidRPr="00F85253">
        <w:rPr>
          <w:rFonts w:ascii="Arial" w:hAnsi="Arial" w:cs="Arial"/>
          <w:sz w:val="22"/>
          <w:szCs w:val="22"/>
          <w:lang w:val="es-ES_tradnl"/>
        </w:rPr>
        <w:t>-</w:t>
      </w:r>
      <w:r w:rsidR="00652FA9" w:rsidRPr="00F85253">
        <w:rPr>
          <w:rFonts w:ascii="Arial" w:hAnsi="Arial" w:cs="Arial"/>
          <w:sz w:val="22"/>
          <w:szCs w:val="22"/>
          <w:lang w:val="es-ES_tradnl"/>
        </w:rPr>
        <w:t>Capex y</w:t>
      </w:r>
      <w:r w:rsidR="000E1BBD" w:rsidRPr="00F85253">
        <w:rPr>
          <w:rFonts w:ascii="Arial" w:hAnsi="Arial" w:cs="Arial"/>
          <w:sz w:val="22"/>
          <w:szCs w:val="22"/>
          <w:lang w:val="es-ES_tradnl"/>
        </w:rPr>
        <w:t xml:space="preserve"> los</w:t>
      </w:r>
      <w:r w:rsidR="00867245" w:rsidRPr="00F85253">
        <w:rPr>
          <w:rFonts w:ascii="Arial" w:hAnsi="Arial" w:cs="Arial"/>
          <w:sz w:val="22"/>
          <w:szCs w:val="22"/>
          <w:lang w:val="es-ES_tradnl"/>
        </w:rPr>
        <w:t xml:space="preserve"> g</w:t>
      </w:r>
      <w:r w:rsidR="00801A87" w:rsidRPr="00F85253">
        <w:rPr>
          <w:rFonts w:ascii="Arial" w:hAnsi="Arial" w:cs="Arial"/>
          <w:sz w:val="22"/>
          <w:szCs w:val="22"/>
          <w:lang w:val="es-ES_tradnl"/>
        </w:rPr>
        <w:t xml:space="preserve">astos de </w:t>
      </w:r>
      <w:r w:rsidR="00867245" w:rsidRPr="00F85253">
        <w:rPr>
          <w:rFonts w:ascii="Arial" w:hAnsi="Arial" w:cs="Arial"/>
          <w:sz w:val="22"/>
          <w:szCs w:val="22"/>
          <w:lang w:val="es-ES_tradnl"/>
        </w:rPr>
        <w:t>o</w:t>
      </w:r>
      <w:r w:rsidR="00801A87" w:rsidRPr="00F85253">
        <w:rPr>
          <w:rFonts w:ascii="Arial" w:hAnsi="Arial" w:cs="Arial"/>
          <w:sz w:val="22"/>
          <w:szCs w:val="22"/>
          <w:lang w:val="es-ES_tradnl"/>
        </w:rPr>
        <w:t>peración</w:t>
      </w:r>
      <w:r w:rsidR="00652FA9" w:rsidRPr="00F85253">
        <w:rPr>
          <w:rFonts w:ascii="Arial" w:hAnsi="Arial" w:cs="Arial"/>
          <w:sz w:val="22"/>
          <w:szCs w:val="22"/>
          <w:lang w:val="es-ES_tradnl"/>
        </w:rPr>
        <w:t xml:space="preserve"> </w:t>
      </w:r>
      <w:r w:rsidR="00801A87" w:rsidRPr="00F85253">
        <w:rPr>
          <w:rFonts w:ascii="Arial" w:hAnsi="Arial" w:cs="Arial"/>
          <w:sz w:val="22"/>
          <w:szCs w:val="22"/>
          <w:lang w:val="es-ES_tradnl"/>
        </w:rPr>
        <w:t>-</w:t>
      </w:r>
      <w:r w:rsidR="00652FA9" w:rsidRPr="00F85253">
        <w:rPr>
          <w:rFonts w:ascii="Arial" w:hAnsi="Arial" w:cs="Arial"/>
          <w:sz w:val="22"/>
          <w:szCs w:val="22"/>
          <w:lang w:val="es-ES_tradnl"/>
        </w:rPr>
        <w:t xml:space="preserve">Opex del </w:t>
      </w:r>
      <w:r w:rsidR="00D106E8" w:rsidRPr="00F85253">
        <w:rPr>
          <w:rFonts w:ascii="Arial" w:hAnsi="Arial" w:cs="Arial"/>
          <w:sz w:val="22"/>
          <w:szCs w:val="22"/>
          <w:lang w:val="es-ES_tradnl"/>
        </w:rPr>
        <w:t>programa</w:t>
      </w:r>
      <w:r w:rsidR="000E1BBD" w:rsidRPr="00F85253">
        <w:rPr>
          <w:rFonts w:ascii="Arial" w:hAnsi="Arial" w:cs="Arial"/>
          <w:sz w:val="22"/>
          <w:szCs w:val="22"/>
          <w:lang w:val="es-ES_tradnl"/>
        </w:rPr>
        <w:t>,</w:t>
      </w:r>
      <w:r w:rsidR="00D106E8" w:rsidRPr="00F85253">
        <w:rPr>
          <w:rFonts w:ascii="Arial" w:hAnsi="Arial" w:cs="Arial"/>
          <w:sz w:val="22"/>
          <w:szCs w:val="22"/>
          <w:lang w:val="es-ES_tradnl"/>
        </w:rPr>
        <w:t xml:space="preserve"> </w:t>
      </w:r>
      <w:r w:rsidR="00962877" w:rsidRPr="00F85253">
        <w:rPr>
          <w:rFonts w:ascii="Arial" w:hAnsi="Arial" w:cs="Arial"/>
          <w:sz w:val="22"/>
          <w:szCs w:val="22"/>
          <w:lang w:val="es-ES_tradnl"/>
        </w:rPr>
        <w:t>en precios de eficiencia</w:t>
      </w:r>
      <w:r w:rsidR="000E1BBD" w:rsidRPr="00F85253">
        <w:rPr>
          <w:rFonts w:ascii="Arial" w:hAnsi="Arial" w:cs="Arial"/>
          <w:sz w:val="22"/>
          <w:szCs w:val="22"/>
          <w:lang w:val="es-ES_tradnl"/>
        </w:rPr>
        <w:t xml:space="preserve">. </w:t>
      </w:r>
      <w:r w:rsidR="003009EA" w:rsidRPr="00F85253">
        <w:rPr>
          <w:rFonts w:ascii="Arial" w:hAnsi="Arial" w:cs="Arial"/>
          <w:sz w:val="22"/>
          <w:szCs w:val="22"/>
          <w:lang w:val="es-ES_tradnl"/>
        </w:rPr>
        <w:t>El g</w:t>
      </w:r>
      <w:r w:rsidR="00765387" w:rsidRPr="00F85253">
        <w:rPr>
          <w:rFonts w:ascii="Arial" w:hAnsi="Arial" w:cs="Arial"/>
          <w:sz w:val="22"/>
          <w:szCs w:val="22"/>
          <w:lang w:val="es-ES_tradnl"/>
        </w:rPr>
        <w:t xml:space="preserve">asto en </w:t>
      </w:r>
      <w:r w:rsidR="003009EA" w:rsidRPr="00F85253">
        <w:rPr>
          <w:rFonts w:ascii="Arial" w:hAnsi="Arial" w:cs="Arial"/>
          <w:sz w:val="22"/>
          <w:szCs w:val="22"/>
          <w:lang w:val="es-ES_tradnl"/>
        </w:rPr>
        <w:t>c</w:t>
      </w:r>
      <w:r w:rsidR="00765387" w:rsidRPr="00F85253">
        <w:rPr>
          <w:rFonts w:ascii="Arial" w:hAnsi="Arial" w:cs="Arial"/>
          <w:sz w:val="22"/>
          <w:szCs w:val="22"/>
          <w:lang w:val="es-ES_tradnl"/>
        </w:rPr>
        <w:t>apital está conformado por el monto asociado</w:t>
      </w:r>
      <w:r w:rsidR="00E07C84" w:rsidRPr="00F85253">
        <w:rPr>
          <w:rFonts w:ascii="Arial" w:hAnsi="Arial" w:cs="Arial"/>
          <w:sz w:val="22"/>
          <w:szCs w:val="22"/>
          <w:lang w:val="es-ES_tradnl"/>
        </w:rPr>
        <w:t xml:space="preserve"> a</w:t>
      </w:r>
      <w:r w:rsidR="0076678F" w:rsidRPr="00F85253">
        <w:rPr>
          <w:rFonts w:ascii="Arial" w:hAnsi="Arial" w:cs="Arial"/>
          <w:sz w:val="22"/>
          <w:szCs w:val="22"/>
          <w:lang w:val="es-ES_tradnl"/>
        </w:rPr>
        <w:t>:</w:t>
      </w:r>
      <w:r w:rsidR="00940071" w:rsidRPr="00F85253">
        <w:rPr>
          <w:rFonts w:ascii="Arial" w:hAnsi="Arial" w:cs="Arial"/>
          <w:sz w:val="22"/>
          <w:szCs w:val="22"/>
          <w:lang w:val="es-ES_tradnl"/>
        </w:rPr>
        <w:t xml:space="preserve"> a) la Optimización de la cartera de EEPP, que incluye:</w:t>
      </w:r>
      <w:r w:rsidR="00E07C84" w:rsidRPr="00F85253">
        <w:rPr>
          <w:rFonts w:ascii="Arial" w:hAnsi="Arial" w:cs="Arial"/>
          <w:sz w:val="22"/>
          <w:szCs w:val="22"/>
          <w:lang w:val="es-ES_tradnl"/>
        </w:rPr>
        <w:t xml:space="preserve"> la fusión de las petroleras, la optimización de CELEC, CNEL, consultorías de TAME y estrategias de comunicación; las desvinculaciones del personal de </w:t>
      </w:r>
      <w:r w:rsidR="008A5C1A" w:rsidRPr="00F85253">
        <w:rPr>
          <w:rFonts w:ascii="Arial" w:hAnsi="Arial" w:cs="Arial"/>
          <w:sz w:val="22"/>
          <w:szCs w:val="22"/>
          <w:lang w:val="es-ES_tradnl"/>
        </w:rPr>
        <w:t>EEPP</w:t>
      </w:r>
      <w:r w:rsidR="00E07C84" w:rsidRPr="00F85253">
        <w:rPr>
          <w:rFonts w:ascii="Arial" w:hAnsi="Arial" w:cs="Arial"/>
          <w:sz w:val="22"/>
          <w:szCs w:val="22"/>
          <w:lang w:val="es-ES_tradnl"/>
        </w:rPr>
        <w:t xml:space="preserve">; </w:t>
      </w:r>
      <w:r w:rsidR="00940071" w:rsidRPr="00F85253">
        <w:rPr>
          <w:rFonts w:ascii="Arial" w:hAnsi="Arial" w:cs="Arial"/>
          <w:sz w:val="22"/>
          <w:szCs w:val="22"/>
          <w:lang w:val="es-ES_tradnl"/>
        </w:rPr>
        <w:t xml:space="preserve">b) </w:t>
      </w:r>
      <w:r w:rsidR="00E07C84" w:rsidRPr="00F85253">
        <w:rPr>
          <w:rFonts w:ascii="Arial" w:hAnsi="Arial" w:cs="Arial"/>
          <w:sz w:val="22"/>
          <w:szCs w:val="22"/>
          <w:lang w:val="es-ES_tradnl"/>
        </w:rPr>
        <w:t>las actividades para el fortalecimiento del Marco de Gobernanza Corporativa; y,</w:t>
      </w:r>
      <w:r w:rsidR="0076678F" w:rsidRPr="00F85253">
        <w:rPr>
          <w:rFonts w:ascii="Arial" w:hAnsi="Arial" w:cs="Arial"/>
          <w:sz w:val="22"/>
          <w:szCs w:val="22"/>
          <w:lang w:val="es-ES_tradnl"/>
        </w:rPr>
        <w:t xml:space="preserve"> c)</w:t>
      </w:r>
      <w:r w:rsidR="00E07C84" w:rsidRPr="00F85253">
        <w:rPr>
          <w:rFonts w:ascii="Arial" w:hAnsi="Arial" w:cs="Arial"/>
          <w:sz w:val="22"/>
          <w:szCs w:val="22"/>
          <w:lang w:val="es-ES_tradnl"/>
        </w:rPr>
        <w:t xml:space="preserve"> la administración del programa. </w:t>
      </w:r>
      <w:r w:rsidR="00765387" w:rsidRPr="00F85253">
        <w:rPr>
          <w:rFonts w:ascii="Arial" w:hAnsi="Arial" w:cs="Arial"/>
          <w:sz w:val="22"/>
          <w:szCs w:val="22"/>
          <w:lang w:val="es-ES_tradnl"/>
        </w:rPr>
        <w:t xml:space="preserve">El gasto de </w:t>
      </w:r>
      <w:r w:rsidR="003009EA" w:rsidRPr="00F85253">
        <w:rPr>
          <w:rFonts w:ascii="Arial" w:hAnsi="Arial" w:cs="Arial"/>
          <w:sz w:val="22"/>
          <w:szCs w:val="22"/>
          <w:lang w:val="es-ES_tradnl"/>
        </w:rPr>
        <w:t>o</w:t>
      </w:r>
      <w:r w:rsidR="00765387" w:rsidRPr="00F85253">
        <w:rPr>
          <w:rFonts w:ascii="Arial" w:hAnsi="Arial" w:cs="Arial"/>
          <w:sz w:val="22"/>
          <w:szCs w:val="22"/>
          <w:lang w:val="es-ES_tradnl"/>
        </w:rPr>
        <w:t>peraci</w:t>
      </w:r>
      <w:r w:rsidR="00461827" w:rsidRPr="00F85253">
        <w:rPr>
          <w:rFonts w:ascii="Arial" w:hAnsi="Arial" w:cs="Arial"/>
          <w:sz w:val="22"/>
          <w:szCs w:val="22"/>
          <w:lang w:val="es-ES_tradnl"/>
        </w:rPr>
        <w:t xml:space="preserve">ón </w:t>
      </w:r>
      <w:r w:rsidR="00D72BDD" w:rsidRPr="00F85253">
        <w:rPr>
          <w:rFonts w:ascii="Arial" w:hAnsi="Arial" w:cs="Arial"/>
          <w:sz w:val="22"/>
          <w:szCs w:val="22"/>
          <w:lang w:val="es-ES_tradnl"/>
        </w:rPr>
        <w:t>equivale al 12% del gasto de capital</w:t>
      </w:r>
      <w:r w:rsidR="001B204E" w:rsidRPr="00F85253">
        <w:rPr>
          <w:rFonts w:ascii="Arial" w:hAnsi="Arial" w:cs="Arial"/>
          <w:sz w:val="22"/>
          <w:szCs w:val="22"/>
          <w:lang w:val="es-ES_tradnl"/>
        </w:rPr>
        <w:t xml:space="preserve"> acumulado</w:t>
      </w:r>
      <w:r w:rsidR="0076678F" w:rsidRPr="00F85253">
        <w:rPr>
          <w:rFonts w:ascii="Arial" w:hAnsi="Arial" w:cs="Arial"/>
          <w:sz w:val="22"/>
          <w:szCs w:val="22"/>
          <w:lang w:val="es-ES_tradnl"/>
        </w:rPr>
        <w:t xml:space="preserve"> anual</w:t>
      </w:r>
      <w:r w:rsidR="00D72BDD" w:rsidRPr="00F85253">
        <w:rPr>
          <w:rFonts w:ascii="Arial" w:hAnsi="Arial" w:cs="Arial"/>
          <w:sz w:val="22"/>
          <w:szCs w:val="22"/>
          <w:lang w:val="es-ES_tradnl"/>
        </w:rPr>
        <w:t xml:space="preserve">, </w:t>
      </w:r>
      <w:r w:rsidR="001B204E" w:rsidRPr="00F85253">
        <w:rPr>
          <w:rFonts w:ascii="Arial" w:hAnsi="Arial" w:cs="Arial"/>
          <w:sz w:val="22"/>
          <w:szCs w:val="22"/>
          <w:lang w:val="es-ES_tradnl"/>
        </w:rPr>
        <w:t xml:space="preserve">conforme </w:t>
      </w:r>
      <w:r w:rsidR="00D72BDD" w:rsidRPr="00F85253">
        <w:rPr>
          <w:rFonts w:ascii="Arial" w:hAnsi="Arial" w:cs="Arial"/>
          <w:sz w:val="22"/>
          <w:szCs w:val="22"/>
          <w:lang w:val="es-ES_tradnl"/>
        </w:rPr>
        <w:t>el período correspondiente</w:t>
      </w:r>
      <w:r w:rsidR="00765387" w:rsidRPr="00F85253">
        <w:rPr>
          <w:rFonts w:ascii="Arial" w:hAnsi="Arial" w:cs="Arial"/>
          <w:sz w:val="22"/>
          <w:szCs w:val="22"/>
          <w:lang w:val="es-ES_tradnl"/>
        </w:rPr>
        <w:t xml:space="preserve">. </w:t>
      </w:r>
      <w:r w:rsidR="00761399" w:rsidRPr="00F85253">
        <w:rPr>
          <w:rFonts w:ascii="Arial" w:hAnsi="Arial" w:cs="Arial"/>
          <w:sz w:val="22"/>
          <w:szCs w:val="22"/>
          <w:lang w:val="es-ES_tradnl"/>
        </w:rPr>
        <w:t>Se destaca que</w:t>
      </w:r>
      <w:r w:rsidR="001B204E" w:rsidRPr="00F85253">
        <w:rPr>
          <w:rFonts w:ascii="Arial" w:hAnsi="Arial" w:cs="Arial"/>
          <w:sz w:val="22"/>
          <w:szCs w:val="22"/>
          <w:lang w:val="es-ES_tradnl"/>
        </w:rPr>
        <w:t>,</w:t>
      </w:r>
      <w:r w:rsidR="00765387" w:rsidRPr="00F85253">
        <w:rPr>
          <w:rFonts w:ascii="Arial" w:hAnsi="Arial" w:cs="Arial"/>
          <w:sz w:val="22"/>
          <w:szCs w:val="22"/>
          <w:lang w:val="es-ES_tradnl"/>
        </w:rPr>
        <w:t xml:space="preserve"> e</w:t>
      </w:r>
      <w:r w:rsidR="003009EA" w:rsidRPr="00F85253">
        <w:rPr>
          <w:rFonts w:ascii="Arial" w:hAnsi="Arial" w:cs="Arial"/>
          <w:sz w:val="22"/>
          <w:szCs w:val="22"/>
          <w:lang w:val="es-ES_tradnl"/>
        </w:rPr>
        <w:t>l costo de las desvinculaciones</w:t>
      </w:r>
      <w:r w:rsidR="00765387" w:rsidRPr="00F85253">
        <w:rPr>
          <w:rFonts w:ascii="Arial" w:hAnsi="Arial" w:cs="Arial"/>
          <w:sz w:val="22"/>
          <w:szCs w:val="22"/>
          <w:lang w:val="es-ES_tradnl"/>
        </w:rPr>
        <w:t xml:space="preserve"> toma en cuenta </w:t>
      </w:r>
      <w:r w:rsidR="00765387" w:rsidRPr="00F85253">
        <w:rPr>
          <w:rFonts w:ascii="Arial" w:hAnsi="Arial" w:cs="Arial"/>
          <w:b/>
          <w:sz w:val="22"/>
          <w:szCs w:val="22"/>
          <w:lang w:val="es-ES_tradnl"/>
        </w:rPr>
        <w:t>únicamente</w:t>
      </w:r>
      <w:r w:rsidR="003009EA" w:rsidRPr="00F85253">
        <w:rPr>
          <w:rFonts w:ascii="Arial" w:hAnsi="Arial" w:cs="Arial"/>
          <w:sz w:val="22"/>
          <w:szCs w:val="22"/>
          <w:lang w:val="es-ES_tradnl"/>
        </w:rPr>
        <w:t xml:space="preserve"> a</w:t>
      </w:r>
      <w:r w:rsidR="00765387" w:rsidRPr="00F85253">
        <w:rPr>
          <w:rFonts w:ascii="Arial" w:hAnsi="Arial" w:cs="Arial"/>
          <w:sz w:val="22"/>
          <w:szCs w:val="22"/>
          <w:lang w:val="es-ES_tradnl"/>
        </w:rPr>
        <w:t>l valor de compensaciones</w:t>
      </w:r>
      <w:r w:rsidR="00103FF0" w:rsidRPr="00F85253">
        <w:rPr>
          <w:rFonts w:ascii="Arial" w:hAnsi="Arial" w:cs="Arial"/>
          <w:sz w:val="22"/>
          <w:szCs w:val="22"/>
          <w:lang w:val="es-ES_tradnl"/>
        </w:rPr>
        <w:t>,</w:t>
      </w:r>
      <w:r w:rsidR="00765387" w:rsidRPr="00F85253">
        <w:rPr>
          <w:rFonts w:ascii="Arial" w:hAnsi="Arial" w:cs="Arial"/>
          <w:sz w:val="22"/>
          <w:szCs w:val="22"/>
          <w:lang w:val="es-ES_tradnl"/>
        </w:rPr>
        <w:t xml:space="preserve"> financiado</w:t>
      </w:r>
      <w:r w:rsidR="00652FA9" w:rsidRPr="00F85253">
        <w:rPr>
          <w:rFonts w:ascii="Arial" w:hAnsi="Arial" w:cs="Arial"/>
          <w:sz w:val="22"/>
          <w:szCs w:val="22"/>
          <w:lang w:val="es-ES_tradnl"/>
        </w:rPr>
        <w:t xml:space="preserve"> </w:t>
      </w:r>
      <w:r w:rsidR="00765387" w:rsidRPr="00F85253">
        <w:rPr>
          <w:rFonts w:ascii="Arial" w:hAnsi="Arial" w:cs="Arial"/>
          <w:sz w:val="22"/>
          <w:szCs w:val="22"/>
          <w:lang w:val="es-ES_tradnl"/>
        </w:rPr>
        <w:t>por el</w:t>
      </w:r>
      <w:r w:rsidR="00652FA9" w:rsidRPr="00F85253">
        <w:rPr>
          <w:rFonts w:ascii="Arial" w:hAnsi="Arial" w:cs="Arial"/>
          <w:sz w:val="22"/>
          <w:szCs w:val="22"/>
          <w:lang w:val="es-ES_tradnl"/>
        </w:rPr>
        <w:t xml:space="preserve"> </w:t>
      </w:r>
      <w:r w:rsidR="00DD3CF7" w:rsidRPr="00F85253">
        <w:rPr>
          <w:rFonts w:ascii="Arial" w:hAnsi="Arial" w:cs="Arial"/>
          <w:sz w:val="22"/>
          <w:szCs w:val="22"/>
          <w:lang w:val="es-ES_tradnl"/>
        </w:rPr>
        <w:t>BID</w:t>
      </w:r>
      <w:r w:rsidR="00652FA9" w:rsidRPr="00F85253">
        <w:rPr>
          <w:rFonts w:ascii="Arial" w:hAnsi="Arial" w:cs="Arial"/>
          <w:sz w:val="22"/>
          <w:szCs w:val="22"/>
          <w:lang w:val="es-ES_tradnl"/>
        </w:rPr>
        <w:t xml:space="preserve">. </w:t>
      </w:r>
    </w:p>
    <w:p w14:paraId="20734F72" w14:textId="77777777" w:rsidR="00D665D8" w:rsidRPr="00F85253" w:rsidRDefault="00D665D8" w:rsidP="000B2BC8">
      <w:pPr>
        <w:pStyle w:val="Paragraph"/>
        <w:tabs>
          <w:tab w:val="num" w:pos="2196"/>
        </w:tabs>
        <w:spacing w:before="0" w:after="0" w:line="276" w:lineRule="auto"/>
        <w:ind w:left="720"/>
        <w:outlineLvl w:val="9"/>
        <w:rPr>
          <w:rFonts w:ascii="Arial" w:hAnsi="Arial" w:cs="Arial"/>
          <w:sz w:val="22"/>
          <w:szCs w:val="22"/>
          <w:lang w:val="es-ES_tradnl"/>
        </w:rPr>
      </w:pPr>
    </w:p>
    <w:p w14:paraId="02BB8197" w14:textId="7952A1BE" w:rsidR="00DD3CF7" w:rsidRPr="00F85253" w:rsidRDefault="003114F6" w:rsidP="00621ABC">
      <w:pPr>
        <w:pStyle w:val="Paragraph"/>
        <w:numPr>
          <w:ilvl w:val="1"/>
          <w:numId w:val="2"/>
        </w:numPr>
        <w:tabs>
          <w:tab w:val="clear" w:pos="1296"/>
          <w:tab w:val="num" w:pos="720"/>
          <w:tab w:val="num" w:pos="1800"/>
          <w:tab w:val="num" w:pos="2196"/>
        </w:tabs>
        <w:spacing w:before="0" w:after="0" w:line="276" w:lineRule="auto"/>
        <w:ind w:left="720" w:hanging="720"/>
        <w:outlineLvl w:val="9"/>
        <w:rPr>
          <w:rFonts w:ascii="Arial" w:hAnsi="Arial" w:cs="Arial"/>
          <w:sz w:val="22"/>
          <w:szCs w:val="22"/>
          <w:lang w:val="es-ES_tradnl"/>
        </w:rPr>
      </w:pPr>
      <w:r w:rsidRPr="00F85253">
        <w:rPr>
          <w:rFonts w:ascii="Arial" w:hAnsi="Arial" w:cs="Arial"/>
          <w:sz w:val="22"/>
          <w:szCs w:val="22"/>
          <w:lang w:val="es-ES_tradnl"/>
        </w:rPr>
        <w:t xml:space="preserve">En los montos dirigidos a la fusión de las </w:t>
      </w:r>
      <w:r w:rsidR="0023565F" w:rsidRPr="00F85253">
        <w:rPr>
          <w:rFonts w:ascii="Arial" w:hAnsi="Arial" w:cs="Arial"/>
          <w:sz w:val="22"/>
          <w:szCs w:val="22"/>
          <w:lang w:val="es-ES_tradnl"/>
        </w:rPr>
        <w:t>EEPP</w:t>
      </w:r>
      <w:r w:rsidRPr="00F85253">
        <w:rPr>
          <w:rFonts w:ascii="Arial" w:hAnsi="Arial" w:cs="Arial"/>
          <w:sz w:val="22"/>
          <w:szCs w:val="22"/>
          <w:lang w:val="es-ES_tradnl"/>
        </w:rPr>
        <w:t xml:space="preserve"> petroleras, a la optimización de CELEC, CNEL, consultorías para TAME, estrategias de comunicación, fortalecimiento </w:t>
      </w:r>
      <w:r w:rsidRPr="00F85253">
        <w:rPr>
          <w:rFonts w:ascii="Arial" w:hAnsi="Arial" w:cs="Arial"/>
          <w:sz w:val="22"/>
          <w:szCs w:val="22"/>
          <w:lang w:val="es-ES_tradnl"/>
        </w:rPr>
        <w:lastRenderedPageBreak/>
        <w:t>del Marco de Gobernanza Corporativa; y, la administración del programa, se utilizó el factor de conversión de mano de obra calificada (privado), para obtener los precios de eficiencia. En el monto dirigido a las desvinculaciones, se utilizó el factor de conversión de mano de obra cal</w:t>
      </w:r>
      <w:r w:rsidR="0076678F" w:rsidRPr="00F85253">
        <w:rPr>
          <w:rFonts w:ascii="Arial" w:hAnsi="Arial" w:cs="Arial"/>
          <w:sz w:val="22"/>
          <w:szCs w:val="22"/>
          <w:lang w:val="es-ES_tradnl"/>
        </w:rPr>
        <w:t>ificada y no calificada (público</w:t>
      </w:r>
      <w:r w:rsidRPr="00F85253">
        <w:rPr>
          <w:rFonts w:ascii="Arial" w:hAnsi="Arial" w:cs="Arial"/>
          <w:sz w:val="22"/>
          <w:szCs w:val="22"/>
          <w:lang w:val="es-ES_tradnl"/>
        </w:rPr>
        <w:t xml:space="preserve">). Se asume que un </w:t>
      </w:r>
      <w:r w:rsidR="001B204E" w:rsidRPr="00F85253">
        <w:rPr>
          <w:rFonts w:ascii="Arial" w:hAnsi="Arial" w:cs="Arial"/>
          <w:sz w:val="22"/>
          <w:szCs w:val="22"/>
          <w:lang w:val="es-ES_tradnl"/>
        </w:rPr>
        <w:t>61</w:t>
      </w:r>
      <w:r w:rsidRPr="00F85253">
        <w:rPr>
          <w:rFonts w:ascii="Arial" w:hAnsi="Arial" w:cs="Arial"/>
          <w:sz w:val="22"/>
          <w:szCs w:val="22"/>
          <w:lang w:val="es-ES_tradnl"/>
        </w:rPr>
        <w:t xml:space="preserve">% del personal desvinculado posee mano de obra calificada, y un </w:t>
      </w:r>
      <w:r w:rsidR="001B204E" w:rsidRPr="00F85253">
        <w:rPr>
          <w:rFonts w:ascii="Arial" w:hAnsi="Arial" w:cs="Arial"/>
          <w:sz w:val="22"/>
          <w:szCs w:val="22"/>
          <w:lang w:val="es-ES_tradnl"/>
        </w:rPr>
        <w:t>39</w:t>
      </w:r>
      <w:r w:rsidRPr="00F85253">
        <w:rPr>
          <w:rFonts w:ascii="Arial" w:hAnsi="Arial" w:cs="Arial"/>
          <w:sz w:val="22"/>
          <w:szCs w:val="22"/>
          <w:lang w:val="es-ES_tradnl"/>
        </w:rPr>
        <w:t>% mano de obra no calificada</w:t>
      </w:r>
      <w:r w:rsidR="001B204E" w:rsidRPr="00F85253">
        <w:rPr>
          <w:rStyle w:val="FootnoteReference"/>
          <w:rFonts w:ascii="Arial" w:hAnsi="Arial" w:cs="Arial"/>
          <w:sz w:val="22"/>
          <w:szCs w:val="22"/>
          <w:lang w:val="es-ES_tradnl"/>
        </w:rPr>
        <w:footnoteReference w:id="52"/>
      </w:r>
      <w:r w:rsidRPr="00F85253">
        <w:rPr>
          <w:rFonts w:ascii="Arial" w:hAnsi="Arial" w:cs="Arial"/>
          <w:sz w:val="22"/>
          <w:szCs w:val="22"/>
          <w:lang w:val="es-ES_tradnl"/>
        </w:rPr>
        <w:t xml:space="preserve">. </w:t>
      </w:r>
      <w:r w:rsidR="00E1386A" w:rsidRPr="00F85253">
        <w:rPr>
          <w:rFonts w:ascii="Arial" w:hAnsi="Arial" w:cs="Arial"/>
          <w:sz w:val="22"/>
          <w:szCs w:val="22"/>
          <w:lang w:val="es-ES_tradnl"/>
        </w:rPr>
        <w:t xml:space="preserve">Los detalles para la estimación de los precios de eficiencia </w:t>
      </w:r>
      <w:r w:rsidR="00EB429F" w:rsidRPr="00F85253">
        <w:rPr>
          <w:rFonts w:ascii="Arial" w:hAnsi="Arial" w:cs="Arial"/>
          <w:sz w:val="22"/>
          <w:szCs w:val="22"/>
          <w:lang w:val="es-ES_tradnl"/>
        </w:rPr>
        <w:t xml:space="preserve">y sus respectivos factores de conversión </w:t>
      </w:r>
      <w:r w:rsidR="00E1386A" w:rsidRPr="00F85253">
        <w:rPr>
          <w:rFonts w:ascii="Arial" w:hAnsi="Arial" w:cs="Arial"/>
          <w:sz w:val="22"/>
          <w:szCs w:val="22"/>
          <w:lang w:val="es-ES_tradnl"/>
        </w:rPr>
        <w:t xml:space="preserve">son presentados en el </w:t>
      </w:r>
      <w:r w:rsidR="00E1386A" w:rsidRPr="00F85253">
        <w:rPr>
          <w:rFonts w:ascii="Arial" w:hAnsi="Arial" w:cs="Arial"/>
          <w:color w:val="0000FF"/>
          <w:sz w:val="22"/>
          <w:szCs w:val="22"/>
          <w:lang w:val="es-ES_tradnl"/>
        </w:rPr>
        <w:t>Anexo 1</w:t>
      </w:r>
      <w:r w:rsidR="00E1386A" w:rsidRPr="00F85253">
        <w:rPr>
          <w:rFonts w:ascii="Arial" w:hAnsi="Arial" w:cs="Arial"/>
          <w:sz w:val="22"/>
          <w:szCs w:val="22"/>
          <w:lang w:val="es-ES_tradnl"/>
        </w:rPr>
        <w:t xml:space="preserve"> del presente documento. </w:t>
      </w:r>
      <w:r w:rsidR="00651BCE" w:rsidRPr="00F85253">
        <w:rPr>
          <w:rFonts w:ascii="Arial" w:hAnsi="Arial" w:cs="Arial"/>
          <w:sz w:val="22"/>
          <w:szCs w:val="22"/>
          <w:lang w:val="es-ES_tradnl"/>
        </w:rPr>
        <w:t xml:space="preserve"> </w:t>
      </w:r>
    </w:p>
    <w:p w14:paraId="6E6721AB" w14:textId="77777777" w:rsidR="00D665D8" w:rsidRPr="00F85253" w:rsidRDefault="00D665D8" w:rsidP="000B2BC8">
      <w:pPr>
        <w:pStyle w:val="Paragraph"/>
        <w:tabs>
          <w:tab w:val="num" w:pos="2196"/>
        </w:tabs>
        <w:spacing w:before="0" w:after="0" w:line="276" w:lineRule="auto"/>
        <w:ind w:left="720"/>
        <w:outlineLvl w:val="9"/>
        <w:rPr>
          <w:rFonts w:ascii="Arial" w:hAnsi="Arial" w:cs="Arial"/>
          <w:sz w:val="22"/>
          <w:szCs w:val="22"/>
          <w:lang w:val="es-ES_tradnl"/>
        </w:rPr>
      </w:pPr>
    </w:p>
    <w:p w14:paraId="05839696" w14:textId="34CD5E5A" w:rsidR="006F7A24" w:rsidRPr="00F85253" w:rsidRDefault="00980DDF" w:rsidP="003114F6">
      <w:pPr>
        <w:pStyle w:val="Paragraph"/>
        <w:numPr>
          <w:ilvl w:val="1"/>
          <w:numId w:val="2"/>
        </w:numPr>
        <w:tabs>
          <w:tab w:val="clear" w:pos="1296"/>
          <w:tab w:val="num" w:pos="720"/>
          <w:tab w:val="num" w:pos="1800"/>
          <w:tab w:val="num" w:pos="2196"/>
        </w:tabs>
        <w:spacing w:before="0" w:after="0" w:line="276" w:lineRule="auto"/>
        <w:ind w:left="720" w:hanging="720"/>
        <w:outlineLvl w:val="9"/>
        <w:rPr>
          <w:rFonts w:ascii="Arial" w:hAnsi="Arial" w:cs="Arial"/>
          <w:sz w:val="22"/>
          <w:szCs w:val="22"/>
          <w:lang w:val="es-ES_tradnl"/>
        </w:rPr>
      </w:pPr>
      <w:r w:rsidRPr="00F85253">
        <w:rPr>
          <w:rFonts w:ascii="Arial" w:hAnsi="Arial" w:cs="Arial"/>
          <w:sz w:val="22"/>
          <w:szCs w:val="22"/>
          <w:lang w:val="es-ES_tradnl"/>
        </w:rPr>
        <w:t xml:space="preserve">En precios de mercado, </w:t>
      </w:r>
      <w:r w:rsidR="003114F6" w:rsidRPr="00F85253">
        <w:rPr>
          <w:rFonts w:ascii="Arial" w:hAnsi="Arial" w:cs="Arial"/>
          <w:sz w:val="22"/>
          <w:szCs w:val="22"/>
          <w:lang w:val="es-ES_tradnl"/>
        </w:rPr>
        <w:t xml:space="preserve">los valores asociados a la optimización de la cartera de </w:t>
      </w:r>
      <w:r w:rsidR="0023565F" w:rsidRPr="00F85253">
        <w:rPr>
          <w:rFonts w:ascii="Arial" w:hAnsi="Arial" w:cs="Arial"/>
          <w:sz w:val="22"/>
          <w:szCs w:val="22"/>
          <w:lang w:val="es-ES_tradnl"/>
        </w:rPr>
        <w:t>EEPP</w:t>
      </w:r>
      <w:r w:rsidR="003114F6" w:rsidRPr="00F85253">
        <w:rPr>
          <w:rFonts w:ascii="Arial" w:hAnsi="Arial" w:cs="Arial"/>
          <w:sz w:val="22"/>
          <w:szCs w:val="22"/>
          <w:lang w:val="es-ES_tradnl"/>
        </w:rPr>
        <w:t xml:space="preserve"> (excepto las desvinculaciones)</w:t>
      </w:r>
      <w:r w:rsidR="003114F6" w:rsidRPr="00F85253">
        <w:rPr>
          <w:rStyle w:val="FootnoteReference"/>
          <w:rFonts w:ascii="Arial" w:hAnsi="Arial" w:cs="Arial"/>
          <w:sz w:val="22"/>
          <w:szCs w:val="22"/>
          <w:lang w:val="es-ES_tradnl"/>
        </w:rPr>
        <w:footnoteReference w:id="53"/>
      </w:r>
      <w:r w:rsidR="003114F6" w:rsidRPr="00F85253">
        <w:rPr>
          <w:rFonts w:ascii="Arial" w:hAnsi="Arial" w:cs="Arial"/>
          <w:sz w:val="22"/>
          <w:szCs w:val="22"/>
          <w:lang w:val="es-ES_tradnl"/>
        </w:rPr>
        <w:t xml:space="preserve"> es de USD </w:t>
      </w:r>
      <w:r w:rsidR="008C6E99" w:rsidRPr="00F85253">
        <w:rPr>
          <w:rFonts w:ascii="Arial" w:hAnsi="Arial" w:cs="Arial"/>
          <w:sz w:val="22"/>
          <w:szCs w:val="22"/>
          <w:lang w:val="es-ES_tradnl"/>
        </w:rPr>
        <w:t>24.82</w:t>
      </w:r>
      <w:r w:rsidR="003114F6" w:rsidRPr="00F85253">
        <w:rPr>
          <w:rFonts w:ascii="Arial" w:hAnsi="Arial" w:cs="Arial"/>
          <w:sz w:val="22"/>
          <w:szCs w:val="22"/>
          <w:lang w:val="es-ES_tradnl"/>
        </w:rPr>
        <w:t xml:space="preserve"> millones, a las desvinculaciones de USD 43</w:t>
      </w:r>
      <w:r w:rsidR="008C6E99" w:rsidRPr="00F85253">
        <w:rPr>
          <w:rFonts w:ascii="Arial" w:hAnsi="Arial" w:cs="Arial"/>
          <w:sz w:val="22"/>
          <w:szCs w:val="22"/>
          <w:lang w:val="es-ES_tradnl"/>
        </w:rPr>
        <w:t>.00</w:t>
      </w:r>
      <w:r w:rsidR="003114F6" w:rsidRPr="00F85253">
        <w:rPr>
          <w:rFonts w:ascii="Arial" w:hAnsi="Arial" w:cs="Arial"/>
          <w:sz w:val="22"/>
          <w:szCs w:val="22"/>
          <w:lang w:val="es-ES_tradnl"/>
        </w:rPr>
        <w:t xml:space="preserve"> millones, al fortalecimiento del Marco de Gobernanza Corporativa de USD 4</w:t>
      </w:r>
      <w:r w:rsidR="008C6E99" w:rsidRPr="00F85253">
        <w:rPr>
          <w:rFonts w:ascii="Arial" w:hAnsi="Arial" w:cs="Arial"/>
          <w:sz w:val="22"/>
          <w:szCs w:val="22"/>
          <w:lang w:val="es-ES_tradnl"/>
        </w:rPr>
        <w:t>.11</w:t>
      </w:r>
      <w:r w:rsidR="003114F6" w:rsidRPr="00F85253">
        <w:rPr>
          <w:rFonts w:ascii="Arial" w:hAnsi="Arial" w:cs="Arial"/>
          <w:sz w:val="22"/>
          <w:szCs w:val="22"/>
          <w:lang w:val="es-ES_tradnl"/>
        </w:rPr>
        <w:t xml:space="preserve"> millones; y, la </w:t>
      </w:r>
      <w:r w:rsidR="008C6E99" w:rsidRPr="00F85253">
        <w:rPr>
          <w:rFonts w:ascii="Arial" w:hAnsi="Arial" w:cs="Arial"/>
          <w:sz w:val="22"/>
          <w:szCs w:val="22"/>
          <w:lang w:val="es-ES_tradnl"/>
        </w:rPr>
        <w:t>A</w:t>
      </w:r>
      <w:r w:rsidR="003114F6" w:rsidRPr="00F85253">
        <w:rPr>
          <w:rFonts w:ascii="Arial" w:hAnsi="Arial" w:cs="Arial"/>
          <w:sz w:val="22"/>
          <w:szCs w:val="22"/>
          <w:lang w:val="es-ES_tradnl"/>
        </w:rPr>
        <w:t>dministración del programa de USD 3</w:t>
      </w:r>
      <w:r w:rsidR="008C6E99" w:rsidRPr="00F85253">
        <w:rPr>
          <w:rFonts w:ascii="Arial" w:hAnsi="Arial" w:cs="Arial"/>
          <w:sz w:val="22"/>
          <w:szCs w:val="22"/>
          <w:lang w:val="es-ES_tradnl"/>
        </w:rPr>
        <w:t>.07</w:t>
      </w:r>
      <w:r w:rsidR="003114F6" w:rsidRPr="00F85253">
        <w:rPr>
          <w:rFonts w:ascii="Arial" w:hAnsi="Arial" w:cs="Arial"/>
          <w:sz w:val="22"/>
          <w:szCs w:val="22"/>
          <w:lang w:val="es-ES_tradnl"/>
        </w:rPr>
        <w:t xml:space="preserve"> millones. </w:t>
      </w:r>
      <w:r w:rsidR="00621ABC" w:rsidRPr="00F85253">
        <w:rPr>
          <w:rFonts w:ascii="Arial" w:hAnsi="Arial" w:cs="Arial"/>
          <w:sz w:val="22"/>
          <w:szCs w:val="22"/>
          <w:lang w:val="es-ES_tradnl"/>
        </w:rPr>
        <w:t>En</w:t>
      </w:r>
      <w:r w:rsidR="005C116D" w:rsidRPr="00F85253">
        <w:rPr>
          <w:rFonts w:ascii="Arial" w:hAnsi="Arial" w:cs="Arial"/>
          <w:sz w:val="22"/>
          <w:szCs w:val="22"/>
          <w:lang w:val="es-ES_tradnl"/>
        </w:rPr>
        <w:t xml:space="preserve"> precio</w:t>
      </w:r>
      <w:r w:rsidR="00621ABC" w:rsidRPr="00F85253">
        <w:rPr>
          <w:rFonts w:ascii="Arial" w:hAnsi="Arial" w:cs="Arial"/>
          <w:sz w:val="22"/>
          <w:szCs w:val="22"/>
          <w:lang w:val="es-ES_tradnl"/>
        </w:rPr>
        <w:t>s</w:t>
      </w:r>
      <w:r w:rsidR="005C116D" w:rsidRPr="00F85253">
        <w:rPr>
          <w:rFonts w:ascii="Arial" w:hAnsi="Arial" w:cs="Arial"/>
          <w:sz w:val="22"/>
          <w:szCs w:val="22"/>
          <w:lang w:val="es-ES_tradnl"/>
        </w:rPr>
        <w:t xml:space="preserve"> de </w:t>
      </w:r>
      <w:r w:rsidR="004064D1" w:rsidRPr="00F85253">
        <w:rPr>
          <w:rFonts w:ascii="Arial" w:hAnsi="Arial" w:cs="Arial"/>
          <w:sz w:val="22"/>
          <w:szCs w:val="22"/>
          <w:lang w:val="es-ES_tradnl"/>
        </w:rPr>
        <w:t>mercado</w:t>
      </w:r>
      <w:r w:rsidR="005C116D" w:rsidRPr="00F85253">
        <w:rPr>
          <w:rFonts w:ascii="Arial" w:hAnsi="Arial" w:cs="Arial"/>
          <w:sz w:val="22"/>
          <w:szCs w:val="22"/>
          <w:lang w:val="es-ES_tradnl"/>
        </w:rPr>
        <w:t xml:space="preserve">, el valor total invertido por parte del BID es de USD </w:t>
      </w:r>
      <w:r w:rsidR="004064D1" w:rsidRPr="00F85253">
        <w:rPr>
          <w:rFonts w:ascii="Arial" w:hAnsi="Arial" w:cs="Arial"/>
          <w:sz w:val="22"/>
          <w:szCs w:val="22"/>
          <w:lang w:val="es-ES_tradnl"/>
        </w:rPr>
        <w:t>75</w:t>
      </w:r>
      <w:r w:rsidR="005C116D" w:rsidRPr="00F85253">
        <w:rPr>
          <w:rFonts w:ascii="Arial" w:hAnsi="Arial" w:cs="Arial"/>
          <w:sz w:val="22"/>
          <w:szCs w:val="22"/>
          <w:lang w:val="es-ES_tradnl"/>
        </w:rPr>
        <w:t xml:space="preserve"> millones. Tomando en cuenta los factores de conversión antes mencionados, el costo total del proyecto (Capex y Opex) es de USD </w:t>
      </w:r>
      <w:r w:rsidR="00033E78" w:rsidRPr="00F85253">
        <w:rPr>
          <w:rFonts w:ascii="Arial" w:hAnsi="Arial" w:cs="Arial"/>
          <w:sz w:val="22"/>
          <w:szCs w:val="22"/>
          <w:lang w:val="es-ES_tradnl"/>
        </w:rPr>
        <w:t>126</w:t>
      </w:r>
      <w:r w:rsidR="008C6E99" w:rsidRPr="00F85253">
        <w:rPr>
          <w:rFonts w:ascii="Arial" w:hAnsi="Arial" w:cs="Arial"/>
          <w:sz w:val="22"/>
          <w:szCs w:val="22"/>
          <w:lang w:val="es-ES_tradnl"/>
        </w:rPr>
        <w:t>.05</w:t>
      </w:r>
      <w:r w:rsidR="00033E78" w:rsidRPr="00F85253">
        <w:rPr>
          <w:rFonts w:ascii="Arial" w:hAnsi="Arial" w:cs="Arial"/>
          <w:sz w:val="22"/>
          <w:szCs w:val="22"/>
          <w:lang w:val="es-ES_tradnl"/>
        </w:rPr>
        <w:t xml:space="preserve"> </w:t>
      </w:r>
      <w:r w:rsidR="005C116D" w:rsidRPr="00F85253">
        <w:rPr>
          <w:rFonts w:ascii="Arial" w:hAnsi="Arial" w:cs="Arial"/>
          <w:sz w:val="22"/>
          <w:szCs w:val="22"/>
          <w:lang w:val="es-ES_tradnl"/>
        </w:rPr>
        <w:t xml:space="preserve">millones, en precios de eficiencia, de los cuales USD </w:t>
      </w:r>
      <w:r w:rsidR="00D72BDD" w:rsidRPr="00F85253">
        <w:rPr>
          <w:rFonts w:ascii="Arial" w:hAnsi="Arial" w:cs="Arial"/>
          <w:sz w:val="22"/>
          <w:szCs w:val="22"/>
          <w:lang w:val="es-ES_tradnl"/>
        </w:rPr>
        <w:t>6</w:t>
      </w:r>
      <w:r w:rsidR="008C6E99" w:rsidRPr="00F85253">
        <w:rPr>
          <w:rFonts w:ascii="Arial" w:hAnsi="Arial" w:cs="Arial"/>
          <w:sz w:val="22"/>
          <w:szCs w:val="22"/>
          <w:lang w:val="es-ES_tradnl"/>
        </w:rPr>
        <w:t>1.75</w:t>
      </w:r>
      <w:r w:rsidR="004064D1" w:rsidRPr="00F85253">
        <w:rPr>
          <w:rFonts w:ascii="Arial" w:hAnsi="Arial" w:cs="Arial"/>
          <w:sz w:val="22"/>
          <w:szCs w:val="22"/>
          <w:lang w:val="es-ES_tradnl"/>
        </w:rPr>
        <w:t xml:space="preserve"> </w:t>
      </w:r>
      <w:r w:rsidR="005C116D" w:rsidRPr="00F85253">
        <w:rPr>
          <w:rFonts w:ascii="Arial" w:hAnsi="Arial" w:cs="Arial"/>
          <w:sz w:val="22"/>
          <w:szCs w:val="22"/>
          <w:lang w:val="es-ES_tradnl"/>
        </w:rPr>
        <w:t xml:space="preserve">millones corresponde a </w:t>
      </w:r>
      <w:r w:rsidR="00621ABC" w:rsidRPr="00F85253">
        <w:rPr>
          <w:rFonts w:ascii="Arial" w:hAnsi="Arial" w:cs="Arial"/>
          <w:sz w:val="22"/>
          <w:szCs w:val="22"/>
          <w:lang w:val="es-ES_tradnl"/>
        </w:rPr>
        <w:t>g</w:t>
      </w:r>
      <w:r w:rsidR="005C116D" w:rsidRPr="00F85253">
        <w:rPr>
          <w:rFonts w:ascii="Arial" w:hAnsi="Arial" w:cs="Arial"/>
          <w:sz w:val="22"/>
          <w:szCs w:val="22"/>
          <w:lang w:val="es-ES_tradnl"/>
        </w:rPr>
        <w:t xml:space="preserve">astos de </w:t>
      </w:r>
      <w:r w:rsidR="00621ABC" w:rsidRPr="00F85253">
        <w:rPr>
          <w:rFonts w:ascii="Arial" w:hAnsi="Arial" w:cs="Arial"/>
          <w:sz w:val="22"/>
          <w:szCs w:val="22"/>
          <w:lang w:val="es-ES_tradnl"/>
        </w:rPr>
        <w:t>c</w:t>
      </w:r>
      <w:r w:rsidR="005C116D" w:rsidRPr="00F85253">
        <w:rPr>
          <w:rFonts w:ascii="Arial" w:hAnsi="Arial" w:cs="Arial"/>
          <w:sz w:val="22"/>
          <w:szCs w:val="22"/>
          <w:lang w:val="es-ES_tradnl"/>
        </w:rPr>
        <w:t xml:space="preserve">apital -Capex y USD </w:t>
      </w:r>
      <w:r w:rsidR="00033E78" w:rsidRPr="00F85253">
        <w:rPr>
          <w:rFonts w:ascii="Arial" w:hAnsi="Arial" w:cs="Arial"/>
          <w:sz w:val="22"/>
          <w:szCs w:val="22"/>
          <w:lang w:val="es-ES_tradnl"/>
        </w:rPr>
        <w:t>64</w:t>
      </w:r>
      <w:r w:rsidR="008C6E99" w:rsidRPr="00F85253">
        <w:rPr>
          <w:rFonts w:ascii="Arial" w:hAnsi="Arial" w:cs="Arial"/>
          <w:sz w:val="22"/>
          <w:szCs w:val="22"/>
          <w:lang w:val="es-ES_tradnl"/>
        </w:rPr>
        <w:t>.30</w:t>
      </w:r>
      <w:r w:rsidR="00033E78" w:rsidRPr="00F85253">
        <w:rPr>
          <w:rFonts w:ascii="Arial" w:hAnsi="Arial" w:cs="Arial"/>
          <w:sz w:val="22"/>
          <w:szCs w:val="22"/>
          <w:lang w:val="es-ES_tradnl"/>
        </w:rPr>
        <w:t xml:space="preserve"> </w:t>
      </w:r>
      <w:r w:rsidR="005C116D" w:rsidRPr="00F85253">
        <w:rPr>
          <w:rFonts w:ascii="Arial" w:hAnsi="Arial" w:cs="Arial"/>
          <w:sz w:val="22"/>
          <w:szCs w:val="22"/>
          <w:lang w:val="es-ES_tradnl"/>
        </w:rPr>
        <w:t xml:space="preserve">millones a </w:t>
      </w:r>
      <w:r w:rsidR="00621ABC" w:rsidRPr="00F85253">
        <w:rPr>
          <w:rFonts w:ascii="Arial" w:hAnsi="Arial" w:cs="Arial"/>
          <w:sz w:val="22"/>
          <w:szCs w:val="22"/>
          <w:lang w:val="es-ES_tradnl"/>
        </w:rPr>
        <w:t>g</w:t>
      </w:r>
      <w:r w:rsidR="005C116D" w:rsidRPr="00F85253">
        <w:rPr>
          <w:rFonts w:ascii="Arial" w:hAnsi="Arial" w:cs="Arial"/>
          <w:sz w:val="22"/>
          <w:szCs w:val="22"/>
          <w:lang w:val="es-ES_tradnl"/>
        </w:rPr>
        <w:t xml:space="preserve">astos de </w:t>
      </w:r>
      <w:r w:rsidR="00621ABC" w:rsidRPr="00F85253">
        <w:rPr>
          <w:rFonts w:ascii="Arial" w:hAnsi="Arial" w:cs="Arial"/>
          <w:sz w:val="22"/>
          <w:szCs w:val="22"/>
          <w:lang w:val="es-ES_tradnl"/>
        </w:rPr>
        <w:t>o</w:t>
      </w:r>
      <w:r w:rsidR="005C116D" w:rsidRPr="00F85253">
        <w:rPr>
          <w:rFonts w:ascii="Arial" w:hAnsi="Arial" w:cs="Arial"/>
          <w:sz w:val="22"/>
          <w:szCs w:val="22"/>
          <w:lang w:val="es-ES_tradnl"/>
        </w:rPr>
        <w:t xml:space="preserve">peración </w:t>
      </w:r>
      <w:r w:rsidR="004064D1" w:rsidRPr="00F85253">
        <w:rPr>
          <w:rFonts w:ascii="Arial" w:hAnsi="Arial" w:cs="Arial"/>
          <w:sz w:val="22"/>
          <w:szCs w:val="22"/>
          <w:lang w:val="es-ES_tradnl"/>
        </w:rPr>
        <w:t>-</w:t>
      </w:r>
      <w:r w:rsidR="005C116D" w:rsidRPr="00F85253">
        <w:rPr>
          <w:rFonts w:ascii="Arial" w:hAnsi="Arial" w:cs="Arial"/>
          <w:sz w:val="22"/>
          <w:szCs w:val="22"/>
          <w:lang w:val="es-ES_tradnl"/>
        </w:rPr>
        <w:t xml:space="preserve">Opex. </w:t>
      </w:r>
    </w:p>
    <w:p w14:paraId="2434AD78" w14:textId="77777777" w:rsidR="00D665D8" w:rsidRPr="00F85253" w:rsidRDefault="00D665D8" w:rsidP="000B2BC8">
      <w:pPr>
        <w:pStyle w:val="Paragraph"/>
        <w:tabs>
          <w:tab w:val="num" w:pos="2196"/>
        </w:tabs>
        <w:spacing w:before="0" w:after="0" w:line="276" w:lineRule="auto"/>
        <w:ind w:left="720"/>
        <w:outlineLvl w:val="9"/>
        <w:rPr>
          <w:rFonts w:ascii="Arial" w:hAnsi="Arial" w:cs="Arial"/>
          <w:sz w:val="22"/>
          <w:szCs w:val="22"/>
          <w:lang w:val="es-ES_tradnl"/>
        </w:rPr>
      </w:pPr>
    </w:p>
    <w:p w14:paraId="13EF982F" w14:textId="40A63364" w:rsidR="00412B25" w:rsidRPr="00F85253" w:rsidRDefault="006F0271" w:rsidP="004313DF">
      <w:pPr>
        <w:pStyle w:val="Paragraph"/>
        <w:numPr>
          <w:ilvl w:val="1"/>
          <w:numId w:val="2"/>
        </w:numPr>
        <w:tabs>
          <w:tab w:val="clear" w:pos="1296"/>
          <w:tab w:val="num" w:pos="720"/>
          <w:tab w:val="num" w:pos="1800"/>
          <w:tab w:val="num" w:pos="2196"/>
        </w:tabs>
        <w:spacing w:before="0" w:after="0" w:line="276" w:lineRule="auto"/>
        <w:ind w:left="720" w:hanging="720"/>
        <w:outlineLvl w:val="9"/>
        <w:rPr>
          <w:rFonts w:ascii="Arial" w:hAnsi="Arial" w:cs="Arial"/>
          <w:sz w:val="22"/>
          <w:szCs w:val="22"/>
          <w:lang w:val="es-ES_tradnl"/>
        </w:rPr>
      </w:pPr>
      <w:r w:rsidRPr="00F85253">
        <w:rPr>
          <w:rFonts w:ascii="Arial" w:hAnsi="Arial" w:cs="Arial"/>
          <w:b/>
          <w:sz w:val="22"/>
          <w:szCs w:val="22"/>
          <w:lang w:val="es-ES_tradnl"/>
        </w:rPr>
        <w:t xml:space="preserve">Resultados financieros: </w:t>
      </w:r>
      <w:r w:rsidR="004313DF" w:rsidRPr="00F85253">
        <w:rPr>
          <w:rFonts w:ascii="Arial" w:hAnsi="Arial" w:cs="Arial"/>
          <w:sz w:val="22"/>
          <w:szCs w:val="22"/>
          <w:lang w:val="es-ES_tradnl"/>
        </w:rPr>
        <w:t xml:space="preserve">El flujo neto, generado por el programa es de USD </w:t>
      </w:r>
      <w:r w:rsidR="00033E78" w:rsidRPr="00F85253">
        <w:rPr>
          <w:rFonts w:ascii="Arial" w:hAnsi="Arial" w:cs="Arial"/>
          <w:sz w:val="22"/>
          <w:szCs w:val="22"/>
          <w:lang w:val="es-ES_tradnl"/>
        </w:rPr>
        <w:t>1</w:t>
      </w:r>
      <w:r w:rsidR="00441D06" w:rsidRPr="00F85253">
        <w:rPr>
          <w:rFonts w:ascii="Arial" w:hAnsi="Arial" w:cs="Arial"/>
          <w:sz w:val="22"/>
          <w:szCs w:val="22"/>
          <w:lang w:val="es-ES_tradnl"/>
        </w:rPr>
        <w:t>65</w:t>
      </w:r>
      <w:r w:rsidR="008C6E99" w:rsidRPr="00F85253">
        <w:rPr>
          <w:rFonts w:ascii="Arial" w:hAnsi="Arial" w:cs="Arial"/>
          <w:sz w:val="22"/>
          <w:szCs w:val="22"/>
          <w:lang w:val="es-ES_tradnl"/>
        </w:rPr>
        <w:t>.</w:t>
      </w:r>
      <w:r w:rsidR="00441D06" w:rsidRPr="00F85253">
        <w:rPr>
          <w:rFonts w:ascii="Arial" w:hAnsi="Arial" w:cs="Arial"/>
          <w:sz w:val="22"/>
          <w:szCs w:val="22"/>
          <w:lang w:val="es-ES_tradnl"/>
        </w:rPr>
        <w:t>42</w:t>
      </w:r>
      <w:r w:rsidR="00033E78" w:rsidRPr="00F85253">
        <w:rPr>
          <w:rFonts w:ascii="Arial" w:hAnsi="Arial" w:cs="Arial"/>
          <w:sz w:val="22"/>
          <w:szCs w:val="22"/>
          <w:lang w:val="es-ES_tradnl"/>
        </w:rPr>
        <w:t xml:space="preserve"> </w:t>
      </w:r>
      <w:r w:rsidR="004313DF" w:rsidRPr="00F85253">
        <w:rPr>
          <w:rFonts w:ascii="Arial" w:hAnsi="Arial" w:cs="Arial"/>
          <w:sz w:val="22"/>
          <w:szCs w:val="22"/>
          <w:lang w:val="es-ES_tradnl"/>
        </w:rPr>
        <w:t xml:space="preserve">millones. </w:t>
      </w:r>
      <w:r w:rsidR="00F57B6F" w:rsidRPr="00F85253">
        <w:rPr>
          <w:rFonts w:ascii="Arial" w:hAnsi="Arial" w:cs="Arial"/>
          <w:sz w:val="22"/>
          <w:szCs w:val="22"/>
          <w:lang w:val="es-ES_tradnl"/>
        </w:rPr>
        <w:t xml:space="preserve">El </w:t>
      </w:r>
      <w:r w:rsidR="00412B25" w:rsidRPr="00F85253">
        <w:rPr>
          <w:rFonts w:ascii="Arial" w:hAnsi="Arial" w:cs="Arial"/>
          <w:sz w:val="22"/>
          <w:szCs w:val="22"/>
          <w:lang w:val="es-ES_tradnl"/>
        </w:rPr>
        <w:t>valor presente neto (VP</w:t>
      </w:r>
      <w:r w:rsidR="00BA058F" w:rsidRPr="00F85253">
        <w:rPr>
          <w:rFonts w:ascii="Arial" w:hAnsi="Arial" w:cs="Arial"/>
          <w:sz w:val="22"/>
          <w:szCs w:val="22"/>
          <w:lang w:val="es-ES_tradnl"/>
        </w:rPr>
        <w:t>N</w:t>
      </w:r>
      <w:r w:rsidR="00F57B6F" w:rsidRPr="00F85253">
        <w:rPr>
          <w:rFonts w:ascii="Arial" w:hAnsi="Arial" w:cs="Arial"/>
          <w:sz w:val="22"/>
          <w:szCs w:val="22"/>
          <w:lang w:val="es-ES_tradnl"/>
        </w:rPr>
        <w:t>) es calculado</w:t>
      </w:r>
      <w:r w:rsidR="00412B25" w:rsidRPr="00F85253">
        <w:rPr>
          <w:rFonts w:ascii="Arial" w:hAnsi="Arial" w:cs="Arial"/>
          <w:sz w:val="22"/>
          <w:szCs w:val="22"/>
          <w:lang w:val="es-ES_tradnl"/>
        </w:rPr>
        <w:t xml:space="preserve"> a partir de</w:t>
      </w:r>
      <w:r w:rsidR="00F57B6F" w:rsidRPr="00F85253">
        <w:rPr>
          <w:rFonts w:ascii="Arial" w:hAnsi="Arial" w:cs="Arial"/>
          <w:sz w:val="22"/>
          <w:szCs w:val="22"/>
          <w:lang w:val="es-ES_tradnl"/>
        </w:rPr>
        <w:t xml:space="preserve"> </w:t>
      </w:r>
      <w:r w:rsidR="00412B25" w:rsidRPr="00F85253">
        <w:rPr>
          <w:rFonts w:ascii="Arial" w:hAnsi="Arial" w:cs="Arial"/>
          <w:sz w:val="22"/>
          <w:szCs w:val="22"/>
          <w:lang w:val="es-ES_tradnl"/>
        </w:rPr>
        <w:t>l</w:t>
      </w:r>
      <w:r w:rsidR="00F57B6F" w:rsidRPr="00F85253">
        <w:rPr>
          <w:rFonts w:ascii="Arial" w:hAnsi="Arial" w:cs="Arial"/>
          <w:sz w:val="22"/>
          <w:szCs w:val="22"/>
          <w:lang w:val="es-ES_tradnl"/>
        </w:rPr>
        <w:t>os valores presentes</w:t>
      </w:r>
      <w:r w:rsidR="00412B25" w:rsidRPr="00F85253">
        <w:rPr>
          <w:rFonts w:ascii="Arial" w:hAnsi="Arial" w:cs="Arial"/>
          <w:sz w:val="22"/>
          <w:szCs w:val="22"/>
          <w:lang w:val="es-ES_tradnl"/>
        </w:rPr>
        <w:t xml:space="preserve"> acumulado</w:t>
      </w:r>
      <w:r w:rsidR="00F57B6F" w:rsidRPr="00F85253">
        <w:rPr>
          <w:rFonts w:ascii="Arial" w:hAnsi="Arial" w:cs="Arial"/>
          <w:sz w:val="22"/>
          <w:szCs w:val="22"/>
          <w:lang w:val="es-ES_tradnl"/>
        </w:rPr>
        <w:t>s</w:t>
      </w:r>
      <w:r w:rsidR="00412B25" w:rsidRPr="00F85253">
        <w:rPr>
          <w:rFonts w:ascii="Arial" w:hAnsi="Arial" w:cs="Arial"/>
          <w:sz w:val="22"/>
          <w:szCs w:val="22"/>
          <w:lang w:val="es-ES_tradnl"/>
        </w:rPr>
        <w:t xml:space="preserve"> de los años </w:t>
      </w:r>
      <w:r w:rsidR="00F57B6F" w:rsidRPr="00F85253">
        <w:rPr>
          <w:rFonts w:ascii="Arial" w:hAnsi="Arial" w:cs="Arial"/>
          <w:sz w:val="22"/>
          <w:szCs w:val="22"/>
          <w:lang w:val="es-ES_tradnl"/>
        </w:rPr>
        <w:t xml:space="preserve">del proyecto, es decir, </w:t>
      </w:r>
      <w:r w:rsidR="00412B25" w:rsidRPr="00F85253">
        <w:rPr>
          <w:rFonts w:ascii="Arial" w:hAnsi="Arial" w:cs="Arial"/>
          <w:sz w:val="22"/>
          <w:szCs w:val="22"/>
          <w:lang w:val="es-ES_tradnl"/>
        </w:rPr>
        <w:t>2019 a 202</w:t>
      </w:r>
      <w:r w:rsidR="00457244" w:rsidRPr="00F85253">
        <w:rPr>
          <w:rFonts w:ascii="Arial" w:hAnsi="Arial" w:cs="Arial"/>
          <w:sz w:val="22"/>
          <w:szCs w:val="22"/>
          <w:lang w:val="es-ES_tradnl"/>
        </w:rPr>
        <w:t>8</w:t>
      </w:r>
      <w:r w:rsidR="00F57B6F" w:rsidRPr="00F85253">
        <w:rPr>
          <w:rFonts w:ascii="Arial" w:hAnsi="Arial" w:cs="Arial"/>
          <w:sz w:val="22"/>
          <w:szCs w:val="22"/>
          <w:lang w:val="es-ES_tradnl"/>
        </w:rPr>
        <w:t>. Se estima que</w:t>
      </w:r>
      <w:r w:rsidR="004313DF" w:rsidRPr="00F85253">
        <w:rPr>
          <w:rFonts w:ascii="Arial" w:hAnsi="Arial" w:cs="Arial"/>
          <w:sz w:val="22"/>
          <w:szCs w:val="22"/>
          <w:lang w:val="es-ES_tradnl"/>
        </w:rPr>
        <w:t>, en el plazo del proyecto,</w:t>
      </w:r>
      <w:r w:rsidR="00F57B6F" w:rsidRPr="00F85253">
        <w:rPr>
          <w:rFonts w:ascii="Arial" w:hAnsi="Arial" w:cs="Arial"/>
          <w:sz w:val="22"/>
          <w:szCs w:val="22"/>
          <w:lang w:val="es-ES_tradnl"/>
        </w:rPr>
        <w:t xml:space="preserve"> el valor presente neto es USD</w:t>
      </w:r>
      <w:r w:rsidR="00412B25" w:rsidRPr="00F85253">
        <w:rPr>
          <w:rFonts w:ascii="Arial" w:hAnsi="Arial" w:cs="Arial"/>
          <w:sz w:val="22"/>
          <w:szCs w:val="22"/>
          <w:lang w:val="es-ES_tradnl"/>
        </w:rPr>
        <w:t xml:space="preserve"> </w:t>
      </w:r>
      <w:r w:rsidR="00033E78" w:rsidRPr="00F85253">
        <w:rPr>
          <w:rFonts w:ascii="Arial" w:hAnsi="Arial" w:cs="Arial"/>
          <w:sz w:val="22"/>
          <w:szCs w:val="22"/>
          <w:lang w:val="es-ES_tradnl"/>
        </w:rPr>
        <w:t>6</w:t>
      </w:r>
      <w:r w:rsidR="00441D06" w:rsidRPr="00F85253">
        <w:rPr>
          <w:rFonts w:ascii="Arial" w:hAnsi="Arial" w:cs="Arial"/>
          <w:sz w:val="22"/>
          <w:szCs w:val="22"/>
          <w:lang w:val="es-ES_tradnl"/>
        </w:rPr>
        <w:t>0</w:t>
      </w:r>
      <w:r w:rsidR="008C6E99" w:rsidRPr="00F85253">
        <w:rPr>
          <w:rFonts w:ascii="Arial" w:hAnsi="Arial" w:cs="Arial"/>
          <w:sz w:val="22"/>
          <w:szCs w:val="22"/>
          <w:lang w:val="es-ES_tradnl"/>
        </w:rPr>
        <w:t>.</w:t>
      </w:r>
      <w:r w:rsidR="00441D06" w:rsidRPr="00F85253">
        <w:rPr>
          <w:rFonts w:ascii="Arial" w:hAnsi="Arial" w:cs="Arial"/>
          <w:sz w:val="22"/>
          <w:szCs w:val="22"/>
          <w:lang w:val="es-ES_tradnl"/>
        </w:rPr>
        <w:t>04</w:t>
      </w:r>
      <w:r w:rsidR="00033E78" w:rsidRPr="00F85253">
        <w:rPr>
          <w:rFonts w:ascii="Arial" w:hAnsi="Arial" w:cs="Arial"/>
          <w:sz w:val="22"/>
          <w:szCs w:val="22"/>
          <w:lang w:val="es-ES_tradnl"/>
        </w:rPr>
        <w:t xml:space="preserve"> </w:t>
      </w:r>
      <w:r w:rsidR="00920272" w:rsidRPr="00F85253">
        <w:rPr>
          <w:rFonts w:ascii="Arial" w:hAnsi="Arial" w:cs="Arial"/>
          <w:sz w:val="22"/>
          <w:szCs w:val="22"/>
          <w:lang w:val="es-ES_tradnl"/>
        </w:rPr>
        <w:t>millones</w:t>
      </w:r>
      <w:r w:rsidR="00412B25" w:rsidRPr="00F85253">
        <w:rPr>
          <w:rFonts w:ascii="Arial" w:hAnsi="Arial" w:cs="Arial"/>
          <w:sz w:val="22"/>
          <w:szCs w:val="22"/>
          <w:lang w:val="es-ES_tradnl"/>
        </w:rPr>
        <w:t>.</w:t>
      </w:r>
      <w:r w:rsidR="004313DF" w:rsidRPr="00F85253">
        <w:rPr>
          <w:rFonts w:ascii="Arial" w:hAnsi="Arial" w:cs="Arial"/>
          <w:sz w:val="22"/>
          <w:szCs w:val="22"/>
          <w:lang w:val="es-ES_tradnl"/>
        </w:rPr>
        <w:t xml:space="preserve"> </w:t>
      </w:r>
      <w:r w:rsidR="00412B25" w:rsidRPr="00F85253">
        <w:rPr>
          <w:rFonts w:ascii="Arial" w:hAnsi="Arial" w:cs="Arial"/>
          <w:sz w:val="22"/>
          <w:szCs w:val="22"/>
          <w:lang w:val="es-ES_tradnl"/>
        </w:rPr>
        <w:t xml:space="preserve">La tasa interna </w:t>
      </w:r>
      <w:r w:rsidR="00F57B6F" w:rsidRPr="00F85253">
        <w:rPr>
          <w:rFonts w:ascii="Arial" w:hAnsi="Arial" w:cs="Arial"/>
          <w:sz w:val="22"/>
          <w:szCs w:val="22"/>
          <w:lang w:val="es-ES_tradnl"/>
        </w:rPr>
        <w:t>de retorno (TIR) se calcula</w:t>
      </w:r>
      <w:r w:rsidR="00412B25" w:rsidRPr="00F85253">
        <w:rPr>
          <w:rFonts w:ascii="Arial" w:hAnsi="Arial" w:cs="Arial"/>
          <w:sz w:val="22"/>
          <w:szCs w:val="22"/>
          <w:lang w:val="es-ES_tradnl"/>
        </w:rPr>
        <w:t xml:space="preserve"> a partir del valor c</w:t>
      </w:r>
      <w:r w:rsidR="00F57B6F" w:rsidRPr="00F85253">
        <w:rPr>
          <w:rFonts w:ascii="Arial" w:hAnsi="Arial" w:cs="Arial"/>
          <w:sz w:val="22"/>
          <w:szCs w:val="22"/>
          <w:lang w:val="es-ES_tradnl"/>
        </w:rPr>
        <w:t>orriente de los años 2019 a 202</w:t>
      </w:r>
      <w:r w:rsidR="00457244" w:rsidRPr="00F85253">
        <w:rPr>
          <w:rFonts w:ascii="Arial" w:hAnsi="Arial" w:cs="Arial"/>
          <w:sz w:val="22"/>
          <w:szCs w:val="22"/>
          <w:lang w:val="es-ES_tradnl"/>
        </w:rPr>
        <w:t>8</w:t>
      </w:r>
      <w:r w:rsidR="00412B25" w:rsidRPr="00F85253">
        <w:rPr>
          <w:rFonts w:ascii="Arial" w:hAnsi="Arial" w:cs="Arial"/>
          <w:sz w:val="22"/>
          <w:szCs w:val="22"/>
          <w:lang w:val="es-ES_tradnl"/>
        </w:rPr>
        <w:t xml:space="preserve">, se estima </w:t>
      </w:r>
      <w:r w:rsidR="004313DF" w:rsidRPr="00F85253">
        <w:rPr>
          <w:rFonts w:ascii="Arial" w:hAnsi="Arial" w:cs="Arial"/>
          <w:sz w:val="22"/>
          <w:szCs w:val="22"/>
          <w:lang w:val="es-ES_tradnl"/>
        </w:rPr>
        <w:t>la TIR del programa es</w:t>
      </w:r>
      <w:r w:rsidR="00F57B6F" w:rsidRPr="00F85253">
        <w:rPr>
          <w:rFonts w:ascii="Arial" w:hAnsi="Arial" w:cs="Arial"/>
          <w:sz w:val="22"/>
          <w:szCs w:val="22"/>
          <w:lang w:val="es-ES_tradnl"/>
        </w:rPr>
        <w:t xml:space="preserve"> de </w:t>
      </w:r>
      <w:r w:rsidR="00033E78" w:rsidRPr="00F85253">
        <w:rPr>
          <w:rFonts w:ascii="Arial" w:hAnsi="Arial" w:cs="Arial"/>
          <w:sz w:val="22"/>
          <w:szCs w:val="22"/>
          <w:lang w:val="es-ES_tradnl"/>
        </w:rPr>
        <w:t>3</w:t>
      </w:r>
      <w:r w:rsidR="00441D06" w:rsidRPr="00F85253">
        <w:rPr>
          <w:rFonts w:ascii="Arial" w:hAnsi="Arial" w:cs="Arial"/>
          <w:sz w:val="22"/>
          <w:szCs w:val="22"/>
          <w:lang w:val="es-ES_tradnl"/>
        </w:rPr>
        <w:t>3</w:t>
      </w:r>
      <w:r w:rsidR="00412B25" w:rsidRPr="00F85253">
        <w:rPr>
          <w:rFonts w:ascii="Arial" w:hAnsi="Arial" w:cs="Arial"/>
          <w:sz w:val="22"/>
          <w:szCs w:val="22"/>
          <w:lang w:val="es-ES_tradnl"/>
        </w:rPr>
        <w:t>%.</w:t>
      </w:r>
    </w:p>
    <w:p w14:paraId="69ADF067" w14:textId="77777777" w:rsidR="00D665D8" w:rsidRPr="00F85253" w:rsidRDefault="00D665D8" w:rsidP="000B2BC8">
      <w:pPr>
        <w:pStyle w:val="Paragraph"/>
        <w:tabs>
          <w:tab w:val="num" w:pos="2196"/>
        </w:tabs>
        <w:spacing w:before="0" w:after="0" w:line="276" w:lineRule="auto"/>
        <w:ind w:left="720"/>
        <w:outlineLvl w:val="9"/>
        <w:rPr>
          <w:rFonts w:ascii="Arial" w:hAnsi="Arial" w:cs="Arial"/>
          <w:color w:val="000000" w:themeColor="text1"/>
          <w:sz w:val="22"/>
          <w:szCs w:val="22"/>
          <w:lang w:val="es-ES_tradnl"/>
        </w:rPr>
      </w:pPr>
    </w:p>
    <w:p w14:paraId="50EC9B80" w14:textId="1A88138C" w:rsidR="00E77F44" w:rsidRPr="00F85253" w:rsidRDefault="00F57B6F" w:rsidP="00BF5119">
      <w:pPr>
        <w:pStyle w:val="Paragraph"/>
        <w:numPr>
          <w:ilvl w:val="1"/>
          <w:numId w:val="2"/>
        </w:numPr>
        <w:tabs>
          <w:tab w:val="clear" w:pos="1296"/>
          <w:tab w:val="num" w:pos="720"/>
          <w:tab w:val="num" w:pos="1800"/>
          <w:tab w:val="num" w:pos="2196"/>
        </w:tabs>
        <w:spacing w:before="0" w:after="0" w:line="276" w:lineRule="auto"/>
        <w:ind w:left="720" w:hanging="720"/>
        <w:outlineLvl w:val="9"/>
        <w:rPr>
          <w:rFonts w:ascii="Arial" w:hAnsi="Arial" w:cs="Arial"/>
          <w:color w:val="000000" w:themeColor="text1"/>
          <w:sz w:val="22"/>
          <w:szCs w:val="22"/>
          <w:lang w:val="es-ES_tradnl"/>
        </w:rPr>
      </w:pPr>
      <w:r w:rsidRPr="00F85253">
        <w:rPr>
          <w:rFonts w:ascii="Arial" w:hAnsi="Arial" w:cs="Arial"/>
          <w:b/>
          <w:color w:val="000000" w:themeColor="text1"/>
          <w:sz w:val="22"/>
          <w:szCs w:val="22"/>
          <w:lang w:val="es-ES_tradnl"/>
        </w:rPr>
        <w:t>Conclusión.</w:t>
      </w:r>
      <w:r w:rsidRPr="00F85253">
        <w:rPr>
          <w:rFonts w:ascii="Arial" w:hAnsi="Arial" w:cs="Arial"/>
          <w:color w:val="000000" w:themeColor="text1"/>
          <w:sz w:val="22"/>
          <w:szCs w:val="22"/>
          <w:lang w:val="es-ES_tradnl"/>
        </w:rPr>
        <w:t xml:space="preserve"> </w:t>
      </w:r>
      <w:r w:rsidR="00621ABC" w:rsidRPr="00F85253">
        <w:rPr>
          <w:rFonts w:ascii="Arial" w:hAnsi="Arial" w:cs="Arial"/>
          <w:color w:val="000000" w:themeColor="text1"/>
          <w:sz w:val="22"/>
          <w:szCs w:val="22"/>
          <w:lang w:val="es-ES_tradnl"/>
        </w:rPr>
        <w:t>Se espera que e</w:t>
      </w:r>
      <w:r w:rsidR="00BF5119" w:rsidRPr="00F85253">
        <w:rPr>
          <w:rFonts w:ascii="Arial" w:hAnsi="Arial" w:cs="Arial"/>
          <w:color w:val="000000" w:themeColor="text1"/>
          <w:sz w:val="22"/>
          <w:szCs w:val="22"/>
          <w:lang w:val="es-ES_tradnl"/>
        </w:rPr>
        <w:t xml:space="preserve">l Programa de Apoyo a la Reforma de Empresas Públicas, con el rediseño del Marco de Gobernanza Corporativa y fiscal de las </w:t>
      </w:r>
      <w:r w:rsidR="0023565F" w:rsidRPr="00F85253">
        <w:rPr>
          <w:rFonts w:ascii="Arial" w:hAnsi="Arial" w:cs="Arial"/>
          <w:color w:val="000000" w:themeColor="text1"/>
          <w:sz w:val="22"/>
          <w:szCs w:val="22"/>
          <w:lang w:val="es-ES_tradnl"/>
        </w:rPr>
        <w:t>EEPP</w:t>
      </w:r>
      <w:r w:rsidR="00BF5119" w:rsidRPr="00F85253">
        <w:rPr>
          <w:rFonts w:ascii="Arial" w:hAnsi="Arial" w:cs="Arial"/>
          <w:color w:val="000000" w:themeColor="text1"/>
          <w:sz w:val="22"/>
          <w:szCs w:val="22"/>
          <w:lang w:val="es-ES_tradnl"/>
        </w:rPr>
        <w:t xml:space="preserve">; y, con la optimización de la cartera de </w:t>
      </w:r>
      <w:r w:rsidR="0023565F" w:rsidRPr="00F85253">
        <w:rPr>
          <w:rFonts w:ascii="Arial" w:hAnsi="Arial" w:cs="Arial"/>
          <w:color w:val="000000" w:themeColor="text1"/>
          <w:sz w:val="22"/>
          <w:szCs w:val="22"/>
          <w:lang w:val="es-ES_tradnl"/>
        </w:rPr>
        <w:t>EEPP</w:t>
      </w:r>
      <w:r w:rsidR="00BF5119" w:rsidRPr="00F85253">
        <w:rPr>
          <w:rFonts w:ascii="Arial" w:hAnsi="Arial" w:cs="Arial"/>
          <w:color w:val="000000" w:themeColor="text1"/>
          <w:sz w:val="22"/>
          <w:szCs w:val="22"/>
          <w:lang w:val="es-ES_tradnl"/>
        </w:rPr>
        <w:t xml:space="preserve">, genere beneficios en </w:t>
      </w:r>
      <w:r w:rsidR="00495532" w:rsidRPr="00F85253">
        <w:rPr>
          <w:rFonts w:ascii="Arial" w:hAnsi="Arial" w:cs="Arial"/>
          <w:color w:val="000000" w:themeColor="text1"/>
          <w:sz w:val="22"/>
          <w:szCs w:val="22"/>
          <w:lang w:val="es-ES_tradnl"/>
        </w:rPr>
        <w:t xml:space="preserve">transparencia, eficiencia por la fusión de las </w:t>
      </w:r>
      <w:r w:rsidR="0023565F" w:rsidRPr="00F85253">
        <w:rPr>
          <w:rFonts w:ascii="Arial" w:hAnsi="Arial" w:cs="Arial"/>
          <w:color w:val="000000" w:themeColor="text1"/>
          <w:sz w:val="22"/>
          <w:szCs w:val="22"/>
          <w:lang w:val="es-ES_tradnl"/>
        </w:rPr>
        <w:t>EEPP</w:t>
      </w:r>
      <w:r w:rsidR="00495532" w:rsidRPr="00F85253">
        <w:rPr>
          <w:rFonts w:ascii="Arial" w:hAnsi="Arial" w:cs="Arial"/>
          <w:color w:val="000000" w:themeColor="text1"/>
          <w:sz w:val="22"/>
          <w:szCs w:val="22"/>
          <w:lang w:val="es-ES_tradnl"/>
        </w:rPr>
        <w:t xml:space="preserve"> p</w:t>
      </w:r>
      <w:r w:rsidR="00BF5119" w:rsidRPr="00F85253">
        <w:rPr>
          <w:rFonts w:ascii="Arial" w:hAnsi="Arial" w:cs="Arial"/>
          <w:color w:val="000000" w:themeColor="text1"/>
          <w:sz w:val="22"/>
          <w:szCs w:val="22"/>
          <w:lang w:val="es-ES_tradnl"/>
        </w:rPr>
        <w:t xml:space="preserve">etroleras y </w:t>
      </w:r>
      <w:r w:rsidR="00495532" w:rsidRPr="00F85253">
        <w:rPr>
          <w:rFonts w:ascii="Arial" w:hAnsi="Arial" w:cs="Arial"/>
          <w:color w:val="000000" w:themeColor="text1"/>
          <w:sz w:val="22"/>
          <w:szCs w:val="22"/>
          <w:lang w:val="es-ES_tradnl"/>
        </w:rPr>
        <w:t>ahorro por la desvinculación del personal</w:t>
      </w:r>
      <w:r w:rsidR="00BF5119" w:rsidRPr="00F85253">
        <w:rPr>
          <w:rFonts w:ascii="Arial" w:hAnsi="Arial" w:cs="Arial"/>
          <w:color w:val="000000" w:themeColor="text1"/>
          <w:sz w:val="22"/>
          <w:szCs w:val="22"/>
          <w:lang w:val="es-ES_tradnl"/>
        </w:rPr>
        <w:t>. S</w:t>
      </w:r>
      <w:r w:rsidR="00275602" w:rsidRPr="00F85253">
        <w:rPr>
          <w:rFonts w:ascii="Arial" w:hAnsi="Arial" w:cs="Arial"/>
          <w:color w:val="000000" w:themeColor="text1"/>
          <w:sz w:val="22"/>
          <w:szCs w:val="22"/>
          <w:lang w:val="es-ES_tradnl"/>
        </w:rPr>
        <w:t>e evidencia que al final del año 202</w:t>
      </w:r>
      <w:r w:rsidR="00457244" w:rsidRPr="00F85253">
        <w:rPr>
          <w:rFonts w:ascii="Arial" w:hAnsi="Arial" w:cs="Arial"/>
          <w:color w:val="000000" w:themeColor="text1"/>
          <w:sz w:val="22"/>
          <w:szCs w:val="22"/>
          <w:lang w:val="es-ES_tradnl"/>
        </w:rPr>
        <w:t>8</w:t>
      </w:r>
      <w:r w:rsidR="00495532" w:rsidRPr="00F85253">
        <w:rPr>
          <w:rFonts w:ascii="Arial" w:hAnsi="Arial" w:cs="Arial"/>
          <w:color w:val="000000" w:themeColor="text1"/>
          <w:sz w:val="22"/>
          <w:szCs w:val="22"/>
          <w:lang w:val="es-ES_tradnl"/>
        </w:rPr>
        <w:t>,</w:t>
      </w:r>
      <w:r w:rsidR="00412B25" w:rsidRPr="00F85253">
        <w:rPr>
          <w:rFonts w:ascii="Arial" w:hAnsi="Arial" w:cs="Arial"/>
          <w:color w:val="000000" w:themeColor="text1"/>
          <w:sz w:val="22"/>
          <w:szCs w:val="22"/>
          <w:lang w:val="es-ES_tradnl"/>
        </w:rPr>
        <w:t xml:space="preserve"> las inversiones del Programa estarán generando un VPN de US</w:t>
      </w:r>
      <w:r w:rsidR="00275602" w:rsidRPr="00F85253">
        <w:rPr>
          <w:rFonts w:ascii="Arial" w:hAnsi="Arial" w:cs="Arial"/>
          <w:color w:val="000000" w:themeColor="text1"/>
          <w:sz w:val="22"/>
          <w:szCs w:val="22"/>
          <w:lang w:val="es-ES_tradnl"/>
        </w:rPr>
        <w:t xml:space="preserve">D </w:t>
      </w:r>
      <w:r w:rsidR="00473B75" w:rsidRPr="00F85253">
        <w:rPr>
          <w:rFonts w:ascii="Arial" w:hAnsi="Arial" w:cs="Arial"/>
          <w:sz w:val="22"/>
          <w:szCs w:val="22"/>
          <w:lang w:val="es-ES_tradnl"/>
        </w:rPr>
        <w:t xml:space="preserve">60.04 </w:t>
      </w:r>
      <w:r w:rsidR="00920272" w:rsidRPr="00F85253">
        <w:rPr>
          <w:rFonts w:ascii="Arial" w:hAnsi="Arial" w:cs="Arial"/>
          <w:color w:val="000000" w:themeColor="text1"/>
          <w:sz w:val="22"/>
          <w:szCs w:val="22"/>
          <w:lang w:val="es-ES_tradnl"/>
        </w:rPr>
        <w:t>millones</w:t>
      </w:r>
      <w:r w:rsidR="00412B25" w:rsidRPr="00F85253">
        <w:rPr>
          <w:rFonts w:ascii="Arial" w:hAnsi="Arial" w:cs="Arial"/>
          <w:color w:val="000000" w:themeColor="text1"/>
          <w:sz w:val="22"/>
          <w:szCs w:val="22"/>
          <w:lang w:val="es-ES_tradnl"/>
        </w:rPr>
        <w:t xml:space="preserve">, con una TIR de </w:t>
      </w:r>
      <w:r w:rsidR="00033E78" w:rsidRPr="00F85253">
        <w:rPr>
          <w:rFonts w:ascii="Arial" w:hAnsi="Arial" w:cs="Arial"/>
          <w:color w:val="000000" w:themeColor="text1"/>
          <w:sz w:val="22"/>
          <w:szCs w:val="22"/>
          <w:lang w:val="es-ES_tradnl"/>
        </w:rPr>
        <w:t>3</w:t>
      </w:r>
      <w:r w:rsidR="00473B75" w:rsidRPr="00F85253">
        <w:rPr>
          <w:rFonts w:ascii="Arial" w:hAnsi="Arial" w:cs="Arial"/>
          <w:color w:val="000000" w:themeColor="text1"/>
          <w:sz w:val="22"/>
          <w:szCs w:val="22"/>
          <w:lang w:val="es-ES_tradnl"/>
        </w:rPr>
        <w:t>3</w:t>
      </w:r>
      <w:r w:rsidR="00412B25" w:rsidRPr="00F85253">
        <w:rPr>
          <w:rFonts w:ascii="Arial" w:hAnsi="Arial" w:cs="Arial"/>
          <w:color w:val="000000" w:themeColor="text1"/>
          <w:sz w:val="22"/>
          <w:szCs w:val="22"/>
          <w:lang w:val="es-ES_tradnl"/>
        </w:rPr>
        <w:t>%.</w:t>
      </w:r>
    </w:p>
    <w:p w14:paraId="20164F8C" w14:textId="77777777" w:rsidR="00A02490" w:rsidRPr="00F85253" w:rsidRDefault="00A02490" w:rsidP="002543DC">
      <w:pPr>
        <w:pStyle w:val="Paragraph"/>
        <w:tabs>
          <w:tab w:val="num" w:pos="1800"/>
          <w:tab w:val="num" w:pos="2196"/>
        </w:tabs>
        <w:spacing w:before="0" w:after="0" w:line="276" w:lineRule="auto"/>
        <w:ind w:left="720"/>
        <w:outlineLvl w:val="9"/>
        <w:rPr>
          <w:rFonts w:ascii="Arial" w:hAnsi="Arial" w:cs="Arial"/>
          <w:sz w:val="22"/>
          <w:szCs w:val="22"/>
          <w:lang w:val="es-ES_tradnl"/>
        </w:rPr>
        <w:sectPr w:rsidR="00A02490" w:rsidRPr="00F85253">
          <w:pgSz w:w="11906" w:h="16838"/>
          <w:pgMar w:top="994" w:right="1440" w:bottom="1166" w:left="1354" w:header="720" w:footer="720" w:gutter="0"/>
          <w:cols w:space="720"/>
          <w:docGrid w:linePitch="360"/>
        </w:sectPr>
      </w:pPr>
    </w:p>
    <w:p w14:paraId="12F683BB" w14:textId="77777777" w:rsidR="00723397" w:rsidRPr="00F85253" w:rsidRDefault="00723397" w:rsidP="002543DC">
      <w:pPr>
        <w:pStyle w:val="Caption"/>
        <w:keepNext/>
        <w:spacing w:line="276" w:lineRule="auto"/>
        <w:jc w:val="both"/>
        <w:rPr>
          <w:rFonts w:ascii="Arial" w:hAnsi="Arial" w:cs="Arial"/>
        </w:rPr>
      </w:pPr>
      <w:r w:rsidRPr="00F85253">
        <w:rPr>
          <w:rFonts w:ascii="Arial" w:hAnsi="Arial" w:cs="Arial"/>
        </w:rPr>
        <w:lastRenderedPageBreak/>
        <w:t xml:space="preserve">Tabla </w:t>
      </w:r>
      <w:r w:rsidRPr="00F85253">
        <w:rPr>
          <w:rFonts w:ascii="Arial" w:hAnsi="Arial" w:cs="Arial"/>
        </w:rPr>
        <w:fldChar w:fldCharType="begin"/>
      </w:r>
      <w:r w:rsidRPr="00F85253">
        <w:rPr>
          <w:rFonts w:ascii="Arial" w:hAnsi="Arial" w:cs="Arial"/>
        </w:rPr>
        <w:instrText xml:space="preserve"> SEQ Tabla \* ARABIC </w:instrText>
      </w:r>
      <w:r w:rsidRPr="00F85253">
        <w:rPr>
          <w:rFonts w:ascii="Arial" w:hAnsi="Arial" w:cs="Arial"/>
        </w:rPr>
        <w:fldChar w:fldCharType="separate"/>
      </w:r>
      <w:r w:rsidR="009B6000" w:rsidRPr="00F85253">
        <w:rPr>
          <w:rFonts w:ascii="Arial" w:hAnsi="Arial" w:cs="Arial"/>
        </w:rPr>
        <w:t>1</w:t>
      </w:r>
      <w:r w:rsidRPr="00F85253">
        <w:rPr>
          <w:rFonts w:ascii="Arial" w:hAnsi="Arial" w:cs="Arial"/>
        </w:rPr>
        <w:fldChar w:fldCharType="end"/>
      </w:r>
      <w:r w:rsidRPr="00F85253">
        <w:rPr>
          <w:rFonts w:ascii="Arial" w:hAnsi="Arial" w:cs="Arial"/>
        </w:rPr>
        <w:t xml:space="preserve"> Análisis Económico </w:t>
      </w:r>
    </w:p>
    <w:p w14:paraId="1628568E" w14:textId="77777777" w:rsidR="00723397" w:rsidRPr="00F85253" w:rsidRDefault="00723397" w:rsidP="002543DC">
      <w:pPr>
        <w:pStyle w:val="Caption"/>
        <w:keepNext/>
        <w:spacing w:line="276" w:lineRule="auto"/>
        <w:jc w:val="both"/>
        <w:rPr>
          <w:rFonts w:ascii="Arial" w:hAnsi="Arial" w:cs="Arial"/>
        </w:rPr>
      </w:pPr>
      <w:r w:rsidRPr="00F85253">
        <w:rPr>
          <w:rFonts w:ascii="Arial" w:hAnsi="Arial" w:cs="Arial"/>
        </w:rPr>
        <w:t>Millones de dólares constantes de 2018 (tasa de descuento 12%)</w:t>
      </w:r>
    </w:p>
    <w:p w14:paraId="248D5337" w14:textId="77777777" w:rsidR="00845869" w:rsidRPr="00F85253" w:rsidRDefault="00845869" w:rsidP="002543DC">
      <w:pPr>
        <w:pStyle w:val="Paragraph"/>
        <w:spacing w:before="0" w:after="0" w:line="276" w:lineRule="auto"/>
        <w:ind w:left="1296" w:hanging="1836"/>
        <w:outlineLvl w:val="9"/>
        <w:rPr>
          <w:rFonts w:ascii="Arial" w:hAnsi="Arial" w:cs="Arial"/>
          <w:color w:val="000000"/>
          <w:sz w:val="22"/>
          <w:szCs w:val="22"/>
          <w:lang w:val="es-ES_tradnl"/>
        </w:rPr>
      </w:pPr>
    </w:p>
    <w:tbl>
      <w:tblPr>
        <w:tblW w:w="14380" w:type="dxa"/>
        <w:tblInd w:w="55" w:type="dxa"/>
        <w:tblCellMar>
          <w:left w:w="70" w:type="dxa"/>
          <w:right w:w="70" w:type="dxa"/>
        </w:tblCellMar>
        <w:tblLook w:val="04A0" w:firstRow="1" w:lastRow="0" w:firstColumn="1" w:lastColumn="0" w:noHBand="0" w:noVBand="1"/>
      </w:tblPr>
      <w:tblGrid>
        <w:gridCol w:w="4693"/>
        <w:gridCol w:w="1167"/>
        <w:gridCol w:w="880"/>
        <w:gridCol w:w="940"/>
        <w:gridCol w:w="880"/>
        <w:gridCol w:w="920"/>
        <w:gridCol w:w="780"/>
        <w:gridCol w:w="780"/>
        <w:gridCol w:w="780"/>
        <w:gridCol w:w="780"/>
        <w:gridCol w:w="780"/>
        <w:gridCol w:w="1000"/>
      </w:tblGrid>
      <w:tr w:rsidR="00441D06" w:rsidRPr="00F85253" w14:paraId="48AD6C9A" w14:textId="77777777" w:rsidTr="00441D06">
        <w:trPr>
          <w:trHeight w:val="270"/>
        </w:trPr>
        <w:tc>
          <w:tcPr>
            <w:tcW w:w="4693" w:type="dxa"/>
            <w:tcBorders>
              <w:top w:val="single" w:sz="8" w:space="0" w:color="auto"/>
              <w:left w:val="single" w:sz="8" w:space="0" w:color="auto"/>
              <w:bottom w:val="single" w:sz="8" w:space="0" w:color="auto"/>
              <w:right w:val="nil"/>
            </w:tcBorders>
            <w:shd w:val="clear" w:color="000000" w:fill="FFFFFF"/>
            <w:noWrap/>
            <w:vAlign w:val="bottom"/>
            <w:hideMark/>
          </w:tcPr>
          <w:p w14:paraId="1605428B" w14:textId="77777777" w:rsidR="00441D06" w:rsidRPr="00F85253" w:rsidRDefault="00441D06" w:rsidP="00441D06">
            <w:pPr>
              <w:spacing w:after="0" w:line="240" w:lineRule="auto"/>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ITEM</w:t>
            </w:r>
          </w:p>
        </w:tc>
        <w:tc>
          <w:tcPr>
            <w:tcW w:w="1167" w:type="dxa"/>
            <w:tcBorders>
              <w:top w:val="single" w:sz="8" w:space="0" w:color="auto"/>
              <w:left w:val="nil"/>
              <w:bottom w:val="single" w:sz="8" w:space="0" w:color="auto"/>
              <w:right w:val="nil"/>
            </w:tcBorders>
            <w:shd w:val="clear" w:color="000000" w:fill="FFFFFF"/>
            <w:noWrap/>
            <w:vAlign w:val="bottom"/>
            <w:hideMark/>
          </w:tcPr>
          <w:p w14:paraId="62D6978D" w14:textId="77777777" w:rsidR="00441D06" w:rsidRPr="00F85253" w:rsidRDefault="00441D06" w:rsidP="00441D06">
            <w:pPr>
              <w:spacing w:after="0" w:line="240" w:lineRule="auto"/>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Subtotal </w:t>
            </w:r>
          </w:p>
        </w:tc>
        <w:tc>
          <w:tcPr>
            <w:tcW w:w="880" w:type="dxa"/>
            <w:tcBorders>
              <w:top w:val="single" w:sz="8" w:space="0" w:color="auto"/>
              <w:left w:val="single" w:sz="8" w:space="0" w:color="auto"/>
              <w:bottom w:val="single" w:sz="8" w:space="0" w:color="auto"/>
              <w:right w:val="nil"/>
            </w:tcBorders>
            <w:shd w:val="clear" w:color="000000" w:fill="FFFFFF"/>
            <w:noWrap/>
            <w:vAlign w:val="bottom"/>
            <w:hideMark/>
          </w:tcPr>
          <w:p w14:paraId="5D80D9E2" w14:textId="77777777" w:rsidR="00441D06" w:rsidRPr="00F85253" w:rsidRDefault="00441D06" w:rsidP="00441D06">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2019</w:t>
            </w:r>
          </w:p>
        </w:tc>
        <w:tc>
          <w:tcPr>
            <w:tcW w:w="940" w:type="dxa"/>
            <w:tcBorders>
              <w:top w:val="single" w:sz="8" w:space="0" w:color="auto"/>
              <w:left w:val="nil"/>
              <w:bottom w:val="single" w:sz="8" w:space="0" w:color="auto"/>
              <w:right w:val="nil"/>
            </w:tcBorders>
            <w:shd w:val="clear" w:color="000000" w:fill="FFFFFF"/>
            <w:noWrap/>
            <w:vAlign w:val="bottom"/>
            <w:hideMark/>
          </w:tcPr>
          <w:p w14:paraId="33338EE4" w14:textId="77777777" w:rsidR="00441D06" w:rsidRPr="00F85253" w:rsidRDefault="00441D06" w:rsidP="00441D06">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2020</w:t>
            </w:r>
          </w:p>
        </w:tc>
        <w:tc>
          <w:tcPr>
            <w:tcW w:w="880" w:type="dxa"/>
            <w:tcBorders>
              <w:top w:val="single" w:sz="8" w:space="0" w:color="auto"/>
              <w:left w:val="nil"/>
              <w:bottom w:val="single" w:sz="8" w:space="0" w:color="auto"/>
              <w:right w:val="nil"/>
            </w:tcBorders>
            <w:shd w:val="clear" w:color="000000" w:fill="FFFFFF"/>
            <w:noWrap/>
            <w:vAlign w:val="bottom"/>
            <w:hideMark/>
          </w:tcPr>
          <w:p w14:paraId="5BFD87DC" w14:textId="77777777" w:rsidR="00441D06" w:rsidRPr="00F85253" w:rsidRDefault="00441D06" w:rsidP="00441D06">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2021</w:t>
            </w:r>
          </w:p>
        </w:tc>
        <w:tc>
          <w:tcPr>
            <w:tcW w:w="920" w:type="dxa"/>
            <w:tcBorders>
              <w:top w:val="single" w:sz="8" w:space="0" w:color="auto"/>
              <w:left w:val="nil"/>
              <w:bottom w:val="single" w:sz="8" w:space="0" w:color="auto"/>
              <w:right w:val="single" w:sz="8" w:space="0" w:color="auto"/>
            </w:tcBorders>
            <w:shd w:val="clear" w:color="000000" w:fill="FFFFFF"/>
            <w:noWrap/>
            <w:vAlign w:val="bottom"/>
            <w:hideMark/>
          </w:tcPr>
          <w:p w14:paraId="2851E441" w14:textId="77777777" w:rsidR="00441D06" w:rsidRPr="00F85253" w:rsidRDefault="00441D06" w:rsidP="00441D06">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2022</w:t>
            </w:r>
          </w:p>
        </w:tc>
        <w:tc>
          <w:tcPr>
            <w:tcW w:w="780" w:type="dxa"/>
            <w:tcBorders>
              <w:top w:val="single" w:sz="8" w:space="0" w:color="auto"/>
              <w:left w:val="nil"/>
              <w:bottom w:val="single" w:sz="8" w:space="0" w:color="auto"/>
              <w:right w:val="nil"/>
            </w:tcBorders>
            <w:shd w:val="clear" w:color="000000" w:fill="FFFFFF"/>
            <w:noWrap/>
            <w:vAlign w:val="bottom"/>
            <w:hideMark/>
          </w:tcPr>
          <w:p w14:paraId="68AE6994" w14:textId="77777777" w:rsidR="00441D06" w:rsidRPr="00F85253" w:rsidRDefault="00441D06" w:rsidP="00441D06">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2023</w:t>
            </w:r>
          </w:p>
        </w:tc>
        <w:tc>
          <w:tcPr>
            <w:tcW w:w="780" w:type="dxa"/>
            <w:tcBorders>
              <w:top w:val="single" w:sz="8" w:space="0" w:color="auto"/>
              <w:left w:val="nil"/>
              <w:bottom w:val="single" w:sz="8" w:space="0" w:color="auto"/>
              <w:right w:val="nil"/>
            </w:tcBorders>
            <w:shd w:val="clear" w:color="000000" w:fill="FFFFFF"/>
            <w:noWrap/>
            <w:vAlign w:val="bottom"/>
            <w:hideMark/>
          </w:tcPr>
          <w:p w14:paraId="0615360D" w14:textId="77777777" w:rsidR="00441D06" w:rsidRPr="00F85253" w:rsidRDefault="00441D06" w:rsidP="00441D06">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2024</w:t>
            </w:r>
          </w:p>
        </w:tc>
        <w:tc>
          <w:tcPr>
            <w:tcW w:w="780" w:type="dxa"/>
            <w:tcBorders>
              <w:top w:val="single" w:sz="8" w:space="0" w:color="auto"/>
              <w:left w:val="nil"/>
              <w:bottom w:val="single" w:sz="8" w:space="0" w:color="auto"/>
              <w:right w:val="nil"/>
            </w:tcBorders>
            <w:shd w:val="clear" w:color="000000" w:fill="FFFFFF"/>
            <w:noWrap/>
            <w:vAlign w:val="bottom"/>
            <w:hideMark/>
          </w:tcPr>
          <w:p w14:paraId="76C737AF" w14:textId="77777777" w:rsidR="00441D06" w:rsidRPr="00F85253" w:rsidRDefault="00441D06" w:rsidP="00441D06">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2025</w:t>
            </w:r>
          </w:p>
        </w:tc>
        <w:tc>
          <w:tcPr>
            <w:tcW w:w="780" w:type="dxa"/>
            <w:tcBorders>
              <w:top w:val="single" w:sz="8" w:space="0" w:color="auto"/>
              <w:left w:val="nil"/>
              <w:bottom w:val="single" w:sz="8" w:space="0" w:color="auto"/>
              <w:right w:val="nil"/>
            </w:tcBorders>
            <w:shd w:val="clear" w:color="000000" w:fill="FFFFFF"/>
            <w:noWrap/>
            <w:vAlign w:val="bottom"/>
            <w:hideMark/>
          </w:tcPr>
          <w:p w14:paraId="53B01FCC" w14:textId="77777777" w:rsidR="00441D06" w:rsidRPr="00F85253" w:rsidRDefault="00441D06" w:rsidP="00441D06">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2026</w:t>
            </w:r>
          </w:p>
        </w:tc>
        <w:tc>
          <w:tcPr>
            <w:tcW w:w="780" w:type="dxa"/>
            <w:tcBorders>
              <w:top w:val="single" w:sz="8" w:space="0" w:color="auto"/>
              <w:left w:val="nil"/>
              <w:bottom w:val="single" w:sz="8" w:space="0" w:color="auto"/>
              <w:right w:val="nil"/>
            </w:tcBorders>
            <w:shd w:val="clear" w:color="000000" w:fill="FFFFFF"/>
            <w:noWrap/>
            <w:vAlign w:val="bottom"/>
            <w:hideMark/>
          </w:tcPr>
          <w:p w14:paraId="26C0AC41" w14:textId="77777777" w:rsidR="00441D06" w:rsidRPr="00F85253" w:rsidRDefault="00441D06" w:rsidP="00441D06">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2027</w:t>
            </w:r>
          </w:p>
        </w:tc>
        <w:tc>
          <w:tcPr>
            <w:tcW w:w="1000" w:type="dxa"/>
            <w:tcBorders>
              <w:top w:val="single" w:sz="8" w:space="0" w:color="auto"/>
              <w:left w:val="nil"/>
              <w:bottom w:val="single" w:sz="8" w:space="0" w:color="auto"/>
              <w:right w:val="single" w:sz="8" w:space="0" w:color="auto"/>
            </w:tcBorders>
            <w:shd w:val="clear" w:color="000000" w:fill="FFFFFF"/>
            <w:noWrap/>
            <w:vAlign w:val="bottom"/>
            <w:hideMark/>
          </w:tcPr>
          <w:p w14:paraId="489CF69B" w14:textId="77777777" w:rsidR="00441D06" w:rsidRPr="00F85253" w:rsidRDefault="00441D06" w:rsidP="00441D06">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2028</w:t>
            </w:r>
          </w:p>
        </w:tc>
      </w:tr>
      <w:tr w:rsidR="00441D06" w:rsidRPr="00F85253" w14:paraId="3E592785" w14:textId="77777777" w:rsidTr="00441D06">
        <w:trPr>
          <w:trHeight w:val="255"/>
        </w:trPr>
        <w:tc>
          <w:tcPr>
            <w:tcW w:w="4693" w:type="dxa"/>
            <w:tcBorders>
              <w:top w:val="nil"/>
              <w:left w:val="single" w:sz="8" w:space="0" w:color="auto"/>
              <w:bottom w:val="nil"/>
              <w:right w:val="nil"/>
            </w:tcBorders>
            <w:shd w:val="clear" w:color="000000" w:fill="FFFFFF"/>
            <w:noWrap/>
            <w:vAlign w:val="bottom"/>
            <w:hideMark/>
          </w:tcPr>
          <w:p w14:paraId="402C370C" w14:textId="77777777" w:rsidR="00441D06" w:rsidRPr="00F85253" w:rsidRDefault="00441D06" w:rsidP="00441D06">
            <w:pPr>
              <w:spacing w:after="0" w:line="240" w:lineRule="auto"/>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Beneficios Económicos</w:t>
            </w:r>
          </w:p>
        </w:tc>
        <w:tc>
          <w:tcPr>
            <w:tcW w:w="1167" w:type="dxa"/>
            <w:tcBorders>
              <w:top w:val="nil"/>
              <w:left w:val="nil"/>
              <w:bottom w:val="nil"/>
              <w:right w:val="nil"/>
            </w:tcBorders>
            <w:shd w:val="clear" w:color="000000" w:fill="FFFFFF"/>
            <w:noWrap/>
            <w:vAlign w:val="bottom"/>
            <w:hideMark/>
          </w:tcPr>
          <w:p w14:paraId="7B489ECC" w14:textId="77777777" w:rsidR="00441D06" w:rsidRPr="00F85253" w:rsidRDefault="00441D06" w:rsidP="00441D06">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w:t>
            </w:r>
          </w:p>
        </w:tc>
        <w:tc>
          <w:tcPr>
            <w:tcW w:w="880" w:type="dxa"/>
            <w:tcBorders>
              <w:top w:val="nil"/>
              <w:left w:val="single" w:sz="8" w:space="0" w:color="auto"/>
              <w:bottom w:val="nil"/>
              <w:right w:val="nil"/>
            </w:tcBorders>
            <w:shd w:val="clear" w:color="000000" w:fill="FFFFFF"/>
            <w:noWrap/>
            <w:vAlign w:val="bottom"/>
            <w:hideMark/>
          </w:tcPr>
          <w:p w14:paraId="2C00F757" w14:textId="77777777" w:rsidR="00441D06" w:rsidRPr="00F85253" w:rsidRDefault="00441D06" w:rsidP="00441D06">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w:t>
            </w:r>
          </w:p>
        </w:tc>
        <w:tc>
          <w:tcPr>
            <w:tcW w:w="940" w:type="dxa"/>
            <w:tcBorders>
              <w:top w:val="nil"/>
              <w:left w:val="nil"/>
              <w:bottom w:val="nil"/>
              <w:right w:val="nil"/>
            </w:tcBorders>
            <w:shd w:val="clear" w:color="000000" w:fill="FFFFFF"/>
            <w:noWrap/>
            <w:vAlign w:val="bottom"/>
            <w:hideMark/>
          </w:tcPr>
          <w:p w14:paraId="3C1D8891"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880" w:type="dxa"/>
            <w:tcBorders>
              <w:top w:val="nil"/>
              <w:left w:val="nil"/>
              <w:bottom w:val="nil"/>
              <w:right w:val="nil"/>
            </w:tcBorders>
            <w:shd w:val="clear" w:color="000000" w:fill="FFFFFF"/>
            <w:noWrap/>
            <w:vAlign w:val="bottom"/>
            <w:hideMark/>
          </w:tcPr>
          <w:p w14:paraId="540CF2D9"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920" w:type="dxa"/>
            <w:tcBorders>
              <w:top w:val="nil"/>
              <w:left w:val="nil"/>
              <w:bottom w:val="nil"/>
              <w:right w:val="single" w:sz="8" w:space="0" w:color="auto"/>
            </w:tcBorders>
            <w:shd w:val="clear" w:color="000000" w:fill="FFFFFF"/>
            <w:noWrap/>
            <w:vAlign w:val="bottom"/>
            <w:hideMark/>
          </w:tcPr>
          <w:p w14:paraId="0FCD5650"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5374E89E"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470CE005"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53FB0BDD"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6102F446"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49621D36"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1000" w:type="dxa"/>
            <w:tcBorders>
              <w:top w:val="nil"/>
              <w:left w:val="nil"/>
              <w:bottom w:val="nil"/>
              <w:right w:val="single" w:sz="8" w:space="0" w:color="auto"/>
            </w:tcBorders>
            <w:shd w:val="clear" w:color="000000" w:fill="FFFFFF"/>
            <w:noWrap/>
            <w:vAlign w:val="bottom"/>
            <w:hideMark/>
          </w:tcPr>
          <w:p w14:paraId="54077D27"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r>
      <w:tr w:rsidR="00441D06" w:rsidRPr="00F85253" w14:paraId="107920D9" w14:textId="77777777" w:rsidTr="00441D06">
        <w:trPr>
          <w:trHeight w:val="255"/>
        </w:trPr>
        <w:tc>
          <w:tcPr>
            <w:tcW w:w="4693" w:type="dxa"/>
            <w:tcBorders>
              <w:top w:val="nil"/>
              <w:left w:val="single" w:sz="8" w:space="0" w:color="auto"/>
              <w:bottom w:val="nil"/>
              <w:right w:val="nil"/>
            </w:tcBorders>
            <w:shd w:val="clear" w:color="000000" w:fill="FFFFFF"/>
            <w:noWrap/>
            <w:vAlign w:val="bottom"/>
            <w:hideMark/>
          </w:tcPr>
          <w:p w14:paraId="7D4DF7CC" w14:textId="77777777" w:rsidR="00441D06" w:rsidRPr="00F85253" w:rsidRDefault="00441D06" w:rsidP="00441D06">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C. Evitados por Desvinculación</w:t>
            </w:r>
          </w:p>
        </w:tc>
        <w:tc>
          <w:tcPr>
            <w:tcW w:w="1167" w:type="dxa"/>
            <w:tcBorders>
              <w:top w:val="nil"/>
              <w:left w:val="nil"/>
              <w:bottom w:val="nil"/>
              <w:right w:val="nil"/>
            </w:tcBorders>
            <w:shd w:val="clear" w:color="000000" w:fill="FFFFFF"/>
            <w:noWrap/>
            <w:vAlign w:val="bottom"/>
            <w:hideMark/>
          </w:tcPr>
          <w:p w14:paraId="33284F30" w14:textId="77777777" w:rsidR="00441D06" w:rsidRPr="00F85253" w:rsidRDefault="00441D06" w:rsidP="00441D06">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w:t>
            </w:r>
            <w:proofErr w:type="gramStart"/>
            <w:r w:rsidRPr="00F85253">
              <w:rPr>
                <w:rFonts w:ascii="Arial" w:eastAsia="Times New Roman" w:hAnsi="Arial" w:cs="Arial"/>
                <w:b/>
                <w:bCs/>
                <w:sz w:val="20"/>
                <w:szCs w:val="20"/>
                <w:lang w:val="es-EC" w:eastAsia="es-EC"/>
              </w:rPr>
              <w:t>$  218.54</w:t>
            </w:r>
            <w:proofErr w:type="gramEnd"/>
            <w:r w:rsidRPr="00F85253">
              <w:rPr>
                <w:rFonts w:ascii="Arial" w:eastAsia="Times New Roman" w:hAnsi="Arial" w:cs="Arial"/>
                <w:b/>
                <w:bCs/>
                <w:sz w:val="20"/>
                <w:szCs w:val="20"/>
                <w:lang w:val="es-EC" w:eastAsia="es-EC"/>
              </w:rPr>
              <w:t xml:space="preserve"> </w:t>
            </w:r>
          </w:p>
        </w:tc>
        <w:tc>
          <w:tcPr>
            <w:tcW w:w="880" w:type="dxa"/>
            <w:tcBorders>
              <w:top w:val="nil"/>
              <w:left w:val="single" w:sz="8" w:space="0" w:color="auto"/>
              <w:bottom w:val="nil"/>
              <w:right w:val="nil"/>
            </w:tcBorders>
            <w:shd w:val="clear" w:color="000000" w:fill="FFFFFF"/>
            <w:noWrap/>
            <w:vAlign w:val="bottom"/>
            <w:hideMark/>
          </w:tcPr>
          <w:p w14:paraId="2C72A481"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940" w:type="dxa"/>
            <w:tcBorders>
              <w:top w:val="nil"/>
              <w:left w:val="nil"/>
              <w:bottom w:val="nil"/>
              <w:right w:val="nil"/>
            </w:tcBorders>
            <w:shd w:val="clear" w:color="000000" w:fill="FFFFFF"/>
            <w:noWrap/>
            <w:vAlign w:val="bottom"/>
            <w:hideMark/>
          </w:tcPr>
          <w:p w14:paraId="451DA7F4"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880" w:type="dxa"/>
            <w:tcBorders>
              <w:top w:val="nil"/>
              <w:left w:val="nil"/>
              <w:bottom w:val="nil"/>
              <w:right w:val="nil"/>
            </w:tcBorders>
            <w:shd w:val="clear" w:color="000000" w:fill="FFFFFF"/>
            <w:noWrap/>
            <w:vAlign w:val="bottom"/>
            <w:hideMark/>
          </w:tcPr>
          <w:p w14:paraId="1DC1133C"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$ 27.32 </w:t>
            </w:r>
          </w:p>
        </w:tc>
        <w:tc>
          <w:tcPr>
            <w:tcW w:w="920" w:type="dxa"/>
            <w:tcBorders>
              <w:top w:val="nil"/>
              <w:left w:val="nil"/>
              <w:bottom w:val="nil"/>
              <w:right w:val="single" w:sz="8" w:space="0" w:color="auto"/>
            </w:tcBorders>
            <w:shd w:val="clear" w:color="000000" w:fill="FFFFFF"/>
            <w:noWrap/>
            <w:vAlign w:val="bottom"/>
            <w:hideMark/>
          </w:tcPr>
          <w:p w14:paraId="130BA53D"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w:t>
            </w:r>
            <w:proofErr w:type="gramStart"/>
            <w:r w:rsidRPr="00F85253">
              <w:rPr>
                <w:rFonts w:ascii="Arial" w:eastAsia="Times New Roman" w:hAnsi="Arial" w:cs="Arial"/>
                <w:sz w:val="20"/>
                <w:szCs w:val="20"/>
                <w:lang w:val="es-EC" w:eastAsia="es-EC"/>
              </w:rPr>
              <w:t>$  27.32</w:t>
            </w:r>
            <w:proofErr w:type="gramEnd"/>
            <w:r w:rsidRPr="00F85253">
              <w:rPr>
                <w:rFonts w:ascii="Arial" w:eastAsia="Times New Roman" w:hAnsi="Arial" w:cs="Arial"/>
                <w:sz w:val="20"/>
                <w:szCs w:val="20"/>
                <w:lang w:val="es-EC" w:eastAsia="es-EC"/>
              </w:rPr>
              <w:t xml:space="preserve"> </w:t>
            </w:r>
          </w:p>
        </w:tc>
        <w:tc>
          <w:tcPr>
            <w:tcW w:w="780" w:type="dxa"/>
            <w:tcBorders>
              <w:top w:val="nil"/>
              <w:left w:val="nil"/>
              <w:bottom w:val="nil"/>
              <w:right w:val="nil"/>
            </w:tcBorders>
            <w:shd w:val="clear" w:color="000000" w:fill="FFFFFF"/>
            <w:noWrap/>
            <w:vAlign w:val="bottom"/>
            <w:hideMark/>
          </w:tcPr>
          <w:p w14:paraId="40CED0BA"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$27.32 </w:t>
            </w:r>
          </w:p>
        </w:tc>
        <w:tc>
          <w:tcPr>
            <w:tcW w:w="780" w:type="dxa"/>
            <w:tcBorders>
              <w:top w:val="nil"/>
              <w:left w:val="nil"/>
              <w:bottom w:val="nil"/>
              <w:right w:val="nil"/>
            </w:tcBorders>
            <w:shd w:val="clear" w:color="000000" w:fill="FFFFFF"/>
            <w:noWrap/>
            <w:vAlign w:val="bottom"/>
            <w:hideMark/>
          </w:tcPr>
          <w:p w14:paraId="592A58EB"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$27.32 </w:t>
            </w:r>
          </w:p>
        </w:tc>
        <w:tc>
          <w:tcPr>
            <w:tcW w:w="780" w:type="dxa"/>
            <w:tcBorders>
              <w:top w:val="nil"/>
              <w:left w:val="nil"/>
              <w:bottom w:val="nil"/>
              <w:right w:val="nil"/>
            </w:tcBorders>
            <w:shd w:val="clear" w:color="000000" w:fill="FFFFFF"/>
            <w:noWrap/>
            <w:vAlign w:val="bottom"/>
            <w:hideMark/>
          </w:tcPr>
          <w:p w14:paraId="48A2180C"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$27.32 </w:t>
            </w:r>
          </w:p>
        </w:tc>
        <w:tc>
          <w:tcPr>
            <w:tcW w:w="780" w:type="dxa"/>
            <w:tcBorders>
              <w:top w:val="nil"/>
              <w:left w:val="nil"/>
              <w:bottom w:val="nil"/>
              <w:right w:val="nil"/>
            </w:tcBorders>
            <w:shd w:val="clear" w:color="000000" w:fill="FFFFFF"/>
            <w:noWrap/>
            <w:vAlign w:val="bottom"/>
            <w:hideMark/>
          </w:tcPr>
          <w:p w14:paraId="0D8154B0"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$27.32 </w:t>
            </w:r>
          </w:p>
        </w:tc>
        <w:tc>
          <w:tcPr>
            <w:tcW w:w="780" w:type="dxa"/>
            <w:tcBorders>
              <w:top w:val="nil"/>
              <w:left w:val="nil"/>
              <w:bottom w:val="nil"/>
              <w:right w:val="nil"/>
            </w:tcBorders>
            <w:shd w:val="clear" w:color="000000" w:fill="FFFFFF"/>
            <w:noWrap/>
            <w:vAlign w:val="bottom"/>
            <w:hideMark/>
          </w:tcPr>
          <w:p w14:paraId="359A8CA0"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$27.32 </w:t>
            </w:r>
          </w:p>
        </w:tc>
        <w:tc>
          <w:tcPr>
            <w:tcW w:w="1000" w:type="dxa"/>
            <w:tcBorders>
              <w:top w:val="nil"/>
              <w:left w:val="nil"/>
              <w:bottom w:val="nil"/>
              <w:right w:val="single" w:sz="8" w:space="0" w:color="auto"/>
            </w:tcBorders>
            <w:shd w:val="clear" w:color="000000" w:fill="FFFFFF"/>
            <w:noWrap/>
            <w:vAlign w:val="bottom"/>
            <w:hideMark/>
          </w:tcPr>
          <w:p w14:paraId="0511A1CE"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27.32 </w:t>
            </w:r>
          </w:p>
        </w:tc>
      </w:tr>
      <w:tr w:rsidR="00441D06" w:rsidRPr="00F85253" w14:paraId="735843AC" w14:textId="77777777" w:rsidTr="00441D06">
        <w:trPr>
          <w:trHeight w:val="255"/>
        </w:trPr>
        <w:tc>
          <w:tcPr>
            <w:tcW w:w="4693" w:type="dxa"/>
            <w:tcBorders>
              <w:top w:val="nil"/>
              <w:left w:val="single" w:sz="8" w:space="0" w:color="auto"/>
              <w:bottom w:val="nil"/>
              <w:right w:val="nil"/>
            </w:tcBorders>
            <w:shd w:val="clear" w:color="000000" w:fill="FFFFFF"/>
            <w:noWrap/>
            <w:vAlign w:val="bottom"/>
            <w:hideMark/>
          </w:tcPr>
          <w:p w14:paraId="11EDE37A" w14:textId="77777777" w:rsidR="00441D06" w:rsidRPr="00F85253" w:rsidRDefault="00441D06" w:rsidP="00441D06">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C. Evitados por mejor transparencia</w:t>
            </w:r>
          </w:p>
        </w:tc>
        <w:tc>
          <w:tcPr>
            <w:tcW w:w="1167" w:type="dxa"/>
            <w:tcBorders>
              <w:top w:val="nil"/>
              <w:left w:val="nil"/>
              <w:bottom w:val="nil"/>
              <w:right w:val="nil"/>
            </w:tcBorders>
            <w:shd w:val="clear" w:color="000000" w:fill="FFFFFF"/>
            <w:noWrap/>
            <w:vAlign w:val="bottom"/>
            <w:hideMark/>
          </w:tcPr>
          <w:p w14:paraId="6E3C6D19" w14:textId="77777777" w:rsidR="00441D06" w:rsidRPr="00F85253" w:rsidRDefault="00441D06" w:rsidP="00441D06">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9.01 </w:t>
            </w:r>
          </w:p>
        </w:tc>
        <w:tc>
          <w:tcPr>
            <w:tcW w:w="880" w:type="dxa"/>
            <w:tcBorders>
              <w:top w:val="nil"/>
              <w:left w:val="single" w:sz="8" w:space="0" w:color="auto"/>
              <w:bottom w:val="nil"/>
              <w:right w:val="nil"/>
            </w:tcBorders>
            <w:shd w:val="clear" w:color="000000" w:fill="FFFFFF"/>
            <w:noWrap/>
            <w:vAlign w:val="bottom"/>
            <w:hideMark/>
          </w:tcPr>
          <w:p w14:paraId="1F32579D"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940" w:type="dxa"/>
            <w:tcBorders>
              <w:top w:val="nil"/>
              <w:left w:val="nil"/>
              <w:bottom w:val="nil"/>
              <w:right w:val="nil"/>
            </w:tcBorders>
            <w:shd w:val="clear" w:color="000000" w:fill="FFFFFF"/>
            <w:noWrap/>
            <w:vAlign w:val="bottom"/>
            <w:hideMark/>
          </w:tcPr>
          <w:p w14:paraId="6957DB81"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880" w:type="dxa"/>
            <w:tcBorders>
              <w:top w:val="nil"/>
              <w:left w:val="nil"/>
              <w:bottom w:val="nil"/>
              <w:right w:val="nil"/>
            </w:tcBorders>
            <w:shd w:val="clear" w:color="000000" w:fill="FFFFFF"/>
            <w:noWrap/>
            <w:vAlign w:val="bottom"/>
            <w:hideMark/>
          </w:tcPr>
          <w:p w14:paraId="6A8CC9EA"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920" w:type="dxa"/>
            <w:tcBorders>
              <w:top w:val="nil"/>
              <w:left w:val="nil"/>
              <w:bottom w:val="nil"/>
              <w:right w:val="single" w:sz="8" w:space="0" w:color="auto"/>
            </w:tcBorders>
            <w:shd w:val="clear" w:color="000000" w:fill="FFFFFF"/>
            <w:noWrap/>
            <w:vAlign w:val="bottom"/>
            <w:hideMark/>
          </w:tcPr>
          <w:p w14:paraId="362AFEFC"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780" w:type="dxa"/>
            <w:tcBorders>
              <w:top w:val="nil"/>
              <w:left w:val="nil"/>
              <w:bottom w:val="nil"/>
              <w:right w:val="nil"/>
            </w:tcBorders>
            <w:shd w:val="clear" w:color="000000" w:fill="FFFFFF"/>
            <w:noWrap/>
            <w:vAlign w:val="bottom"/>
            <w:hideMark/>
          </w:tcPr>
          <w:p w14:paraId="2A84CF62"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$ 0.24 </w:t>
            </w:r>
          </w:p>
        </w:tc>
        <w:tc>
          <w:tcPr>
            <w:tcW w:w="780" w:type="dxa"/>
            <w:tcBorders>
              <w:top w:val="nil"/>
              <w:left w:val="nil"/>
              <w:bottom w:val="nil"/>
              <w:right w:val="nil"/>
            </w:tcBorders>
            <w:shd w:val="clear" w:color="000000" w:fill="FFFFFF"/>
            <w:noWrap/>
            <w:vAlign w:val="bottom"/>
            <w:hideMark/>
          </w:tcPr>
          <w:p w14:paraId="4414A12B"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$ 0.42 </w:t>
            </w:r>
          </w:p>
        </w:tc>
        <w:tc>
          <w:tcPr>
            <w:tcW w:w="780" w:type="dxa"/>
            <w:tcBorders>
              <w:top w:val="nil"/>
              <w:left w:val="nil"/>
              <w:bottom w:val="nil"/>
              <w:right w:val="nil"/>
            </w:tcBorders>
            <w:shd w:val="clear" w:color="000000" w:fill="FFFFFF"/>
            <w:noWrap/>
            <w:vAlign w:val="bottom"/>
            <w:hideMark/>
          </w:tcPr>
          <w:p w14:paraId="6677BBCC"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$ 0.74 </w:t>
            </w:r>
          </w:p>
        </w:tc>
        <w:tc>
          <w:tcPr>
            <w:tcW w:w="780" w:type="dxa"/>
            <w:tcBorders>
              <w:top w:val="nil"/>
              <w:left w:val="nil"/>
              <w:bottom w:val="nil"/>
              <w:right w:val="nil"/>
            </w:tcBorders>
            <w:shd w:val="clear" w:color="000000" w:fill="FFFFFF"/>
            <w:noWrap/>
            <w:vAlign w:val="bottom"/>
            <w:hideMark/>
          </w:tcPr>
          <w:p w14:paraId="1A6C5E66"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$ 1.31 </w:t>
            </w:r>
          </w:p>
        </w:tc>
        <w:tc>
          <w:tcPr>
            <w:tcW w:w="780" w:type="dxa"/>
            <w:tcBorders>
              <w:top w:val="nil"/>
              <w:left w:val="nil"/>
              <w:bottom w:val="nil"/>
              <w:right w:val="nil"/>
            </w:tcBorders>
            <w:shd w:val="clear" w:color="000000" w:fill="FFFFFF"/>
            <w:noWrap/>
            <w:vAlign w:val="bottom"/>
            <w:hideMark/>
          </w:tcPr>
          <w:p w14:paraId="4A6E2800"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$ 2.29 </w:t>
            </w:r>
          </w:p>
        </w:tc>
        <w:tc>
          <w:tcPr>
            <w:tcW w:w="1000" w:type="dxa"/>
            <w:tcBorders>
              <w:top w:val="nil"/>
              <w:left w:val="nil"/>
              <w:bottom w:val="nil"/>
              <w:right w:val="single" w:sz="8" w:space="0" w:color="auto"/>
            </w:tcBorders>
            <w:shd w:val="clear" w:color="000000" w:fill="FFFFFF"/>
            <w:noWrap/>
            <w:vAlign w:val="bottom"/>
            <w:hideMark/>
          </w:tcPr>
          <w:p w14:paraId="7F0163A2"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4.01 </w:t>
            </w:r>
          </w:p>
        </w:tc>
      </w:tr>
      <w:tr w:rsidR="00441D06" w:rsidRPr="00F85253" w14:paraId="2ABE7E5B" w14:textId="77777777" w:rsidTr="00441D06">
        <w:trPr>
          <w:trHeight w:val="255"/>
        </w:trPr>
        <w:tc>
          <w:tcPr>
            <w:tcW w:w="4693" w:type="dxa"/>
            <w:tcBorders>
              <w:top w:val="nil"/>
              <w:left w:val="single" w:sz="8" w:space="0" w:color="auto"/>
              <w:bottom w:val="nil"/>
              <w:right w:val="nil"/>
            </w:tcBorders>
            <w:shd w:val="clear" w:color="000000" w:fill="FFFFFF"/>
            <w:noWrap/>
            <w:vAlign w:val="bottom"/>
            <w:hideMark/>
          </w:tcPr>
          <w:p w14:paraId="1C290736" w14:textId="77777777" w:rsidR="00441D06" w:rsidRPr="00F85253" w:rsidRDefault="00441D06" w:rsidP="00441D06">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C. Evitados por mejor Eficiencia por fusión</w:t>
            </w:r>
          </w:p>
        </w:tc>
        <w:tc>
          <w:tcPr>
            <w:tcW w:w="1167" w:type="dxa"/>
            <w:tcBorders>
              <w:top w:val="nil"/>
              <w:left w:val="nil"/>
              <w:bottom w:val="nil"/>
              <w:right w:val="nil"/>
            </w:tcBorders>
            <w:shd w:val="clear" w:color="000000" w:fill="FFFFFF"/>
            <w:noWrap/>
            <w:vAlign w:val="bottom"/>
            <w:hideMark/>
          </w:tcPr>
          <w:p w14:paraId="6D06617B" w14:textId="77777777" w:rsidR="00441D06" w:rsidRPr="00F85253" w:rsidRDefault="00441D06" w:rsidP="00441D06">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63.91 </w:t>
            </w:r>
          </w:p>
        </w:tc>
        <w:tc>
          <w:tcPr>
            <w:tcW w:w="880" w:type="dxa"/>
            <w:tcBorders>
              <w:top w:val="nil"/>
              <w:left w:val="single" w:sz="8" w:space="0" w:color="auto"/>
              <w:bottom w:val="nil"/>
              <w:right w:val="nil"/>
            </w:tcBorders>
            <w:shd w:val="clear" w:color="000000" w:fill="FFFFFF"/>
            <w:noWrap/>
            <w:vAlign w:val="bottom"/>
            <w:hideMark/>
          </w:tcPr>
          <w:p w14:paraId="28D694BC"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940" w:type="dxa"/>
            <w:tcBorders>
              <w:top w:val="nil"/>
              <w:left w:val="nil"/>
              <w:bottom w:val="nil"/>
              <w:right w:val="nil"/>
            </w:tcBorders>
            <w:shd w:val="clear" w:color="000000" w:fill="FFFFFF"/>
            <w:noWrap/>
            <w:vAlign w:val="bottom"/>
            <w:hideMark/>
          </w:tcPr>
          <w:p w14:paraId="4B14BD3F"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880" w:type="dxa"/>
            <w:tcBorders>
              <w:top w:val="nil"/>
              <w:left w:val="nil"/>
              <w:bottom w:val="nil"/>
              <w:right w:val="nil"/>
            </w:tcBorders>
            <w:shd w:val="clear" w:color="000000" w:fill="FFFFFF"/>
            <w:noWrap/>
            <w:vAlign w:val="bottom"/>
            <w:hideMark/>
          </w:tcPr>
          <w:p w14:paraId="75AD08A1"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920" w:type="dxa"/>
            <w:tcBorders>
              <w:top w:val="nil"/>
              <w:left w:val="nil"/>
              <w:bottom w:val="nil"/>
              <w:right w:val="single" w:sz="8" w:space="0" w:color="auto"/>
            </w:tcBorders>
            <w:shd w:val="clear" w:color="000000" w:fill="FFFFFF"/>
            <w:noWrap/>
            <w:vAlign w:val="bottom"/>
            <w:hideMark/>
          </w:tcPr>
          <w:p w14:paraId="0A30F42A"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780" w:type="dxa"/>
            <w:tcBorders>
              <w:top w:val="nil"/>
              <w:left w:val="nil"/>
              <w:bottom w:val="nil"/>
              <w:right w:val="nil"/>
            </w:tcBorders>
            <w:shd w:val="clear" w:color="000000" w:fill="FFFFFF"/>
            <w:noWrap/>
            <w:vAlign w:val="bottom"/>
            <w:hideMark/>
          </w:tcPr>
          <w:p w14:paraId="1313A37C"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$ 2.28 </w:t>
            </w:r>
          </w:p>
        </w:tc>
        <w:tc>
          <w:tcPr>
            <w:tcW w:w="780" w:type="dxa"/>
            <w:tcBorders>
              <w:top w:val="nil"/>
              <w:left w:val="nil"/>
              <w:bottom w:val="nil"/>
              <w:right w:val="nil"/>
            </w:tcBorders>
            <w:shd w:val="clear" w:color="000000" w:fill="FFFFFF"/>
            <w:noWrap/>
            <w:vAlign w:val="bottom"/>
            <w:hideMark/>
          </w:tcPr>
          <w:p w14:paraId="737396AC"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$ 3.73 </w:t>
            </w:r>
          </w:p>
        </w:tc>
        <w:tc>
          <w:tcPr>
            <w:tcW w:w="780" w:type="dxa"/>
            <w:tcBorders>
              <w:top w:val="nil"/>
              <w:left w:val="nil"/>
              <w:bottom w:val="nil"/>
              <w:right w:val="nil"/>
            </w:tcBorders>
            <w:shd w:val="clear" w:color="000000" w:fill="FFFFFF"/>
            <w:noWrap/>
            <w:vAlign w:val="bottom"/>
            <w:hideMark/>
          </w:tcPr>
          <w:p w14:paraId="34684164"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$ 6.08 </w:t>
            </w:r>
          </w:p>
        </w:tc>
        <w:tc>
          <w:tcPr>
            <w:tcW w:w="780" w:type="dxa"/>
            <w:tcBorders>
              <w:top w:val="nil"/>
              <w:left w:val="nil"/>
              <w:bottom w:val="nil"/>
              <w:right w:val="nil"/>
            </w:tcBorders>
            <w:shd w:val="clear" w:color="000000" w:fill="FFFFFF"/>
            <w:noWrap/>
            <w:vAlign w:val="bottom"/>
            <w:hideMark/>
          </w:tcPr>
          <w:p w14:paraId="1EA16B61"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$ 9.89 </w:t>
            </w:r>
          </w:p>
        </w:tc>
        <w:tc>
          <w:tcPr>
            <w:tcW w:w="780" w:type="dxa"/>
            <w:tcBorders>
              <w:top w:val="nil"/>
              <w:left w:val="nil"/>
              <w:bottom w:val="nil"/>
              <w:right w:val="nil"/>
            </w:tcBorders>
            <w:shd w:val="clear" w:color="000000" w:fill="FFFFFF"/>
            <w:noWrap/>
            <w:vAlign w:val="bottom"/>
            <w:hideMark/>
          </w:tcPr>
          <w:p w14:paraId="31A117BE"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$16.02 </w:t>
            </w:r>
          </w:p>
        </w:tc>
        <w:tc>
          <w:tcPr>
            <w:tcW w:w="1000" w:type="dxa"/>
            <w:tcBorders>
              <w:top w:val="nil"/>
              <w:left w:val="nil"/>
              <w:bottom w:val="nil"/>
              <w:right w:val="single" w:sz="8" w:space="0" w:color="auto"/>
            </w:tcBorders>
            <w:shd w:val="clear" w:color="000000" w:fill="FFFFFF"/>
            <w:noWrap/>
            <w:vAlign w:val="bottom"/>
            <w:hideMark/>
          </w:tcPr>
          <w:p w14:paraId="0C18B403"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25.90 </w:t>
            </w:r>
          </w:p>
        </w:tc>
      </w:tr>
      <w:tr w:rsidR="00441D06" w:rsidRPr="00F85253" w14:paraId="38EC3171" w14:textId="77777777" w:rsidTr="00441D06">
        <w:trPr>
          <w:trHeight w:val="255"/>
        </w:trPr>
        <w:tc>
          <w:tcPr>
            <w:tcW w:w="4693" w:type="dxa"/>
            <w:tcBorders>
              <w:top w:val="nil"/>
              <w:left w:val="single" w:sz="8" w:space="0" w:color="auto"/>
              <w:bottom w:val="nil"/>
              <w:right w:val="nil"/>
            </w:tcBorders>
            <w:shd w:val="clear" w:color="000000" w:fill="FFFFFF"/>
            <w:noWrap/>
            <w:vAlign w:val="bottom"/>
            <w:hideMark/>
          </w:tcPr>
          <w:p w14:paraId="6902236D" w14:textId="77777777" w:rsidR="00441D06" w:rsidRPr="00F85253" w:rsidRDefault="00441D06" w:rsidP="00441D06">
            <w:pPr>
              <w:spacing w:after="0" w:line="240" w:lineRule="auto"/>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Subtotal Beneficios</w:t>
            </w:r>
          </w:p>
        </w:tc>
        <w:tc>
          <w:tcPr>
            <w:tcW w:w="1167" w:type="dxa"/>
            <w:tcBorders>
              <w:top w:val="nil"/>
              <w:left w:val="nil"/>
              <w:bottom w:val="nil"/>
              <w:right w:val="nil"/>
            </w:tcBorders>
            <w:shd w:val="clear" w:color="000000" w:fill="FFFFFF"/>
            <w:noWrap/>
            <w:vAlign w:val="bottom"/>
            <w:hideMark/>
          </w:tcPr>
          <w:p w14:paraId="1215F98C" w14:textId="77777777" w:rsidR="00441D06" w:rsidRPr="00F85253" w:rsidRDefault="00441D06" w:rsidP="00441D06">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w:t>
            </w:r>
            <w:proofErr w:type="gramStart"/>
            <w:r w:rsidRPr="00F85253">
              <w:rPr>
                <w:rFonts w:ascii="Arial" w:eastAsia="Times New Roman" w:hAnsi="Arial" w:cs="Arial"/>
                <w:b/>
                <w:bCs/>
                <w:sz w:val="20"/>
                <w:szCs w:val="20"/>
                <w:lang w:val="es-EC" w:eastAsia="es-EC"/>
              </w:rPr>
              <w:t>$  291.46</w:t>
            </w:r>
            <w:proofErr w:type="gramEnd"/>
            <w:r w:rsidRPr="00F85253">
              <w:rPr>
                <w:rFonts w:ascii="Arial" w:eastAsia="Times New Roman" w:hAnsi="Arial" w:cs="Arial"/>
                <w:b/>
                <w:bCs/>
                <w:sz w:val="20"/>
                <w:szCs w:val="20"/>
                <w:lang w:val="es-EC" w:eastAsia="es-EC"/>
              </w:rPr>
              <w:t xml:space="preserve"> </w:t>
            </w:r>
          </w:p>
        </w:tc>
        <w:tc>
          <w:tcPr>
            <w:tcW w:w="880" w:type="dxa"/>
            <w:tcBorders>
              <w:top w:val="nil"/>
              <w:left w:val="single" w:sz="8" w:space="0" w:color="auto"/>
              <w:bottom w:val="nil"/>
              <w:right w:val="nil"/>
            </w:tcBorders>
            <w:shd w:val="clear" w:color="000000" w:fill="FFFFFF"/>
            <w:noWrap/>
            <w:vAlign w:val="bottom"/>
            <w:hideMark/>
          </w:tcPr>
          <w:p w14:paraId="70132761" w14:textId="77777777" w:rsidR="00441D06" w:rsidRPr="00F85253" w:rsidRDefault="00441D06" w:rsidP="00441D06">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   </w:t>
            </w:r>
          </w:p>
        </w:tc>
        <w:tc>
          <w:tcPr>
            <w:tcW w:w="940" w:type="dxa"/>
            <w:tcBorders>
              <w:top w:val="nil"/>
              <w:left w:val="nil"/>
              <w:bottom w:val="nil"/>
              <w:right w:val="nil"/>
            </w:tcBorders>
            <w:shd w:val="clear" w:color="000000" w:fill="FFFFFF"/>
            <w:noWrap/>
            <w:vAlign w:val="bottom"/>
            <w:hideMark/>
          </w:tcPr>
          <w:p w14:paraId="29DAA4EF" w14:textId="77777777" w:rsidR="00441D06" w:rsidRPr="00F85253" w:rsidRDefault="00441D06" w:rsidP="00441D06">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   </w:t>
            </w:r>
          </w:p>
        </w:tc>
        <w:tc>
          <w:tcPr>
            <w:tcW w:w="880" w:type="dxa"/>
            <w:tcBorders>
              <w:top w:val="nil"/>
              <w:left w:val="nil"/>
              <w:bottom w:val="nil"/>
              <w:right w:val="nil"/>
            </w:tcBorders>
            <w:shd w:val="clear" w:color="000000" w:fill="FFFFFF"/>
            <w:noWrap/>
            <w:vAlign w:val="bottom"/>
            <w:hideMark/>
          </w:tcPr>
          <w:p w14:paraId="43F61F7E" w14:textId="77777777" w:rsidR="00441D06" w:rsidRPr="00F85253" w:rsidRDefault="00441D06" w:rsidP="00441D06">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$ 27.32 </w:t>
            </w:r>
          </w:p>
        </w:tc>
        <w:tc>
          <w:tcPr>
            <w:tcW w:w="920" w:type="dxa"/>
            <w:tcBorders>
              <w:top w:val="nil"/>
              <w:left w:val="nil"/>
              <w:bottom w:val="nil"/>
              <w:right w:val="single" w:sz="8" w:space="0" w:color="auto"/>
            </w:tcBorders>
            <w:shd w:val="clear" w:color="000000" w:fill="FFFFFF"/>
            <w:noWrap/>
            <w:vAlign w:val="bottom"/>
            <w:hideMark/>
          </w:tcPr>
          <w:p w14:paraId="5423073A" w14:textId="77777777" w:rsidR="00441D06" w:rsidRPr="00F85253" w:rsidRDefault="00441D06" w:rsidP="00441D06">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w:t>
            </w:r>
            <w:proofErr w:type="gramStart"/>
            <w:r w:rsidRPr="00F85253">
              <w:rPr>
                <w:rFonts w:ascii="Arial" w:eastAsia="Times New Roman" w:hAnsi="Arial" w:cs="Arial"/>
                <w:b/>
                <w:bCs/>
                <w:sz w:val="20"/>
                <w:szCs w:val="20"/>
                <w:lang w:val="es-EC" w:eastAsia="es-EC"/>
              </w:rPr>
              <w:t>$  27.32</w:t>
            </w:r>
            <w:proofErr w:type="gramEnd"/>
            <w:r w:rsidRPr="00F85253">
              <w:rPr>
                <w:rFonts w:ascii="Arial" w:eastAsia="Times New Roman" w:hAnsi="Arial" w:cs="Arial"/>
                <w:b/>
                <w:bCs/>
                <w:sz w:val="20"/>
                <w:szCs w:val="20"/>
                <w:lang w:val="es-EC" w:eastAsia="es-EC"/>
              </w:rPr>
              <w:t xml:space="preserve"> </w:t>
            </w:r>
          </w:p>
        </w:tc>
        <w:tc>
          <w:tcPr>
            <w:tcW w:w="780" w:type="dxa"/>
            <w:tcBorders>
              <w:top w:val="nil"/>
              <w:left w:val="nil"/>
              <w:bottom w:val="nil"/>
              <w:right w:val="nil"/>
            </w:tcBorders>
            <w:shd w:val="clear" w:color="000000" w:fill="FFFFFF"/>
            <w:noWrap/>
            <w:vAlign w:val="bottom"/>
            <w:hideMark/>
          </w:tcPr>
          <w:p w14:paraId="5ED92FD5" w14:textId="77777777" w:rsidR="00441D06" w:rsidRPr="00F85253" w:rsidRDefault="00441D06" w:rsidP="00441D06">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$29.84 </w:t>
            </w:r>
          </w:p>
        </w:tc>
        <w:tc>
          <w:tcPr>
            <w:tcW w:w="780" w:type="dxa"/>
            <w:tcBorders>
              <w:top w:val="nil"/>
              <w:left w:val="nil"/>
              <w:bottom w:val="nil"/>
              <w:right w:val="nil"/>
            </w:tcBorders>
            <w:shd w:val="clear" w:color="000000" w:fill="FFFFFF"/>
            <w:noWrap/>
            <w:vAlign w:val="bottom"/>
            <w:hideMark/>
          </w:tcPr>
          <w:p w14:paraId="4D0CF092" w14:textId="77777777" w:rsidR="00441D06" w:rsidRPr="00F85253" w:rsidRDefault="00441D06" w:rsidP="00441D06">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$31.47 </w:t>
            </w:r>
          </w:p>
        </w:tc>
        <w:tc>
          <w:tcPr>
            <w:tcW w:w="780" w:type="dxa"/>
            <w:tcBorders>
              <w:top w:val="nil"/>
              <w:left w:val="nil"/>
              <w:bottom w:val="nil"/>
              <w:right w:val="nil"/>
            </w:tcBorders>
            <w:shd w:val="clear" w:color="000000" w:fill="FFFFFF"/>
            <w:noWrap/>
            <w:vAlign w:val="bottom"/>
            <w:hideMark/>
          </w:tcPr>
          <w:p w14:paraId="0475E3FD" w14:textId="77777777" w:rsidR="00441D06" w:rsidRPr="00F85253" w:rsidRDefault="00441D06" w:rsidP="00441D06">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$34.15 </w:t>
            </w:r>
          </w:p>
        </w:tc>
        <w:tc>
          <w:tcPr>
            <w:tcW w:w="780" w:type="dxa"/>
            <w:tcBorders>
              <w:top w:val="nil"/>
              <w:left w:val="nil"/>
              <w:bottom w:val="nil"/>
              <w:right w:val="nil"/>
            </w:tcBorders>
            <w:shd w:val="clear" w:color="000000" w:fill="FFFFFF"/>
            <w:noWrap/>
            <w:vAlign w:val="bottom"/>
            <w:hideMark/>
          </w:tcPr>
          <w:p w14:paraId="39B8174F" w14:textId="77777777" w:rsidR="00441D06" w:rsidRPr="00F85253" w:rsidRDefault="00441D06" w:rsidP="00441D06">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$38.51 </w:t>
            </w:r>
          </w:p>
        </w:tc>
        <w:tc>
          <w:tcPr>
            <w:tcW w:w="780" w:type="dxa"/>
            <w:tcBorders>
              <w:top w:val="nil"/>
              <w:left w:val="nil"/>
              <w:bottom w:val="nil"/>
              <w:right w:val="nil"/>
            </w:tcBorders>
            <w:shd w:val="clear" w:color="000000" w:fill="FFFFFF"/>
            <w:noWrap/>
            <w:vAlign w:val="bottom"/>
            <w:hideMark/>
          </w:tcPr>
          <w:p w14:paraId="66630697" w14:textId="77777777" w:rsidR="00441D06" w:rsidRPr="00F85253" w:rsidRDefault="00441D06" w:rsidP="00441D06">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$45.63 </w:t>
            </w:r>
          </w:p>
        </w:tc>
        <w:tc>
          <w:tcPr>
            <w:tcW w:w="1000" w:type="dxa"/>
            <w:tcBorders>
              <w:top w:val="nil"/>
              <w:left w:val="nil"/>
              <w:bottom w:val="nil"/>
              <w:right w:val="single" w:sz="8" w:space="0" w:color="auto"/>
            </w:tcBorders>
            <w:shd w:val="clear" w:color="000000" w:fill="FFFFFF"/>
            <w:noWrap/>
            <w:vAlign w:val="bottom"/>
            <w:hideMark/>
          </w:tcPr>
          <w:p w14:paraId="0000C758" w14:textId="77777777" w:rsidR="00441D06" w:rsidRPr="00F85253" w:rsidRDefault="00441D06" w:rsidP="00441D06">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57.23 </w:t>
            </w:r>
          </w:p>
        </w:tc>
      </w:tr>
      <w:tr w:rsidR="00441D06" w:rsidRPr="00F85253" w14:paraId="17475883" w14:textId="77777777" w:rsidTr="00441D06">
        <w:trPr>
          <w:trHeight w:val="255"/>
        </w:trPr>
        <w:tc>
          <w:tcPr>
            <w:tcW w:w="4693" w:type="dxa"/>
            <w:tcBorders>
              <w:top w:val="nil"/>
              <w:left w:val="single" w:sz="8" w:space="0" w:color="auto"/>
              <w:bottom w:val="nil"/>
              <w:right w:val="nil"/>
            </w:tcBorders>
            <w:shd w:val="clear" w:color="000000" w:fill="FFFFFF"/>
            <w:noWrap/>
            <w:vAlign w:val="bottom"/>
            <w:hideMark/>
          </w:tcPr>
          <w:p w14:paraId="583197EA" w14:textId="77777777" w:rsidR="00441D06" w:rsidRPr="00F85253" w:rsidRDefault="00441D06" w:rsidP="00441D06">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1167" w:type="dxa"/>
            <w:tcBorders>
              <w:top w:val="nil"/>
              <w:left w:val="nil"/>
              <w:bottom w:val="nil"/>
              <w:right w:val="nil"/>
            </w:tcBorders>
            <w:shd w:val="clear" w:color="000000" w:fill="FFFFFF"/>
            <w:noWrap/>
            <w:vAlign w:val="bottom"/>
            <w:hideMark/>
          </w:tcPr>
          <w:p w14:paraId="019DC7CD" w14:textId="77777777" w:rsidR="00441D06" w:rsidRPr="00F85253" w:rsidRDefault="00441D06" w:rsidP="00441D06">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w:t>
            </w:r>
          </w:p>
        </w:tc>
        <w:tc>
          <w:tcPr>
            <w:tcW w:w="880" w:type="dxa"/>
            <w:tcBorders>
              <w:top w:val="nil"/>
              <w:left w:val="single" w:sz="8" w:space="0" w:color="auto"/>
              <w:bottom w:val="nil"/>
              <w:right w:val="nil"/>
            </w:tcBorders>
            <w:shd w:val="clear" w:color="000000" w:fill="FFFFFF"/>
            <w:noWrap/>
            <w:vAlign w:val="bottom"/>
            <w:hideMark/>
          </w:tcPr>
          <w:p w14:paraId="1D06A425" w14:textId="77777777" w:rsidR="00441D06" w:rsidRPr="00F85253" w:rsidRDefault="00441D06" w:rsidP="00441D06">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w:t>
            </w:r>
          </w:p>
        </w:tc>
        <w:tc>
          <w:tcPr>
            <w:tcW w:w="940" w:type="dxa"/>
            <w:tcBorders>
              <w:top w:val="nil"/>
              <w:left w:val="nil"/>
              <w:bottom w:val="nil"/>
              <w:right w:val="nil"/>
            </w:tcBorders>
            <w:shd w:val="clear" w:color="000000" w:fill="FFFFFF"/>
            <w:noWrap/>
            <w:vAlign w:val="bottom"/>
            <w:hideMark/>
          </w:tcPr>
          <w:p w14:paraId="22D3DA6A"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880" w:type="dxa"/>
            <w:tcBorders>
              <w:top w:val="nil"/>
              <w:left w:val="nil"/>
              <w:bottom w:val="nil"/>
              <w:right w:val="nil"/>
            </w:tcBorders>
            <w:shd w:val="clear" w:color="000000" w:fill="FFFFFF"/>
            <w:noWrap/>
            <w:vAlign w:val="bottom"/>
            <w:hideMark/>
          </w:tcPr>
          <w:p w14:paraId="346ED19D"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920" w:type="dxa"/>
            <w:tcBorders>
              <w:top w:val="nil"/>
              <w:left w:val="nil"/>
              <w:bottom w:val="nil"/>
              <w:right w:val="single" w:sz="8" w:space="0" w:color="auto"/>
            </w:tcBorders>
            <w:shd w:val="clear" w:color="000000" w:fill="FFFFFF"/>
            <w:noWrap/>
            <w:vAlign w:val="bottom"/>
            <w:hideMark/>
          </w:tcPr>
          <w:p w14:paraId="1A6C3F9A"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45D0C4AF"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75164593"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72781262"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03662EB8"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021AF8BA"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1000" w:type="dxa"/>
            <w:tcBorders>
              <w:top w:val="nil"/>
              <w:left w:val="nil"/>
              <w:bottom w:val="nil"/>
              <w:right w:val="single" w:sz="8" w:space="0" w:color="auto"/>
            </w:tcBorders>
            <w:shd w:val="clear" w:color="000000" w:fill="FFFFFF"/>
            <w:noWrap/>
            <w:vAlign w:val="bottom"/>
            <w:hideMark/>
          </w:tcPr>
          <w:p w14:paraId="5FC4ADAB"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r>
      <w:tr w:rsidR="00441D06" w:rsidRPr="00F85253" w14:paraId="23FF9745" w14:textId="77777777" w:rsidTr="00441D06">
        <w:trPr>
          <w:trHeight w:val="255"/>
        </w:trPr>
        <w:tc>
          <w:tcPr>
            <w:tcW w:w="4693" w:type="dxa"/>
            <w:tcBorders>
              <w:top w:val="nil"/>
              <w:left w:val="single" w:sz="8" w:space="0" w:color="auto"/>
              <w:bottom w:val="nil"/>
              <w:right w:val="nil"/>
            </w:tcBorders>
            <w:shd w:val="clear" w:color="000000" w:fill="FFFFFF"/>
            <w:noWrap/>
            <w:vAlign w:val="bottom"/>
            <w:hideMark/>
          </w:tcPr>
          <w:p w14:paraId="271B4679" w14:textId="77777777" w:rsidR="00441D06" w:rsidRPr="00F85253" w:rsidRDefault="00441D06" w:rsidP="00441D06">
            <w:pPr>
              <w:spacing w:after="0" w:line="240" w:lineRule="auto"/>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Costes Económicos</w:t>
            </w:r>
          </w:p>
        </w:tc>
        <w:tc>
          <w:tcPr>
            <w:tcW w:w="1167" w:type="dxa"/>
            <w:tcBorders>
              <w:top w:val="nil"/>
              <w:left w:val="nil"/>
              <w:bottom w:val="nil"/>
              <w:right w:val="nil"/>
            </w:tcBorders>
            <w:shd w:val="clear" w:color="000000" w:fill="FFFFFF"/>
            <w:noWrap/>
            <w:vAlign w:val="bottom"/>
            <w:hideMark/>
          </w:tcPr>
          <w:p w14:paraId="5C6B623A" w14:textId="77777777" w:rsidR="00441D06" w:rsidRPr="00F85253" w:rsidRDefault="00441D06" w:rsidP="00441D06">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w:t>
            </w:r>
          </w:p>
        </w:tc>
        <w:tc>
          <w:tcPr>
            <w:tcW w:w="880" w:type="dxa"/>
            <w:tcBorders>
              <w:top w:val="nil"/>
              <w:left w:val="single" w:sz="8" w:space="0" w:color="auto"/>
              <w:bottom w:val="nil"/>
              <w:right w:val="nil"/>
            </w:tcBorders>
            <w:shd w:val="clear" w:color="000000" w:fill="FFFFFF"/>
            <w:noWrap/>
            <w:vAlign w:val="bottom"/>
            <w:hideMark/>
          </w:tcPr>
          <w:p w14:paraId="1EA435D8" w14:textId="77777777" w:rsidR="00441D06" w:rsidRPr="00F85253" w:rsidRDefault="00441D06" w:rsidP="00441D06">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w:t>
            </w:r>
          </w:p>
        </w:tc>
        <w:tc>
          <w:tcPr>
            <w:tcW w:w="940" w:type="dxa"/>
            <w:tcBorders>
              <w:top w:val="nil"/>
              <w:left w:val="nil"/>
              <w:bottom w:val="nil"/>
              <w:right w:val="nil"/>
            </w:tcBorders>
            <w:shd w:val="clear" w:color="000000" w:fill="FFFFFF"/>
            <w:noWrap/>
            <w:vAlign w:val="bottom"/>
            <w:hideMark/>
          </w:tcPr>
          <w:p w14:paraId="1CB27317"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880" w:type="dxa"/>
            <w:tcBorders>
              <w:top w:val="nil"/>
              <w:left w:val="nil"/>
              <w:bottom w:val="nil"/>
              <w:right w:val="nil"/>
            </w:tcBorders>
            <w:shd w:val="clear" w:color="000000" w:fill="FFFFFF"/>
            <w:noWrap/>
            <w:vAlign w:val="bottom"/>
            <w:hideMark/>
          </w:tcPr>
          <w:p w14:paraId="04F6081C"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920" w:type="dxa"/>
            <w:tcBorders>
              <w:top w:val="nil"/>
              <w:left w:val="nil"/>
              <w:bottom w:val="nil"/>
              <w:right w:val="single" w:sz="8" w:space="0" w:color="auto"/>
            </w:tcBorders>
            <w:shd w:val="clear" w:color="000000" w:fill="FFFFFF"/>
            <w:noWrap/>
            <w:vAlign w:val="bottom"/>
            <w:hideMark/>
          </w:tcPr>
          <w:p w14:paraId="6DA1C9F9"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72CE5150"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70124DA4"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093975DB"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7C6B0DF9"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32040B3C"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1000" w:type="dxa"/>
            <w:tcBorders>
              <w:top w:val="nil"/>
              <w:left w:val="nil"/>
              <w:bottom w:val="nil"/>
              <w:right w:val="single" w:sz="8" w:space="0" w:color="auto"/>
            </w:tcBorders>
            <w:shd w:val="clear" w:color="000000" w:fill="FFFFFF"/>
            <w:noWrap/>
            <w:vAlign w:val="bottom"/>
            <w:hideMark/>
          </w:tcPr>
          <w:p w14:paraId="602FC759"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r>
      <w:tr w:rsidR="00441D06" w:rsidRPr="00F85253" w14:paraId="3B52ED9A" w14:textId="77777777" w:rsidTr="00441D06">
        <w:trPr>
          <w:trHeight w:val="255"/>
        </w:trPr>
        <w:tc>
          <w:tcPr>
            <w:tcW w:w="4693" w:type="dxa"/>
            <w:tcBorders>
              <w:top w:val="nil"/>
              <w:left w:val="single" w:sz="8" w:space="0" w:color="auto"/>
              <w:bottom w:val="nil"/>
              <w:right w:val="nil"/>
            </w:tcBorders>
            <w:shd w:val="clear" w:color="000000" w:fill="FFFFFF"/>
            <w:noWrap/>
            <w:vAlign w:val="bottom"/>
            <w:hideMark/>
          </w:tcPr>
          <w:p w14:paraId="1F5B0829" w14:textId="77777777" w:rsidR="00441D06" w:rsidRPr="00F85253" w:rsidRDefault="00441D06" w:rsidP="00441D06">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CAPEX</w:t>
            </w:r>
          </w:p>
        </w:tc>
        <w:tc>
          <w:tcPr>
            <w:tcW w:w="1167" w:type="dxa"/>
            <w:tcBorders>
              <w:top w:val="nil"/>
              <w:left w:val="nil"/>
              <w:bottom w:val="nil"/>
              <w:right w:val="nil"/>
            </w:tcBorders>
            <w:shd w:val="clear" w:color="000000" w:fill="FFFFFF"/>
            <w:noWrap/>
            <w:vAlign w:val="bottom"/>
            <w:hideMark/>
          </w:tcPr>
          <w:p w14:paraId="0254DB6C" w14:textId="77777777" w:rsidR="00441D06" w:rsidRPr="00F85253" w:rsidRDefault="00441D06" w:rsidP="00441D06">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61.75 </w:t>
            </w:r>
          </w:p>
        </w:tc>
        <w:tc>
          <w:tcPr>
            <w:tcW w:w="880" w:type="dxa"/>
            <w:tcBorders>
              <w:top w:val="nil"/>
              <w:left w:val="single" w:sz="8" w:space="0" w:color="auto"/>
              <w:bottom w:val="nil"/>
              <w:right w:val="nil"/>
            </w:tcBorders>
            <w:shd w:val="clear" w:color="000000" w:fill="FFFFFF"/>
            <w:noWrap/>
            <w:vAlign w:val="bottom"/>
            <w:hideMark/>
          </w:tcPr>
          <w:p w14:paraId="0C727F80"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2.32 </w:t>
            </w:r>
          </w:p>
        </w:tc>
        <w:tc>
          <w:tcPr>
            <w:tcW w:w="940" w:type="dxa"/>
            <w:tcBorders>
              <w:top w:val="nil"/>
              <w:left w:val="nil"/>
              <w:bottom w:val="nil"/>
              <w:right w:val="nil"/>
            </w:tcBorders>
            <w:shd w:val="clear" w:color="000000" w:fill="FFFFFF"/>
            <w:noWrap/>
            <w:vAlign w:val="bottom"/>
            <w:hideMark/>
          </w:tcPr>
          <w:p w14:paraId="1F920CFF"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w:t>
            </w:r>
            <w:proofErr w:type="gramStart"/>
            <w:r w:rsidRPr="00F85253">
              <w:rPr>
                <w:rFonts w:ascii="Arial" w:eastAsia="Times New Roman" w:hAnsi="Arial" w:cs="Arial"/>
                <w:sz w:val="20"/>
                <w:szCs w:val="20"/>
                <w:lang w:val="es-EC" w:eastAsia="es-EC"/>
              </w:rPr>
              <w:t>$  47.66</w:t>
            </w:r>
            <w:proofErr w:type="gramEnd"/>
            <w:r w:rsidRPr="00F85253">
              <w:rPr>
                <w:rFonts w:ascii="Arial" w:eastAsia="Times New Roman" w:hAnsi="Arial" w:cs="Arial"/>
                <w:sz w:val="20"/>
                <w:szCs w:val="20"/>
                <w:lang w:val="es-EC" w:eastAsia="es-EC"/>
              </w:rPr>
              <w:t xml:space="preserve"> </w:t>
            </w:r>
          </w:p>
        </w:tc>
        <w:tc>
          <w:tcPr>
            <w:tcW w:w="880" w:type="dxa"/>
            <w:tcBorders>
              <w:top w:val="nil"/>
              <w:left w:val="nil"/>
              <w:bottom w:val="nil"/>
              <w:right w:val="nil"/>
            </w:tcBorders>
            <w:shd w:val="clear" w:color="000000" w:fill="FFFFFF"/>
            <w:noWrap/>
            <w:vAlign w:val="bottom"/>
            <w:hideMark/>
          </w:tcPr>
          <w:p w14:paraId="410965A6"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9.53 </w:t>
            </w:r>
          </w:p>
        </w:tc>
        <w:tc>
          <w:tcPr>
            <w:tcW w:w="920" w:type="dxa"/>
            <w:tcBorders>
              <w:top w:val="nil"/>
              <w:left w:val="nil"/>
              <w:bottom w:val="nil"/>
              <w:right w:val="single" w:sz="8" w:space="0" w:color="auto"/>
            </w:tcBorders>
            <w:shd w:val="clear" w:color="000000" w:fill="FFFFFF"/>
            <w:noWrap/>
            <w:vAlign w:val="bottom"/>
            <w:hideMark/>
          </w:tcPr>
          <w:p w14:paraId="208D65CA"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2.23 </w:t>
            </w:r>
          </w:p>
        </w:tc>
        <w:tc>
          <w:tcPr>
            <w:tcW w:w="780" w:type="dxa"/>
            <w:tcBorders>
              <w:top w:val="nil"/>
              <w:left w:val="nil"/>
              <w:bottom w:val="nil"/>
              <w:right w:val="nil"/>
            </w:tcBorders>
            <w:shd w:val="clear" w:color="000000" w:fill="FFFFFF"/>
            <w:noWrap/>
            <w:vAlign w:val="bottom"/>
            <w:hideMark/>
          </w:tcPr>
          <w:p w14:paraId="6B86B552"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780" w:type="dxa"/>
            <w:tcBorders>
              <w:top w:val="nil"/>
              <w:left w:val="nil"/>
              <w:bottom w:val="nil"/>
              <w:right w:val="nil"/>
            </w:tcBorders>
            <w:shd w:val="clear" w:color="000000" w:fill="FFFFFF"/>
            <w:noWrap/>
            <w:vAlign w:val="bottom"/>
            <w:hideMark/>
          </w:tcPr>
          <w:p w14:paraId="29E6FACF"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780" w:type="dxa"/>
            <w:tcBorders>
              <w:top w:val="nil"/>
              <w:left w:val="nil"/>
              <w:bottom w:val="nil"/>
              <w:right w:val="nil"/>
            </w:tcBorders>
            <w:shd w:val="clear" w:color="000000" w:fill="FFFFFF"/>
            <w:noWrap/>
            <w:vAlign w:val="bottom"/>
            <w:hideMark/>
          </w:tcPr>
          <w:p w14:paraId="1D309FF5"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780" w:type="dxa"/>
            <w:tcBorders>
              <w:top w:val="nil"/>
              <w:left w:val="nil"/>
              <w:bottom w:val="nil"/>
              <w:right w:val="nil"/>
            </w:tcBorders>
            <w:shd w:val="clear" w:color="000000" w:fill="FFFFFF"/>
            <w:noWrap/>
            <w:vAlign w:val="bottom"/>
            <w:hideMark/>
          </w:tcPr>
          <w:p w14:paraId="6D753BCA"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780" w:type="dxa"/>
            <w:tcBorders>
              <w:top w:val="nil"/>
              <w:left w:val="nil"/>
              <w:bottom w:val="nil"/>
              <w:right w:val="nil"/>
            </w:tcBorders>
            <w:shd w:val="clear" w:color="000000" w:fill="FFFFFF"/>
            <w:noWrap/>
            <w:vAlign w:val="bottom"/>
            <w:hideMark/>
          </w:tcPr>
          <w:p w14:paraId="4583A0A7"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1000" w:type="dxa"/>
            <w:tcBorders>
              <w:top w:val="nil"/>
              <w:left w:val="nil"/>
              <w:bottom w:val="nil"/>
              <w:right w:val="single" w:sz="8" w:space="0" w:color="auto"/>
            </w:tcBorders>
            <w:shd w:val="clear" w:color="000000" w:fill="FFFFFF"/>
            <w:noWrap/>
            <w:vAlign w:val="bottom"/>
            <w:hideMark/>
          </w:tcPr>
          <w:p w14:paraId="65B712A3"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r>
      <w:tr w:rsidR="00441D06" w:rsidRPr="00F85253" w14:paraId="3360407C" w14:textId="77777777" w:rsidTr="00441D06">
        <w:trPr>
          <w:trHeight w:val="255"/>
        </w:trPr>
        <w:tc>
          <w:tcPr>
            <w:tcW w:w="4693" w:type="dxa"/>
            <w:tcBorders>
              <w:top w:val="nil"/>
              <w:left w:val="single" w:sz="8" w:space="0" w:color="auto"/>
              <w:bottom w:val="nil"/>
              <w:right w:val="nil"/>
            </w:tcBorders>
            <w:shd w:val="clear" w:color="000000" w:fill="FFFFFF"/>
            <w:noWrap/>
            <w:vAlign w:val="bottom"/>
            <w:hideMark/>
          </w:tcPr>
          <w:p w14:paraId="7772067B" w14:textId="77777777" w:rsidR="00441D06" w:rsidRPr="00F85253" w:rsidRDefault="00441D06" w:rsidP="00441D06">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OPEX</w:t>
            </w:r>
          </w:p>
        </w:tc>
        <w:tc>
          <w:tcPr>
            <w:tcW w:w="1167" w:type="dxa"/>
            <w:tcBorders>
              <w:top w:val="nil"/>
              <w:left w:val="nil"/>
              <w:bottom w:val="nil"/>
              <w:right w:val="nil"/>
            </w:tcBorders>
            <w:shd w:val="clear" w:color="000000" w:fill="FFFFFF"/>
            <w:noWrap/>
            <w:vAlign w:val="bottom"/>
            <w:hideMark/>
          </w:tcPr>
          <w:p w14:paraId="6C6F9F35" w14:textId="77777777" w:rsidR="00441D06" w:rsidRPr="00F85253" w:rsidRDefault="00441D06" w:rsidP="00441D06">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64.30 </w:t>
            </w:r>
          </w:p>
        </w:tc>
        <w:tc>
          <w:tcPr>
            <w:tcW w:w="880" w:type="dxa"/>
            <w:tcBorders>
              <w:top w:val="nil"/>
              <w:left w:val="single" w:sz="8" w:space="0" w:color="auto"/>
              <w:bottom w:val="nil"/>
              <w:right w:val="nil"/>
            </w:tcBorders>
            <w:shd w:val="clear" w:color="000000" w:fill="FFFFFF"/>
            <w:noWrap/>
            <w:vAlign w:val="bottom"/>
            <w:hideMark/>
          </w:tcPr>
          <w:p w14:paraId="113B9E48"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0.27 </w:t>
            </w:r>
          </w:p>
        </w:tc>
        <w:tc>
          <w:tcPr>
            <w:tcW w:w="940" w:type="dxa"/>
            <w:tcBorders>
              <w:top w:val="nil"/>
              <w:left w:val="nil"/>
              <w:bottom w:val="nil"/>
              <w:right w:val="nil"/>
            </w:tcBorders>
            <w:shd w:val="clear" w:color="000000" w:fill="FFFFFF"/>
            <w:noWrap/>
            <w:vAlign w:val="bottom"/>
            <w:hideMark/>
          </w:tcPr>
          <w:p w14:paraId="3733E488"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5.95 </w:t>
            </w:r>
          </w:p>
        </w:tc>
        <w:tc>
          <w:tcPr>
            <w:tcW w:w="880" w:type="dxa"/>
            <w:tcBorders>
              <w:top w:val="nil"/>
              <w:left w:val="nil"/>
              <w:bottom w:val="nil"/>
              <w:right w:val="nil"/>
            </w:tcBorders>
            <w:shd w:val="clear" w:color="000000" w:fill="FFFFFF"/>
            <w:noWrap/>
            <w:vAlign w:val="bottom"/>
            <w:hideMark/>
          </w:tcPr>
          <w:p w14:paraId="5CD30DF8"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7.06 </w:t>
            </w:r>
          </w:p>
        </w:tc>
        <w:tc>
          <w:tcPr>
            <w:tcW w:w="920" w:type="dxa"/>
            <w:tcBorders>
              <w:top w:val="nil"/>
              <w:left w:val="nil"/>
              <w:bottom w:val="nil"/>
              <w:right w:val="single" w:sz="8" w:space="0" w:color="auto"/>
            </w:tcBorders>
            <w:shd w:val="clear" w:color="000000" w:fill="FFFFFF"/>
            <w:noWrap/>
            <w:vAlign w:val="bottom"/>
            <w:hideMark/>
          </w:tcPr>
          <w:p w14:paraId="27CBD7C2"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7.29 </w:t>
            </w:r>
          </w:p>
        </w:tc>
        <w:tc>
          <w:tcPr>
            <w:tcW w:w="780" w:type="dxa"/>
            <w:tcBorders>
              <w:top w:val="nil"/>
              <w:left w:val="nil"/>
              <w:bottom w:val="nil"/>
              <w:right w:val="nil"/>
            </w:tcBorders>
            <w:shd w:val="clear" w:color="000000" w:fill="FFFFFF"/>
            <w:noWrap/>
            <w:vAlign w:val="bottom"/>
            <w:hideMark/>
          </w:tcPr>
          <w:p w14:paraId="52210032"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$ 7.29 </w:t>
            </w:r>
          </w:p>
        </w:tc>
        <w:tc>
          <w:tcPr>
            <w:tcW w:w="780" w:type="dxa"/>
            <w:tcBorders>
              <w:top w:val="nil"/>
              <w:left w:val="nil"/>
              <w:bottom w:val="nil"/>
              <w:right w:val="nil"/>
            </w:tcBorders>
            <w:shd w:val="clear" w:color="000000" w:fill="FFFFFF"/>
            <w:noWrap/>
            <w:vAlign w:val="bottom"/>
            <w:hideMark/>
          </w:tcPr>
          <w:p w14:paraId="57116C62"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$ 7.29 </w:t>
            </w:r>
          </w:p>
        </w:tc>
        <w:tc>
          <w:tcPr>
            <w:tcW w:w="780" w:type="dxa"/>
            <w:tcBorders>
              <w:top w:val="nil"/>
              <w:left w:val="nil"/>
              <w:bottom w:val="nil"/>
              <w:right w:val="nil"/>
            </w:tcBorders>
            <w:shd w:val="clear" w:color="000000" w:fill="FFFFFF"/>
            <w:noWrap/>
            <w:vAlign w:val="bottom"/>
            <w:hideMark/>
          </w:tcPr>
          <w:p w14:paraId="5277CCDC"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$ 7.29 </w:t>
            </w:r>
          </w:p>
        </w:tc>
        <w:tc>
          <w:tcPr>
            <w:tcW w:w="780" w:type="dxa"/>
            <w:tcBorders>
              <w:top w:val="nil"/>
              <w:left w:val="nil"/>
              <w:bottom w:val="nil"/>
              <w:right w:val="nil"/>
            </w:tcBorders>
            <w:shd w:val="clear" w:color="000000" w:fill="FFFFFF"/>
            <w:noWrap/>
            <w:vAlign w:val="bottom"/>
            <w:hideMark/>
          </w:tcPr>
          <w:p w14:paraId="58FAE4EB"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$ 7.29 </w:t>
            </w:r>
          </w:p>
        </w:tc>
        <w:tc>
          <w:tcPr>
            <w:tcW w:w="780" w:type="dxa"/>
            <w:tcBorders>
              <w:top w:val="nil"/>
              <w:left w:val="nil"/>
              <w:bottom w:val="nil"/>
              <w:right w:val="nil"/>
            </w:tcBorders>
            <w:shd w:val="clear" w:color="000000" w:fill="FFFFFF"/>
            <w:noWrap/>
            <w:vAlign w:val="bottom"/>
            <w:hideMark/>
          </w:tcPr>
          <w:p w14:paraId="2C2CF2C6"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$ 7.29 </w:t>
            </w:r>
          </w:p>
        </w:tc>
        <w:tc>
          <w:tcPr>
            <w:tcW w:w="1000" w:type="dxa"/>
            <w:tcBorders>
              <w:top w:val="nil"/>
              <w:left w:val="nil"/>
              <w:bottom w:val="nil"/>
              <w:right w:val="single" w:sz="8" w:space="0" w:color="auto"/>
            </w:tcBorders>
            <w:shd w:val="clear" w:color="000000" w:fill="FFFFFF"/>
            <w:noWrap/>
            <w:vAlign w:val="bottom"/>
            <w:hideMark/>
          </w:tcPr>
          <w:p w14:paraId="536A62E1"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7.29 </w:t>
            </w:r>
          </w:p>
        </w:tc>
      </w:tr>
      <w:tr w:rsidR="00441D06" w:rsidRPr="00F85253" w14:paraId="5F95EC6A" w14:textId="77777777" w:rsidTr="00441D06">
        <w:trPr>
          <w:trHeight w:val="255"/>
        </w:trPr>
        <w:tc>
          <w:tcPr>
            <w:tcW w:w="4693" w:type="dxa"/>
            <w:tcBorders>
              <w:top w:val="nil"/>
              <w:left w:val="single" w:sz="8" w:space="0" w:color="auto"/>
              <w:bottom w:val="nil"/>
              <w:right w:val="nil"/>
            </w:tcBorders>
            <w:shd w:val="clear" w:color="000000" w:fill="FFFFFF"/>
            <w:noWrap/>
            <w:vAlign w:val="bottom"/>
            <w:hideMark/>
          </w:tcPr>
          <w:p w14:paraId="0E969A5C" w14:textId="77777777" w:rsidR="00441D06" w:rsidRPr="00F85253" w:rsidRDefault="00441D06" w:rsidP="00441D06">
            <w:pPr>
              <w:spacing w:after="0" w:line="240" w:lineRule="auto"/>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Subtotal OPEX y CAPEX</w:t>
            </w:r>
          </w:p>
        </w:tc>
        <w:tc>
          <w:tcPr>
            <w:tcW w:w="1167" w:type="dxa"/>
            <w:tcBorders>
              <w:top w:val="nil"/>
              <w:left w:val="nil"/>
              <w:bottom w:val="nil"/>
              <w:right w:val="nil"/>
            </w:tcBorders>
            <w:shd w:val="clear" w:color="000000" w:fill="FFFFFF"/>
            <w:noWrap/>
            <w:vAlign w:val="bottom"/>
            <w:hideMark/>
          </w:tcPr>
          <w:p w14:paraId="42AC6F92" w14:textId="77777777" w:rsidR="00441D06" w:rsidRPr="00F85253" w:rsidRDefault="00441D06" w:rsidP="00441D06">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w:t>
            </w:r>
            <w:proofErr w:type="gramStart"/>
            <w:r w:rsidRPr="00F85253">
              <w:rPr>
                <w:rFonts w:ascii="Arial" w:eastAsia="Times New Roman" w:hAnsi="Arial" w:cs="Arial"/>
                <w:b/>
                <w:bCs/>
                <w:sz w:val="20"/>
                <w:szCs w:val="20"/>
                <w:lang w:val="es-EC" w:eastAsia="es-EC"/>
              </w:rPr>
              <w:t>$  126.05</w:t>
            </w:r>
            <w:proofErr w:type="gramEnd"/>
            <w:r w:rsidRPr="00F85253">
              <w:rPr>
                <w:rFonts w:ascii="Arial" w:eastAsia="Times New Roman" w:hAnsi="Arial" w:cs="Arial"/>
                <w:b/>
                <w:bCs/>
                <w:sz w:val="20"/>
                <w:szCs w:val="20"/>
                <w:lang w:val="es-EC" w:eastAsia="es-EC"/>
              </w:rPr>
              <w:t xml:space="preserve"> </w:t>
            </w:r>
          </w:p>
        </w:tc>
        <w:tc>
          <w:tcPr>
            <w:tcW w:w="880" w:type="dxa"/>
            <w:tcBorders>
              <w:top w:val="nil"/>
              <w:left w:val="single" w:sz="8" w:space="0" w:color="auto"/>
              <w:bottom w:val="nil"/>
              <w:right w:val="nil"/>
            </w:tcBorders>
            <w:shd w:val="clear" w:color="000000" w:fill="FFFFFF"/>
            <w:noWrap/>
            <w:vAlign w:val="bottom"/>
            <w:hideMark/>
          </w:tcPr>
          <w:p w14:paraId="6C411E0F" w14:textId="77777777" w:rsidR="00441D06" w:rsidRPr="00F85253" w:rsidRDefault="00441D06" w:rsidP="00441D06">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2.59 </w:t>
            </w:r>
          </w:p>
        </w:tc>
        <w:tc>
          <w:tcPr>
            <w:tcW w:w="940" w:type="dxa"/>
            <w:tcBorders>
              <w:top w:val="nil"/>
              <w:left w:val="nil"/>
              <w:bottom w:val="nil"/>
              <w:right w:val="nil"/>
            </w:tcBorders>
            <w:shd w:val="clear" w:color="000000" w:fill="FFFFFF"/>
            <w:noWrap/>
            <w:vAlign w:val="bottom"/>
            <w:hideMark/>
          </w:tcPr>
          <w:p w14:paraId="192B267A" w14:textId="77777777" w:rsidR="00441D06" w:rsidRPr="00F85253" w:rsidRDefault="00441D06" w:rsidP="00441D06">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w:t>
            </w:r>
            <w:proofErr w:type="gramStart"/>
            <w:r w:rsidRPr="00F85253">
              <w:rPr>
                <w:rFonts w:ascii="Arial" w:eastAsia="Times New Roman" w:hAnsi="Arial" w:cs="Arial"/>
                <w:b/>
                <w:bCs/>
                <w:sz w:val="20"/>
                <w:szCs w:val="20"/>
                <w:lang w:val="es-EC" w:eastAsia="es-EC"/>
              </w:rPr>
              <w:t>$  53.61</w:t>
            </w:r>
            <w:proofErr w:type="gramEnd"/>
            <w:r w:rsidRPr="00F85253">
              <w:rPr>
                <w:rFonts w:ascii="Arial" w:eastAsia="Times New Roman" w:hAnsi="Arial" w:cs="Arial"/>
                <w:b/>
                <w:bCs/>
                <w:sz w:val="20"/>
                <w:szCs w:val="20"/>
                <w:lang w:val="es-EC" w:eastAsia="es-EC"/>
              </w:rPr>
              <w:t xml:space="preserve"> </w:t>
            </w:r>
          </w:p>
        </w:tc>
        <w:tc>
          <w:tcPr>
            <w:tcW w:w="880" w:type="dxa"/>
            <w:tcBorders>
              <w:top w:val="nil"/>
              <w:left w:val="nil"/>
              <w:bottom w:val="nil"/>
              <w:right w:val="nil"/>
            </w:tcBorders>
            <w:shd w:val="clear" w:color="000000" w:fill="FFFFFF"/>
            <w:noWrap/>
            <w:vAlign w:val="bottom"/>
            <w:hideMark/>
          </w:tcPr>
          <w:p w14:paraId="276FE812" w14:textId="77777777" w:rsidR="00441D06" w:rsidRPr="00F85253" w:rsidRDefault="00441D06" w:rsidP="00441D06">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$ 16.59 </w:t>
            </w:r>
          </w:p>
        </w:tc>
        <w:tc>
          <w:tcPr>
            <w:tcW w:w="920" w:type="dxa"/>
            <w:tcBorders>
              <w:top w:val="nil"/>
              <w:left w:val="nil"/>
              <w:bottom w:val="nil"/>
              <w:right w:val="single" w:sz="8" w:space="0" w:color="auto"/>
            </w:tcBorders>
            <w:shd w:val="clear" w:color="000000" w:fill="FFFFFF"/>
            <w:noWrap/>
            <w:vAlign w:val="bottom"/>
            <w:hideMark/>
          </w:tcPr>
          <w:p w14:paraId="0B26B48A" w14:textId="77777777" w:rsidR="00441D06" w:rsidRPr="00F85253" w:rsidRDefault="00441D06" w:rsidP="00441D06">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9.52 </w:t>
            </w:r>
          </w:p>
        </w:tc>
        <w:tc>
          <w:tcPr>
            <w:tcW w:w="780" w:type="dxa"/>
            <w:tcBorders>
              <w:top w:val="nil"/>
              <w:left w:val="nil"/>
              <w:bottom w:val="nil"/>
              <w:right w:val="nil"/>
            </w:tcBorders>
            <w:shd w:val="clear" w:color="000000" w:fill="FFFFFF"/>
            <w:noWrap/>
            <w:vAlign w:val="bottom"/>
            <w:hideMark/>
          </w:tcPr>
          <w:p w14:paraId="66E8B5DF" w14:textId="77777777" w:rsidR="00441D06" w:rsidRPr="00F85253" w:rsidRDefault="00441D06" w:rsidP="00441D06">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$ 7.29 </w:t>
            </w:r>
          </w:p>
        </w:tc>
        <w:tc>
          <w:tcPr>
            <w:tcW w:w="780" w:type="dxa"/>
            <w:tcBorders>
              <w:top w:val="nil"/>
              <w:left w:val="nil"/>
              <w:bottom w:val="nil"/>
              <w:right w:val="nil"/>
            </w:tcBorders>
            <w:shd w:val="clear" w:color="000000" w:fill="FFFFFF"/>
            <w:noWrap/>
            <w:vAlign w:val="bottom"/>
            <w:hideMark/>
          </w:tcPr>
          <w:p w14:paraId="08961E81" w14:textId="77777777" w:rsidR="00441D06" w:rsidRPr="00F85253" w:rsidRDefault="00441D06" w:rsidP="00441D06">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$ 7.29 </w:t>
            </w:r>
          </w:p>
        </w:tc>
        <w:tc>
          <w:tcPr>
            <w:tcW w:w="780" w:type="dxa"/>
            <w:tcBorders>
              <w:top w:val="nil"/>
              <w:left w:val="nil"/>
              <w:bottom w:val="nil"/>
              <w:right w:val="nil"/>
            </w:tcBorders>
            <w:shd w:val="clear" w:color="000000" w:fill="FFFFFF"/>
            <w:noWrap/>
            <w:vAlign w:val="bottom"/>
            <w:hideMark/>
          </w:tcPr>
          <w:p w14:paraId="021D0353" w14:textId="77777777" w:rsidR="00441D06" w:rsidRPr="00F85253" w:rsidRDefault="00441D06" w:rsidP="00441D06">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$ 7.29 </w:t>
            </w:r>
          </w:p>
        </w:tc>
        <w:tc>
          <w:tcPr>
            <w:tcW w:w="780" w:type="dxa"/>
            <w:tcBorders>
              <w:top w:val="nil"/>
              <w:left w:val="nil"/>
              <w:bottom w:val="nil"/>
              <w:right w:val="nil"/>
            </w:tcBorders>
            <w:shd w:val="clear" w:color="000000" w:fill="FFFFFF"/>
            <w:noWrap/>
            <w:vAlign w:val="bottom"/>
            <w:hideMark/>
          </w:tcPr>
          <w:p w14:paraId="2E152D11" w14:textId="77777777" w:rsidR="00441D06" w:rsidRPr="00F85253" w:rsidRDefault="00441D06" w:rsidP="00441D06">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$ 7.29 </w:t>
            </w:r>
          </w:p>
        </w:tc>
        <w:tc>
          <w:tcPr>
            <w:tcW w:w="780" w:type="dxa"/>
            <w:tcBorders>
              <w:top w:val="nil"/>
              <w:left w:val="nil"/>
              <w:bottom w:val="nil"/>
              <w:right w:val="nil"/>
            </w:tcBorders>
            <w:shd w:val="clear" w:color="000000" w:fill="FFFFFF"/>
            <w:noWrap/>
            <w:vAlign w:val="bottom"/>
            <w:hideMark/>
          </w:tcPr>
          <w:p w14:paraId="7D6EBB91" w14:textId="77777777" w:rsidR="00441D06" w:rsidRPr="00F85253" w:rsidRDefault="00441D06" w:rsidP="00441D06">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$ 7.29 </w:t>
            </w:r>
          </w:p>
        </w:tc>
        <w:tc>
          <w:tcPr>
            <w:tcW w:w="1000" w:type="dxa"/>
            <w:tcBorders>
              <w:top w:val="nil"/>
              <w:left w:val="nil"/>
              <w:bottom w:val="nil"/>
              <w:right w:val="single" w:sz="8" w:space="0" w:color="auto"/>
            </w:tcBorders>
            <w:shd w:val="clear" w:color="000000" w:fill="FFFFFF"/>
            <w:noWrap/>
            <w:vAlign w:val="bottom"/>
            <w:hideMark/>
          </w:tcPr>
          <w:p w14:paraId="1C1EAB14" w14:textId="77777777" w:rsidR="00441D06" w:rsidRPr="00F85253" w:rsidRDefault="00441D06" w:rsidP="00441D06">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7.29 </w:t>
            </w:r>
          </w:p>
        </w:tc>
      </w:tr>
      <w:tr w:rsidR="00441D06" w:rsidRPr="00F85253" w14:paraId="7EF21C55" w14:textId="77777777" w:rsidTr="00441D06">
        <w:trPr>
          <w:trHeight w:val="255"/>
        </w:trPr>
        <w:tc>
          <w:tcPr>
            <w:tcW w:w="4693" w:type="dxa"/>
            <w:tcBorders>
              <w:top w:val="nil"/>
              <w:left w:val="single" w:sz="8" w:space="0" w:color="auto"/>
              <w:bottom w:val="nil"/>
              <w:right w:val="nil"/>
            </w:tcBorders>
            <w:shd w:val="clear" w:color="000000" w:fill="FFFFFF"/>
            <w:noWrap/>
            <w:vAlign w:val="bottom"/>
            <w:hideMark/>
          </w:tcPr>
          <w:p w14:paraId="159B89A8" w14:textId="77777777" w:rsidR="00441D06" w:rsidRPr="00F85253" w:rsidRDefault="00441D06" w:rsidP="00441D06">
            <w:pPr>
              <w:spacing w:after="0" w:line="240" w:lineRule="auto"/>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w:t>
            </w:r>
          </w:p>
        </w:tc>
        <w:tc>
          <w:tcPr>
            <w:tcW w:w="1167" w:type="dxa"/>
            <w:tcBorders>
              <w:top w:val="nil"/>
              <w:left w:val="nil"/>
              <w:bottom w:val="nil"/>
              <w:right w:val="nil"/>
            </w:tcBorders>
            <w:shd w:val="clear" w:color="000000" w:fill="FFFFFF"/>
            <w:noWrap/>
            <w:vAlign w:val="bottom"/>
            <w:hideMark/>
          </w:tcPr>
          <w:p w14:paraId="0AFCC222" w14:textId="77777777" w:rsidR="00441D06" w:rsidRPr="00F85253" w:rsidRDefault="00441D06" w:rsidP="00441D06">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w:t>
            </w:r>
          </w:p>
        </w:tc>
        <w:tc>
          <w:tcPr>
            <w:tcW w:w="880" w:type="dxa"/>
            <w:tcBorders>
              <w:top w:val="nil"/>
              <w:left w:val="single" w:sz="8" w:space="0" w:color="auto"/>
              <w:bottom w:val="nil"/>
              <w:right w:val="nil"/>
            </w:tcBorders>
            <w:shd w:val="clear" w:color="000000" w:fill="FFFFFF"/>
            <w:noWrap/>
            <w:vAlign w:val="bottom"/>
            <w:hideMark/>
          </w:tcPr>
          <w:p w14:paraId="1DB04C80" w14:textId="77777777" w:rsidR="00441D06" w:rsidRPr="00F85253" w:rsidRDefault="00441D06" w:rsidP="00441D06">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w:t>
            </w:r>
          </w:p>
        </w:tc>
        <w:tc>
          <w:tcPr>
            <w:tcW w:w="940" w:type="dxa"/>
            <w:tcBorders>
              <w:top w:val="nil"/>
              <w:left w:val="nil"/>
              <w:bottom w:val="nil"/>
              <w:right w:val="nil"/>
            </w:tcBorders>
            <w:shd w:val="clear" w:color="000000" w:fill="FFFFFF"/>
            <w:noWrap/>
            <w:vAlign w:val="bottom"/>
            <w:hideMark/>
          </w:tcPr>
          <w:p w14:paraId="0F737C2E"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880" w:type="dxa"/>
            <w:tcBorders>
              <w:top w:val="nil"/>
              <w:left w:val="nil"/>
              <w:bottom w:val="nil"/>
              <w:right w:val="nil"/>
            </w:tcBorders>
            <w:shd w:val="clear" w:color="000000" w:fill="FFFFFF"/>
            <w:noWrap/>
            <w:vAlign w:val="bottom"/>
            <w:hideMark/>
          </w:tcPr>
          <w:p w14:paraId="5C6FB498"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920" w:type="dxa"/>
            <w:tcBorders>
              <w:top w:val="nil"/>
              <w:left w:val="nil"/>
              <w:bottom w:val="nil"/>
              <w:right w:val="single" w:sz="8" w:space="0" w:color="auto"/>
            </w:tcBorders>
            <w:shd w:val="clear" w:color="000000" w:fill="FFFFFF"/>
            <w:noWrap/>
            <w:vAlign w:val="bottom"/>
            <w:hideMark/>
          </w:tcPr>
          <w:p w14:paraId="44701AC9"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1BC07C9E"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42798CF2"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4C20E7B2"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256571F4"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3FD172C2"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1000" w:type="dxa"/>
            <w:tcBorders>
              <w:top w:val="nil"/>
              <w:left w:val="nil"/>
              <w:bottom w:val="nil"/>
              <w:right w:val="single" w:sz="8" w:space="0" w:color="auto"/>
            </w:tcBorders>
            <w:shd w:val="clear" w:color="000000" w:fill="FFFFFF"/>
            <w:noWrap/>
            <w:vAlign w:val="bottom"/>
            <w:hideMark/>
          </w:tcPr>
          <w:p w14:paraId="612C6380" w14:textId="77777777" w:rsidR="00441D06" w:rsidRPr="00F85253" w:rsidRDefault="00441D06" w:rsidP="00441D06">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r>
      <w:tr w:rsidR="00441D06" w:rsidRPr="00F85253" w14:paraId="5F9747EC" w14:textId="77777777" w:rsidTr="00441D06">
        <w:trPr>
          <w:trHeight w:val="270"/>
        </w:trPr>
        <w:tc>
          <w:tcPr>
            <w:tcW w:w="4693" w:type="dxa"/>
            <w:tcBorders>
              <w:top w:val="nil"/>
              <w:left w:val="single" w:sz="8" w:space="0" w:color="auto"/>
              <w:bottom w:val="single" w:sz="8" w:space="0" w:color="auto"/>
              <w:right w:val="nil"/>
            </w:tcBorders>
            <w:shd w:val="clear" w:color="000000" w:fill="FFFFFF"/>
            <w:noWrap/>
            <w:vAlign w:val="bottom"/>
            <w:hideMark/>
          </w:tcPr>
          <w:p w14:paraId="2935EC3B" w14:textId="77777777" w:rsidR="00441D06" w:rsidRPr="00F85253" w:rsidRDefault="00441D06" w:rsidP="00441D06">
            <w:pPr>
              <w:spacing w:after="0" w:line="240" w:lineRule="auto"/>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Flujo Neto Generado</w:t>
            </w:r>
          </w:p>
        </w:tc>
        <w:tc>
          <w:tcPr>
            <w:tcW w:w="1167" w:type="dxa"/>
            <w:tcBorders>
              <w:top w:val="nil"/>
              <w:left w:val="nil"/>
              <w:bottom w:val="single" w:sz="8" w:space="0" w:color="auto"/>
              <w:right w:val="nil"/>
            </w:tcBorders>
            <w:shd w:val="clear" w:color="000000" w:fill="FFFFFF"/>
            <w:noWrap/>
            <w:vAlign w:val="bottom"/>
            <w:hideMark/>
          </w:tcPr>
          <w:p w14:paraId="14B456F2" w14:textId="77777777" w:rsidR="00441D06" w:rsidRPr="00F85253" w:rsidRDefault="00441D06" w:rsidP="00441D06">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w:t>
            </w:r>
            <w:proofErr w:type="gramStart"/>
            <w:r w:rsidRPr="00F85253">
              <w:rPr>
                <w:rFonts w:ascii="Arial" w:eastAsia="Times New Roman" w:hAnsi="Arial" w:cs="Arial"/>
                <w:b/>
                <w:bCs/>
                <w:sz w:val="20"/>
                <w:szCs w:val="20"/>
                <w:lang w:val="es-EC" w:eastAsia="es-EC"/>
              </w:rPr>
              <w:t>$  165.42</w:t>
            </w:r>
            <w:proofErr w:type="gramEnd"/>
            <w:r w:rsidRPr="00F85253">
              <w:rPr>
                <w:rFonts w:ascii="Arial" w:eastAsia="Times New Roman" w:hAnsi="Arial" w:cs="Arial"/>
                <w:b/>
                <w:bCs/>
                <w:sz w:val="20"/>
                <w:szCs w:val="20"/>
                <w:lang w:val="es-EC" w:eastAsia="es-EC"/>
              </w:rPr>
              <w:t xml:space="preserve"> </w:t>
            </w:r>
          </w:p>
        </w:tc>
        <w:tc>
          <w:tcPr>
            <w:tcW w:w="880" w:type="dxa"/>
            <w:tcBorders>
              <w:top w:val="nil"/>
              <w:left w:val="single" w:sz="8" w:space="0" w:color="auto"/>
              <w:bottom w:val="single" w:sz="8" w:space="0" w:color="auto"/>
              <w:right w:val="nil"/>
            </w:tcBorders>
            <w:shd w:val="clear" w:color="000000" w:fill="FFFFFF"/>
            <w:noWrap/>
            <w:vAlign w:val="bottom"/>
            <w:hideMark/>
          </w:tcPr>
          <w:p w14:paraId="65784EA4" w14:textId="77777777" w:rsidR="00441D06" w:rsidRPr="00F85253" w:rsidRDefault="00441D06" w:rsidP="00441D06">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w:t>
            </w:r>
            <w:proofErr w:type="gramStart"/>
            <w:r w:rsidRPr="00F85253">
              <w:rPr>
                <w:rFonts w:ascii="Arial" w:eastAsia="Times New Roman" w:hAnsi="Arial" w:cs="Arial"/>
                <w:b/>
                <w:bCs/>
                <w:sz w:val="20"/>
                <w:szCs w:val="20"/>
                <w:lang w:val="es-EC" w:eastAsia="es-EC"/>
              </w:rPr>
              <w:t>$  -</w:t>
            </w:r>
            <w:proofErr w:type="gramEnd"/>
            <w:r w:rsidRPr="00F85253">
              <w:rPr>
                <w:rFonts w:ascii="Arial" w:eastAsia="Times New Roman" w:hAnsi="Arial" w:cs="Arial"/>
                <w:b/>
                <w:bCs/>
                <w:sz w:val="20"/>
                <w:szCs w:val="20"/>
                <w:lang w:val="es-EC" w:eastAsia="es-EC"/>
              </w:rPr>
              <w:t xml:space="preserve">2.59 </w:t>
            </w:r>
          </w:p>
        </w:tc>
        <w:tc>
          <w:tcPr>
            <w:tcW w:w="940" w:type="dxa"/>
            <w:tcBorders>
              <w:top w:val="nil"/>
              <w:left w:val="nil"/>
              <w:bottom w:val="single" w:sz="8" w:space="0" w:color="auto"/>
              <w:right w:val="nil"/>
            </w:tcBorders>
            <w:shd w:val="clear" w:color="000000" w:fill="FFFFFF"/>
            <w:noWrap/>
            <w:vAlign w:val="bottom"/>
            <w:hideMark/>
          </w:tcPr>
          <w:p w14:paraId="536DC36B" w14:textId="77777777" w:rsidR="00441D06" w:rsidRPr="00F85253" w:rsidRDefault="00441D06" w:rsidP="00441D06">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-53.61 </w:t>
            </w:r>
          </w:p>
        </w:tc>
        <w:tc>
          <w:tcPr>
            <w:tcW w:w="880" w:type="dxa"/>
            <w:tcBorders>
              <w:top w:val="nil"/>
              <w:left w:val="nil"/>
              <w:bottom w:val="single" w:sz="8" w:space="0" w:color="auto"/>
              <w:right w:val="nil"/>
            </w:tcBorders>
            <w:shd w:val="clear" w:color="000000" w:fill="FFFFFF"/>
            <w:noWrap/>
            <w:vAlign w:val="bottom"/>
            <w:hideMark/>
          </w:tcPr>
          <w:p w14:paraId="34EEB18B" w14:textId="77777777" w:rsidR="00441D06" w:rsidRPr="00F85253" w:rsidRDefault="00441D06" w:rsidP="00441D06">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$ 10.73 </w:t>
            </w:r>
          </w:p>
        </w:tc>
        <w:tc>
          <w:tcPr>
            <w:tcW w:w="920" w:type="dxa"/>
            <w:tcBorders>
              <w:top w:val="nil"/>
              <w:left w:val="nil"/>
              <w:bottom w:val="single" w:sz="8" w:space="0" w:color="auto"/>
              <w:right w:val="single" w:sz="8" w:space="0" w:color="auto"/>
            </w:tcBorders>
            <w:shd w:val="clear" w:color="000000" w:fill="FFFFFF"/>
            <w:noWrap/>
            <w:vAlign w:val="bottom"/>
            <w:hideMark/>
          </w:tcPr>
          <w:p w14:paraId="441DFAE3" w14:textId="77777777" w:rsidR="00441D06" w:rsidRPr="00F85253" w:rsidRDefault="00441D06" w:rsidP="00441D06">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w:t>
            </w:r>
            <w:proofErr w:type="gramStart"/>
            <w:r w:rsidRPr="00F85253">
              <w:rPr>
                <w:rFonts w:ascii="Arial" w:eastAsia="Times New Roman" w:hAnsi="Arial" w:cs="Arial"/>
                <w:b/>
                <w:bCs/>
                <w:sz w:val="20"/>
                <w:szCs w:val="20"/>
                <w:lang w:val="es-EC" w:eastAsia="es-EC"/>
              </w:rPr>
              <w:t>$  17.80</w:t>
            </w:r>
            <w:proofErr w:type="gramEnd"/>
            <w:r w:rsidRPr="00F85253">
              <w:rPr>
                <w:rFonts w:ascii="Arial" w:eastAsia="Times New Roman" w:hAnsi="Arial" w:cs="Arial"/>
                <w:b/>
                <w:bCs/>
                <w:sz w:val="20"/>
                <w:szCs w:val="20"/>
                <w:lang w:val="es-EC" w:eastAsia="es-EC"/>
              </w:rPr>
              <w:t xml:space="preserve"> </w:t>
            </w:r>
          </w:p>
        </w:tc>
        <w:tc>
          <w:tcPr>
            <w:tcW w:w="780" w:type="dxa"/>
            <w:tcBorders>
              <w:top w:val="nil"/>
              <w:left w:val="nil"/>
              <w:bottom w:val="single" w:sz="8" w:space="0" w:color="auto"/>
              <w:right w:val="nil"/>
            </w:tcBorders>
            <w:shd w:val="clear" w:color="000000" w:fill="FFFFFF"/>
            <w:noWrap/>
            <w:vAlign w:val="bottom"/>
            <w:hideMark/>
          </w:tcPr>
          <w:p w14:paraId="4D2EA4B1" w14:textId="77777777" w:rsidR="00441D06" w:rsidRPr="00F85253" w:rsidRDefault="00441D06" w:rsidP="00441D06">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$22.55 </w:t>
            </w:r>
          </w:p>
        </w:tc>
        <w:tc>
          <w:tcPr>
            <w:tcW w:w="780" w:type="dxa"/>
            <w:tcBorders>
              <w:top w:val="nil"/>
              <w:left w:val="nil"/>
              <w:bottom w:val="single" w:sz="8" w:space="0" w:color="auto"/>
              <w:right w:val="nil"/>
            </w:tcBorders>
            <w:shd w:val="clear" w:color="000000" w:fill="FFFFFF"/>
            <w:noWrap/>
            <w:vAlign w:val="bottom"/>
            <w:hideMark/>
          </w:tcPr>
          <w:p w14:paraId="1170E60E" w14:textId="77777777" w:rsidR="00441D06" w:rsidRPr="00F85253" w:rsidRDefault="00441D06" w:rsidP="00441D06">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$24.18 </w:t>
            </w:r>
          </w:p>
        </w:tc>
        <w:tc>
          <w:tcPr>
            <w:tcW w:w="780" w:type="dxa"/>
            <w:tcBorders>
              <w:top w:val="nil"/>
              <w:left w:val="nil"/>
              <w:bottom w:val="single" w:sz="8" w:space="0" w:color="auto"/>
              <w:right w:val="nil"/>
            </w:tcBorders>
            <w:shd w:val="clear" w:color="000000" w:fill="FFFFFF"/>
            <w:noWrap/>
            <w:vAlign w:val="bottom"/>
            <w:hideMark/>
          </w:tcPr>
          <w:p w14:paraId="33367310" w14:textId="77777777" w:rsidR="00441D06" w:rsidRPr="00F85253" w:rsidRDefault="00441D06" w:rsidP="00441D06">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$26.86 </w:t>
            </w:r>
          </w:p>
        </w:tc>
        <w:tc>
          <w:tcPr>
            <w:tcW w:w="780" w:type="dxa"/>
            <w:tcBorders>
              <w:top w:val="nil"/>
              <w:left w:val="nil"/>
              <w:bottom w:val="single" w:sz="8" w:space="0" w:color="auto"/>
              <w:right w:val="nil"/>
            </w:tcBorders>
            <w:shd w:val="clear" w:color="000000" w:fill="FFFFFF"/>
            <w:noWrap/>
            <w:vAlign w:val="bottom"/>
            <w:hideMark/>
          </w:tcPr>
          <w:p w14:paraId="4AE90DB2" w14:textId="77777777" w:rsidR="00441D06" w:rsidRPr="00F85253" w:rsidRDefault="00441D06" w:rsidP="00441D06">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$31.22 </w:t>
            </w:r>
          </w:p>
        </w:tc>
        <w:tc>
          <w:tcPr>
            <w:tcW w:w="780" w:type="dxa"/>
            <w:tcBorders>
              <w:top w:val="nil"/>
              <w:left w:val="nil"/>
              <w:bottom w:val="single" w:sz="8" w:space="0" w:color="auto"/>
              <w:right w:val="nil"/>
            </w:tcBorders>
            <w:shd w:val="clear" w:color="000000" w:fill="FFFFFF"/>
            <w:noWrap/>
            <w:vAlign w:val="bottom"/>
            <w:hideMark/>
          </w:tcPr>
          <w:p w14:paraId="69BF3A2E" w14:textId="77777777" w:rsidR="00441D06" w:rsidRPr="00F85253" w:rsidRDefault="00441D06" w:rsidP="00441D06">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$38.34 </w:t>
            </w:r>
          </w:p>
        </w:tc>
        <w:tc>
          <w:tcPr>
            <w:tcW w:w="1000" w:type="dxa"/>
            <w:tcBorders>
              <w:top w:val="nil"/>
              <w:left w:val="nil"/>
              <w:bottom w:val="single" w:sz="8" w:space="0" w:color="auto"/>
              <w:right w:val="single" w:sz="8" w:space="0" w:color="auto"/>
            </w:tcBorders>
            <w:shd w:val="clear" w:color="000000" w:fill="FFFFFF"/>
            <w:noWrap/>
            <w:vAlign w:val="bottom"/>
            <w:hideMark/>
          </w:tcPr>
          <w:p w14:paraId="6827F2B7" w14:textId="77777777" w:rsidR="00441D06" w:rsidRPr="00F85253" w:rsidRDefault="00441D06" w:rsidP="00441D06">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49.94 </w:t>
            </w:r>
          </w:p>
        </w:tc>
      </w:tr>
      <w:tr w:rsidR="00441D06" w:rsidRPr="00F85253" w14:paraId="5D2DBE89" w14:textId="77777777" w:rsidTr="00441D06">
        <w:trPr>
          <w:trHeight w:val="270"/>
        </w:trPr>
        <w:tc>
          <w:tcPr>
            <w:tcW w:w="4693" w:type="dxa"/>
            <w:tcBorders>
              <w:top w:val="nil"/>
              <w:left w:val="nil"/>
              <w:bottom w:val="nil"/>
              <w:right w:val="nil"/>
            </w:tcBorders>
            <w:shd w:val="clear" w:color="000000" w:fill="FFFFFF"/>
            <w:noWrap/>
            <w:vAlign w:val="bottom"/>
            <w:hideMark/>
          </w:tcPr>
          <w:p w14:paraId="49AF02B9" w14:textId="77777777" w:rsidR="00441D06" w:rsidRPr="00F85253" w:rsidRDefault="00441D06" w:rsidP="00441D06">
            <w:pPr>
              <w:spacing w:after="0" w:line="240" w:lineRule="auto"/>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w:t>
            </w:r>
          </w:p>
        </w:tc>
        <w:tc>
          <w:tcPr>
            <w:tcW w:w="1167" w:type="dxa"/>
            <w:tcBorders>
              <w:top w:val="nil"/>
              <w:left w:val="nil"/>
              <w:bottom w:val="nil"/>
              <w:right w:val="nil"/>
            </w:tcBorders>
            <w:shd w:val="clear" w:color="000000" w:fill="FFFFFF"/>
            <w:noWrap/>
            <w:vAlign w:val="bottom"/>
            <w:hideMark/>
          </w:tcPr>
          <w:p w14:paraId="5A0852D0" w14:textId="77777777" w:rsidR="00441D06" w:rsidRPr="00F85253" w:rsidRDefault="00441D06" w:rsidP="00441D06">
            <w:pPr>
              <w:spacing w:after="0" w:line="240" w:lineRule="auto"/>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w:t>
            </w:r>
          </w:p>
        </w:tc>
        <w:tc>
          <w:tcPr>
            <w:tcW w:w="880" w:type="dxa"/>
            <w:tcBorders>
              <w:top w:val="nil"/>
              <w:left w:val="nil"/>
              <w:bottom w:val="nil"/>
              <w:right w:val="nil"/>
            </w:tcBorders>
            <w:shd w:val="clear" w:color="000000" w:fill="FFFFFF"/>
            <w:noWrap/>
            <w:vAlign w:val="bottom"/>
          </w:tcPr>
          <w:p w14:paraId="0C5DED14" w14:textId="70C5945F" w:rsidR="00441D06" w:rsidRPr="00F85253" w:rsidRDefault="00441D06" w:rsidP="00441D06">
            <w:pPr>
              <w:spacing w:after="0" w:line="240" w:lineRule="auto"/>
              <w:rPr>
                <w:rFonts w:ascii="Arial" w:eastAsia="Times New Roman" w:hAnsi="Arial" w:cs="Arial"/>
                <w:b/>
                <w:bCs/>
                <w:sz w:val="20"/>
                <w:szCs w:val="20"/>
                <w:lang w:val="es-EC" w:eastAsia="es-EC"/>
              </w:rPr>
            </w:pPr>
          </w:p>
        </w:tc>
        <w:tc>
          <w:tcPr>
            <w:tcW w:w="940" w:type="dxa"/>
            <w:tcBorders>
              <w:top w:val="nil"/>
              <w:left w:val="nil"/>
              <w:bottom w:val="nil"/>
              <w:right w:val="nil"/>
            </w:tcBorders>
            <w:shd w:val="clear" w:color="000000" w:fill="FFFFFF"/>
            <w:noWrap/>
            <w:vAlign w:val="bottom"/>
          </w:tcPr>
          <w:p w14:paraId="0A5CC0E1" w14:textId="1A2DF967" w:rsidR="00441D06" w:rsidRPr="00F85253" w:rsidRDefault="00441D06" w:rsidP="00441D06">
            <w:pPr>
              <w:spacing w:after="0" w:line="240" w:lineRule="auto"/>
              <w:rPr>
                <w:rFonts w:ascii="Arial" w:eastAsia="Times New Roman" w:hAnsi="Arial" w:cs="Arial"/>
                <w:sz w:val="20"/>
                <w:szCs w:val="20"/>
                <w:lang w:val="es-EC" w:eastAsia="es-EC"/>
              </w:rPr>
            </w:pPr>
          </w:p>
        </w:tc>
        <w:tc>
          <w:tcPr>
            <w:tcW w:w="880" w:type="dxa"/>
            <w:tcBorders>
              <w:top w:val="nil"/>
              <w:left w:val="nil"/>
              <w:bottom w:val="nil"/>
              <w:right w:val="nil"/>
            </w:tcBorders>
            <w:shd w:val="clear" w:color="000000" w:fill="FFFFFF"/>
            <w:noWrap/>
            <w:vAlign w:val="bottom"/>
          </w:tcPr>
          <w:p w14:paraId="23603C73" w14:textId="60C900BB" w:rsidR="00441D06" w:rsidRPr="00F85253" w:rsidRDefault="00441D06" w:rsidP="00441D06">
            <w:pPr>
              <w:spacing w:after="0" w:line="240" w:lineRule="auto"/>
              <w:rPr>
                <w:rFonts w:ascii="Arial" w:eastAsia="Times New Roman" w:hAnsi="Arial" w:cs="Arial"/>
                <w:sz w:val="20"/>
                <w:szCs w:val="20"/>
                <w:lang w:val="es-EC" w:eastAsia="es-EC"/>
              </w:rPr>
            </w:pPr>
          </w:p>
        </w:tc>
        <w:tc>
          <w:tcPr>
            <w:tcW w:w="920" w:type="dxa"/>
            <w:tcBorders>
              <w:top w:val="nil"/>
              <w:left w:val="nil"/>
              <w:bottom w:val="nil"/>
              <w:right w:val="nil"/>
            </w:tcBorders>
            <w:shd w:val="clear" w:color="000000" w:fill="FFFFFF"/>
            <w:noWrap/>
            <w:vAlign w:val="bottom"/>
          </w:tcPr>
          <w:p w14:paraId="3DFBD0E8" w14:textId="37EB8138" w:rsidR="00441D06" w:rsidRPr="00F85253" w:rsidRDefault="00441D06" w:rsidP="00441D06">
            <w:pPr>
              <w:spacing w:after="0" w:line="240" w:lineRule="auto"/>
              <w:rPr>
                <w:rFonts w:ascii="Arial" w:eastAsia="Times New Roman" w:hAnsi="Arial" w:cs="Arial"/>
                <w:sz w:val="20"/>
                <w:szCs w:val="20"/>
                <w:lang w:val="es-EC" w:eastAsia="es-EC"/>
              </w:rPr>
            </w:pPr>
          </w:p>
        </w:tc>
        <w:tc>
          <w:tcPr>
            <w:tcW w:w="780" w:type="dxa"/>
            <w:tcBorders>
              <w:top w:val="nil"/>
              <w:left w:val="nil"/>
              <w:bottom w:val="nil"/>
              <w:right w:val="nil"/>
            </w:tcBorders>
            <w:shd w:val="clear" w:color="000000" w:fill="FFFFFF"/>
            <w:noWrap/>
            <w:vAlign w:val="bottom"/>
          </w:tcPr>
          <w:p w14:paraId="008A38EA" w14:textId="62DC490E" w:rsidR="00441D06" w:rsidRPr="00F85253" w:rsidRDefault="00441D06" w:rsidP="00441D06">
            <w:pPr>
              <w:spacing w:after="0" w:line="240" w:lineRule="auto"/>
              <w:rPr>
                <w:rFonts w:ascii="Arial" w:eastAsia="Times New Roman" w:hAnsi="Arial" w:cs="Arial"/>
                <w:sz w:val="20"/>
                <w:szCs w:val="20"/>
                <w:lang w:val="es-EC" w:eastAsia="es-EC"/>
              </w:rPr>
            </w:pPr>
          </w:p>
        </w:tc>
        <w:tc>
          <w:tcPr>
            <w:tcW w:w="780" w:type="dxa"/>
            <w:tcBorders>
              <w:top w:val="nil"/>
              <w:left w:val="nil"/>
              <w:bottom w:val="nil"/>
              <w:right w:val="nil"/>
            </w:tcBorders>
            <w:shd w:val="clear" w:color="000000" w:fill="FFFFFF"/>
            <w:noWrap/>
            <w:vAlign w:val="bottom"/>
          </w:tcPr>
          <w:p w14:paraId="51B61A4F" w14:textId="620B3425" w:rsidR="00441D06" w:rsidRPr="00F85253" w:rsidRDefault="00441D06" w:rsidP="00441D06">
            <w:pPr>
              <w:spacing w:after="0" w:line="240" w:lineRule="auto"/>
              <w:rPr>
                <w:rFonts w:ascii="Arial" w:eastAsia="Times New Roman" w:hAnsi="Arial" w:cs="Arial"/>
                <w:sz w:val="20"/>
                <w:szCs w:val="20"/>
                <w:lang w:val="es-EC" w:eastAsia="es-EC"/>
              </w:rPr>
            </w:pPr>
          </w:p>
        </w:tc>
        <w:tc>
          <w:tcPr>
            <w:tcW w:w="780" w:type="dxa"/>
            <w:tcBorders>
              <w:top w:val="nil"/>
              <w:left w:val="nil"/>
              <w:bottom w:val="nil"/>
              <w:right w:val="nil"/>
            </w:tcBorders>
            <w:shd w:val="clear" w:color="000000" w:fill="FFFFFF"/>
            <w:noWrap/>
            <w:vAlign w:val="bottom"/>
          </w:tcPr>
          <w:p w14:paraId="521C3678" w14:textId="3D4D859A" w:rsidR="00441D06" w:rsidRPr="00F85253" w:rsidRDefault="00441D06" w:rsidP="00441D06">
            <w:pPr>
              <w:spacing w:after="0" w:line="240" w:lineRule="auto"/>
              <w:rPr>
                <w:rFonts w:ascii="Arial" w:eastAsia="Times New Roman" w:hAnsi="Arial" w:cs="Arial"/>
                <w:sz w:val="20"/>
                <w:szCs w:val="20"/>
                <w:lang w:val="es-EC" w:eastAsia="es-EC"/>
              </w:rPr>
            </w:pPr>
          </w:p>
        </w:tc>
        <w:tc>
          <w:tcPr>
            <w:tcW w:w="780" w:type="dxa"/>
            <w:tcBorders>
              <w:top w:val="nil"/>
              <w:left w:val="nil"/>
              <w:bottom w:val="nil"/>
              <w:right w:val="nil"/>
            </w:tcBorders>
            <w:shd w:val="clear" w:color="000000" w:fill="FFFFFF"/>
            <w:noWrap/>
            <w:vAlign w:val="bottom"/>
          </w:tcPr>
          <w:p w14:paraId="1F6282DF" w14:textId="4326A9D1" w:rsidR="00441D06" w:rsidRPr="00F85253" w:rsidRDefault="00441D06" w:rsidP="00441D06">
            <w:pPr>
              <w:spacing w:after="0" w:line="240" w:lineRule="auto"/>
              <w:rPr>
                <w:rFonts w:ascii="Arial" w:eastAsia="Times New Roman" w:hAnsi="Arial" w:cs="Arial"/>
                <w:sz w:val="20"/>
                <w:szCs w:val="20"/>
                <w:lang w:val="es-EC" w:eastAsia="es-EC"/>
              </w:rPr>
            </w:pPr>
          </w:p>
        </w:tc>
        <w:tc>
          <w:tcPr>
            <w:tcW w:w="780" w:type="dxa"/>
            <w:tcBorders>
              <w:top w:val="nil"/>
              <w:left w:val="nil"/>
              <w:bottom w:val="nil"/>
              <w:right w:val="nil"/>
            </w:tcBorders>
            <w:shd w:val="clear" w:color="000000" w:fill="FFFFFF"/>
            <w:noWrap/>
            <w:vAlign w:val="bottom"/>
          </w:tcPr>
          <w:p w14:paraId="2143605B" w14:textId="036B36EC" w:rsidR="00441D06" w:rsidRPr="00F85253" w:rsidRDefault="00441D06" w:rsidP="00441D06">
            <w:pPr>
              <w:spacing w:after="0" w:line="240" w:lineRule="auto"/>
              <w:rPr>
                <w:rFonts w:ascii="Arial" w:eastAsia="Times New Roman" w:hAnsi="Arial" w:cs="Arial"/>
                <w:sz w:val="20"/>
                <w:szCs w:val="20"/>
                <w:lang w:val="es-EC" w:eastAsia="es-EC"/>
              </w:rPr>
            </w:pPr>
          </w:p>
        </w:tc>
        <w:tc>
          <w:tcPr>
            <w:tcW w:w="1000" w:type="dxa"/>
            <w:tcBorders>
              <w:top w:val="nil"/>
              <w:left w:val="nil"/>
              <w:bottom w:val="nil"/>
              <w:right w:val="nil"/>
            </w:tcBorders>
            <w:shd w:val="clear" w:color="000000" w:fill="FFFFFF"/>
            <w:noWrap/>
            <w:vAlign w:val="bottom"/>
            <w:hideMark/>
          </w:tcPr>
          <w:p w14:paraId="30D45781" w14:textId="77777777" w:rsidR="00441D06" w:rsidRPr="00F85253" w:rsidRDefault="00441D06" w:rsidP="00441D06">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r>
      <w:tr w:rsidR="00441D06" w:rsidRPr="00F85253" w14:paraId="04ABE2FF" w14:textId="77777777" w:rsidTr="00441D06">
        <w:trPr>
          <w:trHeight w:val="255"/>
        </w:trPr>
        <w:tc>
          <w:tcPr>
            <w:tcW w:w="4693" w:type="dxa"/>
            <w:tcBorders>
              <w:top w:val="single" w:sz="8" w:space="0" w:color="auto"/>
              <w:left w:val="single" w:sz="8" w:space="0" w:color="auto"/>
              <w:bottom w:val="nil"/>
              <w:right w:val="nil"/>
            </w:tcBorders>
            <w:shd w:val="clear" w:color="000000" w:fill="FFFFFF"/>
            <w:noWrap/>
            <w:vAlign w:val="bottom"/>
            <w:hideMark/>
          </w:tcPr>
          <w:p w14:paraId="3EF38355" w14:textId="77777777" w:rsidR="00441D06" w:rsidRPr="00F85253" w:rsidRDefault="00441D06" w:rsidP="00441D06">
            <w:pPr>
              <w:spacing w:after="0" w:line="240" w:lineRule="auto"/>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TIR</w:t>
            </w:r>
          </w:p>
        </w:tc>
        <w:tc>
          <w:tcPr>
            <w:tcW w:w="1167" w:type="dxa"/>
            <w:tcBorders>
              <w:top w:val="single" w:sz="8" w:space="0" w:color="auto"/>
              <w:left w:val="nil"/>
              <w:bottom w:val="nil"/>
              <w:right w:val="nil"/>
            </w:tcBorders>
            <w:shd w:val="clear" w:color="000000" w:fill="FFFFFF"/>
            <w:noWrap/>
            <w:vAlign w:val="bottom"/>
            <w:hideMark/>
          </w:tcPr>
          <w:p w14:paraId="1F022D7F" w14:textId="77777777" w:rsidR="00441D06" w:rsidRPr="00F85253" w:rsidRDefault="00441D06" w:rsidP="00441D06">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w:t>
            </w:r>
          </w:p>
        </w:tc>
        <w:tc>
          <w:tcPr>
            <w:tcW w:w="880" w:type="dxa"/>
            <w:tcBorders>
              <w:top w:val="single" w:sz="8" w:space="0" w:color="auto"/>
              <w:left w:val="single" w:sz="8" w:space="0" w:color="auto"/>
              <w:bottom w:val="nil"/>
              <w:right w:val="nil"/>
            </w:tcBorders>
            <w:shd w:val="clear" w:color="000000" w:fill="FFFFFF"/>
            <w:noWrap/>
            <w:vAlign w:val="bottom"/>
          </w:tcPr>
          <w:p w14:paraId="31981DE8" w14:textId="245C03F7" w:rsidR="00441D06" w:rsidRPr="00F85253" w:rsidRDefault="00441D06" w:rsidP="00441D06">
            <w:pPr>
              <w:spacing w:after="0" w:line="240" w:lineRule="auto"/>
              <w:jc w:val="right"/>
              <w:rPr>
                <w:rFonts w:ascii="Arial" w:eastAsia="Times New Roman" w:hAnsi="Arial" w:cs="Arial"/>
                <w:color w:val="FFFFFF"/>
                <w:sz w:val="20"/>
                <w:szCs w:val="20"/>
                <w:lang w:val="es-EC" w:eastAsia="es-EC"/>
              </w:rPr>
            </w:pPr>
          </w:p>
        </w:tc>
        <w:tc>
          <w:tcPr>
            <w:tcW w:w="940" w:type="dxa"/>
            <w:tcBorders>
              <w:top w:val="single" w:sz="8" w:space="0" w:color="auto"/>
              <w:left w:val="nil"/>
              <w:bottom w:val="nil"/>
              <w:right w:val="nil"/>
            </w:tcBorders>
            <w:shd w:val="clear" w:color="000000" w:fill="FFFFFF"/>
            <w:noWrap/>
            <w:vAlign w:val="bottom"/>
          </w:tcPr>
          <w:p w14:paraId="33C00CAC" w14:textId="1E1EF2F9" w:rsidR="00441D06" w:rsidRPr="00F85253" w:rsidRDefault="00441D06" w:rsidP="00441D06">
            <w:pPr>
              <w:spacing w:after="0" w:line="240" w:lineRule="auto"/>
              <w:jc w:val="right"/>
              <w:rPr>
                <w:rFonts w:ascii="Arial" w:eastAsia="Times New Roman" w:hAnsi="Arial" w:cs="Arial"/>
                <w:color w:val="FFFFFF"/>
                <w:sz w:val="20"/>
                <w:szCs w:val="20"/>
                <w:lang w:val="es-EC" w:eastAsia="es-EC"/>
              </w:rPr>
            </w:pPr>
          </w:p>
        </w:tc>
        <w:tc>
          <w:tcPr>
            <w:tcW w:w="880" w:type="dxa"/>
            <w:tcBorders>
              <w:top w:val="single" w:sz="8" w:space="0" w:color="auto"/>
              <w:left w:val="nil"/>
              <w:bottom w:val="nil"/>
              <w:right w:val="nil"/>
            </w:tcBorders>
            <w:shd w:val="clear" w:color="000000" w:fill="FFFFFF"/>
            <w:noWrap/>
            <w:vAlign w:val="bottom"/>
          </w:tcPr>
          <w:p w14:paraId="69B2EF95" w14:textId="340AD1CA" w:rsidR="00441D06" w:rsidRPr="00F85253" w:rsidRDefault="00441D06" w:rsidP="00441D06">
            <w:pPr>
              <w:spacing w:after="0" w:line="240" w:lineRule="auto"/>
              <w:jc w:val="right"/>
              <w:rPr>
                <w:rFonts w:ascii="Arial" w:eastAsia="Times New Roman" w:hAnsi="Arial" w:cs="Arial"/>
                <w:color w:val="FFFFFF"/>
                <w:sz w:val="20"/>
                <w:szCs w:val="20"/>
                <w:lang w:val="es-EC" w:eastAsia="es-EC"/>
              </w:rPr>
            </w:pPr>
          </w:p>
        </w:tc>
        <w:tc>
          <w:tcPr>
            <w:tcW w:w="920" w:type="dxa"/>
            <w:tcBorders>
              <w:top w:val="single" w:sz="8" w:space="0" w:color="auto"/>
              <w:left w:val="nil"/>
              <w:bottom w:val="nil"/>
              <w:right w:val="single" w:sz="8" w:space="0" w:color="auto"/>
            </w:tcBorders>
            <w:shd w:val="clear" w:color="000000" w:fill="FFFFFF"/>
            <w:noWrap/>
            <w:vAlign w:val="bottom"/>
          </w:tcPr>
          <w:p w14:paraId="109E23D0" w14:textId="0E537DB9" w:rsidR="00441D06" w:rsidRPr="00F85253" w:rsidRDefault="00441D06" w:rsidP="00441D06">
            <w:pPr>
              <w:spacing w:after="0" w:line="240" w:lineRule="auto"/>
              <w:jc w:val="right"/>
              <w:rPr>
                <w:rFonts w:ascii="Arial" w:eastAsia="Times New Roman" w:hAnsi="Arial" w:cs="Arial"/>
                <w:color w:val="FFFFFF"/>
                <w:sz w:val="20"/>
                <w:szCs w:val="20"/>
                <w:lang w:val="es-EC" w:eastAsia="es-EC"/>
              </w:rPr>
            </w:pPr>
          </w:p>
        </w:tc>
        <w:tc>
          <w:tcPr>
            <w:tcW w:w="780" w:type="dxa"/>
            <w:tcBorders>
              <w:top w:val="single" w:sz="8" w:space="0" w:color="auto"/>
              <w:left w:val="nil"/>
              <w:bottom w:val="nil"/>
              <w:right w:val="nil"/>
            </w:tcBorders>
            <w:shd w:val="clear" w:color="000000" w:fill="FFFFFF"/>
            <w:noWrap/>
            <w:vAlign w:val="bottom"/>
          </w:tcPr>
          <w:p w14:paraId="1DD09FA2" w14:textId="7B01C79B" w:rsidR="00441D06" w:rsidRPr="00F85253" w:rsidRDefault="00441D06" w:rsidP="00441D06">
            <w:pPr>
              <w:spacing w:after="0" w:line="240" w:lineRule="auto"/>
              <w:jc w:val="right"/>
              <w:rPr>
                <w:rFonts w:ascii="Arial" w:eastAsia="Times New Roman" w:hAnsi="Arial" w:cs="Arial"/>
                <w:color w:val="FFFFFF"/>
                <w:sz w:val="20"/>
                <w:szCs w:val="20"/>
                <w:lang w:val="es-EC" w:eastAsia="es-EC"/>
              </w:rPr>
            </w:pPr>
          </w:p>
        </w:tc>
        <w:tc>
          <w:tcPr>
            <w:tcW w:w="780" w:type="dxa"/>
            <w:tcBorders>
              <w:top w:val="single" w:sz="8" w:space="0" w:color="auto"/>
              <w:left w:val="nil"/>
              <w:bottom w:val="nil"/>
              <w:right w:val="nil"/>
            </w:tcBorders>
            <w:shd w:val="clear" w:color="000000" w:fill="FFFFFF"/>
            <w:noWrap/>
            <w:vAlign w:val="bottom"/>
          </w:tcPr>
          <w:p w14:paraId="6788BEC0" w14:textId="4FA15334" w:rsidR="00441D06" w:rsidRPr="00F85253" w:rsidRDefault="00441D06" w:rsidP="00441D06">
            <w:pPr>
              <w:spacing w:after="0" w:line="240" w:lineRule="auto"/>
              <w:jc w:val="right"/>
              <w:rPr>
                <w:rFonts w:ascii="Arial" w:eastAsia="Times New Roman" w:hAnsi="Arial" w:cs="Arial"/>
                <w:color w:val="FFFFFF"/>
                <w:sz w:val="20"/>
                <w:szCs w:val="20"/>
                <w:lang w:val="es-EC" w:eastAsia="es-EC"/>
              </w:rPr>
            </w:pPr>
          </w:p>
        </w:tc>
        <w:tc>
          <w:tcPr>
            <w:tcW w:w="780" w:type="dxa"/>
            <w:tcBorders>
              <w:top w:val="single" w:sz="8" w:space="0" w:color="auto"/>
              <w:left w:val="nil"/>
              <w:bottom w:val="nil"/>
              <w:right w:val="nil"/>
            </w:tcBorders>
            <w:shd w:val="clear" w:color="000000" w:fill="FFFFFF"/>
            <w:noWrap/>
            <w:vAlign w:val="bottom"/>
          </w:tcPr>
          <w:p w14:paraId="040AAEBC" w14:textId="3B73416A" w:rsidR="00441D06" w:rsidRPr="00F85253" w:rsidRDefault="00441D06" w:rsidP="00441D06">
            <w:pPr>
              <w:spacing w:after="0" w:line="240" w:lineRule="auto"/>
              <w:jc w:val="right"/>
              <w:rPr>
                <w:rFonts w:ascii="Arial" w:eastAsia="Times New Roman" w:hAnsi="Arial" w:cs="Arial"/>
                <w:color w:val="FFFFFF"/>
                <w:sz w:val="20"/>
                <w:szCs w:val="20"/>
                <w:lang w:val="es-EC" w:eastAsia="es-EC"/>
              </w:rPr>
            </w:pPr>
          </w:p>
        </w:tc>
        <w:tc>
          <w:tcPr>
            <w:tcW w:w="780" w:type="dxa"/>
            <w:tcBorders>
              <w:top w:val="single" w:sz="8" w:space="0" w:color="auto"/>
              <w:left w:val="nil"/>
              <w:bottom w:val="nil"/>
              <w:right w:val="nil"/>
            </w:tcBorders>
            <w:shd w:val="clear" w:color="000000" w:fill="FFFFFF"/>
            <w:noWrap/>
            <w:vAlign w:val="bottom"/>
          </w:tcPr>
          <w:p w14:paraId="28DE13C0" w14:textId="500A6FE3" w:rsidR="00441D06" w:rsidRPr="00F85253" w:rsidRDefault="00441D06" w:rsidP="00441D06">
            <w:pPr>
              <w:spacing w:after="0" w:line="240" w:lineRule="auto"/>
              <w:jc w:val="right"/>
              <w:rPr>
                <w:rFonts w:ascii="Arial" w:eastAsia="Times New Roman" w:hAnsi="Arial" w:cs="Arial"/>
                <w:color w:val="FFFFFF"/>
                <w:sz w:val="20"/>
                <w:szCs w:val="20"/>
                <w:lang w:val="es-EC" w:eastAsia="es-EC"/>
              </w:rPr>
            </w:pPr>
          </w:p>
        </w:tc>
        <w:tc>
          <w:tcPr>
            <w:tcW w:w="780" w:type="dxa"/>
            <w:tcBorders>
              <w:top w:val="single" w:sz="8" w:space="0" w:color="auto"/>
              <w:left w:val="nil"/>
              <w:bottom w:val="nil"/>
              <w:right w:val="nil"/>
            </w:tcBorders>
            <w:shd w:val="clear" w:color="000000" w:fill="FFFFFF"/>
            <w:noWrap/>
            <w:vAlign w:val="bottom"/>
          </w:tcPr>
          <w:p w14:paraId="6AA88217" w14:textId="66D9E3F1" w:rsidR="00441D06" w:rsidRPr="00F85253" w:rsidRDefault="00441D06" w:rsidP="00441D06">
            <w:pPr>
              <w:spacing w:after="0" w:line="240" w:lineRule="auto"/>
              <w:jc w:val="right"/>
              <w:rPr>
                <w:rFonts w:ascii="Arial" w:eastAsia="Times New Roman" w:hAnsi="Arial" w:cs="Arial"/>
                <w:color w:val="FFFFFF"/>
                <w:sz w:val="20"/>
                <w:szCs w:val="20"/>
                <w:lang w:val="es-EC" w:eastAsia="es-EC"/>
              </w:rPr>
            </w:pPr>
          </w:p>
        </w:tc>
        <w:tc>
          <w:tcPr>
            <w:tcW w:w="1000" w:type="dxa"/>
            <w:tcBorders>
              <w:top w:val="single" w:sz="8" w:space="0" w:color="auto"/>
              <w:left w:val="nil"/>
              <w:bottom w:val="nil"/>
              <w:right w:val="single" w:sz="8" w:space="0" w:color="auto"/>
            </w:tcBorders>
            <w:shd w:val="clear" w:color="000000" w:fill="FFFFFF"/>
            <w:noWrap/>
            <w:vAlign w:val="bottom"/>
            <w:hideMark/>
          </w:tcPr>
          <w:p w14:paraId="5D93A849" w14:textId="77777777" w:rsidR="00441D06" w:rsidRPr="00F85253" w:rsidRDefault="00441D06" w:rsidP="00441D06">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33%</w:t>
            </w:r>
          </w:p>
        </w:tc>
      </w:tr>
      <w:tr w:rsidR="00441D06" w:rsidRPr="00F85253" w14:paraId="384D2AAE" w14:textId="77777777" w:rsidTr="00441D06">
        <w:trPr>
          <w:trHeight w:val="270"/>
        </w:trPr>
        <w:tc>
          <w:tcPr>
            <w:tcW w:w="4693" w:type="dxa"/>
            <w:tcBorders>
              <w:top w:val="nil"/>
              <w:left w:val="single" w:sz="8" w:space="0" w:color="auto"/>
              <w:bottom w:val="single" w:sz="8" w:space="0" w:color="auto"/>
              <w:right w:val="nil"/>
            </w:tcBorders>
            <w:shd w:val="clear" w:color="000000" w:fill="FFFFFF"/>
            <w:noWrap/>
            <w:vAlign w:val="bottom"/>
            <w:hideMark/>
          </w:tcPr>
          <w:p w14:paraId="51300862" w14:textId="77777777" w:rsidR="00441D06" w:rsidRPr="00F85253" w:rsidRDefault="00441D06" w:rsidP="00441D06">
            <w:pPr>
              <w:spacing w:after="0" w:line="240" w:lineRule="auto"/>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VAN</w:t>
            </w:r>
          </w:p>
        </w:tc>
        <w:tc>
          <w:tcPr>
            <w:tcW w:w="1167" w:type="dxa"/>
            <w:tcBorders>
              <w:top w:val="nil"/>
              <w:left w:val="nil"/>
              <w:bottom w:val="single" w:sz="8" w:space="0" w:color="auto"/>
              <w:right w:val="nil"/>
            </w:tcBorders>
            <w:shd w:val="clear" w:color="000000" w:fill="FFFFFF"/>
            <w:noWrap/>
            <w:vAlign w:val="bottom"/>
            <w:hideMark/>
          </w:tcPr>
          <w:p w14:paraId="3ABE76D6" w14:textId="77777777" w:rsidR="00441D06" w:rsidRPr="00F85253" w:rsidRDefault="00441D06" w:rsidP="00441D06">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w:t>
            </w:r>
          </w:p>
        </w:tc>
        <w:tc>
          <w:tcPr>
            <w:tcW w:w="880" w:type="dxa"/>
            <w:tcBorders>
              <w:top w:val="nil"/>
              <w:left w:val="single" w:sz="8" w:space="0" w:color="auto"/>
              <w:bottom w:val="single" w:sz="8" w:space="0" w:color="auto"/>
              <w:right w:val="nil"/>
            </w:tcBorders>
            <w:shd w:val="clear" w:color="000000" w:fill="FFFFFF"/>
            <w:noWrap/>
            <w:vAlign w:val="bottom"/>
          </w:tcPr>
          <w:p w14:paraId="37E1C469" w14:textId="1E8FAD0A" w:rsidR="00441D06" w:rsidRPr="00F85253" w:rsidRDefault="00441D06" w:rsidP="00441D06">
            <w:pPr>
              <w:spacing w:after="0" w:line="240" w:lineRule="auto"/>
              <w:jc w:val="right"/>
              <w:rPr>
                <w:rFonts w:ascii="Arial" w:eastAsia="Times New Roman" w:hAnsi="Arial" w:cs="Arial"/>
                <w:color w:val="FFFFFF"/>
                <w:sz w:val="20"/>
                <w:szCs w:val="20"/>
                <w:lang w:val="es-EC" w:eastAsia="es-EC"/>
              </w:rPr>
            </w:pPr>
          </w:p>
        </w:tc>
        <w:tc>
          <w:tcPr>
            <w:tcW w:w="940" w:type="dxa"/>
            <w:tcBorders>
              <w:top w:val="nil"/>
              <w:left w:val="nil"/>
              <w:bottom w:val="single" w:sz="8" w:space="0" w:color="auto"/>
              <w:right w:val="nil"/>
            </w:tcBorders>
            <w:shd w:val="clear" w:color="000000" w:fill="FFFFFF"/>
            <w:noWrap/>
            <w:vAlign w:val="bottom"/>
          </w:tcPr>
          <w:p w14:paraId="6B38D3B9" w14:textId="4F62DB9B" w:rsidR="00441D06" w:rsidRPr="00F85253" w:rsidRDefault="00441D06" w:rsidP="00441D06">
            <w:pPr>
              <w:spacing w:after="0" w:line="240" w:lineRule="auto"/>
              <w:jc w:val="right"/>
              <w:rPr>
                <w:rFonts w:ascii="Arial" w:eastAsia="Times New Roman" w:hAnsi="Arial" w:cs="Arial"/>
                <w:color w:val="FFFFFF"/>
                <w:sz w:val="20"/>
                <w:szCs w:val="20"/>
                <w:lang w:val="es-EC" w:eastAsia="es-EC"/>
              </w:rPr>
            </w:pPr>
          </w:p>
        </w:tc>
        <w:tc>
          <w:tcPr>
            <w:tcW w:w="880" w:type="dxa"/>
            <w:tcBorders>
              <w:top w:val="nil"/>
              <w:left w:val="nil"/>
              <w:bottom w:val="single" w:sz="8" w:space="0" w:color="auto"/>
              <w:right w:val="nil"/>
            </w:tcBorders>
            <w:shd w:val="clear" w:color="000000" w:fill="FFFFFF"/>
            <w:noWrap/>
            <w:vAlign w:val="bottom"/>
          </w:tcPr>
          <w:p w14:paraId="7E1F4967" w14:textId="0995B58F" w:rsidR="00441D06" w:rsidRPr="00F85253" w:rsidRDefault="00441D06" w:rsidP="00441D06">
            <w:pPr>
              <w:spacing w:after="0" w:line="240" w:lineRule="auto"/>
              <w:jc w:val="right"/>
              <w:rPr>
                <w:rFonts w:ascii="Arial" w:eastAsia="Times New Roman" w:hAnsi="Arial" w:cs="Arial"/>
                <w:color w:val="FFFFFF"/>
                <w:sz w:val="20"/>
                <w:szCs w:val="20"/>
                <w:lang w:val="es-EC" w:eastAsia="es-EC"/>
              </w:rPr>
            </w:pPr>
          </w:p>
        </w:tc>
        <w:tc>
          <w:tcPr>
            <w:tcW w:w="920" w:type="dxa"/>
            <w:tcBorders>
              <w:top w:val="nil"/>
              <w:left w:val="nil"/>
              <w:bottom w:val="single" w:sz="8" w:space="0" w:color="auto"/>
              <w:right w:val="single" w:sz="8" w:space="0" w:color="auto"/>
            </w:tcBorders>
            <w:shd w:val="clear" w:color="000000" w:fill="FFFFFF"/>
            <w:noWrap/>
            <w:vAlign w:val="bottom"/>
          </w:tcPr>
          <w:p w14:paraId="114FF586" w14:textId="587131F0" w:rsidR="00441D06" w:rsidRPr="00F85253" w:rsidRDefault="00441D06" w:rsidP="00441D06">
            <w:pPr>
              <w:spacing w:after="0" w:line="240" w:lineRule="auto"/>
              <w:jc w:val="right"/>
              <w:rPr>
                <w:rFonts w:ascii="Arial" w:eastAsia="Times New Roman" w:hAnsi="Arial" w:cs="Arial"/>
                <w:color w:val="FFFFFF"/>
                <w:sz w:val="20"/>
                <w:szCs w:val="20"/>
                <w:lang w:val="es-EC" w:eastAsia="es-EC"/>
              </w:rPr>
            </w:pPr>
          </w:p>
        </w:tc>
        <w:tc>
          <w:tcPr>
            <w:tcW w:w="780" w:type="dxa"/>
            <w:tcBorders>
              <w:top w:val="nil"/>
              <w:left w:val="nil"/>
              <w:bottom w:val="single" w:sz="8" w:space="0" w:color="auto"/>
              <w:right w:val="nil"/>
            </w:tcBorders>
            <w:shd w:val="clear" w:color="000000" w:fill="FFFFFF"/>
            <w:noWrap/>
            <w:vAlign w:val="bottom"/>
          </w:tcPr>
          <w:p w14:paraId="438AC7F5" w14:textId="045BFFCE" w:rsidR="00441D06" w:rsidRPr="00F85253" w:rsidRDefault="00441D06" w:rsidP="00441D06">
            <w:pPr>
              <w:spacing w:after="0" w:line="240" w:lineRule="auto"/>
              <w:jc w:val="right"/>
              <w:rPr>
                <w:rFonts w:ascii="Arial" w:eastAsia="Times New Roman" w:hAnsi="Arial" w:cs="Arial"/>
                <w:color w:val="FFFFFF"/>
                <w:sz w:val="20"/>
                <w:szCs w:val="20"/>
                <w:lang w:val="es-EC" w:eastAsia="es-EC"/>
              </w:rPr>
            </w:pPr>
          </w:p>
        </w:tc>
        <w:tc>
          <w:tcPr>
            <w:tcW w:w="780" w:type="dxa"/>
            <w:tcBorders>
              <w:top w:val="nil"/>
              <w:left w:val="nil"/>
              <w:bottom w:val="single" w:sz="8" w:space="0" w:color="auto"/>
              <w:right w:val="nil"/>
            </w:tcBorders>
            <w:shd w:val="clear" w:color="000000" w:fill="FFFFFF"/>
            <w:noWrap/>
            <w:vAlign w:val="bottom"/>
          </w:tcPr>
          <w:p w14:paraId="3E25D746" w14:textId="0636EE2E" w:rsidR="00441D06" w:rsidRPr="00F85253" w:rsidRDefault="00441D06" w:rsidP="00441D06">
            <w:pPr>
              <w:spacing w:after="0" w:line="240" w:lineRule="auto"/>
              <w:jc w:val="right"/>
              <w:rPr>
                <w:rFonts w:ascii="Arial" w:eastAsia="Times New Roman" w:hAnsi="Arial" w:cs="Arial"/>
                <w:color w:val="FFFFFF"/>
                <w:sz w:val="20"/>
                <w:szCs w:val="20"/>
                <w:lang w:val="es-EC" w:eastAsia="es-EC"/>
              </w:rPr>
            </w:pPr>
          </w:p>
        </w:tc>
        <w:tc>
          <w:tcPr>
            <w:tcW w:w="780" w:type="dxa"/>
            <w:tcBorders>
              <w:top w:val="nil"/>
              <w:left w:val="nil"/>
              <w:bottom w:val="single" w:sz="8" w:space="0" w:color="auto"/>
              <w:right w:val="nil"/>
            </w:tcBorders>
            <w:shd w:val="clear" w:color="000000" w:fill="FFFFFF"/>
            <w:noWrap/>
            <w:vAlign w:val="bottom"/>
          </w:tcPr>
          <w:p w14:paraId="4CC06707" w14:textId="777CB4F4" w:rsidR="00441D06" w:rsidRPr="00F85253" w:rsidRDefault="00441D06" w:rsidP="00441D06">
            <w:pPr>
              <w:spacing w:after="0" w:line="240" w:lineRule="auto"/>
              <w:jc w:val="right"/>
              <w:rPr>
                <w:rFonts w:ascii="Arial" w:eastAsia="Times New Roman" w:hAnsi="Arial" w:cs="Arial"/>
                <w:color w:val="FFFFFF"/>
                <w:sz w:val="20"/>
                <w:szCs w:val="20"/>
                <w:lang w:val="es-EC" w:eastAsia="es-EC"/>
              </w:rPr>
            </w:pPr>
          </w:p>
        </w:tc>
        <w:tc>
          <w:tcPr>
            <w:tcW w:w="780" w:type="dxa"/>
            <w:tcBorders>
              <w:top w:val="nil"/>
              <w:left w:val="nil"/>
              <w:bottom w:val="single" w:sz="8" w:space="0" w:color="auto"/>
              <w:right w:val="nil"/>
            </w:tcBorders>
            <w:shd w:val="clear" w:color="000000" w:fill="FFFFFF"/>
            <w:noWrap/>
            <w:vAlign w:val="bottom"/>
          </w:tcPr>
          <w:p w14:paraId="0C3D6624" w14:textId="15DA6C62" w:rsidR="00441D06" w:rsidRPr="00F85253" w:rsidRDefault="00441D06" w:rsidP="00441D06">
            <w:pPr>
              <w:spacing w:after="0" w:line="240" w:lineRule="auto"/>
              <w:jc w:val="right"/>
              <w:rPr>
                <w:rFonts w:ascii="Arial" w:eastAsia="Times New Roman" w:hAnsi="Arial" w:cs="Arial"/>
                <w:color w:val="FFFFFF"/>
                <w:sz w:val="20"/>
                <w:szCs w:val="20"/>
                <w:lang w:val="es-EC" w:eastAsia="es-EC"/>
              </w:rPr>
            </w:pPr>
          </w:p>
        </w:tc>
        <w:tc>
          <w:tcPr>
            <w:tcW w:w="780" w:type="dxa"/>
            <w:tcBorders>
              <w:top w:val="nil"/>
              <w:left w:val="nil"/>
              <w:bottom w:val="single" w:sz="8" w:space="0" w:color="auto"/>
              <w:right w:val="nil"/>
            </w:tcBorders>
            <w:shd w:val="clear" w:color="000000" w:fill="FFFFFF"/>
            <w:noWrap/>
            <w:vAlign w:val="bottom"/>
          </w:tcPr>
          <w:p w14:paraId="2A842A74" w14:textId="7910D579" w:rsidR="00441D06" w:rsidRPr="00F85253" w:rsidRDefault="00441D06" w:rsidP="00441D06">
            <w:pPr>
              <w:spacing w:after="0" w:line="240" w:lineRule="auto"/>
              <w:jc w:val="right"/>
              <w:rPr>
                <w:rFonts w:ascii="Arial" w:eastAsia="Times New Roman" w:hAnsi="Arial" w:cs="Arial"/>
                <w:color w:val="FFFFFF"/>
                <w:sz w:val="20"/>
                <w:szCs w:val="20"/>
                <w:lang w:val="es-EC" w:eastAsia="es-EC"/>
              </w:rPr>
            </w:pPr>
          </w:p>
        </w:tc>
        <w:tc>
          <w:tcPr>
            <w:tcW w:w="1000" w:type="dxa"/>
            <w:tcBorders>
              <w:top w:val="nil"/>
              <w:left w:val="nil"/>
              <w:bottom w:val="single" w:sz="8" w:space="0" w:color="auto"/>
              <w:right w:val="single" w:sz="8" w:space="0" w:color="auto"/>
            </w:tcBorders>
            <w:shd w:val="clear" w:color="000000" w:fill="FFFFFF"/>
            <w:noWrap/>
            <w:vAlign w:val="bottom"/>
            <w:hideMark/>
          </w:tcPr>
          <w:p w14:paraId="2B5D6089" w14:textId="77777777" w:rsidR="00441D06" w:rsidRPr="00F85253" w:rsidRDefault="00441D06" w:rsidP="00441D06">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60.04   </w:t>
            </w:r>
          </w:p>
        </w:tc>
      </w:tr>
    </w:tbl>
    <w:p w14:paraId="5CBE1F59" w14:textId="77777777" w:rsidR="006C299F" w:rsidRPr="00F85253" w:rsidRDefault="006C299F" w:rsidP="002543DC">
      <w:pPr>
        <w:pStyle w:val="Paragraph"/>
        <w:spacing w:before="0" w:after="0" w:line="276" w:lineRule="auto"/>
        <w:ind w:left="1296" w:hanging="1836"/>
        <w:outlineLvl w:val="9"/>
        <w:rPr>
          <w:rFonts w:ascii="Arial" w:hAnsi="Arial" w:cs="Arial"/>
          <w:color w:val="000000"/>
          <w:sz w:val="22"/>
          <w:szCs w:val="22"/>
          <w:lang w:val="es-ES_tradnl"/>
        </w:rPr>
      </w:pPr>
    </w:p>
    <w:p w14:paraId="41E3F568" w14:textId="77777777" w:rsidR="006C299F" w:rsidRPr="00F85253" w:rsidRDefault="006C299F" w:rsidP="002543DC">
      <w:pPr>
        <w:pStyle w:val="Paragraph"/>
        <w:spacing w:before="0" w:after="0" w:line="276" w:lineRule="auto"/>
        <w:ind w:left="1296" w:hanging="1836"/>
        <w:outlineLvl w:val="9"/>
        <w:rPr>
          <w:rFonts w:ascii="Arial" w:hAnsi="Arial" w:cs="Arial"/>
          <w:color w:val="000000"/>
          <w:sz w:val="22"/>
          <w:szCs w:val="22"/>
          <w:lang w:val="es-ES_tradnl"/>
        </w:rPr>
      </w:pPr>
    </w:p>
    <w:p w14:paraId="614A5FFC" w14:textId="77777777" w:rsidR="006C299F" w:rsidRPr="00F85253" w:rsidRDefault="006C299F" w:rsidP="002543DC">
      <w:pPr>
        <w:pStyle w:val="Paragraph"/>
        <w:spacing w:before="0" w:after="0" w:line="276" w:lineRule="auto"/>
        <w:ind w:left="1296" w:hanging="1836"/>
        <w:outlineLvl w:val="9"/>
        <w:rPr>
          <w:rFonts w:ascii="Arial" w:hAnsi="Arial" w:cs="Arial"/>
          <w:color w:val="000000"/>
          <w:sz w:val="22"/>
          <w:szCs w:val="22"/>
          <w:lang w:val="es-ES_tradnl"/>
        </w:rPr>
      </w:pPr>
    </w:p>
    <w:p w14:paraId="7D513224" w14:textId="77777777" w:rsidR="006C299F" w:rsidRPr="00F85253" w:rsidRDefault="006C299F" w:rsidP="002543DC">
      <w:pPr>
        <w:pStyle w:val="Paragraph"/>
        <w:spacing w:before="0" w:after="0" w:line="276" w:lineRule="auto"/>
        <w:ind w:left="1296" w:hanging="1836"/>
        <w:outlineLvl w:val="9"/>
        <w:rPr>
          <w:rFonts w:ascii="Arial" w:hAnsi="Arial" w:cs="Arial"/>
          <w:color w:val="000000"/>
          <w:sz w:val="22"/>
          <w:szCs w:val="22"/>
          <w:lang w:val="es-ES_tradnl"/>
        </w:rPr>
      </w:pPr>
    </w:p>
    <w:p w14:paraId="2EFD88FD" w14:textId="77777777" w:rsidR="006C299F" w:rsidRPr="00F85253" w:rsidRDefault="006C299F" w:rsidP="002543DC">
      <w:pPr>
        <w:pStyle w:val="Paragraph"/>
        <w:spacing w:before="0" w:after="0" w:line="276" w:lineRule="auto"/>
        <w:ind w:left="1296" w:hanging="1836"/>
        <w:outlineLvl w:val="9"/>
        <w:rPr>
          <w:rFonts w:ascii="Arial" w:hAnsi="Arial" w:cs="Arial"/>
          <w:color w:val="000000"/>
          <w:sz w:val="22"/>
          <w:szCs w:val="22"/>
          <w:lang w:val="es-ES_tradnl"/>
        </w:rPr>
      </w:pPr>
    </w:p>
    <w:p w14:paraId="4F7D19C4" w14:textId="77777777" w:rsidR="006C299F" w:rsidRPr="00F85253" w:rsidRDefault="006C299F" w:rsidP="002543DC">
      <w:pPr>
        <w:pStyle w:val="Paragraph"/>
        <w:spacing w:before="0" w:after="0" w:line="276" w:lineRule="auto"/>
        <w:ind w:left="1296" w:hanging="1836"/>
        <w:outlineLvl w:val="9"/>
        <w:rPr>
          <w:rFonts w:ascii="Arial" w:hAnsi="Arial" w:cs="Arial"/>
          <w:color w:val="000000"/>
          <w:sz w:val="22"/>
          <w:szCs w:val="22"/>
          <w:lang w:val="es-ES_tradnl"/>
        </w:rPr>
      </w:pPr>
    </w:p>
    <w:p w14:paraId="0D525577" w14:textId="77777777" w:rsidR="006C299F" w:rsidRPr="00F85253" w:rsidRDefault="006C299F" w:rsidP="002543DC">
      <w:pPr>
        <w:pStyle w:val="Paragraph"/>
        <w:spacing w:before="0" w:after="0" w:line="276" w:lineRule="auto"/>
        <w:ind w:left="1296" w:hanging="1836"/>
        <w:outlineLvl w:val="9"/>
        <w:rPr>
          <w:rFonts w:ascii="Arial" w:hAnsi="Arial" w:cs="Arial"/>
          <w:color w:val="000000"/>
          <w:sz w:val="22"/>
          <w:szCs w:val="22"/>
          <w:lang w:val="es-ES_tradnl"/>
        </w:rPr>
        <w:sectPr w:rsidR="006C299F" w:rsidRPr="00F85253" w:rsidSect="00C40E53">
          <w:pgSz w:w="16838" w:h="11906" w:orient="landscape"/>
          <w:pgMar w:top="1440" w:right="1166" w:bottom="1354" w:left="994" w:header="720" w:footer="720" w:gutter="0"/>
          <w:cols w:space="720"/>
          <w:docGrid w:linePitch="360"/>
        </w:sectPr>
      </w:pPr>
    </w:p>
    <w:p w14:paraId="2AA560DE" w14:textId="77777777" w:rsidR="00E66B08" w:rsidRPr="00F85253" w:rsidRDefault="00E66B08" w:rsidP="002543DC">
      <w:pPr>
        <w:spacing w:after="0"/>
        <w:jc w:val="both"/>
        <w:rPr>
          <w:rFonts w:ascii="Arial" w:hAnsi="Arial" w:cs="Arial"/>
          <w:b/>
          <w:lang w:val="es-ES_tradnl"/>
        </w:rPr>
      </w:pPr>
      <w:bookmarkStart w:id="22" w:name="_Toc518739335"/>
    </w:p>
    <w:p w14:paraId="2581E5B0" w14:textId="031EC6E7" w:rsidR="00762CB4" w:rsidRPr="00F85253" w:rsidRDefault="00017134" w:rsidP="002543DC">
      <w:pPr>
        <w:spacing w:after="0"/>
        <w:jc w:val="both"/>
        <w:rPr>
          <w:rFonts w:ascii="Arial" w:hAnsi="Arial" w:cs="Arial"/>
          <w:lang w:val="es-ES_tradnl"/>
        </w:rPr>
      </w:pPr>
      <w:r w:rsidRPr="00F85253">
        <w:rPr>
          <w:rFonts w:ascii="Arial" w:hAnsi="Arial" w:cs="Arial"/>
          <w:b/>
          <w:lang w:val="es-ES_tradnl"/>
        </w:rPr>
        <w:t xml:space="preserve">Programa de Apoyo a la Reforma de </w:t>
      </w:r>
      <w:r w:rsidR="0023565F" w:rsidRPr="00F85253">
        <w:rPr>
          <w:rFonts w:ascii="Arial" w:hAnsi="Arial" w:cs="Arial"/>
          <w:b/>
          <w:lang w:val="es-ES_tradnl"/>
        </w:rPr>
        <w:t>EEPP</w:t>
      </w:r>
      <w:r w:rsidRPr="00F85253">
        <w:rPr>
          <w:rFonts w:ascii="Arial" w:hAnsi="Arial" w:cs="Arial"/>
          <w:b/>
          <w:lang w:val="es-ES_tradnl"/>
        </w:rPr>
        <w:t xml:space="preserve">: </w:t>
      </w:r>
      <w:r w:rsidR="00DE54A3" w:rsidRPr="00F85253">
        <w:rPr>
          <w:rFonts w:ascii="Arial" w:hAnsi="Arial" w:cs="Arial"/>
          <w:b/>
          <w:lang w:val="es-ES_tradnl"/>
        </w:rPr>
        <w:t>Análisis del eje</w:t>
      </w:r>
      <w:r w:rsidRPr="00F85253">
        <w:rPr>
          <w:rFonts w:ascii="Arial" w:hAnsi="Arial" w:cs="Arial"/>
          <w:b/>
          <w:lang w:val="es-ES_tradnl"/>
        </w:rPr>
        <w:t xml:space="preserve"> de Desvinculaciones. </w:t>
      </w:r>
      <w:r w:rsidR="00DE54A3" w:rsidRPr="00F85253">
        <w:rPr>
          <w:rFonts w:ascii="Arial" w:hAnsi="Arial" w:cs="Arial"/>
          <w:lang w:val="es-ES_tradnl"/>
        </w:rPr>
        <w:t>Los beneficios económicos del programa son los ahorros generados por eficiencia en la fusión de las petroleras, mayor transparencia y el ahorro por las desvinculaciones</w:t>
      </w:r>
      <w:r w:rsidR="006A75B6" w:rsidRPr="00F85253">
        <w:rPr>
          <w:rFonts w:ascii="Arial" w:hAnsi="Arial" w:cs="Arial"/>
          <w:lang w:val="es-ES_tradnl"/>
        </w:rPr>
        <w:t>, este último, genera una rentabilidad alta para el programa.</w:t>
      </w:r>
      <w:r w:rsidR="00DE54A3" w:rsidRPr="00F85253">
        <w:rPr>
          <w:rFonts w:ascii="Arial" w:hAnsi="Arial" w:cs="Arial"/>
          <w:lang w:val="es-ES_tradnl"/>
        </w:rPr>
        <w:t xml:space="preserve"> </w:t>
      </w:r>
    </w:p>
    <w:p w14:paraId="03555DE5" w14:textId="77777777" w:rsidR="00D665D8" w:rsidRPr="00F85253" w:rsidRDefault="00D665D8" w:rsidP="000B2BC8">
      <w:pPr>
        <w:pStyle w:val="Paragraph"/>
        <w:tabs>
          <w:tab w:val="num" w:pos="2196"/>
        </w:tabs>
        <w:spacing w:before="0" w:after="0" w:line="276" w:lineRule="auto"/>
        <w:ind w:left="720"/>
        <w:outlineLvl w:val="9"/>
        <w:rPr>
          <w:rFonts w:ascii="Arial" w:hAnsi="Arial" w:cs="Arial"/>
          <w:sz w:val="22"/>
          <w:szCs w:val="22"/>
          <w:lang w:val="es-ES_tradnl"/>
        </w:rPr>
      </w:pPr>
    </w:p>
    <w:p w14:paraId="7CFFBC35" w14:textId="5126D2A4" w:rsidR="00E77F44" w:rsidRPr="00F85253" w:rsidRDefault="00D1069B" w:rsidP="00F52C58">
      <w:pPr>
        <w:pStyle w:val="Paragraph"/>
        <w:numPr>
          <w:ilvl w:val="1"/>
          <w:numId w:val="2"/>
        </w:numPr>
        <w:tabs>
          <w:tab w:val="clear" w:pos="1296"/>
          <w:tab w:val="num" w:pos="720"/>
          <w:tab w:val="num" w:pos="1800"/>
          <w:tab w:val="num" w:pos="2196"/>
        </w:tabs>
        <w:spacing w:before="0" w:after="0" w:line="276" w:lineRule="auto"/>
        <w:ind w:left="720" w:hanging="720"/>
        <w:outlineLvl w:val="9"/>
        <w:rPr>
          <w:rFonts w:ascii="Arial" w:hAnsi="Arial" w:cs="Arial"/>
          <w:sz w:val="22"/>
          <w:szCs w:val="22"/>
          <w:lang w:val="es-ES_tradnl"/>
        </w:rPr>
      </w:pPr>
      <w:r w:rsidRPr="00F85253">
        <w:rPr>
          <w:rFonts w:ascii="Arial" w:hAnsi="Arial" w:cs="Arial"/>
          <w:sz w:val="22"/>
          <w:szCs w:val="22"/>
          <w:lang w:val="es-ES_tradnl"/>
        </w:rPr>
        <w:t>Se realiza el análisis económico del eje de las desvinculaciones</w:t>
      </w:r>
      <w:r w:rsidR="00F52C58" w:rsidRPr="00F85253">
        <w:rPr>
          <w:rFonts w:ascii="Arial" w:hAnsi="Arial" w:cs="Arial"/>
          <w:sz w:val="22"/>
          <w:szCs w:val="22"/>
          <w:lang w:val="es-ES_tradnl"/>
        </w:rPr>
        <w:t>,</w:t>
      </w:r>
      <w:r w:rsidRPr="00F85253">
        <w:rPr>
          <w:rFonts w:ascii="Arial" w:hAnsi="Arial" w:cs="Arial"/>
          <w:sz w:val="22"/>
          <w:szCs w:val="22"/>
          <w:lang w:val="es-ES_tradnl"/>
        </w:rPr>
        <w:t xml:space="preserve"> de manera separada</w:t>
      </w:r>
      <w:r w:rsidR="00F52C58" w:rsidRPr="00F85253">
        <w:rPr>
          <w:rFonts w:ascii="Arial" w:hAnsi="Arial" w:cs="Arial"/>
          <w:sz w:val="22"/>
          <w:szCs w:val="22"/>
          <w:lang w:val="es-ES_tradnl"/>
        </w:rPr>
        <w:t>,</w:t>
      </w:r>
      <w:r w:rsidRPr="00F85253">
        <w:rPr>
          <w:rFonts w:ascii="Arial" w:hAnsi="Arial" w:cs="Arial"/>
          <w:sz w:val="22"/>
          <w:szCs w:val="22"/>
          <w:lang w:val="es-ES_tradnl"/>
        </w:rPr>
        <w:t xml:space="preserve"> al eje de transparencia y eficiencia</w:t>
      </w:r>
      <w:r w:rsidR="00CE769F" w:rsidRPr="00F85253">
        <w:rPr>
          <w:rFonts w:ascii="Arial" w:hAnsi="Arial" w:cs="Arial"/>
          <w:sz w:val="22"/>
          <w:szCs w:val="22"/>
          <w:lang w:val="es-ES_tradnl"/>
        </w:rPr>
        <w:t xml:space="preserve"> por la fusión</w:t>
      </w:r>
      <w:r w:rsidRPr="00F85253">
        <w:rPr>
          <w:rFonts w:ascii="Arial" w:hAnsi="Arial" w:cs="Arial"/>
          <w:sz w:val="22"/>
          <w:szCs w:val="22"/>
          <w:lang w:val="es-ES_tradnl"/>
        </w:rPr>
        <w:t xml:space="preserve">. </w:t>
      </w:r>
      <w:r w:rsidR="006D69A9" w:rsidRPr="00F85253">
        <w:rPr>
          <w:rFonts w:ascii="Arial" w:hAnsi="Arial" w:cs="Arial"/>
          <w:sz w:val="22"/>
          <w:szCs w:val="22"/>
          <w:lang w:val="es-ES_tradnl"/>
        </w:rPr>
        <w:t>El supuesto principal es que</w:t>
      </w:r>
      <w:r w:rsidR="00640625" w:rsidRPr="00F85253">
        <w:rPr>
          <w:rFonts w:ascii="Arial" w:hAnsi="Arial" w:cs="Arial"/>
          <w:sz w:val="22"/>
          <w:szCs w:val="22"/>
          <w:lang w:val="es-ES_tradnl"/>
        </w:rPr>
        <w:t xml:space="preserve">, </w:t>
      </w:r>
      <w:r w:rsidRPr="00F85253">
        <w:rPr>
          <w:rFonts w:ascii="Arial" w:hAnsi="Arial" w:cs="Arial"/>
          <w:sz w:val="22"/>
          <w:szCs w:val="22"/>
          <w:lang w:val="es-ES_tradnl"/>
        </w:rPr>
        <w:t xml:space="preserve">el valor de la TIR del programa es impulsado principalmente por el ahorro </w:t>
      </w:r>
      <w:r w:rsidR="00324485" w:rsidRPr="00F85253">
        <w:rPr>
          <w:rFonts w:ascii="Arial" w:hAnsi="Arial" w:cs="Arial"/>
          <w:sz w:val="22"/>
          <w:szCs w:val="22"/>
          <w:lang w:val="es-ES_tradnl"/>
        </w:rPr>
        <w:t>derivado de</w:t>
      </w:r>
      <w:r w:rsidRPr="00F85253">
        <w:rPr>
          <w:rFonts w:ascii="Arial" w:hAnsi="Arial" w:cs="Arial"/>
          <w:sz w:val="22"/>
          <w:szCs w:val="22"/>
          <w:lang w:val="es-ES_tradnl"/>
        </w:rPr>
        <w:t xml:space="preserve"> las desvinculaciones de personal de las </w:t>
      </w:r>
      <w:r w:rsidR="0023565F" w:rsidRPr="00F85253">
        <w:rPr>
          <w:rFonts w:ascii="Arial" w:hAnsi="Arial" w:cs="Arial"/>
          <w:sz w:val="22"/>
          <w:szCs w:val="22"/>
          <w:lang w:val="es-ES_tradnl"/>
        </w:rPr>
        <w:t>EEPP</w:t>
      </w:r>
      <w:r w:rsidR="00E66B08" w:rsidRPr="00F85253">
        <w:rPr>
          <w:rFonts w:ascii="Arial" w:hAnsi="Arial" w:cs="Arial"/>
          <w:sz w:val="22"/>
          <w:szCs w:val="22"/>
          <w:lang w:val="es-ES_tradnl"/>
        </w:rPr>
        <w:t xml:space="preserve"> Petroamazonas, Petroecuador, CNEL, CELEC y T</w:t>
      </w:r>
      <w:r w:rsidR="00CE769F" w:rsidRPr="00F85253">
        <w:rPr>
          <w:rFonts w:ascii="Arial" w:hAnsi="Arial" w:cs="Arial"/>
          <w:sz w:val="22"/>
          <w:szCs w:val="22"/>
          <w:lang w:val="es-ES_tradnl"/>
        </w:rPr>
        <w:t>AME</w:t>
      </w:r>
      <w:r w:rsidR="00E66B08" w:rsidRPr="00F85253">
        <w:rPr>
          <w:rFonts w:ascii="Arial" w:hAnsi="Arial" w:cs="Arial"/>
          <w:sz w:val="22"/>
          <w:szCs w:val="22"/>
          <w:lang w:val="es-ES_tradnl"/>
        </w:rPr>
        <w:t xml:space="preserve">. </w:t>
      </w:r>
      <w:r w:rsidRPr="00F85253">
        <w:rPr>
          <w:rFonts w:ascii="Arial" w:hAnsi="Arial" w:cs="Arial"/>
          <w:sz w:val="22"/>
          <w:szCs w:val="22"/>
          <w:lang w:val="es-ES_tradnl"/>
        </w:rPr>
        <w:t xml:space="preserve"> </w:t>
      </w:r>
    </w:p>
    <w:p w14:paraId="79E428ED" w14:textId="77777777" w:rsidR="00D665D8" w:rsidRPr="00F85253" w:rsidRDefault="00D665D8" w:rsidP="000B2BC8">
      <w:pPr>
        <w:pStyle w:val="Paragraph"/>
        <w:tabs>
          <w:tab w:val="num" w:pos="2196"/>
        </w:tabs>
        <w:spacing w:before="0" w:after="0" w:line="276" w:lineRule="auto"/>
        <w:ind w:left="720"/>
        <w:outlineLvl w:val="9"/>
        <w:rPr>
          <w:rFonts w:ascii="Arial" w:hAnsi="Arial" w:cs="Arial"/>
          <w:sz w:val="22"/>
          <w:szCs w:val="22"/>
          <w:lang w:val="es-ES_tradnl"/>
        </w:rPr>
      </w:pPr>
    </w:p>
    <w:p w14:paraId="4102FD9D" w14:textId="29BBA5B6" w:rsidR="00DE6C8C" w:rsidRPr="00F85253" w:rsidRDefault="00E77F44" w:rsidP="001E38A5">
      <w:pPr>
        <w:pStyle w:val="Paragraph"/>
        <w:numPr>
          <w:ilvl w:val="1"/>
          <w:numId w:val="2"/>
        </w:numPr>
        <w:tabs>
          <w:tab w:val="clear" w:pos="1296"/>
          <w:tab w:val="num" w:pos="720"/>
          <w:tab w:val="num" w:pos="1800"/>
          <w:tab w:val="num" w:pos="2196"/>
        </w:tabs>
        <w:spacing w:before="0" w:after="0" w:line="276" w:lineRule="auto"/>
        <w:ind w:left="720" w:hanging="720"/>
        <w:outlineLvl w:val="9"/>
        <w:rPr>
          <w:rFonts w:ascii="Arial" w:hAnsi="Arial" w:cs="Arial"/>
          <w:sz w:val="22"/>
          <w:szCs w:val="22"/>
          <w:lang w:val="es-ES_tradnl"/>
        </w:rPr>
      </w:pPr>
      <w:r w:rsidRPr="00F85253">
        <w:rPr>
          <w:rFonts w:ascii="Arial" w:hAnsi="Arial" w:cs="Arial"/>
          <w:sz w:val="22"/>
          <w:szCs w:val="22"/>
          <w:lang w:val="es-ES_tradnl"/>
        </w:rPr>
        <w:t xml:space="preserve">La tabla </w:t>
      </w:r>
      <w:r w:rsidR="00E66B08" w:rsidRPr="00F85253">
        <w:rPr>
          <w:rFonts w:ascii="Arial" w:hAnsi="Arial" w:cs="Arial"/>
          <w:sz w:val="22"/>
          <w:szCs w:val="22"/>
          <w:lang w:val="es-ES_tradnl"/>
        </w:rPr>
        <w:t>2</w:t>
      </w:r>
      <w:r w:rsidRPr="00F85253">
        <w:rPr>
          <w:rFonts w:ascii="Arial" w:hAnsi="Arial" w:cs="Arial"/>
          <w:sz w:val="22"/>
          <w:szCs w:val="22"/>
          <w:lang w:val="es-ES_tradnl"/>
        </w:rPr>
        <w:t>,</w:t>
      </w:r>
      <w:r w:rsidR="00F52C58" w:rsidRPr="00F85253">
        <w:rPr>
          <w:rFonts w:ascii="Arial" w:hAnsi="Arial" w:cs="Arial"/>
          <w:sz w:val="22"/>
          <w:szCs w:val="22"/>
          <w:lang w:val="es-ES_tradnl"/>
        </w:rPr>
        <w:t xml:space="preserve"> panel A</w:t>
      </w:r>
      <w:r w:rsidR="00B51CD9" w:rsidRPr="00F85253">
        <w:rPr>
          <w:rFonts w:ascii="Arial" w:hAnsi="Arial" w:cs="Arial"/>
          <w:sz w:val="22"/>
          <w:szCs w:val="22"/>
          <w:lang w:val="es-ES_tradnl"/>
        </w:rPr>
        <w:t>,</w:t>
      </w:r>
      <w:r w:rsidR="00F52C58" w:rsidRPr="00F85253">
        <w:rPr>
          <w:rFonts w:ascii="Arial" w:hAnsi="Arial" w:cs="Arial"/>
          <w:sz w:val="22"/>
          <w:szCs w:val="22"/>
          <w:lang w:val="es-ES_tradnl"/>
        </w:rPr>
        <w:t xml:space="preserve"> </w:t>
      </w:r>
      <w:r w:rsidRPr="00F85253">
        <w:rPr>
          <w:rFonts w:ascii="Arial" w:hAnsi="Arial" w:cs="Arial"/>
          <w:sz w:val="22"/>
          <w:szCs w:val="22"/>
          <w:lang w:val="es-ES_tradnl"/>
        </w:rPr>
        <w:t xml:space="preserve">presenta los </w:t>
      </w:r>
      <w:r w:rsidR="001E38A5" w:rsidRPr="00F85253">
        <w:rPr>
          <w:rFonts w:ascii="Arial" w:hAnsi="Arial" w:cs="Arial"/>
          <w:sz w:val="22"/>
          <w:szCs w:val="22"/>
          <w:lang w:val="es-ES_tradnl"/>
        </w:rPr>
        <w:t xml:space="preserve">beneficios (ahorros) y costos </w:t>
      </w:r>
      <w:r w:rsidR="00F52C58" w:rsidRPr="00F85253">
        <w:rPr>
          <w:rFonts w:ascii="Arial" w:hAnsi="Arial" w:cs="Arial"/>
          <w:sz w:val="22"/>
          <w:szCs w:val="22"/>
          <w:lang w:val="es-ES_tradnl"/>
        </w:rPr>
        <w:t>generados por el ej</w:t>
      </w:r>
      <w:r w:rsidR="00B51CD9" w:rsidRPr="00F85253">
        <w:rPr>
          <w:rFonts w:ascii="Arial" w:hAnsi="Arial" w:cs="Arial"/>
          <w:sz w:val="22"/>
          <w:szCs w:val="22"/>
          <w:lang w:val="es-ES_tradnl"/>
        </w:rPr>
        <w:t>e de las desvinculaciones; y,</w:t>
      </w:r>
      <w:r w:rsidR="00F52C58" w:rsidRPr="00F85253">
        <w:rPr>
          <w:rFonts w:ascii="Arial" w:hAnsi="Arial" w:cs="Arial"/>
          <w:sz w:val="22"/>
          <w:szCs w:val="22"/>
          <w:lang w:val="es-ES_tradnl"/>
        </w:rPr>
        <w:t xml:space="preserve"> el </w:t>
      </w:r>
      <w:r w:rsidR="00B51CD9" w:rsidRPr="00F85253">
        <w:rPr>
          <w:rFonts w:ascii="Arial" w:hAnsi="Arial" w:cs="Arial"/>
          <w:sz w:val="22"/>
          <w:szCs w:val="22"/>
          <w:lang w:val="es-ES_tradnl"/>
        </w:rPr>
        <w:t>p</w:t>
      </w:r>
      <w:r w:rsidR="00F52C58" w:rsidRPr="00F85253">
        <w:rPr>
          <w:rFonts w:ascii="Arial" w:hAnsi="Arial" w:cs="Arial"/>
          <w:sz w:val="22"/>
          <w:szCs w:val="22"/>
          <w:lang w:val="es-ES_tradnl"/>
        </w:rPr>
        <w:t xml:space="preserve">anel B, de los ejes de transparencia y eficiencia. </w:t>
      </w:r>
      <w:r w:rsidR="00DE6C8C" w:rsidRPr="00F85253">
        <w:rPr>
          <w:rFonts w:ascii="Arial" w:hAnsi="Arial" w:cs="Arial"/>
          <w:sz w:val="22"/>
          <w:szCs w:val="22"/>
          <w:lang w:val="es-ES_tradnl"/>
        </w:rPr>
        <w:t xml:space="preserve">La línea de beneficio económico pasa de USD </w:t>
      </w:r>
      <w:r w:rsidR="00C75E01" w:rsidRPr="00F85253">
        <w:rPr>
          <w:rFonts w:ascii="Arial" w:hAnsi="Arial" w:cs="Arial"/>
          <w:sz w:val="22"/>
          <w:szCs w:val="22"/>
          <w:lang w:val="es-ES_tradnl"/>
        </w:rPr>
        <w:t>72</w:t>
      </w:r>
      <w:r w:rsidR="00CE769F" w:rsidRPr="00F85253">
        <w:rPr>
          <w:rFonts w:ascii="Arial" w:hAnsi="Arial" w:cs="Arial"/>
          <w:sz w:val="22"/>
          <w:szCs w:val="22"/>
          <w:lang w:val="es-ES_tradnl"/>
        </w:rPr>
        <w:t>.</w:t>
      </w:r>
      <w:r w:rsidR="00C75E01" w:rsidRPr="00F85253">
        <w:rPr>
          <w:rFonts w:ascii="Arial" w:hAnsi="Arial" w:cs="Arial"/>
          <w:sz w:val="22"/>
          <w:szCs w:val="22"/>
          <w:lang w:val="es-ES_tradnl"/>
        </w:rPr>
        <w:t>92</w:t>
      </w:r>
      <w:r w:rsidR="00033E78" w:rsidRPr="00F85253">
        <w:rPr>
          <w:rFonts w:ascii="Arial" w:hAnsi="Arial" w:cs="Arial"/>
          <w:sz w:val="22"/>
          <w:szCs w:val="22"/>
          <w:lang w:val="es-ES_tradnl"/>
        </w:rPr>
        <w:t xml:space="preserve"> </w:t>
      </w:r>
      <w:r w:rsidR="00DE6C8C" w:rsidRPr="00F85253">
        <w:rPr>
          <w:rFonts w:ascii="Arial" w:hAnsi="Arial" w:cs="Arial"/>
          <w:sz w:val="22"/>
          <w:szCs w:val="22"/>
          <w:lang w:val="es-ES_tradnl"/>
        </w:rPr>
        <w:t>millones, con los ejes de transparencia y eficiencia</w:t>
      </w:r>
      <w:r w:rsidR="00A4244C" w:rsidRPr="00F85253">
        <w:rPr>
          <w:rFonts w:ascii="Arial" w:hAnsi="Arial" w:cs="Arial"/>
          <w:sz w:val="22"/>
          <w:szCs w:val="22"/>
          <w:lang w:val="es-ES_tradnl"/>
        </w:rPr>
        <w:t>,</w:t>
      </w:r>
      <w:r w:rsidR="00DE6C8C" w:rsidRPr="00F85253">
        <w:rPr>
          <w:rFonts w:ascii="Arial" w:hAnsi="Arial" w:cs="Arial"/>
          <w:sz w:val="22"/>
          <w:szCs w:val="22"/>
          <w:lang w:val="es-ES_tradnl"/>
        </w:rPr>
        <w:t xml:space="preserve"> a USD </w:t>
      </w:r>
      <w:r w:rsidR="000B72F9" w:rsidRPr="00F85253">
        <w:rPr>
          <w:rFonts w:ascii="Arial" w:hAnsi="Arial" w:cs="Arial"/>
          <w:sz w:val="22"/>
          <w:szCs w:val="22"/>
          <w:lang w:val="es-ES_tradnl"/>
        </w:rPr>
        <w:t>21</w:t>
      </w:r>
      <w:r w:rsidR="00CE769F" w:rsidRPr="00F85253">
        <w:rPr>
          <w:rFonts w:ascii="Arial" w:hAnsi="Arial" w:cs="Arial"/>
          <w:sz w:val="22"/>
          <w:szCs w:val="22"/>
          <w:lang w:val="es-ES_tradnl"/>
        </w:rPr>
        <w:t>8.54</w:t>
      </w:r>
      <w:r w:rsidR="00DE6C8C" w:rsidRPr="00F85253">
        <w:rPr>
          <w:rFonts w:ascii="Arial" w:hAnsi="Arial" w:cs="Arial"/>
          <w:sz w:val="22"/>
          <w:szCs w:val="22"/>
          <w:lang w:val="es-ES_tradnl"/>
        </w:rPr>
        <w:t xml:space="preserve"> millones</w:t>
      </w:r>
      <w:r w:rsidR="003A2103" w:rsidRPr="00F85253">
        <w:rPr>
          <w:rFonts w:ascii="Arial" w:hAnsi="Arial" w:cs="Arial"/>
          <w:sz w:val="22"/>
          <w:szCs w:val="22"/>
          <w:lang w:val="es-ES_tradnl"/>
        </w:rPr>
        <w:t>,</w:t>
      </w:r>
      <w:r w:rsidR="00A4244C" w:rsidRPr="00F85253">
        <w:rPr>
          <w:rFonts w:ascii="Arial" w:hAnsi="Arial" w:cs="Arial"/>
          <w:sz w:val="22"/>
          <w:szCs w:val="22"/>
          <w:lang w:val="es-ES_tradnl"/>
        </w:rPr>
        <w:t xml:space="preserve"> </w:t>
      </w:r>
      <w:r w:rsidR="003A2103" w:rsidRPr="00F85253">
        <w:rPr>
          <w:rFonts w:ascii="Arial" w:hAnsi="Arial" w:cs="Arial"/>
          <w:sz w:val="22"/>
          <w:szCs w:val="22"/>
          <w:lang w:val="es-ES_tradnl"/>
        </w:rPr>
        <w:t>con</w:t>
      </w:r>
      <w:r w:rsidR="00A4244C" w:rsidRPr="00F85253">
        <w:rPr>
          <w:rFonts w:ascii="Arial" w:hAnsi="Arial" w:cs="Arial"/>
          <w:sz w:val="22"/>
          <w:szCs w:val="22"/>
          <w:lang w:val="es-ES_tradnl"/>
        </w:rPr>
        <w:t xml:space="preserve"> el eje de desvinculaciones. El flujo neto </w:t>
      </w:r>
      <w:r w:rsidR="00756ECB" w:rsidRPr="00F85253">
        <w:rPr>
          <w:rFonts w:ascii="Arial" w:hAnsi="Arial" w:cs="Arial"/>
          <w:sz w:val="22"/>
          <w:szCs w:val="22"/>
          <w:lang w:val="es-ES_tradnl"/>
        </w:rPr>
        <w:t>generado</w:t>
      </w:r>
      <w:r w:rsidR="00A4244C" w:rsidRPr="00F85253">
        <w:rPr>
          <w:rFonts w:ascii="Arial" w:hAnsi="Arial" w:cs="Arial"/>
          <w:sz w:val="22"/>
          <w:szCs w:val="22"/>
          <w:lang w:val="es-ES_tradnl"/>
        </w:rPr>
        <w:t xml:space="preserve"> se </w:t>
      </w:r>
      <w:r w:rsidR="00756ECB" w:rsidRPr="00F85253">
        <w:rPr>
          <w:rFonts w:ascii="Arial" w:hAnsi="Arial" w:cs="Arial"/>
          <w:sz w:val="22"/>
          <w:szCs w:val="22"/>
          <w:lang w:val="es-ES_tradnl"/>
        </w:rPr>
        <w:t>se</w:t>
      </w:r>
      <w:r w:rsidR="00CE769F" w:rsidRPr="00F85253">
        <w:rPr>
          <w:rFonts w:ascii="Arial" w:hAnsi="Arial" w:cs="Arial"/>
          <w:sz w:val="22"/>
          <w:szCs w:val="22"/>
          <w:lang w:val="es-ES_tradnl"/>
        </w:rPr>
        <w:t>p</w:t>
      </w:r>
      <w:r w:rsidR="00756ECB" w:rsidRPr="00F85253">
        <w:rPr>
          <w:rFonts w:ascii="Arial" w:hAnsi="Arial" w:cs="Arial"/>
          <w:sz w:val="22"/>
          <w:szCs w:val="22"/>
          <w:lang w:val="es-ES_tradnl"/>
        </w:rPr>
        <w:t>tup</w:t>
      </w:r>
      <w:r w:rsidR="00CE769F" w:rsidRPr="00F85253">
        <w:rPr>
          <w:rFonts w:ascii="Arial" w:hAnsi="Arial" w:cs="Arial"/>
          <w:sz w:val="22"/>
          <w:szCs w:val="22"/>
          <w:lang w:val="es-ES_tradnl"/>
        </w:rPr>
        <w:t>lica</w:t>
      </w:r>
      <w:r w:rsidR="00241DC3" w:rsidRPr="00F85253">
        <w:rPr>
          <w:rFonts w:ascii="Arial" w:hAnsi="Arial" w:cs="Arial"/>
          <w:sz w:val="22"/>
          <w:szCs w:val="22"/>
          <w:lang w:val="es-ES_tradnl"/>
        </w:rPr>
        <w:t>,</w:t>
      </w:r>
      <w:r w:rsidR="00CE769F" w:rsidRPr="00F85253">
        <w:rPr>
          <w:rFonts w:ascii="Arial" w:hAnsi="Arial" w:cs="Arial"/>
          <w:sz w:val="22"/>
          <w:szCs w:val="22"/>
          <w:lang w:val="es-ES_tradnl"/>
        </w:rPr>
        <w:t xml:space="preserve"> pasando de USD </w:t>
      </w:r>
      <w:r w:rsidR="00756ECB" w:rsidRPr="00F85253">
        <w:rPr>
          <w:rFonts w:ascii="Arial" w:hAnsi="Arial" w:cs="Arial"/>
          <w:sz w:val="22"/>
          <w:szCs w:val="22"/>
          <w:lang w:val="es-ES_tradnl"/>
        </w:rPr>
        <w:t>19</w:t>
      </w:r>
      <w:r w:rsidR="00CE769F" w:rsidRPr="00F85253">
        <w:rPr>
          <w:rFonts w:ascii="Arial" w:hAnsi="Arial" w:cs="Arial"/>
          <w:sz w:val="22"/>
          <w:szCs w:val="22"/>
          <w:lang w:val="es-ES_tradnl"/>
        </w:rPr>
        <w:t>.</w:t>
      </w:r>
      <w:r w:rsidR="00756ECB" w:rsidRPr="00F85253">
        <w:rPr>
          <w:rFonts w:ascii="Arial" w:hAnsi="Arial" w:cs="Arial"/>
          <w:sz w:val="22"/>
          <w:szCs w:val="22"/>
          <w:lang w:val="es-ES_tradnl"/>
        </w:rPr>
        <w:t>51</w:t>
      </w:r>
      <w:r w:rsidR="00CE769F" w:rsidRPr="00F85253">
        <w:rPr>
          <w:rFonts w:ascii="Arial" w:hAnsi="Arial" w:cs="Arial"/>
          <w:sz w:val="22"/>
          <w:szCs w:val="22"/>
          <w:lang w:val="es-ES_tradnl"/>
        </w:rPr>
        <w:t xml:space="preserve"> millones a </w:t>
      </w:r>
      <w:r w:rsidR="000C23D3" w:rsidRPr="00F85253">
        <w:rPr>
          <w:rFonts w:ascii="Arial" w:hAnsi="Arial" w:cs="Arial"/>
          <w:sz w:val="22"/>
          <w:szCs w:val="22"/>
          <w:lang w:val="es-ES_tradnl"/>
        </w:rPr>
        <w:t>USD 1</w:t>
      </w:r>
      <w:r w:rsidR="00CE769F" w:rsidRPr="00F85253">
        <w:rPr>
          <w:rFonts w:ascii="Arial" w:hAnsi="Arial" w:cs="Arial"/>
          <w:sz w:val="22"/>
          <w:szCs w:val="22"/>
          <w:lang w:val="es-ES_tradnl"/>
        </w:rPr>
        <w:t>4</w:t>
      </w:r>
      <w:r w:rsidR="000C23D3" w:rsidRPr="00F85253">
        <w:rPr>
          <w:rFonts w:ascii="Arial" w:hAnsi="Arial" w:cs="Arial"/>
          <w:sz w:val="22"/>
          <w:szCs w:val="22"/>
          <w:lang w:val="es-ES_tradnl"/>
        </w:rPr>
        <w:t>5</w:t>
      </w:r>
      <w:r w:rsidR="00CE769F" w:rsidRPr="00F85253">
        <w:rPr>
          <w:rFonts w:ascii="Arial" w:hAnsi="Arial" w:cs="Arial"/>
          <w:sz w:val="22"/>
          <w:szCs w:val="22"/>
          <w:lang w:val="es-ES_tradnl"/>
        </w:rPr>
        <w:t>.91 millones</w:t>
      </w:r>
      <w:r w:rsidR="003A2103" w:rsidRPr="00F85253">
        <w:rPr>
          <w:rFonts w:ascii="Arial" w:hAnsi="Arial" w:cs="Arial"/>
          <w:sz w:val="22"/>
          <w:szCs w:val="22"/>
          <w:lang w:val="es-ES_tradnl"/>
        </w:rPr>
        <w:t xml:space="preserve">, </w:t>
      </w:r>
      <w:r w:rsidR="00E66B08" w:rsidRPr="00F85253">
        <w:rPr>
          <w:rFonts w:ascii="Arial" w:hAnsi="Arial" w:cs="Arial"/>
          <w:sz w:val="22"/>
          <w:szCs w:val="22"/>
          <w:lang w:val="es-ES_tradnl"/>
        </w:rPr>
        <w:t>al tomar en cuenta únicamente el</w:t>
      </w:r>
      <w:r w:rsidR="003A2103" w:rsidRPr="00F85253">
        <w:rPr>
          <w:rFonts w:ascii="Arial" w:hAnsi="Arial" w:cs="Arial"/>
          <w:sz w:val="22"/>
          <w:szCs w:val="22"/>
          <w:lang w:val="es-ES_tradnl"/>
        </w:rPr>
        <w:t xml:space="preserve"> análisis de l</w:t>
      </w:r>
      <w:r w:rsidR="00E66B08" w:rsidRPr="00F85253">
        <w:rPr>
          <w:rFonts w:ascii="Arial" w:hAnsi="Arial" w:cs="Arial"/>
          <w:sz w:val="22"/>
          <w:szCs w:val="22"/>
          <w:lang w:val="es-ES_tradnl"/>
        </w:rPr>
        <w:t xml:space="preserve">as desvinculaciones, respecto </w:t>
      </w:r>
      <w:r w:rsidR="003A2103" w:rsidRPr="00F85253">
        <w:rPr>
          <w:rFonts w:ascii="Arial" w:hAnsi="Arial" w:cs="Arial"/>
          <w:sz w:val="22"/>
          <w:szCs w:val="22"/>
          <w:lang w:val="es-ES_tradnl"/>
        </w:rPr>
        <w:t xml:space="preserve">al análisis de los ejes de transparencia y eficiencia. </w:t>
      </w:r>
      <w:r w:rsidR="00A4244C" w:rsidRPr="00F85253">
        <w:rPr>
          <w:rFonts w:ascii="Arial" w:hAnsi="Arial" w:cs="Arial"/>
          <w:sz w:val="22"/>
          <w:szCs w:val="22"/>
          <w:lang w:val="es-ES_tradnl"/>
        </w:rPr>
        <w:t xml:space="preserve"> </w:t>
      </w:r>
    </w:p>
    <w:p w14:paraId="2AC85112" w14:textId="77777777" w:rsidR="00D665D8" w:rsidRPr="00F85253" w:rsidRDefault="00D665D8" w:rsidP="000B2BC8">
      <w:pPr>
        <w:pStyle w:val="Paragraph"/>
        <w:tabs>
          <w:tab w:val="num" w:pos="2196"/>
        </w:tabs>
        <w:spacing w:before="0" w:after="0" w:line="276" w:lineRule="auto"/>
        <w:ind w:left="720"/>
        <w:outlineLvl w:val="9"/>
        <w:rPr>
          <w:rFonts w:ascii="Arial" w:hAnsi="Arial" w:cs="Arial"/>
          <w:sz w:val="22"/>
          <w:szCs w:val="22"/>
          <w:lang w:val="es-ES_tradnl"/>
        </w:rPr>
      </w:pPr>
    </w:p>
    <w:p w14:paraId="61DADBA1" w14:textId="519D2B51" w:rsidR="00731E50" w:rsidRPr="00F85253" w:rsidRDefault="00F52C58" w:rsidP="001E38A5">
      <w:pPr>
        <w:pStyle w:val="Paragraph"/>
        <w:numPr>
          <w:ilvl w:val="1"/>
          <w:numId w:val="2"/>
        </w:numPr>
        <w:tabs>
          <w:tab w:val="clear" w:pos="1296"/>
          <w:tab w:val="num" w:pos="720"/>
          <w:tab w:val="num" w:pos="1800"/>
          <w:tab w:val="num" w:pos="2196"/>
        </w:tabs>
        <w:spacing w:before="0" w:after="0" w:line="276" w:lineRule="auto"/>
        <w:ind w:left="720" w:hanging="720"/>
        <w:outlineLvl w:val="9"/>
        <w:rPr>
          <w:rFonts w:ascii="Arial" w:hAnsi="Arial" w:cs="Arial"/>
          <w:sz w:val="22"/>
          <w:szCs w:val="22"/>
          <w:lang w:val="es-ES_tradnl"/>
        </w:rPr>
      </w:pPr>
      <w:r w:rsidRPr="00F85253">
        <w:rPr>
          <w:rFonts w:ascii="Arial" w:hAnsi="Arial" w:cs="Arial"/>
          <w:sz w:val="22"/>
          <w:szCs w:val="22"/>
          <w:lang w:val="es-ES_tradnl"/>
        </w:rPr>
        <w:t>La TIR del programa, considerando</w:t>
      </w:r>
      <w:r w:rsidRPr="00F85253">
        <w:rPr>
          <w:rFonts w:ascii="Arial" w:hAnsi="Arial" w:cs="Arial"/>
          <w:b/>
          <w:sz w:val="22"/>
          <w:szCs w:val="22"/>
          <w:lang w:val="es-ES_tradnl"/>
        </w:rPr>
        <w:t xml:space="preserve"> únicamente</w:t>
      </w:r>
      <w:r w:rsidRPr="00F85253">
        <w:rPr>
          <w:rFonts w:ascii="Arial" w:hAnsi="Arial" w:cs="Arial"/>
          <w:sz w:val="22"/>
          <w:szCs w:val="22"/>
          <w:lang w:val="es-ES_tradnl"/>
        </w:rPr>
        <w:t xml:space="preserve"> las desvinculaciones, y manteniendo los supuestos constantes, </w:t>
      </w:r>
      <w:r w:rsidR="00B51CD9" w:rsidRPr="00F85253">
        <w:rPr>
          <w:rFonts w:ascii="Arial" w:hAnsi="Arial" w:cs="Arial"/>
          <w:sz w:val="22"/>
          <w:szCs w:val="22"/>
          <w:lang w:val="es-ES_tradnl"/>
        </w:rPr>
        <w:t xml:space="preserve">alcanza el </w:t>
      </w:r>
      <w:r w:rsidR="00033E78" w:rsidRPr="00F85253">
        <w:rPr>
          <w:rFonts w:ascii="Arial" w:hAnsi="Arial" w:cs="Arial"/>
          <w:sz w:val="22"/>
          <w:szCs w:val="22"/>
          <w:lang w:val="es-ES_tradnl"/>
        </w:rPr>
        <w:t>58</w:t>
      </w:r>
      <w:r w:rsidR="00E77F44" w:rsidRPr="00F85253">
        <w:rPr>
          <w:rFonts w:ascii="Arial" w:hAnsi="Arial" w:cs="Arial"/>
          <w:sz w:val="22"/>
          <w:szCs w:val="22"/>
          <w:lang w:val="es-ES_tradnl"/>
        </w:rPr>
        <w:t>%, m</w:t>
      </w:r>
      <w:r w:rsidRPr="00F85253">
        <w:rPr>
          <w:rFonts w:ascii="Arial" w:hAnsi="Arial" w:cs="Arial"/>
          <w:sz w:val="22"/>
          <w:szCs w:val="22"/>
          <w:lang w:val="es-ES_tradnl"/>
        </w:rPr>
        <w:t xml:space="preserve">ayor, a la </w:t>
      </w:r>
      <w:r w:rsidR="00B51CD9" w:rsidRPr="00F85253">
        <w:rPr>
          <w:rFonts w:ascii="Arial" w:hAnsi="Arial" w:cs="Arial"/>
          <w:sz w:val="22"/>
          <w:szCs w:val="22"/>
          <w:lang w:val="es-ES_tradnl"/>
        </w:rPr>
        <w:t xml:space="preserve">tasa </w:t>
      </w:r>
      <w:r w:rsidRPr="00F85253">
        <w:rPr>
          <w:rFonts w:ascii="Arial" w:hAnsi="Arial" w:cs="Arial"/>
          <w:sz w:val="22"/>
          <w:szCs w:val="22"/>
          <w:lang w:val="es-ES_tradnl"/>
        </w:rPr>
        <w:t xml:space="preserve">registrada por </w:t>
      </w:r>
      <w:r w:rsidR="00B51CD9" w:rsidRPr="00F85253">
        <w:rPr>
          <w:rFonts w:ascii="Arial" w:hAnsi="Arial" w:cs="Arial"/>
          <w:sz w:val="22"/>
          <w:szCs w:val="22"/>
          <w:lang w:val="es-ES_tradnl"/>
        </w:rPr>
        <w:t xml:space="preserve">los ejes </w:t>
      </w:r>
      <w:proofErr w:type="gramStart"/>
      <w:r w:rsidR="00B51CD9" w:rsidRPr="00F85253">
        <w:rPr>
          <w:rFonts w:ascii="Arial" w:hAnsi="Arial" w:cs="Arial"/>
          <w:sz w:val="22"/>
          <w:szCs w:val="22"/>
          <w:lang w:val="es-ES_tradnl"/>
        </w:rPr>
        <w:t xml:space="preserve">de </w:t>
      </w:r>
      <w:r w:rsidRPr="00F85253">
        <w:rPr>
          <w:rFonts w:ascii="Arial" w:hAnsi="Arial" w:cs="Arial"/>
          <w:sz w:val="22"/>
          <w:szCs w:val="22"/>
          <w:lang w:val="es-ES_tradnl"/>
        </w:rPr>
        <w:t xml:space="preserve"> transparencia</w:t>
      </w:r>
      <w:proofErr w:type="gramEnd"/>
      <w:r w:rsidRPr="00F85253">
        <w:rPr>
          <w:rFonts w:ascii="Arial" w:hAnsi="Arial" w:cs="Arial"/>
          <w:sz w:val="22"/>
          <w:szCs w:val="22"/>
          <w:lang w:val="es-ES_tradnl"/>
        </w:rPr>
        <w:t xml:space="preserve"> y eficiencia, que alcanza</w:t>
      </w:r>
      <w:r w:rsidR="00B51CD9" w:rsidRPr="00F85253">
        <w:rPr>
          <w:rFonts w:ascii="Arial" w:hAnsi="Arial" w:cs="Arial"/>
          <w:sz w:val="22"/>
          <w:szCs w:val="22"/>
          <w:lang w:val="es-ES_tradnl"/>
        </w:rPr>
        <w:t>n</w:t>
      </w:r>
      <w:r w:rsidRPr="00F85253">
        <w:rPr>
          <w:rFonts w:ascii="Arial" w:hAnsi="Arial" w:cs="Arial"/>
          <w:sz w:val="22"/>
          <w:szCs w:val="22"/>
          <w:lang w:val="es-ES_tradnl"/>
        </w:rPr>
        <w:t xml:space="preserve"> un valor de </w:t>
      </w:r>
      <w:r w:rsidR="00756ECB" w:rsidRPr="00F85253">
        <w:rPr>
          <w:rFonts w:ascii="Arial" w:hAnsi="Arial" w:cs="Arial"/>
          <w:sz w:val="22"/>
          <w:szCs w:val="22"/>
          <w:lang w:val="es-ES_tradnl"/>
        </w:rPr>
        <w:t>7</w:t>
      </w:r>
      <w:r w:rsidRPr="00F85253">
        <w:rPr>
          <w:rFonts w:ascii="Arial" w:hAnsi="Arial" w:cs="Arial"/>
          <w:sz w:val="22"/>
          <w:szCs w:val="22"/>
          <w:lang w:val="es-ES_tradnl"/>
        </w:rPr>
        <w:t>%. Se evidencia de ma</w:t>
      </w:r>
      <w:r w:rsidR="000C23D3" w:rsidRPr="00F85253">
        <w:rPr>
          <w:rFonts w:ascii="Arial" w:hAnsi="Arial" w:cs="Arial"/>
          <w:sz w:val="22"/>
          <w:szCs w:val="22"/>
          <w:lang w:val="es-ES_tradnl"/>
        </w:rPr>
        <w:t>nera clara, que los beneficios de</w:t>
      </w:r>
      <w:r w:rsidRPr="00F85253">
        <w:rPr>
          <w:rFonts w:ascii="Arial" w:hAnsi="Arial" w:cs="Arial"/>
          <w:sz w:val="22"/>
          <w:szCs w:val="22"/>
          <w:lang w:val="es-ES_tradnl"/>
        </w:rPr>
        <w:t xml:space="preserve"> las desvinculaciones impulsa</w:t>
      </w:r>
      <w:r w:rsidR="00DE6C8C" w:rsidRPr="00F85253">
        <w:rPr>
          <w:rFonts w:ascii="Arial" w:hAnsi="Arial" w:cs="Arial"/>
          <w:sz w:val="22"/>
          <w:szCs w:val="22"/>
          <w:lang w:val="es-ES_tradnl"/>
        </w:rPr>
        <w:t>n</w:t>
      </w:r>
      <w:r w:rsidRPr="00F85253">
        <w:rPr>
          <w:rFonts w:ascii="Arial" w:hAnsi="Arial" w:cs="Arial"/>
          <w:sz w:val="22"/>
          <w:szCs w:val="22"/>
          <w:lang w:val="es-ES_tradnl"/>
        </w:rPr>
        <w:t xml:space="preserve"> el valor general</w:t>
      </w:r>
      <w:r w:rsidR="00DE6C8C" w:rsidRPr="00F85253">
        <w:rPr>
          <w:rFonts w:ascii="Arial" w:hAnsi="Arial" w:cs="Arial"/>
          <w:sz w:val="22"/>
          <w:szCs w:val="22"/>
          <w:lang w:val="es-ES_tradnl"/>
        </w:rPr>
        <w:t xml:space="preserve"> de la Tasa Interna de Retorno</w:t>
      </w:r>
      <w:r w:rsidRPr="00F85253">
        <w:rPr>
          <w:rFonts w:ascii="Arial" w:hAnsi="Arial" w:cs="Arial"/>
          <w:sz w:val="22"/>
          <w:szCs w:val="22"/>
          <w:lang w:val="es-ES_tradnl"/>
        </w:rPr>
        <w:t xml:space="preserve"> del program</w:t>
      </w:r>
      <w:r w:rsidR="000C23D3" w:rsidRPr="00F85253">
        <w:rPr>
          <w:rFonts w:ascii="Arial" w:hAnsi="Arial" w:cs="Arial"/>
          <w:sz w:val="22"/>
          <w:szCs w:val="22"/>
          <w:lang w:val="es-ES_tradnl"/>
        </w:rPr>
        <w:t>a, incluyendo todos los ejes, de</w:t>
      </w:r>
      <w:r w:rsidRPr="00F85253">
        <w:rPr>
          <w:rFonts w:ascii="Arial" w:hAnsi="Arial" w:cs="Arial"/>
          <w:sz w:val="22"/>
          <w:szCs w:val="22"/>
          <w:lang w:val="es-ES_tradnl"/>
        </w:rPr>
        <w:t xml:space="preserve"> </w:t>
      </w:r>
      <w:r w:rsidR="00033E78" w:rsidRPr="00F85253">
        <w:rPr>
          <w:rFonts w:ascii="Arial" w:hAnsi="Arial" w:cs="Arial"/>
          <w:sz w:val="22"/>
          <w:szCs w:val="22"/>
          <w:lang w:val="es-ES_tradnl"/>
        </w:rPr>
        <w:t>3</w:t>
      </w:r>
      <w:r w:rsidR="00756ECB" w:rsidRPr="00F85253">
        <w:rPr>
          <w:rFonts w:ascii="Arial" w:hAnsi="Arial" w:cs="Arial"/>
          <w:sz w:val="22"/>
          <w:szCs w:val="22"/>
          <w:lang w:val="es-ES_tradnl"/>
        </w:rPr>
        <w:t>3</w:t>
      </w:r>
      <w:r w:rsidRPr="00F85253">
        <w:rPr>
          <w:rFonts w:ascii="Arial" w:hAnsi="Arial" w:cs="Arial"/>
          <w:sz w:val="22"/>
          <w:szCs w:val="22"/>
          <w:lang w:val="es-ES_tradnl"/>
        </w:rPr>
        <w:t xml:space="preserve">% evidenciado </w:t>
      </w:r>
      <w:r w:rsidR="000B72F9" w:rsidRPr="00F85253">
        <w:rPr>
          <w:rFonts w:ascii="Arial" w:hAnsi="Arial" w:cs="Arial"/>
          <w:sz w:val="22"/>
          <w:szCs w:val="22"/>
          <w:lang w:val="es-ES_tradnl"/>
        </w:rPr>
        <w:t>en la tabla 1</w:t>
      </w:r>
      <w:r w:rsidRPr="00F85253">
        <w:rPr>
          <w:rFonts w:ascii="Arial" w:hAnsi="Arial" w:cs="Arial"/>
          <w:sz w:val="22"/>
          <w:szCs w:val="22"/>
          <w:lang w:val="es-ES_tradnl"/>
        </w:rPr>
        <w:t xml:space="preserve">. </w:t>
      </w:r>
    </w:p>
    <w:p w14:paraId="2428A341" w14:textId="77777777" w:rsidR="00D665D8" w:rsidRPr="00F85253" w:rsidRDefault="00D665D8" w:rsidP="000B2BC8">
      <w:pPr>
        <w:pStyle w:val="Paragraph"/>
        <w:tabs>
          <w:tab w:val="num" w:pos="2196"/>
        </w:tabs>
        <w:spacing w:before="0" w:after="0" w:line="276" w:lineRule="auto"/>
        <w:ind w:left="720"/>
        <w:outlineLvl w:val="9"/>
        <w:rPr>
          <w:rFonts w:ascii="Arial" w:hAnsi="Arial" w:cs="Arial"/>
          <w:sz w:val="22"/>
          <w:szCs w:val="22"/>
          <w:lang w:val="es-ES_tradnl"/>
        </w:rPr>
      </w:pPr>
    </w:p>
    <w:p w14:paraId="460BC071" w14:textId="411B1EFD" w:rsidR="00EE730A" w:rsidRPr="00F85253" w:rsidRDefault="00EE730A" w:rsidP="002543DC">
      <w:pPr>
        <w:pStyle w:val="Paragraph"/>
        <w:numPr>
          <w:ilvl w:val="1"/>
          <w:numId w:val="2"/>
        </w:numPr>
        <w:tabs>
          <w:tab w:val="clear" w:pos="1296"/>
          <w:tab w:val="num" w:pos="720"/>
          <w:tab w:val="num" w:pos="1800"/>
          <w:tab w:val="num" w:pos="2196"/>
        </w:tabs>
        <w:spacing w:before="0" w:after="0" w:line="276" w:lineRule="auto"/>
        <w:ind w:left="720" w:hanging="720"/>
        <w:outlineLvl w:val="9"/>
        <w:rPr>
          <w:rFonts w:ascii="Arial" w:hAnsi="Arial" w:cs="Arial"/>
          <w:sz w:val="22"/>
          <w:szCs w:val="22"/>
          <w:lang w:val="es-ES_tradnl"/>
        </w:rPr>
      </w:pPr>
      <w:r w:rsidRPr="00F85253">
        <w:rPr>
          <w:rFonts w:ascii="Arial" w:hAnsi="Arial" w:cs="Arial"/>
          <w:b/>
          <w:sz w:val="22"/>
          <w:szCs w:val="22"/>
          <w:lang w:val="es-ES_tradnl"/>
        </w:rPr>
        <w:t>Conclusión</w:t>
      </w:r>
      <w:r w:rsidRPr="00F85253">
        <w:rPr>
          <w:rFonts w:ascii="Arial" w:hAnsi="Arial" w:cs="Arial"/>
          <w:sz w:val="22"/>
          <w:szCs w:val="22"/>
          <w:lang w:val="es-ES_tradnl"/>
        </w:rPr>
        <w:t xml:space="preserve">. </w:t>
      </w:r>
      <w:r w:rsidR="00DE6C8C" w:rsidRPr="00F85253">
        <w:rPr>
          <w:rFonts w:ascii="Arial" w:hAnsi="Arial" w:cs="Arial"/>
          <w:sz w:val="22"/>
          <w:szCs w:val="22"/>
          <w:lang w:val="es-ES_tradnl"/>
        </w:rPr>
        <w:t>L</w:t>
      </w:r>
      <w:r w:rsidR="00F52C58" w:rsidRPr="00F85253">
        <w:rPr>
          <w:rFonts w:ascii="Arial" w:hAnsi="Arial" w:cs="Arial"/>
          <w:sz w:val="22"/>
          <w:szCs w:val="22"/>
          <w:lang w:val="es-ES_tradnl"/>
        </w:rPr>
        <w:t>a alta rentabilidad del programa (incluyendo todos los ejes</w:t>
      </w:r>
      <w:r w:rsidR="00033E78" w:rsidRPr="00F85253">
        <w:rPr>
          <w:rFonts w:ascii="Arial" w:hAnsi="Arial" w:cs="Arial"/>
          <w:sz w:val="22"/>
          <w:szCs w:val="22"/>
          <w:lang w:val="es-ES_tradnl"/>
        </w:rPr>
        <w:t xml:space="preserve"> de manera simultánea</w:t>
      </w:r>
      <w:r w:rsidR="00F52C58" w:rsidRPr="00F85253">
        <w:rPr>
          <w:rFonts w:ascii="Arial" w:hAnsi="Arial" w:cs="Arial"/>
          <w:sz w:val="22"/>
          <w:szCs w:val="22"/>
          <w:lang w:val="es-ES_tradnl"/>
        </w:rPr>
        <w:t xml:space="preserve">) </w:t>
      </w:r>
      <w:r w:rsidR="00DE6C8C" w:rsidRPr="00F85253">
        <w:rPr>
          <w:rFonts w:ascii="Arial" w:hAnsi="Arial" w:cs="Arial"/>
          <w:sz w:val="22"/>
          <w:szCs w:val="22"/>
          <w:lang w:val="es-ES_tradnl"/>
        </w:rPr>
        <w:t>es impulsado</w:t>
      </w:r>
      <w:r w:rsidR="00F52C58" w:rsidRPr="00F85253">
        <w:rPr>
          <w:rFonts w:ascii="Arial" w:hAnsi="Arial" w:cs="Arial"/>
          <w:sz w:val="22"/>
          <w:szCs w:val="22"/>
          <w:lang w:val="es-ES_tradnl"/>
        </w:rPr>
        <w:t xml:space="preserve"> principalmente </w:t>
      </w:r>
      <w:r w:rsidR="00DE6C8C" w:rsidRPr="00F85253">
        <w:rPr>
          <w:rFonts w:ascii="Arial" w:hAnsi="Arial" w:cs="Arial"/>
          <w:sz w:val="22"/>
          <w:szCs w:val="22"/>
          <w:lang w:val="es-ES_tradnl"/>
        </w:rPr>
        <w:t>por los beneficios o</w:t>
      </w:r>
      <w:r w:rsidR="00F52C58" w:rsidRPr="00F85253">
        <w:rPr>
          <w:rFonts w:ascii="Arial" w:hAnsi="Arial" w:cs="Arial"/>
          <w:sz w:val="22"/>
          <w:szCs w:val="22"/>
          <w:lang w:val="es-ES_tradnl"/>
        </w:rPr>
        <w:t xml:space="preserve"> ahorros</w:t>
      </w:r>
      <w:r w:rsidR="00DE6C8C" w:rsidRPr="00F85253">
        <w:rPr>
          <w:rFonts w:ascii="Arial" w:hAnsi="Arial" w:cs="Arial"/>
          <w:sz w:val="22"/>
          <w:szCs w:val="22"/>
          <w:lang w:val="es-ES_tradnl"/>
        </w:rPr>
        <w:t xml:space="preserve"> generados</w:t>
      </w:r>
      <w:r w:rsidR="00F52C58" w:rsidRPr="00F85253">
        <w:rPr>
          <w:rFonts w:ascii="Arial" w:hAnsi="Arial" w:cs="Arial"/>
          <w:sz w:val="22"/>
          <w:szCs w:val="22"/>
          <w:lang w:val="es-ES_tradnl"/>
        </w:rPr>
        <w:t xml:space="preserve"> por las desvinculaciones</w:t>
      </w:r>
      <w:r w:rsidR="00DE6C8C" w:rsidRPr="00F85253">
        <w:rPr>
          <w:rFonts w:ascii="Arial" w:hAnsi="Arial" w:cs="Arial"/>
          <w:sz w:val="22"/>
          <w:szCs w:val="22"/>
          <w:lang w:val="es-ES_tradnl"/>
        </w:rPr>
        <w:t xml:space="preserve"> de personal en las </w:t>
      </w:r>
      <w:r w:rsidR="0023565F" w:rsidRPr="00F85253">
        <w:rPr>
          <w:rFonts w:ascii="Arial" w:hAnsi="Arial" w:cs="Arial"/>
          <w:sz w:val="22"/>
          <w:szCs w:val="22"/>
          <w:lang w:val="es-ES_tradnl"/>
        </w:rPr>
        <w:t>EEPP</w:t>
      </w:r>
      <w:r w:rsidR="000C23D3" w:rsidRPr="00F85253">
        <w:rPr>
          <w:rFonts w:ascii="Arial" w:hAnsi="Arial" w:cs="Arial"/>
          <w:sz w:val="22"/>
          <w:szCs w:val="22"/>
          <w:lang w:val="es-ES_tradnl"/>
        </w:rPr>
        <w:t>.</w:t>
      </w:r>
      <w:r w:rsidR="00033E78" w:rsidRPr="00F85253">
        <w:rPr>
          <w:rFonts w:ascii="Arial" w:hAnsi="Arial" w:cs="Arial"/>
          <w:sz w:val="22"/>
          <w:szCs w:val="22"/>
          <w:lang w:val="es-ES_tradnl"/>
        </w:rPr>
        <w:t xml:space="preserve"> No obstante, se destaca también </w:t>
      </w:r>
      <w:r w:rsidR="008575F3" w:rsidRPr="00F85253">
        <w:rPr>
          <w:rFonts w:ascii="Arial" w:hAnsi="Arial" w:cs="Arial"/>
          <w:sz w:val="22"/>
          <w:szCs w:val="22"/>
          <w:lang w:val="es-ES_tradnl"/>
        </w:rPr>
        <w:t xml:space="preserve">que </w:t>
      </w:r>
      <w:r w:rsidR="00033E78" w:rsidRPr="00F85253">
        <w:rPr>
          <w:rFonts w:ascii="Arial" w:hAnsi="Arial" w:cs="Arial"/>
          <w:sz w:val="22"/>
          <w:szCs w:val="22"/>
          <w:lang w:val="es-ES_tradnl"/>
        </w:rPr>
        <w:t>este mismo eje contribuye con el 5</w:t>
      </w:r>
      <w:r w:rsidR="00A8671B" w:rsidRPr="00F85253">
        <w:rPr>
          <w:rFonts w:ascii="Arial" w:hAnsi="Arial" w:cs="Arial"/>
          <w:sz w:val="22"/>
          <w:szCs w:val="22"/>
          <w:lang w:val="es-ES_tradnl"/>
        </w:rPr>
        <w:t>7</w:t>
      </w:r>
      <w:r w:rsidR="00033E78" w:rsidRPr="00F85253">
        <w:rPr>
          <w:rFonts w:ascii="Arial" w:hAnsi="Arial" w:cs="Arial"/>
          <w:sz w:val="22"/>
          <w:szCs w:val="22"/>
          <w:lang w:val="es-ES_tradnl"/>
        </w:rPr>
        <w:t xml:space="preserve">% de los gastos de capital, Capex. Es decir, el eje de desvinculaciones </w:t>
      </w:r>
      <w:r w:rsidR="008575F3" w:rsidRPr="00F85253">
        <w:rPr>
          <w:rFonts w:ascii="Arial" w:hAnsi="Arial" w:cs="Arial"/>
          <w:sz w:val="22"/>
          <w:szCs w:val="22"/>
          <w:lang w:val="es-ES_tradnl"/>
        </w:rPr>
        <w:t xml:space="preserve">es un factor importante, dentro del Programa de Apoyo a la Reforma de Empresas Públicas. </w:t>
      </w:r>
    </w:p>
    <w:p w14:paraId="4BE281FF" w14:textId="77777777" w:rsidR="0083722C" w:rsidRPr="00F85253" w:rsidRDefault="0083722C" w:rsidP="002543DC">
      <w:pPr>
        <w:pStyle w:val="Paragraph"/>
        <w:tabs>
          <w:tab w:val="num" w:pos="2196"/>
        </w:tabs>
        <w:spacing w:before="0" w:after="0" w:line="276" w:lineRule="auto"/>
        <w:outlineLvl w:val="9"/>
        <w:rPr>
          <w:rFonts w:ascii="Arial" w:hAnsi="Arial" w:cs="Arial"/>
          <w:sz w:val="22"/>
          <w:szCs w:val="22"/>
          <w:lang w:val="es-ES_tradnl"/>
        </w:rPr>
      </w:pPr>
    </w:p>
    <w:p w14:paraId="4BA1F066" w14:textId="77777777" w:rsidR="0083722C" w:rsidRPr="00F85253" w:rsidRDefault="0083722C" w:rsidP="002543DC">
      <w:pPr>
        <w:pStyle w:val="Paragraph"/>
        <w:tabs>
          <w:tab w:val="num" w:pos="2196"/>
        </w:tabs>
        <w:spacing w:before="0" w:after="0" w:line="276" w:lineRule="auto"/>
        <w:outlineLvl w:val="9"/>
        <w:rPr>
          <w:rFonts w:ascii="Arial" w:hAnsi="Arial" w:cs="Arial"/>
          <w:sz w:val="22"/>
          <w:szCs w:val="22"/>
          <w:lang w:val="es-ES_tradnl"/>
        </w:rPr>
        <w:sectPr w:rsidR="0083722C" w:rsidRPr="00F85253">
          <w:pgSz w:w="11906" w:h="16838"/>
          <w:pgMar w:top="994" w:right="1440" w:bottom="1166" w:left="1354" w:header="720" w:footer="720" w:gutter="0"/>
          <w:cols w:space="720"/>
          <w:docGrid w:linePitch="360"/>
        </w:sectPr>
      </w:pPr>
    </w:p>
    <w:p w14:paraId="1E904DF3" w14:textId="1111AAD6" w:rsidR="00956FA4" w:rsidRPr="00F85253" w:rsidRDefault="00956FA4" w:rsidP="00956FA4">
      <w:pPr>
        <w:pStyle w:val="Caption"/>
        <w:keepNext/>
        <w:spacing w:line="276" w:lineRule="auto"/>
        <w:jc w:val="both"/>
        <w:rPr>
          <w:rFonts w:ascii="Arial" w:hAnsi="Arial" w:cs="Arial"/>
        </w:rPr>
      </w:pPr>
      <w:r w:rsidRPr="00F85253">
        <w:rPr>
          <w:rFonts w:ascii="Arial" w:hAnsi="Arial" w:cs="Arial"/>
        </w:rPr>
        <w:lastRenderedPageBreak/>
        <w:t xml:space="preserve">Tabla </w:t>
      </w:r>
      <w:r w:rsidRPr="00F85253">
        <w:rPr>
          <w:rFonts w:ascii="Arial" w:hAnsi="Arial" w:cs="Arial"/>
        </w:rPr>
        <w:fldChar w:fldCharType="begin"/>
      </w:r>
      <w:r w:rsidRPr="00F85253">
        <w:rPr>
          <w:rFonts w:ascii="Arial" w:hAnsi="Arial" w:cs="Arial"/>
        </w:rPr>
        <w:instrText xml:space="preserve"> SEQ Tabla \* ARABIC </w:instrText>
      </w:r>
      <w:r w:rsidRPr="00F85253">
        <w:rPr>
          <w:rFonts w:ascii="Arial" w:hAnsi="Arial" w:cs="Arial"/>
        </w:rPr>
        <w:fldChar w:fldCharType="separate"/>
      </w:r>
      <w:r w:rsidR="002A661D" w:rsidRPr="00F85253">
        <w:rPr>
          <w:rFonts w:ascii="Arial" w:hAnsi="Arial" w:cs="Arial"/>
        </w:rPr>
        <w:t>2</w:t>
      </w:r>
      <w:r w:rsidRPr="00F85253">
        <w:rPr>
          <w:rFonts w:ascii="Arial" w:hAnsi="Arial" w:cs="Arial"/>
        </w:rPr>
        <w:fldChar w:fldCharType="end"/>
      </w:r>
      <w:r w:rsidRPr="00F85253">
        <w:rPr>
          <w:rFonts w:ascii="Arial" w:hAnsi="Arial" w:cs="Arial"/>
        </w:rPr>
        <w:t xml:space="preserve"> Análisis Económico - </w:t>
      </w:r>
      <w:r w:rsidR="000B54C0" w:rsidRPr="00F85253">
        <w:rPr>
          <w:rFonts w:ascii="Arial" w:hAnsi="Arial" w:cs="Arial"/>
        </w:rPr>
        <w:t xml:space="preserve">Eje de </w:t>
      </w:r>
      <w:r w:rsidR="00A57D8F" w:rsidRPr="00F85253">
        <w:rPr>
          <w:rFonts w:ascii="Arial" w:hAnsi="Arial" w:cs="Arial"/>
        </w:rPr>
        <w:t>d</w:t>
      </w:r>
      <w:r w:rsidR="000B54C0" w:rsidRPr="00F85253">
        <w:rPr>
          <w:rFonts w:ascii="Arial" w:hAnsi="Arial" w:cs="Arial"/>
        </w:rPr>
        <w:t>esvinculaciones</w:t>
      </w:r>
      <w:r w:rsidR="00DD09F4" w:rsidRPr="00F85253">
        <w:rPr>
          <w:rFonts w:ascii="Arial" w:hAnsi="Arial" w:cs="Arial"/>
        </w:rPr>
        <w:t xml:space="preserve"> &amp; Eje de Eficiencia y Transparencia</w:t>
      </w:r>
    </w:p>
    <w:p w14:paraId="210B3567" w14:textId="77777777" w:rsidR="00956FA4" w:rsidRPr="00F85253" w:rsidRDefault="00956FA4" w:rsidP="00956FA4">
      <w:pPr>
        <w:pStyle w:val="Caption"/>
        <w:keepNext/>
        <w:spacing w:line="276" w:lineRule="auto"/>
        <w:jc w:val="both"/>
        <w:rPr>
          <w:rFonts w:ascii="Arial" w:hAnsi="Arial" w:cs="Arial"/>
        </w:rPr>
      </w:pPr>
      <w:r w:rsidRPr="00F85253">
        <w:rPr>
          <w:rFonts w:ascii="Arial" w:hAnsi="Arial" w:cs="Arial"/>
        </w:rPr>
        <w:t>Millones de dólares constantes de 2018 (tasa de descuento 12%)</w:t>
      </w:r>
    </w:p>
    <w:p w14:paraId="460C66E4" w14:textId="77777777" w:rsidR="00EE730A" w:rsidRPr="00F85253" w:rsidRDefault="00EE730A" w:rsidP="002543DC">
      <w:pPr>
        <w:pStyle w:val="Paragraph"/>
        <w:tabs>
          <w:tab w:val="num" w:pos="2196"/>
        </w:tabs>
        <w:spacing w:before="0" w:after="0" w:line="276" w:lineRule="auto"/>
        <w:ind w:left="90"/>
        <w:outlineLvl w:val="9"/>
        <w:rPr>
          <w:rFonts w:ascii="Arial" w:hAnsi="Arial" w:cs="Arial"/>
          <w:sz w:val="22"/>
          <w:szCs w:val="22"/>
          <w:lang w:val="es-ES_tradnl"/>
        </w:rPr>
      </w:pPr>
    </w:p>
    <w:tbl>
      <w:tblPr>
        <w:tblStyle w:val="TableGrid"/>
        <w:tblW w:w="0" w:type="auto"/>
        <w:tblInd w:w="90" w:type="dxa"/>
        <w:tblLook w:val="04A0" w:firstRow="1" w:lastRow="0" w:firstColumn="1" w:lastColumn="0" w:noHBand="0" w:noVBand="1"/>
      </w:tblPr>
      <w:tblGrid>
        <w:gridCol w:w="14804"/>
      </w:tblGrid>
      <w:tr w:rsidR="000B54C0" w:rsidRPr="00F85253" w14:paraId="3A7D6EE7" w14:textId="77777777" w:rsidTr="000B54C0">
        <w:tc>
          <w:tcPr>
            <w:tcW w:w="14818" w:type="dxa"/>
          </w:tcPr>
          <w:p w14:paraId="64D414B0" w14:textId="77777777" w:rsidR="000B54C0" w:rsidRPr="00F85253" w:rsidRDefault="00A57D8F" w:rsidP="002543DC">
            <w:pPr>
              <w:pStyle w:val="Paragraph"/>
              <w:tabs>
                <w:tab w:val="num" w:pos="2196"/>
              </w:tabs>
              <w:spacing w:before="0" w:after="0" w:line="276" w:lineRule="auto"/>
              <w:outlineLvl w:val="9"/>
              <w:rPr>
                <w:rFonts w:ascii="Arial" w:hAnsi="Arial" w:cs="Arial"/>
                <w:b/>
                <w:sz w:val="22"/>
                <w:szCs w:val="22"/>
                <w:lang w:val="es-ES_tradnl"/>
              </w:rPr>
            </w:pPr>
            <w:r w:rsidRPr="00F85253">
              <w:rPr>
                <w:rFonts w:ascii="Arial" w:hAnsi="Arial" w:cs="Arial"/>
                <w:b/>
                <w:sz w:val="22"/>
                <w:szCs w:val="22"/>
                <w:lang w:val="es-ES_tradnl"/>
              </w:rPr>
              <w:t xml:space="preserve">Panel A: Desvinculaciones </w:t>
            </w:r>
          </w:p>
          <w:tbl>
            <w:tblPr>
              <w:tblW w:w="14160" w:type="dxa"/>
              <w:tblCellMar>
                <w:left w:w="70" w:type="dxa"/>
                <w:right w:w="70" w:type="dxa"/>
              </w:tblCellMar>
              <w:tblLook w:val="04A0" w:firstRow="1" w:lastRow="0" w:firstColumn="1" w:lastColumn="0" w:noHBand="0" w:noVBand="1"/>
            </w:tblPr>
            <w:tblGrid>
              <w:gridCol w:w="4578"/>
              <w:gridCol w:w="1282"/>
              <w:gridCol w:w="880"/>
              <w:gridCol w:w="940"/>
              <w:gridCol w:w="880"/>
              <w:gridCol w:w="920"/>
              <w:gridCol w:w="780"/>
              <w:gridCol w:w="780"/>
              <w:gridCol w:w="780"/>
              <w:gridCol w:w="780"/>
              <w:gridCol w:w="780"/>
              <w:gridCol w:w="780"/>
            </w:tblGrid>
            <w:tr w:rsidR="0043684B" w:rsidRPr="00F85253" w14:paraId="245BFAD2" w14:textId="77777777" w:rsidTr="0043684B">
              <w:trPr>
                <w:trHeight w:val="270"/>
              </w:trPr>
              <w:tc>
                <w:tcPr>
                  <w:tcW w:w="4578" w:type="dxa"/>
                  <w:tcBorders>
                    <w:top w:val="single" w:sz="8" w:space="0" w:color="auto"/>
                    <w:left w:val="single" w:sz="8" w:space="0" w:color="auto"/>
                    <w:bottom w:val="single" w:sz="8" w:space="0" w:color="auto"/>
                    <w:right w:val="nil"/>
                  </w:tcBorders>
                  <w:shd w:val="clear" w:color="000000" w:fill="FFFFFF"/>
                  <w:noWrap/>
                  <w:vAlign w:val="bottom"/>
                  <w:hideMark/>
                </w:tcPr>
                <w:p w14:paraId="76C2AED1" w14:textId="77777777" w:rsidR="0043684B" w:rsidRPr="00F85253" w:rsidRDefault="0043684B" w:rsidP="0043684B">
                  <w:pPr>
                    <w:spacing w:after="0" w:line="240" w:lineRule="auto"/>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ITEM</w:t>
                  </w:r>
                </w:p>
              </w:tc>
              <w:tc>
                <w:tcPr>
                  <w:tcW w:w="1282" w:type="dxa"/>
                  <w:tcBorders>
                    <w:top w:val="single" w:sz="8" w:space="0" w:color="auto"/>
                    <w:left w:val="nil"/>
                    <w:bottom w:val="single" w:sz="8" w:space="0" w:color="auto"/>
                    <w:right w:val="nil"/>
                  </w:tcBorders>
                  <w:shd w:val="clear" w:color="000000" w:fill="FFFFFF"/>
                  <w:noWrap/>
                  <w:vAlign w:val="bottom"/>
                  <w:hideMark/>
                </w:tcPr>
                <w:p w14:paraId="25B98043" w14:textId="77777777" w:rsidR="0043684B" w:rsidRPr="00F85253" w:rsidRDefault="0043684B" w:rsidP="0043684B">
                  <w:pPr>
                    <w:spacing w:after="0" w:line="240" w:lineRule="auto"/>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Subtotal </w:t>
                  </w:r>
                </w:p>
              </w:tc>
              <w:tc>
                <w:tcPr>
                  <w:tcW w:w="880" w:type="dxa"/>
                  <w:tcBorders>
                    <w:top w:val="single" w:sz="8" w:space="0" w:color="auto"/>
                    <w:left w:val="single" w:sz="8" w:space="0" w:color="auto"/>
                    <w:bottom w:val="single" w:sz="8" w:space="0" w:color="auto"/>
                    <w:right w:val="nil"/>
                  </w:tcBorders>
                  <w:shd w:val="clear" w:color="000000" w:fill="FFFFFF"/>
                  <w:noWrap/>
                  <w:vAlign w:val="bottom"/>
                  <w:hideMark/>
                </w:tcPr>
                <w:p w14:paraId="587A5963" w14:textId="77777777" w:rsidR="0043684B" w:rsidRPr="00F85253" w:rsidRDefault="0043684B" w:rsidP="0043684B">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2019</w:t>
                  </w:r>
                </w:p>
              </w:tc>
              <w:tc>
                <w:tcPr>
                  <w:tcW w:w="940" w:type="dxa"/>
                  <w:tcBorders>
                    <w:top w:val="single" w:sz="8" w:space="0" w:color="auto"/>
                    <w:left w:val="nil"/>
                    <w:bottom w:val="single" w:sz="8" w:space="0" w:color="auto"/>
                    <w:right w:val="nil"/>
                  </w:tcBorders>
                  <w:shd w:val="clear" w:color="000000" w:fill="FFFFFF"/>
                  <w:noWrap/>
                  <w:vAlign w:val="bottom"/>
                  <w:hideMark/>
                </w:tcPr>
                <w:p w14:paraId="68C41D01" w14:textId="77777777" w:rsidR="0043684B" w:rsidRPr="00F85253" w:rsidRDefault="0043684B" w:rsidP="0043684B">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2020</w:t>
                  </w:r>
                </w:p>
              </w:tc>
              <w:tc>
                <w:tcPr>
                  <w:tcW w:w="880" w:type="dxa"/>
                  <w:tcBorders>
                    <w:top w:val="single" w:sz="8" w:space="0" w:color="auto"/>
                    <w:left w:val="nil"/>
                    <w:bottom w:val="single" w:sz="8" w:space="0" w:color="auto"/>
                    <w:right w:val="nil"/>
                  </w:tcBorders>
                  <w:shd w:val="clear" w:color="000000" w:fill="FFFFFF"/>
                  <w:noWrap/>
                  <w:vAlign w:val="bottom"/>
                  <w:hideMark/>
                </w:tcPr>
                <w:p w14:paraId="46999ABC" w14:textId="77777777" w:rsidR="0043684B" w:rsidRPr="00F85253" w:rsidRDefault="0043684B" w:rsidP="0043684B">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2021</w:t>
                  </w:r>
                </w:p>
              </w:tc>
              <w:tc>
                <w:tcPr>
                  <w:tcW w:w="920" w:type="dxa"/>
                  <w:tcBorders>
                    <w:top w:val="single" w:sz="8" w:space="0" w:color="auto"/>
                    <w:left w:val="nil"/>
                    <w:bottom w:val="single" w:sz="8" w:space="0" w:color="auto"/>
                    <w:right w:val="single" w:sz="8" w:space="0" w:color="auto"/>
                  </w:tcBorders>
                  <w:shd w:val="clear" w:color="000000" w:fill="FFFFFF"/>
                  <w:noWrap/>
                  <w:vAlign w:val="bottom"/>
                  <w:hideMark/>
                </w:tcPr>
                <w:p w14:paraId="0DD2034E" w14:textId="77777777" w:rsidR="0043684B" w:rsidRPr="00F85253" w:rsidRDefault="0043684B" w:rsidP="0043684B">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2022</w:t>
                  </w:r>
                </w:p>
              </w:tc>
              <w:tc>
                <w:tcPr>
                  <w:tcW w:w="780" w:type="dxa"/>
                  <w:tcBorders>
                    <w:top w:val="single" w:sz="8" w:space="0" w:color="auto"/>
                    <w:left w:val="nil"/>
                    <w:bottom w:val="single" w:sz="8" w:space="0" w:color="auto"/>
                    <w:right w:val="nil"/>
                  </w:tcBorders>
                  <w:shd w:val="clear" w:color="000000" w:fill="FFFFFF"/>
                  <w:noWrap/>
                  <w:vAlign w:val="bottom"/>
                  <w:hideMark/>
                </w:tcPr>
                <w:p w14:paraId="4CD5751E" w14:textId="77777777" w:rsidR="0043684B" w:rsidRPr="00F85253" w:rsidRDefault="0043684B" w:rsidP="0043684B">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2023</w:t>
                  </w:r>
                </w:p>
              </w:tc>
              <w:tc>
                <w:tcPr>
                  <w:tcW w:w="780" w:type="dxa"/>
                  <w:tcBorders>
                    <w:top w:val="single" w:sz="8" w:space="0" w:color="auto"/>
                    <w:left w:val="nil"/>
                    <w:bottom w:val="single" w:sz="8" w:space="0" w:color="auto"/>
                    <w:right w:val="nil"/>
                  </w:tcBorders>
                  <w:shd w:val="clear" w:color="000000" w:fill="FFFFFF"/>
                  <w:noWrap/>
                  <w:vAlign w:val="bottom"/>
                  <w:hideMark/>
                </w:tcPr>
                <w:p w14:paraId="33FAD910" w14:textId="77777777" w:rsidR="0043684B" w:rsidRPr="00F85253" w:rsidRDefault="0043684B" w:rsidP="0043684B">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2024</w:t>
                  </w:r>
                </w:p>
              </w:tc>
              <w:tc>
                <w:tcPr>
                  <w:tcW w:w="780" w:type="dxa"/>
                  <w:tcBorders>
                    <w:top w:val="single" w:sz="8" w:space="0" w:color="auto"/>
                    <w:left w:val="nil"/>
                    <w:bottom w:val="single" w:sz="8" w:space="0" w:color="auto"/>
                    <w:right w:val="nil"/>
                  </w:tcBorders>
                  <w:shd w:val="clear" w:color="000000" w:fill="FFFFFF"/>
                  <w:noWrap/>
                  <w:vAlign w:val="bottom"/>
                  <w:hideMark/>
                </w:tcPr>
                <w:p w14:paraId="39661A7F" w14:textId="77777777" w:rsidR="0043684B" w:rsidRPr="00F85253" w:rsidRDefault="0043684B" w:rsidP="0043684B">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2025</w:t>
                  </w:r>
                </w:p>
              </w:tc>
              <w:tc>
                <w:tcPr>
                  <w:tcW w:w="780" w:type="dxa"/>
                  <w:tcBorders>
                    <w:top w:val="single" w:sz="8" w:space="0" w:color="auto"/>
                    <w:left w:val="nil"/>
                    <w:bottom w:val="single" w:sz="8" w:space="0" w:color="auto"/>
                    <w:right w:val="nil"/>
                  </w:tcBorders>
                  <w:shd w:val="clear" w:color="000000" w:fill="FFFFFF"/>
                  <w:noWrap/>
                  <w:vAlign w:val="bottom"/>
                  <w:hideMark/>
                </w:tcPr>
                <w:p w14:paraId="1D135241" w14:textId="77777777" w:rsidR="0043684B" w:rsidRPr="00F85253" w:rsidRDefault="0043684B" w:rsidP="0043684B">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2026</w:t>
                  </w:r>
                </w:p>
              </w:tc>
              <w:tc>
                <w:tcPr>
                  <w:tcW w:w="780" w:type="dxa"/>
                  <w:tcBorders>
                    <w:top w:val="single" w:sz="8" w:space="0" w:color="auto"/>
                    <w:left w:val="nil"/>
                    <w:bottom w:val="single" w:sz="8" w:space="0" w:color="auto"/>
                    <w:right w:val="nil"/>
                  </w:tcBorders>
                  <w:shd w:val="clear" w:color="000000" w:fill="FFFFFF"/>
                  <w:noWrap/>
                  <w:vAlign w:val="bottom"/>
                  <w:hideMark/>
                </w:tcPr>
                <w:p w14:paraId="09475278" w14:textId="77777777" w:rsidR="0043684B" w:rsidRPr="00F85253" w:rsidRDefault="0043684B" w:rsidP="0043684B">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2027</w:t>
                  </w:r>
                </w:p>
              </w:tc>
              <w:tc>
                <w:tcPr>
                  <w:tcW w:w="780" w:type="dxa"/>
                  <w:tcBorders>
                    <w:top w:val="single" w:sz="8" w:space="0" w:color="auto"/>
                    <w:left w:val="nil"/>
                    <w:bottom w:val="single" w:sz="8" w:space="0" w:color="auto"/>
                    <w:right w:val="single" w:sz="8" w:space="0" w:color="auto"/>
                  </w:tcBorders>
                  <w:shd w:val="clear" w:color="000000" w:fill="FFFFFF"/>
                  <w:noWrap/>
                  <w:vAlign w:val="bottom"/>
                  <w:hideMark/>
                </w:tcPr>
                <w:p w14:paraId="10338AAE" w14:textId="77777777" w:rsidR="0043684B" w:rsidRPr="00F85253" w:rsidRDefault="0043684B" w:rsidP="0043684B">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2028</w:t>
                  </w:r>
                </w:p>
              </w:tc>
            </w:tr>
            <w:tr w:rsidR="0043684B" w:rsidRPr="00F85253" w14:paraId="4F80D8A1" w14:textId="77777777" w:rsidTr="0043684B">
              <w:trPr>
                <w:trHeight w:val="255"/>
              </w:trPr>
              <w:tc>
                <w:tcPr>
                  <w:tcW w:w="4578" w:type="dxa"/>
                  <w:tcBorders>
                    <w:top w:val="nil"/>
                    <w:left w:val="single" w:sz="8" w:space="0" w:color="auto"/>
                    <w:bottom w:val="nil"/>
                    <w:right w:val="nil"/>
                  </w:tcBorders>
                  <w:shd w:val="clear" w:color="000000" w:fill="FFFFFF"/>
                  <w:noWrap/>
                  <w:vAlign w:val="bottom"/>
                  <w:hideMark/>
                </w:tcPr>
                <w:p w14:paraId="77B21A4F" w14:textId="77777777" w:rsidR="0043684B" w:rsidRPr="00F85253" w:rsidRDefault="0043684B" w:rsidP="0043684B">
                  <w:pPr>
                    <w:spacing w:after="0" w:line="240" w:lineRule="auto"/>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Beneficios Económicos</w:t>
                  </w:r>
                </w:p>
              </w:tc>
              <w:tc>
                <w:tcPr>
                  <w:tcW w:w="1282" w:type="dxa"/>
                  <w:tcBorders>
                    <w:top w:val="nil"/>
                    <w:left w:val="nil"/>
                    <w:bottom w:val="nil"/>
                    <w:right w:val="nil"/>
                  </w:tcBorders>
                  <w:shd w:val="clear" w:color="000000" w:fill="FFFFFF"/>
                  <w:noWrap/>
                  <w:vAlign w:val="bottom"/>
                  <w:hideMark/>
                </w:tcPr>
                <w:p w14:paraId="06A8489B" w14:textId="77777777" w:rsidR="0043684B" w:rsidRPr="00F85253" w:rsidRDefault="0043684B" w:rsidP="0043684B">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w:t>
                  </w:r>
                </w:p>
              </w:tc>
              <w:tc>
                <w:tcPr>
                  <w:tcW w:w="880" w:type="dxa"/>
                  <w:tcBorders>
                    <w:top w:val="nil"/>
                    <w:left w:val="single" w:sz="8" w:space="0" w:color="auto"/>
                    <w:bottom w:val="nil"/>
                    <w:right w:val="nil"/>
                  </w:tcBorders>
                  <w:shd w:val="clear" w:color="000000" w:fill="FFFFFF"/>
                  <w:noWrap/>
                  <w:vAlign w:val="bottom"/>
                  <w:hideMark/>
                </w:tcPr>
                <w:p w14:paraId="00F61830" w14:textId="77777777" w:rsidR="0043684B" w:rsidRPr="00F85253" w:rsidRDefault="0043684B" w:rsidP="0043684B">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w:t>
                  </w:r>
                </w:p>
              </w:tc>
              <w:tc>
                <w:tcPr>
                  <w:tcW w:w="940" w:type="dxa"/>
                  <w:tcBorders>
                    <w:top w:val="nil"/>
                    <w:left w:val="nil"/>
                    <w:bottom w:val="nil"/>
                    <w:right w:val="nil"/>
                  </w:tcBorders>
                  <w:shd w:val="clear" w:color="000000" w:fill="FFFFFF"/>
                  <w:noWrap/>
                  <w:vAlign w:val="bottom"/>
                  <w:hideMark/>
                </w:tcPr>
                <w:p w14:paraId="7C0A8D8D"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880" w:type="dxa"/>
                  <w:tcBorders>
                    <w:top w:val="nil"/>
                    <w:left w:val="nil"/>
                    <w:bottom w:val="nil"/>
                    <w:right w:val="nil"/>
                  </w:tcBorders>
                  <w:shd w:val="clear" w:color="000000" w:fill="FFFFFF"/>
                  <w:noWrap/>
                  <w:vAlign w:val="bottom"/>
                  <w:hideMark/>
                </w:tcPr>
                <w:p w14:paraId="3BE54931"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920" w:type="dxa"/>
                  <w:tcBorders>
                    <w:top w:val="nil"/>
                    <w:left w:val="nil"/>
                    <w:bottom w:val="nil"/>
                    <w:right w:val="single" w:sz="8" w:space="0" w:color="auto"/>
                  </w:tcBorders>
                  <w:shd w:val="clear" w:color="000000" w:fill="FFFFFF"/>
                  <w:noWrap/>
                  <w:vAlign w:val="bottom"/>
                  <w:hideMark/>
                </w:tcPr>
                <w:p w14:paraId="6635C2A0"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780" w:type="dxa"/>
                  <w:tcBorders>
                    <w:top w:val="nil"/>
                    <w:left w:val="nil"/>
                    <w:bottom w:val="nil"/>
                    <w:right w:val="nil"/>
                  </w:tcBorders>
                  <w:shd w:val="clear" w:color="000000" w:fill="FFFFFF"/>
                  <w:noWrap/>
                  <w:vAlign w:val="bottom"/>
                  <w:hideMark/>
                </w:tcPr>
                <w:p w14:paraId="37786E8F"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780" w:type="dxa"/>
                  <w:tcBorders>
                    <w:top w:val="nil"/>
                    <w:left w:val="nil"/>
                    <w:bottom w:val="nil"/>
                    <w:right w:val="nil"/>
                  </w:tcBorders>
                  <w:shd w:val="clear" w:color="000000" w:fill="FFFFFF"/>
                  <w:noWrap/>
                  <w:vAlign w:val="bottom"/>
                  <w:hideMark/>
                </w:tcPr>
                <w:p w14:paraId="22363626"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780" w:type="dxa"/>
                  <w:tcBorders>
                    <w:top w:val="nil"/>
                    <w:left w:val="nil"/>
                    <w:bottom w:val="nil"/>
                    <w:right w:val="nil"/>
                  </w:tcBorders>
                  <w:shd w:val="clear" w:color="000000" w:fill="FFFFFF"/>
                  <w:noWrap/>
                  <w:vAlign w:val="bottom"/>
                  <w:hideMark/>
                </w:tcPr>
                <w:p w14:paraId="14C80D40"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780" w:type="dxa"/>
                  <w:tcBorders>
                    <w:top w:val="nil"/>
                    <w:left w:val="nil"/>
                    <w:bottom w:val="nil"/>
                    <w:right w:val="nil"/>
                  </w:tcBorders>
                  <w:shd w:val="clear" w:color="000000" w:fill="FFFFFF"/>
                  <w:noWrap/>
                  <w:vAlign w:val="bottom"/>
                  <w:hideMark/>
                </w:tcPr>
                <w:p w14:paraId="59B101A0"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780" w:type="dxa"/>
                  <w:tcBorders>
                    <w:top w:val="nil"/>
                    <w:left w:val="nil"/>
                    <w:bottom w:val="nil"/>
                    <w:right w:val="nil"/>
                  </w:tcBorders>
                  <w:shd w:val="clear" w:color="000000" w:fill="FFFFFF"/>
                  <w:noWrap/>
                  <w:vAlign w:val="bottom"/>
                  <w:hideMark/>
                </w:tcPr>
                <w:p w14:paraId="76984BDC"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780" w:type="dxa"/>
                  <w:tcBorders>
                    <w:top w:val="nil"/>
                    <w:left w:val="nil"/>
                    <w:bottom w:val="nil"/>
                    <w:right w:val="single" w:sz="8" w:space="0" w:color="auto"/>
                  </w:tcBorders>
                  <w:shd w:val="clear" w:color="000000" w:fill="FFFFFF"/>
                  <w:noWrap/>
                  <w:vAlign w:val="bottom"/>
                  <w:hideMark/>
                </w:tcPr>
                <w:p w14:paraId="4BA336F9"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r>
            <w:tr w:rsidR="0043684B" w:rsidRPr="00F85253" w14:paraId="68C11908" w14:textId="77777777" w:rsidTr="0043684B">
              <w:trPr>
                <w:trHeight w:val="255"/>
              </w:trPr>
              <w:tc>
                <w:tcPr>
                  <w:tcW w:w="4578" w:type="dxa"/>
                  <w:tcBorders>
                    <w:top w:val="nil"/>
                    <w:left w:val="single" w:sz="8" w:space="0" w:color="auto"/>
                    <w:bottom w:val="nil"/>
                    <w:right w:val="nil"/>
                  </w:tcBorders>
                  <w:shd w:val="clear" w:color="000000" w:fill="FFFFFF"/>
                  <w:noWrap/>
                  <w:vAlign w:val="bottom"/>
                  <w:hideMark/>
                </w:tcPr>
                <w:p w14:paraId="1D038117" w14:textId="77777777" w:rsidR="0043684B" w:rsidRPr="00F85253" w:rsidRDefault="0043684B" w:rsidP="0043684B">
                  <w:pPr>
                    <w:spacing w:after="0" w:line="240" w:lineRule="auto"/>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C. Evitados por Desvinculación</w:t>
                  </w:r>
                </w:p>
              </w:tc>
              <w:tc>
                <w:tcPr>
                  <w:tcW w:w="1282" w:type="dxa"/>
                  <w:tcBorders>
                    <w:top w:val="nil"/>
                    <w:left w:val="nil"/>
                    <w:bottom w:val="nil"/>
                    <w:right w:val="nil"/>
                  </w:tcBorders>
                  <w:shd w:val="clear" w:color="000000" w:fill="FFFFFF"/>
                  <w:noWrap/>
                  <w:vAlign w:val="bottom"/>
                  <w:hideMark/>
                </w:tcPr>
                <w:p w14:paraId="2A7C18B6" w14:textId="77777777" w:rsidR="0043684B" w:rsidRPr="00F85253" w:rsidRDefault="0043684B" w:rsidP="0043684B">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w:t>
                  </w:r>
                  <w:proofErr w:type="gramStart"/>
                  <w:r w:rsidRPr="00F85253">
                    <w:rPr>
                      <w:rFonts w:ascii="Arial" w:eastAsia="Times New Roman" w:hAnsi="Arial" w:cs="Arial"/>
                      <w:b/>
                      <w:bCs/>
                      <w:sz w:val="18"/>
                      <w:szCs w:val="18"/>
                      <w:lang w:val="es-EC" w:eastAsia="es-EC"/>
                    </w:rPr>
                    <w:t>$  218.54</w:t>
                  </w:r>
                  <w:proofErr w:type="gramEnd"/>
                  <w:r w:rsidRPr="00F85253">
                    <w:rPr>
                      <w:rFonts w:ascii="Arial" w:eastAsia="Times New Roman" w:hAnsi="Arial" w:cs="Arial"/>
                      <w:b/>
                      <w:bCs/>
                      <w:sz w:val="18"/>
                      <w:szCs w:val="18"/>
                      <w:lang w:val="es-EC" w:eastAsia="es-EC"/>
                    </w:rPr>
                    <w:t xml:space="preserve"> </w:t>
                  </w:r>
                </w:p>
              </w:tc>
              <w:tc>
                <w:tcPr>
                  <w:tcW w:w="880" w:type="dxa"/>
                  <w:tcBorders>
                    <w:top w:val="nil"/>
                    <w:left w:val="single" w:sz="8" w:space="0" w:color="auto"/>
                    <w:bottom w:val="nil"/>
                    <w:right w:val="nil"/>
                  </w:tcBorders>
                  <w:shd w:val="clear" w:color="000000" w:fill="FFFFFF"/>
                  <w:noWrap/>
                  <w:vAlign w:val="bottom"/>
                  <w:hideMark/>
                </w:tcPr>
                <w:p w14:paraId="75CCD149"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   </w:t>
                  </w:r>
                </w:p>
              </w:tc>
              <w:tc>
                <w:tcPr>
                  <w:tcW w:w="940" w:type="dxa"/>
                  <w:tcBorders>
                    <w:top w:val="nil"/>
                    <w:left w:val="nil"/>
                    <w:bottom w:val="nil"/>
                    <w:right w:val="nil"/>
                  </w:tcBorders>
                  <w:shd w:val="clear" w:color="000000" w:fill="FFFFFF"/>
                  <w:noWrap/>
                  <w:vAlign w:val="bottom"/>
                  <w:hideMark/>
                </w:tcPr>
                <w:p w14:paraId="4D85CF2F"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   </w:t>
                  </w:r>
                </w:p>
              </w:tc>
              <w:tc>
                <w:tcPr>
                  <w:tcW w:w="880" w:type="dxa"/>
                  <w:tcBorders>
                    <w:top w:val="nil"/>
                    <w:left w:val="nil"/>
                    <w:bottom w:val="nil"/>
                    <w:right w:val="nil"/>
                  </w:tcBorders>
                  <w:shd w:val="clear" w:color="000000" w:fill="FFFFFF"/>
                  <w:noWrap/>
                  <w:vAlign w:val="bottom"/>
                  <w:hideMark/>
                </w:tcPr>
                <w:p w14:paraId="216A2D0C"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$ 27.32 </w:t>
                  </w:r>
                </w:p>
              </w:tc>
              <w:tc>
                <w:tcPr>
                  <w:tcW w:w="920" w:type="dxa"/>
                  <w:tcBorders>
                    <w:top w:val="nil"/>
                    <w:left w:val="nil"/>
                    <w:bottom w:val="nil"/>
                    <w:right w:val="single" w:sz="8" w:space="0" w:color="auto"/>
                  </w:tcBorders>
                  <w:shd w:val="clear" w:color="000000" w:fill="FFFFFF"/>
                  <w:noWrap/>
                  <w:vAlign w:val="bottom"/>
                  <w:hideMark/>
                </w:tcPr>
                <w:p w14:paraId="014ED937"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w:t>
                  </w:r>
                  <w:proofErr w:type="gramStart"/>
                  <w:r w:rsidRPr="00F85253">
                    <w:rPr>
                      <w:rFonts w:ascii="Arial" w:eastAsia="Times New Roman" w:hAnsi="Arial" w:cs="Arial"/>
                      <w:sz w:val="18"/>
                      <w:szCs w:val="18"/>
                      <w:lang w:val="es-EC" w:eastAsia="es-EC"/>
                    </w:rPr>
                    <w:t>$  27.32</w:t>
                  </w:r>
                  <w:proofErr w:type="gramEnd"/>
                  <w:r w:rsidRPr="00F85253">
                    <w:rPr>
                      <w:rFonts w:ascii="Arial" w:eastAsia="Times New Roman" w:hAnsi="Arial" w:cs="Arial"/>
                      <w:sz w:val="18"/>
                      <w:szCs w:val="18"/>
                      <w:lang w:val="es-EC" w:eastAsia="es-EC"/>
                    </w:rPr>
                    <w:t xml:space="preserve"> </w:t>
                  </w:r>
                </w:p>
              </w:tc>
              <w:tc>
                <w:tcPr>
                  <w:tcW w:w="780" w:type="dxa"/>
                  <w:tcBorders>
                    <w:top w:val="nil"/>
                    <w:left w:val="nil"/>
                    <w:bottom w:val="nil"/>
                    <w:right w:val="nil"/>
                  </w:tcBorders>
                  <w:shd w:val="clear" w:color="000000" w:fill="FFFFFF"/>
                  <w:noWrap/>
                  <w:vAlign w:val="bottom"/>
                  <w:hideMark/>
                </w:tcPr>
                <w:p w14:paraId="48EFBAC4"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$27.32 </w:t>
                  </w:r>
                </w:p>
              </w:tc>
              <w:tc>
                <w:tcPr>
                  <w:tcW w:w="780" w:type="dxa"/>
                  <w:tcBorders>
                    <w:top w:val="nil"/>
                    <w:left w:val="nil"/>
                    <w:bottom w:val="nil"/>
                    <w:right w:val="nil"/>
                  </w:tcBorders>
                  <w:shd w:val="clear" w:color="000000" w:fill="FFFFFF"/>
                  <w:noWrap/>
                  <w:vAlign w:val="bottom"/>
                  <w:hideMark/>
                </w:tcPr>
                <w:p w14:paraId="2FDCDC5A"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$27.32 </w:t>
                  </w:r>
                </w:p>
              </w:tc>
              <w:tc>
                <w:tcPr>
                  <w:tcW w:w="780" w:type="dxa"/>
                  <w:tcBorders>
                    <w:top w:val="nil"/>
                    <w:left w:val="nil"/>
                    <w:bottom w:val="nil"/>
                    <w:right w:val="nil"/>
                  </w:tcBorders>
                  <w:shd w:val="clear" w:color="000000" w:fill="FFFFFF"/>
                  <w:noWrap/>
                  <w:vAlign w:val="bottom"/>
                  <w:hideMark/>
                </w:tcPr>
                <w:p w14:paraId="46FE4442"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$27.32 </w:t>
                  </w:r>
                </w:p>
              </w:tc>
              <w:tc>
                <w:tcPr>
                  <w:tcW w:w="780" w:type="dxa"/>
                  <w:tcBorders>
                    <w:top w:val="nil"/>
                    <w:left w:val="nil"/>
                    <w:bottom w:val="nil"/>
                    <w:right w:val="nil"/>
                  </w:tcBorders>
                  <w:shd w:val="clear" w:color="000000" w:fill="FFFFFF"/>
                  <w:noWrap/>
                  <w:vAlign w:val="bottom"/>
                  <w:hideMark/>
                </w:tcPr>
                <w:p w14:paraId="238D7078"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$27.32 </w:t>
                  </w:r>
                </w:p>
              </w:tc>
              <w:tc>
                <w:tcPr>
                  <w:tcW w:w="780" w:type="dxa"/>
                  <w:tcBorders>
                    <w:top w:val="nil"/>
                    <w:left w:val="nil"/>
                    <w:bottom w:val="nil"/>
                    <w:right w:val="nil"/>
                  </w:tcBorders>
                  <w:shd w:val="clear" w:color="000000" w:fill="FFFFFF"/>
                  <w:noWrap/>
                  <w:vAlign w:val="bottom"/>
                  <w:hideMark/>
                </w:tcPr>
                <w:p w14:paraId="042072EE"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$27.32 </w:t>
                  </w:r>
                </w:p>
              </w:tc>
              <w:tc>
                <w:tcPr>
                  <w:tcW w:w="780" w:type="dxa"/>
                  <w:tcBorders>
                    <w:top w:val="nil"/>
                    <w:left w:val="nil"/>
                    <w:bottom w:val="nil"/>
                    <w:right w:val="single" w:sz="8" w:space="0" w:color="auto"/>
                  </w:tcBorders>
                  <w:shd w:val="clear" w:color="000000" w:fill="FFFFFF"/>
                  <w:noWrap/>
                  <w:vAlign w:val="bottom"/>
                  <w:hideMark/>
                </w:tcPr>
                <w:p w14:paraId="6BE5C4F0"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$27.32 </w:t>
                  </w:r>
                </w:p>
              </w:tc>
            </w:tr>
            <w:tr w:rsidR="0043684B" w:rsidRPr="00F85253" w14:paraId="2E81AE6A" w14:textId="77777777" w:rsidTr="0043684B">
              <w:trPr>
                <w:trHeight w:val="255"/>
              </w:trPr>
              <w:tc>
                <w:tcPr>
                  <w:tcW w:w="4578" w:type="dxa"/>
                  <w:tcBorders>
                    <w:top w:val="nil"/>
                    <w:left w:val="single" w:sz="8" w:space="0" w:color="auto"/>
                    <w:bottom w:val="nil"/>
                    <w:right w:val="nil"/>
                  </w:tcBorders>
                  <w:shd w:val="clear" w:color="000000" w:fill="FFFFFF"/>
                  <w:noWrap/>
                  <w:vAlign w:val="bottom"/>
                  <w:hideMark/>
                </w:tcPr>
                <w:p w14:paraId="52EA2CD5" w14:textId="77777777" w:rsidR="0043684B" w:rsidRPr="00F85253" w:rsidRDefault="0043684B" w:rsidP="0043684B">
                  <w:pPr>
                    <w:spacing w:after="0" w:line="240" w:lineRule="auto"/>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Subtotal Beneficios</w:t>
                  </w:r>
                </w:p>
              </w:tc>
              <w:tc>
                <w:tcPr>
                  <w:tcW w:w="1282" w:type="dxa"/>
                  <w:tcBorders>
                    <w:top w:val="nil"/>
                    <w:left w:val="nil"/>
                    <w:bottom w:val="nil"/>
                    <w:right w:val="nil"/>
                  </w:tcBorders>
                  <w:shd w:val="clear" w:color="000000" w:fill="FFFFFF"/>
                  <w:noWrap/>
                  <w:vAlign w:val="bottom"/>
                  <w:hideMark/>
                </w:tcPr>
                <w:p w14:paraId="7CC6DAEA" w14:textId="77777777" w:rsidR="0043684B" w:rsidRPr="00F85253" w:rsidRDefault="0043684B" w:rsidP="0043684B">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w:t>
                  </w:r>
                  <w:proofErr w:type="gramStart"/>
                  <w:r w:rsidRPr="00F85253">
                    <w:rPr>
                      <w:rFonts w:ascii="Arial" w:eastAsia="Times New Roman" w:hAnsi="Arial" w:cs="Arial"/>
                      <w:b/>
                      <w:bCs/>
                      <w:sz w:val="18"/>
                      <w:szCs w:val="18"/>
                      <w:lang w:val="es-EC" w:eastAsia="es-EC"/>
                    </w:rPr>
                    <w:t>$  218.54</w:t>
                  </w:r>
                  <w:proofErr w:type="gramEnd"/>
                  <w:r w:rsidRPr="00F85253">
                    <w:rPr>
                      <w:rFonts w:ascii="Arial" w:eastAsia="Times New Roman" w:hAnsi="Arial" w:cs="Arial"/>
                      <w:b/>
                      <w:bCs/>
                      <w:sz w:val="18"/>
                      <w:szCs w:val="18"/>
                      <w:lang w:val="es-EC" w:eastAsia="es-EC"/>
                    </w:rPr>
                    <w:t xml:space="preserve"> </w:t>
                  </w:r>
                </w:p>
              </w:tc>
              <w:tc>
                <w:tcPr>
                  <w:tcW w:w="880" w:type="dxa"/>
                  <w:tcBorders>
                    <w:top w:val="nil"/>
                    <w:left w:val="single" w:sz="8" w:space="0" w:color="auto"/>
                    <w:bottom w:val="nil"/>
                    <w:right w:val="nil"/>
                  </w:tcBorders>
                  <w:shd w:val="clear" w:color="000000" w:fill="FFFFFF"/>
                  <w:noWrap/>
                  <w:vAlign w:val="bottom"/>
                  <w:hideMark/>
                </w:tcPr>
                <w:p w14:paraId="73C946A7" w14:textId="77777777" w:rsidR="0043684B" w:rsidRPr="00F85253" w:rsidRDefault="0043684B" w:rsidP="0043684B">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      -   </w:t>
                  </w:r>
                </w:p>
              </w:tc>
              <w:tc>
                <w:tcPr>
                  <w:tcW w:w="940" w:type="dxa"/>
                  <w:tcBorders>
                    <w:top w:val="nil"/>
                    <w:left w:val="nil"/>
                    <w:bottom w:val="nil"/>
                    <w:right w:val="nil"/>
                  </w:tcBorders>
                  <w:shd w:val="clear" w:color="000000" w:fill="FFFFFF"/>
                  <w:noWrap/>
                  <w:vAlign w:val="bottom"/>
                  <w:hideMark/>
                </w:tcPr>
                <w:p w14:paraId="0BA87A6B" w14:textId="77777777" w:rsidR="0043684B" w:rsidRPr="00F85253" w:rsidRDefault="0043684B" w:rsidP="0043684B">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       -   </w:t>
                  </w:r>
                </w:p>
              </w:tc>
              <w:tc>
                <w:tcPr>
                  <w:tcW w:w="880" w:type="dxa"/>
                  <w:tcBorders>
                    <w:top w:val="nil"/>
                    <w:left w:val="nil"/>
                    <w:bottom w:val="nil"/>
                    <w:right w:val="nil"/>
                  </w:tcBorders>
                  <w:shd w:val="clear" w:color="000000" w:fill="FFFFFF"/>
                  <w:noWrap/>
                  <w:vAlign w:val="bottom"/>
                  <w:hideMark/>
                </w:tcPr>
                <w:p w14:paraId="596D1730" w14:textId="77777777" w:rsidR="0043684B" w:rsidRPr="00F85253" w:rsidRDefault="0043684B" w:rsidP="0043684B">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$ 27.32 </w:t>
                  </w:r>
                </w:p>
              </w:tc>
              <w:tc>
                <w:tcPr>
                  <w:tcW w:w="920" w:type="dxa"/>
                  <w:tcBorders>
                    <w:top w:val="nil"/>
                    <w:left w:val="nil"/>
                    <w:bottom w:val="nil"/>
                    <w:right w:val="single" w:sz="8" w:space="0" w:color="auto"/>
                  </w:tcBorders>
                  <w:shd w:val="clear" w:color="000000" w:fill="FFFFFF"/>
                  <w:noWrap/>
                  <w:vAlign w:val="bottom"/>
                  <w:hideMark/>
                </w:tcPr>
                <w:p w14:paraId="491F6EBE" w14:textId="77777777" w:rsidR="0043684B" w:rsidRPr="00F85253" w:rsidRDefault="0043684B" w:rsidP="0043684B">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w:t>
                  </w:r>
                  <w:proofErr w:type="gramStart"/>
                  <w:r w:rsidRPr="00F85253">
                    <w:rPr>
                      <w:rFonts w:ascii="Arial" w:eastAsia="Times New Roman" w:hAnsi="Arial" w:cs="Arial"/>
                      <w:b/>
                      <w:bCs/>
                      <w:sz w:val="18"/>
                      <w:szCs w:val="18"/>
                      <w:lang w:val="es-EC" w:eastAsia="es-EC"/>
                    </w:rPr>
                    <w:t>$  27.32</w:t>
                  </w:r>
                  <w:proofErr w:type="gramEnd"/>
                  <w:r w:rsidRPr="00F85253">
                    <w:rPr>
                      <w:rFonts w:ascii="Arial" w:eastAsia="Times New Roman" w:hAnsi="Arial" w:cs="Arial"/>
                      <w:b/>
                      <w:bCs/>
                      <w:sz w:val="18"/>
                      <w:szCs w:val="18"/>
                      <w:lang w:val="es-EC" w:eastAsia="es-EC"/>
                    </w:rPr>
                    <w:t xml:space="preserve"> </w:t>
                  </w:r>
                </w:p>
              </w:tc>
              <w:tc>
                <w:tcPr>
                  <w:tcW w:w="780" w:type="dxa"/>
                  <w:tcBorders>
                    <w:top w:val="nil"/>
                    <w:left w:val="nil"/>
                    <w:bottom w:val="nil"/>
                    <w:right w:val="nil"/>
                  </w:tcBorders>
                  <w:shd w:val="clear" w:color="000000" w:fill="FFFFFF"/>
                  <w:noWrap/>
                  <w:vAlign w:val="bottom"/>
                  <w:hideMark/>
                </w:tcPr>
                <w:p w14:paraId="55E854DA" w14:textId="77777777" w:rsidR="0043684B" w:rsidRPr="00F85253" w:rsidRDefault="0043684B" w:rsidP="0043684B">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$27.32 </w:t>
                  </w:r>
                </w:p>
              </w:tc>
              <w:tc>
                <w:tcPr>
                  <w:tcW w:w="780" w:type="dxa"/>
                  <w:tcBorders>
                    <w:top w:val="nil"/>
                    <w:left w:val="nil"/>
                    <w:bottom w:val="nil"/>
                    <w:right w:val="nil"/>
                  </w:tcBorders>
                  <w:shd w:val="clear" w:color="000000" w:fill="FFFFFF"/>
                  <w:noWrap/>
                  <w:vAlign w:val="bottom"/>
                  <w:hideMark/>
                </w:tcPr>
                <w:p w14:paraId="4D0C0344" w14:textId="77777777" w:rsidR="0043684B" w:rsidRPr="00F85253" w:rsidRDefault="0043684B" w:rsidP="0043684B">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$27.32 </w:t>
                  </w:r>
                </w:p>
              </w:tc>
              <w:tc>
                <w:tcPr>
                  <w:tcW w:w="780" w:type="dxa"/>
                  <w:tcBorders>
                    <w:top w:val="nil"/>
                    <w:left w:val="nil"/>
                    <w:bottom w:val="nil"/>
                    <w:right w:val="nil"/>
                  </w:tcBorders>
                  <w:shd w:val="clear" w:color="000000" w:fill="FFFFFF"/>
                  <w:noWrap/>
                  <w:vAlign w:val="bottom"/>
                  <w:hideMark/>
                </w:tcPr>
                <w:p w14:paraId="60E619E6" w14:textId="77777777" w:rsidR="0043684B" w:rsidRPr="00F85253" w:rsidRDefault="0043684B" w:rsidP="0043684B">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$27.32 </w:t>
                  </w:r>
                </w:p>
              </w:tc>
              <w:tc>
                <w:tcPr>
                  <w:tcW w:w="780" w:type="dxa"/>
                  <w:tcBorders>
                    <w:top w:val="nil"/>
                    <w:left w:val="nil"/>
                    <w:bottom w:val="nil"/>
                    <w:right w:val="nil"/>
                  </w:tcBorders>
                  <w:shd w:val="clear" w:color="000000" w:fill="FFFFFF"/>
                  <w:noWrap/>
                  <w:vAlign w:val="bottom"/>
                  <w:hideMark/>
                </w:tcPr>
                <w:p w14:paraId="767C705B" w14:textId="77777777" w:rsidR="0043684B" w:rsidRPr="00F85253" w:rsidRDefault="0043684B" w:rsidP="0043684B">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$27.32 </w:t>
                  </w:r>
                </w:p>
              </w:tc>
              <w:tc>
                <w:tcPr>
                  <w:tcW w:w="780" w:type="dxa"/>
                  <w:tcBorders>
                    <w:top w:val="nil"/>
                    <w:left w:val="nil"/>
                    <w:bottom w:val="nil"/>
                    <w:right w:val="nil"/>
                  </w:tcBorders>
                  <w:shd w:val="clear" w:color="000000" w:fill="FFFFFF"/>
                  <w:noWrap/>
                  <w:vAlign w:val="bottom"/>
                  <w:hideMark/>
                </w:tcPr>
                <w:p w14:paraId="1EEF512A" w14:textId="77777777" w:rsidR="0043684B" w:rsidRPr="00F85253" w:rsidRDefault="0043684B" w:rsidP="0043684B">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$27.32 </w:t>
                  </w:r>
                </w:p>
              </w:tc>
              <w:tc>
                <w:tcPr>
                  <w:tcW w:w="780" w:type="dxa"/>
                  <w:tcBorders>
                    <w:top w:val="nil"/>
                    <w:left w:val="nil"/>
                    <w:bottom w:val="nil"/>
                    <w:right w:val="single" w:sz="8" w:space="0" w:color="auto"/>
                  </w:tcBorders>
                  <w:shd w:val="clear" w:color="000000" w:fill="FFFFFF"/>
                  <w:noWrap/>
                  <w:vAlign w:val="bottom"/>
                  <w:hideMark/>
                </w:tcPr>
                <w:p w14:paraId="5E0986B5" w14:textId="77777777" w:rsidR="0043684B" w:rsidRPr="00F85253" w:rsidRDefault="0043684B" w:rsidP="0043684B">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$27.32 </w:t>
                  </w:r>
                </w:p>
              </w:tc>
            </w:tr>
            <w:tr w:rsidR="0043684B" w:rsidRPr="00F85253" w14:paraId="21203ABF" w14:textId="77777777" w:rsidTr="0043684B">
              <w:trPr>
                <w:trHeight w:val="255"/>
              </w:trPr>
              <w:tc>
                <w:tcPr>
                  <w:tcW w:w="4578" w:type="dxa"/>
                  <w:tcBorders>
                    <w:top w:val="nil"/>
                    <w:left w:val="single" w:sz="8" w:space="0" w:color="auto"/>
                    <w:bottom w:val="nil"/>
                    <w:right w:val="nil"/>
                  </w:tcBorders>
                  <w:shd w:val="clear" w:color="000000" w:fill="FFFFFF"/>
                  <w:noWrap/>
                  <w:vAlign w:val="bottom"/>
                  <w:hideMark/>
                </w:tcPr>
                <w:p w14:paraId="400CD81F" w14:textId="77777777" w:rsidR="0043684B" w:rsidRPr="00F85253" w:rsidRDefault="0043684B" w:rsidP="0043684B">
                  <w:pPr>
                    <w:spacing w:after="0" w:line="240" w:lineRule="auto"/>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1282" w:type="dxa"/>
                  <w:tcBorders>
                    <w:top w:val="nil"/>
                    <w:left w:val="nil"/>
                    <w:bottom w:val="nil"/>
                    <w:right w:val="nil"/>
                  </w:tcBorders>
                  <w:shd w:val="clear" w:color="000000" w:fill="FFFFFF"/>
                  <w:noWrap/>
                  <w:vAlign w:val="bottom"/>
                  <w:hideMark/>
                </w:tcPr>
                <w:p w14:paraId="47CBFF45" w14:textId="77777777" w:rsidR="0043684B" w:rsidRPr="00F85253" w:rsidRDefault="0043684B" w:rsidP="0043684B">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w:t>
                  </w:r>
                </w:p>
              </w:tc>
              <w:tc>
                <w:tcPr>
                  <w:tcW w:w="880" w:type="dxa"/>
                  <w:tcBorders>
                    <w:top w:val="nil"/>
                    <w:left w:val="single" w:sz="8" w:space="0" w:color="auto"/>
                    <w:bottom w:val="nil"/>
                    <w:right w:val="nil"/>
                  </w:tcBorders>
                  <w:shd w:val="clear" w:color="000000" w:fill="FFFFFF"/>
                  <w:noWrap/>
                  <w:vAlign w:val="bottom"/>
                  <w:hideMark/>
                </w:tcPr>
                <w:p w14:paraId="780CC404"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940" w:type="dxa"/>
                  <w:tcBorders>
                    <w:top w:val="nil"/>
                    <w:left w:val="nil"/>
                    <w:bottom w:val="nil"/>
                    <w:right w:val="nil"/>
                  </w:tcBorders>
                  <w:shd w:val="clear" w:color="000000" w:fill="FFFFFF"/>
                  <w:noWrap/>
                  <w:vAlign w:val="bottom"/>
                  <w:hideMark/>
                </w:tcPr>
                <w:p w14:paraId="1CC8D85F"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880" w:type="dxa"/>
                  <w:tcBorders>
                    <w:top w:val="nil"/>
                    <w:left w:val="nil"/>
                    <w:bottom w:val="nil"/>
                    <w:right w:val="nil"/>
                  </w:tcBorders>
                  <w:shd w:val="clear" w:color="000000" w:fill="FFFFFF"/>
                  <w:noWrap/>
                  <w:vAlign w:val="bottom"/>
                  <w:hideMark/>
                </w:tcPr>
                <w:p w14:paraId="6021855C"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920" w:type="dxa"/>
                  <w:tcBorders>
                    <w:top w:val="nil"/>
                    <w:left w:val="nil"/>
                    <w:bottom w:val="nil"/>
                    <w:right w:val="single" w:sz="8" w:space="0" w:color="auto"/>
                  </w:tcBorders>
                  <w:shd w:val="clear" w:color="000000" w:fill="FFFFFF"/>
                  <w:noWrap/>
                  <w:vAlign w:val="bottom"/>
                  <w:hideMark/>
                </w:tcPr>
                <w:p w14:paraId="0105F3E4"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780" w:type="dxa"/>
                  <w:tcBorders>
                    <w:top w:val="nil"/>
                    <w:left w:val="nil"/>
                    <w:bottom w:val="nil"/>
                    <w:right w:val="nil"/>
                  </w:tcBorders>
                  <w:shd w:val="clear" w:color="000000" w:fill="FFFFFF"/>
                  <w:noWrap/>
                  <w:vAlign w:val="bottom"/>
                  <w:hideMark/>
                </w:tcPr>
                <w:p w14:paraId="5C6A20A8"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780" w:type="dxa"/>
                  <w:tcBorders>
                    <w:top w:val="nil"/>
                    <w:left w:val="nil"/>
                    <w:bottom w:val="nil"/>
                    <w:right w:val="nil"/>
                  </w:tcBorders>
                  <w:shd w:val="clear" w:color="000000" w:fill="FFFFFF"/>
                  <w:noWrap/>
                  <w:vAlign w:val="bottom"/>
                  <w:hideMark/>
                </w:tcPr>
                <w:p w14:paraId="6E73BB06"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780" w:type="dxa"/>
                  <w:tcBorders>
                    <w:top w:val="nil"/>
                    <w:left w:val="nil"/>
                    <w:bottom w:val="nil"/>
                    <w:right w:val="nil"/>
                  </w:tcBorders>
                  <w:shd w:val="clear" w:color="000000" w:fill="FFFFFF"/>
                  <w:noWrap/>
                  <w:vAlign w:val="bottom"/>
                  <w:hideMark/>
                </w:tcPr>
                <w:p w14:paraId="68DAD35B"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780" w:type="dxa"/>
                  <w:tcBorders>
                    <w:top w:val="nil"/>
                    <w:left w:val="nil"/>
                    <w:bottom w:val="nil"/>
                    <w:right w:val="nil"/>
                  </w:tcBorders>
                  <w:shd w:val="clear" w:color="000000" w:fill="FFFFFF"/>
                  <w:noWrap/>
                  <w:vAlign w:val="bottom"/>
                  <w:hideMark/>
                </w:tcPr>
                <w:p w14:paraId="2DEB45C4"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780" w:type="dxa"/>
                  <w:tcBorders>
                    <w:top w:val="nil"/>
                    <w:left w:val="nil"/>
                    <w:bottom w:val="nil"/>
                    <w:right w:val="nil"/>
                  </w:tcBorders>
                  <w:shd w:val="clear" w:color="000000" w:fill="FFFFFF"/>
                  <w:noWrap/>
                  <w:vAlign w:val="bottom"/>
                  <w:hideMark/>
                </w:tcPr>
                <w:p w14:paraId="35E045C6"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780" w:type="dxa"/>
                  <w:tcBorders>
                    <w:top w:val="nil"/>
                    <w:left w:val="nil"/>
                    <w:bottom w:val="nil"/>
                    <w:right w:val="single" w:sz="8" w:space="0" w:color="auto"/>
                  </w:tcBorders>
                  <w:shd w:val="clear" w:color="000000" w:fill="FFFFFF"/>
                  <w:noWrap/>
                  <w:vAlign w:val="bottom"/>
                  <w:hideMark/>
                </w:tcPr>
                <w:p w14:paraId="77E18109"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r>
            <w:tr w:rsidR="0043684B" w:rsidRPr="00F85253" w14:paraId="1EE47F33" w14:textId="77777777" w:rsidTr="0043684B">
              <w:trPr>
                <w:trHeight w:val="255"/>
              </w:trPr>
              <w:tc>
                <w:tcPr>
                  <w:tcW w:w="4578" w:type="dxa"/>
                  <w:tcBorders>
                    <w:top w:val="nil"/>
                    <w:left w:val="single" w:sz="8" w:space="0" w:color="auto"/>
                    <w:bottom w:val="nil"/>
                    <w:right w:val="nil"/>
                  </w:tcBorders>
                  <w:shd w:val="clear" w:color="000000" w:fill="FFFFFF"/>
                  <w:noWrap/>
                  <w:vAlign w:val="bottom"/>
                  <w:hideMark/>
                </w:tcPr>
                <w:p w14:paraId="6C7A6A41" w14:textId="23BE3D5F" w:rsidR="0043684B" w:rsidRPr="00F85253" w:rsidRDefault="0043684B" w:rsidP="0043684B">
                  <w:pPr>
                    <w:spacing w:after="0" w:line="240" w:lineRule="auto"/>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Costes Económicos</w:t>
                  </w:r>
                </w:p>
              </w:tc>
              <w:tc>
                <w:tcPr>
                  <w:tcW w:w="1282" w:type="dxa"/>
                  <w:tcBorders>
                    <w:top w:val="nil"/>
                    <w:left w:val="nil"/>
                    <w:bottom w:val="nil"/>
                    <w:right w:val="nil"/>
                  </w:tcBorders>
                  <w:shd w:val="clear" w:color="000000" w:fill="FFFFFF"/>
                  <w:noWrap/>
                  <w:vAlign w:val="bottom"/>
                  <w:hideMark/>
                </w:tcPr>
                <w:p w14:paraId="2F4B3AA6" w14:textId="77777777" w:rsidR="0043684B" w:rsidRPr="00F85253" w:rsidRDefault="0043684B" w:rsidP="0043684B">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w:t>
                  </w:r>
                </w:p>
              </w:tc>
              <w:tc>
                <w:tcPr>
                  <w:tcW w:w="880" w:type="dxa"/>
                  <w:tcBorders>
                    <w:top w:val="nil"/>
                    <w:left w:val="single" w:sz="8" w:space="0" w:color="auto"/>
                    <w:bottom w:val="nil"/>
                    <w:right w:val="nil"/>
                  </w:tcBorders>
                  <w:shd w:val="clear" w:color="000000" w:fill="FFFFFF"/>
                  <w:noWrap/>
                  <w:vAlign w:val="bottom"/>
                  <w:hideMark/>
                </w:tcPr>
                <w:p w14:paraId="7415AFAB"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940" w:type="dxa"/>
                  <w:tcBorders>
                    <w:top w:val="nil"/>
                    <w:left w:val="nil"/>
                    <w:bottom w:val="nil"/>
                    <w:right w:val="nil"/>
                  </w:tcBorders>
                  <w:shd w:val="clear" w:color="000000" w:fill="FFFFFF"/>
                  <w:noWrap/>
                  <w:vAlign w:val="bottom"/>
                  <w:hideMark/>
                </w:tcPr>
                <w:p w14:paraId="7F012A41"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880" w:type="dxa"/>
                  <w:tcBorders>
                    <w:top w:val="nil"/>
                    <w:left w:val="nil"/>
                    <w:bottom w:val="nil"/>
                    <w:right w:val="nil"/>
                  </w:tcBorders>
                  <w:shd w:val="clear" w:color="000000" w:fill="FFFFFF"/>
                  <w:noWrap/>
                  <w:vAlign w:val="bottom"/>
                  <w:hideMark/>
                </w:tcPr>
                <w:p w14:paraId="6ABEF89F"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920" w:type="dxa"/>
                  <w:tcBorders>
                    <w:top w:val="nil"/>
                    <w:left w:val="nil"/>
                    <w:bottom w:val="nil"/>
                    <w:right w:val="single" w:sz="8" w:space="0" w:color="auto"/>
                  </w:tcBorders>
                  <w:shd w:val="clear" w:color="000000" w:fill="FFFFFF"/>
                  <w:noWrap/>
                  <w:vAlign w:val="bottom"/>
                  <w:hideMark/>
                </w:tcPr>
                <w:p w14:paraId="3B54D317"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780" w:type="dxa"/>
                  <w:tcBorders>
                    <w:top w:val="nil"/>
                    <w:left w:val="nil"/>
                    <w:bottom w:val="nil"/>
                    <w:right w:val="nil"/>
                  </w:tcBorders>
                  <w:shd w:val="clear" w:color="000000" w:fill="FFFFFF"/>
                  <w:noWrap/>
                  <w:vAlign w:val="bottom"/>
                  <w:hideMark/>
                </w:tcPr>
                <w:p w14:paraId="4032DF57"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780" w:type="dxa"/>
                  <w:tcBorders>
                    <w:top w:val="nil"/>
                    <w:left w:val="nil"/>
                    <w:bottom w:val="nil"/>
                    <w:right w:val="nil"/>
                  </w:tcBorders>
                  <w:shd w:val="clear" w:color="000000" w:fill="FFFFFF"/>
                  <w:noWrap/>
                  <w:vAlign w:val="bottom"/>
                  <w:hideMark/>
                </w:tcPr>
                <w:p w14:paraId="7AAED91B"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780" w:type="dxa"/>
                  <w:tcBorders>
                    <w:top w:val="nil"/>
                    <w:left w:val="nil"/>
                    <w:bottom w:val="nil"/>
                    <w:right w:val="nil"/>
                  </w:tcBorders>
                  <w:shd w:val="clear" w:color="000000" w:fill="FFFFFF"/>
                  <w:noWrap/>
                  <w:vAlign w:val="bottom"/>
                  <w:hideMark/>
                </w:tcPr>
                <w:p w14:paraId="20CBCC1C"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780" w:type="dxa"/>
                  <w:tcBorders>
                    <w:top w:val="nil"/>
                    <w:left w:val="nil"/>
                    <w:bottom w:val="nil"/>
                    <w:right w:val="nil"/>
                  </w:tcBorders>
                  <w:shd w:val="clear" w:color="000000" w:fill="FFFFFF"/>
                  <w:noWrap/>
                  <w:vAlign w:val="bottom"/>
                  <w:hideMark/>
                </w:tcPr>
                <w:p w14:paraId="456205D8"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780" w:type="dxa"/>
                  <w:tcBorders>
                    <w:top w:val="nil"/>
                    <w:left w:val="nil"/>
                    <w:bottom w:val="nil"/>
                    <w:right w:val="nil"/>
                  </w:tcBorders>
                  <w:shd w:val="clear" w:color="000000" w:fill="FFFFFF"/>
                  <w:noWrap/>
                  <w:vAlign w:val="bottom"/>
                  <w:hideMark/>
                </w:tcPr>
                <w:p w14:paraId="5C8707BC"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780" w:type="dxa"/>
                  <w:tcBorders>
                    <w:top w:val="nil"/>
                    <w:left w:val="nil"/>
                    <w:bottom w:val="nil"/>
                    <w:right w:val="single" w:sz="8" w:space="0" w:color="auto"/>
                  </w:tcBorders>
                  <w:shd w:val="clear" w:color="000000" w:fill="FFFFFF"/>
                  <w:noWrap/>
                  <w:vAlign w:val="bottom"/>
                  <w:hideMark/>
                </w:tcPr>
                <w:p w14:paraId="43409016"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r>
            <w:tr w:rsidR="0043684B" w:rsidRPr="00F85253" w14:paraId="3CC3633D" w14:textId="77777777" w:rsidTr="0043684B">
              <w:trPr>
                <w:trHeight w:val="255"/>
              </w:trPr>
              <w:tc>
                <w:tcPr>
                  <w:tcW w:w="4578" w:type="dxa"/>
                  <w:tcBorders>
                    <w:top w:val="nil"/>
                    <w:left w:val="single" w:sz="8" w:space="0" w:color="auto"/>
                    <w:bottom w:val="nil"/>
                    <w:right w:val="nil"/>
                  </w:tcBorders>
                  <w:shd w:val="clear" w:color="000000" w:fill="FFFFFF"/>
                  <w:noWrap/>
                  <w:vAlign w:val="bottom"/>
                  <w:hideMark/>
                </w:tcPr>
                <w:p w14:paraId="3EF08DE3" w14:textId="77777777" w:rsidR="0043684B" w:rsidRPr="00F85253" w:rsidRDefault="0043684B" w:rsidP="0043684B">
                  <w:pPr>
                    <w:spacing w:after="0" w:line="240" w:lineRule="auto"/>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CAPEX</w:t>
                  </w:r>
                </w:p>
              </w:tc>
              <w:tc>
                <w:tcPr>
                  <w:tcW w:w="1282" w:type="dxa"/>
                  <w:tcBorders>
                    <w:top w:val="nil"/>
                    <w:left w:val="nil"/>
                    <w:bottom w:val="nil"/>
                    <w:right w:val="nil"/>
                  </w:tcBorders>
                  <w:shd w:val="clear" w:color="000000" w:fill="FFFFFF"/>
                  <w:noWrap/>
                  <w:vAlign w:val="bottom"/>
                  <w:hideMark/>
                </w:tcPr>
                <w:p w14:paraId="2D800672" w14:textId="77777777" w:rsidR="0043684B" w:rsidRPr="00F85253" w:rsidRDefault="0043684B" w:rsidP="0043684B">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    34.92 </w:t>
                  </w:r>
                </w:p>
              </w:tc>
              <w:tc>
                <w:tcPr>
                  <w:tcW w:w="880" w:type="dxa"/>
                  <w:tcBorders>
                    <w:top w:val="nil"/>
                    <w:left w:val="single" w:sz="8" w:space="0" w:color="auto"/>
                    <w:bottom w:val="nil"/>
                    <w:right w:val="nil"/>
                  </w:tcBorders>
                  <w:shd w:val="clear" w:color="000000" w:fill="FFFFFF"/>
                  <w:noWrap/>
                  <w:vAlign w:val="bottom"/>
                  <w:hideMark/>
                </w:tcPr>
                <w:p w14:paraId="23841A1C"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   </w:t>
                  </w:r>
                </w:p>
              </w:tc>
              <w:tc>
                <w:tcPr>
                  <w:tcW w:w="940" w:type="dxa"/>
                  <w:tcBorders>
                    <w:top w:val="nil"/>
                    <w:left w:val="nil"/>
                    <w:bottom w:val="nil"/>
                    <w:right w:val="nil"/>
                  </w:tcBorders>
                  <w:shd w:val="clear" w:color="000000" w:fill="FFFFFF"/>
                  <w:noWrap/>
                  <w:vAlign w:val="bottom"/>
                  <w:hideMark/>
                </w:tcPr>
                <w:p w14:paraId="1DEA5DB8"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w:t>
                  </w:r>
                  <w:proofErr w:type="gramStart"/>
                  <w:r w:rsidRPr="00F85253">
                    <w:rPr>
                      <w:rFonts w:ascii="Arial" w:eastAsia="Times New Roman" w:hAnsi="Arial" w:cs="Arial"/>
                      <w:sz w:val="18"/>
                      <w:szCs w:val="18"/>
                      <w:lang w:val="es-EC" w:eastAsia="es-EC"/>
                    </w:rPr>
                    <w:t>$  34.92</w:t>
                  </w:r>
                  <w:proofErr w:type="gramEnd"/>
                  <w:r w:rsidRPr="00F85253">
                    <w:rPr>
                      <w:rFonts w:ascii="Arial" w:eastAsia="Times New Roman" w:hAnsi="Arial" w:cs="Arial"/>
                      <w:sz w:val="18"/>
                      <w:szCs w:val="18"/>
                      <w:lang w:val="es-EC" w:eastAsia="es-EC"/>
                    </w:rPr>
                    <w:t xml:space="preserve"> </w:t>
                  </w:r>
                </w:p>
              </w:tc>
              <w:tc>
                <w:tcPr>
                  <w:tcW w:w="880" w:type="dxa"/>
                  <w:tcBorders>
                    <w:top w:val="nil"/>
                    <w:left w:val="nil"/>
                    <w:bottom w:val="nil"/>
                    <w:right w:val="nil"/>
                  </w:tcBorders>
                  <w:shd w:val="clear" w:color="000000" w:fill="FFFFFF"/>
                  <w:noWrap/>
                  <w:vAlign w:val="bottom"/>
                  <w:hideMark/>
                </w:tcPr>
                <w:p w14:paraId="431A2280"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   </w:t>
                  </w:r>
                </w:p>
              </w:tc>
              <w:tc>
                <w:tcPr>
                  <w:tcW w:w="920" w:type="dxa"/>
                  <w:tcBorders>
                    <w:top w:val="nil"/>
                    <w:left w:val="nil"/>
                    <w:bottom w:val="nil"/>
                    <w:right w:val="single" w:sz="8" w:space="0" w:color="auto"/>
                  </w:tcBorders>
                  <w:shd w:val="clear" w:color="000000" w:fill="FFFFFF"/>
                  <w:noWrap/>
                  <w:vAlign w:val="bottom"/>
                  <w:hideMark/>
                </w:tcPr>
                <w:p w14:paraId="5CAA6D5A"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   </w:t>
                  </w:r>
                </w:p>
              </w:tc>
              <w:tc>
                <w:tcPr>
                  <w:tcW w:w="780" w:type="dxa"/>
                  <w:tcBorders>
                    <w:top w:val="nil"/>
                    <w:left w:val="nil"/>
                    <w:bottom w:val="nil"/>
                    <w:right w:val="nil"/>
                  </w:tcBorders>
                  <w:shd w:val="clear" w:color="000000" w:fill="FFFFFF"/>
                  <w:noWrap/>
                  <w:vAlign w:val="bottom"/>
                  <w:hideMark/>
                </w:tcPr>
                <w:p w14:paraId="11320245"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   </w:t>
                  </w:r>
                </w:p>
              </w:tc>
              <w:tc>
                <w:tcPr>
                  <w:tcW w:w="780" w:type="dxa"/>
                  <w:tcBorders>
                    <w:top w:val="nil"/>
                    <w:left w:val="nil"/>
                    <w:bottom w:val="nil"/>
                    <w:right w:val="nil"/>
                  </w:tcBorders>
                  <w:shd w:val="clear" w:color="000000" w:fill="FFFFFF"/>
                  <w:noWrap/>
                  <w:vAlign w:val="bottom"/>
                  <w:hideMark/>
                </w:tcPr>
                <w:p w14:paraId="468DCC1C"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   </w:t>
                  </w:r>
                </w:p>
              </w:tc>
              <w:tc>
                <w:tcPr>
                  <w:tcW w:w="780" w:type="dxa"/>
                  <w:tcBorders>
                    <w:top w:val="nil"/>
                    <w:left w:val="nil"/>
                    <w:bottom w:val="nil"/>
                    <w:right w:val="nil"/>
                  </w:tcBorders>
                  <w:shd w:val="clear" w:color="000000" w:fill="FFFFFF"/>
                  <w:noWrap/>
                  <w:vAlign w:val="bottom"/>
                  <w:hideMark/>
                </w:tcPr>
                <w:p w14:paraId="48DC2D1B"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   </w:t>
                  </w:r>
                </w:p>
              </w:tc>
              <w:tc>
                <w:tcPr>
                  <w:tcW w:w="780" w:type="dxa"/>
                  <w:tcBorders>
                    <w:top w:val="nil"/>
                    <w:left w:val="nil"/>
                    <w:bottom w:val="nil"/>
                    <w:right w:val="nil"/>
                  </w:tcBorders>
                  <w:shd w:val="clear" w:color="000000" w:fill="FFFFFF"/>
                  <w:noWrap/>
                  <w:vAlign w:val="bottom"/>
                  <w:hideMark/>
                </w:tcPr>
                <w:p w14:paraId="41BB43F8"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   </w:t>
                  </w:r>
                </w:p>
              </w:tc>
              <w:tc>
                <w:tcPr>
                  <w:tcW w:w="780" w:type="dxa"/>
                  <w:tcBorders>
                    <w:top w:val="nil"/>
                    <w:left w:val="nil"/>
                    <w:bottom w:val="nil"/>
                    <w:right w:val="nil"/>
                  </w:tcBorders>
                  <w:shd w:val="clear" w:color="000000" w:fill="FFFFFF"/>
                  <w:noWrap/>
                  <w:vAlign w:val="bottom"/>
                  <w:hideMark/>
                </w:tcPr>
                <w:p w14:paraId="482B4ECB"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   </w:t>
                  </w:r>
                </w:p>
              </w:tc>
              <w:tc>
                <w:tcPr>
                  <w:tcW w:w="780" w:type="dxa"/>
                  <w:tcBorders>
                    <w:top w:val="nil"/>
                    <w:left w:val="nil"/>
                    <w:bottom w:val="nil"/>
                    <w:right w:val="single" w:sz="8" w:space="0" w:color="auto"/>
                  </w:tcBorders>
                  <w:shd w:val="clear" w:color="000000" w:fill="FFFFFF"/>
                  <w:noWrap/>
                  <w:vAlign w:val="bottom"/>
                  <w:hideMark/>
                </w:tcPr>
                <w:p w14:paraId="407AA972"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   </w:t>
                  </w:r>
                </w:p>
              </w:tc>
            </w:tr>
            <w:tr w:rsidR="0043684B" w:rsidRPr="00F85253" w14:paraId="16CA1683" w14:textId="77777777" w:rsidTr="0043684B">
              <w:trPr>
                <w:trHeight w:val="255"/>
              </w:trPr>
              <w:tc>
                <w:tcPr>
                  <w:tcW w:w="4578" w:type="dxa"/>
                  <w:tcBorders>
                    <w:top w:val="nil"/>
                    <w:left w:val="single" w:sz="8" w:space="0" w:color="auto"/>
                    <w:bottom w:val="nil"/>
                    <w:right w:val="nil"/>
                  </w:tcBorders>
                  <w:shd w:val="clear" w:color="000000" w:fill="FFFFFF"/>
                  <w:noWrap/>
                  <w:vAlign w:val="bottom"/>
                  <w:hideMark/>
                </w:tcPr>
                <w:p w14:paraId="2EC2F96C" w14:textId="77777777" w:rsidR="0043684B" w:rsidRPr="00F85253" w:rsidRDefault="0043684B" w:rsidP="0043684B">
                  <w:pPr>
                    <w:spacing w:after="0" w:line="240" w:lineRule="auto"/>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OPEX</w:t>
                  </w:r>
                </w:p>
              </w:tc>
              <w:tc>
                <w:tcPr>
                  <w:tcW w:w="1282" w:type="dxa"/>
                  <w:tcBorders>
                    <w:top w:val="nil"/>
                    <w:left w:val="nil"/>
                    <w:bottom w:val="nil"/>
                    <w:right w:val="nil"/>
                  </w:tcBorders>
                  <w:shd w:val="clear" w:color="000000" w:fill="FFFFFF"/>
                  <w:noWrap/>
                  <w:vAlign w:val="bottom"/>
                  <w:hideMark/>
                </w:tcPr>
                <w:p w14:paraId="08E76B0C" w14:textId="77777777" w:rsidR="0043684B" w:rsidRPr="00F85253" w:rsidRDefault="0043684B" w:rsidP="0043684B">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    37.71 </w:t>
                  </w:r>
                </w:p>
              </w:tc>
              <w:tc>
                <w:tcPr>
                  <w:tcW w:w="880" w:type="dxa"/>
                  <w:tcBorders>
                    <w:top w:val="nil"/>
                    <w:left w:val="single" w:sz="8" w:space="0" w:color="auto"/>
                    <w:bottom w:val="nil"/>
                    <w:right w:val="nil"/>
                  </w:tcBorders>
                  <w:shd w:val="clear" w:color="000000" w:fill="FFFFFF"/>
                  <w:noWrap/>
                  <w:vAlign w:val="bottom"/>
                  <w:hideMark/>
                </w:tcPr>
                <w:p w14:paraId="3102516D"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   </w:t>
                  </w:r>
                </w:p>
              </w:tc>
              <w:tc>
                <w:tcPr>
                  <w:tcW w:w="940" w:type="dxa"/>
                  <w:tcBorders>
                    <w:top w:val="nil"/>
                    <w:left w:val="nil"/>
                    <w:bottom w:val="nil"/>
                    <w:right w:val="nil"/>
                  </w:tcBorders>
                  <w:shd w:val="clear" w:color="000000" w:fill="FFFFFF"/>
                  <w:noWrap/>
                  <w:vAlign w:val="bottom"/>
                  <w:hideMark/>
                </w:tcPr>
                <w:p w14:paraId="40FA8090"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4.19 </w:t>
                  </w:r>
                </w:p>
              </w:tc>
              <w:tc>
                <w:tcPr>
                  <w:tcW w:w="880" w:type="dxa"/>
                  <w:tcBorders>
                    <w:top w:val="nil"/>
                    <w:left w:val="nil"/>
                    <w:bottom w:val="nil"/>
                    <w:right w:val="nil"/>
                  </w:tcBorders>
                  <w:shd w:val="clear" w:color="000000" w:fill="FFFFFF"/>
                  <w:noWrap/>
                  <w:vAlign w:val="bottom"/>
                  <w:hideMark/>
                </w:tcPr>
                <w:p w14:paraId="6522F677"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4.19 </w:t>
                  </w:r>
                </w:p>
              </w:tc>
              <w:tc>
                <w:tcPr>
                  <w:tcW w:w="920" w:type="dxa"/>
                  <w:tcBorders>
                    <w:top w:val="nil"/>
                    <w:left w:val="nil"/>
                    <w:bottom w:val="nil"/>
                    <w:right w:val="single" w:sz="8" w:space="0" w:color="auto"/>
                  </w:tcBorders>
                  <w:shd w:val="clear" w:color="000000" w:fill="FFFFFF"/>
                  <w:noWrap/>
                  <w:vAlign w:val="bottom"/>
                  <w:hideMark/>
                </w:tcPr>
                <w:p w14:paraId="0956317D"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4.19 </w:t>
                  </w:r>
                </w:p>
              </w:tc>
              <w:tc>
                <w:tcPr>
                  <w:tcW w:w="780" w:type="dxa"/>
                  <w:tcBorders>
                    <w:top w:val="nil"/>
                    <w:left w:val="nil"/>
                    <w:bottom w:val="nil"/>
                    <w:right w:val="nil"/>
                  </w:tcBorders>
                  <w:shd w:val="clear" w:color="000000" w:fill="FFFFFF"/>
                  <w:noWrap/>
                  <w:vAlign w:val="bottom"/>
                  <w:hideMark/>
                </w:tcPr>
                <w:p w14:paraId="4AB53E5C"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$ 4.19 </w:t>
                  </w:r>
                </w:p>
              </w:tc>
              <w:tc>
                <w:tcPr>
                  <w:tcW w:w="780" w:type="dxa"/>
                  <w:tcBorders>
                    <w:top w:val="nil"/>
                    <w:left w:val="nil"/>
                    <w:bottom w:val="nil"/>
                    <w:right w:val="nil"/>
                  </w:tcBorders>
                  <w:shd w:val="clear" w:color="000000" w:fill="FFFFFF"/>
                  <w:noWrap/>
                  <w:vAlign w:val="bottom"/>
                  <w:hideMark/>
                </w:tcPr>
                <w:p w14:paraId="262620DF"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$ 4.19 </w:t>
                  </w:r>
                </w:p>
              </w:tc>
              <w:tc>
                <w:tcPr>
                  <w:tcW w:w="780" w:type="dxa"/>
                  <w:tcBorders>
                    <w:top w:val="nil"/>
                    <w:left w:val="nil"/>
                    <w:bottom w:val="nil"/>
                    <w:right w:val="nil"/>
                  </w:tcBorders>
                  <w:shd w:val="clear" w:color="000000" w:fill="FFFFFF"/>
                  <w:noWrap/>
                  <w:vAlign w:val="bottom"/>
                  <w:hideMark/>
                </w:tcPr>
                <w:p w14:paraId="1FC7CF80"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$ 4.19 </w:t>
                  </w:r>
                </w:p>
              </w:tc>
              <w:tc>
                <w:tcPr>
                  <w:tcW w:w="780" w:type="dxa"/>
                  <w:tcBorders>
                    <w:top w:val="nil"/>
                    <w:left w:val="nil"/>
                    <w:bottom w:val="nil"/>
                    <w:right w:val="nil"/>
                  </w:tcBorders>
                  <w:shd w:val="clear" w:color="000000" w:fill="FFFFFF"/>
                  <w:noWrap/>
                  <w:vAlign w:val="bottom"/>
                  <w:hideMark/>
                </w:tcPr>
                <w:p w14:paraId="4F7015B9"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$ 4.19 </w:t>
                  </w:r>
                </w:p>
              </w:tc>
              <w:tc>
                <w:tcPr>
                  <w:tcW w:w="780" w:type="dxa"/>
                  <w:tcBorders>
                    <w:top w:val="nil"/>
                    <w:left w:val="nil"/>
                    <w:bottom w:val="nil"/>
                    <w:right w:val="nil"/>
                  </w:tcBorders>
                  <w:shd w:val="clear" w:color="000000" w:fill="FFFFFF"/>
                  <w:noWrap/>
                  <w:vAlign w:val="bottom"/>
                  <w:hideMark/>
                </w:tcPr>
                <w:p w14:paraId="19FE4B34"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$ 4.19 </w:t>
                  </w:r>
                </w:p>
              </w:tc>
              <w:tc>
                <w:tcPr>
                  <w:tcW w:w="780" w:type="dxa"/>
                  <w:tcBorders>
                    <w:top w:val="nil"/>
                    <w:left w:val="nil"/>
                    <w:bottom w:val="nil"/>
                    <w:right w:val="single" w:sz="8" w:space="0" w:color="auto"/>
                  </w:tcBorders>
                  <w:shd w:val="clear" w:color="000000" w:fill="FFFFFF"/>
                  <w:noWrap/>
                  <w:vAlign w:val="bottom"/>
                  <w:hideMark/>
                </w:tcPr>
                <w:p w14:paraId="4B97BA12"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$ 4.19 </w:t>
                  </w:r>
                </w:p>
              </w:tc>
            </w:tr>
            <w:tr w:rsidR="0043684B" w:rsidRPr="00F85253" w14:paraId="537EA3D7" w14:textId="77777777" w:rsidTr="0043684B">
              <w:trPr>
                <w:trHeight w:val="255"/>
              </w:trPr>
              <w:tc>
                <w:tcPr>
                  <w:tcW w:w="4578" w:type="dxa"/>
                  <w:tcBorders>
                    <w:top w:val="nil"/>
                    <w:left w:val="single" w:sz="8" w:space="0" w:color="auto"/>
                    <w:bottom w:val="nil"/>
                    <w:right w:val="nil"/>
                  </w:tcBorders>
                  <w:shd w:val="clear" w:color="000000" w:fill="FFFFFF"/>
                  <w:noWrap/>
                  <w:vAlign w:val="bottom"/>
                  <w:hideMark/>
                </w:tcPr>
                <w:p w14:paraId="61CE6E7D" w14:textId="77777777" w:rsidR="0043684B" w:rsidRPr="00F85253" w:rsidRDefault="0043684B" w:rsidP="0043684B">
                  <w:pPr>
                    <w:spacing w:after="0" w:line="240" w:lineRule="auto"/>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Subtotal OPEX y CAPEX</w:t>
                  </w:r>
                </w:p>
              </w:tc>
              <w:tc>
                <w:tcPr>
                  <w:tcW w:w="1282" w:type="dxa"/>
                  <w:tcBorders>
                    <w:top w:val="nil"/>
                    <w:left w:val="nil"/>
                    <w:bottom w:val="nil"/>
                    <w:right w:val="nil"/>
                  </w:tcBorders>
                  <w:shd w:val="clear" w:color="000000" w:fill="FFFFFF"/>
                  <w:noWrap/>
                  <w:vAlign w:val="bottom"/>
                  <w:hideMark/>
                </w:tcPr>
                <w:p w14:paraId="47719584" w14:textId="77777777" w:rsidR="0043684B" w:rsidRPr="00F85253" w:rsidRDefault="0043684B" w:rsidP="0043684B">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    72.63 </w:t>
                  </w:r>
                </w:p>
              </w:tc>
              <w:tc>
                <w:tcPr>
                  <w:tcW w:w="880" w:type="dxa"/>
                  <w:tcBorders>
                    <w:top w:val="nil"/>
                    <w:left w:val="single" w:sz="8" w:space="0" w:color="auto"/>
                    <w:bottom w:val="nil"/>
                    <w:right w:val="nil"/>
                  </w:tcBorders>
                  <w:shd w:val="clear" w:color="000000" w:fill="FFFFFF"/>
                  <w:noWrap/>
                  <w:vAlign w:val="bottom"/>
                  <w:hideMark/>
                </w:tcPr>
                <w:p w14:paraId="6B81B634" w14:textId="77777777" w:rsidR="0043684B" w:rsidRPr="00F85253" w:rsidRDefault="0043684B" w:rsidP="0043684B">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      -   </w:t>
                  </w:r>
                </w:p>
              </w:tc>
              <w:tc>
                <w:tcPr>
                  <w:tcW w:w="940" w:type="dxa"/>
                  <w:tcBorders>
                    <w:top w:val="nil"/>
                    <w:left w:val="nil"/>
                    <w:bottom w:val="nil"/>
                    <w:right w:val="nil"/>
                  </w:tcBorders>
                  <w:shd w:val="clear" w:color="000000" w:fill="FFFFFF"/>
                  <w:noWrap/>
                  <w:vAlign w:val="bottom"/>
                  <w:hideMark/>
                </w:tcPr>
                <w:p w14:paraId="6A37CD24" w14:textId="77777777" w:rsidR="0043684B" w:rsidRPr="00F85253" w:rsidRDefault="0043684B" w:rsidP="0043684B">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w:t>
                  </w:r>
                  <w:proofErr w:type="gramStart"/>
                  <w:r w:rsidRPr="00F85253">
                    <w:rPr>
                      <w:rFonts w:ascii="Arial" w:eastAsia="Times New Roman" w:hAnsi="Arial" w:cs="Arial"/>
                      <w:b/>
                      <w:bCs/>
                      <w:sz w:val="18"/>
                      <w:szCs w:val="18"/>
                      <w:lang w:val="es-EC" w:eastAsia="es-EC"/>
                    </w:rPr>
                    <w:t>$  39.11</w:t>
                  </w:r>
                  <w:proofErr w:type="gramEnd"/>
                  <w:r w:rsidRPr="00F85253">
                    <w:rPr>
                      <w:rFonts w:ascii="Arial" w:eastAsia="Times New Roman" w:hAnsi="Arial" w:cs="Arial"/>
                      <w:b/>
                      <w:bCs/>
                      <w:sz w:val="18"/>
                      <w:szCs w:val="18"/>
                      <w:lang w:val="es-EC" w:eastAsia="es-EC"/>
                    </w:rPr>
                    <w:t xml:space="preserve"> </w:t>
                  </w:r>
                </w:p>
              </w:tc>
              <w:tc>
                <w:tcPr>
                  <w:tcW w:w="880" w:type="dxa"/>
                  <w:tcBorders>
                    <w:top w:val="nil"/>
                    <w:left w:val="nil"/>
                    <w:bottom w:val="nil"/>
                    <w:right w:val="nil"/>
                  </w:tcBorders>
                  <w:shd w:val="clear" w:color="000000" w:fill="FFFFFF"/>
                  <w:noWrap/>
                  <w:vAlign w:val="bottom"/>
                  <w:hideMark/>
                </w:tcPr>
                <w:p w14:paraId="79C5DFC7" w14:textId="77777777" w:rsidR="0043684B" w:rsidRPr="00F85253" w:rsidRDefault="0043684B" w:rsidP="0043684B">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   4.19 </w:t>
                  </w:r>
                </w:p>
              </w:tc>
              <w:tc>
                <w:tcPr>
                  <w:tcW w:w="920" w:type="dxa"/>
                  <w:tcBorders>
                    <w:top w:val="nil"/>
                    <w:left w:val="nil"/>
                    <w:bottom w:val="nil"/>
                    <w:right w:val="single" w:sz="8" w:space="0" w:color="auto"/>
                  </w:tcBorders>
                  <w:shd w:val="clear" w:color="000000" w:fill="FFFFFF"/>
                  <w:noWrap/>
                  <w:vAlign w:val="bottom"/>
                  <w:hideMark/>
                </w:tcPr>
                <w:p w14:paraId="3726BF3E" w14:textId="77777777" w:rsidR="0043684B" w:rsidRPr="00F85253" w:rsidRDefault="0043684B" w:rsidP="0043684B">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    4.19 </w:t>
                  </w:r>
                </w:p>
              </w:tc>
              <w:tc>
                <w:tcPr>
                  <w:tcW w:w="780" w:type="dxa"/>
                  <w:tcBorders>
                    <w:top w:val="nil"/>
                    <w:left w:val="nil"/>
                    <w:bottom w:val="nil"/>
                    <w:right w:val="nil"/>
                  </w:tcBorders>
                  <w:shd w:val="clear" w:color="000000" w:fill="FFFFFF"/>
                  <w:noWrap/>
                  <w:vAlign w:val="bottom"/>
                  <w:hideMark/>
                </w:tcPr>
                <w:p w14:paraId="6483815E" w14:textId="77777777" w:rsidR="0043684B" w:rsidRPr="00F85253" w:rsidRDefault="0043684B" w:rsidP="0043684B">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$ 4.19 </w:t>
                  </w:r>
                </w:p>
              </w:tc>
              <w:tc>
                <w:tcPr>
                  <w:tcW w:w="780" w:type="dxa"/>
                  <w:tcBorders>
                    <w:top w:val="nil"/>
                    <w:left w:val="nil"/>
                    <w:bottom w:val="nil"/>
                    <w:right w:val="nil"/>
                  </w:tcBorders>
                  <w:shd w:val="clear" w:color="000000" w:fill="FFFFFF"/>
                  <w:noWrap/>
                  <w:vAlign w:val="bottom"/>
                  <w:hideMark/>
                </w:tcPr>
                <w:p w14:paraId="2406D6CE" w14:textId="77777777" w:rsidR="0043684B" w:rsidRPr="00F85253" w:rsidRDefault="0043684B" w:rsidP="0043684B">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$ 4.19 </w:t>
                  </w:r>
                </w:p>
              </w:tc>
              <w:tc>
                <w:tcPr>
                  <w:tcW w:w="780" w:type="dxa"/>
                  <w:tcBorders>
                    <w:top w:val="nil"/>
                    <w:left w:val="nil"/>
                    <w:bottom w:val="nil"/>
                    <w:right w:val="nil"/>
                  </w:tcBorders>
                  <w:shd w:val="clear" w:color="000000" w:fill="FFFFFF"/>
                  <w:noWrap/>
                  <w:vAlign w:val="bottom"/>
                  <w:hideMark/>
                </w:tcPr>
                <w:p w14:paraId="356B66A4" w14:textId="77777777" w:rsidR="0043684B" w:rsidRPr="00F85253" w:rsidRDefault="0043684B" w:rsidP="0043684B">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$ 4.19 </w:t>
                  </w:r>
                </w:p>
              </w:tc>
              <w:tc>
                <w:tcPr>
                  <w:tcW w:w="780" w:type="dxa"/>
                  <w:tcBorders>
                    <w:top w:val="nil"/>
                    <w:left w:val="nil"/>
                    <w:bottom w:val="nil"/>
                    <w:right w:val="nil"/>
                  </w:tcBorders>
                  <w:shd w:val="clear" w:color="000000" w:fill="FFFFFF"/>
                  <w:noWrap/>
                  <w:vAlign w:val="bottom"/>
                  <w:hideMark/>
                </w:tcPr>
                <w:p w14:paraId="744D7831" w14:textId="77777777" w:rsidR="0043684B" w:rsidRPr="00F85253" w:rsidRDefault="0043684B" w:rsidP="0043684B">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$ 4.19 </w:t>
                  </w:r>
                </w:p>
              </w:tc>
              <w:tc>
                <w:tcPr>
                  <w:tcW w:w="780" w:type="dxa"/>
                  <w:tcBorders>
                    <w:top w:val="nil"/>
                    <w:left w:val="nil"/>
                    <w:bottom w:val="nil"/>
                    <w:right w:val="nil"/>
                  </w:tcBorders>
                  <w:shd w:val="clear" w:color="000000" w:fill="FFFFFF"/>
                  <w:noWrap/>
                  <w:vAlign w:val="bottom"/>
                  <w:hideMark/>
                </w:tcPr>
                <w:p w14:paraId="5B08EF1A" w14:textId="77777777" w:rsidR="0043684B" w:rsidRPr="00F85253" w:rsidRDefault="0043684B" w:rsidP="0043684B">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$ 4.19 </w:t>
                  </w:r>
                </w:p>
              </w:tc>
              <w:tc>
                <w:tcPr>
                  <w:tcW w:w="780" w:type="dxa"/>
                  <w:tcBorders>
                    <w:top w:val="nil"/>
                    <w:left w:val="nil"/>
                    <w:bottom w:val="nil"/>
                    <w:right w:val="single" w:sz="8" w:space="0" w:color="auto"/>
                  </w:tcBorders>
                  <w:shd w:val="clear" w:color="000000" w:fill="FFFFFF"/>
                  <w:noWrap/>
                  <w:vAlign w:val="bottom"/>
                  <w:hideMark/>
                </w:tcPr>
                <w:p w14:paraId="00C9A9AB" w14:textId="77777777" w:rsidR="0043684B" w:rsidRPr="00F85253" w:rsidRDefault="0043684B" w:rsidP="0043684B">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$ 4.19 </w:t>
                  </w:r>
                </w:p>
              </w:tc>
            </w:tr>
            <w:tr w:rsidR="0043684B" w:rsidRPr="00F85253" w14:paraId="003F2D3D" w14:textId="77777777" w:rsidTr="0043684B">
              <w:trPr>
                <w:trHeight w:val="255"/>
              </w:trPr>
              <w:tc>
                <w:tcPr>
                  <w:tcW w:w="4578" w:type="dxa"/>
                  <w:tcBorders>
                    <w:top w:val="nil"/>
                    <w:left w:val="single" w:sz="8" w:space="0" w:color="auto"/>
                    <w:bottom w:val="nil"/>
                    <w:right w:val="nil"/>
                  </w:tcBorders>
                  <w:shd w:val="clear" w:color="000000" w:fill="FFFFFF"/>
                  <w:noWrap/>
                  <w:vAlign w:val="bottom"/>
                  <w:hideMark/>
                </w:tcPr>
                <w:p w14:paraId="3C605B14" w14:textId="77777777" w:rsidR="0043684B" w:rsidRPr="00F85253" w:rsidRDefault="0043684B" w:rsidP="0043684B">
                  <w:pPr>
                    <w:spacing w:after="0" w:line="240" w:lineRule="auto"/>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w:t>
                  </w:r>
                </w:p>
              </w:tc>
              <w:tc>
                <w:tcPr>
                  <w:tcW w:w="1282" w:type="dxa"/>
                  <w:tcBorders>
                    <w:top w:val="nil"/>
                    <w:left w:val="nil"/>
                    <w:bottom w:val="nil"/>
                    <w:right w:val="nil"/>
                  </w:tcBorders>
                  <w:shd w:val="clear" w:color="000000" w:fill="FFFFFF"/>
                  <w:noWrap/>
                  <w:vAlign w:val="bottom"/>
                  <w:hideMark/>
                </w:tcPr>
                <w:p w14:paraId="5792E9C1" w14:textId="77777777" w:rsidR="0043684B" w:rsidRPr="00F85253" w:rsidRDefault="0043684B" w:rsidP="0043684B">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w:t>
                  </w:r>
                </w:p>
              </w:tc>
              <w:tc>
                <w:tcPr>
                  <w:tcW w:w="880" w:type="dxa"/>
                  <w:tcBorders>
                    <w:top w:val="nil"/>
                    <w:left w:val="single" w:sz="8" w:space="0" w:color="auto"/>
                    <w:bottom w:val="nil"/>
                    <w:right w:val="nil"/>
                  </w:tcBorders>
                  <w:shd w:val="clear" w:color="000000" w:fill="FFFFFF"/>
                  <w:noWrap/>
                  <w:vAlign w:val="bottom"/>
                  <w:hideMark/>
                </w:tcPr>
                <w:p w14:paraId="3A1E62A3"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940" w:type="dxa"/>
                  <w:tcBorders>
                    <w:top w:val="nil"/>
                    <w:left w:val="nil"/>
                    <w:bottom w:val="nil"/>
                    <w:right w:val="nil"/>
                  </w:tcBorders>
                  <w:shd w:val="clear" w:color="000000" w:fill="FFFFFF"/>
                  <w:noWrap/>
                  <w:vAlign w:val="bottom"/>
                  <w:hideMark/>
                </w:tcPr>
                <w:p w14:paraId="3ABAD2AB"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880" w:type="dxa"/>
                  <w:tcBorders>
                    <w:top w:val="nil"/>
                    <w:left w:val="nil"/>
                    <w:bottom w:val="nil"/>
                    <w:right w:val="nil"/>
                  </w:tcBorders>
                  <w:shd w:val="clear" w:color="000000" w:fill="FFFFFF"/>
                  <w:noWrap/>
                  <w:vAlign w:val="bottom"/>
                  <w:hideMark/>
                </w:tcPr>
                <w:p w14:paraId="2C30C097"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920" w:type="dxa"/>
                  <w:tcBorders>
                    <w:top w:val="nil"/>
                    <w:left w:val="nil"/>
                    <w:bottom w:val="nil"/>
                    <w:right w:val="single" w:sz="8" w:space="0" w:color="auto"/>
                  </w:tcBorders>
                  <w:shd w:val="clear" w:color="000000" w:fill="FFFFFF"/>
                  <w:noWrap/>
                  <w:vAlign w:val="bottom"/>
                  <w:hideMark/>
                </w:tcPr>
                <w:p w14:paraId="65592BDB"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780" w:type="dxa"/>
                  <w:tcBorders>
                    <w:top w:val="nil"/>
                    <w:left w:val="nil"/>
                    <w:bottom w:val="nil"/>
                    <w:right w:val="nil"/>
                  </w:tcBorders>
                  <w:shd w:val="clear" w:color="000000" w:fill="FFFFFF"/>
                  <w:noWrap/>
                  <w:vAlign w:val="bottom"/>
                  <w:hideMark/>
                </w:tcPr>
                <w:p w14:paraId="28F469F2"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780" w:type="dxa"/>
                  <w:tcBorders>
                    <w:top w:val="nil"/>
                    <w:left w:val="nil"/>
                    <w:bottom w:val="nil"/>
                    <w:right w:val="nil"/>
                  </w:tcBorders>
                  <w:shd w:val="clear" w:color="000000" w:fill="FFFFFF"/>
                  <w:noWrap/>
                  <w:vAlign w:val="bottom"/>
                  <w:hideMark/>
                </w:tcPr>
                <w:p w14:paraId="43912648"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780" w:type="dxa"/>
                  <w:tcBorders>
                    <w:top w:val="nil"/>
                    <w:left w:val="nil"/>
                    <w:bottom w:val="nil"/>
                    <w:right w:val="nil"/>
                  </w:tcBorders>
                  <w:shd w:val="clear" w:color="000000" w:fill="FFFFFF"/>
                  <w:noWrap/>
                  <w:vAlign w:val="bottom"/>
                  <w:hideMark/>
                </w:tcPr>
                <w:p w14:paraId="327668EE"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780" w:type="dxa"/>
                  <w:tcBorders>
                    <w:top w:val="nil"/>
                    <w:left w:val="nil"/>
                    <w:bottom w:val="nil"/>
                    <w:right w:val="nil"/>
                  </w:tcBorders>
                  <w:shd w:val="clear" w:color="000000" w:fill="FFFFFF"/>
                  <w:noWrap/>
                  <w:vAlign w:val="bottom"/>
                  <w:hideMark/>
                </w:tcPr>
                <w:p w14:paraId="03A444F6"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780" w:type="dxa"/>
                  <w:tcBorders>
                    <w:top w:val="nil"/>
                    <w:left w:val="nil"/>
                    <w:bottom w:val="nil"/>
                    <w:right w:val="nil"/>
                  </w:tcBorders>
                  <w:shd w:val="clear" w:color="000000" w:fill="FFFFFF"/>
                  <w:noWrap/>
                  <w:vAlign w:val="bottom"/>
                  <w:hideMark/>
                </w:tcPr>
                <w:p w14:paraId="4FF64451"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780" w:type="dxa"/>
                  <w:tcBorders>
                    <w:top w:val="nil"/>
                    <w:left w:val="nil"/>
                    <w:bottom w:val="nil"/>
                    <w:right w:val="single" w:sz="8" w:space="0" w:color="auto"/>
                  </w:tcBorders>
                  <w:shd w:val="clear" w:color="000000" w:fill="FFFFFF"/>
                  <w:noWrap/>
                  <w:vAlign w:val="bottom"/>
                  <w:hideMark/>
                </w:tcPr>
                <w:p w14:paraId="35A7C50C"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r>
            <w:tr w:rsidR="0043684B" w:rsidRPr="00F85253" w14:paraId="76C9EC9B" w14:textId="77777777" w:rsidTr="0043684B">
              <w:trPr>
                <w:trHeight w:val="270"/>
              </w:trPr>
              <w:tc>
                <w:tcPr>
                  <w:tcW w:w="4578" w:type="dxa"/>
                  <w:tcBorders>
                    <w:top w:val="nil"/>
                    <w:left w:val="single" w:sz="8" w:space="0" w:color="auto"/>
                    <w:bottom w:val="single" w:sz="8" w:space="0" w:color="auto"/>
                    <w:right w:val="nil"/>
                  </w:tcBorders>
                  <w:shd w:val="clear" w:color="000000" w:fill="FFFFFF"/>
                  <w:noWrap/>
                  <w:vAlign w:val="bottom"/>
                  <w:hideMark/>
                </w:tcPr>
                <w:p w14:paraId="12B72267" w14:textId="77777777" w:rsidR="0043684B" w:rsidRPr="00F85253" w:rsidRDefault="0043684B" w:rsidP="0043684B">
                  <w:pPr>
                    <w:spacing w:after="0" w:line="240" w:lineRule="auto"/>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Flujo Neto Generado</w:t>
                  </w:r>
                </w:p>
              </w:tc>
              <w:tc>
                <w:tcPr>
                  <w:tcW w:w="1282" w:type="dxa"/>
                  <w:tcBorders>
                    <w:top w:val="nil"/>
                    <w:left w:val="nil"/>
                    <w:bottom w:val="single" w:sz="8" w:space="0" w:color="auto"/>
                    <w:right w:val="nil"/>
                  </w:tcBorders>
                  <w:shd w:val="clear" w:color="000000" w:fill="FFFFFF"/>
                  <w:noWrap/>
                  <w:vAlign w:val="bottom"/>
                  <w:hideMark/>
                </w:tcPr>
                <w:p w14:paraId="16AF8777" w14:textId="77777777" w:rsidR="0043684B" w:rsidRPr="00F85253" w:rsidRDefault="0043684B" w:rsidP="0043684B">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w:t>
                  </w:r>
                  <w:proofErr w:type="gramStart"/>
                  <w:r w:rsidRPr="00F85253">
                    <w:rPr>
                      <w:rFonts w:ascii="Arial" w:eastAsia="Times New Roman" w:hAnsi="Arial" w:cs="Arial"/>
                      <w:b/>
                      <w:bCs/>
                      <w:sz w:val="18"/>
                      <w:szCs w:val="18"/>
                      <w:lang w:val="es-EC" w:eastAsia="es-EC"/>
                    </w:rPr>
                    <w:t>$  145.91</w:t>
                  </w:r>
                  <w:proofErr w:type="gramEnd"/>
                  <w:r w:rsidRPr="00F85253">
                    <w:rPr>
                      <w:rFonts w:ascii="Arial" w:eastAsia="Times New Roman" w:hAnsi="Arial" w:cs="Arial"/>
                      <w:b/>
                      <w:bCs/>
                      <w:sz w:val="18"/>
                      <w:szCs w:val="18"/>
                      <w:lang w:val="es-EC" w:eastAsia="es-EC"/>
                    </w:rPr>
                    <w:t xml:space="preserve"> </w:t>
                  </w:r>
                </w:p>
              </w:tc>
              <w:tc>
                <w:tcPr>
                  <w:tcW w:w="880" w:type="dxa"/>
                  <w:tcBorders>
                    <w:top w:val="nil"/>
                    <w:left w:val="single" w:sz="8" w:space="0" w:color="auto"/>
                    <w:bottom w:val="single" w:sz="8" w:space="0" w:color="auto"/>
                    <w:right w:val="nil"/>
                  </w:tcBorders>
                  <w:shd w:val="clear" w:color="000000" w:fill="FFFFFF"/>
                  <w:noWrap/>
                  <w:vAlign w:val="bottom"/>
                  <w:hideMark/>
                </w:tcPr>
                <w:p w14:paraId="66EC8AFE"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   </w:t>
                  </w:r>
                </w:p>
              </w:tc>
              <w:tc>
                <w:tcPr>
                  <w:tcW w:w="940" w:type="dxa"/>
                  <w:tcBorders>
                    <w:top w:val="nil"/>
                    <w:left w:val="nil"/>
                    <w:bottom w:val="single" w:sz="8" w:space="0" w:color="auto"/>
                    <w:right w:val="nil"/>
                  </w:tcBorders>
                  <w:shd w:val="clear" w:color="000000" w:fill="FFFFFF"/>
                  <w:noWrap/>
                  <w:vAlign w:val="bottom"/>
                  <w:hideMark/>
                </w:tcPr>
                <w:p w14:paraId="1B9D2F76"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-39.11 </w:t>
                  </w:r>
                </w:p>
              </w:tc>
              <w:tc>
                <w:tcPr>
                  <w:tcW w:w="880" w:type="dxa"/>
                  <w:tcBorders>
                    <w:top w:val="nil"/>
                    <w:left w:val="nil"/>
                    <w:bottom w:val="single" w:sz="8" w:space="0" w:color="auto"/>
                    <w:right w:val="nil"/>
                  </w:tcBorders>
                  <w:shd w:val="clear" w:color="000000" w:fill="FFFFFF"/>
                  <w:noWrap/>
                  <w:vAlign w:val="bottom"/>
                  <w:hideMark/>
                </w:tcPr>
                <w:p w14:paraId="78329137"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$ 23.13 </w:t>
                  </w:r>
                </w:p>
              </w:tc>
              <w:tc>
                <w:tcPr>
                  <w:tcW w:w="920" w:type="dxa"/>
                  <w:tcBorders>
                    <w:top w:val="nil"/>
                    <w:left w:val="nil"/>
                    <w:bottom w:val="single" w:sz="8" w:space="0" w:color="auto"/>
                    <w:right w:val="single" w:sz="8" w:space="0" w:color="auto"/>
                  </w:tcBorders>
                  <w:shd w:val="clear" w:color="000000" w:fill="FFFFFF"/>
                  <w:noWrap/>
                  <w:vAlign w:val="bottom"/>
                  <w:hideMark/>
                </w:tcPr>
                <w:p w14:paraId="46F9D288"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w:t>
                  </w:r>
                  <w:proofErr w:type="gramStart"/>
                  <w:r w:rsidRPr="00F85253">
                    <w:rPr>
                      <w:rFonts w:ascii="Arial" w:eastAsia="Times New Roman" w:hAnsi="Arial" w:cs="Arial"/>
                      <w:sz w:val="18"/>
                      <w:szCs w:val="18"/>
                      <w:lang w:val="es-EC" w:eastAsia="es-EC"/>
                    </w:rPr>
                    <w:t>$  23.13</w:t>
                  </w:r>
                  <w:proofErr w:type="gramEnd"/>
                  <w:r w:rsidRPr="00F85253">
                    <w:rPr>
                      <w:rFonts w:ascii="Arial" w:eastAsia="Times New Roman" w:hAnsi="Arial" w:cs="Arial"/>
                      <w:sz w:val="18"/>
                      <w:szCs w:val="18"/>
                      <w:lang w:val="es-EC" w:eastAsia="es-EC"/>
                    </w:rPr>
                    <w:t xml:space="preserve"> </w:t>
                  </w:r>
                </w:p>
              </w:tc>
              <w:tc>
                <w:tcPr>
                  <w:tcW w:w="780" w:type="dxa"/>
                  <w:tcBorders>
                    <w:top w:val="nil"/>
                    <w:left w:val="nil"/>
                    <w:bottom w:val="single" w:sz="8" w:space="0" w:color="auto"/>
                    <w:right w:val="nil"/>
                  </w:tcBorders>
                  <w:shd w:val="clear" w:color="000000" w:fill="FFFFFF"/>
                  <w:noWrap/>
                  <w:vAlign w:val="bottom"/>
                  <w:hideMark/>
                </w:tcPr>
                <w:p w14:paraId="790E8671"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$23.13 </w:t>
                  </w:r>
                </w:p>
              </w:tc>
              <w:tc>
                <w:tcPr>
                  <w:tcW w:w="780" w:type="dxa"/>
                  <w:tcBorders>
                    <w:top w:val="nil"/>
                    <w:left w:val="nil"/>
                    <w:bottom w:val="single" w:sz="8" w:space="0" w:color="auto"/>
                    <w:right w:val="nil"/>
                  </w:tcBorders>
                  <w:shd w:val="clear" w:color="000000" w:fill="FFFFFF"/>
                  <w:noWrap/>
                  <w:vAlign w:val="bottom"/>
                  <w:hideMark/>
                </w:tcPr>
                <w:p w14:paraId="3D48917D"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$23.13 </w:t>
                  </w:r>
                </w:p>
              </w:tc>
              <w:tc>
                <w:tcPr>
                  <w:tcW w:w="780" w:type="dxa"/>
                  <w:tcBorders>
                    <w:top w:val="nil"/>
                    <w:left w:val="nil"/>
                    <w:bottom w:val="single" w:sz="8" w:space="0" w:color="auto"/>
                    <w:right w:val="nil"/>
                  </w:tcBorders>
                  <w:shd w:val="clear" w:color="000000" w:fill="FFFFFF"/>
                  <w:noWrap/>
                  <w:vAlign w:val="bottom"/>
                  <w:hideMark/>
                </w:tcPr>
                <w:p w14:paraId="24024CBE"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$23.13 </w:t>
                  </w:r>
                </w:p>
              </w:tc>
              <w:tc>
                <w:tcPr>
                  <w:tcW w:w="780" w:type="dxa"/>
                  <w:tcBorders>
                    <w:top w:val="nil"/>
                    <w:left w:val="nil"/>
                    <w:bottom w:val="single" w:sz="8" w:space="0" w:color="auto"/>
                    <w:right w:val="nil"/>
                  </w:tcBorders>
                  <w:shd w:val="clear" w:color="000000" w:fill="FFFFFF"/>
                  <w:noWrap/>
                  <w:vAlign w:val="bottom"/>
                  <w:hideMark/>
                </w:tcPr>
                <w:p w14:paraId="0746D0D2"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$23.13 </w:t>
                  </w:r>
                </w:p>
              </w:tc>
              <w:tc>
                <w:tcPr>
                  <w:tcW w:w="780" w:type="dxa"/>
                  <w:tcBorders>
                    <w:top w:val="nil"/>
                    <w:left w:val="nil"/>
                    <w:bottom w:val="single" w:sz="8" w:space="0" w:color="auto"/>
                    <w:right w:val="nil"/>
                  </w:tcBorders>
                  <w:shd w:val="clear" w:color="000000" w:fill="FFFFFF"/>
                  <w:noWrap/>
                  <w:vAlign w:val="bottom"/>
                  <w:hideMark/>
                </w:tcPr>
                <w:p w14:paraId="42C5B9D1"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$23.13 </w:t>
                  </w:r>
                </w:p>
              </w:tc>
              <w:tc>
                <w:tcPr>
                  <w:tcW w:w="780" w:type="dxa"/>
                  <w:tcBorders>
                    <w:top w:val="nil"/>
                    <w:left w:val="nil"/>
                    <w:bottom w:val="single" w:sz="8" w:space="0" w:color="auto"/>
                    <w:right w:val="single" w:sz="8" w:space="0" w:color="auto"/>
                  </w:tcBorders>
                  <w:shd w:val="clear" w:color="000000" w:fill="FFFFFF"/>
                  <w:noWrap/>
                  <w:vAlign w:val="bottom"/>
                  <w:hideMark/>
                </w:tcPr>
                <w:p w14:paraId="3676633D" w14:textId="77777777" w:rsidR="0043684B" w:rsidRPr="00F85253" w:rsidRDefault="0043684B" w:rsidP="0043684B">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$23.13 </w:t>
                  </w:r>
                </w:p>
              </w:tc>
            </w:tr>
            <w:tr w:rsidR="0043684B" w:rsidRPr="00F85253" w14:paraId="351E8A04" w14:textId="77777777" w:rsidTr="00390295">
              <w:trPr>
                <w:trHeight w:val="270"/>
              </w:trPr>
              <w:tc>
                <w:tcPr>
                  <w:tcW w:w="4578" w:type="dxa"/>
                  <w:tcBorders>
                    <w:top w:val="nil"/>
                    <w:left w:val="single" w:sz="8" w:space="0" w:color="auto"/>
                    <w:bottom w:val="single" w:sz="8" w:space="0" w:color="auto"/>
                    <w:right w:val="nil"/>
                  </w:tcBorders>
                  <w:shd w:val="clear" w:color="000000" w:fill="FFFFFF"/>
                  <w:noWrap/>
                  <w:vAlign w:val="bottom"/>
                  <w:hideMark/>
                </w:tcPr>
                <w:p w14:paraId="3B86E128" w14:textId="77777777" w:rsidR="0043684B" w:rsidRPr="00F85253" w:rsidRDefault="0043684B" w:rsidP="0043684B">
                  <w:pPr>
                    <w:spacing w:after="0" w:line="240" w:lineRule="auto"/>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TIR</w:t>
                  </w:r>
                </w:p>
              </w:tc>
              <w:tc>
                <w:tcPr>
                  <w:tcW w:w="1282" w:type="dxa"/>
                  <w:tcBorders>
                    <w:top w:val="nil"/>
                    <w:left w:val="nil"/>
                    <w:bottom w:val="single" w:sz="8" w:space="0" w:color="auto"/>
                    <w:right w:val="nil"/>
                  </w:tcBorders>
                  <w:shd w:val="clear" w:color="000000" w:fill="FFFFFF"/>
                  <w:noWrap/>
                  <w:vAlign w:val="bottom"/>
                  <w:hideMark/>
                </w:tcPr>
                <w:p w14:paraId="40789645" w14:textId="77777777" w:rsidR="0043684B" w:rsidRPr="00F85253" w:rsidRDefault="0043684B" w:rsidP="0043684B">
                  <w:pPr>
                    <w:spacing w:after="0" w:line="240" w:lineRule="auto"/>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w:t>
                  </w:r>
                </w:p>
              </w:tc>
              <w:tc>
                <w:tcPr>
                  <w:tcW w:w="880" w:type="dxa"/>
                  <w:tcBorders>
                    <w:top w:val="nil"/>
                    <w:left w:val="nil"/>
                    <w:bottom w:val="single" w:sz="8" w:space="0" w:color="auto"/>
                    <w:right w:val="nil"/>
                  </w:tcBorders>
                  <w:shd w:val="clear" w:color="000000" w:fill="FFFFFF"/>
                  <w:noWrap/>
                  <w:vAlign w:val="bottom"/>
                  <w:hideMark/>
                </w:tcPr>
                <w:p w14:paraId="6D29ADA1" w14:textId="77777777" w:rsidR="0043684B" w:rsidRPr="00F85253" w:rsidRDefault="0043684B" w:rsidP="0043684B">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w:t>
                  </w:r>
                </w:p>
              </w:tc>
              <w:tc>
                <w:tcPr>
                  <w:tcW w:w="940" w:type="dxa"/>
                  <w:tcBorders>
                    <w:top w:val="nil"/>
                    <w:left w:val="nil"/>
                    <w:bottom w:val="single" w:sz="8" w:space="0" w:color="auto"/>
                    <w:right w:val="nil"/>
                  </w:tcBorders>
                  <w:shd w:val="clear" w:color="000000" w:fill="FFFFFF"/>
                  <w:noWrap/>
                  <w:vAlign w:val="bottom"/>
                  <w:hideMark/>
                </w:tcPr>
                <w:p w14:paraId="72F6EE26" w14:textId="77777777" w:rsidR="0043684B" w:rsidRPr="00F85253" w:rsidRDefault="0043684B" w:rsidP="0043684B">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w:t>
                  </w:r>
                </w:p>
              </w:tc>
              <w:tc>
                <w:tcPr>
                  <w:tcW w:w="880" w:type="dxa"/>
                  <w:tcBorders>
                    <w:top w:val="nil"/>
                    <w:left w:val="nil"/>
                    <w:bottom w:val="single" w:sz="8" w:space="0" w:color="auto"/>
                    <w:right w:val="nil"/>
                  </w:tcBorders>
                  <w:shd w:val="clear" w:color="000000" w:fill="FFFFFF"/>
                  <w:noWrap/>
                  <w:vAlign w:val="bottom"/>
                </w:tcPr>
                <w:p w14:paraId="061B20F8" w14:textId="1765B4AA" w:rsidR="0043684B" w:rsidRPr="00F85253" w:rsidRDefault="0043684B" w:rsidP="0043684B">
                  <w:pPr>
                    <w:spacing w:after="0" w:line="240" w:lineRule="auto"/>
                    <w:jc w:val="right"/>
                    <w:rPr>
                      <w:rFonts w:ascii="Arial" w:eastAsia="Times New Roman" w:hAnsi="Arial" w:cs="Arial"/>
                      <w:b/>
                      <w:bCs/>
                      <w:color w:val="FFFFFF"/>
                      <w:sz w:val="18"/>
                      <w:szCs w:val="18"/>
                      <w:lang w:val="es-EC" w:eastAsia="es-EC"/>
                    </w:rPr>
                  </w:pPr>
                </w:p>
              </w:tc>
              <w:tc>
                <w:tcPr>
                  <w:tcW w:w="920" w:type="dxa"/>
                  <w:tcBorders>
                    <w:top w:val="nil"/>
                    <w:left w:val="nil"/>
                    <w:bottom w:val="single" w:sz="8" w:space="0" w:color="auto"/>
                    <w:right w:val="nil"/>
                  </w:tcBorders>
                  <w:shd w:val="clear" w:color="000000" w:fill="FFFFFF"/>
                  <w:noWrap/>
                  <w:vAlign w:val="bottom"/>
                </w:tcPr>
                <w:p w14:paraId="59CC72A1" w14:textId="2AB5B176" w:rsidR="0043684B" w:rsidRPr="00F85253" w:rsidRDefault="0043684B" w:rsidP="0043684B">
                  <w:pPr>
                    <w:spacing w:after="0" w:line="240" w:lineRule="auto"/>
                    <w:jc w:val="right"/>
                    <w:rPr>
                      <w:rFonts w:ascii="Arial" w:eastAsia="Times New Roman" w:hAnsi="Arial" w:cs="Arial"/>
                      <w:b/>
                      <w:bCs/>
                      <w:color w:val="FFFFFF"/>
                      <w:sz w:val="18"/>
                      <w:szCs w:val="18"/>
                      <w:lang w:val="es-EC" w:eastAsia="es-EC"/>
                    </w:rPr>
                  </w:pPr>
                </w:p>
              </w:tc>
              <w:tc>
                <w:tcPr>
                  <w:tcW w:w="780" w:type="dxa"/>
                  <w:tcBorders>
                    <w:top w:val="nil"/>
                    <w:left w:val="nil"/>
                    <w:bottom w:val="single" w:sz="8" w:space="0" w:color="auto"/>
                    <w:right w:val="nil"/>
                  </w:tcBorders>
                  <w:shd w:val="clear" w:color="000000" w:fill="FFFFFF"/>
                  <w:noWrap/>
                  <w:vAlign w:val="bottom"/>
                </w:tcPr>
                <w:p w14:paraId="13566E98" w14:textId="3415283E" w:rsidR="0043684B" w:rsidRPr="00F85253" w:rsidRDefault="0043684B" w:rsidP="0043684B">
                  <w:pPr>
                    <w:spacing w:after="0" w:line="240" w:lineRule="auto"/>
                    <w:jc w:val="right"/>
                    <w:rPr>
                      <w:rFonts w:ascii="Arial" w:eastAsia="Times New Roman" w:hAnsi="Arial" w:cs="Arial"/>
                      <w:b/>
                      <w:bCs/>
                      <w:color w:val="FFFFFF"/>
                      <w:sz w:val="18"/>
                      <w:szCs w:val="18"/>
                      <w:lang w:val="es-EC" w:eastAsia="es-EC"/>
                    </w:rPr>
                  </w:pPr>
                </w:p>
              </w:tc>
              <w:tc>
                <w:tcPr>
                  <w:tcW w:w="780" w:type="dxa"/>
                  <w:tcBorders>
                    <w:top w:val="nil"/>
                    <w:left w:val="nil"/>
                    <w:bottom w:val="single" w:sz="8" w:space="0" w:color="auto"/>
                    <w:right w:val="nil"/>
                  </w:tcBorders>
                  <w:shd w:val="clear" w:color="000000" w:fill="FFFFFF"/>
                  <w:noWrap/>
                  <w:vAlign w:val="bottom"/>
                </w:tcPr>
                <w:p w14:paraId="75DD8A78" w14:textId="3E2888CE" w:rsidR="0043684B" w:rsidRPr="00F85253" w:rsidRDefault="0043684B" w:rsidP="0043684B">
                  <w:pPr>
                    <w:spacing w:after="0" w:line="240" w:lineRule="auto"/>
                    <w:jc w:val="right"/>
                    <w:rPr>
                      <w:rFonts w:ascii="Arial" w:eastAsia="Times New Roman" w:hAnsi="Arial" w:cs="Arial"/>
                      <w:b/>
                      <w:bCs/>
                      <w:color w:val="FFFFFF"/>
                      <w:sz w:val="18"/>
                      <w:szCs w:val="18"/>
                      <w:lang w:val="es-EC" w:eastAsia="es-EC"/>
                    </w:rPr>
                  </w:pPr>
                </w:p>
              </w:tc>
              <w:tc>
                <w:tcPr>
                  <w:tcW w:w="780" w:type="dxa"/>
                  <w:tcBorders>
                    <w:top w:val="nil"/>
                    <w:left w:val="nil"/>
                    <w:bottom w:val="single" w:sz="8" w:space="0" w:color="auto"/>
                    <w:right w:val="nil"/>
                  </w:tcBorders>
                  <w:shd w:val="clear" w:color="000000" w:fill="FFFFFF"/>
                  <w:noWrap/>
                  <w:vAlign w:val="bottom"/>
                </w:tcPr>
                <w:p w14:paraId="4F1601D9" w14:textId="3408516D" w:rsidR="0043684B" w:rsidRPr="00F85253" w:rsidRDefault="0043684B" w:rsidP="0043684B">
                  <w:pPr>
                    <w:spacing w:after="0" w:line="240" w:lineRule="auto"/>
                    <w:jc w:val="right"/>
                    <w:rPr>
                      <w:rFonts w:ascii="Arial" w:eastAsia="Times New Roman" w:hAnsi="Arial" w:cs="Arial"/>
                      <w:b/>
                      <w:bCs/>
                      <w:color w:val="FFFFFF"/>
                      <w:sz w:val="18"/>
                      <w:szCs w:val="18"/>
                      <w:lang w:val="es-EC" w:eastAsia="es-EC"/>
                    </w:rPr>
                  </w:pPr>
                </w:p>
              </w:tc>
              <w:tc>
                <w:tcPr>
                  <w:tcW w:w="780" w:type="dxa"/>
                  <w:tcBorders>
                    <w:top w:val="nil"/>
                    <w:left w:val="nil"/>
                    <w:bottom w:val="single" w:sz="8" w:space="0" w:color="auto"/>
                    <w:right w:val="nil"/>
                  </w:tcBorders>
                  <w:shd w:val="clear" w:color="000000" w:fill="FFFFFF"/>
                  <w:noWrap/>
                  <w:vAlign w:val="bottom"/>
                </w:tcPr>
                <w:p w14:paraId="1A51BD2C" w14:textId="37AAF1BB" w:rsidR="0043684B" w:rsidRPr="00F85253" w:rsidRDefault="0043684B" w:rsidP="0043684B">
                  <w:pPr>
                    <w:spacing w:after="0" w:line="240" w:lineRule="auto"/>
                    <w:jc w:val="right"/>
                    <w:rPr>
                      <w:rFonts w:ascii="Arial" w:eastAsia="Times New Roman" w:hAnsi="Arial" w:cs="Arial"/>
                      <w:b/>
                      <w:bCs/>
                      <w:color w:val="FFFFFF"/>
                      <w:sz w:val="18"/>
                      <w:szCs w:val="18"/>
                      <w:lang w:val="es-EC" w:eastAsia="es-EC"/>
                    </w:rPr>
                  </w:pPr>
                </w:p>
              </w:tc>
              <w:tc>
                <w:tcPr>
                  <w:tcW w:w="780" w:type="dxa"/>
                  <w:tcBorders>
                    <w:top w:val="nil"/>
                    <w:left w:val="nil"/>
                    <w:bottom w:val="single" w:sz="8" w:space="0" w:color="auto"/>
                    <w:right w:val="nil"/>
                  </w:tcBorders>
                  <w:shd w:val="clear" w:color="000000" w:fill="FFFFFF"/>
                  <w:noWrap/>
                  <w:vAlign w:val="bottom"/>
                </w:tcPr>
                <w:p w14:paraId="4CD30492" w14:textId="1F5FC23A" w:rsidR="0043684B" w:rsidRPr="00F85253" w:rsidRDefault="0043684B" w:rsidP="0043684B">
                  <w:pPr>
                    <w:spacing w:after="0" w:line="240" w:lineRule="auto"/>
                    <w:jc w:val="right"/>
                    <w:rPr>
                      <w:rFonts w:ascii="Arial" w:eastAsia="Times New Roman" w:hAnsi="Arial" w:cs="Arial"/>
                      <w:b/>
                      <w:bCs/>
                      <w:color w:val="FFFFFF"/>
                      <w:sz w:val="18"/>
                      <w:szCs w:val="18"/>
                      <w:lang w:val="es-EC" w:eastAsia="es-EC"/>
                    </w:rPr>
                  </w:pPr>
                </w:p>
              </w:tc>
              <w:tc>
                <w:tcPr>
                  <w:tcW w:w="780" w:type="dxa"/>
                  <w:tcBorders>
                    <w:top w:val="nil"/>
                    <w:left w:val="nil"/>
                    <w:bottom w:val="single" w:sz="8" w:space="0" w:color="auto"/>
                    <w:right w:val="single" w:sz="8" w:space="0" w:color="auto"/>
                  </w:tcBorders>
                  <w:shd w:val="clear" w:color="000000" w:fill="FFFFFF"/>
                  <w:noWrap/>
                  <w:vAlign w:val="bottom"/>
                  <w:hideMark/>
                </w:tcPr>
                <w:p w14:paraId="566328BC" w14:textId="1AC541EE" w:rsidR="0043684B" w:rsidRPr="00F85253" w:rsidRDefault="0043684B" w:rsidP="008941C4">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5</w:t>
                  </w:r>
                  <w:r w:rsidR="008941C4" w:rsidRPr="00F85253">
                    <w:rPr>
                      <w:rFonts w:ascii="Arial" w:eastAsia="Times New Roman" w:hAnsi="Arial" w:cs="Arial"/>
                      <w:b/>
                      <w:bCs/>
                      <w:sz w:val="18"/>
                      <w:szCs w:val="18"/>
                      <w:lang w:val="es-EC" w:eastAsia="es-EC"/>
                    </w:rPr>
                    <w:t>8</w:t>
                  </w:r>
                  <w:r w:rsidRPr="00F85253">
                    <w:rPr>
                      <w:rFonts w:ascii="Arial" w:eastAsia="Times New Roman" w:hAnsi="Arial" w:cs="Arial"/>
                      <w:b/>
                      <w:bCs/>
                      <w:sz w:val="18"/>
                      <w:szCs w:val="18"/>
                      <w:lang w:val="es-EC" w:eastAsia="es-EC"/>
                    </w:rPr>
                    <w:t>%</w:t>
                  </w:r>
                </w:p>
              </w:tc>
            </w:tr>
          </w:tbl>
          <w:p w14:paraId="3AF0947E" w14:textId="10401344" w:rsidR="00CD0BF7" w:rsidRPr="00F85253" w:rsidRDefault="00390295" w:rsidP="0071374F">
            <w:pPr>
              <w:pStyle w:val="Paragraph"/>
              <w:shd w:val="clear" w:color="auto" w:fill="FFFFFF" w:themeFill="background1"/>
              <w:tabs>
                <w:tab w:val="num" w:pos="2196"/>
              </w:tabs>
              <w:spacing w:before="0" w:after="0" w:line="276" w:lineRule="auto"/>
              <w:outlineLvl w:val="9"/>
              <w:rPr>
                <w:rFonts w:ascii="Arial" w:hAnsi="Arial" w:cs="Arial"/>
                <w:sz w:val="22"/>
                <w:szCs w:val="22"/>
                <w:lang w:val="es-ES_tradnl"/>
              </w:rPr>
            </w:pPr>
            <w:r w:rsidRPr="00F85253">
              <w:rPr>
                <w:rFonts w:ascii="Arial" w:hAnsi="Arial" w:cs="Arial"/>
                <w:sz w:val="22"/>
                <w:szCs w:val="22"/>
                <w:lang w:val="es-ES_tradnl"/>
              </w:rPr>
              <w:t xml:space="preserve"> </w:t>
            </w:r>
          </w:p>
        </w:tc>
      </w:tr>
      <w:tr w:rsidR="000B54C0" w:rsidRPr="00F85253" w14:paraId="3AE997F2" w14:textId="77777777" w:rsidTr="000B54C0">
        <w:tc>
          <w:tcPr>
            <w:tcW w:w="14818" w:type="dxa"/>
          </w:tcPr>
          <w:p w14:paraId="7074868B" w14:textId="4B63660D" w:rsidR="00CD0BF7" w:rsidRPr="00F85253" w:rsidRDefault="00A57D8F" w:rsidP="002543DC">
            <w:pPr>
              <w:pStyle w:val="Paragraph"/>
              <w:tabs>
                <w:tab w:val="num" w:pos="2196"/>
              </w:tabs>
              <w:spacing w:before="0" w:after="0" w:line="276" w:lineRule="auto"/>
              <w:outlineLvl w:val="9"/>
              <w:rPr>
                <w:rFonts w:ascii="Arial" w:hAnsi="Arial" w:cs="Arial"/>
                <w:b/>
                <w:sz w:val="22"/>
                <w:szCs w:val="22"/>
                <w:lang w:val="es-ES_tradnl"/>
              </w:rPr>
            </w:pPr>
            <w:r w:rsidRPr="00F85253">
              <w:rPr>
                <w:rFonts w:ascii="Arial" w:hAnsi="Arial" w:cs="Arial"/>
                <w:b/>
                <w:sz w:val="22"/>
                <w:szCs w:val="22"/>
                <w:lang w:val="es-ES_tradnl"/>
              </w:rPr>
              <w:t>Pane</w:t>
            </w:r>
            <w:r w:rsidR="00CD0BF7" w:rsidRPr="00F85253">
              <w:rPr>
                <w:rFonts w:ascii="Arial" w:hAnsi="Arial" w:cs="Arial"/>
                <w:b/>
                <w:sz w:val="22"/>
                <w:szCs w:val="22"/>
                <w:lang w:val="es-ES_tradnl"/>
              </w:rPr>
              <w:t>l B: Eficiencia y Transparencia</w:t>
            </w:r>
          </w:p>
          <w:tbl>
            <w:tblPr>
              <w:tblW w:w="14380" w:type="dxa"/>
              <w:tblCellMar>
                <w:left w:w="70" w:type="dxa"/>
                <w:right w:w="70" w:type="dxa"/>
              </w:tblCellMar>
              <w:tblLook w:val="04A0" w:firstRow="1" w:lastRow="0" w:firstColumn="1" w:lastColumn="0" w:noHBand="0" w:noVBand="1"/>
            </w:tblPr>
            <w:tblGrid>
              <w:gridCol w:w="4840"/>
              <w:gridCol w:w="1020"/>
              <w:gridCol w:w="880"/>
              <w:gridCol w:w="940"/>
              <w:gridCol w:w="880"/>
              <w:gridCol w:w="920"/>
              <w:gridCol w:w="780"/>
              <w:gridCol w:w="780"/>
              <w:gridCol w:w="780"/>
              <w:gridCol w:w="780"/>
              <w:gridCol w:w="780"/>
              <w:gridCol w:w="1000"/>
            </w:tblGrid>
            <w:tr w:rsidR="007E2B33" w:rsidRPr="00F85253" w14:paraId="08BD076B" w14:textId="77777777" w:rsidTr="007E2B33">
              <w:trPr>
                <w:trHeight w:val="270"/>
              </w:trPr>
              <w:tc>
                <w:tcPr>
                  <w:tcW w:w="4840" w:type="dxa"/>
                  <w:tcBorders>
                    <w:top w:val="single" w:sz="8" w:space="0" w:color="auto"/>
                    <w:left w:val="single" w:sz="8" w:space="0" w:color="auto"/>
                    <w:bottom w:val="single" w:sz="8" w:space="0" w:color="auto"/>
                    <w:right w:val="nil"/>
                  </w:tcBorders>
                  <w:shd w:val="clear" w:color="000000" w:fill="FFFFFF"/>
                  <w:noWrap/>
                  <w:vAlign w:val="bottom"/>
                  <w:hideMark/>
                </w:tcPr>
                <w:p w14:paraId="19B9B585" w14:textId="77777777" w:rsidR="007E2B33" w:rsidRPr="00F85253" w:rsidRDefault="007E2B33" w:rsidP="007E2B33">
                  <w:pPr>
                    <w:spacing w:after="0" w:line="240" w:lineRule="auto"/>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ITEM</w:t>
                  </w:r>
                </w:p>
              </w:tc>
              <w:tc>
                <w:tcPr>
                  <w:tcW w:w="1020" w:type="dxa"/>
                  <w:tcBorders>
                    <w:top w:val="single" w:sz="8" w:space="0" w:color="auto"/>
                    <w:left w:val="nil"/>
                    <w:bottom w:val="single" w:sz="8" w:space="0" w:color="auto"/>
                    <w:right w:val="nil"/>
                  </w:tcBorders>
                  <w:shd w:val="clear" w:color="000000" w:fill="FFFFFF"/>
                  <w:noWrap/>
                  <w:vAlign w:val="bottom"/>
                  <w:hideMark/>
                </w:tcPr>
                <w:p w14:paraId="047578FA" w14:textId="77777777" w:rsidR="007E2B33" w:rsidRPr="00F85253" w:rsidRDefault="007E2B33" w:rsidP="007E2B33">
                  <w:pPr>
                    <w:spacing w:after="0" w:line="240" w:lineRule="auto"/>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Subtotal </w:t>
                  </w:r>
                </w:p>
              </w:tc>
              <w:tc>
                <w:tcPr>
                  <w:tcW w:w="880" w:type="dxa"/>
                  <w:tcBorders>
                    <w:top w:val="single" w:sz="8" w:space="0" w:color="auto"/>
                    <w:left w:val="single" w:sz="8" w:space="0" w:color="auto"/>
                    <w:bottom w:val="single" w:sz="8" w:space="0" w:color="auto"/>
                    <w:right w:val="nil"/>
                  </w:tcBorders>
                  <w:shd w:val="clear" w:color="000000" w:fill="FFFFFF"/>
                  <w:noWrap/>
                  <w:vAlign w:val="bottom"/>
                  <w:hideMark/>
                </w:tcPr>
                <w:p w14:paraId="29AEB124" w14:textId="77777777" w:rsidR="007E2B33" w:rsidRPr="00F85253" w:rsidRDefault="007E2B33" w:rsidP="007E2B33">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2019</w:t>
                  </w:r>
                </w:p>
              </w:tc>
              <w:tc>
                <w:tcPr>
                  <w:tcW w:w="940" w:type="dxa"/>
                  <w:tcBorders>
                    <w:top w:val="single" w:sz="8" w:space="0" w:color="auto"/>
                    <w:left w:val="nil"/>
                    <w:bottom w:val="single" w:sz="8" w:space="0" w:color="auto"/>
                    <w:right w:val="nil"/>
                  </w:tcBorders>
                  <w:shd w:val="clear" w:color="000000" w:fill="FFFFFF"/>
                  <w:noWrap/>
                  <w:vAlign w:val="bottom"/>
                  <w:hideMark/>
                </w:tcPr>
                <w:p w14:paraId="2DCE6CE6" w14:textId="77777777" w:rsidR="007E2B33" w:rsidRPr="00F85253" w:rsidRDefault="007E2B33" w:rsidP="007E2B33">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2020</w:t>
                  </w:r>
                </w:p>
              </w:tc>
              <w:tc>
                <w:tcPr>
                  <w:tcW w:w="880" w:type="dxa"/>
                  <w:tcBorders>
                    <w:top w:val="single" w:sz="8" w:space="0" w:color="auto"/>
                    <w:left w:val="nil"/>
                    <w:bottom w:val="single" w:sz="8" w:space="0" w:color="auto"/>
                    <w:right w:val="nil"/>
                  </w:tcBorders>
                  <w:shd w:val="clear" w:color="000000" w:fill="FFFFFF"/>
                  <w:noWrap/>
                  <w:vAlign w:val="bottom"/>
                  <w:hideMark/>
                </w:tcPr>
                <w:p w14:paraId="63347D95" w14:textId="77777777" w:rsidR="007E2B33" w:rsidRPr="00F85253" w:rsidRDefault="007E2B33" w:rsidP="007E2B33">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2021</w:t>
                  </w:r>
                </w:p>
              </w:tc>
              <w:tc>
                <w:tcPr>
                  <w:tcW w:w="920" w:type="dxa"/>
                  <w:tcBorders>
                    <w:top w:val="single" w:sz="8" w:space="0" w:color="auto"/>
                    <w:left w:val="nil"/>
                    <w:bottom w:val="single" w:sz="8" w:space="0" w:color="auto"/>
                    <w:right w:val="nil"/>
                  </w:tcBorders>
                  <w:shd w:val="clear" w:color="000000" w:fill="FFFFFF"/>
                  <w:noWrap/>
                  <w:vAlign w:val="bottom"/>
                  <w:hideMark/>
                </w:tcPr>
                <w:p w14:paraId="6FC2A8A6" w14:textId="77777777" w:rsidR="007E2B33" w:rsidRPr="00F85253" w:rsidRDefault="007E2B33" w:rsidP="007E2B33">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2022</w:t>
                  </w:r>
                </w:p>
              </w:tc>
              <w:tc>
                <w:tcPr>
                  <w:tcW w:w="780" w:type="dxa"/>
                  <w:tcBorders>
                    <w:top w:val="single" w:sz="8" w:space="0" w:color="auto"/>
                    <w:left w:val="single" w:sz="8" w:space="0" w:color="auto"/>
                    <w:bottom w:val="single" w:sz="8" w:space="0" w:color="auto"/>
                    <w:right w:val="nil"/>
                  </w:tcBorders>
                  <w:shd w:val="clear" w:color="000000" w:fill="FFFFFF"/>
                  <w:noWrap/>
                  <w:vAlign w:val="bottom"/>
                  <w:hideMark/>
                </w:tcPr>
                <w:p w14:paraId="19CCDB3F" w14:textId="77777777" w:rsidR="007E2B33" w:rsidRPr="00F85253" w:rsidRDefault="007E2B33" w:rsidP="007E2B33">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2023</w:t>
                  </w:r>
                </w:p>
              </w:tc>
              <w:tc>
                <w:tcPr>
                  <w:tcW w:w="780" w:type="dxa"/>
                  <w:tcBorders>
                    <w:top w:val="single" w:sz="8" w:space="0" w:color="auto"/>
                    <w:left w:val="nil"/>
                    <w:bottom w:val="single" w:sz="8" w:space="0" w:color="auto"/>
                    <w:right w:val="nil"/>
                  </w:tcBorders>
                  <w:shd w:val="clear" w:color="000000" w:fill="FFFFFF"/>
                  <w:noWrap/>
                  <w:vAlign w:val="bottom"/>
                  <w:hideMark/>
                </w:tcPr>
                <w:p w14:paraId="6303CBF0" w14:textId="77777777" w:rsidR="007E2B33" w:rsidRPr="00F85253" w:rsidRDefault="007E2B33" w:rsidP="007E2B33">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2024</w:t>
                  </w:r>
                </w:p>
              </w:tc>
              <w:tc>
                <w:tcPr>
                  <w:tcW w:w="780" w:type="dxa"/>
                  <w:tcBorders>
                    <w:top w:val="single" w:sz="8" w:space="0" w:color="auto"/>
                    <w:left w:val="nil"/>
                    <w:bottom w:val="single" w:sz="8" w:space="0" w:color="auto"/>
                    <w:right w:val="nil"/>
                  </w:tcBorders>
                  <w:shd w:val="clear" w:color="000000" w:fill="FFFFFF"/>
                  <w:noWrap/>
                  <w:vAlign w:val="bottom"/>
                  <w:hideMark/>
                </w:tcPr>
                <w:p w14:paraId="23B39E0A" w14:textId="77777777" w:rsidR="007E2B33" w:rsidRPr="00F85253" w:rsidRDefault="007E2B33" w:rsidP="007E2B33">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2025</w:t>
                  </w:r>
                </w:p>
              </w:tc>
              <w:tc>
                <w:tcPr>
                  <w:tcW w:w="780" w:type="dxa"/>
                  <w:tcBorders>
                    <w:top w:val="single" w:sz="8" w:space="0" w:color="auto"/>
                    <w:left w:val="nil"/>
                    <w:bottom w:val="single" w:sz="8" w:space="0" w:color="auto"/>
                    <w:right w:val="nil"/>
                  </w:tcBorders>
                  <w:shd w:val="clear" w:color="000000" w:fill="FFFFFF"/>
                  <w:noWrap/>
                  <w:vAlign w:val="bottom"/>
                  <w:hideMark/>
                </w:tcPr>
                <w:p w14:paraId="3CC2B608" w14:textId="77777777" w:rsidR="007E2B33" w:rsidRPr="00F85253" w:rsidRDefault="007E2B33" w:rsidP="007E2B33">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2026</w:t>
                  </w:r>
                </w:p>
              </w:tc>
              <w:tc>
                <w:tcPr>
                  <w:tcW w:w="780" w:type="dxa"/>
                  <w:tcBorders>
                    <w:top w:val="single" w:sz="8" w:space="0" w:color="auto"/>
                    <w:left w:val="nil"/>
                    <w:bottom w:val="single" w:sz="8" w:space="0" w:color="auto"/>
                    <w:right w:val="nil"/>
                  </w:tcBorders>
                  <w:shd w:val="clear" w:color="000000" w:fill="FFFFFF"/>
                  <w:noWrap/>
                  <w:vAlign w:val="bottom"/>
                  <w:hideMark/>
                </w:tcPr>
                <w:p w14:paraId="14CE26ED" w14:textId="77777777" w:rsidR="007E2B33" w:rsidRPr="00F85253" w:rsidRDefault="007E2B33" w:rsidP="007E2B33">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2027</w:t>
                  </w:r>
                </w:p>
              </w:tc>
              <w:tc>
                <w:tcPr>
                  <w:tcW w:w="1000" w:type="dxa"/>
                  <w:tcBorders>
                    <w:top w:val="single" w:sz="8" w:space="0" w:color="auto"/>
                    <w:left w:val="nil"/>
                    <w:bottom w:val="single" w:sz="8" w:space="0" w:color="auto"/>
                    <w:right w:val="single" w:sz="8" w:space="0" w:color="auto"/>
                  </w:tcBorders>
                  <w:shd w:val="clear" w:color="000000" w:fill="FFFFFF"/>
                  <w:noWrap/>
                  <w:vAlign w:val="bottom"/>
                  <w:hideMark/>
                </w:tcPr>
                <w:p w14:paraId="43B819A7" w14:textId="77777777" w:rsidR="007E2B33" w:rsidRPr="00F85253" w:rsidRDefault="007E2B33" w:rsidP="007E2B33">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2028</w:t>
                  </w:r>
                </w:p>
              </w:tc>
            </w:tr>
            <w:tr w:rsidR="007E2B33" w:rsidRPr="00F85253" w14:paraId="4D25302E" w14:textId="77777777" w:rsidTr="007E2B33">
              <w:trPr>
                <w:trHeight w:val="255"/>
              </w:trPr>
              <w:tc>
                <w:tcPr>
                  <w:tcW w:w="4840" w:type="dxa"/>
                  <w:tcBorders>
                    <w:top w:val="nil"/>
                    <w:left w:val="single" w:sz="8" w:space="0" w:color="auto"/>
                    <w:bottom w:val="nil"/>
                    <w:right w:val="nil"/>
                  </w:tcBorders>
                  <w:shd w:val="clear" w:color="000000" w:fill="FFFFFF"/>
                  <w:noWrap/>
                  <w:vAlign w:val="bottom"/>
                  <w:hideMark/>
                </w:tcPr>
                <w:p w14:paraId="56D24EFD" w14:textId="77777777" w:rsidR="007E2B33" w:rsidRPr="00F85253" w:rsidRDefault="007E2B33" w:rsidP="007E2B33">
                  <w:pPr>
                    <w:spacing w:after="0" w:line="240" w:lineRule="auto"/>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Beneficios Económicos</w:t>
                  </w:r>
                </w:p>
              </w:tc>
              <w:tc>
                <w:tcPr>
                  <w:tcW w:w="1020" w:type="dxa"/>
                  <w:tcBorders>
                    <w:top w:val="nil"/>
                    <w:left w:val="nil"/>
                    <w:bottom w:val="nil"/>
                    <w:right w:val="nil"/>
                  </w:tcBorders>
                  <w:shd w:val="clear" w:color="000000" w:fill="FFFFFF"/>
                  <w:noWrap/>
                  <w:vAlign w:val="bottom"/>
                  <w:hideMark/>
                </w:tcPr>
                <w:p w14:paraId="5D2D25D0" w14:textId="77777777" w:rsidR="007E2B33" w:rsidRPr="00F85253" w:rsidRDefault="007E2B33" w:rsidP="007E2B33">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w:t>
                  </w:r>
                </w:p>
              </w:tc>
              <w:tc>
                <w:tcPr>
                  <w:tcW w:w="880" w:type="dxa"/>
                  <w:tcBorders>
                    <w:top w:val="nil"/>
                    <w:left w:val="single" w:sz="8" w:space="0" w:color="auto"/>
                    <w:bottom w:val="nil"/>
                    <w:right w:val="nil"/>
                  </w:tcBorders>
                  <w:shd w:val="clear" w:color="000000" w:fill="FFFFFF"/>
                  <w:noWrap/>
                  <w:vAlign w:val="bottom"/>
                  <w:hideMark/>
                </w:tcPr>
                <w:p w14:paraId="2810779A" w14:textId="77777777" w:rsidR="007E2B33" w:rsidRPr="00F85253" w:rsidRDefault="007E2B33" w:rsidP="007E2B33">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w:t>
                  </w:r>
                </w:p>
              </w:tc>
              <w:tc>
                <w:tcPr>
                  <w:tcW w:w="940" w:type="dxa"/>
                  <w:tcBorders>
                    <w:top w:val="nil"/>
                    <w:left w:val="nil"/>
                    <w:bottom w:val="nil"/>
                    <w:right w:val="nil"/>
                  </w:tcBorders>
                  <w:shd w:val="clear" w:color="000000" w:fill="FFFFFF"/>
                  <w:noWrap/>
                  <w:vAlign w:val="bottom"/>
                  <w:hideMark/>
                </w:tcPr>
                <w:p w14:paraId="1AC91D06"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880" w:type="dxa"/>
                  <w:tcBorders>
                    <w:top w:val="nil"/>
                    <w:left w:val="nil"/>
                    <w:bottom w:val="nil"/>
                    <w:right w:val="nil"/>
                  </w:tcBorders>
                  <w:shd w:val="clear" w:color="000000" w:fill="FFFFFF"/>
                  <w:noWrap/>
                  <w:vAlign w:val="bottom"/>
                  <w:hideMark/>
                </w:tcPr>
                <w:p w14:paraId="306B2CFF"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920" w:type="dxa"/>
                  <w:tcBorders>
                    <w:top w:val="nil"/>
                    <w:left w:val="nil"/>
                    <w:bottom w:val="nil"/>
                    <w:right w:val="nil"/>
                  </w:tcBorders>
                  <w:shd w:val="clear" w:color="000000" w:fill="FFFFFF"/>
                  <w:noWrap/>
                  <w:vAlign w:val="bottom"/>
                  <w:hideMark/>
                </w:tcPr>
                <w:p w14:paraId="1AAA06DC"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780" w:type="dxa"/>
                  <w:tcBorders>
                    <w:top w:val="nil"/>
                    <w:left w:val="single" w:sz="8" w:space="0" w:color="auto"/>
                    <w:bottom w:val="nil"/>
                    <w:right w:val="nil"/>
                  </w:tcBorders>
                  <w:shd w:val="clear" w:color="000000" w:fill="FFFFFF"/>
                  <w:noWrap/>
                  <w:vAlign w:val="bottom"/>
                  <w:hideMark/>
                </w:tcPr>
                <w:p w14:paraId="07D5DFB2"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780" w:type="dxa"/>
                  <w:tcBorders>
                    <w:top w:val="nil"/>
                    <w:left w:val="nil"/>
                    <w:bottom w:val="nil"/>
                    <w:right w:val="nil"/>
                  </w:tcBorders>
                  <w:shd w:val="clear" w:color="000000" w:fill="FFFFFF"/>
                  <w:noWrap/>
                  <w:vAlign w:val="bottom"/>
                  <w:hideMark/>
                </w:tcPr>
                <w:p w14:paraId="32F364DD"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780" w:type="dxa"/>
                  <w:tcBorders>
                    <w:top w:val="nil"/>
                    <w:left w:val="nil"/>
                    <w:bottom w:val="nil"/>
                    <w:right w:val="nil"/>
                  </w:tcBorders>
                  <w:shd w:val="clear" w:color="000000" w:fill="FFFFFF"/>
                  <w:noWrap/>
                  <w:vAlign w:val="bottom"/>
                  <w:hideMark/>
                </w:tcPr>
                <w:p w14:paraId="3E714AC7"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780" w:type="dxa"/>
                  <w:tcBorders>
                    <w:top w:val="nil"/>
                    <w:left w:val="nil"/>
                    <w:bottom w:val="nil"/>
                    <w:right w:val="nil"/>
                  </w:tcBorders>
                  <w:shd w:val="clear" w:color="000000" w:fill="FFFFFF"/>
                  <w:noWrap/>
                  <w:vAlign w:val="bottom"/>
                  <w:hideMark/>
                </w:tcPr>
                <w:p w14:paraId="1B4E7BA1"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780" w:type="dxa"/>
                  <w:tcBorders>
                    <w:top w:val="nil"/>
                    <w:left w:val="nil"/>
                    <w:bottom w:val="nil"/>
                    <w:right w:val="nil"/>
                  </w:tcBorders>
                  <w:shd w:val="clear" w:color="000000" w:fill="FFFFFF"/>
                  <w:noWrap/>
                  <w:vAlign w:val="bottom"/>
                  <w:hideMark/>
                </w:tcPr>
                <w:p w14:paraId="2CE97FF8"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1000" w:type="dxa"/>
                  <w:tcBorders>
                    <w:top w:val="nil"/>
                    <w:left w:val="nil"/>
                    <w:bottom w:val="nil"/>
                    <w:right w:val="single" w:sz="8" w:space="0" w:color="auto"/>
                  </w:tcBorders>
                  <w:shd w:val="clear" w:color="000000" w:fill="FFFFFF"/>
                  <w:noWrap/>
                  <w:vAlign w:val="bottom"/>
                  <w:hideMark/>
                </w:tcPr>
                <w:p w14:paraId="14DF1494"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r>
            <w:tr w:rsidR="007E2B33" w:rsidRPr="00F85253" w14:paraId="179ED65C" w14:textId="77777777" w:rsidTr="007E2B33">
              <w:trPr>
                <w:trHeight w:val="255"/>
              </w:trPr>
              <w:tc>
                <w:tcPr>
                  <w:tcW w:w="4840" w:type="dxa"/>
                  <w:tcBorders>
                    <w:top w:val="nil"/>
                    <w:left w:val="single" w:sz="8" w:space="0" w:color="auto"/>
                    <w:bottom w:val="nil"/>
                    <w:right w:val="nil"/>
                  </w:tcBorders>
                  <w:shd w:val="clear" w:color="000000" w:fill="FFFFFF"/>
                  <w:noWrap/>
                  <w:vAlign w:val="bottom"/>
                  <w:hideMark/>
                </w:tcPr>
                <w:p w14:paraId="26B63A51" w14:textId="77777777" w:rsidR="007E2B33" w:rsidRPr="00F85253" w:rsidRDefault="007E2B33" w:rsidP="007E2B33">
                  <w:pPr>
                    <w:spacing w:after="0" w:line="240" w:lineRule="auto"/>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C. Evitados por mejor transparencia</w:t>
                  </w:r>
                </w:p>
              </w:tc>
              <w:tc>
                <w:tcPr>
                  <w:tcW w:w="1020" w:type="dxa"/>
                  <w:tcBorders>
                    <w:top w:val="nil"/>
                    <w:left w:val="nil"/>
                    <w:bottom w:val="nil"/>
                    <w:right w:val="nil"/>
                  </w:tcBorders>
                  <w:shd w:val="clear" w:color="000000" w:fill="FFFFFF"/>
                  <w:noWrap/>
                  <w:vAlign w:val="bottom"/>
                  <w:hideMark/>
                </w:tcPr>
                <w:p w14:paraId="37E7F497" w14:textId="77777777" w:rsidR="007E2B33" w:rsidRPr="00F85253" w:rsidRDefault="007E2B33" w:rsidP="007E2B33">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     9.01 </w:t>
                  </w:r>
                </w:p>
              </w:tc>
              <w:tc>
                <w:tcPr>
                  <w:tcW w:w="880" w:type="dxa"/>
                  <w:tcBorders>
                    <w:top w:val="nil"/>
                    <w:left w:val="single" w:sz="8" w:space="0" w:color="auto"/>
                    <w:bottom w:val="nil"/>
                    <w:right w:val="nil"/>
                  </w:tcBorders>
                  <w:shd w:val="clear" w:color="000000" w:fill="FFFFFF"/>
                  <w:noWrap/>
                  <w:vAlign w:val="bottom"/>
                  <w:hideMark/>
                </w:tcPr>
                <w:p w14:paraId="589F236A"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   </w:t>
                  </w:r>
                </w:p>
              </w:tc>
              <w:tc>
                <w:tcPr>
                  <w:tcW w:w="940" w:type="dxa"/>
                  <w:tcBorders>
                    <w:top w:val="nil"/>
                    <w:left w:val="nil"/>
                    <w:bottom w:val="nil"/>
                    <w:right w:val="nil"/>
                  </w:tcBorders>
                  <w:shd w:val="clear" w:color="000000" w:fill="FFFFFF"/>
                  <w:noWrap/>
                  <w:vAlign w:val="bottom"/>
                  <w:hideMark/>
                </w:tcPr>
                <w:p w14:paraId="6C1E7C30"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   </w:t>
                  </w:r>
                </w:p>
              </w:tc>
              <w:tc>
                <w:tcPr>
                  <w:tcW w:w="880" w:type="dxa"/>
                  <w:tcBorders>
                    <w:top w:val="nil"/>
                    <w:left w:val="nil"/>
                    <w:bottom w:val="nil"/>
                    <w:right w:val="nil"/>
                  </w:tcBorders>
                  <w:shd w:val="clear" w:color="000000" w:fill="FFFFFF"/>
                  <w:noWrap/>
                  <w:vAlign w:val="bottom"/>
                  <w:hideMark/>
                </w:tcPr>
                <w:p w14:paraId="688F1FBE"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   </w:t>
                  </w:r>
                </w:p>
              </w:tc>
              <w:tc>
                <w:tcPr>
                  <w:tcW w:w="920" w:type="dxa"/>
                  <w:tcBorders>
                    <w:top w:val="nil"/>
                    <w:left w:val="nil"/>
                    <w:bottom w:val="nil"/>
                    <w:right w:val="nil"/>
                  </w:tcBorders>
                  <w:shd w:val="clear" w:color="000000" w:fill="FFFFFF"/>
                  <w:noWrap/>
                  <w:vAlign w:val="bottom"/>
                  <w:hideMark/>
                </w:tcPr>
                <w:p w14:paraId="55C1A1DA"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   </w:t>
                  </w:r>
                </w:p>
              </w:tc>
              <w:tc>
                <w:tcPr>
                  <w:tcW w:w="780" w:type="dxa"/>
                  <w:tcBorders>
                    <w:top w:val="nil"/>
                    <w:left w:val="single" w:sz="8" w:space="0" w:color="auto"/>
                    <w:bottom w:val="nil"/>
                    <w:right w:val="nil"/>
                  </w:tcBorders>
                  <w:shd w:val="clear" w:color="000000" w:fill="FFFFFF"/>
                  <w:noWrap/>
                  <w:vAlign w:val="bottom"/>
                  <w:hideMark/>
                </w:tcPr>
                <w:p w14:paraId="006AFC45"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$ 0.24 </w:t>
                  </w:r>
                </w:p>
              </w:tc>
              <w:tc>
                <w:tcPr>
                  <w:tcW w:w="780" w:type="dxa"/>
                  <w:tcBorders>
                    <w:top w:val="nil"/>
                    <w:left w:val="nil"/>
                    <w:bottom w:val="nil"/>
                    <w:right w:val="nil"/>
                  </w:tcBorders>
                  <w:shd w:val="clear" w:color="000000" w:fill="FFFFFF"/>
                  <w:noWrap/>
                  <w:vAlign w:val="bottom"/>
                  <w:hideMark/>
                </w:tcPr>
                <w:p w14:paraId="235C8EE7"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$ 0.42 </w:t>
                  </w:r>
                </w:p>
              </w:tc>
              <w:tc>
                <w:tcPr>
                  <w:tcW w:w="780" w:type="dxa"/>
                  <w:tcBorders>
                    <w:top w:val="nil"/>
                    <w:left w:val="nil"/>
                    <w:bottom w:val="nil"/>
                    <w:right w:val="nil"/>
                  </w:tcBorders>
                  <w:shd w:val="clear" w:color="000000" w:fill="FFFFFF"/>
                  <w:noWrap/>
                  <w:vAlign w:val="bottom"/>
                  <w:hideMark/>
                </w:tcPr>
                <w:p w14:paraId="30E2F15D"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$ 0.74 </w:t>
                  </w:r>
                </w:p>
              </w:tc>
              <w:tc>
                <w:tcPr>
                  <w:tcW w:w="780" w:type="dxa"/>
                  <w:tcBorders>
                    <w:top w:val="nil"/>
                    <w:left w:val="nil"/>
                    <w:bottom w:val="nil"/>
                    <w:right w:val="nil"/>
                  </w:tcBorders>
                  <w:shd w:val="clear" w:color="000000" w:fill="FFFFFF"/>
                  <w:noWrap/>
                  <w:vAlign w:val="bottom"/>
                  <w:hideMark/>
                </w:tcPr>
                <w:p w14:paraId="0D5239AB"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$ 1.31 </w:t>
                  </w:r>
                </w:p>
              </w:tc>
              <w:tc>
                <w:tcPr>
                  <w:tcW w:w="780" w:type="dxa"/>
                  <w:tcBorders>
                    <w:top w:val="nil"/>
                    <w:left w:val="nil"/>
                    <w:bottom w:val="nil"/>
                    <w:right w:val="nil"/>
                  </w:tcBorders>
                  <w:shd w:val="clear" w:color="000000" w:fill="FFFFFF"/>
                  <w:noWrap/>
                  <w:vAlign w:val="bottom"/>
                  <w:hideMark/>
                </w:tcPr>
                <w:p w14:paraId="267B0BC8"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$ 2.29 </w:t>
                  </w:r>
                </w:p>
              </w:tc>
              <w:tc>
                <w:tcPr>
                  <w:tcW w:w="1000" w:type="dxa"/>
                  <w:tcBorders>
                    <w:top w:val="nil"/>
                    <w:left w:val="nil"/>
                    <w:bottom w:val="nil"/>
                    <w:right w:val="single" w:sz="8" w:space="0" w:color="auto"/>
                  </w:tcBorders>
                  <w:shd w:val="clear" w:color="000000" w:fill="FFFFFF"/>
                  <w:noWrap/>
                  <w:vAlign w:val="bottom"/>
                  <w:hideMark/>
                </w:tcPr>
                <w:p w14:paraId="597FD1C2"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4.01 </w:t>
                  </w:r>
                </w:p>
              </w:tc>
            </w:tr>
            <w:tr w:rsidR="007E2B33" w:rsidRPr="00F85253" w14:paraId="76048B66" w14:textId="77777777" w:rsidTr="007E2B33">
              <w:trPr>
                <w:trHeight w:val="255"/>
              </w:trPr>
              <w:tc>
                <w:tcPr>
                  <w:tcW w:w="4840" w:type="dxa"/>
                  <w:tcBorders>
                    <w:top w:val="nil"/>
                    <w:left w:val="single" w:sz="8" w:space="0" w:color="auto"/>
                    <w:bottom w:val="nil"/>
                    <w:right w:val="nil"/>
                  </w:tcBorders>
                  <w:shd w:val="clear" w:color="000000" w:fill="FFFFFF"/>
                  <w:noWrap/>
                  <w:vAlign w:val="bottom"/>
                  <w:hideMark/>
                </w:tcPr>
                <w:p w14:paraId="43923F2B" w14:textId="77777777" w:rsidR="007E2B33" w:rsidRPr="00F85253" w:rsidRDefault="007E2B33" w:rsidP="007E2B33">
                  <w:pPr>
                    <w:spacing w:after="0" w:line="240" w:lineRule="auto"/>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C. Evitados por mejor Eficiencia por fusión</w:t>
                  </w:r>
                </w:p>
              </w:tc>
              <w:tc>
                <w:tcPr>
                  <w:tcW w:w="1020" w:type="dxa"/>
                  <w:tcBorders>
                    <w:top w:val="nil"/>
                    <w:left w:val="nil"/>
                    <w:bottom w:val="nil"/>
                    <w:right w:val="nil"/>
                  </w:tcBorders>
                  <w:shd w:val="clear" w:color="000000" w:fill="FFFFFF"/>
                  <w:noWrap/>
                  <w:vAlign w:val="bottom"/>
                  <w:hideMark/>
                </w:tcPr>
                <w:p w14:paraId="5C8E33DB" w14:textId="77777777" w:rsidR="007E2B33" w:rsidRPr="00F85253" w:rsidRDefault="007E2B33" w:rsidP="007E2B33">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    63.91 </w:t>
                  </w:r>
                </w:p>
              </w:tc>
              <w:tc>
                <w:tcPr>
                  <w:tcW w:w="880" w:type="dxa"/>
                  <w:tcBorders>
                    <w:top w:val="nil"/>
                    <w:left w:val="single" w:sz="8" w:space="0" w:color="auto"/>
                    <w:bottom w:val="nil"/>
                    <w:right w:val="nil"/>
                  </w:tcBorders>
                  <w:shd w:val="clear" w:color="000000" w:fill="FFFFFF"/>
                  <w:noWrap/>
                  <w:vAlign w:val="bottom"/>
                  <w:hideMark/>
                </w:tcPr>
                <w:p w14:paraId="56682D3A"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   </w:t>
                  </w:r>
                </w:p>
              </w:tc>
              <w:tc>
                <w:tcPr>
                  <w:tcW w:w="940" w:type="dxa"/>
                  <w:tcBorders>
                    <w:top w:val="nil"/>
                    <w:left w:val="nil"/>
                    <w:bottom w:val="nil"/>
                    <w:right w:val="nil"/>
                  </w:tcBorders>
                  <w:shd w:val="clear" w:color="000000" w:fill="FFFFFF"/>
                  <w:noWrap/>
                  <w:vAlign w:val="bottom"/>
                  <w:hideMark/>
                </w:tcPr>
                <w:p w14:paraId="759BEDA6"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   </w:t>
                  </w:r>
                </w:p>
              </w:tc>
              <w:tc>
                <w:tcPr>
                  <w:tcW w:w="880" w:type="dxa"/>
                  <w:tcBorders>
                    <w:top w:val="nil"/>
                    <w:left w:val="nil"/>
                    <w:bottom w:val="nil"/>
                    <w:right w:val="nil"/>
                  </w:tcBorders>
                  <w:shd w:val="clear" w:color="000000" w:fill="FFFFFF"/>
                  <w:noWrap/>
                  <w:vAlign w:val="bottom"/>
                  <w:hideMark/>
                </w:tcPr>
                <w:p w14:paraId="79F8E280"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   </w:t>
                  </w:r>
                </w:p>
              </w:tc>
              <w:tc>
                <w:tcPr>
                  <w:tcW w:w="920" w:type="dxa"/>
                  <w:tcBorders>
                    <w:top w:val="nil"/>
                    <w:left w:val="nil"/>
                    <w:bottom w:val="nil"/>
                    <w:right w:val="nil"/>
                  </w:tcBorders>
                  <w:shd w:val="clear" w:color="000000" w:fill="FFFFFF"/>
                  <w:noWrap/>
                  <w:vAlign w:val="bottom"/>
                  <w:hideMark/>
                </w:tcPr>
                <w:p w14:paraId="5C16499A"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   </w:t>
                  </w:r>
                </w:p>
              </w:tc>
              <w:tc>
                <w:tcPr>
                  <w:tcW w:w="780" w:type="dxa"/>
                  <w:tcBorders>
                    <w:top w:val="nil"/>
                    <w:left w:val="single" w:sz="8" w:space="0" w:color="auto"/>
                    <w:bottom w:val="nil"/>
                    <w:right w:val="nil"/>
                  </w:tcBorders>
                  <w:shd w:val="clear" w:color="000000" w:fill="FFFFFF"/>
                  <w:noWrap/>
                  <w:vAlign w:val="bottom"/>
                  <w:hideMark/>
                </w:tcPr>
                <w:p w14:paraId="5E127195"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$ 2.28 </w:t>
                  </w:r>
                </w:p>
              </w:tc>
              <w:tc>
                <w:tcPr>
                  <w:tcW w:w="780" w:type="dxa"/>
                  <w:tcBorders>
                    <w:top w:val="nil"/>
                    <w:left w:val="nil"/>
                    <w:bottom w:val="nil"/>
                    <w:right w:val="nil"/>
                  </w:tcBorders>
                  <w:shd w:val="clear" w:color="000000" w:fill="FFFFFF"/>
                  <w:noWrap/>
                  <w:vAlign w:val="bottom"/>
                  <w:hideMark/>
                </w:tcPr>
                <w:p w14:paraId="049C5CC4"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$ 3.73 </w:t>
                  </w:r>
                </w:p>
              </w:tc>
              <w:tc>
                <w:tcPr>
                  <w:tcW w:w="780" w:type="dxa"/>
                  <w:tcBorders>
                    <w:top w:val="nil"/>
                    <w:left w:val="nil"/>
                    <w:bottom w:val="nil"/>
                    <w:right w:val="nil"/>
                  </w:tcBorders>
                  <w:shd w:val="clear" w:color="000000" w:fill="FFFFFF"/>
                  <w:noWrap/>
                  <w:vAlign w:val="bottom"/>
                  <w:hideMark/>
                </w:tcPr>
                <w:p w14:paraId="7D9F7370"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$ 6.08 </w:t>
                  </w:r>
                </w:p>
              </w:tc>
              <w:tc>
                <w:tcPr>
                  <w:tcW w:w="780" w:type="dxa"/>
                  <w:tcBorders>
                    <w:top w:val="nil"/>
                    <w:left w:val="nil"/>
                    <w:bottom w:val="nil"/>
                    <w:right w:val="nil"/>
                  </w:tcBorders>
                  <w:shd w:val="clear" w:color="000000" w:fill="FFFFFF"/>
                  <w:noWrap/>
                  <w:vAlign w:val="bottom"/>
                  <w:hideMark/>
                </w:tcPr>
                <w:p w14:paraId="691C7E48"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$ 9.89 </w:t>
                  </w:r>
                </w:p>
              </w:tc>
              <w:tc>
                <w:tcPr>
                  <w:tcW w:w="780" w:type="dxa"/>
                  <w:tcBorders>
                    <w:top w:val="nil"/>
                    <w:left w:val="nil"/>
                    <w:bottom w:val="nil"/>
                    <w:right w:val="nil"/>
                  </w:tcBorders>
                  <w:shd w:val="clear" w:color="000000" w:fill="FFFFFF"/>
                  <w:noWrap/>
                  <w:vAlign w:val="bottom"/>
                  <w:hideMark/>
                </w:tcPr>
                <w:p w14:paraId="05256DE5"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$16.02 </w:t>
                  </w:r>
                </w:p>
              </w:tc>
              <w:tc>
                <w:tcPr>
                  <w:tcW w:w="1000" w:type="dxa"/>
                  <w:tcBorders>
                    <w:top w:val="nil"/>
                    <w:left w:val="nil"/>
                    <w:bottom w:val="nil"/>
                    <w:right w:val="single" w:sz="8" w:space="0" w:color="auto"/>
                  </w:tcBorders>
                  <w:shd w:val="clear" w:color="000000" w:fill="FFFFFF"/>
                  <w:noWrap/>
                  <w:vAlign w:val="bottom"/>
                  <w:hideMark/>
                </w:tcPr>
                <w:p w14:paraId="07F5A696"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25.90 </w:t>
                  </w:r>
                </w:p>
              </w:tc>
            </w:tr>
            <w:tr w:rsidR="007E2B33" w:rsidRPr="00F85253" w14:paraId="458AD373" w14:textId="77777777" w:rsidTr="007E2B33">
              <w:trPr>
                <w:trHeight w:val="255"/>
              </w:trPr>
              <w:tc>
                <w:tcPr>
                  <w:tcW w:w="4840" w:type="dxa"/>
                  <w:tcBorders>
                    <w:top w:val="nil"/>
                    <w:left w:val="single" w:sz="8" w:space="0" w:color="auto"/>
                    <w:bottom w:val="nil"/>
                    <w:right w:val="nil"/>
                  </w:tcBorders>
                  <w:shd w:val="clear" w:color="000000" w:fill="FFFFFF"/>
                  <w:noWrap/>
                  <w:vAlign w:val="bottom"/>
                  <w:hideMark/>
                </w:tcPr>
                <w:p w14:paraId="2764D020" w14:textId="77777777" w:rsidR="007E2B33" w:rsidRPr="00F85253" w:rsidRDefault="007E2B33" w:rsidP="007E2B33">
                  <w:pPr>
                    <w:spacing w:after="0" w:line="240" w:lineRule="auto"/>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Subtotal Beneficios</w:t>
                  </w:r>
                </w:p>
              </w:tc>
              <w:tc>
                <w:tcPr>
                  <w:tcW w:w="1020" w:type="dxa"/>
                  <w:tcBorders>
                    <w:top w:val="nil"/>
                    <w:left w:val="nil"/>
                    <w:bottom w:val="nil"/>
                    <w:right w:val="nil"/>
                  </w:tcBorders>
                  <w:shd w:val="clear" w:color="000000" w:fill="FFFFFF"/>
                  <w:noWrap/>
                  <w:vAlign w:val="bottom"/>
                  <w:hideMark/>
                </w:tcPr>
                <w:p w14:paraId="61913011" w14:textId="77777777" w:rsidR="007E2B33" w:rsidRPr="00F85253" w:rsidRDefault="007E2B33" w:rsidP="007E2B33">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    72.92 </w:t>
                  </w:r>
                </w:p>
              </w:tc>
              <w:tc>
                <w:tcPr>
                  <w:tcW w:w="880" w:type="dxa"/>
                  <w:tcBorders>
                    <w:top w:val="nil"/>
                    <w:left w:val="single" w:sz="8" w:space="0" w:color="auto"/>
                    <w:bottom w:val="nil"/>
                    <w:right w:val="nil"/>
                  </w:tcBorders>
                  <w:shd w:val="clear" w:color="000000" w:fill="FFFFFF"/>
                  <w:noWrap/>
                  <w:vAlign w:val="bottom"/>
                  <w:hideMark/>
                </w:tcPr>
                <w:p w14:paraId="19EDF137" w14:textId="77777777" w:rsidR="007E2B33" w:rsidRPr="00F85253" w:rsidRDefault="007E2B33" w:rsidP="007E2B33">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      -   </w:t>
                  </w:r>
                </w:p>
              </w:tc>
              <w:tc>
                <w:tcPr>
                  <w:tcW w:w="940" w:type="dxa"/>
                  <w:tcBorders>
                    <w:top w:val="nil"/>
                    <w:left w:val="nil"/>
                    <w:bottom w:val="nil"/>
                    <w:right w:val="nil"/>
                  </w:tcBorders>
                  <w:shd w:val="clear" w:color="000000" w:fill="FFFFFF"/>
                  <w:noWrap/>
                  <w:vAlign w:val="bottom"/>
                  <w:hideMark/>
                </w:tcPr>
                <w:p w14:paraId="584B9A2E" w14:textId="77777777" w:rsidR="007E2B33" w:rsidRPr="00F85253" w:rsidRDefault="007E2B33" w:rsidP="007E2B33">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       -   </w:t>
                  </w:r>
                </w:p>
              </w:tc>
              <w:tc>
                <w:tcPr>
                  <w:tcW w:w="880" w:type="dxa"/>
                  <w:tcBorders>
                    <w:top w:val="nil"/>
                    <w:left w:val="nil"/>
                    <w:bottom w:val="nil"/>
                    <w:right w:val="nil"/>
                  </w:tcBorders>
                  <w:shd w:val="clear" w:color="000000" w:fill="FFFFFF"/>
                  <w:noWrap/>
                  <w:vAlign w:val="bottom"/>
                  <w:hideMark/>
                </w:tcPr>
                <w:p w14:paraId="6766B053" w14:textId="77777777" w:rsidR="007E2B33" w:rsidRPr="00F85253" w:rsidRDefault="007E2B33" w:rsidP="007E2B33">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      -   </w:t>
                  </w:r>
                </w:p>
              </w:tc>
              <w:tc>
                <w:tcPr>
                  <w:tcW w:w="920" w:type="dxa"/>
                  <w:tcBorders>
                    <w:top w:val="nil"/>
                    <w:left w:val="nil"/>
                    <w:bottom w:val="nil"/>
                    <w:right w:val="nil"/>
                  </w:tcBorders>
                  <w:shd w:val="clear" w:color="000000" w:fill="FFFFFF"/>
                  <w:noWrap/>
                  <w:vAlign w:val="bottom"/>
                  <w:hideMark/>
                </w:tcPr>
                <w:p w14:paraId="69874348" w14:textId="77777777" w:rsidR="007E2B33" w:rsidRPr="00F85253" w:rsidRDefault="007E2B33" w:rsidP="007E2B33">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       -   </w:t>
                  </w:r>
                </w:p>
              </w:tc>
              <w:tc>
                <w:tcPr>
                  <w:tcW w:w="780" w:type="dxa"/>
                  <w:tcBorders>
                    <w:top w:val="nil"/>
                    <w:left w:val="single" w:sz="8" w:space="0" w:color="auto"/>
                    <w:bottom w:val="nil"/>
                    <w:right w:val="nil"/>
                  </w:tcBorders>
                  <w:shd w:val="clear" w:color="000000" w:fill="FFFFFF"/>
                  <w:noWrap/>
                  <w:vAlign w:val="bottom"/>
                  <w:hideMark/>
                </w:tcPr>
                <w:p w14:paraId="052D06EA" w14:textId="77777777" w:rsidR="007E2B33" w:rsidRPr="00F85253" w:rsidRDefault="007E2B33" w:rsidP="007E2B33">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$ 2.52 </w:t>
                  </w:r>
                </w:p>
              </w:tc>
              <w:tc>
                <w:tcPr>
                  <w:tcW w:w="780" w:type="dxa"/>
                  <w:tcBorders>
                    <w:top w:val="nil"/>
                    <w:left w:val="nil"/>
                    <w:bottom w:val="nil"/>
                    <w:right w:val="nil"/>
                  </w:tcBorders>
                  <w:shd w:val="clear" w:color="000000" w:fill="FFFFFF"/>
                  <w:noWrap/>
                  <w:vAlign w:val="bottom"/>
                  <w:hideMark/>
                </w:tcPr>
                <w:p w14:paraId="2B6EE5BF" w14:textId="77777777" w:rsidR="007E2B33" w:rsidRPr="00F85253" w:rsidRDefault="007E2B33" w:rsidP="007E2B33">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$ 4.15 </w:t>
                  </w:r>
                </w:p>
              </w:tc>
              <w:tc>
                <w:tcPr>
                  <w:tcW w:w="780" w:type="dxa"/>
                  <w:tcBorders>
                    <w:top w:val="nil"/>
                    <w:left w:val="nil"/>
                    <w:bottom w:val="nil"/>
                    <w:right w:val="nil"/>
                  </w:tcBorders>
                  <w:shd w:val="clear" w:color="000000" w:fill="FFFFFF"/>
                  <w:noWrap/>
                  <w:vAlign w:val="bottom"/>
                  <w:hideMark/>
                </w:tcPr>
                <w:p w14:paraId="5870A6B4" w14:textId="77777777" w:rsidR="007E2B33" w:rsidRPr="00F85253" w:rsidRDefault="007E2B33" w:rsidP="007E2B33">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$ 6.83 </w:t>
                  </w:r>
                </w:p>
              </w:tc>
              <w:tc>
                <w:tcPr>
                  <w:tcW w:w="780" w:type="dxa"/>
                  <w:tcBorders>
                    <w:top w:val="nil"/>
                    <w:left w:val="nil"/>
                    <w:bottom w:val="nil"/>
                    <w:right w:val="nil"/>
                  </w:tcBorders>
                  <w:shd w:val="clear" w:color="000000" w:fill="FFFFFF"/>
                  <w:noWrap/>
                  <w:vAlign w:val="bottom"/>
                  <w:hideMark/>
                </w:tcPr>
                <w:p w14:paraId="74B82AD1" w14:textId="77777777" w:rsidR="007E2B33" w:rsidRPr="00F85253" w:rsidRDefault="007E2B33" w:rsidP="007E2B33">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$11.19 </w:t>
                  </w:r>
                </w:p>
              </w:tc>
              <w:tc>
                <w:tcPr>
                  <w:tcW w:w="780" w:type="dxa"/>
                  <w:tcBorders>
                    <w:top w:val="nil"/>
                    <w:left w:val="nil"/>
                    <w:bottom w:val="nil"/>
                    <w:right w:val="nil"/>
                  </w:tcBorders>
                  <w:shd w:val="clear" w:color="000000" w:fill="FFFFFF"/>
                  <w:noWrap/>
                  <w:vAlign w:val="bottom"/>
                  <w:hideMark/>
                </w:tcPr>
                <w:p w14:paraId="584F958D" w14:textId="77777777" w:rsidR="007E2B33" w:rsidRPr="00F85253" w:rsidRDefault="007E2B33" w:rsidP="007E2B33">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$18.31 </w:t>
                  </w:r>
                </w:p>
              </w:tc>
              <w:tc>
                <w:tcPr>
                  <w:tcW w:w="1000" w:type="dxa"/>
                  <w:tcBorders>
                    <w:top w:val="nil"/>
                    <w:left w:val="nil"/>
                    <w:bottom w:val="nil"/>
                    <w:right w:val="single" w:sz="8" w:space="0" w:color="auto"/>
                  </w:tcBorders>
                  <w:shd w:val="clear" w:color="000000" w:fill="FFFFFF"/>
                  <w:noWrap/>
                  <w:vAlign w:val="bottom"/>
                  <w:hideMark/>
                </w:tcPr>
                <w:p w14:paraId="0029255B"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29.91 </w:t>
                  </w:r>
                </w:p>
              </w:tc>
            </w:tr>
            <w:tr w:rsidR="007E2B33" w:rsidRPr="00F85253" w14:paraId="2DD93080" w14:textId="77777777" w:rsidTr="007E2B33">
              <w:trPr>
                <w:trHeight w:val="255"/>
              </w:trPr>
              <w:tc>
                <w:tcPr>
                  <w:tcW w:w="4840" w:type="dxa"/>
                  <w:tcBorders>
                    <w:top w:val="nil"/>
                    <w:left w:val="single" w:sz="8" w:space="0" w:color="auto"/>
                    <w:bottom w:val="nil"/>
                    <w:right w:val="nil"/>
                  </w:tcBorders>
                  <w:shd w:val="clear" w:color="000000" w:fill="FFFFFF"/>
                  <w:noWrap/>
                  <w:vAlign w:val="bottom"/>
                  <w:hideMark/>
                </w:tcPr>
                <w:p w14:paraId="79DEAFE0" w14:textId="77777777" w:rsidR="007E2B33" w:rsidRPr="00F85253" w:rsidRDefault="007E2B33" w:rsidP="007E2B33">
                  <w:pPr>
                    <w:spacing w:after="0" w:line="240" w:lineRule="auto"/>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1020" w:type="dxa"/>
                  <w:tcBorders>
                    <w:top w:val="nil"/>
                    <w:left w:val="nil"/>
                    <w:bottom w:val="nil"/>
                    <w:right w:val="nil"/>
                  </w:tcBorders>
                  <w:shd w:val="clear" w:color="000000" w:fill="FFFFFF"/>
                  <w:noWrap/>
                  <w:vAlign w:val="bottom"/>
                  <w:hideMark/>
                </w:tcPr>
                <w:p w14:paraId="6F0E2F70" w14:textId="77777777" w:rsidR="007E2B33" w:rsidRPr="00F85253" w:rsidRDefault="007E2B33" w:rsidP="007E2B33">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w:t>
                  </w:r>
                </w:p>
              </w:tc>
              <w:tc>
                <w:tcPr>
                  <w:tcW w:w="880" w:type="dxa"/>
                  <w:tcBorders>
                    <w:top w:val="nil"/>
                    <w:left w:val="single" w:sz="8" w:space="0" w:color="auto"/>
                    <w:bottom w:val="nil"/>
                    <w:right w:val="nil"/>
                  </w:tcBorders>
                  <w:shd w:val="clear" w:color="000000" w:fill="FFFFFF"/>
                  <w:noWrap/>
                  <w:vAlign w:val="bottom"/>
                  <w:hideMark/>
                </w:tcPr>
                <w:p w14:paraId="0E3EE0B0"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940" w:type="dxa"/>
                  <w:tcBorders>
                    <w:top w:val="nil"/>
                    <w:left w:val="nil"/>
                    <w:bottom w:val="nil"/>
                    <w:right w:val="nil"/>
                  </w:tcBorders>
                  <w:shd w:val="clear" w:color="000000" w:fill="FFFFFF"/>
                  <w:noWrap/>
                  <w:vAlign w:val="bottom"/>
                  <w:hideMark/>
                </w:tcPr>
                <w:p w14:paraId="1D3E834D"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880" w:type="dxa"/>
                  <w:tcBorders>
                    <w:top w:val="nil"/>
                    <w:left w:val="nil"/>
                    <w:bottom w:val="nil"/>
                    <w:right w:val="nil"/>
                  </w:tcBorders>
                  <w:shd w:val="clear" w:color="000000" w:fill="FFFFFF"/>
                  <w:noWrap/>
                  <w:vAlign w:val="bottom"/>
                  <w:hideMark/>
                </w:tcPr>
                <w:p w14:paraId="023FDFC4"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920" w:type="dxa"/>
                  <w:tcBorders>
                    <w:top w:val="nil"/>
                    <w:left w:val="nil"/>
                    <w:bottom w:val="nil"/>
                    <w:right w:val="nil"/>
                  </w:tcBorders>
                  <w:shd w:val="clear" w:color="000000" w:fill="FFFFFF"/>
                  <w:noWrap/>
                  <w:vAlign w:val="bottom"/>
                  <w:hideMark/>
                </w:tcPr>
                <w:p w14:paraId="67781DEB"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780" w:type="dxa"/>
                  <w:tcBorders>
                    <w:top w:val="nil"/>
                    <w:left w:val="single" w:sz="8" w:space="0" w:color="auto"/>
                    <w:bottom w:val="nil"/>
                    <w:right w:val="nil"/>
                  </w:tcBorders>
                  <w:shd w:val="clear" w:color="000000" w:fill="FFFFFF"/>
                  <w:noWrap/>
                  <w:vAlign w:val="bottom"/>
                  <w:hideMark/>
                </w:tcPr>
                <w:p w14:paraId="0620B7AA"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780" w:type="dxa"/>
                  <w:tcBorders>
                    <w:top w:val="nil"/>
                    <w:left w:val="nil"/>
                    <w:bottom w:val="nil"/>
                    <w:right w:val="nil"/>
                  </w:tcBorders>
                  <w:shd w:val="clear" w:color="000000" w:fill="FFFFFF"/>
                  <w:noWrap/>
                  <w:vAlign w:val="bottom"/>
                  <w:hideMark/>
                </w:tcPr>
                <w:p w14:paraId="30329F78"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780" w:type="dxa"/>
                  <w:tcBorders>
                    <w:top w:val="nil"/>
                    <w:left w:val="nil"/>
                    <w:bottom w:val="nil"/>
                    <w:right w:val="nil"/>
                  </w:tcBorders>
                  <w:shd w:val="clear" w:color="000000" w:fill="FFFFFF"/>
                  <w:noWrap/>
                  <w:vAlign w:val="bottom"/>
                  <w:hideMark/>
                </w:tcPr>
                <w:p w14:paraId="211C869A"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780" w:type="dxa"/>
                  <w:tcBorders>
                    <w:top w:val="nil"/>
                    <w:left w:val="nil"/>
                    <w:bottom w:val="nil"/>
                    <w:right w:val="nil"/>
                  </w:tcBorders>
                  <w:shd w:val="clear" w:color="000000" w:fill="FFFFFF"/>
                  <w:noWrap/>
                  <w:vAlign w:val="bottom"/>
                  <w:hideMark/>
                </w:tcPr>
                <w:p w14:paraId="5E648AC6"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780" w:type="dxa"/>
                  <w:tcBorders>
                    <w:top w:val="nil"/>
                    <w:left w:val="nil"/>
                    <w:bottom w:val="nil"/>
                    <w:right w:val="nil"/>
                  </w:tcBorders>
                  <w:shd w:val="clear" w:color="000000" w:fill="FFFFFF"/>
                  <w:noWrap/>
                  <w:vAlign w:val="bottom"/>
                  <w:hideMark/>
                </w:tcPr>
                <w:p w14:paraId="522CBD0C"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1000" w:type="dxa"/>
                  <w:tcBorders>
                    <w:top w:val="nil"/>
                    <w:left w:val="nil"/>
                    <w:bottom w:val="nil"/>
                    <w:right w:val="single" w:sz="8" w:space="0" w:color="auto"/>
                  </w:tcBorders>
                  <w:shd w:val="clear" w:color="000000" w:fill="FFFFFF"/>
                  <w:noWrap/>
                  <w:vAlign w:val="bottom"/>
                  <w:hideMark/>
                </w:tcPr>
                <w:p w14:paraId="195D5D83"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r>
            <w:tr w:rsidR="007E2B33" w:rsidRPr="00F85253" w14:paraId="126EB9FB" w14:textId="77777777" w:rsidTr="007E2B33">
              <w:trPr>
                <w:trHeight w:val="255"/>
              </w:trPr>
              <w:tc>
                <w:tcPr>
                  <w:tcW w:w="4840" w:type="dxa"/>
                  <w:tcBorders>
                    <w:top w:val="nil"/>
                    <w:left w:val="single" w:sz="8" w:space="0" w:color="auto"/>
                    <w:bottom w:val="nil"/>
                    <w:right w:val="nil"/>
                  </w:tcBorders>
                  <w:shd w:val="clear" w:color="000000" w:fill="FFFFFF"/>
                  <w:noWrap/>
                  <w:vAlign w:val="bottom"/>
                  <w:hideMark/>
                </w:tcPr>
                <w:p w14:paraId="0026640A" w14:textId="77777777" w:rsidR="007E2B33" w:rsidRPr="00F85253" w:rsidRDefault="007E2B33" w:rsidP="007E2B33">
                  <w:pPr>
                    <w:spacing w:after="0" w:line="240" w:lineRule="auto"/>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Costes Económicos</w:t>
                  </w:r>
                </w:p>
              </w:tc>
              <w:tc>
                <w:tcPr>
                  <w:tcW w:w="1020" w:type="dxa"/>
                  <w:tcBorders>
                    <w:top w:val="nil"/>
                    <w:left w:val="nil"/>
                    <w:bottom w:val="nil"/>
                    <w:right w:val="nil"/>
                  </w:tcBorders>
                  <w:shd w:val="clear" w:color="000000" w:fill="FFFFFF"/>
                  <w:noWrap/>
                  <w:vAlign w:val="bottom"/>
                  <w:hideMark/>
                </w:tcPr>
                <w:p w14:paraId="5BD87653" w14:textId="77777777" w:rsidR="007E2B33" w:rsidRPr="00F85253" w:rsidRDefault="007E2B33" w:rsidP="007E2B33">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w:t>
                  </w:r>
                </w:p>
              </w:tc>
              <w:tc>
                <w:tcPr>
                  <w:tcW w:w="880" w:type="dxa"/>
                  <w:tcBorders>
                    <w:top w:val="nil"/>
                    <w:left w:val="single" w:sz="8" w:space="0" w:color="auto"/>
                    <w:bottom w:val="nil"/>
                    <w:right w:val="nil"/>
                  </w:tcBorders>
                  <w:shd w:val="clear" w:color="000000" w:fill="FFFFFF"/>
                  <w:noWrap/>
                  <w:vAlign w:val="bottom"/>
                  <w:hideMark/>
                </w:tcPr>
                <w:p w14:paraId="1A402BD1"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940" w:type="dxa"/>
                  <w:tcBorders>
                    <w:top w:val="nil"/>
                    <w:left w:val="nil"/>
                    <w:bottom w:val="nil"/>
                    <w:right w:val="nil"/>
                  </w:tcBorders>
                  <w:shd w:val="clear" w:color="000000" w:fill="FFFFFF"/>
                  <w:noWrap/>
                  <w:vAlign w:val="bottom"/>
                  <w:hideMark/>
                </w:tcPr>
                <w:p w14:paraId="2ADDB4BD"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880" w:type="dxa"/>
                  <w:tcBorders>
                    <w:top w:val="nil"/>
                    <w:left w:val="nil"/>
                    <w:bottom w:val="nil"/>
                    <w:right w:val="nil"/>
                  </w:tcBorders>
                  <w:shd w:val="clear" w:color="000000" w:fill="FFFFFF"/>
                  <w:noWrap/>
                  <w:vAlign w:val="bottom"/>
                  <w:hideMark/>
                </w:tcPr>
                <w:p w14:paraId="166B78E6"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920" w:type="dxa"/>
                  <w:tcBorders>
                    <w:top w:val="nil"/>
                    <w:left w:val="nil"/>
                    <w:bottom w:val="nil"/>
                    <w:right w:val="nil"/>
                  </w:tcBorders>
                  <w:shd w:val="clear" w:color="000000" w:fill="FFFFFF"/>
                  <w:noWrap/>
                  <w:vAlign w:val="bottom"/>
                  <w:hideMark/>
                </w:tcPr>
                <w:p w14:paraId="3409D8E9"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780" w:type="dxa"/>
                  <w:tcBorders>
                    <w:top w:val="nil"/>
                    <w:left w:val="single" w:sz="8" w:space="0" w:color="auto"/>
                    <w:bottom w:val="nil"/>
                    <w:right w:val="nil"/>
                  </w:tcBorders>
                  <w:shd w:val="clear" w:color="000000" w:fill="FFFFFF"/>
                  <w:noWrap/>
                  <w:vAlign w:val="bottom"/>
                  <w:hideMark/>
                </w:tcPr>
                <w:p w14:paraId="78D335D0"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780" w:type="dxa"/>
                  <w:tcBorders>
                    <w:top w:val="nil"/>
                    <w:left w:val="nil"/>
                    <w:bottom w:val="nil"/>
                    <w:right w:val="nil"/>
                  </w:tcBorders>
                  <w:shd w:val="clear" w:color="000000" w:fill="FFFFFF"/>
                  <w:noWrap/>
                  <w:vAlign w:val="bottom"/>
                  <w:hideMark/>
                </w:tcPr>
                <w:p w14:paraId="59C45E3A"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780" w:type="dxa"/>
                  <w:tcBorders>
                    <w:top w:val="nil"/>
                    <w:left w:val="nil"/>
                    <w:bottom w:val="nil"/>
                    <w:right w:val="nil"/>
                  </w:tcBorders>
                  <w:shd w:val="clear" w:color="000000" w:fill="FFFFFF"/>
                  <w:noWrap/>
                  <w:vAlign w:val="bottom"/>
                  <w:hideMark/>
                </w:tcPr>
                <w:p w14:paraId="5D5FC60A"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780" w:type="dxa"/>
                  <w:tcBorders>
                    <w:top w:val="nil"/>
                    <w:left w:val="nil"/>
                    <w:bottom w:val="nil"/>
                    <w:right w:val="nil"/>
                  </w:tcBorders>
                  <w:shd w:val="clear" w:color="000000" w:fill="FFFFFF"/>
                  <w:noWrap/>
                  <w:vAlign w:val="bottom"/>
                  <w:hideMark/>
                </w:tcPr>
                <w:p w14:paraId="3E3D47D9"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780" w:type="dxa"/>
                  <w:tcBorders>
                    <w:top w:val="nil"/>
                    <w:left w:val="nil"/>
                    <w:bottom w:val="nil"/>
                    <w:right w:val="nil"/>
                  </w:tcBorders>
                  <w:shd w:val="clear" w:color="000000" w:fill="FFFFFF"/>
                  <w:noWrap/>
                  <w:vAlign w:val="bottom"/>
                  <w:hideMark/>
                </w:tcPr>
                <w:p w14:paraId="4FFA1DFB"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1000" w:type="dxa"/>
                  <w:tcBorders>
                    <w:top w:val="nil"/>
                    <w:left w:val="nil"/>
                    <w:bottom w:val="nil"/>
                    <w:right w:val="single" w:sz="8" w:space="0" w:color="auto"/>
                  </w:tcBorders>
                  <w:shd w:val="clear" w:color="000000" w:fill="FFFFFF"/>
                  <w:noWrap/>
                  <w:vAlign w:val="bottom"/>
                  <w:hideMark/>
                </w:tcPr>
                <w:p w14:paraId="495D1155"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r>
            <w:tr w:rsidR="007E2B33" w:rsidRPr="00F85253" w14:paraId="66D34A80" w14:textId="77777777" w:rsidTr="007E2B33">
              <w:trPr>
                <w:trHeight w:val="255"/>
              </w:trPr>
              <w:tc>
                <w:tcPr>
                  <w:tcW w:w="4840" w:type="dxa"/>
                  <w:tcBorders>
                    <w:top w:val="nil"/>
                    <w:left w:val="single" w:sz="8" w:space="0" w:color="auto"/>
                    <w:bottom w:val="nil"/>
                    <w:right w:val="nil"/>
                  </w:tcBorders>
                  <w:shd w:val="clear" w:color="000000" w:fill="FFFFFF"/>
                  <w:noWrap/>
                  <w:vAlign w:val="bottom"/>
                  <w:hideMark/>
                </w:tcPr>
                <w:p w14:paraId="3CE18C54" w14:textId="77777777" w:rsidR="007E2B33" w:rsidRPr="00F85253" w:rsidRDefault="007E2B33" w:rsidP="007E2B33">
                  <w:pPr>
                    <w:spacing w:after="0" w:line="240" w:lineRule="auto"/>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CAPEX</w:t>
                  </w:r>
                </w:p>
              </w:tc>
              <w:tc>
                <w:tcPr>
                  <w:tcW w:w="1020" w:type="dxa"/>
                  <w:tcBorders>
                    <w:top w:val="nil"/>
                    <w:left w:val="nil"/>
                    <w:bottom w:val="nil"/>
                    <w:right w:val="nil"/>
                  </w:tcBorders>
                  <w:shd w:val="clear" w:color="000000" w:fill="FFFFFF"/>
                  <w:noWrap/>
                  <w:vAlign w:val="bottom"/>
                  <w:hideMark/>
                </w:tcPr>
                <w:p w14:paraId="33D14A8F" w14:textId="77777777" w:rsidR="007E2B33" w:rsidRPr="00F85253" w:rsidRDefault="007E2B33" w:rsidP="007E2B33">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    26.83 </w:t>
                  </w:r>
                </w:p>
              </w:tc>
              <w:tc>
                <w:tcPr>
                  <w:tcW w:w="880" w:type="dxa"/>
                  <w:tcBorders>
                    <w:top w:val="nil"/>
                    <w:left w:val="single" w:sz="8" w:space="0" w:color="auto"/>
                    <w:bottom w:val="nil"/>
                    <w:right w:val="nil"/>
                  </w:tcBorders>
                  <w:shd w:val="clear" w:color="000000" w:fill="FFFFFF"/>
                  <w:noWrap/>
                  <w:vAlign w:val="bottom"/>
                  <w:hideMark/>
                </w:tcPr>
                <w:p w14:paraId="7F2613D5"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2.32 </w:t>
                  </w:r>
                </w:p>
              </w:tc>
              <w:tc>
                <w:tcPr>
                  <w:tcW w:w="940" w:type="dxa"/>
                  <w:tcBorders>
                    <w:top w:val="nil"/>
                    <w:left w:val="nil"/>
                    <w:bottom w:val="nil"/>
                    <w:right w:val="nil"/>
                  </w:tcBorders>
                  <w:shd w:val="clear" w:color="000000" w:fill="FFFFFF"/>
                  <w:noWrap/>
                  <w:vAlign w:val="bottom"/>
                  <w:hideMark/>
                </w:tcPr>
                <w:p w14:paraId="72D3C1F2"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w:t>
                  </w:r>
                  <w:proofErr w:type="gramStart"/>
                  <w:r w:rsidRPr="00F85253">
                    <w:rPr>
                      <w:rFonts w:ascii="Arial" w:eastAsia="Times New Roman" w:hAnsi="Arial" w:cs="Arial"/>
                      <w:sz w:val="18"/>
                      <w:szCs w:val="18"/>
                      <w:lang w:val="es-EC" w:eastAsia="es-EC"/>
                    </w:rPr>
                    <w:t>$  12.74</w:t>
                  </w:r>
                  <w:proofErr w:type="gramEnd"/>
                  <w:r w:rsidRPr="00F85253">
                    <w:rPr>
                      <w:rFonts w:ascii="Arial" w:eastAsia="Times New Roman" w:hAnsi="Arial" w:cs="Arial"/>
                      <w:sz w:val="18"/>
                      <w:szCs w:val="18"/>
                      <w:lang w:val="es-EC" w:eastAsia="es-EC"/>
                    </w:rPr>
                    <w:t xml:space="preserve"> </w:t>
                  </w:r>
                </w:p>
              </w:tc>
              <w:tc>
                <w:tcPr>
                  <w:tcW w:w="880" w:type="dxa"/>
                  <w:tcBorders>
                    <w:top w:val="nil"/>
                    <w:left w:val="nil"/>
                    <w:bottom w:val="nil"/>
                    <w:right w:val="nil"/>
                  </w:tcBorders>
                  <w:shd w:val="clear" w:color="000000" w:fill="FFFFFF"/>
                  <w:noWrap/>
                  <w:vAlign w:val="bottom"/>
                  <w:hideMark/>
                </w:tcPr>
                <w:p w14:paraId="40C44C96"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9.53 </w:t>
                  </w:r>
                </w:p>
              </w:tc>
              <w:tc>
                <w:tcPr>
                  <w:tcW w:w="920" w:type="dxa"/>
                  <w:tcBorders>
                    <w:top w:val="nil"/>
                    <w:left w:val="nil"/>
                    <w:bottom w:val="nil"/>
                    <w:right w:val="nil"/>
                  </w:tcBorders>
                  <w:shd w:val="clear" w:color="000000" w:fill="FFFFFF"/>
                  <w:noWrap/>
                  <w:vAlign w:val="bottom"/>
                  <w:hideMark/>
                </w:tcPr>
                <w:p w14:paraId="45BAF115"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2.23 </w:t>
                  </w:r>
                </w:p>
              </w:tc>
              <w:tc>
                <w:tcPr>
                  <w:tcW w:w="780" w:type="dxa"/>
                  <w:tcBorders>
                    <w:top w:val="nil"/>
                    <w:left w:val="single" w:sz="8" w:space="0" w:color="auto"/>
                    <w:bottom w:val="nil"/>
                    <w:right w:val="nil"/>
                  </w:tcBorders>
                  <w:shd w:val="clear" w:color="000000" w:fill="FFFFFF"/>
                  <w:noWrap/>
                  <w:vAlign w:val="bottom"/>
                  <w:hideMark/>
                </w:tcPr>
                <w:p w14:paraId="2FBF7D42"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   </w:t>
                  </w:r>
                </w:p>
              </w:tc>
              <w:tc>
                <w:tcPr>
                  <w:tcW w:w="780" w:type="dxa"/>
                  <w:tcBorders>
                    <w:top w:val="nil"/>
                    <w:left w:val="nil"/>
                    <w:bottom w:val="nil"/>
                    <w:right w:val="nil"/>
                  </w:tcBorders>
                  <w:shd w:val="clear" w:color="000000" w:fill="FFFFFF"/>
                  <w:noWrap/>
                  <w:vAlign w:val="bottom"/>
                  <w:hideMark/>
                </w:tcPr>
                <w:p w14:paraId="60352384"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   </w:t>
                  </w:r>
                </w:p>
              </w:tc>
              <w:tc>
                <w:tcPr>
                  <w:tcW w:w="780" w:type="dxa"/>
                  <w:tcBorders>
                    <w:top w:val="nil"/>
                    <w:left w:val="nil"/>
                    <w:bottom w:val="nil"/>
                    <w:right w:val="nil"/>
                  </w:tcBorders>
                  <w:shd w:val="clear" w:color="000000" w:fill="FFFFFF"/>
                  <w:noWrap/>
                  <w:vAlign w:val="bottom"/>
                  <w:hideMark/>
                </w:tcPr>
                <w:p w14:paraId="71A07749"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   </w:t>
                  </w:r>
                </w:p>
              </w:tc>
              <w:tc>
                <w:tcPr>
                  <w:tcW w:w="780" w:type="dxa"/>
                  <w:tcBorders>
                    <w:top w:val="nil"/>
                    <w:left w:val="nil"/>
                    <w:bottom w:val="nil"/>
                    <w:right w:val="nil"/>
                  </w:tcBorders>
                  <w:shd w:val="clear" w:color="000000" w:fill="FFFFFF"/>
                  <w:noWrap/>
                  <w:vAlign w:val="bottom"/>
                  <w:hideMark/>
                </w:tcPr>
                <w:p w14:paraId="340D20C9"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   </w:t>
                  </w:r>
                </w:p>
              </w:tc>
              <w:tc>
                <w:tcPr>
                  <w:tcW w:w="780" w:type="dxa"/>
                  <w:tcBorders>
                    <w:top w:val="nil"/>
                    <w:left w:val="nil"/>
                    <w:bottom w:val="nil"/>
                    <w:right w:val="nil"/>
                  </w:tcBorders>
                  <w:shd w:val="clear" w:color="000000" w:fill="FFFFFF"/>
                  <w:noWrap/>
                  <w:vAlign w:val="bottom"/>
                  <w:hideMark/>
                </w:tcPr>
                <w:p w14:paraId="76AF7CD5"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   </w:t>
                  </w:r>
                </w:p>
              </w:tc>
              <w:tc>
                <w:tcPr>
                  <w:tcW w:w="1000" w:type="dxa"/>
                  <w:tcBorders>
                    <w:top w:val="nil"/>
                    <w:left w:val="nil"/>
                    <w:bottom w:val="nil"/>
                    <w:right w:val="single" w:sz="8" w:space="0" w:color="auto"/>
                  </w:tcBorders>
                  <w:shd w:val="clear" w:color="000000" w:fill="FFFFFF"/>
                  <w:noWrap/>
                  <w:vAlign w:val="bottom"/>
                  <w:hideMark/>
                </w:tcPr>
                <w:p w14:paraId="4554F1F6"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   </w:t>
                  </w:r>
                </w:p>
              </w:tc>
            </w:tr>
            <w:tr w:rsidR="007E2B33" w:rsidRPr="00F85253" w14:paraId="2B23FA13" w14:textId="77777777" w:rsidTr="007E2B33">
              <w:trPr>
                <w:trHeight w:val="255"/>
              </w:trPr>
              <w:tc>
                <w:tcPr>
                  <w:tcW w:w="4840" w:type="dxa"/>
                  <w:tcBorders>
                    <w:top w:val="nil"/>
                    <w:left w:val="single" w:sz="8" w:space="0" w:color="auto"/>
                    <w:bottom w:val="nil"/>
                    <w:right w:val="nil"/>
                  </w:tcBorders>
                  <w:shd w:val="clear" w:color="000000" w:fill="FFFFFF"/>
                  <w:noWrap/>
                  <w:vAlign w:val="bottom"/>
                  <w:hideMark/>
                </w:tcPr>
                <w:p w14:paraId="52DDEC10" w14:textId="77777777" w:rsidR="007E2B33" w:rsidRPr="00F85253" w:rsidRDefault="007E2B33" w:rsidP="007E2B33">
                  <w:pPr>
                    <w:spacing w:after="0" w:line="240" w:lineRule="auto"/>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OPEX</w:t>
                  </w:r>
                </w:p>
              </w:tc>
              <w:tc>
                <w:tcPr>
                  <w:tcW w:w="1020" w:type="dxa"/>
                  <w:tcBorders>
                    <w:top w:val="nil"/>
                    <w:left w:val="nil"/>
                    <w:bottom w:val="nil"/>
                    <w:right w:val="nil"/>
                  </w:tcBorders>
                  <w:shd w:val="clear" w:color="000000" w:fill="FFFFFF"/>
                  <w:noWrap/>
                  <w:vAlign w:val="bottom"/>
                  <w:hideMark/>
                </w:tcPr>
                <w:p w14:paraId="26B5FA4E" w14:textId="77777777" w:rsidR="007E2B33" w:rsidRPr="00F85253" w:rsidRDefault="007E2B33" w:rsidP="007E2B33">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    26.58 </w:t>
                  </w:r>
                </w:p>
              </w:tc>
              <w:tc>
                <w:tcPr>
                  <w:tcW w:w="880" w:type="dxa"/>
                  <w:tcBorders>
                    <w:top w:val="nil"/>
                    <w:left w:val="single" w:sz="8" w:space="0" w:color="auto"/>
                    <w:bottom w:val="nil"/>
                    <w:right w:val="nil"/>
                  </w:tcBorders>
                  <w:shd w:val="clear" w:color="000000" w:fill="FFFFFF"/>
                  <w:noWrap/>
                  <w:vAlign w:val="bottom"/>
                  <w:hideMark/>
                </w:tcPr>
                <w:p w14:paraId="2E5049AB"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0.27 </w:t>
                  </w:r>
                </w:p>
              </w:tc>
              <w:tc>
                <w:tcPr>
                  <w:tcW w:w="940" w:type="dxa"/>
                  <w:tcBorders>
                    <w:top w:val="nil"/>
                    <w:left w:val="nil"/>
                    <w:bottom w:val="nil"/>
                    <w:right w:val="nil"/>
                  </w:tcBorders>
                  <w:shd w:val="clear" w:color="000000" w:fill="FFFFFF"/>
                  <w:noWrap/>
                  <w:vAlign w:val="bottom"/>
                  <w:hideMark/>
                </w:tcPr>
                <w:p w14:paraId="5926FBF6"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1.76 </w:t>
                  </w:r>
                </w:p>
              </w:tc>
              <w:tc>
                <w:tcPr>
                  <w:tcW w:w="880" w:type="dxa"/>
                  <w:tcBorders>
                    <w:top w:val="nil"/>
                    <w:left w:val="nil"/>
                    <w:bottom w:val="nil"/>
                    <w:right w:val="nil"/>
                  </w:tcBorders>
                  <w:shd w:val="clear" w:color="000000" w:fill="FFFFFF"/>
                  <w:noWrap/>
                  <w:vAlign w:val="bottom"/>
                  <w:hideMark/>
                </w:tcPr>
                <w:p w14:paraId="479CFA36"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2.87 </w:t>
                  </w:r>
                </w:p>
              </w:tc>
              <w:tc>
                <w:tcPr>
                  <w:tcW w:w="920" w:type="dxa"/>
                  <w:tcBorders>
                    <w:top w:val="nil"/>
                    <w:left w:val="nil"/>
                    <w:bottom w:val="nil"/>
                    <w:right w:val="nil"/>
                  </w:tcBorders>
                  <w:shd w:val="clear" w:color="000000" w:fill="FFFFFF"/>
                  <w:noWrap/>
                  <w:vAlign w:val="bottom"/>
                  <w:hideMark/>
                </w:tcPr>
                <w:p w14:paraId="6C37CE65"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3.10 </w:t>
                  </w:r>
                </w:p>
              </w:tc>
              <w:tc>
                <w:tcPr>
                  <w:tcW w:w="780" w:type="dxa"/>
                  <w:tcBorders>
                    <w:top w:val="nil"/>
                    <w:left w:val="single" w:sz="8" w:space="0" w:color="auto"/>
                    <w:bottom w:val="nil"/>
                    <w:right w:val="nil"/>
                  </w:tcBorders>
                  <w:shd w:val="clear" w:color="000000" w:fill="FFFFFF"/>
                  <w:noWrap/>
                  <w:vAlign w:val="bottom"/>
                  <w:hideMark/>
                </w:tcPr>
                <w:p w14:paraId="33F5DE4C"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$ 3.10 </w:t>
                  </w:r>
                </w:p>
              </w:tc>
              <w:tc>
                <w:tcPr>
                  <w:tcW w:w="780" w:type="dxa"/>
                  <w:tcBorders>
                    <w:top w:val="nil"/>
                    <w:left w:val="nil"/>
                    <w:bottom w:val="nil"/>
                    <w:right w:val="nil"/>
                  </w:tcBorders>
                  <w:shd w:val="clear" w:color="000000" w:fill="FFFFFF"/>
                  <w:noWrap/>
                  <w:vAlign w:val="bottom"/>
                  <w:hideMark/>
                </w:tcPr>
                <w:p w14:paraId="7A5DC8C5"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$ 3.10 </w:t>
                  </w:r>
                </w:p>
              </w:tc>
              <w:tc>
                <w:tcPr>
                  <w:tcW w:w="780" w:type="dxa"/>
                  <w:tcBorders>
                    <w:top w:val="nil"/>
                    <w:left w:val="nil"/>
                    <w:bottom w:val="nil"/>
                    <w:right w:val="nil"/>
                  </w:tcBorders>
                  <w:shd w:val="clear" w:color="000000" w:fill="FFFFFF"/>
                  <w:noWrap/>
                  <w:vAlign w:val="bottom"/>
                  <w:hideMark/>
                </w:tcPr>
                <w:p w14:paraId="7AEC327C"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$ 3.10 </w:t>
                  </w:r>
                </w:p>
              </w:tc>
              <w:tc>
                <w:tcPr>
                  <w:tcW w:w="780" w:type="dxa"/>
                  <w:tcBorders>
                    <w:top w:val="nil"/>
                    <w:left w:val="nil"/>
                    <w:bottom w:val="nil"/>
                    <w:right w:val="nil"/>
                  </w:tcBorders>
                  <w:shd w:val="clear" w:color="000000" w:fill="FFFFFF"/>
                  <w:noWrap/>
                  <w:vAlign w:val="bottom"/>
                  <w:hideMark/>
                </w:tcPr>
                <w:p w14:paraId="5259C83D"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$ 3.10 </w:t>
                  </w:r>
                </w:p>
              </w:tc>
              <w:tc>
                <w:tcPr>
                  <w:tcW w:w="780" w:type="dxa"/>
                  <w:tcBorders>
                    <w:top w:val="nil"/>
                    <w:left w:val="nil"/>
                    <w:bottom w:val="nil"/>
                    <w:right w:val="nil"/>
                  </w:tcBorders>
                  <w:shd w:val="clear" w:color="000000" w:fill="FFFFFF"/>
                  <w:noWrap/>
                  <w:vAlign w:val="bottom"/>
                  <w:hideMark/>
                </w:tcPr>
                <w:p w14:paraId="5963BC7A"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$ 3.10 </w:t>
                  </w:r>
                </w:p>
              </w:tc>
              <w:tc>
                <w:tcPr>
                  <w:tcW w:w="1000" w:type="dxa"/>
                  <w:tcBorders>
                    <w:top w:val="nil"/>
                    <w:left w:val="nil"/>
                    <w:bottom w:val="nil"/>
                    <w:right w:val="single" w:sz="8" w:space="0" w:color="auto"/>
                  </w:tcBorders>
                  <w:shd w:val="clear" w:color="000000" w:fill="FFFFFF"/>
                  <w:noWrap/>
                  <w:vAlign w:val="bottom"/>
                  <w:hideMark/>
                </w:tcPr>
                <w:p w14:paraId="624278DF"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3.10 </w:t>
                  </w:r>
                </w:p>
              </w:tc>
            </w:tr>
            <w:tr w:rsidR="007E2B33" w:rsidRPr="00F85253" w14:paraId="4D5F1EEA" w14:textId="77777777" w:rsidTr="007E2B33">
              <w:trPr>
                <w:trHeight w:val="255"/>
              </w:trPr>
              <w:tc>
                <w:tcPr>
                  <w:tcW w:w="4840" w:type="dxa"/>
                  <w:tcBorders>
                    <w:top w:val="nil"/>
                    <w:left w:val="single" w:sz="8" w:space="0" w:color="auto"/>
                    <w:bottom w:val="nil"/>
                    <w:right w:val="nil"/>
                  </w:tcBorders>
                  <w:shd w:val="clear" w:color="000000" w:fill="FFFFFF"/>
                  <w:noWrap/>
                  <w:vAlign w:val="bottom"/>
                  <w:hideMark/>
                </w:tcPr>
                <w:p w14:paraId="1E3D766F" w14:textId="77777777" w:rsidR="007E2B33" w:rsidRPr="00F85253" w:rsidRDefault="007E2B33" w:rsidP="007E2B33">
                  <w:pPr>
                    <w:spacing w:after="0" w:line="240" w:lineRule="auto"/>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Subtotal OPEX y CAPEX</w:t>
                  </w:r>
                </w:p>
              </w:tc>
              <w:tc>
                <w:tcPr>
                  <w:tcW w:w="1020" w:type="dxa"/>
                  <w:tcBorders>
                    <w:top w:val="nil"/>
                    <w:left w:val="nil"/>
                    <w:bottom w:val="nil"/>
                    <w:right w:val="nil"/>
                  </w:tcBorders>
                  <w:shd w:val="clear" w:color="000000" w:fill="FFFFFF"/>
                  <w:noWrap/>
                  <w:vAlign w:val="bottom"/>
                  <w:hideMark/>
                </w:tcPr>
                <w:p w14:paraId="36F53766" w14:textId="77777777" w:rsidR="007E2B33" w:rsidRPr="00F85253" w:rsidRDefault="007E2B33" w:rsidP="007E2B33">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    53.41 </w:t>
                  </w:r>
                </w:p>
              </w:tc>
              <w:tc>
                <w:tcPr>
                  <w:tcW w:w="880" w:type="dxa"/>
                  <w:tcBorders>
                    <w:top w:val="nil"/>
                    <w:left w:val="single" w:sz="8" w:space="0" w:color="auto"/>
                    <w:bottom w:val="nil"/>
                    <w:right w:val="nil"/>
                  </w:tcBorders>
                  <w:shd w:val="clear" w:color="000000" w:fill="FFFFFF"/>
                  <w:noWrap/>
                  <w:vAlign w:val="bottom"/>
                  <w:hideMark/>
                </w:tcPr>
                <w:p w14:paraId="785B0AEF" w14:textId="77777777" w:rsidR="007E2B33" w:rsidRPr="00F85253" w:rsidRDefault="007E2B33" w:rsidP="007E2B33">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   2.59 </w:t>
                  </w:r>
                </w:p>
              </w:tc>
              <w:tc>
                <w:tcPr>
                  <w:tcW w:w="940" w:type="dxa"/>
                  <w:tcBorders>
                    <w:top w:val="nil"/>
                    <w:left w:val="nil"/>
                    <w:bottom w:val="nil"/>
                    <w:right w:val="nil"/>
                  </w:tcBorders>
                  <w:shd w:val="clear" w:color="000000" w:fill="FFFFFF"/>
                  <w:noWrap/>
                  <w:vAlign w:val="bottom"/>
                  <w:hideMark/>
                </w:tcPr>
                <w:p w14:paraId="57BF6C95" w14:textId="77777777" w:rsidR="007E2B33" w:rsidRPr="00F85253" w:rsidRDefault="007E2B33" w:rsidP="007E2B33">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w:t>
                  </w:r>
                  <w:proofErr w:type="gramStart"/>
                  <w:r w:rsidRPr="00F85253">
                    <w:rPr>
                      <w:rFonts w:ascii="Arial" w:eastAsia="Times New Roman" w:hAnsi="Arial" w:cs="Arial"/>
                      <w:b/>
                      <w:bCs/>
                      <w:sz w:val="18"/>
                      <w:szCs w:val="18"/>
                      <w:lang w:val="es-EC" w:eastAsia="es-EC"/>
                    </w:rPr>
                    <w:t>$  14.50</w:t>
                  </w:r>
                  <w:proofErr w:type="gramEnd"/>
                  <w:r w:rsidRPr="00F85253">
                    <w:rPr>
                      <w:rFonts w:ascii="Arial" w:eastAsia="Times New Roman" w:hAnsi="Arial" w:cs="Arial"/>
                      <w:b/>
                      <w:bCs/>
                      <w:sz w:val="18"/>
                      <w:szCs w:val="18"/>
                      <w:lang w:val="es-EC" w:eastAsia="es-EC"/>
                    </w:rPr>
                    <w:t xml:space="preserve"> </w:t>
                  </w:r>
                </w:p>
              </w:tc>
              <w:tc>
                <w:tcPr>
                  <w:tcW w:w="880" w:type="dxa"/>
                  <w:tcBorders>
                    <w:top w:val="nil"/>
                    <w:left w:val="nil"/>
                    <w:bottom w:val="nil"/>
                    <w:right w:val="nil"/>
                  </w:tcBorders>
                  <w:shd w:val="clear" w:color="000000" w:fill="FFFFFF"/>
                  <w:noWrap/>
                  <w:vAlign w:val="bottom"/>
                  <w:hideMark/>
                </w:tcPr>
                <w:p w14:paraId="65B57069" w14:textId="77777777" w:rsidR="007E2B33" w:rsidRPr="00F85253" w:rsidRDefault="007E2B33" w:rsidP="007E2B33">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$ 12.40 </w:t>
                  </w:r>
                </w:p>
              </w:tc>
              <w:tc>
                <w:tcPr>
                  <w:tcW w:w="920" w:type="dxa"/>
                  <w:tcBorders>
                    <w:top w:val="nil"/>
                    <w:left w:val="nil"/>
                    <w:bottom w:val="nil"/>
                    <w:right w:val="nil"/>
                  </w:tcBorders>
                  <w:shd w:val="clear" w:color="000000" w:fill="FFFFFF"/>
                  <w:noWrap/>
                  <w:vAlign w:val="bottom"/>
                  <w:hideMark/>
                </w:tcPr>
                <w:p w14:paraId="7CA655A4" w14:textId="77777777" w:rsidR="007E2B33" w:rsidRPr="00F85253" w:rsidRDefault="007E2B33" w:rsidP="007E2B33">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    5.33 </w:t>
                  </w:r>
                </w:p>
              </w:tc>
              <w:tc>
                <w:tcPr>
                  <w:tcW w:w="780" w:type="dxa"/>
                  <w:tcBorders>
                    <w:top w:val="nil"/>
                    <w:left w:val="single" w:sz="8" w:space="0" w:color="auto"/>
                    <w:bottom w:val="nil"/>
                    <w:right w:val="nil"/>
                  </w:tcBorders>
                  <w:shd w:val="clear" w:color="000000" w:fill="FFFFFF"/>
                  <w:noWrap/>
                  <w:vAlign w:val="bottom"/>
                  <w:hideMark/>
                </w:tcPr>
                <w:p w14:paraId="14306B31" w14:textId="77777777" w:rsidR="007E2B33" w:rsidRPr="00F85253" w:rsidRDefault="007E2B33" w:rsidP="007E2B33">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$ 3.10 </w:t>
                  </w:r>
                </w:p>
              </w:tc>
              <w:tc>
                <w:tcPr>
                  <w:tcW w:w="780" w:type="dxa"/>
                  <w:tcBorders>
                    <w:top w:val="nil"/>
                    <w:left w:val="nil"/>
                    <w:bottom w:val="nil"/>
                    <w:right w:val="nil"/>
                  </w:tcBorders>
                  <w:shd w:val="clear" w:color="000000" w:fill="FFFFFF"/>
                  <w:noWrap/>
                  <w:vAlign w:val="bottom"/>
                  <w:hideMark/>
                </w:tcPr>
                <w:p w14:paraId="208CFEF5" w14:textId="77777777" w:rsidR="007E2B33" w:rsidRPr="00F85253" w:rsidRDefault="007E2B33" w:rsidP="007E2B33">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$ 3.10 </w:t>
                  </w:r>
                </w:p>
              </w:tc>
              <w:tc>
                <w:tcPr>
                  <w:tcW w:w="780" w:type="dxa"/>
                  <w:tcBorders>
                    <w:top w:val="nil"/>
                    <w:left w:val="nil"/>
                    <w:bottom w:val="nil"/>
                    <w:right w:val="nil"/>
                  </w:tcBorders>
                  <w:shd w:val="clear" w:color="000000" w:fill="FFFFFF"/>
                  <w:noWrap/>
                  <w:vAlign w:val="bottom"/>
                  <w:hideMark/>
                </w:tcPr>
                <w:p w14:paraId="5C1DD3C5" w14:textId="77777777" w:rsidR="007E2B33" w:rsidRPr="00F85253" w:rsidRDefault="007E2B33" w:rsidP="007E2B33">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$ 3.10 </w:t>
                  </w:r>
                </w:p>
              </w:tc>
              <w:tc>
                <w:tcPr>
                  <w:tcW w:w="780" w:type="dxa"/>
                  <w:tcBorders>
                    <w:top w:val="nil"/>
                    <w:left w:val="nil"/>
                    <w:bottom w:val="nil"/>
                    <w:right w:val="nil"/>
                  </w:tcBorders>
                  <w:shd w:val="clear" w:color="000000" w:fill="FFFFFF"/>
                  <w:noWrap/>
                  <w:vAlign w:val="bottom"/>
                  <w:hideMark/>
                </w:tcPr>
                <w:p w14:paraId="7F521370" w14:textId="77777777" w:rsidR="007E2B33" w:rsidRPr="00F85253" w:rsidRDefault="007E2B33" w:rsidP="007E2B33">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$ 3.10 </w:t>
                  </w:r>
                </w:p>
              </w:tc>
              <w:tc>
                <w:tcPr>
                  <w:tcW w:w="780" w:type="dxa"/>
                  <w:tcBorders>
                    <w:top w:val="nil"/>
                    <w:left w:val="nil"/>
                    <w:bottom w:val="nil"/>
                    <w:right w:val="nil"/>
                  </w:tcBorders>
                  <w:shd w:val="clear" w:color="000000" w:fill="FFFFFF"/>
                  <w:noWrap/>
                  <w:vAlign w:val="bottom"/>
                  <w:hideMark/>
                </w:tcPr>
                <w:p w14:paraId="0AC0BEF4" w14:textId="77777777" w:rsidR="007E2B33" w:rsidRPr="00F85253" w:rsidRDefault="007E2B33" w:rsidP="007E2B33">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$ 3.10 </w:t>
                  </w:r>
                </w:p>
              </w:tc>
              <w:tc>
                <w:tcPr>
                  <w:tcW w:w="1000" w:type="dxa"/>
                  <w:tcBorders>
                    <w:top w:val="nil"/>
                    <w:left w:val="nil"/>
                    <w:bottom w:val="nil"/>
                    <w:right w:val="single" w:sz="8" w:space="0" w:color="auto"/>
                  </w:tcBorders>
                  <w:shd w:val="clear" w:color="000000" w:fill="FFFFFF"/>
                  <w:noWrap/>
                  <w:vAlign w:val="bottom"/>
                  <w:hideMark/>
                </w:tcPr>
                <w:p w14:paraId="1F6A5582" w14:textId="77777777" w:rsidR="007E2B33" w:rsidRPr="00F85253" w:rsidRDefault="007E2B33" w:rsidP="007E2B33">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     3.10 </w:t>
                  </w:r>
                </w:p>
              </w:tc>
            </w:tr>
            <w:tr w:rsidR="007E2B33" w:rsidRPr="00F85253" w14:paraId="763EF170" w14:textId="77777777" w:rsidTr="007E2B33">
              <w:trPr>
                <w:trHeight w:val="255"/>
              </w:trPr>
              <w:tc>
                <w:tcPr>
                  <w:tcW w:w="4840" w:type="dxa"/>
                  <w:tcBorders>
                    <w:top w:val="nil"/>
                    <w:left w:val="single" w:sz="8" w:space="0" w:color="auto"/>
                    <w:bottom w:val="nil"/>
                    <w:right w:val="nil"/>
                  </w:tcBorders>
                  <w:shd w:val="clear" w:color="000000" w:fill="FFFFFF"/>
                  <w:noWrap/>
                  <w:vAlign w:val="bottom"/>
                  <w:hideMark/>
                </w:tcPr>
                <w:p w14:paraId="5531C3CF" w14:textId="77777777" w:rsidR="007E2B33" w:rsidRPr="00F85253" w:rsidRDefault="007E2B33" w:rsidP="007E2B33">
                  <w:pPr>
                    <w:spacing w:after="0" w:line="240" w:lineRule="auto"/>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w:t>
                  </w:r>
                </w:p>
              </w:tc>
              <w:tc>
                <w:tcPr>
                  <w:tcW w:w="1020" w:type="dxa"/>
                  <w:tcBorders>
                    <w:top w:val="nil"/>
                    <w:left w:val="nil"/>
                    <w:bottom w:val="nil"/>
                    <w:right w:val="nil"/>
                  </w:tcBorders>
                  <w:shd w:val="clear" w:color="000000" w:fill="FFFFFF"/>
                  <w:noWrap/>
                  <w:vAlign w:val="bottom"/>
                  <w:hideMark/>
                </w:tcPr>
                <w:p w14:paraId="7131BD01" w14:textId="77777777" w:rsidR="007E2B33" w:rsidRPr="00F85253" w:rsidRDefault="007E2B33" w:rsidP="007E2B33">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w:t>
                  </w:r>
                </w:p>
              </w:tc>
              <w:tc>
                <w:tcPr>
                  <w:tcW w:w="880" w:type="dxa"/>
                  <w:tcBorders>
                    <w:top w:val="nil"/>
                    <w:left w:val="single" w:sz="8" w:space="0" w:color="auto"/>
                    <w:bottom w:val="nil"/>
                    <w:right w:val="nil"/>
                  </w:tcBorders>
                  <w:shd w:val="clear" w:color="000000" w:fill="FFFFFF"/>
                  <w:noWrap/>
                  <w:vAlign w:val="bottom"/>
                  <w:hideMark/>
                </w:tcPr>
                <w:p w14:paraId="1C2CC348"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940" w:type="dxa"/>
                  <w:tcBorders>
                    <w:top w:val="nil"/>
                    <w:left w:val="nil"/>
                    <w:bottom w:val="nil"/>
                    <w:right w:val="nil"/>
                  </w:tcBorders>
                  <w:shd w:val="clear" w:color="000000" w:fill="FFFFFF"/>
                  <w:noWrap/>
                  <w:vAlign w:val="bottom"/>
                  <w:hideMark/>
                </w:tcPr>
                <w:p w14:paraId="7C4C54A1"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880" w:type="dxa"/>
                  <w:tcBorders>
                    <w:top w:val="nil"/>
                    <w:left w:val="nil"/>
                    <w:bottom w:val="nil"/>
                    <w:right w:val="nil"/>
                  </w:tcBorders>
                  <w:shd w:val="clear" w:color="000000" w:fill="FFFFFF"/>
                  <w:noWrap/>
                  <w:vAlign w:val="bottom"/>
                  <w:hideMark/>
                </w:tcPr>
                <w:p w14:paraId="17579C87"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920" w:type="dxa"/>
                  <w:tcBorders>
                    <w:top w:val="nil"/>
                    <w:left w:val="nil"/>
                    <w:bottom w:val="nil"/>
                    <w:right w:val="nil"/>
                  </w:tcBorders>
                  <w:shd w:val="clear" w:color="000000" w:fill="FFFFFF"/>
                  <w:noWrap/>
                  <w:vAlign w:val="bottom"/>
                  <w:hideMark/>
                </w:tcPr>
                <w:p w14:paraId="171C9A39"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780" w:type="dxa"/>
                  <w:tcBorders>
                    <w:top w:val="nil"/>
                    <w:left w:val="single" w:sz="8" w:space="0" w:color="auto"/>
                    <w:bottom w:val="nil"/>
                    <w:right w:val="nil"/>
                  </w:tcBorders>
                  <w:shd w:val="clear" w:color="000000" w:fill="FFFFFF"/>
                  <w:noWrap/>
                  <w:vAlign w:val="bottom"/>
                  <w:hideMark/>
                </w:tcPr>
                <w:p w14:paraId="3F553282"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780" w:type="dxa"/>
                  <w:tcBorders>
                    <w:top w:val="nil"/>
                    <w:left w:val="nil"/>
                    <w:bottom w:val="nil"/>
                    <w:right w:val="nil"/>
                  </w:tcBorders>
                  <w:shd w:val="clear" w:color="000000" w:fill="FFFFFF"/>
                  <w:noWrap/>
                  <w:vAlign w:val="bottom"/>
                  <w:hideMark/>
                </w:tcPr>
                <w:p w14:paraId="427F68BD"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780" w:type="dxa"/>
                  <w:tcBorders>
                    <w:top w:val="nil"/>
                    <w:left w:val="nil"/>
                    <w:bottom w:val="nil"/>
                    <w:right w:val="nil"/>
                  </w:tcBorders>
                  <w:shd w:val="clear" w:color="000000" w:fill="FFFFFF"/>
                  <w:noWrap/>
                  <w:vAlign w:val="bottom"/>
                  <w:hideMark/>
                </w:tcPr>
                <w:p w14:paraId="2CE1E763"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780" w:type="dxa"/>
                  <w:tcBorders>
                    <w:top w:val="nil"/>
                    <w:left w:val="nil"/>
                    <w:bottom w:val="nil"/>
                    <w:right w:val="nil"/>
                  </w:tcBorders>
                  <w:shd w:val="clear" w:color="000000" w:fill="FFFFFF"/>
                  <w:noWrap/>
                  <w:vAlign w:val="bottom"/>
                  <w:hideMark/>
                </w:tcPr>
                <w:p w14:paraId="71769ACD"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780" w:type="dxa"/>
                  <w:tcBorders>
                    <w:top w:val="nil"/>
                    <w:left w:val="nil"/>
                    <w:bottom w:val="nil"/>
                    <w:right w:val="nil"/>
                  </w:tcBorders>
                  <w:shd w:val="clear" w:color="000000" w:fill="FFFFFF"/>
                  <w:noWrap/>
                  <w:vAlign w:val="bottom"/>
                  <w:hideMark/>
                </w:tcPr>
                <w:p w14:paraId="6E1DA281"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1000" w:type="dxa"/>
                  <w:tcBorders>
                    <w:top w:val="nil"/>
                    <w:left w:val="nil"/>
                    <w:bottom w:val="nil"/>
                    <w:right w:val="single" w:sz="8" w:space="0" w:color="auto"/>
                  </w:tcBorders>
                  <w:shd w:val="clear" w:color="000000" w:fill="FFFFFF"/>
                  <w:noWrap/>
                  <w:vAlign w:val="bottom"/>
                  <w:hideMark/>
                </w:tcPr>
                <w:p w14:paraId="01F02EC5"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r>
            <w:tr w:rsidR="007E2B33" w:rsidRPr="00F85253" w14:paraId="6305A70C" w14:textId="77777777" w:rsidTr="007E2B33">
              <w:trPr>
                <w:trHeight w:val="270"/>
              </w:trPr>
              <w:tc>
                <w:tcPr>
                  <w:tcW w:w="4840" w:type="dxa"/>
                  <w:tcBorders>
                    <w:top w:val="nil"/>
                    <w:left w:val="single" w:sz="8" w:space="0" w:color="auto"/>
                    <w:bottom w:val="single" w:sz="8" w:space="0" w:color="auto"/>
                    <w:right w:val="nil"/>
                  </w:tcBorders>
                  <w:shd w:val="clear" w:color="000000" w:fill="FFFFFF"/>
                  <w:noWrap/>
                  <w:vAlign w:val="bottom"/>
                  <w:hideMark/>
                </w:tcPr>
                <w:p w14:paraId="67C14688" w14:textId="77777777" w:rsidR="007E2B33" w:rsidRPr="00F85253" w:rsidRDefault="007E2B33" w:rsidP="007E2B33">
                  <w:pPr>
                    <w:spacing w:after="0" w:line="240" w:lineRule="auto"/>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Flujo Neto Generado</w:t>
                  </w:r>
                </w:p>
              </w:tc>
              <w:tc>
                <w:tcPr>
                  <w:tcW w:w="1020" w:type="dxa"/>
                  <w:tcBorders>
                    <w:top w:val="nil"/>
                    <w:left w:val="nil"/>
                    <w:bottom w:val="single" w:sz="8" w:space="0" w:color="auto"/>
                    <w:right w:val="nil"/>
                  </w:tcBorders>
                  <w:shd w:val="clear" w:color="000000" w:fill="FFFFFF"/>
                  <w:noWrap/>
                  <w:vAlign w:val="bottom"/>
                  <w:hideMark/>
                </w:tcPr>
                <w:p w14:paraId="7CBBAF16" w14:textId="77777777" w:rsidR="007E2B33" w:rsidRPr="00F85253" w:rsidRDefault="007E2B33" w:rsidP="007E2B33">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    19.51 </w:t>
                  </w:r>
                </w:p>
              </w:tc>
              <w:tc>
                <w:tcPr>
                  <w:tcW w:w="880" w:type="dxa"/>
                  <w:tcBorders>
                    <w:top w:val="nil"/>
                    <w:left w:val="single" w:sz="8" w:space="0" w:color="auto"/>
                    <w:bottom w:val="single" w:sz="8" w:space="0" w:color="auto"/>
                    <w:right w:val="nil"/>
                  </w:tcBorders>
                  <w:shd w:val="clear" w:color="000000" w:fill="FFFFFF"/>
                  <w:noWrap/>
                  <w:vAlign w:val="bottom"/>
                  <w:hideMark/>
                </w:tcPr>
                <w:p w14:paraId="4738DD79"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w:t>
                  </w:r>
                  <w:proofErr w:type="gramStart"/>
                  <w:r w:rsidRPr="00F85253">
                    <w:rPr>
                      <w:rFonts w:ascii="Arial" w:eastAsia="Times New Roman" w:hAnsi="Arial" w:cs="Arial"/>
                      <w:sz w:val="18"/>
                      <w:szCs w:val="18"/>
                      <w:lang w:val="es-EC" w:eastAsia="es-EC"/>
                    </w:rPr>
                    <w:t>$  -</w:t>
                  </w:r>
                  <w:proofErr w:type="gramEnd"/>
                  <w:r w:rsidRPr="00F85253">
                    <w:rPr>
                      <w:rFonts w:ascii="Arial" w:eastAsia="Times New Roman" w:hAnsi="Arial" w:cs="Arial"/>
                      <w:sz w:val="18"/>
                      <w:szCs w:val="18"/>
                      <w:lang w:val="es-EC" w:eastAsia="es-EC"/>
                    </w:rPr>
                    <w:t xml:space="preserve">2.59 </w:t>
                  </w:r>
                </w:p>
              </w:tc>
              <w:tc>
                <w:tcPr>
                  <w:tcW w:w="940" w:type="dxa"/>
                  <w:tcBorders>
                    <w:top w:val="nil"/>
                    <w:left w:val="nil"/>
                    <w:bottom w:val="single" w:sz="8" w:space="0" w:color="auto"/>
                    <w:right w:val="nil"/>
                  </w:tcBorders>
                  <w:shd w:val="clear" w:color="000000" w:fill="FFFFFF"/>
                  <w:noWrap/>
                  <w:vAlign w:val="bottom"/>
                  <w:hideMark/>
                </w:tcPr>
                <w:p w14:paraId="6B9535CF"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-14.50 </w:t>
                  </w:r>
                </w:p>
              </w:tc>
              <w:tc>
                <w:tcPr>
                  <w:tcW w:w="880" w:type="dxa"/>
                  <w:tcBorders>
                    <w:top w:val="nil"/>
                    <w:left w:val="nil"/>
                    <w:bottom w:val="single" w:sz="8" w:space="0" w:color="auto"/>
                    <w:right w:val="nil"/>
                  </w:tcBorders>
                  <w:shd w:val="clear" w:color="000000" w:fill="FFFFFF"/>
                  <w:noWrap/>
                  <w:vAlign w:val="bottom"/>
                  <w:hideMark/>
                </w:tcPr>
                <w:p w14:paraId="563E31A5"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$-12.40 </w:t>
                  </w:r>
                </w:p>
              </w:tc>
              <w:tc>
                <w:tcPr>
                  <w:tcW w:w="920" w:type="dxa"/>
                  <w:tcBorders>
                    <w:top w:val="nil"/>
                    <w:left w:val="nil"/>
                    <w:bottom w:val="single" w:sz="8" w:space="0" w:color="auto"/>
                    <w:right w:val="nil"/>
                  </w:tcBorders>
                  <w:shd w:val="clear" w:color="000000" w:fill="FFFFFF"/>
                  <w:noWrap/>
                  <w:vAlign w:val="bottom"/>
                  <w:hideMark/>
                </w:tcPr>
                <w:p w14:paraId="2B037311"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-5.33 </w:t>
                  </w:r>
                </w:p>
              </w:tc>
              <w:tc>
                <w:tcPr>
                  <w:tcW w:w="780" w:type="dxa"/>
                  <w:tcBorders>
                    <w:top w:val="nil"/>
                    <w:left w:val="single" w:sz="8" w:space="0" w:color="auto"/>
                    <w:bottom w:val="single" w:sz="8" w:space="0" w:color="auto"/>
                    <w:right w:val="nil"/>
                  </w:tcBorders>
                  <w:shd w:val="clear" w:color="000000" w:fill="FFFFFF"/>
                  <w:noWrap/>
                  <w:vAlign w:val="bottom"/>
                  <w:hideMark/>
                </w:tcPr>
                <w:p w14:paraId="3E620AC6"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$-0.58 </w:t>
                  </w:r>
                </w:p>
              </w:tc>
              <w:tc>
                <w:tcPr>
                  <w:tcW w:w="780" w:type="dxa"/>
                  <w:tcBorders>
                    <w:top w:val="nil"/>
                    <w:left w:val="nil"/>
                    <w:bottom w:val="single" w:sz="8" w:space="0" w:color="auto"/>
                    <w:right w:val="nil"/>
                  </w:tcBorders>
                  <w:shd w:val="clear" w:color="000000" w:fill="FFFFFF"/>
                  <w:noWrap/>
                  <w:vAlign w:val="bottom"/>
                  <w:hideMark/>
                </w:tcPr>
                <w:p w14:paraId="52441F3A"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$ 1.06 </w:t>
                  </w:r>
                </w:p>
              </w:tc>
              <w:tc>
                <w:tcPr>
                  <w:tcW w:w="780" w:type="dxa"/>
                  <w:tcBorders>
                    <w:top w:val="nil"/>
                    <w:left w:val="nil"/>
                    <w:bottom w:val="single" w:sz="8" w:space="0" w:color="auto"/>
                    <w:right w:val="nil"/>
                  </w:tcBorders>
                  <w:shd w:val="clear" w:color="000000" w:fill="FFFFFF"/>
                  <w:noWrap/>
                  <w:vAlign w:val="bottom"/>
                  <w:hideMark/>
                </w:tcPr>
                <w:p w14:paraId="1A6ED0FC"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$ 3.73 </w:t>
                  </w:r>
                </w:p>
              </w:tc>
              <w:tc>
                <w:tcPr>
                  <w:tcW w:w="780" w:type="dxa"/>
                  <w:tcBorders>
                    <w:top w:val="nil"/>
                    <w:left w:val="nil"/>
                    <w:bottom w:val="single" w:sz="8" w:space="0" w:color="auto"/>
                    <w:right w:val="nil"/>
                  </w:tcBorders>
                  <w:shd w:val="clear" w:color="000000" w:fill="FFFFFF"/>
                  <w:noWrap/>
                  <w:vAlign w:val="bottom"/>
                  <w:hideMark/>
                </w:tcPr>
                <w:p w14:paraId="28541004"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$ 8.10 </w:t>
                  </w:r>
                </w:p>
              </w:tc>
              <w:tc>
                <w:tcPr>
                  <w:tcW w:w="780" w:type="dxa"/>
                  <w:tcBorders>
                    <w:top w:val="nil"/>
                    <w:left w:val="nil"/>
                    <w:bottom w:val="single" w:sz="8" w:space="0" w:color="auto"/>
                    <w:right w:val="nil"/>
                  </w:tcBorders>
                  <w:shd w:val="clear" w:color="000000" w:fill="FFFFFF"/>
                  <w:noWrap/>
                  <w:vAlign w:val="bottom"/>
                  <w:hideMark/>
                </w:tcPr>
                <w:p w14:paraId="3BF73355"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$15.22 </w:t>
                  </w:r>
                </w:p>
              </w:tc>
              <w:tc>
                <w:tcPr>
                  <w:tcW w:w="1000" w:type="dxa"/>
                  <w:tcBorders>
                    <w:top w:val="nil"/>
                    <w:left w:val="nil"/>
                    <w:bottom w:val="single" w:sz="8" w:space="0" w:color="auto"/>
                    <w:right w:val="single" w:sz="8" w:space="0" w:color="auto"/>
                  </w:tcBorders>
                  <w:shd w:val="clear" w:color="000000" w:fill="FFFFFF"/>
                  <w:noWrap/>
                  <w:vAlign w:val="bottom"/>
                  <w:hideMark/>
                </w:tcPr>
                <w:p w14:paraId="15792178" w14:textId="77777777" w:rsidR="007E2B33" w:rsidRPr="00F85253" w:rsidRDefault="007E2B33" w:rsidP="007E2B33">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26.81 </w:t>
                  </w:r>
                </w:p>
              </w:tc>
            </w:tr>
            <w:tr w:rsidR="007E2B33" w:rsidRPr="00F85253" w14:paraId="0DC62FDA" w14:textId="77777777" w:rsidTr="007E2B33">
              <w:trPr>
                <w:trHeight w:val="270"/>
              </w:trPr>
              <w:tc>
                <w:tcPr>
                  <w:tcW w:w="4840" w:type="dxa"/>
                  <w:tcBorders>
                    <w:top w:val="nil"/>
                    <w:left w:val="single" w:sz="8" w:space="0" w:color="auto"/>
                    <w:bottom w:val="single" w:sz="8" w:space="0" w:color="auto"/>
                    <w:right w:val="nil"/>
                  </w:tcBorders>
                  <w:shd w:val="clear" w:color="000000" w:fill="FFFFFF"/>
                  <w:noWrap/>
                  <w:vAlign w:val="bottom"/>
                  <w:hideMark/>
                </w:tcPr>
                <w:p w14:paraId="6AE668E0" w14:textId="77777777" w:rsidR="007E2B33" w:rsidRPr="00F85253" w:rsidRDefault="007E2B33" w:rsidP="007E2B33">
                  <w:pPr>
                    <w:spacing w:after="0" w:line="240" w:lineRule="auto"/>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TIR</w:t>
                  </w:r>
                </w:p>
              </w:tc>
              <w:tc>
                <w:tcPr>
                  <w:tcW w:w="1020" w:type="dxa"/>
                  <w:tcBorders>
                    <w:top w:val="nil"/>
                    <w:left w:val="nil"/>
                    <w:bottom w:val="single" w:sz="8" w:space="0" w:color="auto"/>
                    <w:right w:val="nil"/>
                  </w:tcBorders>
                  <w:shd w:val="clear" w:color="000000" w:fill="FFFFFF"/>
                  <w:noWrap/>
                  <w:vAlign w:val="bottom"/>
                  <w:hideMark/>
                </w:tcPr>
                <w:p w14:paraId="24523A56" w14:textId="77777777" w:rsidR="007E2B33" w:rsidRPr="00F85253" w:rsidRDefault="007E2B33" w:rsidP="007E2B33">
                  <w:pPr>
                    <w:spacing w:after="0" w:line="240" w:lineRule="auto"/>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w:t>
                  </w:r>
                </w:p>
              </w:tc>
              <w:tc>
                <w:tcPr>
                  <w:tcW w:w="880" w:type="dxa"/>
                  <w:tcBorders>
                    <w:top w:val="nil"/>
                    <w:left w:val="single" w:sz="8" w:space="0" w:color="auto"/>
                    <w:bottom w:val="single" w:sz="8" w:space="0" w:color="auto"/>
                    <w:right w:val="nil"/>
                  </w:tcBorders>
                  <w:shd w:val="clear" w:color="000000" w:fill="FFFFFF"/>
                  <w:noWrap/>
                  <w:vAlign w:val="bottom"/>
                </w:tcPr>
                <w:p w14:paraId="0194AA85" w14:textId="492DF7E2" w:rsidR="007E2B33" w:rsidRPr="00F85253" w:rsidRDefault="007E2B33" w:rsidP="007E2B33">
                  <w:pPr>
                    <w:spacing w:after="0" w:line="240" w:lineRule="auto"/>
                    <w:jc w:val="right"/>
                    <w:rPr>
                      <w:rFonts w:ascii="Arial" w:eastAsia="Times New Roman" w:hAnsi="Arial" w:cs="Arial"/>
                      <w:b/>
                      <w:bCs/>
                      <w:sz w:val="18"/>
                      <w:szCs w:val="18"/>
                      <w:lang w:val="es-EC" w:eastAsia="es-EC"/>
                    </w:rPr>
                  </w:pPr>
                </w:p>
              </w:tc>
              <w:tc>
                <w:tcPr>
                  <w:tcW w:w="940" w:type="dxa"/>
                  <w:tcBorders>
                    <w:top w:val="nil"/>
                    <w:left w:val="nil"/>
                    <w:bottom w:val="single" w:sz="8" w:space="0" w:color="auto"/>
                    <w:right w:val="nil"/>
                  </w:tcBorders>
                  <w:shd w:val="clear" w:color="000000" w:fill="FFFFFF"/>
                  <w:noWrap/>
                  <w:vAlign w:val="bottom"/>
                </w:tcPr>
                <w:p w14:paraId="3F5E696A" w14:textId="7FB12038" w:rsidR="007E2B33" w:rsidRPr="00F85253" w:rsidRDefault="007E2B33" w:rsidP="007E2B33">
                  <w:pPr>
                    <w:spacing w:after="0" w:line="240" w:lineRule="auto"/>
                    <w:jc w:val="right"/>
                    <w:rPr>
                      <w:rFonts w:ascii="Arial" w:eastAsia="Times New Roman" w:hAnsi="Arial" w:cs="Arial"/>
                      <w:b/>
                      <w:bCs/>
                      <w:sz w:val="18"/>
                      <w:szCs w:val="18"/>
                      <w:lang w:val="es-EC" w:eastAsia="es-EC"/>
                    </w:rPr>
                  </w:pPr>
                </w:p>
              </w:tc>
              <w:tc>
                <w:tcPr>
                  <w:tcW w:w="880" w:type="dxa"/>
                  <w:tcBorders>
                    <w:top w:val="nil"/>
                    <w:left w:val="nil"/>
                    <w:bottom w:val="single" w:sz="8" w:space="0" w:color="auto"/>
                    <w:right w:val="nil"/>
                  </w:tcBorders>
                  <w:shd w:val="clear" w:color="000000" w:fill="FFFFFF"/>
                  <w:noWrap/>
                  <w:vAlign w:val="bottom"/>
                </w:tcPr>
                <w:p w14:paraId="23FECAB9" w14:textId="06477DC8" w:rsidR="007E2B33" w:rsidRPr="00F85253" w:rsidRDefault="007E2B33" w:rsidP="007E2B33">
                  <w:pPr>
                    <w:spacing w:after="0" w:line="240" w:lineRule="auto"/>
                    <w:jc w:val="right"/>
                    <w:rPr>
                      <w:rFonts w:ascii="Arial" w:eastAsia="Times New Roman" w:hAnsi="Arial" w:cs="Arial"/>
                      <w:b/>
                      <w:bCs/>
                      <w:sz w:val="18"/>
                      <w:szCs w:val="18"/>
                      <w:lang w:val="es-EC" w:eastAsia="es-EC"/>
                    </w:rPr>
                  </w:pPr>
                </w:p>
              </w:tc>
              <w:tc>
                <w:tcPr>
                  <w:tcW w:w="920" w:type="dxa"/>
                  <w:tcBorders>
                    <w:top w:val="nil"/>
                    <w:left w:val="nil"/>
                    <w:bottom w:val="single" w:sz="8" w:space="0" w:color="auto"/>
                    <w:right w:val="nil"/>
                  </w:tcBorders>
                  <w:shd w:val="clear" w:color="000000" w:fill="FFFFFF"/>
                  <w:noWrap/>
                  <w:vAlign w:val="bottom"/>
                </w:tcPr>
                <w:p w14:paraId="00B3D787" w14:textId="71AFF499" w:rsidR="007E2B33" w:rsidRPr="00F85253" w:rsidRDefault="007E2B33" w:rsidP="007E2B33">
                  <w:pPr>
                    <w:spacing w:after="0" w:line="240" w:lineRule="auto"/>
                    <w:jc w:val="right"/>
                    <w:rPr>
                      <w:rFonts w:ascii="Arial" w:eastAsia="Times New Roman" w:hAnsi="Arial" w:cs="Arial"/>
                      <w:b/>
                      <w:bCs/>
                      <w:sz w:val="18"/>
                      <w:szCs w:val="18"/>
                      <w:lang w:val="es-EC" w:eastAsia="es-EC"/>
                    </w:rPr>
                  </w:pPr>
                </w:p>
              </w:tc>
              <w:tc>
                <w:tcPr>
                  <w:tcW w:w="780" w:type="dxa"/>
                  <w:tcBorders>
                    <w:top w:val="nil"/>
                    <w:left w:val="nil"/>
                    <w:bottom w:val="single" w:sz="8" w:space="0" w:color="auto"/>
                    <w:right w:val="nil"/>
                  </w:tcBorders>
                  <w:shd w:val="clear" w:color="000000" w:fill="FFFFFF"/>
                  <w:noWrap/>
                  <w:vAlign w:val="bottom"/>
                </w:tcPr>
                <w:p w14:paraId="0E6011FD" w14:textId="42B34020" w:rsidR="007E2B33" w:rsidRPr="00F85253" w:rsidRDefault="007E2B33" w:rsidP="007E2B33">
                  <w:pPr>
                    <w:spacing w:after="0" w:line="240" w:lineRule="auto"/>
                    <w:jc w:val="right"/>
                    <w:rPr>
                      <w:rFonts w:ascii="Arial" w:eastAsia="Times New Roman" w:hAnsi="Arial" w:cs="Arial"/>
                      <w:b/>
                      <w:bCs/>
                      <w:sz w:val="18"/>
                      <w:szCs w:val="18"/>
                      <w:lang w:val="es-EC" w:eastAsia="es-EC"/>
                    </w:rPr>
                  </w:pPr>
                </w:p>
              </w:tc>
              <w:tc>
                <w:tcPr>
                  <w:tcW w:w="780" w:type="dxa"/>
                  <w:tcBorders>
                    <w:top w:val="nil"/>
                    <w:left w:val="nil"/>
                    <w:bottom w:val="single" w:sz="8" w:space="0" w:color="auto"/>
                    <w:right w:val="nil"/>
                  </w:tcBorders>
                  <w:shd w:val="clear" w:color="000000" w:fill="FFFFFF"/>
                  <w:noWrap/>
                  <w:vAlign w:val="bottom"/>
                </w:tcPr>
                <w:p w14:paraId="169ED661" w14:textId="61A99B2F" w:rsidR="007E2B33" w:rsidRPr="00F85253" w:rsidRDefault="007E2B33" w:rsidP="007E2B33">
                  <w:pPr>
                    <w:spacing w:after="0" w:line="240" w:lineRule="auto"/>
                    <w:jc w:val="right"/>
                    <w:rPr>
                      <w:rFonts w:ascii="Arial" w:eastAsia="Times New Roman" w:hAnsi="Arial" w:cs="Arial"/>
                      <w:b/>
                      <w:bCs/>
                      <w:sz w:val="18"/>
                      <w:szCs w:val="18"/>
                      <w:lang w:val="es-EC" w:eastAsia="es-EC"/>
                    </w:rPr>
                  </w:pPr>
                </w:p>
              </w:tc>
              <w:tc>
                <w:tcPr>
                  <w:tcW w:w="780" w:type="dxa"/>
                  <w:tcBorders>
                    <w:top w:val="nil"/>
                    <w:left w:val="nil"/>
                    <w:bottom w:val="single" w:sz="8" w:space="0" w:color="auto"/>
                    <w:right w:val="nil"/>
                  </w:tcBorders>
                  <w:shd w:val="clear" w:color="000000" w:fill="FFFFFF"/>
                  <w:noWrap/>
                  <w:vAlign w:val="bottom"/>
                </w:tcPr>
                <w:p w14:paraId="66930072" w14:textId="39D5FF22" w:rsidR="007E2B33" w:rsidRPr="00F85253" w:rsidRDefault="007E2B33" w:rsidP="007E2B33">
                  <w:pPr>
                    <w:spacing w:after="0" w:line="240" w:lineRule="auto"/>
                    <w:jc w:val="right"/>
                    <w:rPr>
                      <w:rFonts w:ascii="Arial" w:eastAsia="Times New Roman" w:hAnsi="Arial" w:cs="Arial"/>
                      <w:b/>
                      <w:bCs/>
                      <w:sz w:val="18"/>
                      <w:szCs w:val="18"/>
                      <w:lang w:val="es-EC" w:eastAsia="es-EC"/>
                    </w:rPr>
                  </w:pPr>
                </w:p>
              </w:tc>
              <w:tc>
                <w:tcPr>
                  <w:tcW w:w="780" w:type="dxa"/>
                  <w:tcBorders>
                    <w:top w:val="nil"/>
                    <w:left w:val="nil"/>
                    <w:bottom w:val="single" w:sz="8" w:space="0" w:color="auto"/>
                    <w:right w:val="nil"/>
                  </w:tcBorders>
                  <w:shd w:val="clear" w:color="000000" w:fill="FFFFFF"/>
                  <w:noWrap/>
                  <w:vAlign w:val="bottom"/>
                </w:tcPr>
                <w:p w14:paraId="3084F643" w14:textId="29945036" w:rsidR="007E2B33" w:rsidRPr="00F85253" w:rsidRDefault="007E2B33" w:rsidP="007E2B33">
                  <w:pPr>
                    <w:spacing w:after="0" w:line="240" w:lineRule="auto"/>
                    <w:jc w:val="right"/>
                    <w:rPr>
                      <w:rFonts w:ascii="Arial" w:eastAsia="Times New Roman" w:hAnsi="Arial" w:cs="Arial"/>
                      <w:b/>
                      <w:bCs/>
                      <w:sz w:val="18"/>
                      <w:szCs w:val="18"/>
                      <w:lang w:val="es-EC" w:eastAsia="es-EC"/>
                    </w:rPr>
                  </w:pPr>
                </w:p>
              </w:tc>
              <w:tc>
                <w:tcPr>
                  <w:tcW w:w="780" w:type="dxa"/>
                  <w:tcBorders>
                    <w:top w:val="nil"/>
                    <w:left w:val="nil"/>
                    <w:bottom w:val="single" w:sz="8" w:space="0" w:color="auto"/>
                    <w:right w:val="nil"/>
                  </w:tcBorders>
                  <w:shd w:val="clear" w:color="000000" w:fill="FFFFFF"/>
                  <w:noWrap/>
                  <w:vAlign w:val="bottom"/>
                </w:tcPr>
                <w:p w14:paraId="77E8263A" w14:textId="661AB4BB" w:rsidR="007E2B33" w:rsidRPr="00F85253" w:rsidRDefault="007E2B33" w:rsidP="007E2B33">
                  <w:pPr>
                    <w:spacing w:after="0" w:line="240" w:lineRule="auto"/>
                    <w:jc w:val="right"/>
                    <w:rPr>
                      <w:rFonts w:ascii="Arial" w:eastAsia="Times New Roman" w:hAnsi="Arial" w:cs="Arial"/>
                      <w:b/>
                      <w:bCs/>
                      <w:sz w:val="18"/>
                      <w:szCs w:val="18"/>
                      <w:lang w:val="es-EC" w:eastAsia="es-EC"/>
                    </w:rPr>
                  </w:pPr>
                </w:p>
              </w:tc>
              <w:tc>
                <w:tcPr>
                  <w:tcW w:w="1000" w:type="dxa"/>
                  <w:tcBorders>
                    <w:top w:val="nil"/>
                    <w:left w:val="nil"/>
                    <w:bottom w:val="single" w:sz="8" w:space="0" w:color="auto"/>
                    <w:right w:val="single" w:sz="8" w:space="0" w:color="auto"/>
                  </w:tcBorders>
                  <w:shd w:val="clear" w:color="000000" w:fill="FFFFFF"/>
                  <w:noWrap/>
                  <w:vAlign w:val="bottom"/>
                  <w:hideMark/>
                </w:tcPr>
                <w:p w14:paraId="200F80A0" w14:textId="77777777" w:rsidR="007E2B33" w:rsidRPr="00F85253" w:rsidRDefault="007E2B33" w:rsidP="007E2B33">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7%</w:t>
                  </w:r>
                </w:p>
              </w:tc>
            </w:tr>
          </w:tbl>
          <w:p w14:paraId="42293DC9" w14:textId="77777777" w:rsidR="00390295" w:rsidRPr="00F85253" w:rsidRDefault="00390295" w:rsidP="002543DC">
            <w:pPr>
              <w:pStyle w:val="Paragraph"/>
              <w:tabs>
                <w:tab w:val="num" w:pos="2196"/>
              </w:tabs>
              <w:spacing w:before="0" w:after="0" w:line="276" w:lineRule="auto"/>
              <w:outlineLvl w:val="9"/>
              <w:rPr>
                <w:rFonts w:ascii="Arial" w:hAnsi="Arial" w:cs="Arial"/>
                <w:b/>
                <w:sz w:val="22"/>
                <w:szCs w:val="22"/>
                <w:lang w:val="es-ES_tradnl"/>
              </w:rPr>
            </w:pPr>
          </w:p>
          <w:p w14:paraId="272E6BC8" w14:textId="41F2875F" w:rsidR="000B54C0" w:rsidRPr="00F85253" w:rsidRDefault="00390295" w:rsidP="002543DC">
            <w:pPr>
              <w:pStyle w:val="Paragraph"/>
              <w:tabs>
                <w:tab w:val="num" w:pos="2196"/>
              </w:tabs>
              <w:spacing w:before="0" w:after="0" w:line="276" w:lineRule="auto"/>
              <w:outlineLvl w:val="9"/>
              <w:rPr>
                <w:rFonts w:ascii="Arial" w:hAnsi="Arial" w:cs="Arial"/>
                <w:sz w:val="22"/>
                <w:szCs w:val="22"/>
                <w:lang w:val="es-ES_tradnl"/>
              </w:rPr>
            </w:pPr>
            <w:r w:rsidRPr="00F85253">
              <w:rPr>
                <w:rFonts w:ascii="Arial" w:hAnsi="Arial" w:cs="Arial"/>
                <w:sz w:val="22"/>
                <w:szCs w:val="22"/>
                <w:lang w:val="es-ES_tradnl"/>
              </w:rPr>
              <w:t xml:space="preserve">  </w:t>
            </w:r>
          </w:p>
        </w:tc>
      </w:tr>
    </w:tbl>
    <w:p w14:paraId="2E76F2E9" w14:textId="77777777" w:rsidR="00EE730A" w:rsidRPr="00F85253" w:rsidRDefault="00EE730A" w:rsidP="002543DC">
      <w:pPr>
        <w:pStyle w:val="Paragraph"/>
        <w:tabs>
          <w:tab w:val="num" w:pos="2196"/>
        </w:tabs>
        <w:spacing w:before="0" w:after="0" w:line="276" w:lineRule="auto"/>
        <w:ind w:left="90"/>
        <w:outlineLvl w:val="9"/>
        <w:rPr>
          <w:rFonts w:ascii="Arial" w:hAnsi="Arial" w:cs="Arial"/>
          <w:sz w:val="22"/>
          <w:szCs w:val="22"/>
          <w:lang w:val="es-ES_tradnl"/>
        </w:rPr>
        <w:sectPr w:rsidR="00EE730A" w:rsidRPr="00F85253" w:rsidSect="00E77F44">
          <w:pgSz w:w="16838" w:h="11906" w:orient="landscape"/>
          <w:pgMar w:top="1354" w:right="994" w:bottom="1440" w:left="1166" w:header="720" w:footer="720" w:gutter="0"/>
          <w:cols w:space="720"/>
          <w:docGrid w:linePitch="360"/>
        </w:sectPr>
      </w:pPr>
    </w:p>
    <w:p w14:paraId="1E5813E3" w14:textId="77777777" w:rsidR="008D1244" w:rsidRPr="00F85253" w:rsidRDefault="008D1244" w:rsidP="008D1244">
      <w:pPr>
        <w:pStyle w:val="Chapter"/>
        <w:tabs>
          <w:tab w:val="clear" w:pos="648"/>
        </w:tabs>
        <w:spacing w:before="0" w:after="0" w:line="276" w:lineRule="auto"/>
        <w:ind w:left="900" w:firstLine="0"/>
        <w:jc w:val="both"/>
        <w:outlineLvl w:val="0"/>
        <w:rPr>
          <w:rFonts w:ascii="Arial" w:hAnsi="Arial" w:cs="Arial"/>
          <w:sz w:val="22"/>
          <w:szCs w:val="22"/>
          <w:lang w:val="es-ES_tradnl"/>
        </w:rPr>
      </w:pPr>
    </w:p>
    <w:p w14:paraId="24519FE0" w14:textId="77777777" w:rsidR="00F10D9A" w:rsidRPr="00F85253" w:rsidRDefault="007E781F" w:rsidP="002543DC">
      <w:pPr>
        <w:pStyle w:val="Chapter"/>
        <w:numPr>
          <w:ilvl w:val="0"/>
          <w:numId w:val="2"/>
        </w:numPr>
        <w:spacing w:before="0" w:after="0" w:line="276" w:lineRule="auto"/>
        <w:ind w:left="900" w:hanging="792"/>
        <w:jc w:val="both"/>
        <w:outlineLvl w:val="0"/>
        <w:rPr>
          <w:rFonts w:ascii="Arial" w:hAnsi="Arial" w:cs="Arial"/>
          <w:sz w:val="22"/>
          <w:szCs w:val="22"/>
          <w:lang w:val="es-ES_tradnl"/>
        </w:rPr>
      </w:pPr>
      <w:r w:rsidRPr="00F85253">
        <w:rPr>
          <w:rFonts w:ascii="Arial" w:hAnsi="Arial" w:cs="Arial"/>
          <w:sz w:val="22"/>
          <w:szCs w:val="22"/>
          <w:lang w:val="es-ES_tradnl"/>
        </w:rPr>
        <w:t>Costos del Proyecto</w:t>
      </w:r>
      <w:bookmarkEnd w:id="22"/>
    </w:p>
    <w:p w14:paraId="6A6F15EF" w14:textId="77777777" w:rsidR="00D665D8" w:rsidRPr="00F85253" w:rsidRDefault="00D665D8" w:rsidP="000B2BC8">
      <w:pPr>
        <w:pStyle w:val="Paragraph"/>
        <w:tabs>
          <w:tab w:val="num" w:pos="2196"/>
        </w:tabs>
        <w:spacing w:before="0" w:after="0" w:line="276" w:lineRule="auto"/>
        <w:ind w:left="720"/>
        <w:outlineLvl w:val="9"/>
        <w:rPr>
          <w:rFonts w:ascii="Arial" w:hAnsi="Arial" w:cs="Arial"/>
          <w:sz w:val="22"/>
          <w:szCs w:val="22"/>
          <w:lang w:val="es-ES_tradnl"/>
        </w:rPr>
      </w:pPr>
    </w:p>
    <w:p w14:paraId="42A96F8E" w14:textId="22568E01" w:rsidR="00F10D9A" w:rsidRPr="00F85253" w:rsidRDefault="007E781F" w:rsidP="00713F60">
      <w:pPr>
        <w:pStyle w:val="Paragraph"/>
        <w:numPr>
          <w:ilvl w:val="1"/>
          <w:numId w:val="2"/>
        </w:numPr>
        <w:tabs>
          <w:tab w:val="clear" w:pos="1296"/>
          <w:tab w:val="num" w:pos="720"/>
          <w:tab w:val="num" w:pos="1800"/>
          <w:tab w:val="num" w:pos="2196"/>
        </w:tabs>
        <w:spacing w:before="0" w:after="0" w:line="276" w:lineRule="auto"/>
        <w:ind w:left="720" w:hanging="720"/>
        <w:outlineLvl w:val="9"/>
        <w:rPr>
          <w:rFonts w:ascii="Arial" w:hAnsi="Arial" w:cs="Arial"/>
          <w:sz w:val="22"/>
          <w:szCs w:val="22"/>
          <w:lang w:val="es-ES_tradnl"/>
        </w:rPr>
      </w:pPr>
      <w:r w:rsidRPr="00F85253">
        <w:rPr>
          <w:rFonts w:ascii="Arial" w:hAnsi="Arial" w:cs="Arial"/>
          <w:sz w:val="22"/>
          <w:szCs w:val="22"/>
          <w:lang w:val="es-ES_tradnl"/>
        </w:rPr>
        <w:t>Para el cálculo del beneficio neto</w:t>
      </w:r>
      <w:r w:rsidR="00892C28" w:rsidRPr="00F85253">
        <w:rPr>
          <w:rFonts w:ascii="Arial" w:hAnsi="Arial" w:cs="Arial"/>
          <w:sz w:val="22"/>
          <w:szCs w:val="22"/>
          <w:lang w:val="es-ES_tradnl"/>
        </w:rPr>
        <w:t>,</w:t>
      </w:r>
      <w:r w:rsidRPr="00F85253">
        <w:rPr>
          <w:rFonts w:ascii="Arial" w:hAnsi="Arial" w:cs="Arial"/>
          <w:sz w:val="22"/>
          <w:szCs w:val="22"/>
          <w:lang w:val="es-ES_tradnl"/>
        </w:rPr>
        <w:t xml:space="preserve"> </w:t>
      </w:r>
      <w:r w:rsidR="004713DE" w:rsidRPr="00F85253">
        <w:rPr>
          <w:rFonts w:ascii="Arial" w:hAnsi="Arial" w:cs="Arial"/>
          <w:sz w:val="22"/>
          <w:szCs w:val="22"/>
          <w:lang w:val="es-ES_tradnl"/>
        </w:rPr>
        <w:t>l</w:t>
      </w:r>
      <w:r w:rsidRPr="00F85253">
        <w:rPr>
          <w:rFonts w:ascii="Arial" w:hAnsi="Arial" w:cs="Arial"/>
          <w:sz w:val="22"/>
          <w:szCs w:val="22"/>
          <w:lang w:val="es-ES_tradnl"/>
        </w:rPr>
        <w:t>os costos considerados</w:t>
      </w:r>
      <w:r w:rsidR="004713DE" w:rsidRPr="00F85253">
        <w:rPr>
          <w:rFonts w:ascii="Arial" w:hAnsi="Arial" w:cs="Arial"/>
          <w:sz w:val="22"/>
          <w:szCs w:val="22"/>
          <w:lang w:val="es-ES_tradnl"/>
        </w:rPr>
        <w:t xml:space="preserve"> fueron</w:t>
      </w:r>
      <w:r w:rsidR="006E13BD" w:rsidRPr="00F85253">
        <w:rPr>
          <w:rFonts w:ascii="Arial" w:hAnsi="Arial" w:cs="Arial"/>
          <w:sz w:val="22"/>
          <w:szCs w:val="22"/>
          <w:lang w:val="es-ES_tradnl"/>
        </w:rPr>
        <w:t xml:space="preserve"> </w:t>
      </w:r>
      <w:r w:rsidRPr="00F85253">
        <w:rPr>
          <w:rFonts w:ascii="Arial" w:hAnsi="Arial" w:cs="Arial"/>
          <w:sz w:val="22"/>
          <w:szCs w:val="22"/>
          <w:lang w:val="es-ES_tradnl"/>
        </w:rPr>
        <w:t xml:space="preserve">los costos </w:t>
      </w:r>
      <w:r w:rsidRPr="00F85253">
        <w:rPr>
          <w:rFonts w:ascii="Arial" w:hAnsi="Arial" w:cs="Arial"/>
          <w:color w:val="000000"/>
          <w:sz w:val="22"/>
          <w:szCs w:val="22"/>
          <w:lang w:val="es-ES_tradnl"/>
        </w:rPr>
        <w:t>económicos</w:t>
      </w:r>
      <w:r w:rsidR="00E323B2" w:rsidRPr="00F85253">
        <w:rPr>
          <w:rFonts w:ascii="Arial" w:hAnsi="Arial" w:cs="Arial"/>
          <w:sz w:val="22"/>
          <w:szCs w:val="22"/>
          <w:lang w:val="es-ES_tradnl"/>
        </w:rPr>
        <w:t xml:space="preserve"> de </w:t>
      </w:r>
      <w:r w:rsidRPr="00F85253">
        <w:rPr>
          <w:rFonts w:ascii="Arial" w:hAnsi="Arial" w:cs="Arial"/>
          <w:bCs/>
          <w:color w:val="000000"/>
          <w:sz w:val="22"/>
          <w:szCs w:val="22"/>
          <w:lang w:val="es-ES_tradnl"/>
        </w:rPr>
        <w:t>inversión</w:t>
      </w:r>
      <w:r w:rsidR="00905B7C" w:rsidRPr="00F85253">
        <w:rPr>
          <w:rFonts w:ascii="Arial" w:hAnsi="Arial" w:cs="Arial"/>
          <w:bCs/>
          <w:color w:val="000000"/>
          <w:sz w:val="22"/>
          <w:szCs w:val="22"/>
          <w:lang w:val="es-ES_tradnl"/>
        </w:rPr>
        <w:t>,</w:t>
      </w:r>
      <w:r w:rsidR="00D21D99" w:rsidRPr="00F85253">
        <w:rPr>
          <w:rFonts w:ascii="Arial" w:hAnsi="Arial" w:cs="Arial"/>
          <w:bCs/>
          <w:color w:val="000000"/>
          <w:sz w:val="22"/>
          <w:szCs w:val="22"/>
          <w:lang w:val="es-ES_tradnl"/>
        </w:rPr>
        <w:t xml:space="preserve"> y </w:t>
      </w:r>
      <w:r w:rsidR="00652E3D" w:rsidRPr="00F85253">
        <w:rPr>
          <w:rFonts w:ascii="Arial" w:hAnsi="Arial" w:cs="Arial"/>
          <w:bCs/>
          <w:color w:val="000000"/>
          <w:sz w:val="22"/>
          <w:szCs w:val="22"/>
          <w:lang w:val="es-ES_tradnl"/>
        </w:rPr>
        <w:t>el gasto de operaci</w:t>
      </w:r>
      <w:r w:rsidR="00905B7C" w:rsidRPr="00F85253">
        <w:rPr>
          <w:rFonts w:ascii="Arial" w:hAnsi="Arial" w:cs="Arial"/>
          <w:bCs/>
          <w:color w:val="000000"/>
          <w:sz w:val="22"/>
          <w:szCs w:val="22"/>
          <w:lang w:val="es-ES_tradnl"/>
        </w:rPr>
        <w:t>ón y mantenimiento</w:t>
      </w:r>
      <w:r w:rsidR="00D21D99" w:rsidRPr="00F85253">
        <w:rPr>
          <w:rFonts w:ascii="Arial" w:hAnsi="Arial" w:cs="Arial"/>
          <w:bCs/>
          <w:color w:val="000000"/>
          <w:sz w:val="22"/>
          <w:szCs w:val="22"/>
          <w:lang w:val="es-ES_tradnl"/>
        </w:rPr>
        <w:t xml:space="preserve"> del programa</w:t>
      </w:r>
      <w:r w:rsidRPr="00F85253">
        <w:rPr>
          <w:rFonts w:ascii="Arial" w:hAnsi="Arial" w:cs="Arial"/>
          <w:sz w:val="22"/>
          <w:szCs w:val="22"/>
          <w:lang w:val="es-ES_tradnl"/>
        </w:rPr>
        <w:t xml:space="preserve">. </w:t>
      </w:r>
      <w:r w:rsidR="00B956A2" w:rsidRPr="00F85253">
        <w:rPr>
          <w:rFonts w:ascii="Arial" w:hAnsi="Arial" w:cs="Arial"/>
          <w:b/>
          <w:sz w:val="22"/>
          <w:szCs w:val="22"/>
          <w:lang w:val="es-ES_tradnl"/>
        </w:rPr>
        <w:t xml:space="preserve">Los costos </w:t>
      </w:r>
      <w:r w:rsidR="00396491" w:rsidRPr="00F85253">
        <w:rPr>
          <w:rFonts w:ascii="Arial" w:hAnsi="Arial" w:cs="Arial"/>
          <w:sz w:val="22"/>
          <w:szCs w:val="22"/>
          <w:lang w:val="es-ES_tradnl"/>
        </w:rPr>
        <w:t>económicos del programa</w:t>
      </w:r>
      <w:r w:rsidR="00B956A2" w:rsidRPr="00F85253">
        <w:rPr>
          <w:rFonts w:ascii="Arial" w:hAnsi="Arial" w:cs="Arial"/>
          <w:sz w:val="22"/>
          <w:szCs w:val="22"/>
          <w:lang w:val="es-ES_tradnl"/>
        </w:rPr>
        <w:t xml:space="preserve"> están conformado</w:t>
      </w:r>
      <w:r w:rsidR="00E323B2" w:rsidRPr="00F85253">
        <w:rPr>
          <w:rFonts w:ascii="Arial" w:hAnsi="Arial" w:cs="Arial"/>
          <w:sz w:val="22"/>
          <w:szCs w:val="22"/>
          <w:lang w:val="es-ES_tradnl"/>
        </w:rPr>
        <w:t>s</w:t>
      </w:r>
      <w:r w:rsidR="00B956A2" w:rsidRPr="00F85253">
        <w:rPr>
          <w:rFonts w:ascii="Arial" w:hAnsi="Arial" w:cs="Arial"/>
          <w:sz w:val="22"/>
          <w:szCs w:val="22"/>
          <w:lang w:val="es-ES_tradnl"/>
        </w:rPr>
        <w:t xml:space="preserve"> por</w:t>
      </w:r>
      <w:r w:rsidR="00905B7C" w:rsidRPr="00F85253">
        <w:rPr>
          <w:rFonts w:ascii="Arial" w:hAnsi="Arial" w:cs="Arial"/>
          <w:sz w:val="22"/>
          <w:szCs w:val="22"/>
          <w:lang w:val="es-ES_tradnl"/>
        </w:rPr>
        <w:t>: a)</w:t>
      </w:r>
      <w:r w:rsidR="00B956A2" w:rsidRPr="00F85253">
        <w:rPr>
          <w:rFonts w:ascii="Arial" w:hAnsi="Arial" w:cs="Arial"/>
          <w:sz w:val="22"/>
          <w:szCs w:val="22"/>
          <w:lang w:val="es-ES_tradnl"/>
        </w:rPr>
        <w:t xml:space="preserve"> el monto </w:t>
      </w:r>
      <w:r w:rsidR="00713F60" w:rsidRPr="00F85253">
        <w:rPr>
          <w:rFonts w:ascii="Arial" w:hAnsi="Arial" w:cs="Arial"/>
          <w:sz w:val="22"/>
          <w:szCs w:val="22"/>
          <w:lang w:val="es-ES_tradnl"/>
        </w:rPr>
        <w:t xml:space="preserve">destinado a la optimización de la cartera de </w:t>
      </w:r>
      <w:r w:rsidR="0023565F" w:rsidRPr="00F85253">
        <w:rPr>
          <w:rFonts w:ascii="Arial" w:hAnsi="Arial" w:cs="Arial"/>
          <w:sz w:val="22"/>
          <w:szCs w:val="22"/>
          <w:lang w:val="es-ES_tradnl"/>
        </w:rPr>
        <w:t>EEPP</w:t>
      </w:r>
      <w:r w:rsidR="00713F60" w:rsidRPr="00F85253">
        <w:rPr>
          <w:rFonts w:ascii="Arial" w:hAnsi="Arial" w:cs="Arial"/>
          <w:sz w:val="22"/>
          <w:szCs w:val="22"/>
          <w:lang w:val="es-ES_tradnl"/>
        </w:rPr>
        <w:t xml:space="preserve">, el cual abarca la fusión de las petroleras, la optimización de CELEC, CNEL, consultorías </w:t>
      </w:r>
      <w:r w:rsidR="00416611" w:rsidRPr="00F85253">
        <w:rPr>
          <w:rFonts w:ascii="Arial" w:hAnsi="Arial" w:cs="Arial"/>
          <w:sz w:val="22"/>
          <w:szCs w:val="22"/>
          <w:lang w:val="es-ES_tradnl"/>
        </w:rPr>
        <w:t xml:space="preserve">para </w:t>
      </w:r>
      <w:r w:rsidR="00713F60" w:rsidRPr="00F85253">
        <w:rPr>
          <w:rFonts w:ascii="Arial" w:hAnsi="Arial" w:cs="Arial"/>
          <w:sz w:val="22"/>
          <w:szCs w:val="22"/>
          <w:lang w:val="es-ES_tradnl"/>
        </w:rPr>
        <w:t xml:space="preserve">TAME y estrategias de comunicación; además, </w:t>
      </w:r>
      <w:r w:rsidR="00905B7C" w:rsidRPr="00F85253">
        <w:rPr>
          <w:rFonts w:ascii="Arial" w:hAnsi="Arial" w:cs="Arial"/>
          <w:sz w:val="22"/>
          <w:szCs w:val="22"/>
          <w:lang w:val="es-ES_tradnl"/>
        </w:rPr>
        <w:t>d</w:t>
      </w:r>
      <w:r w:rsidR="00B956A2" w:rsidRPr="00F85253">
        <w:rPr>
          <w:rFonts w:ascii="Arial" w:hAnsi="Arial" w:cs="Arial"/>
          <w:sz w:val="22"/>
          <w:szCs w:val="22"/>
          <w:lang w:val="es-ES_tradnl"/>
        </w:rPr>
        <w:t xml:space="preserve">el costo por las desvinculaciones del personal de </w:t>
      </w:r>
      <w:r w:rsidR="008A5C1A" w:rsidRPr="00F85253">
        <w:rPr>
          <w:rFonts w:ascii="Arial" w:hAnsi="Arial" w:cs="Arial"/>
          <w:sz w:val="22"/>
          <w:szCs w:val="22"/>
          <w:lang w:val="es-ES_tradnl"/>
        </w:rPr>
        <w:t>EEPP</w:t>
      </w:r>
      <w:r w:rsidR="00B956A2" w:rsidRPr="00F85253">
        <w:rPr>
          <w:rFonts w:ascii="Arial" w:hAnsi="Arial" w:cs="Arial"/>
          <w:sz w:val="22"/>
          <w:szCs w:val="22"/>
          <w:lang w:val="es-ES_tradnl"/>
        </w:rPr>
        <w:t>;</w:t>
      </w:r>
      <w:r w:rsidR="00905B7C" w:rsidRPr="00F85253">
        <w:rPr>
          <w:rFonts w:ascii="Arial" w:hAnsi="Arial" w:cs="Arial"/>
          <w:sz w:val="22"/>
          <w:szCs w:val="22"/>
          <w:lang w:val="es-ES_tradnl"/>
        </w:rPr>
        <w:t xml:space="preserve"> b)</w:t>
      </w:r>
      <w:r w:rsidR="00B956A2" w:rsidRPr="00F85253">
        <w:rPr>
          <w:rFonts w:ascii="Arial" w:hAnsi="Arial" w:cs="Arial"/>
          <w:sz w:val="22"/>
          <w:szCs w:val="22"/>
          <w:lang w:val="es-ES_tradnl"/>
        </w:rPr>
        <w:t xml:space="preserve"> </w:t>
      </w:r>
      <w:r w:rsidR="00713F60" w:rsidRPr="00F85253">
        <w:rPr>
          <w:rFonts w:ascii="Arial" w:hAnsi="Arial" w:cs="Arial"/>
          <w:sz w:val="22"/>
          <w:szCs w:val="22"/>
          <w:lang w:val="es-ES_tradnl"/>
        </w:rPr>
        <w:t>las actividades para el fortalecimiento del Marco de Gobernanza Corporativa; y,</w:t>
      </w:r>
      <w:r w:rsidR="00905B7C" w:rsidRPr="00F85253">
        <w:rPr>
          <w:rFonts w:ascii="Arial" w:hAnsi="Arial" w:cs="Arial"/>
          <w:sz w:val="22"/>
          <w:szCs w:val="22"/>
          <w:lang w:val="es-ES_tradnl"/>
        </w:rPr>
        <w:t xml:space="preserve"> c)</w:t>
      </w:r>
      <w:r w:rsidR="00713F60" w:rsidRPr="00F85253">
        <w:rPr>
          <w:rFonts w:ascii="Arial" w:hAnsi="Arial" w:cs="Arial"/>
          <w:sz w:val="22"/>
          <w:szCs w:val="22"/>
          <w:lang w:val="es-ES_tradnl"/>
        </w:rPr>
        <w:t xml:space="preserve"> la </w:t>
      </w:r>
      <w:r w:rsidR="00905B7C" w:rsidRPr="00F85253">
        <w:rPr>
          <w:rFonts w:ascii="Arial" w:hAnsi="Arial" w:cs="Arial"/>
          <w:sz w:val="22"/>
          <w:szCs w:val="22"/>
          <w:lang w:val="es-ES_tradnl"/>
        </w:rPr>
        <w:t>A</w:t>
      </w:r>
      <w:r w:rsidR="00713F60" w:rsidRPr="00F85253">
        <w:rPr>
          <w:rFonts w:ascii="Arial" w:hAnsi="Arial" w:cs="Arial"/>
          <w:sz w:val="22"/>
          <w:szCs w:val="22"/>
          <w:lang w:val="es-ES_tradnl"/>
        </w:rPr>
        <w:t>dministración del programa</w:t>
      </w:r>
      <w:r w:rsidR="00B956A2" w:rsidRPr="00F85253">
        <w:rPr>
          <w:rFonts w:ascii="Arial" w:hAnsi="Arial" w:cs="Arial"/>
          <w:sz w:val="22"/>
          <w:szCs w:val="22"/>
          <w:lang w:val="es-ES_tradnl"/>
        </w:rPr>
        <w:t xml:space="preserve">. Así mismo, el gasto de operación – Opex </w:t>
      </w:r>
      <w:r w:rsidR="00905B7C" w:rsidRPr="00F85253">
        <w:rPr>
          <w:rFonts w:ascii="Arial" w:hAnsi="Arial" w:cs="Arial"/>
          <w:sz w:val="22"/>
          <w:szCs w:val="22"/>
          <w:lang w:val="es-ES_tradnl"/>
        </w:rPr>
        <w:t>representa</w:t>
      </w:r>
      <w:r w:rsidR="00B956A2" w:rsidRPr="00F85253">
        <w:rPr>
          <w:rFonts w:ascii="Arial" w:hAnsi="Arial" w:cs="Arial"/>
          <w:sz w:val="22"/>
          <w:szCs w:val="22"/>
          <w:lang w:val="es-ES_tradnl"/>
        </w:rPr>
        <w:t xml:space="preserve"> el </w:t>
      </w:r>
      <w:r w:rsidR="001347EF" w:rsidRPr="00F85253">
        <w:rPr>
          <w:rFonts w:ascii="Arial" w:hAnsi="Arial" w:cs="Arial"/>
          <w:sz w:val="22"/>
          <w:szCs w:val="22"/>
          <w:lang w:val="es-ES_tradnl"/>
        </w:rPr>
        <w:t>12</w:t>
      </w:r>
      <w:r w:rsidR="00B956A2" w:rsidRPr="00F85253">
        <w:rPr>
          <w:rFonts w:ascii="Arial" w:hAnsi="Arial" w:cs="Arial"/>
          <w:sz w:val="22"/>
          <w:szCs w:val="22"/>
          <w:lang w:val="es-ES_tradnl"/>
        </w:rPr>
        <w:t>% de</w:t>
      </w:r>
      <w:r w:rsidR="001347EF" w:rsidRPr="00F85253">
        <w:rPr>
          <w:rFonts w:ascii="Arial" w:hAnsi="Arial" w:cs="Arial"/>
          <w:sz w:val="22"/>
          <w:szCs w:val="22"/>
          <w:lang w:val="es-ES_tradnl"/>
        </w:rPr>
        <w:t xml:space="preserve"> los gastos</w:t>
      </w:r>
      <w:r w:rsidR="005C740A" w:rsidRPr="00F85253">
        <w:rPr>
          <w:rFonts w:ascii="Arial" w:hAnsi="Arial" w:cs="Arial"/>
          <w:sz w:val="22"/>
          <w:szCs w:val="22"/>
          <w:lang w:val="es-ES_tradnl"/>
        </w:rPr>
        <w:t xml:space="preserve"> </w:t>
      </w:r>
      <w:r w:rsidR="001347EF" w:rsidRPr="00F85253">
        <w:rPr>
          <w:rFonts w:ascii="Arial" w:hAnsi="Arial" w:cs="Arial"/>
          <w:sz w:val="22"/>
          <w:szCs w:val="22"/>
          <w:lang w:val="es-ES_tradnl"/>
        </w:rPr>
        <w:t>de capital</w:t>
      </w:r>
      <w:r w:rsidR="005C740A" w:rsidRPr="00F85253">
        <w:rPr>
          <w:rFonts w:ascii="Arial" w:hAnsi="Arial" w:cs="Arial"/>
          <w:sz w:val="22"/>
          <w:szCs w:val="22"/>
          <w:lang w:val="es-ES_tradnl"/>
        </w:rPr>
        <w:t xml:space="preserve"> acumulados</w:t>
      </w:r>
      <w:r w:rsidR="00905B7C" w:rsidRPr="00F85253">
        <w:rPr>
          <w:rFonts w:ascii="Arial" w:hAnsi="Arial" w:cs="Arial"/>
          <w:sz w:val="22"/>
          <w:szCs w:val="22"/>
          <w:lang w:val="es-ES_tradnl"/>
        </w:rPr>
        <w:t xml:space="preserve"> anualmente</w:t>
      </w:r>
      <w:r w:rsidR="00EA3730" w:rsidRPr="00F85253">
        <w:rPr>
          <w:rFonts w:ascii="Arial" w:hAnsi="Arial" w:cs="Arial"/>
          <w:sz w:val="22"/>
          <w:szCs w:val="22"/>
          <w:lang w:val="es-ES_tradnl"/>
        </w:rPr>
        <w:t>,</w:t>
      </w:r>
      <w:r w:rsidR="00B956A2" w:rsidRPr="00F85253">
        <w:rPr>
          <w:rFonts w:ascii="Arial" w:hAnsi="Arial" w:cs="Arial"/>
          <w:sz w:val="22"/>
          <w:szCs w:val="22"/>
          <w:lang w:val="es-ES_tradnl"/>
        </w:rPr>
        <w:t xml:space="preserve"> durante el período de evaluación del programa (2019-202</w:t>
      </w:r>
      <w:r w:rsidR="00457244" w:rsidRPr="00F85253">
        <w:rPr>
          <w:rFonts w:ascii="Arial" w:hAnsi="Arial" w:cs="Arial"/>
          <w:sz w:val="22"/>
          <w:szCs w:val="22"/>
          <w:lang w:val="es-ES_tradnl"/>
        </w:rPr>
        <w:t>8</w:t>
      </w:r>
      <w:r w:rsidR="00B956A2" w:rsidRPr="00F85253">
        <w:rPr>
          <w:rFonts w:ascii="Arial" w:hAnsi="Arial" w:cs="Arial"/>
          <w:sz w:val="22"/>
          <w:szCs w:val="22"/>
          <w:lang w:val="es-ES_tradnl"/>
        </w:rPr>
        <w:t xml:space="preserve">). </w:t>
      </w:r>
      <w:r w:rsidR="009019F0" w:rsidRPr="00F85253">
        <w:rPr>
          <w:rFonts w:ascii="Arial" w:hAnsi="Arial" w:cs="Arial"/>
          <w:sz w:val="22"/>
          <w:szCs w:val="22"/>
          <w:lang w:val="es-ES_tradnl"/>
        </w:rPr>
        <w:t>Se destaca que, el</w:t>
      </w:r>
      <w:r w:rsidR="00B956A2" w:rsidRPr="00F85253">
        <w:rPr>
          <w:rFonts w:ascii="Arial" w:hAnsi="Arial" w:cs="Arial"/>
          <w:sz w:val="22"/>
          <w:szCs w:val="22"/>
          <w:lang w:val="es-ES_tradnl"/>
        </w:rPr>
        <w:t xml:space="preserve"> costo de desvinculaciones sólo considera </w:t>
      </w:r>
      <w:r w:rsidR="00EA3CD1" w:rsidRPr="00F85253">
        <w:rPr>
          <w:rFonts w:ascii="Arial" w:hAnsi="Arial" w:cs="Arial"/>
          <w:sz w:val="22"/>
          <w:szCs w:val="22"/>
          <w:lang w:val="es-ES_tradnl"/>
        </w:rPr>
        <w:t>el costo de</w:t>
      </w:r>
      <w:r w:rsidR="00EA3730" w:rsidRPr="00F85253">
        <w:rPr>
          <w:rFonts w:ascii="Arial" w:hAnsi="Arial" w:cs="Arial"/>
          <w:sz w:val="22"/>
          <w:szCs w:val="22"/>
          <w:lang w:val="es-ES_tradnl"/>
        </w:rPr>
        <w:t xml:space="preserve"> las</w:t>
      </w:r>
      <w:r w:rsidR="00EA3CD1" w:rsidRPr="00F85253">
        <w:rPr>
          <w:rFonts w:ascii="Arial" w:hAnsi="Arial" w:cs="Arial"/>
          <w:sz w:val="22"/>
          <w:szCs w:val="22"/>
          <w:lang w:val="es-ES_tradnl"/>
        </w:rPr>
        <w:t xml:space="preserve"> compensaciones</w:t>
      </w:r>
      <w:r w:rsidR="009019F0" w:rsidRPr="00F85253">
        <w:rPr>
          <w:rFonts w:ascii="Arial" w:hAnsi="Arial" w:cs="Arial"/>
          <w:sz w:val="22"/>
          <w:szCs w:val="22"/>
          <w:lang w:val="es-ES_tradnl"/>
        </w:rPr>
        <w:t>.</w:t>
      </w:r>
      <w:r w:rsidR="00EA3CD1" w:rsidRPr="00F85253">
        <w:rPr>
          <w:rFonts w:ascii="Arial" w:hAnsi="Arial" w:cs="Arial"/>
          <w:sz w:val="22"/>
          <w:szCs w:val="22"/>
          <w:lang w:val="es-ES_tradnl"/>
        </w:rPr>
        <w:t xml:space="preserve"> </w:t>
      </w:r>
      <w:r w:rsidR="00396491" w:rsidRPr="00F85253">
        <w:rPr>
          <w:rFonts w:ascii="Arial" w:hAnsi="Arial" w:cs="Arial"/>
          <w:sz w:val="22"/>
          <w:szCs w:val="22"/>
          <w:lang w:val="es-ES_tradnl"/>
        </w:rPr>
        <w:t xml:space="preserve">En </w:t>
      </w:r>
      <w:r w:rsidR="009019F0" w:rsidRPr="00F85253">
        <w:rPr>
          <w:rFonts w:ascii="Arial" w:hAnsi="Arial" w:cs="Arial"/>
          <w:sz w:val="22"/>
          <w:szCs w:val="22"/>
          <w:lang w:val="es-ES_tradnl"/>
        </w:rPr>
        <w:t xml:space="preserve">el </w:t>
      </w:r>
      <w:r w:rsidR="00713F60" w:rsidRPr="00F85253">
        <w:rPr>
          <w:rFonts w:ascii="Arial" w:hAnsi="Arial" w:cs="Arial"/>
          <w:sz w:val="22"/>
          <w:szCs w:val="22"/>
          <w:lang w:val="es-ES_tradnl"/>
        </w:rPr>
        <w:t>cuadro</w:t>
      </w:r>
      <w:r w:rsidR="00396491" w:rsidRPr="00F85253">
        <w:rPr>
          <w:rFonts w:ascii="Arial" w:hAnsi="Arial" w:cs="Arial"/>
          <w:sz w:val="22"/>
          <w:szCs w:val="22"/>
          <w:lang w:val="es-ES_tradnl"/>
        </w:rPr>
        <w:t xml:space="preserve"> 1, se evidencia el cronograma de los desembolsos, en precios de mercado</w:t>
      </w:r>
      <w:r w:rsidR="0037610A" w:rsidRPr="00F85253">
        <w:rPr>
          <w:rFonts w:ascii="Arial" w:hAnsi="Arial" w:cs="Arial"/>
          <w:sz w:val="22"/>
          <w:szCs w:val="22"/>
          <w:lang w:val="es-ES_tradnl"/>
        </w:rPr>
        <w:t>, de los costos de inversión</w:t>
      </w:r>
      <w:r w:rsidR="00396491" w:rsidRPr="00F85253">
        <w:rPr>
          <w:rFonts w:ascii="Arial" w:hAnsi="Arial" w:cs="Arial"/>
          <w:sz w:val="22"/>
          <w:szCs w:val="22"/>
          <w:lang w:val="es-ES_tradnl"/>
        </w:rPr>
        <w:t xml:space="preserve">. El detalle de los valores de los precios de </w:t>
      </w:r>
      <w:proofErr w:type="gramStart"/>
      <w:r w:rsidR="00396491" w:rsidRPr="00F85253">
        <w:rPr>
          <w:rFonts w:ascii="Arial" w:hAnsi="Arial" w:cs="Arial"/>
          <w:sz w:val="22"/>
          <w:szCs w:val="22"/>
          <w:lang w:val="es-ES_tradnl"/>
        </w:rPr>
        <w:t>e</w:t>
      </w:r>
      <w:r w:rsidR="0037610A" w:rsidRPr="00F85253">
        <w:rPr>
          <w:rFonts w:ascii="Arial" w:hAnsi="Arial" w:cs="Arial"/>
          <w:sz w:val="22"/>
          <w:szCs w:val="22"/>
          <w:lang w:val="es-ES_tradnl"/>
        </w:rPr>
        <w:t>ficiencia,</w:t>
      </w:r>
      <w:proofErr w:type="gramEnd"/>
      <w:r w:rsidR="0037610A" w:rsidRPr="00F85253">
        <w:rPr>
          <w:rFonts w:ascii="Arial" w:hAnsi="Arial" w:cs="Arial"/>
          <w:sz w:val="22"/>
          <w:szCs w:val="22"/>
          <w:lang w:val="es-ES_tradnl"/>
        </w:rPr>
        <w:t xml:space="preserve"> se presenta</w:t>
      </w:r>
      <w:r w:rsidR="00396491" w:rsidRPr="00F85253">
        <w:rPr>
          <w:rFonts w:ascii="Arial" w:hAnsi="Arial" w:cs="Arial"/>
          <w:sz w:val="22"/>
          <w:szCs w:val="22"/>
          <w:lang w:val="es-ES_tradnl"/>
        </w:rPr>
        <w:t xml:space="preserve"> en el </w:t>
      </w:r>
      <w:r w:rsidR="00396491" w:rsidRPr="00F85253">
        <w:rPr>
          <w:rFonts w:ascii="Arial" w:hAnsi="Arial" w:cs="Arial"/>
          <w:color w:val="0000FF"/>
          <w:sz w:val="22"/>
          <w:szCs w:val="22"/>
          <w:lang w:val="es-ES_tradnl"/>
        </w:rPr>
        <w:t>Anexo I</w:t>
      </w:r>
      <w:r w:rsidR="00396491" w:rsidRPr="00F85253">
        <w:rPr>
          <w:rFonts w:ascii="Arial" w:hAnsi="Arial" w:cs="Arial"/>
          <w:sz w:val="22"/>
          <w:szCs w:val="22"/>
          <w:lang w:val="es-ES_tradnl"/>
        </w:rPr>
        <w:t>, del documento.</w:t>
      </w:r>
    </w:p>
    <w:p w14:paraId="19F670F5" w14:textId="77777777" w:rsidR="008D1244" w:rsidRPr="00F85253" w:rsidRDefault="008D1244" w:rsidP="008D1244">
      <w:pPr>
        <w:pStyle w:val="Paragraph"/>
        <w:tabs>
          <w:tab w:val="num" w:pos="2196"/>
        </w:tabs>
        <w:spacing w:before="0" w:after="0" w:line="276" w:lineRule="auto"/>
        <w:ind w:left="720"/>
        <w:outlineLvl w:val="9"/>
        <w:rPr>
          <w:rFonts w:ascii="Arial" w:hAnsi="Arial" w:cs="Arial"/>
          <w:sz w:val="22"/>
          <w:szCs w:val="22"/>
          <w:lang w:val="es-ES_tradnl"/>
        </w:rPr>
      </w:pPr>
    </w:p>
    <w:p w14:paraId="6D928FAE" w14:textId="221886E3" w:rsidR="00905B7C" w:rsidRPr="00F85253" w:rsidRDefault="00905B7C" w:rsidP="00713F60">
      <w:pPr>
        <w:pStyle w:val="Paragraph"/>
        <w:numPr>
          <w:ilvl w:val="1"/>
          <w:numId w:val="2"/>
        </w:numPr>
        <w:tabs>
          <w:tab w:val="clear" w:pos="1296"/>
          <w:tab w:val="num" w:pos="720"/>
          <w:tab w:val="num" w:pos="1800"/>
          <w:tab w:val="num" w:pos="2196"/>
        </w:tabs>
        <w:spacing w:before="0" w:after="0" w:line="276" w:lineRule="auto"/>
        <w:ind w:left="720" w:hanging="720"/>
        <w:outlineLvl w:val="9"/>
        <w:rPr>
          <w:rFonts w:ascii="Arial" w:hAnsi="Arial" w:cs="Arial"/>
          <w:sz w:val="22"/>
          <w:szCs w:val="22"/>
          <w:lang w:val="es-ES_tradnl"/>
        </w:rPr>
      </w:pPr>
      <w:r w:rsidRPr="00F85253">
        <w:rPr>
          <w:rFonts w:ascii="Arial" w:hAnsi="Arial" w:cs="Arial"/>
          <w:sz w:val="22"/>
          <w:szCs w:val="22"/>
          <w:lang w:val="es-ES_tradnl"/>
        </w:rPr>
        <w:t>Considerando los gastos de capital, se evidencia que el mayor porcentaje de recursos se invertirá en el</w:t>
      </w:r>
      <w:r w:rsidR="00FF0283" w:rsidRPr="00F85253">
        <w:rPr>
          <w:rFonts w:ascii="Arial" w:hAnsi="Arial" w:cs="Arial"/>
          <w:sz w:val="22"/>
          <w:szCs w:val="22"/>
          <w:lang w:val="es-ES_tradnl"/>
        </w:rPr>
        <w:t xml:space="preserve"> año</w:t>
      </w:r>
      <w:r w:rsidRPr="00F85253">
        <w:rPr>
          <w:rFonts w:ascii="Arial" w:hAnsi="Arial" w:cs="Arial"/>
          <w:sz w:val="22"/>
          <w:szCs w:val="22"/>
          <w:lang w:val="es-ES_tradnl"/>
        </w:rPr>
        <w:t xml:space="preserve"> 2020, con un valor de USD 58.20 millones (78%), seguido del año 2021, </w:t>
      </w:r>
      <w:r w:rsidR="00FF0283" w:rsidRPr="00F85253">
        <w:rPr>
          <w:rFonts w:ascii="Arial" w:hAnsi="Arial" w:cs="Arial"/>
          <w:sz w:val="22"/>
          <w:szCs w:val="22"/>
          <w:lang w:val="es-ES_tradnl"/>
        </w:rPr>
        <w:t>con USD 11.37 millones que representan el 15%. El año 2019 y 2022 se invertirá</w:t>
      </w:r>
      <w:r w:rsidR="006F27D5" w:rsidRPr="00F85253">
        <w:rPr>
          <w:rFonts w:ascii="Arial" w:hAnsi="Arial" w:cs="Arial"/>
          <w:sz w:val="22"/>
          <w:szCs w:val="22"/>
          <w:lang w:val="es-ES_tradnl"/>
        </w:rPr>
        <w:t xml:space="preserve"> el</w:t>
      </w:r>
      <w:r w:rsidR="00FF0283" w:rsidRPr="00F85253">
        <w:rPr>
          <w:rFonts w:ascii="Arial" w:hAnsi="Arial" w:cs="Arial"/>
          <w:sz w:val="22"/>
          <w:szCs w:val="22"/>
          <w:lang w:val="es-ES_tradnl"/>
        </w:rPr>
        <w:t xml:space="preserve"> 4%</w:t>
      </w:r>
      <w:r w:rsidR="006F27D5" w:rsidRPr="00F85253">
        <w:rPr>
          <w:rFonts w:ascii="Arial" w:hAnsi="Arial" w:cs="Arial"/>
          <w:sz w:val="22"/>
          <w:szCs w:val="22"/>
          <w:lang w:val="es-ES_tradnl"/>
        </w:rPr>
        <w:t>,</w:t>
      </w:r>
      <w:r w:rsidR="00FF0283" w:rsidRPr="00F85253">
        <w:rPr>
          <w:rFonts w:ascii="Arial" w:hAnsi="Arial" w:cs="Arial"/>
          <w:sz w:val="22"/>
          <w:szCs w:val="22"/>
          <w:lang w:val="es-ES_tradnl"/>
        </w:rPr>
        <w:t xml:space="preserve"> cada año. </w:t>
      </w:r>
      <w:r w:rsidR="0096590A" w:rsidRPr="00F85253">
        <w:rPr>
          <w:rFonts w:ascii="Arial" w:hAnsi="Arial" w:cs="Arial"/>
          <w:sz w:val="22"/>
          <w:szCs w:val="22"/>
          <w:lang w:val="es-ES_tradnl"/>
        </w:rPr>
        <w:t>El componente de Optimización de la cartera de EEPP</w:t>
      </w:r>
      <w:r w:rsidR="00A77281" w:rsidRPr="00F85253">
        <w:rPr>
          <w:rFonts w:ascii="Arial" w:hAnsi="Arial" w:cs="Arial"/>
          <w:sz w:val="22"/>
          <w:szCs w:val="22"/>
          <w:lang w:val="es-ES_tradnl"/>
        </w:rPr>
        <w:t xml:space="preserve"> representa el 90% de la inversión, mientras que, el componente del Fortalecimiento del Marco de Gobernanza Corporativa</w:t>
      </w:r>
      <w:r w:rsidR="006F27D5" w:rsidRPr="00F85253">
        <w:rPr>
          <w:rFonts w:ascii="Arial" w:hAnsi="Arial" w:cs="Arial"/>
          <w:sz w:val="22"/>
          <w:szCs w:val="22"/>
          <w:lang w:val="es-ES_tradnl"/>
        </w:rPr>
        <w:t>,</w:t>
      </w:r>
      <w:r w:rsidR="00A77281" w:rsidRPr="00F85253">
        <w:rPr>
          <w:rFonts w:ascii="Arial" w:hAnsi="Arial" w:cs="Arial"/>
          <w:sz w:val="22"/>
          <w:szCs w:val="22"/>
          <w:lang w:val="es-ES_tradnl"/>
        </w:rPr>
        <w:t xml:space="preserve"> y la administración del programa, participan con el 5% y 4%, respectivamente. </w:t>
      </w:r>
    </w:p>
    <w:p w14:paraId="36EF6B5C" w14:textId="77777777" w:rsidR="008D1244" w:rsidRPr="00F85253" w:rsidRDefault="008D1244" w:rsidP="008D1244">
      <w:pPr>
        <w:pStyle w:val="Paragraph"/>
        <w:tabs>
          <w:tab w:val="num" w:pos="2196"/>
        </w:tabs>
        <w:spacing w:before="0" w:after="0" w:line="276" w:lineRule="auto"/>
        <w:ind w:left="720"/>
        <w:outlineLvl w:val="9"/>
        <w:rPr>
          <w:rFonts w:ascii="Arial" w:hAnsi="Arial" w:cs="Arial"/>
          <w:sz w:val="22"/>
          <w:szCs w:val="22"/>
          <w:lang w:val="es-ES_tradnl"/>
        </w:rPr>
      </w:pPr>
    </w:p>
    <w:p w14:paraId="79296C7B" w14:textId="77777777" w:rsidR="00892C28" w:rsidRPr="00F85253" w:rsidRDefault="00892C28" w:rsidP="00892C28">
      <w:pPr>
        <w:pStyle w:val="Paragraph"/>
        <w:spacing w:before="0" w:after="0" w:line="276" w:lineRule="auto"/>
        <w:ind w:left="720"/>
        <w:outlineLvl w:val="9"/>
        <w:rPr>
          <w:rFonts w:ascii="Arial" w:hAnsi="Arial" w:cs="Arial"/>
          <w:sz w:val="22"/>
          <w:szCs w:val="22"/>
          <w:lang w:val="es-ES_tradnl"/>
        </w:rPr>
      </w:pPr>
    </w:p>
    <w:tbl>
      <w:tblPr>
        <w:tblW w:w="8868" w:type="dxa"/>
        <w:tblInd w:w="55" w:type="dxa"/>
        <w:tblCellMar>
          <w:left w:w="70" w:type="dxa"/>
          <w:right w:w="70" w:type="dxa"/>
        </w:tblCellMar>
        <w:tblLook w:val="04A0" w:firstRow="1" w:lastRow="0" w:firstColumn="1" w:lastColumn="0" w:noHBand="0" w:noVBand="1"/>
      </w:tblPr>
      <w:tblGrid>
        <w:gridCol w:w="4158"/>
        <w:gridCol w:w="909"/>
        <w:gridCol w:w="919"/>
        <w:gridCol w:w="919"/>
        <w:gridCol w:w="909"/>
        <w:gridCol w:w="1054"/>
      </w:tblGrid>
      <w:tr w:rsidR="00FF3FD8" w:rsidRPr="00F85253" w14:paraId="76B6759C" w14:textId="77777777" w:rsidTr="00FF3FD8">
        <w:trPr>
          <w:trHeight w:val="300"/>
        </w:trPr>
        <w:tc>
          <w:tcPr>
            <w:tcW w:w="8868" w:type="dxa"/>
            <w:gridSpan w:val="6"/>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4412C847" w14:textId="77777777" w:rsidR="00FF3FD8" w:rsidRPr="00F85253" w:rsidRDefault="00FF3FD8" w:rsidP="00FF3FD8">
            <w:pPr>
              <w:spacing w:after="0" w:line="240" w:lineRule="auto"/>
              <w:rPr>
                <w:rFonts w:ascii="Arial" w:eastAsia="Times New Roman" w:hAnsi="Arial" w:cs="Arial"/>
                <w:b/>
                <w:bCs/>
                <w:color w:val="000000"/>
                <w:sz w:val="20"/>
                <w:szCs w:val="20"/>
                <w:lang w:val="es-EC" w:eastAsia="es-EC"/>
              </w:rPr>
            </w:pPr>
            <w:r w:rsidRPr="00F85253">
              <w:rPr>
                <w:rFonts w:ascii="Arial" w:eastAsia="Times New Roman" w:hAnsi="Arial" w:cs="Arial"/>
                <w:b/>
                <w:bCs/>
                <w:color w:val="000000"/>
                <w:sz w:val="20"/>
                <w:szCs w:val="20"/>
                <w:lang w:val="es-EC" w:eastAsia="es-EC"/>
              </w:rPr>
              <w:t xml:space="preserve">Cuadro 1 – Costos económicos del proyecto en precios de mercado </w:t>
            </w:r>
          </w:p>
          <w:p w14:paraId="711611D1" w14:textId="1F9A23FC" w:rsidR="00FF3FD8" w:rsidRPr="00F85253" w:rsidRDefault="00FF3FD8" w:rsidP="00FF3FD8">
            <w:pPr>
              <w:spacing w:after="0" w:line="240" w:lineRule="auto"/>
              <w:rPr>
                <w:rFonts w:ascii="Arial" w:eastAsia="Times New Roman" w:hAnsi="Arial" w:cs="Arial"/>
                <w:b/>
                <w:bCs/>
                <w:color w:val="000000"/>
                <w:sz w:val="20"/>
                <w:szCs w:val="20"/>
                <w:lang w:val="es-EC" w:eastAsia="es-EC"/>
              </w:rPr>
            </w:pPr>
            <w:r w:rsidRPr="00F85253">
              <w:rPr>
                <w:rFonts w:ascii="Arial" w:eastAsia="Times New Roman" w:hAnsi="Arial" w:cs="Arial"/>
                <w:b/>
                <w:bCs/>
                <w:color w:val="000000"/>
                <w:sz w:val="20"/>
                <w:szCs w:val="20"/>
                <w:lang w:val="es-EC" w:eastAsia="es-EC"/>
              </w:rPr>
              <w:t>(en millones de dólares)</w:t>
            </w:r>
          </w:p>
        </w:tc>
      </w:tr>
      <w:tr w:rsidR="00FF3FD8" w:rsidRPr="00F85253" w14:paraId="3B89ADAD" w14:textId="77777777" w:rsidTr="00FF3FD8">
        <w:trPr>
          <w:trHeight w:val="300"/>
        </w:trPr>
        <w:tc>
          <w:tcPr>
            <w:tcW w:w="4158" w:type="dxa"/>
            <w:tcBorders>
              <w:top w:val="nil"/>
              <w:left w:val="single" w:sz="4" w:space="0" w:color="auto"/>
              <w:bottom w:val="single" w:sz="4" w:space="0" w:color="auto"/>
              <w:right w:val="single" w:sz="4" w:space="0" w:color="auto"/>
            </w:tcBorders>
            <w:shd w:val="clear" w:color="000000" w:fill="F2F2F2"/>
            <w:vAlign w:val="center"/>
            <w:hideMark/>
          </w:tcPr>
          <w:p w14:paraId="50CAD715" w14:textId="77777777" w:rsidR="00FF3FD8" w:rsidRPr="00F85253" w:rsidRDefault="00FF3FD8" w:rsidP="00FF3FD8">
            <w:pPr>
              <w:spacing w:after="0" w:line="240" w:lineRule="auto"/>
              <w:jc w:val="both"/>
              <w:rPr>
                <w:rFonts w:ascii="Arial" w:eastAsia="Times New Roman" w:hAnsi="Arial" w:cs="Arial"/>
                <w:b/>
                <w:bCs/>
                <w:color w:val="000000"/>
                <w:sz w:val="20"/>
                <w:szCs w:val="20"/>
                <w:lang w:val="es-EC" w:eastAsia="es-EC"/>
              </w:rPr>
            </w:pPr>
            <w:r w:rsidRPr="00F85253">
              <w:rPr>
                <w:rFonts w:ascii="Arial" w:eastAsia="Times New Roman" w:hAnsi="Arial" w:cs="Arial"/>
                <w:b/>
                <w:bCs/>
                <w:color w:val="000000"/>
                <w:sz w:val="20"/>
                <w:szCs w:val="20"/>
                <w:lang w:val="es-EC" w:eastAsia="es-EC"/>
              </w:rPr>
              <w:t>Categoría</w:t>
            </w:r>
          </w:p>
        </w:tc>
        <w:tc>
          <w:tcPr>
            <w:tcW w:w="909" w:type="dxa"/>
            <w:tcBorders>
              <w:top w:val="nil"/>
              <w:left w:val="nil"/>
              <w:bottom w:val="single" w:sz="4" w:space="0" w:color="auto"/>
              <w:right w:val="single" w:sz="4" w:space="0" w:color="auto"/>
            </w:tcBorders>
            <w:shd w:val="clear" w:color="000000" w:fill="F2F2F2"/>
            <w:vAlign w:val="center"/>
            <w:hideMark/>
          </w:tcPr>
          <w:p w14:paraId="10AA32BF" w14:textId="77777777" w:rsidR="00FF3FD8" w:rsidRPr="00F85253" w:rsidRDefault="00FF3FD8" w:rsidP="00FF3FD8">
            <w:pPr>
              <w:spacing w:after="0" w:line="240" w:lineRule="auto"/>
              <w:jc w:val="right"/>
              <w:rPr>
                <w:rFonts w:ascii="Arial" w:eastAsia="Times New Roman" w:hAnsi="Arial" w:cs="Arial"/>
                <w:b/>
                <w:bCs/>
                <w:color w:val="000000"/>
                <w:sz w:val="20"/>
                <w:szCs w:val="20"/>
                <w:lang w:val="es-EC" w:eastAsia="es-EC"/>
              </w:rPr>
            </w:pPr>
            <w:r w:rsidRPr="00F85253">
              <w:rPr>
                <w:rFonts w:ascii="Arial" w:eastAsia="Times New Roman" w:hAnsi="Arial" w:cs="Arial"/>
                <w:b/>
                <w:bCs/>
                <w:color w:val="000000"/>
                <w:sz w:val="20"/>
                <w:szCs w:val="20"/>
                <w:lang w:val="es-EC" w:eastAsia="es-EC"/>
              </w:rPr>
              <w:t>2019</w:t>
            </w:r>
          </w:p>
        </w:tc>
        <w:tc>
          <w:tcPr>
            <w:tcW w:w="919" w:type="dxa"/>
            <w:tcBorders>
              <w:top w:val="nil"/>
              <w:left w:val="nil"/>
              <w:bottom w:val="single" w:sz="4" w:space="0" w:color="auto"/>
              <w:right w:val="single" w:sz="4" w:space="0" w:color="auto"/>
            </w:tcBorders>
            <w:shd w:val="clear" w:color="000000" w:fill="F2F2F2"/>
            <w:vAlign w:val="center"/>
            <w:hideMark/>
          </w:tcPr>
          <w:p w14:paraId="6C69955D" w14:textId="77777777" w:rsidR="00FF3FD8" w:rsidRPr="00F85253" w:rsidRDefault="00FF3FD8" w:rsidP="00FF3FD8">
            <w:pPr>
              <w:spacing w:after="0" w:line="240" w:lineRule="auto"/>
              <w:jc w:val="right"/>
              <w:rPr>
                <w:rFonts w:ascii="Arial" w:eastAsia="Times New Roman" w:hAnsi="Arial" w:cs="Arial"/>
                <w:b/>
                <w:bCs/>
                <w:color w:val="000000"/>
                <w:sz w:val="20"/>
                <w:szCs w:val="20"/>
                <w:lang w:val="es-EC" w:eastAsia="es-EC"/>
              </w:rPr>
            </w:pPr>
            <w:r w:rsidRPr="00F85253">
              <w:rPr>
                <w:rFonts w:ascii="Arial" w:eastAsia="Times New Roman" w:hAnsi="Arial" w:cs="Arial"/>
                <w:b/>
                <w:bCs/>
                <w:color w:val="000000"/>
                <w:sz w:val="20"/>
                <w:szCs w:val="20"/>
                <w:lang w:val="es-EC" w:eastAsia="es-EC"/>
              </w:rPr>
              <w:t>2020</w:t>
            </w:r>
          </w:p>
        </w:tc>
        <w:tc>
          <w:tcPr>
            <w:tcW w:w="919" w:type="dxa"/>
            <w:tcBorders>
              <w:top w:val="nil"/>
              <w:left w:val="nil"/>
              <w:bottom w:val="single" w:sz="4" w:space="0" w:color="auto"/>
              <w:right w:val="single" w:sz="4" w:space="0" w:color="auto"/>
            </w:tcBorders>
            <w:shd w:val="clear" w:color="000000" w:fill="F2F2F2"/>
            <w:vAlign w:val="center"/>
            <w:hideMark/>
          </w:tcPr>
          <w:p w14:paraId="2993F1AB" w14:textId="77777777" w:rsidR="00FF3FD8" w:rsidRPr="00F85253" w:rsidRDefault="00FF3FD8" w:rsidP="00FF3FD8">
            <w:pPr>
              <w:spacing w:after="0" w:line="240" w:lineRule="auto"/>
              <w:jc w:val="right"/>
              <w:rPr>
                <w:rFonts w:ascii="Arial" w:eastAsia="Times New Roman" w:hAnsi="Arial" w:cs="Arial"/>
                <w:b/>
                <w:bCs/>
                <w:color w:val="000000"/>
                <w:sz w:val="20"/>
                <w:szCs w:val="20"/>
                <w:lang w:val="es-EC" w:eastAsia="es-EC"/>
              </w:rPr>
            </w:pPr>
            <w:r w:rsidRPr="00F85253">
              <w:rPr>
                <w:rFonts w:ascii="Arial" w:eastAsia="Times New Roman" w:hAnsi="Arial" w:cs="Arial"/>
                <w:b/>
                <w:bCs/>
                <w:color w:val="000000"/>
                <w:sz w:val="20"/>
                <w:szCs w:val="20"/>
                <w:lang w:val="es-EC" w:eastAsia="es-EC"/>
              </w:rPr>
              <w:t>2021</w:t>
            </w:r>
          </w:p>
        </w:tc>
        <w:tc>
          <w:tcPr>
            <w:tcW w:w="909" w:type="dxa"/>
            <w:tcBorders>
              <w:top w:val="nil"/>
              <w:left w:val="nil"/>
              <w:bottom w:val="single" w:sz="4" w:space="0" w:color="auto"/>
              <w:right w:val="single" w:sz="4" w:space="0" w:color="auto"/>
            </w:tcBorders>
            <w:shd w:val="clear" w:color="000000" w:fill="F2F2F2"/>
            <w:vAlign w:val="center"/>
            <w:hideMark/>
          </w:tcPr>
          <w:p w14:paraId="2BAB01B7" w14:textId="77777777" w:rsidR="00FF3FD8" w:rsidRPr="00F85253" w:rsidRDefault="00FF3FD8" w:rsidP="00FF3FD8">
            <w:pPr>
              <w:spacing w:after="0" w:line="240" w:lineRule="auto"/>
              <w:jc w:val="right"/>
              <w:rPr>
                <w:rFonts w:ascii="Arial" w:eastAsia="Times New Roman" w:hAnsi="Arial" w:cs="Arial"/>
                <w:b/>
                <w:bCs/>
                <w:color w:val="000000"/>
                <w:sz w:val="20"/>
                <w:szCs w:val="20"/>
                <w:lang w:val="es-EC" w:eastAsia="es-EC"/>
              </w:rPr>
            </w:pPr>
            <w:r w:rsidRPr="00F85253">
              <w:rPr>
                <w:rFonts w:ascii="Arial" w:eastAsia="Times New Roman" w:hAnsi="Arial" w:cs="Arial"/>
                <w:b/>
                <w:bCs/>
                <w:color w:val="000000"/>
                <w:sz w:val="20"/>
                <w:szCs w:val="20"/>
                <w:lang w:val="es-EC" w:eastAsia="es-EC"/>
              </w:rPr>
              <w:t>2022</w:t>
            </w:r>
          </w:p>
        </w:tc>
        <w:tc>
          <w:tcPr>
            <w:tcW w:w="1054" w:type="dxa"/>
            <w:tcBorders>
              <w:top w:val="nil"/>
              <w:left w:val="nil"/>
              <w:bottom w:val="single" w:sz="4" w:space="0" w:color="auto"/>
              <w:right w:val="single" w:sz="4" w:space="0" w:color="auto"/>
            </w:tcBorders>
            <w:shd w:val="clear" w:color="000000" w:fill="F2F2F2"/>
            <w:vAlign w:val="center"/>
            <w:hideMark/>
          </w:tcPr>
          <w:p w14:paraId="5A6DA617" w14:textId="77777777" w:rsidR="00FF3FD8" w:rsidRPr="00F85253" w:rsidRDefault="00FF3FD8" w:rsidP="00FF3FD8">
            <w:pPr>
              <w:spacing w:after="0" w:line="240" w:lineRule="auto"/>
              <w:jc w:val="right"/>
              <w:rPr>
                <w:rFonts w:ascii="Arial" w:eastAsia="Times New Roman" w:hAnsi="Arial" w:cs="Arial"/>
                <w:b/>
                <w:bCs/>
                <w:color w:val="000000"/>
                <w:sz w:val="20"/>
                <w:szCs w:val="20"/>
                <w:lang w:val="es-EC" w:eastAsia="es-EC"/>
              </w:rPr>
            </w:pPr>
            <w:r w:rsidRPr="00F85253">
              <w:rPr>
                <w:rFonts w:ascii="Arial" w:eastAsia="Times New Roman" w:hAnsi="Arial" w:cs="Arial"/>
                <w:b/>
                <w:bCs/>
                <w:color w:val="000000"/>
                <w:sz w:val="20"/>
                <w:szCs w:val="20"/>
                <w:lang w:val="es-EC" w:eastAsia="es-EC"/>
              </w:rPr>
              <w:t>Total</w:t>
            </w:r>
          </w:p>
        </w:tc>
      </w:tr>
      <w:tr w:rsidR="00FF3FD8" w:rsidRPr="00F85253" w14:paraId="09BAE185" w14:textId="77777777" w:rsidTr="00FF3FD8">
        <w:trPr>
          <w:trHeight w:val="300"/>
        </w:trPr>
        <w:tc>
          <w:tcPr>
            <w:tcW w:w="4158" w:type="dxa"/>
            <w:tcBorders>
              <w:top w:val="nil"/>
              <w:left w:val="single" w:sz="4" w:space="0" w:color="auto"/>
              <w:bottom w:val="single" w:sz="4" w:space="0" w:color="auto"/>
              <w:right w:val="single" w:sz="4" w:space="0" w:color="auto"/>
            </w:tcBorders>
            <w:shd w:val="clear" w:color="000000" w:fill="FFFFFF"/>
            <w:noWrap/>
            <w:vAlign w:val="bottom"/>
            <w:hideMark/>
          </w:tcPr>
          <w:p w14:paraId="1CE5377A" w14:textId="77777777" w:rsidR="0096590A" w:rsidRPr="00F85253" w:rsidRDefault="00FF3FD8" w:rsidP="0096590A">
            <w:pPr>
              <w:spacing w:after="0" w:line="240" w:lineRule="auto"/>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 xml:space="preserve">Optimización cartera EEPP </w:t>
            </w:r>
          </w:p>
          <w:p w14:paraId="2BD8A036" w14:textId="208E12E5" w:rsidR="00FF3FD8" w:rsidRPr="00F85253" w:rsidRDefault="00FF3FD8" w:rsidP="0096590A">
            <w:pPr>
              <w:spacing w:after="0" w:line="240" w:lineRule="auto"/>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(excepto desvinculaciones*)</w:t>
            </w:r>
          </w:p>
        </w:tc>
        <w:tc>
          <w:tcPr>
            <w:tcW w:w="909" w:type="dxa"/>
            <w:tcBorders>
              <w:top w:val="nil"/>
              <w:left w:val="nil"/>
              <w:bottom w:val="single" w:sz="4" w:space="0" w:color="auto"/>
              <w:right w:val="single" w:sz="4" w:space="0" w:color="auto"/>
            </w:tcBorders>
            <w:shd w:val="clear" w:color="000000" w:fill="FFFFFF"/>
            <w:noWrap/>
            <w:vAlign w:val="bottom"/>
            <w:hideMark/>
          </w:tcPr>
          <w:p w14:paraId="308713B5" w14:textId="77777777" w:rsidR="00FF3FD8" w:rsidRPr="00F85253" w:rsidRDefault="00FF3FD8" w:rsidP="00FF3FD8">
            <w:pPr>
              <w:spacing w:after="0" w:line="240" w:lineRule="auto"/>
              <w:ind w:firstLineChars="100" w:firstLine="200"/>
              <w:jc w:val="right"/>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 xml:space="preserve">        2.56 </w:t>
            </w:r>
          </w:p>
        </w:tc>
        <w:tc>
          <w:tcPr>
            <w:tcW w:w="919" w:type="dxa"/>
            <w:tcBorders>
              <w:top w:val="nil"/>
              <w:left w:val="nil"/>
              <w:bottom w:val="single" w:sz="4" w:space="0" w:color="auto"/>
              <w:right w:val="single" w:sz="4" w:space="0" w:color="auto"/>
            </w:tcBorders>
            <w:shd w:val="clear" w:color="000000" w:fill="FFFFFF"/>
            <w:noWrap/>
            <w:vAlign w:val="bottom"/>
            <w:hideMark/>
          </w:tcPr>
          <w:p w14:paraId="490BC34C" w14:textId="77777777" w:rsidR="00FF3FD8" w:rsidRPr="00F85253" w:rsidRDefault="00FF3FD8" w:rsidP="00FF3FD8">
            <w:pPr>
              <w:spacing w:after="0" w:line="240" w:lineRule="auto"/>
              <w:ind w:firstLineChars="100" w:firstLine="200"/>
              <w:jc w:val="right"/>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 xml:space="preserve">      12.17 </w:t>
            </w:r>
          </w:p>
        </w:tc>
        <w:tc>
          <w:tcPr>
            <w:tcW w:w="919" w:type="dxa"/>
            <w:tcBorders>
              <w:top w:val="nil"/>
              <w:left w:val="nil"/>
              <w:bottom w:val="single" w:sz="4" w:space="0" w:color="auto"/>
              <w:right w:val="single" w:sz="4" w:space="0" w:color="auto"/>
            </w:tcBorders>
            <w:shd w:val="clear" w:color="000000" w:fill="FFFFFF"/>
            <w:noWrap/>
            <w:vAlign w:val="bottom"/>
            <w:hideMark/>
          </w:tcPr>
          <w:p w14:paraId="63500B75" w14:textId="77777777" w:rsidR="00FF3FD8" w:rsidRPr="00F85253" w:rsidRDefault="00FF3FD8" w:rsidP="00FF3FD8">
            <w:pPr>
              <w:spacing w:after="0" w:line="240" w:lineRule="auto"/>
              <w:ind w:firstLineChars="100" w:firstLine="200"/>
              <w:jc w:val="right"/>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 xml:space="preserve">        8.92 </w:t>
            </w:r>
          </w:p>
        </w:tc>
        <w:tc>
          <w:tcPr>
            <w:tcW w:w="909" w:type="dxa"/>
            <w:tcBorders>
              <w:top w:val="nil"/>
              <w:left w:val="nil"/>
              <w:bottom w:val="single" w:sz="4" w:space="0" w:color="auto"/>
              <w:right w:val="single" w:sz="4" w:space="0" w:color="auto"/>
            </w:tcBorders>
            <w:shd w:val="clear" w:color="000000" w:fill="FFFFFF"/>
            <w:noWrap/>
            <w:vAlign w:val="bottom"/>
            <w:hideMark/>
          </w:tcPr>
          <w:p w14:paraId="10D460F9" w14:textId="77777777" w:rsidR="00FF3FD8" w:rsidRPr="00F85253" w:rsidRDefault="00FF3FD8" w:rsidP="00FF3FD8">
            <w:pPr>
              <w:spacing w:after="0" w:line="240" w:lineRule="auto"/>
              <w:ind w:firstLineChars="100" w:firstLine="200"/>
              <w:jc w:val="right"/>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 xml:space="preserve">        1.17 </w:t>
            </w:r>
          </w:p>
        </w:tc>
        <w:tc>
          <w:tcPr>
            <w:tcW w:w="1054" w:type="dxa"/>
            <w:tcBorders>
              <w:top w:val="nil"/>
              <w:left w:val="nil"/>
              <w:bottom w:val="single" w:sz="4" w:space="0" w:color="auto"/>
              <w:right w:val="single" w:sz="4" w:space="0" w:color="auto"/>
            </w:tcBorders>
            <w:shd w:val="clear" w:color="000000" w:fill="FFFFFF"/>
            <w:noWrap/>
            <w:vAlign w:val="bottom"/>
            <w:hideMark/>
          </w:tcPr>
          <w:p w14:paraId="3E98DF4A" w14:textId="77777777" w:rsidR="00FF3FD8" w:rsidRPr="00F85253" w:rsidRDefault="00FF3FD8" w:rsidP="00FF3FD8">
            <w:pPr>
              <w:spacing w:after="0" w:line="240" w:lineRule="auto"/>
              <w:ind w:firstLineChars="100" w:firstLine="201"/>
              <w:jc w:val="right"/>
              <w:rPr>
                <w:rFonts w:ascii="Arial" w:eastAsia="Times New Roman" w:hAnsi="Arial" w:cs="Arial"/>
                <w:b/>
                <w:bCs/>
                <w:color w:val="000000"/>
                <w:sz w:val="20"/>
                <w:szCs w:val="20"/>
                <w:lang w:val="es-EC" w:eastAsia="es-EC"/>
              </w:rPr>
            </w:pPr>
            <w:r w:rsidRPr="00F85253">
              <w:rPr>
                <w:rFonts w:ascii="Arial" w:eastAsia="Times New Roman" w:hAnsi="Arial" w:cs="Arial"/>
                <w:b/>
                <w:bCs/>
                <w:color w:val="000000"/>
                <w:sz w:val="20"/>
                <w:szCs w:val="20"/>
                <w:lang w:val="es-EC" w:eastAsia="es-EC"/>
              </w:rPr>
              <w:t xml:space="preserve">         24.82 </w:t>
            </w:r>
          </w:p>
        </w:tc>
      </w:tr>
      <w:tr w:rsidR="00FF3FD8" w:rsidRPr="00F85253" w14:paraId="16D45A6B" w14:textId="77777777" w:rsidTr="00FF3FD8">
        <w:trPr>
          <w:trHeight w:val="300"/>
        </w:trPr>
        <w:tc>
          <w:tcPr>
            <w:tcW w:w="4158" w:type="dxa"/>
            <w:tcBorders>
              <w:top w:val="nil"/>
              <w:left w:val="single" w:sz="4" w:space="0" w:color="auto"/>
              <w:bottom w:val="single" w:sz="4" w:space="0" w:color="auto"/>
              <w:right w:val="single" w:sz="4" w:space="0" w:color="auto"/>
            </w:tcBorders>
            <w:shd w:val="clear" w:color="000000" w:fill="FFFFFF"/>
            <w:noWrap/>
            <w:vAlign w:val="bottom"/>
            <w:hideMark/>
          </w:tcPr>
          <w:p w14:paraId="616A514E" w14:textId="5993F9DB" w:rsidR="00FF3FD8" w:rsidRPr="00F85253" w:rsidRDefault="00FF3FD8" w:rsidP="0096590A">
            <w:pPr>
              <w:spacing w:after="0" w:line="240" w:lineRule="auto"/>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Optimización cartera EE</w:t>
            </w:r>
            <w:r w:rsidR="0096590A" w:rsidRPr="00F85253">
              <w:rPr>
                <w:rFonts w:ascii="Arial" w:eastAsia="Times New Roman" w:hAnsi="Arial" w:cs="Arial"/>
                <w:color w:val="000000"/>
                <w:sz w:val="20"/>
                <w:szCs w:val="20"/>
                <w:lang w:val="es-EC" w:eastAsia="es-EC"/>
              </w:rPr>
              <w:t>PP</w:t>
            </w:r>
            <w:r w:rsidRPr="00F85253">
              <w:rPr>
                <w:rFonts w:ascii="Arial" w:eastAsia="Times New Roman" w:hAnsi="Arial" w:cs="Arial"/>
                <w:color w:val="000000"/>
                <w:sz w:val="20"/>
                <w:szCs w:val="20"/>
                <w:lang w:val="es-EC" w:eastAsia="es-EC"/>
              </w:rPr>
              <w:t xml:space="preserve"> (desvinculaciones)</w:t>
            </w:r>
          </w:p>
        </w:tc>
        <w:tc>
          <w:tcPr>
            <w:tcW w:w="909" w:type="dxa"/>
            <w:tcBorders>
              <w:top w:val="nil"/>
              <w:left w:val="nil"/>
              <w:bottom w:val="single" w:sz="4" w:space="0" w:color="auto"/>
              <w:right w:val="single" w:sz="4" w:space="0" w:color="auto"/>
            </w:tcBorders>
            <w:shd w:val="clear" w:color="000000" w:fill="FFFFFF"/>
            <w:noWrap/>
            <w:vAlign w:val="bottom"/>
            <w:hideMark/>
          </w:tcPr>
          <w:p w14:paraId="46BDFAB2" w14:textId="77777777" w:rsidR="00FF3FD8" w:rsidRPr="00F85253" w:rsidRDefault="00FF3FD8" w:rsidP="00FF3FD8">
            <w:pPr>
              <w:spacing w:after="0" w:line="240" w:lineRule="auto"/>
              <w:ind w:firstLineChars="100" w:firstLine="200"/>
              <w:jc w:val="right"/>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 xml:space="preserve">             -   </w:t>
            </w:r>
          </w:p>
        </w:tc>
        <w:tc>
          <w:tcPr>
            <w:tcW w:w="919" w:type="dxa"/>
            <w:tcBorders>
              <w:top w:val="nil"/>
              <w:left w:val="nil"/>
              <w:bottom w:val="single" w:sz="4" w:space="0" w:color="auto"/>
              <w:right w:val="single" w:sz="4" w:space="0" w:color="auto"/>
            </w:tcBorders>
            <w:shd w:val="clear" w:color="000000" w:fill="FFFFFF"/>
            <w:noWrap/>
            <w:vAlign w:val="bottom"/>
            <w:hideMark/>
          </w:tcPr>
          <w:p w14:paraId="014764F2" w14:textId="77777777" w:rsidR="00FF3FD8" w:rsidRPr="00F85253" w:rsidRDefault="00FF3FD8" w:rsidP="00FF3FD8">
            <w:pPr>
              <w:spacing w:after="0" w:line="240" w:lineRule="auto"/>
              <w:ind w:firstLineChars="100" w:firstLine="200"/>
              <w:jc w:val="right"/>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 xml:space="preserve">      43.00 </w:t>
            </w:r>
          </w:p>
        </w:tc>
        <w:tc>
          <w:tcPr>
            <w:tcW w:w="919" w:type="dxa"/>
            <w:tcBorders>
              <w:top w:val="nil"/>
              <w:left w:val="nil"/>
              <w:bottom w:val="single" w:sz="4" w:space="0" w:color="auto"/>
              <w:right w:val="single" w:sz="4" w:space="0" w:color="auto"/>
            </w:tcBorders>
            <w:shd w:val="clear" w:color="000000" w:fill="FFFFFF"/>
            <w:noWrap/>
            <w:vAlign w:val="bottom"/>
            <w:hideMark/>
          </w:tcPr>
          <w:p w14:paraId="2AF84912" w14:textId="77777777" w:rsidR="00FF3FD8" w:rsidRPr="00F85253" w:rsidRDefault="00FF3FD8" w:rsidP="00FF3FD8">
            <w:pPr>
              <w:spacing w:after="0" w:line="240" w:lineRule="auto"/>
              <w:ind w:firstLineChars="100" w:firstLine="200"/>
              <w:jc w:val="right"/>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 xml:space="preserve">             -   </w:t>
            </w:r>
          </w:p>
        </w:tc>
        <w:tc>
          <w:tcPr>
            <w:tcW w:w="909" w:type="dxa"/>
            <w:tcBorders>
              <w:top w:val="nil"/>
              <w:left w:val="nil"/>
              <w:bottom w:val="single" w:sz="4" w:space="0" w:color="auto"/>
              <w:right w:val="single" w:sz="4" w:space="0" w:color="auto"/>
            </w:tcBorders>
            <w:shd w:val="clear" w:color="000000" w:fill="FFFFFF"/>
            <w:noWrap/>
            <w:vAlign w:val="bottom"/>
            <w:hideMark/>
          </w:tcPr>
          <w:p w14:paraId="1217F103" w14:textId="77777777" w:rsidR="00FF3FD8" w:rsidRPr="00F85253" w:rsidRDefault="00FF3FD8" w:rsidP="00FF3FD8">
            <w:pPr>
              <w:spacing w:after="0" w:line="240" w:lineRule="auto"/>
              <w:ind w:firstLineChars="100" w:firstLine="200"/>
              <w:jc w:val="right"/>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 xml:space="preserve">             -   </w:t>
            </w:r>
          </w:p>
        </w:tc>
        <w:tc>
          <w:tcPr>
            <w:tcW w:w="1054" w:type="dxa"/>
            <w:tcBorders>
              <w:top w:val="nil"/>
              <w:left w:val="nil"/>
              <w:bottom w:val="single" w:sz="4" w:space="0" w:color="auto"/>
              <w:right w:val="single" w:sz="4" w:space="0" w:color="auto"/>
            </w:tcBorders>
            <w:shd w:val="clear" w:color="000000" w:fill="FFFFFF"/>
            <w:noWrap/>
            <w:vAlign w:val="bottom"/>
            <w:hideMark/>
          </w:tcPr>
          <w:p w14:paraId="3B85CB48" w14:textId="77777777" w:rsidR="00FF3FD8" w:rsidRPr="00F85253" w:rsidRDefault="00FF3FD8" w:rsidP="00FF3FD8">
            <w:pPr>
              <w:spacing w:after="0" w:line="240" w:lineRule="auto"/>
              <w:ind w:firstLineChars="100" w:firstLine="201"/>
              <w:jc w:val="right"/>
              <w:rPr>
                <w:rFonts w:ascii="Arial" w:eastAsia="Times New Roman" w:hAnsi="Arial" w:cs="Arial"/>
                <w:b/>
                <w:bCs/>
                <w:color w:val="000000"/>
                <w:sz w:val="20"/>
                <w:szCs w:val="20"/>
                <w:lang w:val="es-EC" w:eastAsia="es-EC"/>
              </w:rPr>
            </w:pPr>
            <w:r w:rsidRPr="00F85253">
              <w:rPr>
                <w:rFonts w:ascii="Arial" w:eastAsia="Times New Roman" w:hAnsi="Arial" w:cs="Arial"/>
                <w:b/>
                <w:bCs/>
                <w:color w:val="000000"/>
                <w:sz w:val="20"/>
                <w:szCs w:val="20"/>
                <w:lang w:val="es-EC" w:eastAsia="es-EC"/>
              </w:rPr>
              <w:t xml:space="preserve">         43.00 </w:t>
            </w:r>
          </w:p>
        </w:tc>
      </w:tr>
      <w:tr w:rsidR="00FF3FD8" w:rsidRPr="00F85253" w14:paraId="0C115D14" w14:textId="77777777" w:rsidTr="00FF3FD8">
        <w:trPr>
          <w:trHeight w:val="300"/>
        </w:trPr>
        <w:tc>
          <w:tcPr>
            <w:tcW w:w="4158" w:type="dxa"/>
            <w:tcBorders>
              <w:top w:val="nil"/>
              <w:left w:val="single" w:sz="4" w:space="0" w:color="auto"/>
              <w:bottom w:val="single" w:sz="4" w:space="0" w:color="auto"/>
              <w:right w:val="single" w:sz="4" w:space="0" w:color="auto"/>
            </w:tcBorders>
            <w:shd w:val="clear" w:color="000000" w:fill="FFFFFF"/>
            <w:noWrap/>
            <w:vAlign w:val="bottom"/>
            <w:hideMark/>
          </w:tcPr>
          <w:p w14:paraId="6B9D8127" w14:textId="77777777" w:rsidR="00FF3FD8" w:rsidRPr="00F85253" w:rsidRDefault="00FF3FD8" w:rsidP="00FF3FD8">
            <w:pPr>
              <w:spacing w:after="0" w:line="240" w:lineRule="auto"/>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Fortalecimiento del Marco de Gobernanza Corporativa</w:t>
            </w:r>
          </w:p>
        </w:tc>
        <w:tc>
          <w:tcPr>
            <w:tcW w:w="909" w:type="dxa"/>
            <w:tcBorders>
              <w:top w:val="nil"/>
              <w:left w:val="nil"/>
              <w:bottom w:val="single" w:sz="4" w:space="0" w:color="auto"/>
              <w:right w:val="single" w:sz="4" w:space="0" w:color="auto"/>
            </w:tcBorders>
            <w:shd w:val="clear" w:color="000000" w:fill="FFFFFF"/>
            <w:noWrap/>
            <w:vAlign w:val="bottom"/>
            <w:hideMark/>
          </w:tcPr>
          <w:p w14:paraId="14709D8C" w14:textId="77777777" w:rsidR="00FF3FD8" w:rsidRPr="00F85253" w:rsidRDefault="00FF3FD8" w:rsidP="00FF3FD8">
            <w:pPr>
              <w:spacing w:after="0" w:line="240" w:lineRule="auto"/>
              <w:ind w:firstLineChars="100" w:firstLine="200"/>
              <w:jc w:val="right"/>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 xml:space="preserve">        0.06 </w:t>
            </w:r>
          </w:p>
        </w:tc>
        <w:tc>
          <w:tcPr>
            <w:tcW w:w="919" w:type="dxa"/>
            <w:tcBorders>
              <w:top w:val="nil"/>
              <w:left w:val="nil"/>
              <w:bottom w:val="single" w:sz="4" w:space="0" w:color="auto"/>
              <w:right w:val="single" w:sz="4" w:space="0" w:color="auto"/>
            </w:tcBorders>
            <w:shd w:val="clear" w:color="000000" w:fill="FFFFFF"/>
            <w:noWrap/>
            <w:vAlign w:val="bottom"/>
            <w:hideMark/>
          </w:tcPr>
          <w:p w14:paraId="3F58B862" w14:textId="77777777" w:rsidR="00FF3FD8" w:rsidRPr="00F85253" w:rsidRDefault="00FF3FD8" w:rsidP="00FF3FD8">
            <w:pPr>
              <w:spacing w:after="0" w:line="240" w:lineRule="auto"/>
              <w:ind w:firstLineChars="100" w:firstLine="200"/>
              <w:jc w:val="right"/>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 xml:space="preserve">        2.20 </w:t>
            </w:r>
          </w:p>
        </w:tc>
        <w:tc>
          <w:tcPr>
            <w:tcW w:w="919" w:type="dxa"/>
            <w:tcBorders>
              <w:top w:val="nil"/>
              <w:left w:val="nil"/>
              <w:bottom w:val="single" w:sz="4" w:space="0" w:color="auto"/>
              <w:right w:val="single" w:sz="4" w:space="0" w:color="auto"/>
            </w:tcBorders>
            <w:shd w:val="clear" w:color="000000" w:fill="FFFFFF"/>
            <w:noWrap/>
            <w:vAlign w:val="bottom"/>
            <w:hideMark/>
          </w:tcPr>
          <w:p w14:paraId="49A66E1A" w14:textId="77777777" w:rsidR="00FF3FD8" w:rsidRPr="00F85253" w:rsidRDefault="00FF3FD8" w:rsidP="00FF3FD8">
            <w:pPr>
              <w:spacing w:after="0" w:line="240" w:lineRule="auto"/>
              <w:ind w:firstLineChars="100" w:firstLine="200"/>
              <w:jc w:val="right"/>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 xml:space="preserve">        1.47 </w:t>
            </w:r>
          </w:p>
        </w:tc>
        <w:tc>
          <w:tcPr>
            <w:tcW w:w="909" w:type="dxa"/>
            <w:tcBorders>
              <w:top w:val="nil"/>
              <w:left w:val="nil"/>
              <w:bottom w:val="single" w:sz="4" w:space="0" w:color="auto"/>
              <w:right w:val="single" w:sz="4" w:space="0" w:color="auto"/>
            </w:tcBorders>
            <w:shd w:val="clear" w:color="000000" w:fill="FFFFFF"/>
            <w:noWrap/>
            <w:vAlign w:val="bottom"/>
            <w:hideMark/>
          </w:tcPr>
          <w:p w14:paraId="10DAC7DF" w14:textId="77777777" w:rsidR="00FF3FD8" w:rsidRPr="00F85253" w:rsidRDefault="00FF3FD8" w:rsidP="00FF3FD8">
            <w:pPr>
              <w:spacing w:after="0" w:line="240" w:lineRule="auto"/>
              <w:ind w:firstLineChars="100" w:firstLine="200"/>
              <w:jc w:val="right"/>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 xml:space="preserve">        0.38 </w:t>
            </w:r>
          </w:p>
        </w:tc>
        <w:tc>
          <w:tcPr>
            <w:tcW w:w="1054" w:type="dxa"/>
            <w:tcBorders>
              <w:top w:val="nil"/>
              <w:left w:val="nil"/>
              <w:bottom w:val="single" w:sz="4" w:space="0" w:color="auto"/>
              <w:right w:val="single" w:sz="4" w:space="0" w:color="auto"/>
            </w:tcBorders>
            <w:shd w:val="clear" w:color="000000" w:fill="FFFFFF"/>
            <w:noWrap/>
            <w:vAlign w:val="bottom"/>
            <w:hideMark/>
          </w:tcPr>
          <w:p w14:paraId="3432631F" w14:textId="77777777" w:rsidR="00FF3FD8" w:rsidRPr="00F85253" w:rsidRDefault="00FF3FD8" w:rsidP="00FF3FD8">
            <w:pPr>
              <w:spacing w:after="0" w:line="240" w:lineRule="auto"/>
              <w:ind w:firstLineChars="100" w:firstLine="201"/>
              <w:jc w:val="right"/>
              <w:rPr>
                <w:rFonts w:ascii="Arial" w:eastAsia="Times New Roman" w:hAnsi="Arial" w:cs="Arial"/>
                <w:b/>
                <w:bCs/>
                <w:color w:val="000000"/>
                <w:sz w:val="20"/>
                <w:szCs w:val="20"/>
                <w:lang w:val="es-EC" w:eastAsia="es-EC"/>
              </w:rPr>
            </w:pPr>
            <w:r w:rsidRPr="00F85253">
              <w:rPr>
                <w:rFonts w:ascii="Arial" w:eastAsia="Times New Roman" w:hAnsi="Arial" w:cs="Arial"/>
                <w:b/>
                <w:bCs/>
                <w:color w:val="000000"/>
                <w:sz w:val="20"/>
                <w:szCs w:val="20"/>
                <w:lang w:val="es-EC" w:eastAsia="es-EC"/>
              </w:rPr>
              <w:t xml:space="preserve">           4.11 </w:t>
            </w:r>
          </w:p>
        </w:tc>
      </w:tr>
      <w:tr w:rsidR="00FF3FD8" w:rsidRPr="00F85253" w14:paraId="783C5184" w14:textId="77777777" w:rsidTr="00FF3FD8">
        <w:trPr>
          <w:trHeight w:val="300"/>
        </w:trPr>
        <w:tc>
          <w:tcPr>
            <w:tcW w:w="4158" w:type="dxa"/>
            <w:tcBorders>
              <w:top w:val="nil"/>
              <w:left w:val="single" w:sz="4" w:space="0" w:color="auto"/>
              <w:bottom w:val="single" w:sz="4" w:space="0" w:color="auto"/>
              <w:right w:val="single" w:sz="4" w:space="0" w:color="auto"/>
            </w:tcBorders>
            <w:shd w:val="clear" w:color="000000" w:fill="FFFFFF"/>
            <w:noWrap/>
            <w:vAlign w:val="bottom"/>
            <w:hideMark/>
          </w:tcPr>
          <w:p w14:paraId="112C8051" w14:textId="5404FB70" w:rsidR="00FF3FD8" w:rsidRPr="00F85253" w:rsidRDefault="00FF3FD8" w:rsidP="00FF3FD8">
            <w:pPr>
              <w:spacing w:after="0" w:line="240" w:lineRule="auto"/>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Administración del programa</w:t>
            </w:r>
          </w:p>
        </w:tc>
        <w:tc>
          <w:tcPr>
            <w:tcW w:w="909" w:type="dxa"/>
            <w:tcBorders>
              <w:top w:val="nil"/>
              <w:left w:val="nil"/>
              <w:bottom w:val="single" w:sz="4" w:space="0" w:color="auto"/>
              <w:right w:val="single" w:sz="4" w:space="0" w:color="auto"/>
            </w:tcBorders>
            <w:shd w:val="clear" w:color="000000" w:fill="FFFFFF"/>
            <w:noWrap/>
            <w:vAlign w:val="bottom"/>
            <w:hideMark/>
          </w:tcPr>
          <w:p w14:paraId="734351CE" w14:textId="77777777" w:rsidR="00FF3FD8" w:rsidRPr="00F85253" w:rsidRDefault="00FF3FD8" w:rsidP="00FF3FD8">
            <w:pPr>
              <w:spacing w:after="0" w:line="240" w:lineRule="auto"/>
              <w:ind w:firstLineChars="100" w:firstLine="200"/>
              <w:jc w:val="right"/>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 xml:space="preserve">        0.15 </w:t>
            </w:r>
          </w:p>
        </w:tc>
        <w:tc>
          <w:tcPr>
            <w:tcW w:w="919" w:type="dxa"/>
            <w:tcBorders>
              <w:top w:val="nil"/>
              <w:left w:val="nil"/>
              <w:bottom w:val="single" w:sz="4" w:space="0" w:color="auto"/>
              <w:right w:val="single" w:sz="4" w:space="0" w:color="auto"/>
            </w:tcBorders>
            <w:shd w:val="clear" w:color="000000" w:fill="FFFFFF"/>
            <w:noWrap/>
            <w:vAlign w:val="bottom"/>
            <w:hideMark/>
          </w:tcPr>
          <w:p w14:paraId="78A63661" w14:textId="77777777" w:rsidR="00FF3FD8" w:rsidRPr="00F85253" w:rsidRDefault="00FF3FD8" w:rsidP="00FF3FD8">
            <w:pPr>
              <w:spacing w:after="0" w:line="240" w:lineRule="auto"/>
              <w:ind w:firstLineChars="100" w:firstLine="200"/>
              <w:jc w:val="right"/>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 xml:space="preserve">        0.83 </w:t>
            </w:r>
          </w:p>
        </w:tc>
        <w:tc>
          <w:tcPr>
            <w:tcW w:w="919" w:type="dxa"/>
            <w:tcBorders>
              <w:top w:val="nil"/>
              <w:left w:val="nil"/>
              <w:bottom w:val="single" w:sz="4" w:space="0" w:color="auto"/>
              <w:right w:val="single" w:sz="4" w:space="0" w:color="auto"/>
            </w:tcBorders>
            <w:shd w:val="clear" w:color="000000" w:fill="FFFFFF"/>
            <w:noWrap/>
            <w:vAlign w:val="bottom"/>
            <w:hideMark/>
          </w:tcPr>
          <w:p w14:paraId="1B8132D5" w14:textId="77777777" w:rsidR="00FF3FD8" w:rsidRPr="00F85253" w:rsidRDefault="00FF3FD8" w:rsidP="00FF3FD8">
            <w:pPr>
              <w:spacing w:after="0" w:line="240" w:lineRule="auto"/>
              <w:ind w:firstLineChars="100" w:firstLine="200"/>
              <w:jc w:val="right"/>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 xml:space="preserve">        0.98 </w:t>
            </w:r>
          </w:p>
        </w:tc>
        <w:tc>
          <w:tcPr>
            <w:tcW w:w="909" w:type="dxa"/>
            <w:tcBorders>
              <w:top w:val="nil"/>
              <w:left w:val="nil"/>
              <w:bottom w:val="single" w:sz="4" w:space="0" w:color="auto"/>
              <w:right w:val="single" w:sz="4" w:space="0" w:color="auto"/>
            </w:tcBorders>
            <w:shd w:val="clear" w:color="000000" w:fill="FFFFFF"/>
            <w:noWrap/>
            <w:vAlign w:val="bottom"/>
            <w:hideMark/>
          </w:tcPr>
          <w:p w14:paraId="4687D824" w14:textId="77777777" w:rsidR="00FF3FD8" w:rsidRPr="00F85253" w:rsidRDefault="00FF3FD8" w:rsidP="00FF3FD8">
            <w:pPr>
              <w:spacing w:after="0" w:line="240" w:lineRule="auto"/>
              <w:ind w:firstLineChars="100" w:firstLine="200"/>
              <w:jc w:val="right"/>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 xml:space="preserve">        1.11 </w:t>
            </w:r>
          </w:p>
        </w:tc>
        <w:tc>
          <w:tcPr>
            <w:tcW w:w="1054" w:type="dxa"/>
            <w:tcBorders>
              <w:top w:val="nil"/>
              <w:left w:val="nil"/>
              <w:bottom w:val="single" w:sz="4" w:space="0" w:color="auto"/>
              <w:right w:val="single" w:sz="4" w:space="0" w:color="auto"/>
            </w:tcBorders>
            <w:shd w:val="clear" w:color="000000" w:fill="FFFFFF"/>
            <w:noWrap/>
            <w:vAlign w:val="bottom"/>
            <w:hideMark/>
          </w:tcPr>
          <w:p w14:paraId="647BB0D9" w14:textId="77777777" w:rsidR="00FF3FD8" w:rsidRPr="00F85253" w:rsidRDefault="00FF3FD8" w:rsidP="00FF3FD8">
            <w:pPr>
              <w:spacing w:after="0" w:line="240" w:lineRule="auto"/>
              <w:ind w:firstLineChars="100" w:firstLine="201"/>
              <w:jc w:val="right"/>
              <w:rPr>
                <w:rFonts w:ascii="Arial" w:eastAsia="Times New Roman" w:hAnsi="Arial" w:cs="Arial"/>
                <w:b/>
                <w:bCs/>
                <w:color w:val="000000"/>
                <w:sz w:val="20"/>
                <w:szCs w:val="20"/>
                <w:lang w:val="es-EC" w:eastAsia="es-EC"/>
              </w:rPr>
            </w:pPr>
            <w:r w:rsidRPr="00F85253">
              <w:rPr>
                <w:rFonts w:ascii="Arial" w:eastAsia="Times New Roman" w:hAnsi="Arial" w:cs="Arial"/>
                <w:b/>
                <w:bCs/>
                <w:color w:val="000000"/>
                <w:sz w:val="20"/>
                <w:szCs w:val="20"/>
                <w:lang w:val="es-EC" w:eastAsia="es-EC"/>
              </w:rPr>
              <w:t xml:space="preserve">           3.07 </w:t>
            </w:r>
          </w:p>
        </w:tc>
      </w:tr>
      <w:tr w:rsidR="00FF3FD8" w:rsidRPr="00F85253" w14:paraId="597D6098" w14:textId="77777777" w:rsidTr="00FF3FD8">
        <w:trPr>
          <w:trHeight w:val="300"/>
        </w:trPr>
        <w:tc>
          <w:tcPr>
            <w:tcW w:w="4158" w:type="dxa"/>
            <w:tcBorders>
              <w:top w:val="nil"/>
              <w:left w:val="single" w:sz="4" w:space="0" w:color="auto"/>
              <w:bottom w:val="single" w:sz="4" w:space="0" w:color="auto"/>
              <w:right w:val="single" w:sz="4" w:space="0" w:color="auto"/>
            </w:tcBorders>
            <w:shd w:val="clear" w:color="000000" w:fill="F2F2F2"/>
            <w:noWrap/>
            <w:vAlign w:val="bottom"/>
            <w:hideMark/>
          </w:tcPr>
          <w:p w14:paraId="3D10293E" w14:textId="77777777" w:rsidR="00FF3FD8" w:rsidRPr="00F85253" w:rsidRDefault="00FF3FD8" w:rsidP="00FF3FD8">
            <w:pPr>
              <w:spacing w:after="0" w:line="240" w:lineRule="auto"/>
              <w:rPr>
                <w:rFonts w:ascii="Arial" w:eastAsia="Times New Roman" w:hAnsi="Arial" w:cs="Arial"/>
                <w:b/>
                <w:bCs/>
                <w:color w:val="000000"/>
                <w:sz w:val="20"/>
                <w:szCs w:val="20"/>
                <w:lang w:val="es-EC" w:eastAsia="es-EC"/>
              </w:rPr>
            </w:pPr>
            <w:r w:rsidRPr="00F85253">
              <w:rPr>
                <w:rFonts w:ascii="Arial" w:eastAsia="Times New Roman" w:hAnsi="Arial" w:cs="Arial"/>
                <w:b/>
                <w:bCs/>
                <w:color w:val="000000"/>
                <w:sz w:val="20"/>
                <w:szCs w:val="20"/>
                <w:lang w:val="es-EC" w:eastAsia="es-EC"/>
              </w:rPr>
              <w:t>Total</w:t>
            </w:r>
          </w:p>
        </w:tc>
        <w:tc>
          <w:tcPr>
            <w:tcW w:w="909" w:type="dxa"/>
            <w:tcBorders>
              <w:top w:val="nil"/>
              <w:left w:val="nil"/>
              <w:bottom w:val="single" w:sz="4" w:space="0" w:color="auto"/>
              <w:right w:val="single" w:sz="4" w:space="0" w:color="auto"/>
            </w:tcBorders>
            <w:shd w:val="clear" w:color="000000" w:fill="F2F2F2"/>
            <w:noWrap/>
            <w:vAlign w:val="bottom"/>
            <w:hideMark/>
          </w:tcPr>
          <w:p w14:paraId="300B05C4" w14:textId="77777777" w:rsidR="00FF3FD8" w:rsidRPr="00F85253" w:rsidRDefault="00FF3FD8" w:rsidP="00FF3FD8">
            <w:pPr>
              <w:spacing w:after="0" w:line="240" w:lineRule="auto"/>
              <w:ind w:firstLineChars="100" w:firstLine="201"/>
              <w:jc w:val="right"/>
              <w:rPr>
                <w:rFonts w:ascii="Arial" w:eastAsia="Times New Roman" w:hAnsi="Arial" w:cs="Arial"/>
                <w:b/>
                <w:bCs/>
                <w:color w:val="000000"/>
                <w:sz w:val="20"/>
                <w:szCs w:val="20"/>
                <w:lang w:val="es-EC" w:eastAsia="es-EC"/>
              </w:rPr>
            </w:pPr>
            <w:r w:rsidRPr="00F85253">
              <w:rPr>
                <w:rFonts w:ascii="Arial" w:eastAsia="Times New Roman" w:hAnsi="Arial" w:cs="Arial"/>
                <w:b/>
                <w:bCs/>
                <w:color w:val="000000"/>
                <w:sz w:val="20"/>
                <w:szCs w:val="20"/>
                <w:lang w:val="es-EC" w:eastAsia="es-EC"/>
              </w:rPr>
              <w:t xml:space="preserve">        2.77 </w:t>
            </w:r>
          </w:p>
        </w:tc>
        <w:tc>
          <w:tcPr>
            <w:tcW w:w="919" w:type="dxa"/>
            <w:tcBorders>
              <w:top w:val="nil"/>
              <w:left w:val="nil"/>
              <w:bottom w:val="single" w:sz="4" w:space="0" w:color="auto"/>
              <w:right w:val="single" w:sz="4" w:space="0" w:color="auto"/>
            </w:tcBorders>
            <w:shd w:val="clear" w:color="000000" w:fill="F2F2F2"/>
            <w:noWrap/>
            <w:vAlign w:val="bottom"/>
            <w:hideMark/>
          </w:tcPr>
          <w:p w14:paraId="31E90CAA" w14:textId="77777777" w:rsidR="00FF3FD8" w:rsidRPr="00F85253" w:rsidRDefault="00FF3FD8" w:rsidP="00FF3FD8">
            <w:pPr>
              <w:spacing w:after="0" w:line="240" w:lineRule="auto"/>
              <w:ind w:firstLineChars="100" w:firstLine="201"/>
              <w:jc w:val="right"/>
              <w:rPr>
                <w:rFonts w:ascii="Arial" w:eastAsia="Times New Roman" w:hAnsi="Arial" w:cs="Arial"/>
                <w:b/>
                <w:bCs/>
                <w:color w:val="000000"/>
                <w:sz w:val="20"/>
                <w:szCs w:val="20"/>
                <w:lang w:val="es-EC" w:eastAsia="es-EC"/>
              </w:rPr>
            </w:pPr>
            <w:r w:rsidRPr="00F85253">
              <w:rPr>
                <w:rFonts w:ascii="Arial" w:eastAsia="Times New Roman" w:hAnsi="Arial" w:cs="Arial"/>
                <w:b/>
                <w:bCs/>
                <w:color w:val="000000"/>
                <w:sz w:val="20"/>
                <w:szCs w:val="20"/>
                <w:lang w:val="es-EC" w:eastAsia="es-EC"/>
              </w:rPr>
              <w:t xml:space="preserve">      58.20 </w:t>
            </w:r>
          </w:p>
        </w:tc>
        <w:tc>
          <w:tcPr>
            <w:tcW w:w="919" w:type="dxa"/>
            <w:tcBorders>
              <w:top w:val="nil"/>
              <w:left w:val="nil"/>
              <w:bottom w:val="single" w:sz="4" w:space="0" w:color="auto"/>
              <w:right w:val="single" w:sz="4" w:space="0" w:color="auto"/>
            </w:tcBorders>
            <w:shd w:val="clear" w:color="000000" w:fill="F2F2F2"/>
            <w:noWrap/>
            <w:vAlign w:val="bottom"/>
            <w:hideMark/>
          </w:tcPr>
          <w:p w14:paraId="5497B524" w14:textId="77777777" w:rsidR="00FF3FD8" w:rsidRPr="00F85253" w:rsidRDefault="00FF3FD8" w:rsidP="00FF3FD8">
            <w:pPr>
              <w:spacing w:after="0" w:line="240" w:lineRule="auto"/>
              <w:ind w:firstLineChars="100" w:firstLine="201"/>
              <w:jc w:val="right"/>
              <w:rPr>
                <w:rFonts w:ascii="Arial" w:eastAsia="Times New Roman" w:hAnsi="Arial" w:cs="Arial"/>
                <w:b/>
                <w:bCs/>
                <w:color w:val="000000"/>
                <w:sz w:val="20"/>
                <w:szCs w:val="20"/>
                <w:lang w:val="es-EC" w:eastAsia="es-EC"/>
              </w:rPr>
            </w:pPr>
            <w:r w:rsidRPr="00F85253">
              <w:rPr>
                <w:rFonts w:ascii="Arial" w:eastAsia="Times New Roman" w:hAnsi="Arial" w:cs="Arial"/>
                <w:b/>
                <w:bCs/>
                <w:color w:val="000000"/>
                <w:sz w:val="20"/>
                <w:szCs w:val="20"/>
                <w:lang w:val="es-EC" w:eastAsia="es-EC"/>
              </w:rPr>
              <w:t xml:space="preserve">      11.37 </w:t>
            </w:r>
          </w:p>
        </w:tc>
        <w:tc>
          <w:tcPr>
            <w:tcW w:w="909" w:type="dxa"/>
            <w:tcBorders>
              <w:top w:val="nil"/>
              <w:left w:val="nil"/>
              <w:bottom w:val="single" w:sz="4" w:space="0" w:color="auto"/>
              <w:right w:val="single" w:sz="4" w:space="0" w:color="auto"/>
            </w:tcBorders>
            <w:shd w:val="clear" w:color="000000" w:fill="F2F2F2"/>
            <w:noWrap/>
            <w:vAlign w:val="bottom"/>
            <w:hideMark/>
          </w:tcPr>
          <w:p w14:paraId="5B0D08AF" w14:textId="77777777" w:rsidR="00FF3FD8" w:rsidRPr="00F85253" w:rsidRDefault="00FF3FD8" w:rsidP="00FF3FD8">
            <w:pPr>
              <w:spacing w:after="0" w:line="240" w:lineRule="auto"/>
              <w:ind w:firstLineChars="100" w:firstLine="201"/>
              <w:jc w:val="right"/>
              <w:rPr>
                <w:rFonts w:ascii="Arial" w:eastAsia="Times New Roman" w:hAnsi="Arial" w:cs="Arial"/>
                <w:b/>
                <w:bCs/>
                <w:color w:val="000000"/>
                <w:sz w:val="20"/>
                <w:szCs w:val="20"/>
                <w:lang w:val="es-EC" w:eastAsia="es-EC"/>
              </w:rPr>
            </w:pPr>
            <w:r w:rsidRPr="00F85253">
              <w:rPr>
                <w:rFonts w:ascii="Arial" w:eastAsia="Times New Roman" w:hAnsi="Arial" w:cs="Arial"/>
                <w:b/>
                <w:bCs/>
                <w:color w:val="000000"/>
                <w:sz w:val="20"/>
                <w:szCs w:val="20"/>
                <w:lang w:val="es-EC" w:eastAsia="es-EC"/>
              </w:rPr>
              <w:t xml:space="preserve">        2.66 </w:t>
            </w:r>
          </w:p>
        </w:tc>
        <w:tc>
          <w:tcPr>
            <w:tcW w:w="1054" w:type="dxa"/>
            <w:tcBorders>
              <w:top w:val="nil"/>
              <w:left w:val="nil"/>
              <w:bottom w:val="single" w:sz="4" w:space="0" w:color="auto"/>
              <w:right w:val="single" w:sz="4" w:space="0" w:color="auto"/>
            </w:tcBorders>
            <w:shd w:val="clear" w:color="000000" w:fill="F2F2F2"/>
            <w:noWrap/>
            <w:vAlign w:val="bottom"/>
            <w:hideMark/>
          </w:tcPr>
          <w:p w14:paraId="1E12FCEA" w14:textId="77777777" w:rsidR="00FF3FD8" w:rsidRPr="00F85253" w:rsidRDefault="00FF3FD8" w:rsidP="00FF3FD8">
            <w:pPr>
              <w:spacing w:after="0" w:line="240" w:lineRule="auto"/>
              <w:ind w:firstLineChars="100" w:firstLine="201"/>
              <w:jc w:val="right"/>
              <w:rPr>
                <w:rFonts w:ascii="Arial" w:eastAsia="Times New Roman" w:hAnsi="Arial" w:cs="Arial"/>
                <w:b/>
                <w:bCs/>
                <w:color w:val="000000"/>
                <w:sz w:val="20"/>
                <w:szCs w:val="20"/>
                <w:lang w:val="es-EC" w:eastAsia="es-EC"/>
              </w:rPr>
            </w:pPr>
            <w:r w:rsidRPr="00F85253">
              <w:rPr>
                <w:rFonts w:ascii="Arial" w:eastAsia="Times New Roman" w:hAnsi="Arial" w:cs="Arial"/>
                <w:b/>
                <w:bCs/>
                <w:color w:val="000000"/>
                <w:sz w:val="20"/>
                <w:szCs w:val="20"/>
                <w:lang w:val="es-EC" w:eastAsia="es-EC"/>
              </w:rPr>
              <w:t xml:space="preserve">         75.00 </w:t>
            </w:r>
          </w:p>
        </w:tc>
      </w:tr>
      <w:tr w:rsidR="00FF3FD8" w:rsidRPr="00F85253" w14:paraId="0138460D" w14:textId="77777777" w:rsidTr="00FF3FD8">
        <w:trPr>
          <w:trHeight w:val="300"/>
        </w:trPr>
        <w:tc>
          <w:tcPr>
            <w:tcW w:w="4158" w:type="dxa"/>
            <w:tcBorders>
              <w:top w:val="nil"/>
              <w:left w:val="single" w:sz="4" w:space="0" w:color="auto"/>
              <w:bottom w:val="single" w:sz="4" w:space="0" w:color="auto"/>
              <w:right w:val="single" w:sz="4" w:space="0" w:color="auto"/>
            </w:tcBorders>
            <w:shd w:val="clear" w:color="000000" w:fill="F2F2F2"/>
            <w:noWrap/>
            <w:vAlign w:val="bottom"/>
            <w:hideMark/>
          </w:tcPr>
          <w:p w14:paraId="39EF7AEA" w14:textId="77777777" w:rsidR="00FF3FD8" w:rsidRPr="00F85253" w:rsidRDefault="00FF3FD8" w:rsidP="00FF3FD8">
            <w:pPr>
              <w:spacing w:after="0" w:line="240" w:lineRule="auto"/>
              <w:rPr>
                <w:rFonts w:ascii="Arial" w:eastAsia="Times New Roman" w:hAnsi="Arial" w:cs="Arial"/>
                <w:b/>
                <w:bCs/>
                <w:color w:val="000000"/>
                <w:sz w:val="20"/>
                <w:szCs w:val="20"/>
                <w:lang w:val="es-EC" w:eastAsia="es-EC"/>
              </w:rPr>
            </w:pPr>
            <w:r w:rsidRPr="00F85253">
              <w:rPr>
                <w:rFonts w:ascii="Arial" w:eastAsia="Times New Roman" w:hAnsi="Arial" w:cs="Arial"/>
                <w:b/>
                <w:bCs/>
                <w:color w:val="000000"/>
                <w:sz w:val="20"/>
                <w:szCs w:val="20"/>
                <w:lang w:val="es-EC" w:eastAsia="es-EC"/>
              </w:rPr>
              <w:t>% de ejecución anual</w:t>
            </w:r>
          </w:p>
        </w:tc>
        <w:tc>
          <w:tcPr>
            <w:tcW w:w="909" w:type="dxa"/>
            <w:tcBorders>
              <w:top w:val="nil"/>
              <w:left w:val="nil"/>
              <w:bottom w:val="single" w:sz="4" w:space="0" w:color="auto"/>
              <w:right w:val="single" w:sz="4" w:space="0" w:color="auto"/>
            </w:tcBorders>
            <w:shd w:val="clear" w:color="000000" w:fill="F2F2F2"/>
            <w:noWrap/>
            <w:vAlign w:val="bottom"/>
            <w:hideMark/>
          </w:tcPr>
          <w:p w14:paraId="334B38BA" w14:textId="77777777" w:rsidR="00FF3FD8" w:rsidRPr="00F85253" w:rsidRDefault="00FF3FD8" w:rsidP="00FF3FD8">
            <w:pPr>
              <w:spacing w:after="0" w:line="240" w:lineRule="auto"/>
              <w:ind w:firstLineChars="100" w:firstLine="201"/>
              <w:jc w:val="right"/>
              <w:rPr>
                <w:rFonts w:ascii="Arial" w:eastAsia="Times New Roman" w:hAnsi="Arial" w:cs="Arial"/>
                <w:b/>
                <w:bCs/>
                <w:color w:val="000000"/>
                <w:sz w:val="20"/>
                <w:szCs w:val="20"/>
                <w:lang w:val="es-EC" w:eastAsia="es-EC"/>
              </w:rPr>
            </w:pPr>
            <w:r w:rsidRPr="00F85253">
              <w:rPr>
                <w:rFonts w:ascii="Arial" w:eastAsia="Times New Roman" w:hAnsi="Arial" w:cs="Arial"/>
                <w:b/>
                <w:bCs/>
                <w:color w:val="000000"/>
                <w:sz w:val="20"/>
                <w:szCs w:val="20"/>
                <w:lang w:val="es-EC" w:eastAsia="es-EC"/>
              </w:rPr>
              <w:t>4%</w:t>
            </w:r>
          </w:p>
        </w:tc>
        <w:tc>
          <w:tcPr>
            <w:tcW w:w="919" w:type="dxa"/>
            <w:tcBorders>
              <w:top w:val="nil"/>
              <w:left w:val="nil"/>
              <w:bottom w:val="single" w:sz="4" w:space="0" w:color="auto"/>
              <w:right w:val="single" w:sz="4" w:space="0" w:color="auto"/>
            </w:tcBorders>
            <w:shd w:val="clear" w:color="000000" w:fill="F2F2F2"/>
            <w:noWrap/>
            <w:vAlign w:val="bottom"/>
            <w:hideMark/>
          </w:tcPr>
          <w:p w14:paraId="67CC099D" w14:textId="77777777" w:rsidR="00FF3FD8" w:rsidRPr="00F85253" w:rsidRDefault="00FF3FD8" w:rsidP="00FF3FD8">
            <w:pPr>
              <w:spacing w:after="0" w:line="240" w:lineRule="auto"/>
              <w:ind w:firstLineChars="100" w:firstLine="201"/>
              <w:jc w:val="right"/>
              <w:rPr>
                <w:rFonts w:ascii="Arial" w:eastAsia="Times New Roman" w:hAnsi="Arial" w:cs="Arial"/>
                <w:b/>
                <w:bCs/>
                <w:color w:val="000000"/>
                <w:sz w:val="20"/>
                <w:szCs w:val="20"/>
                <w:lang w:val="es-EC" w:eastAsia="es-EC"/>
              </w:rPr>
            </w:pPr>
            <w:r w:rsidRPr="00F85253">
              <w:rPr>
                <w:rFonts w:ascii="Arial" w:eastAsia="Times New Roman" w:hAnsi="Arial" w:cs="Arial"/>
                <w:b/>
                <w:bCs/>
                <w:color w:val="000000"/>
                <w:sz w:val="20"/>
                <w:szCs w:val="20"/>
                <w:lang w:val="es-EC" w:eastAsia="es-EC"/>
              </w:rPr>
              <w:t>78%</w:t>
            </w:r>
          </w:p>
        </w:tc>
        <w:tc>
          <w:tcPr>
            <w:tcW w:w="919" w:type="dxa"/>
            <w:tcBorders>
              <w:top w:val="nil"/>
              <w:left w:val="nil"/>
              <w:bottom w:val="single" w:sz="4" w:space="0" w:color="auto"/>
              <w:right w:val="single" w:sz="4" w:space="0" w:color="auto"/>
            </w:tcBorders>
            <w:shd w:val="clear" w:color="000000" w:fill="F2F2F2"/>
            <w:noWrap/>
            <w:vAlign w:val="bottom"/>
            <w:hideMark/>
          </w:tcPr>
          <w:p w14:paraId="1999C845" w14:textId="77777777" w:rsidR="00FF3FD8" w:rsidRPr="00F85253" w:rsidRDefault="00FF3FD8" w:rsidP="00FF3FD8">
            <w:pPr>
              <w:spacing w:after="0" w:line="240" w:lineRule="auto"/>
              <w:ind w:firstLineChars="100" w:firstLine="201"/>
              <w:jc w:val="right"/>
              <w:rPr>
                <w:rFonts w:ascii="Arial" w:eastAsia="Times New Roman" w:hAnsi="Arial" w:cs="Arial"/>
                <w:b/>
                <w:bCs/>
                <w:color w:val="000000"/>
                <w:sz w:val="20"/>
                <w:szCs w:val="20"/>
                <w:lang w:val="es-EC" w:eastAsia="es-EC"/>
              </w:rPr>
            </w:pPr>
            <w:r w:rsidRPr="00F85253">
              <w:rPr>
                <w:rFonts w:ascii="Arial" w:eastAsia="Times New Roman" w:hAnsi="Arial" w:cs="Arial"/>
                <w:b/>
                <w:bCs/>
                <w:color w:val="000000"/>
                <w:sz w:val="20"/>
                <w:szCs w:val="20"/>
                <w:lang w:val="es-EC" w:eastAsia="es-EC"/>
              </w:rPr>
              <w:t>15%</w:t>
            </w:r>
          </w:p>
        </w:tc>
        <w:tc>
          <w:tcPr>
            <w:tcW w:w="909" w:type="dxa"/>
            <w:tcBorders>
              <w:top w:val="nil"/>
              <w:left w:val="nil"/>
              <w:bottom w:val="single" w:sz="4" w:space="0" w:color="auto"/>
              <w:right w:val="single" w:sz="4" w:space="0" w:color="auto"/>
            </w:tcBorders>
            <w:shd w:val="clear" w:color="000000" w:fill="F2F2F2"/>
            <w:noWrap/>
            <w:vAlign w:val="bottom"/>
            <w:hideMark/>
          </w:tcPr>
          <w:p w14:paraId="3BA4B8B0" w14:textId="77777777" w:rsidR="00FF3FD8" w:rsidRPr="00F85253" w:rsidRDefault="00FF3FD8" w:rsidP="00FF3FD8">
            <w:pPr>
              <w:spacing w:after="0" w:line="240" w:lineRule="auto"/>
              <w:ind w:firstLineChars="100" w:firstLine="201"/>
              <w:jc w:val="right"/>
              <w:rPr>
                <w:rFonts w:ascii="Arial" w:eastAsia="Times New Roman" w:hAnsi="Arial" w:cs="Arial"/>
                <w:b/>
                <w:bCs/>
                <w:color w:val="000000"/>
                <w:sz w:val="20"/>
                <w:szCs w:val="20"/>
                <w:lang w:val="es-EC" w:eastAsia="es-EC"/>
              </w:rPr>
            </w:pPr>
            <w:r w:rsidRPr="00F85253">
              <w:rPr>
                <w:rFonts w:ascii="Arial" w:eastAsia="Times New Roman" w:hAnsi="Arial" w:cs="Arial"/>
                <w:b/>
                <w:bCs/>
                <w:color w:val="000000"/>
                <w:sz w:val="20"/>
                <w:szCs w:val="20"/>
                <w:lang w:val="es-EC" w:eastAsia="es-EC"/>
              </w:rPr>
              <w:t>4%</w:t>
            </w:r>
          </w:p>
        </w:tc>
        <w:tc>
          <w:tcPr>
            <w:tcW w:w="1054" w:type="dxa"/>
            <w:tcBorders>
              <w:top w:val="nil"/>
              <w:left w:val="nil"/>
              <w:bottom w:val="single" w:sz="4" w:space="0" w:color="auto"/>
              <w:right w:val="single" w:sz="4" w:space="0" w:color="auto"/>
            </w:tcBorders>
            <w:shd w:val="clear" w:color="000000" w:fill="F2F2F2"/>
            <w:noWrap/>
            <w:vAlign w:val="bottom"/>
            <w:hideMark/>
          </w:tcPr>
          <w:p w14:paraId="394E0590" w14:textId="77777777" w:rsidR="00FF3FD8" w:rsidRPr="00F85253" w:rsidRDefault="00FF3FD8" w:rsidP="00FF3FD8">
            <w:pPr>
              <w:spacing w:after="0" w:line="240" w:lineRule="auto"/>
              <w:ind w:firstLineChars="100" w:firstLine="201"/>
              <w:jc w:val="right"/>
              <w:rPr>
                <w:rFonts w:ascii="Arial" w:eastAsia="Times New Roman" w:hAnsi="Arial" w:cs="Arial"/>
                <w:b/>
                <w:bCs/>
                <w:color w:val="000000"/>
                <w:sz w:val="20"/>
                <w:szCs w:val="20"/>
                <w:lang w:val="es-EC" w:eastAsia="es-EC"/>
              </w:rPr>
            </w:pPr>
            <w:r w:rsidRPr="00F85253">
              <w:rPr>
                <w:rFonts w:ascii="Arial" w:eastAsia="Times New Roman" w:hAnsi="Arial" w:cs="Arial"/>
                <w:b/>
                <w:bCs/>
                <w:color w:val="000000"/>
                <w:sz w:val="20"/>
                <w:szCs w:val="20"/>
                <w:lang w:val="es-EC" w:eastAsia="es-EC"/>
              </w:rPr>
              <w:t>100%</w:t>
            </w:r>
          </w:p>
        </w:tc>
      </w:tr>
    </w:tbl>
    <w:p w14:paraId="6EAE2051" w14:textId="06E31F3B" w:rsidR="00755057" w:rsidRPr="00F85253" w:rsidRDefault="00FF3FD8" w:rsidP="00892C28">
      <w:pPr>
        <w:pStyle w:val="Paragraph"/>
        <w:spacing w:before="0" w:after="0" w:line="276" w:lineRule="auto"/>
        <w:outlineLvl w:val="9"/>
        <w:rPr>
          <w:rFonts w:ascii="Arial" w:hAnsi="Arial" w:cs="Arial"/>
          <w:i/>
          <w:sz w:val="20"/>
          <w:szCs w:val="22"/>
          <w:lang w:val="es-ES_tradnl"/>
        </w:rPr>
      </w:pPr>
      <w:r w:rsidRPr="00F85253">
        <w:rPr>
          <w:rFonts w:ascii="Arial" w:hAnsi="Arial" w:cs="Arial"/>
          <w:i/>
          <w:sz w:val="20"/>
          <w:szCs w:val="22"/>
          <w:lang w:val="es-ES_tradnl"/>
        </w:rPr>
        <w:t xml:space="preserve">* </w:t>
      </w:r>
      <w:r w:rsidR="00713F60" w:rsidRPr="00F85253">
        <w:rPr>
          <w:rFonts w:ascii="Arial" w:hAnsi="Arial" w:cs="Arial"/>
          <w:i/>
          <w:sz w:val="20"/>
          <w:szCs w:val="22"/>
          <w:lang w:val="es-ES_tradnl"/>
        </w:rPr>
        <w:t>Considera la fusión de las petroleras, la optimización de CELEC, CNEL, consultorías TAME y estrategia de comunicación.</w:t>
      </w:r>
    </w:p>
    <w:p w14:paraId="291ABB50" w14:textId="77777777" w:rsidR="00282464" w:rsidRPr="00F85253" w:rsidRDefault="00282464" w:rsidP="002543DC">
      <w:pPr>
        <w:pStyle w:val="Paragraph"/>
        <w:spacing w:before="0" w:after="0" w:line="276" w:lineRule="auto"/>
        <w:ind w:left="720"/>
        <w:outlineLvl w:val="9"/>
        <w:rPr>
          <w:rFonts w:ascii="Arial" w:hAnsi="Arial" w:cs="Arial"/>
          <w:sz w:val="22"/>
          <w:szCs w:val="22"/>
          <w:lang w:val="es-ES_tradnl"/>
        </w:rPr>
      </w:pPr>
    </w:p>
    <w:p w14:paraId="3D44C36D" w14:textId="77777777" w:rsidR="0010654C" w:rsidRPr="00F85253" w:rsidRDefault="0010654C" w:rsidP="002543DC">
      <w:pPr>
        <w:pStyle w:val="Paragraph"/>
        <w:spacing w:before="0" w:after="0" w:line="276" w:lineRule="auto"/>
        <w:ind w:left="720"/>
        <w:outlineLvl w:val="9"/>
        <w:rPr>
          <w:rFonts w:ascii="Arial" w:hAnsi="Arial" w:cs="Arial"/>
          <w:sz w:val="22"/>
          <w:szCs w:val="22"/>
          <w:lang w:val="es-ES_tradnl"/>
        </w:rPr>
      </w:pPr>
    </w:p>
    <w:p w14:paraId="33FFBDBD" w14:textId="77777777" w:rsidR="008D1244" w:rsidRPr="00F85253" w:rsidRDefault="008D1244" w:rsidP="002543DC">
      <w:pPr>
        <w:pStyle w:val="Paragraph"/>
        <w:spacing w:before="0" w:after="0" w:line="276" w:lineRule="auto"/>
        <w:ind w:left="720"/>
        <w:outlineLvl w:val="9"/>
        <w:rPr>
          <w:rFonts w:ascii="Arial" w:hAnsi="Arial" w:cs="Arial"/>
          <w:sz w:val="22"/>
          <w:szCs w:val="22"/>
          <w:lang w:val="es-ES_tradnl"/>
        </w:rPr>
      </w:pPr>
    </w:p>
    <w:p w14:paraId="751EC011" w14:textId="77777777" w:rsidR="008D1244" w:rsidRPr="00F85253" w:rsidRDefault="008D1244" w:rsidP="002543DC">
      <w:pPr>
        <w:pStyle w:val="Paragraph"/>
        <w:spacing w:before="0" w:after="0" w:line="276" w:lineRule="auto"/>
        <w:ind w:left="720"/>
        <w:outlineLvl w:val="9"/>
        <w:rPr>
          <w:rFonts w:ascii="Arial" w:hAnsi="Arial" w:cs="Arial"/>
          <w:sz w:val="22"/>
          <w:szCs w:val="22"/>
          <w:lang w:val="es-ES_tradnl"/>
        </w:rPr>
      </w:pPr>
    </w:p>
    <w:p w14:paraId="37BB4629" w14:textId="77777777" w:rsidR="008D1244" w:rsidRPr="00F85253" w:rsidRDefault="008D1244" w:rsidP="002543DC">
      <w:pPr>
        <w:pStyle w:val="Paragraph"/>
        <w:spacing w:before="0" w:after="0" w:line="276" w:lineRule="auto"/>
        <w:ind w:left="720"/>
        <w:outlineLvl w:val="9"/>
        <w:rPr>
          <w:rFonts w:ascii="Arial" w:hAnsi="Arial" w:cs="Arial"/>
          <w:sz w:val="22"/>
          <w:szCs w:val="22"/>
          <w:lang w:val="es-ES_tradnl"/>
        </w:rPr>
      </w:pPr>
    </w:p>
    <w:p w14:paraId="267F61A5" w14:textId="77777777" w:rsidR="008D1244" w:rsidRPr="00F85253" w:rsidRDefault="008D1244" w:rsidP="002543DC">
      <w:pPr>
        <w:pStyle w:val="Paragraph"/>
        <w:spacing w:before="0" w:after="0" w:line="276" w:lineRule="auto"/>
        <w:ind w:left="720"/>
        <w:outlineLvl w:val="9"/>
        <w:rPr>
          <w:rFonts w:ascii="Arial" w:hAnsi="Arial" w:cs="Arial"/>
          <w:sz w:val="22"/>
          <w:szCs w:val="22"/>
          <w:lang w:val="es-ES_tradnl"/>
        </w:rPr>
      </w:pPr>
    </w:p>
    <w:p w14:paraId="7FD1CD1B" w14:textId="77777777" w:rsidR="008D1244" w:rsidRPr="00F85253" w:rsidRDefault="008D1244" w:rsidP="002543DC">
      <w:pPr>
        <w:pStyle w:val="Paragraph"/>
        <w:spacing w:before="0" w:after="0" w:line="276" w:lineRule="auto"/>
        <w:ind w:left="720"/>
        <w:outlineLvl w:val="9"/>
        <w:rPr>
          <w:rFonts w:ascii="Arial" w:hAnsi="Arial" w:cs="Arial"/>
          <w:sz w:val="22"/>
          <w:szCs w:val="22"/>
          <w:lang w:val="es-ES_tradnl"/>
        </w:rPr>
      </w:pPr>
    </w:p>
    <w:p w14:paraId="2EB680AB" w14:textId="77777777" w:rsidR="008D1244" w:rsidRPr="00F85253" w:rsidRDefault="008D1244" w:rsidP="002543DC">
      <w:pPr>
        <w:pStyle w:val="Paragraph"/>
        <w:spacing w:before="0" w:after="0" w:line="276" w:lineRule="auto"/>
        <w:ind w:left="720"/>
        <w:outlineLvl w:val="9"/>
        <w:rPr>
          <w:rFonts w:ascii="Arial" w:hAnsi="Arial" w:cs="Arial"/>
          <w:sz w:val="22"/>
          <w:szCs w:val="22"/>
          <w:lang w:val="es-ES_tradnl"/>
        </w:rPr>
      </w:pPr>
    </w:p>
    <w:p w14:paraId="0190B785" w14:textId="77777777" w:rsidR="00F10D9A" w:rsidRPr="00F85253" w:rsidRDefault="007E781F" w:rsidP="002543DC">
      <w:pPr>
        <w:pStyle w:val="Chapter"/>
        <w:numPr>
          <w:ilvl w:val="0"/>
          <w:numId w:val="2"/>
        </w:numPr>
        <w:spacing w:before="0" w:after="0" w:line="276" w:lineRule="auto"/>
        <w:ind w:left="900" w:hanging="792"/>
        <w:jc w:val="both"/>
        <w:outlineLvl w:val="0"/>
        <w:rPr>
          <w:rFonts w:ascii="Arial" w:hAnsi="Arial" w:cs="Arial"/>
          <w:sz w:val="22"/>
          <w:szCs w:val="22"/>
          <w:lang w:val="es-ES_tradnl"/>
        </w:rPr>
      </w:pPr>
      <w:bookmarkStart w:id="23" w:name="_Toc506126054"/>
      <w:bookmarkStart w:id="24" w:name="_Toc506126083"/>
      <w:bookmarkStart w:id="25" w:name="_Toc506126107"/>
      <w:bookmarkStart w:id="26" w:name="_Toc506126055"/>
      <w:bookmarkStart w:id="27" w:name="_Toc506126084"/>
      <w:bookmarkStart w:id="28" w:name="_Toc506126108"/>
      <w:bookmarkStart w:id="29" w:name="_Toc518739336"/>
      <w:bookmarkEnd w:id="23"/>
      <w:bookmarkEnd w:id="24"/>
      <w:bookmarkEnd w:id="25"/>
      <w:bookmarkEnd w:id="26"/>
      <w:bookmarkEnd w:id="27"/>
      <w:bookmarkEnd w:id="28"/>
      <w:r w:rsidRPr="00F85253">
        <w:rPr>
          <w:rFonts w:ascii="Arial" w:hAnsi="Arial" w:cs="Arial"/>
          <w:sz w:val="22"/>
          <w:szCs w:val="22"/>
          <w:lang w:val="es-ES_tradnl"/>
        </w:rPr>
        <w:lastRenderedPageBreak/>
        <w:t>Análisis de Sensibilidad</w:t>
      </w:r>
      <w:bookmarkEnd w:id="29"/>
    </w:p>
    <w:p w14:paraId="27DD196C" w14:textId="77777777" w:rsidR="00D665D8" w:rsidRPr="00F85253" w:rsidRDefault="00D665D8" w:rsidP="000B2BC8">
      <w:pPr>
        <w:pStyle w:val="Paragraph"/>
        <w:spacing w:before="0" w:after="0" w:line="276" w:lineRule="auto"/>
        <w:ind w:left="720"/>
        <w:outlineLvl w:val="9"/>
        <w:rPr>
          <w:rFonts w:ascii="Arial" w:hAnsi="Arial" w:cs="Arial"/>
          <w:sz w:val="22"/>
          <w:szCs w:val="22"/>
          <w:lang w:val="es-ES_tradnl"/>
        </w:rPr>
      </w:pPr>
    </w:p>
    <w:p w14:paraId="7C861925" w14:textId="3A92D162" w:rsidR="00230E5C" w:rsidRPr="00F85253" w:rsidRDefault="00FA7F68" w:rsidP="00964311">
      <w:pPr>
        <w:pStyle w:val="Paragraph"/>
        <w:numPr>
          <w:ilvl w:val="1"/>
          <w:numId w:val="2"/>
        </w:numPr>
        <w:spacing w:before="0" w:after="0" w:line="276" w:lineRule="auto"/>
        <w:ind w:left="720" w:hanging="810"/>
        <w:outlineLvl w:val="9"/>
        <w:rPr>
          <w:rFonts w:ascii="Arial" w:hAnsi="Arial" w:cs="Arial"/>
          <w:sz w:val="22"/>
          <w:szCs w:val="22"/>
          <w:lang w:val="es-ES_tradnl"/>
        </w:rPr>
      </w:pPr>
      <w:r w:rsidRPr="00F85253">
        <w:rPr>
          <w:rFonts w:ascii="Arial" w:hAnsi="Arial" w:cs="Arial"/>
          <w:sz w:val="22"/>
          <w:szCs w:val="22"/>
          <w:lang w:val="es-ES_tradnl"/>
        </w:rPr>
        <w:t xml:space="preserve">Se realizan </w:t>
      </w:r>
      <w:r w:rsidR="006F27D5" w:rsidRPr="00F85253">
        <w:rPr>
          <w:rFonts w:ascii="Arial" w:hAnsi="Arial" w:cs="Arial"/>
          <w:sz w:val="22"/>
          <w:szCs w:val="22"/>
          <w:lang w:val="es-ES_tradnl"/>
        </w:rPr>
        <w:t>tres escenarios de sensibilidad, en los cuales se modifican</w:t>
      </w:r>
      <w:r w:rsidRPr="00F85253">
        <w:rPr>
          <w:rFonts w:ascii="Arial" w:hAnsi="Arial" w:cs="Arial"/>
          <w:sz w:val="22"/>
          <w:szCs w:val="22"/>
          <w:lang w:val="es-ES_tradnl"/>
        </w:rPr>
        <w:t xml:space="preserve"> los supuestos sobre los beneficios esperados y costos económicos asociados a la implementación del programa.</w:t>
      </w:r>
    </w:p>
    <w:p w14:paraId="6C1A4B46" w14:textId="77777777" w:rsidR="00FA7F68" w:rsidRPr="00F85253" w:rsidRDefault="00FA7F68" w:rsidP="00FA7F68">
      <w:pPr>
        <w:pStyle w:val="Paragraph"/>
        <w:spacing w:before="0" w:after="0" w:line="276" w:lineRule="auto"/>
        <w:ind w:left="720"/>
        <w:outlineLvl w:val="9"/>
        <w:rPr>
          <w:rFonts w:ascii="Arial" w:hAnsi="Arial" w:cs="Arial"/>
          <w:sz w:val="22"/>
          <w:szCs w:val="22"/>
          <w:lang w:val="es-ES_tradnl"/>
        </w:rPr>
      </w:pPr>
    </w:p>
    <w:p w14:paraId="1E5658ED" w14:textId="2F89658F" w:rsidR="00FA7F68" w:rsidRPr="00F85253" w:rsidRDefault="00FA7F68" w:rsidP="00FA7F68">
      <w:pPr>
        <w:pStyle w:val="Paragraph"/>
        <w:numPr>
          <w:ilvl w:val="1"/>
          <w:numId w:val="2"/>
        </w:numPr>
        <w:spacing w:before="0" w:after="0" w:line="276" w:lineRule="auto"/>
        <w:ind w:left="720" w:hanging="810"/>
        <w:outlineLvl w:val="9"/>
        <w:rPr>
          <w:rFonts w:ascii="Arial" w:hAnsi="Arial" w:cs="Arial"/>
          <w:sz w:val="22"/>
          <w:szCs w:val="22"/>
          <w:lang w:val="es-ES_tradnl"/>
        </w:rPr>
      </w:pPr>
      <w:r w:rsidRPr="00F85253">
        <w:rPr>
          <w:rFonts w:ascii="Arial" w:hAnsi="Arial" w:cs="Arial"/>
          <w:sz w:val="22"/>
          <w:szCs w:val="22"/>
          <w:lang w:val="es-ES_tradnl"/>
        </w:rPr>
        <w:t>El análisis de sensibilidad toma en cuenta un primer escenario en el cual, se asume que el proceso de desvinculación se lo realiza progresivamente, durante la implementación del programa (2019-2022). Se asume que hasta el 2020 el 60% de las desvinculaciones serán realizadas; para el año 2021 y 2022 se desvinculará al 25% y 15% restante, respectivamente. Así mismo, se asume que los beneficios asociados a la transparencia y la fusión de las empresas petroleras inician en el año 2024, es decir, un año posterior a la finalización de la implementación del programa (2022). Este supuesto se basa en que, tanto la fusión de las EEPP petroleras, como los beneficios de la mejora de transparencia, se consolidan durante el año 2023, y sus beneficios se los visualiza a partir del año 2024.</w:t>
      </w:r>
      <w:r w:rsidR="00964311" w:rsidRPr="00F85253">
        <w:rPr>
          <w:rFonts w:ascii="Arial" w:hAnsi="Arial" w:cs="Arial"/>
          <w:sz w:val="22"/>
          <w:szCs w:val="22"/>
          <w:lang w:val="es-ES_tradnl"/>
        </w:rPr>
        <w:t xml:space="preserve"> </w:t>
      </w:r>
    </w:p>
    <w:p w14:paraId="6167F476" w14:textId="77777777" w:rsidR="00FA7F68" w:rsidRPr="00F85253" w:rsidRDefault="00FA7F68" w:rsidP="00FA7F68">
      <w:pPr>
        <w:pStyle w:val="Paragraph"/>
        <w:spacing w:before="0" w:after="0" w:line="276" w:lineRule="auto"/>
        <w:ind w:left="720"/>
        <w:outlineLvl w:val="9"/>
        <w:rPr>
          <w:rFonts w:ascii="Arial" w:hAnsi="Arial" w:cs="Arial"/>
          <w:sz w:val="22"/>
          <w:szCs w:val="22"/>
          <w:lang w:val="es-ES_tradnl"/>
        </w:rPr>
      </w:pPr>
    </w:p>
    <w:p w14:paraId="0AEAE558" w14:textId="0B623AEB" w:rsidR="00FA7F68" w:rsidRPr="00F85253" w:rsidRDefault="00812E1B" w:rsidP="007E2B33">
      <w:pPr>
        <w:pStyle w:val="Paragraph"/>
        <w:numPr>
          <w:ilvl w:val="1"/>
          <w:numId w:val="2"/>
        </w:numPr>
        <w:spacing w:before="0" w:after="0" w:line="276" w:lineRule="auto"/>
        <w:ind w:left="720" w:hanging="810"/>
        <w:outlineLvl w:val="9"/>
        <w:rPr>
          <w:rFonts w:ascii="Arial" w:hAnsi="Arial" w:cs="Arial"/>
          <w:sz w:val="22"/>
          <w:szCs w:val="22"/>
          <w:lang w:val="es-ES_tradnl"/>
        </w:rPr>
      </w:pPr>
      <w:r w:rsidRPr="00F85253">
        <w:rPr>
          <w:rFonts w:ascii="Arial" w:hAnsi="Arial" w:cs="Arial"/>
          <w:sz w:val="22"/>
          <w:szCs w:val="22"/>
          <w:lang w:val="es-ES_tradnl"/>
        </w:rPr>
        <w:t>El segundo escenario considera menores beneficios en transparencia, debido a que según el Fondo Monetario Internacional (FMI, 2016), la lucha contra la corrupción (y por ende, la mayor transparenc</w:t>
      </w:r>
      <w:r w:rsidR="00EF2A5E" w:rsidRPr="00F85253">
        <w:rPr>
          <w:rFonts w:ascii="Arial" w:hAnsi="Arial" w:cs="Arial"/>
          <w:sz w:val="22"/>
          <w:szCs w:val="22"/>
          <w:lang w:val="es-ES_tradnl"/>
        </w:rPr>
        <w:t>ia) requiere de una estrategia de</w:t>
      </w:r>
      <w:r w:rsidRPr="00F85253">
        <w:rPr>
          <w:rFonts w:ascii="Arial" w:hAnsi="Arial" w:cs="Arial"/>
          <w:sz w:val="22"/>
          <w:szCs w:val="22"/>
          <w:lang w:val="es-ES_tradnl"/>
        </w:rPr>
        <w:t xml:space="preserve"> largo plazo y holística, por ende, se asume que en el período de 10 años, en los cuales se evalúa el programa, se generará un menor ahorro por transparencia. Así mismo, el escenario considera que los gastos de operación y mantenimiento Opex, se incrementan de 12% al 15%</w:t>
      </w:r>
      <w:r w:rsidR="00EF2A5E" w:rsidRPr="00F85253">
        <w:rPr>
          <w:rFonts w:ascii="Arial" w:hAnsi="Arial" w:cs="Arial"/>
          <w:sz w:val="22"/>
          <w:szCs w:val="22"/>
          <w:lang w:val="es-ES_tradnl"/>
        </w:rPr>
        <w:t xml:space="preserve"> del Capex</w:t>
      </w:r>
      <w:r w:rsidRPr="00F85253">
        <w:rPr>
          <w:rFonts w:ascii="Arial" w:hAnsi="Arial" w:cs="Arial"/>
          <w:sz w:val="22"/>
          <w:szCs w:val="22"/>
          <w:lang w:val="es-ES_tradnl"/>
        </w:rPr>
        <w:t xml:space="preserve">, durante la implementación del programa (2019-2022); y, posteriormente, se estabilizan nuevamente en </w:t>
      </w:r>
      <w:r w:rsidR="007B3AAD" w:rsidRPr="00F85253">
        <w:rPr>
          <w:rFonts w:ascii="Arial" w:hAnsi="Arial" w:cs="Arial"/>
          <w:sz w:val="22"/>
          <w:szCs w:val="22"/>
          <w:lang w:val="es-ES_tradnl"/>
        </w:rPr>
        <w:t xml:space="preserve">el </w:t>
      </w:r>
      <w:r w:rsidRPr="00F85253">
        <w:rPr>
          <w:rFonts w:ascii="Arial" w:hAnsi="Arial" w:cs="Arial"/>
          <w:sz w:val="22"/>
          <w:szCs w:val="22"/>
          <w:lang w:val="es-ES_tradnl"/>
        </w:rPr>
        <w:t xml:space="preserve">12% (2023-2028). Es decir, debido a la magnitud del programa, se puede suponer que los gastos de operación y mantenimiento </w:t>
      </w:r>
      <w:r w:rsidR="00FA7F68" w:rsidRPr="00F85253">
        <w:rPr>
          <w:rFonts w:ascii="Arial" w:hAnsi="Arial" w:cs="Arial"/>
          <w:sz w:val="22"/>
          <w:szCs w:val="22"/>
          <w:lang w:val="es-ES_tradnl"/>
        </w:rPr>
        <w:t>serán</w:t>
      </w:r>
      <w:r w:rsidRPr="00F85253">
        <w:rPr>
          <w:rFonts w:ascii="Arial" w:hAnsi="Arial" w:cs="Arial"/>
          <w:sz w:val="22"/>
          <w:szCs w:val="22"/>
          <w:lang w:val="es-ES_tradnl"/>
        </w:rPr>
        <w:t xml:space="preserve"> superiores a lo usual, durante los primeros años, hasta que el programa sea implementado. Una vez que el programa se encuentra consolidado, se asume que los gastos de operación y mantenimiento equivalen al 12% de los gastos de capital, acumulados por año.  </w:t>
      </w:r>
    </w:p>
    <w:p w14:paraId="527B0DB4" w14:textId="77777777" w:rsidR="007E2B33" w:rsidRPr="00F85253" w:rsidRDefault="007E2B33" w:rsidP="007E2B33">
      <w:pPr>
        <w:pStyle w:val="Paragraph"/>
        <w:spacing w:before="0" w:after="0" w:line="276" w:lineRule="auto"/>
        <w:outlineLvl w:val="9"/>
        <w:rPr>
          <w:rFonts w:ascii="Arial" w:hAnsi="Arial" w:cs="Arial"/>
          <w:sz w:val="22"/>
          <w:szCs w:val="22"/>
          <w:lang w:val="es-ES_tradnl"/>
        </w:rPr>
      </w:pPr>
    </w:p>
    <w:p w14:paraId="12E7DFA4" w14:textId="550B1AE1" w:rsidR="00812E1B" w:rsidRPr="00F85253" w:rsidRDefault="00812E1B" w:rsidP="00FA7F68">
      <w:pPr>
        <w:pStyle w:val="Paragraph"/>
        <w:numPr>
          <w:ilvl w:val="1"/>
          <w:numId w:val="2"/>
        </w:numPr>
        <w:spacing w:before="0" w:after="0" w:line="276" w:lineRule="auto"/>
        <w:ind w:left="720" w:hanging="810"/>
        <w:outlineLvl w:val="9"/>
        <w:rPr>
          <w:rFonts w:ascii="Arial" w:hAnsi="Arial" w:cs="Arial"/>
          <w:sz w:val="22"/>
          <w:szCs w:val="22"/>
          <w:lang w:val="es-ES_tradnl"/>
        </w:rPr>
      </w:pPr>
      <w:r w:rsidRPr="00F85253">
        <w:rPr>
          <w:rFonts w:ascii="Arial" w:hAnsi="Arial" w:cs="Arial"/>
          <w:sz w:val="22"/>
          <w:szCs w:val="22"/>
          <w:lang w:val="es-ES_tradnl"/>
        </w:rPr>
        <w:t xml:space="preserve">El tercer escenario, del análisis de sensibilidad, toma en cuenta los beneficios esperados de los ejes de transparencia, y eficiencia por </w:t>
      </w:r>
      <w:r w:rsidR="007B3AAD" w:rsidRPr="00F85253">
        <w:rPr>
          <w:rFonts w:ascii="Arial" w:hAnsi="Arial" w:cs="Arial"/>
          <w:sz w:val="22"/>
          <w:szCs w:val="22"/>
          <w:lang w:val="es-ES_tradnl"/>
        </w:rPr>
        <w:t xml:space="preserve">la </w:t>
      </w:r>
      <w:r w:rsidRPr="00F85253">
        <w:rPr>
          <w:rFonts w:ascii="Arial" w:hAnsi="Arial" w:cs="Arial"/>
          <w:sz w:val="22"/>
          <w:szCs w:val="22"/>
          <w:lang w:val="es-ES_tradnl"/>
        </w:rPr>
        <w:t xml:space="preserve">fusión de las petroleras. Es un escenario optimista, que asume que los ahorros en transparencia, y eficiencia por fusión, pueden alcanzar mayores porcentajes. Respecto al escenario original, este escenario asume que se puede alcanzar entre el 70% y 75%, de los beneficios en eficiencia por fusión y transparencia, respectivamente. </w:t>
      </w:r>
    </w:p>
    <w:p w14:paraId="0A42A0C3" w14:textId="77777777" w:rsidR="00812E1B" w:rsidRPr="00F85253" w:rsidRDefault="00812E1B" w:rsidP="00812E1B">
      <w:pPr>
        <w:pStyle w:val="Paragraph"/>
        <w:spacing w:before="0" w:after="0" w:line="276" w:lineRule="auto"/>
        <w:ind w:left="-90"/>
        <w:outlineLvl w:val="9"/>
        <w:rPr>
          <w:rFonts w:ascii="Arial" w:hAnsi="Arial" w:cs="Arial"/>
          <w:sz w:val="22"/>
          <w:szCs w:val="22"/>
          <w:lang w:val="es-ES_tradnl"/>
        </w:rPr>
      </w:pPr>
    </w:p>
    <w:p w14:paraId="6E241F37" w14:textId="4DF6CE3D" w:rsidR="00997B4A" w:rsidRPr="00F85253" w:rsidRDefault="00964311" w:rsidP="000B6FF1">
      <w:pPr>
        <w:pStyle w:val="Paragraph"/>
        <w:numPr>
          <w:ilvl w:val="1"/>
          <w:numId w:val="2"/>
        </w:numPr>
        <w:spacing w:before="0" w:after="0" w:line="276" w:lineRule="auto"/>
        <w:ind w:left="720" w:hanging="720"/>
        <w:outlineLvl w:val="9"/>
        <w:rPr>
          <w:rFonts w:ascii="Arial" w:hAnsi="Arial" w:cs="Arial"/>
          <w:sz w:val="22"/>
          <w:szCs w:val="22"/>
          <w:lang w:val="es-ES_tradnl"/>
        </w:rPr>
      </w:pPr>
      <w:r w:rsidRPr="00F85253">
        <w:rPr>
          <w:rFonts w:ascii="Arial" w:hAnsi="Arial" w:cs="Arial"/>
          <w:sz w:val="22"/>
          <w:lang w:val="es-ES_tradnl"/>
        </w:rPr>
        <w:t>La</w:t>
      </w:r>
      <w:r w:rsidR="00FA7F68" w:rsidRPr="00F85253">
        <w:rPr>
          <w:rFonts w:ascii="Arial" w:hAnsi="Arial" w:cs="Arial"/>
          <w:sz w:val="22"/>
          <w:lang w:val="es-ES_tradnl"/>
        </w:rPr>
        <w:t>s</w:t>
      </w:r>
      <w:r w:rsidRPr="00F85253">
        <w:rPr>
          <w:rFonts w:ascii="Arial" w:hAnsi="Arial" w:cs="Arial"/>
          <w:sz w:val="22"/>
          <w:lang w:val="es-ES_tradnl"/>
        </w:rPr>
        <w:t xml:space="preserve"> tabla</w:t>
      </w:r>
      <w:r w:rsidR="00FA7F68" w:rsidRPr="00F85253">
        <w:rPr>
          <w:rFonts w:ascii="Arial" w:hAnsi="Arial" w:cs="Arial"/>
          <w:sz w:val="22"/>
          <w:lang w:val="es-ES_tradnl"/>
        </w:rPr>
        <w:t>s</w:t>
      </w:r>
      <w:r w:rsidRPr="00F85253">
        <w:rPr>
          <w:rFonts w:ascii="Arial" w:hAnsi="Arial" w:cs="Arial"/>
          <w:sz w:val="22"/>
          <w:lang w:val="es-ES_tradnl"/>
        </w:rPr>
        <w:t xml:space="preserve"> </w:t>
      </w:r>
      <w:r w:rsidR="000E725F" w:rsidRPr="00F85253">
        <w:rPr>
          <w:rFonts w:ascii="Arial" w:hAnsi="Arial" w:cs="Arial"/>
          <w:sz w:val="22"/>
          <w:lang w:val="es-ES_tradnl"/>
        </w:rPr>
        <w:t>3</w:t>
      </w:r>
      <w:r w:rsidRPr="00F85253">
        <w:rPr>
          <w:rFonts w:ascii="Arial" w:hAnsi="Arial" w:cs="Arial"/>
          <w:sz w:val="22"/>
          <w:lang w:val="es-ES_tradnl"/>
        </w:rPr>
        <w:t>,</w:t>
      </w:r>
      <w:r w:rsidR="00FA7F68" w:rsidRPr="00F85253">
        <w:rPr>
          <w:rFonts w:ascii="Arial" w:hAnsi="Arial" w:cs="Arial"/>
          <w:sz w:val="22"/>
          <w:lang w:val="es-ES_tradnl"/>
        </w:rPr>
        <w:t xml:space="preserve"> </w:t>
      </w:r>
      <w:r w:rsidR="000E725F" w:rsidRPr="00F85253">
        <w:rPr>
          <w:rFonts w:ascii="Arial" w:hAnsi="Arial" w:cs="Arial"/>
          <w:sz w:val="22"/>
          <w:lang w:val="es-ES_tradnl"/>
        </w:rPr>
        <w:t>4</w:t>
      </w:r>
      <w:r w:rsidR="00FA7F68" w:rsidRPr="00F85253">
        <w:rPr>
          <w:rFonts w:ascii="Arial" w:hAnsi="Arial" w:cs="Arial"/>
          <w:sz w:val="22"/>
          <w:lang w:val="es-ES_tradnl"/>
        </w:rPr>
        <w:t xml:space="preserve"> y </w:t>
      </w:r>
      <w:r w:rsidR="000E725F" w:rsidRPr="00F85253">
        <w:rPr>
          <w:rFonts w:ascii="Arial" w:hAnsi="Arial" w:cs="Arial"/>
          <w:sz w:val="22"/>
          <w:lang w:val="es-ES_tradnl"/>
        </w:rPr>
        <w:t>5</w:t>
      </w:r>
      <w:r w:rsidRPr="00F85253">
        <w:rPr>
          <w:rFonts w:ascii="Arial" w:hAnsi="Arial" w:cs="Arial"/>
          <w:sz w:val="22"/>
          <w:lang w:val="es-ES_tradnl"/>
        </w:rPr>
        <w:t xml:space="preserve"> presenta</w:t>
      </w:r>
      <w:r w:rsidR="00FA7F68" w:rsidRPr="00F85253">
        <w:rPr>
          <w:rFonts w:ascii="Arial" w:hAnsi="Arial" w:cs="Arial"/>
          <w:sz w:val="22"/>
          <w:lang w:val="es-ES_tradnl"/>
        </w:rPr>
        <w:t>n</w:t>
      </w:r>
      <w:r w:rsidRPr="00F85253">
        <w:rPr>
          <w:rFonts w:ascii="Arial" w:hAnsi="Arial" w:cs="Arial"/>
          <w:sz w:val="22"/>
          <w:lang w:val="es-ES_tradnl"/>
        </w:rPr>
        <w:t xml:space="preserve"> los resultados de sensibilidad</w:t>
      </w:r>
      <w:r w:rsidR="00FA7F68" w:rsidRPr="00F85253">
        <w:rPr>
          <w:rFonts w:ascii="Arial" w:hAnsi="Arial" w:cs="Arial"/>
          <w:sz w:val="22"/>
          <w:lang w:val="es-ES_tradnl"/>
        </w:rPr>
        <w:t xml:space="preserve"> en los tres escenarios expuestos anteriormente</w:t>
      </w:r>
      <w:r w:rsidRPr="00F85253">
        <w:rPr>
          <w:rFonts w:ascii="Arial" w:hAnsi="Arial" w:cs="Arial"/>
          <w:sz w:val="22"/>
          <w:lang w:val="es-ES_tradnl"/>
        </w:rPr>
        <w:t xml:space="preserve">. </w:t>
      </w:r>
      <w:r w:rsidR="00FA7F68" w:rsidRPr="00F85253">
        <w:rPr>
          <w:rFonts w:ascii="Arial" w:hAnsi="Arial" w:cs="Arial"/>
          <w:sz w:val="22"/>
          <w:lang w:val="es-ES_tradnl"/>
        </w:rPr>
        <w:t>En el primer escenario, se evidencia que e</w:t>
      </w:r>
      <w:r w:rsidRPr="00F85253">
        <w:rPr>
          <w:rFonts w:ascii="Arial" w:hAnsi="Arial" w:cs="Arial"/>
          <w:sz w:val="22"/>
          <w:lang w:val="es-ES_tradnl"/>
        </w:rPr>
        <w:t xml:space="preserve">l ahorro por la desvinculación de personal de EEPP se va generando proporcionalmente, hasta alcanzar el 100% del ahorro estimado, es decir, USD 27 millones, en el año 2023. Esto proceso genera una reducción de la TIR del programa, respecto al escenario o supuesto original. De la misma manera, la reducción de la TIR se ve motivada por el “retraso” de un período en los beneficios (ahorros) esperados de las fusiones de las empresas petroleras </w:t>
      </w:r>
      <w:r w:rsidR="00A77281" w:rsidRPr="00F85253">
        <w:rPr>
          <w:rFonts w:ascii="Arial" w:hAnsi="Arial" w:cs="Arial"/>
          <w:sz w:val="22"/>
          <w:lang w:val="es-ES_tradnl"/>
        </w:rPr>
        <w:t>y de la transparencia de las EEPP</w:t>
      </w:r>
      <w:r w:rsidR="005E0464" w:rsidRPr="00F85253">
        <w:rPr>
          <w:rFonts w:ascii="Arial" w:hAnsi="Arial" w:cs="Arial"/>
          <w:sz w:val="22"/>
          <w:lang w:val="es-ES_tradnl"/>
        </w:rPr>
        <w:t>.</w:t>
      </w:r>
      <w:r w:rsidRPr="00F85253">
        <w:rPr>
          <w:rFonts w:ascii="Arial" w:hAnsi="Arial" w:cs="Arial"/>
          <w:sz w:val="22"/>
          <w:lang w:val="es-ES_tradnl"/>
        </w:rPr>
        <w:t xml:space="preserve"> Considerando el escenario de sensibilidad expuesto, la TIR del programa disminuye en </w:t>
      </w:r>
      <w:r w:rsidR="007E2B33" w:rsidRPr="00F85253">
        <w:rPr>
          <w:rFonts w:ascii="Arial" w:hAnsi="Arial" w:cs="Arial"/>
          <w:sz w:val="22"/>
          <w:lang w:val="es-ES_tradnl"/>
        </w:rPr>
        <w:t>cinco</w:t>
      </w:r>
      <w:r w:rsidRPr="00F85253">
        <w:rPr>
          <w:rFonts w:ascii="Arial" w:hAnsi="Arial" w:cs="Arial"/>
          <w:sz w:val="22"/>
          <w:lang w:val="es-ES_tradnl"/>
        </w:rPr>
        <w:t xml:space="preserve"> puntos porcentuales, bajando de 3</w:t>
      </w:r>
      <w:r w:rsidR="007E2B33" w:rsidRPr="00F85253">
        <w:rPr>
          <w:rFonts w:ascii="Arial" w:hAnsi="Arial" w:cs="Arial"/>
          <w:sz w:val="22"/>
          <w:lang w:val="es-ES_tradnl"/>
        </w:rPr>
        <w:t>3</w:t>
      </w:r>
      <w:r w:rsidRPr="00F85253">
        <w:rPr>
          <w:rFonts w:ascii="Arial" w:hAnsi="Arial" w:cs="Arial"/>
          <w:sz w:val="22"/>
          <w:lang w:val="es-ES_tradnl"/>
        </w:rPr>
        <w:t>% a 2</w:t>
      </w:r>
      <w:r w:rsidR="007E2B33" w:rsidRPr="00F85253">
        <w:rPr>
          <w:rFonts w:ascii="Arial" w:hAnsi="Arial" w:cs="Arial"/>
          <w:sz w:val="22"/>
          <w:lang w:val="es-ES_tradnl"/>
        </w:rPr>
        <w:t>8</w:t>
      </w:r>
      <w:r w:rsidRPr="00F85253">
        <w:rPr>
          <w:rFonts w:ascii="Arial" w:hAnsi="Arial" w:cs="Arial"/>
          <w:sz w:val="22"/>
          <w:lang w:val="es-ES_tradnl"/>
        </w:rPr>
        <w:t>%. El valor presente neto se reduce de USD 6</w:t>
      </w:r>
      <w:r w:rsidR="007E2B33" w:rsidRPr="00F85253">
        <w:rPr>
          <w:rFonts w:ascii="Arial" w:hAnsi="Arial" w:cs="Arial"/>
          <w:sz w:val="22"/>
          <w:lang w:val="es-ES_tradnl"/>
        </w:rPr>
        <w:t>0</w:t>
      </w:r>
      <w:r w:rsidR="005E0464" w:rsidRPr="00F85253">
        <w:rPr>
          <w:rFonts w:ascii="Arial" w:hAnsi="Arial" w:cs="Arial"/>
          <w:sz w:val="22"/>
          <w:lang w:val="es-ES_tradnl"/>
        </w:rPr>
        <w:t>.</w:t>
      </w:r>
      <w:r w:rsidR="007E2B33" w:rsidRPr="00F85253">
        <w:rPr>
          <w:rFonts w:ascii="Arial" w:hAnsi="Arial" w:cs="Arial"/>
          <w:sz w:val="22"/>
          <w:lang w:val="es-ES_tradnl"/>
        </w:rPr>
        <w:t>04</w:t>
      </w:r>
      <w:r w:rsidRPr="00F85253">
        <w:rPr>
          <w:rFonts w:ascii="Arial" w:hAnsi="Arial" w:cs="Arial"/>
          <w:sz w:val="22"/>
          <w:lang w:val="es-ES_tradnl"/>
        </w:rPr>
        <w:t xml:space="preserve"> millones a USD </w:t>
      </w:r>
      <w:r w:rsidR="007E2B33" w:rsidRPr="00F85253">
        <w:rPr>
          <w:rFonts w:ascii="Arial" w:hAnsi="Arial" w:cs="Arial"/>
          <w:sz w:val="22"/>
          <w:lang w:val="es-ES_tradnl"/>
        </w:rPr>
        <w:t>39.67</w:t>
      </w:r>
      <w:r w:rsidRPr="00F85253">
        <w:rPr>
          <w:rFonts w:ascii="Arial" w:hAnsi="Arial" w:cs="Arial"/>
          <w:sz w:val="22"/>
          <w:lang w:val="es-ES_tradnl"/>
        </w:rPr>
        <w:t xml:space="preserve"> millones, es decir, aproximadamente el </w:t>
      </w:r>
      <w:r w:rsidR="005E0464" w:rsidRPr="00F85253">
        <w:rPr>
          <w:rFonts w:ascii="Arial" w:hAnsi="Arial" w:cs="Arial"/>
          <w:sz w:val="22"/>
          <w:lang w:val="es-ES_tradnl"/>
        </w:rPr>
        <w:t>3</w:t>
      </w:r>
      <w:r w:rsidR="007E2B33" w:rsidRPr="00F85253">
        <w:rPr>
          <w:rFonts w:ascii="Arial" w:hAnsi="Arial" w:cs="Arial"/>
          <w:sz w:val="22"/>
          <w:lang w:val="es-ES_tradnl"/>
        </w:rPr>
        <w:t>5</w:t>
      </w:r>
      <w:r w:rsidRPr="00F85253">
        <w:rPr>
          <w:rFonts w:ascii="Arial" w:hAnsi="Arial" w:cs="Arial"/>
          <w:sz w:val="22"/>
          <w:lang w:val="es-ES_tradnl"/>
        </w:rPr>
        <w:t xml:space="preserve">%. Nuevamente, el cambio en la TIR y el VAN se ven principalmente afectados por los valores de las </w:t>
      </w:r>
      <w:r w:rsidRPr="00F85253">
        <w:rPr>
          <w:rFonts w:ascii="Arial" w:hAnsi="Arial" w:cs="Arial"/>
          <w:sz w:val="22"/>
          <w:lang w:val="es-ES_tradnl"/>
        </w:rPr>
        <w:lastRenderedPageBreak/>
        <w:t>desvinculaciones de</w:t>
      </w:r>
      <w:r w:rsidR="00A77281" w:rsidRPr="00F85253">
        <w:rPr>
          <w:rFonts w:ascii="Arial" w:hAnsi="Arial" w:cs="Arial"/>
          <w:sz w:val="22"/>
          <w:lang w:val="es-ES_tradnl"/>
        </w:rPr>
        <w:t xml:space="preserve"> personal de EEPP.</w:t>
      </w:r>
      <w:r w:rsidRPr="00F85253">
        <w:rPr>
          <w:rFonts w:ascii="Arial" w:hAnsi="Arial" w:cs="Arial"/>
          <w:sz w:val="22"/>
          <w:lang w:val="es-ES_tradnl"/>
        </w:rPr>
        <w:t xml:space="preserve"> No obstante, se evidencia que ciertos retrasos en la implementación del programa pueden afectar negativamente al valor de la TIR y VAN del mismo.</w:t>
      </w:r>
    </w:p>
    <w:p w14:paraId="28BEE96E" w14:textId="77777777" w:rsidR="005E0464" w:rsidRPr="00F85253" w:rsidRDefault="005E0464" w:rsidP="005E0464">
      <w:pPr>
        <w:pStyle w:val="Paragraph"/>
        <w:spacing w:before="0" w:after="0" w:line="276" w:lineRule="auto"/>
        <w:ind w:left="720"/>
        <w:outlineLvl w:val="9"/>
        <w:rPr>
          <w:rFonts w:ascii="Arial" w:hAnsi="Arial" w:cs="Arial"/>
          <w:sz w:val="22"/>
          <w:szCs w:val="22"/>
          <w:lang w:val="es-ES_tradnl"/>
        </w:rPr>
      </w:pPr>
    </w:p>
    <w:p w14:paraId="4DEA2BF2" w14:textId="4A665E54" w:rsidR="0023514C" w:rsidRPr="00F85253" w:rsidRDefault="005E0464" w:rsidP="0023514C">
      <w:pPr>
        <w:pStyle w:val="Paragraph"/>
        <w:numPr>
          <w:ilvl w:val="1"/>
          <w:numId w:val="2"/>
        </w:numPr>
        <w:spacing w:before="0" w:after="0" w:line="276" w:lineRule="auto"/>
        <w:ind w:left="720" w:hanging="720"/>
        <w:outlineLvl w:val="9"/>
        <w:rPr>
          <w:rFonts w:ascii="Arial" w:hAnsi="Arial" w:cs="Arial"/>
          <w:sz w:val="22"/>
          <w:szCs w:val="22"/>
          <w:lang w:val="es-ES_tradnl"/>
        </w:rPr>
      </w:pPr>
      <w:r w:rsidRPr="00F85253">
        <w:rPr>
          <w:rFonts w:ascii="Arial" w:hAnsi="Arial" w:cs="Arial"/>
          <w:sz w:val="22"/>
          <w:lang w:val="es-ES_tradnl"/>
        </w:rPr>
        <w:t>En el segundo escenario,</w:t>
      </w:r>
      <w:r w:rsidR="00F2290F" w:rsidRPr="00F85253">
        <w:rPr>
          <w:rFonts w:ascii="Arial" w:hAnsi="Arial" w:cs="Arial"/>
          <w:sz w:val="22"/>
          <w:lang w:val="es-ES_tradnl"/>
        </w:rPr>
        <w:t xml:space="preserve"> los menores beneficios en transparencia y el mayor costo de operación y mantenimiento</w:t>
      </w:r>
      <w:r w:rsidR="009064F1" w:rsidRPr="00F85253">
        <w:rPr>
          <w:rFonts w:ascii="Arial" w:hAnsi="Arial" w:cs="Arial"/>
          <w:sz w:val="22"/>
          <w:lang w:val="es-ES_tradnl"/>
        </w:rPr>
        <w:t>,</w:t>
      </w:r>
      <w:r w:rsidR="00F2290F" w:rsidRPr="00F85253">
        <w:rPr>
          <w:rFonts w:ascii="Arial" w:hAnsi="Arial" w:cs="Arial"/>
          <w:sz w:val="22"/>
          <w:lang w:val="es-ES_tradnl"/>
        </w:rPr>
        <w:t xml:space="preserve"> durante la implementación del programa (2019-2022)</w:t>
      </w:r>
      <w:r w:rsidR="009064F1" w:rsidRPr="00F85253">
        <w:rPr>
          <w:rFonts w:ascii="Arial" w:hAnsi="Arial" w:cs="Arial"/>
          <w:sz w:val="22"/>
          <w:lang w:val="es-ES_tradnl"/>
        </w:rPr>
        <w:t>,</w:t>
      </w:r>
      <w:r w:rsidR="00F2290F" w:rsidRPr="00F85253">
        <w:rPr>
          <w:rFonts w:ascii="Arial" w:hAnsi="Arial" w:cs="Arial"/>
          <w:sz w:val="22"/>
          <w:lang w:val="es-ES_tradnl"/>
        </w:rPr>
        <w:t xml:space="preserve"> generan una disminución de la TIR y del VAN. Los beneficios por transparencia se reducen</w:t>
      </w:r>
      <w:r w:rsidR="00801564" w:rsidRPr="00F85253">
        <w:rPr>
          <w:rFonts w:ascii="Arial" w:hAnsi="Arial" w:cs="Arial"/>
          <w:sz w:val="22"/>
          <w:lang w:val="es-ES_tradnl"/>
        </w:rPr>
        <w:t xml:space="preserve"> </w:t>
      </w:r>
      <w:r w:rsidR="009064F1" w:rsidRPr="00F85253">
        <w:rPr>
          <w:rFonts w:ascii="Arial" w:hAnsi="Arial" w:cs="Arial"/>
          <w:sz w:val="22"/>
          <w:lang w:val="es-ES_tradnl"/>
        </w:rPr>
        <w:t xml:space="preserve">en 17%, pasando </w:t>
      </w:r>
      <w:r w:rsidR="00801564" w:rsidRPr="00F85253">
        <w:rPr>
          <w:rFonts w:ascii="Arial" w:hAnsi="Arial" w:cs="Arial"/>
          <w:sz w:val="22"/>
          <w:lang w:val="es-ES_tradnl"/>
        </w:rPr>
        <w:t>de USD 9.01 millones a USD 7.51 millones; mientras que, los costos de operación y mantenimiento se incrementan</w:t>
      </w:r>
      <w:r w:rsidR="00A319D6" w:rsidRPr="00F85253">
        <w:rPr>
          <w:rFonts w:ascii="Arial" w:hAnsi="Arial" w:cs="Arial"/>
          <w:sz w:val="22"/>
          <w:lang w:val="es-ES_tradnl"/>
        </w:rPr>
        <w:t>, de manera global,</w:t>
      </w:r>
      <w:r w:rsidR="00801564" w:rsidRPr="00F85253">
        <w:rPr>
          <w:rFonts w:ascii="Arial" w:hAnsi="Arial" w:cs="Arial"/>
          <w:sz w:val="22"/>
          <w:lang w:val="es-ES_tradnl"/>
        </w:rPr>
        <w:t xml:space="preserve"> </w:t>
      </w:r>
      <w:r w:rsidR="009064F1" w:rsidRPr="00F85253">
        <w:rPr>
          <w:rFonts w:ascii="Arial" w:hAnsi="Arial" w:cs="Arial"/>
          <w:sz w:val="22"/>
          <w:lang w:val="es-ES_tradnl"/>
        </w:rPr>
        <w:t xml:space="preserve">en 8%, </w:t>
      </w:r>
      <w:r w:rsidR="00801564" w:rsidRPr="00F85253">
        <w:rPr>
          <w:rFonts w:ascii="Arial" w:hAnsi="Arial" w:cs="Arial"/>
          <w:sz w:val="22"/>
          <w:lang w:val="es-ES_tradnl"/>
        </w:rPr>
        <w:t>de USD 64.30 millones</w:t>
      </w:r>
      <w:r w:rsidR="00F2290F" w:rsidRPr="00F85253">
        <w:rPr>
          <w:rFonts w:ascii="Arial" w:hAnsi="Arial" w:cs="Arial"/>
          <w:sz w:val="22"/>
          <w:lang w:val="es-ES_tradnl"/>
        </w:rPr>
        <w:t xml:space="preserve"> </w:t>
      </w:r>
      <w:r w:rsidR="00801564" w:rsidRPr="00F85253">
        <w:rPr>
          <w:rFonts w:ascii="Arial" w:hAnsi="Arial" w:cs="Arial"/>
          <w:sz w:val="22"/>
          <w:lang w:val="es-ES_tradnl"/>
        </w:rPr>
        <w:t>a USD 69.44 millones</w:t>
      </w:r>
      <w:r w:rsidR="009064F1" w:rsidRPr="00F85253">
        <w:rPr>
          <w:rFonts w:ascii="Arial" w:hAnsi="Arial" w:cs="Arial"/>
          <w:sz w:val="22"/>
          <w:lang w:val="es-ES_tradnl"/>
        </w:rPr>
        <w:t>.</w:t>
      </w:r>
      <w:r w:rsidR="00A319D6" w:rsidRPr="00F85253">
        <w:rPr>
          <w:rFonts w:ascii="Arial" w:hAnsi="Arial" w:cs="Arial"/>
          <w:sz w:val="22"/>
          <w:lang w:val="es-ES_tradnl"/>
        </w:rPr>
        <w:t xml:space="preserve"> </w:t>
      </w:r>
      <w:r w:rsidR="00F2290F" w:rsidRPr="00F85253">
        <w:rPr>
          <w:rFonts w:ascii="Arial" w:hAnsi="Arial" w:cs="Arial"/>
          <w:sz w:val="22"/>
          <w:lang w:val="es-ES_tradnl"/>
        </w:rPr>
        <w:t>La TIR se reduce en dos puntos porcentuales, respecto al escenario original (tabla 1), pasando de 3</w:t>
      </w:r>
      <w:r w:rsidR="007E2B33" w:rsidRPr="00F85253">
        <w:rPr>
          <w:rFonts w:ascii="Arial" w:hAnsi="Arial" w:cs="Arial"/>
          <w:sz w:val="22"/>
          <w:lang w:val="es-ES_tradnl"/>
        </w:rPr>
        <w:t>3</w:t>
      </w:r>
      <w:r w:rsidR="00F2290F" w:rsidRPr="00F85253">
        <w:rPr>
          <w:rFonts w:ascii="Arial" w:hAnsi="Arial" w:cs="Arial"/>
          <w:sz w:val="22"/>
          <w:lang w:val="es-ES_tradnl"/>
        </w:rPr>
        <w:t>% a 3</w:t>
      </w:r>
      <w:r w:rsidR="007E2B33" w:rsidRPr="00F85253">
        <w:rPr>
          <w:rFonts w:ascii="Arial" w:hAnsi="Arial" w:cs="Arial"/>
          <w:sz w:val="22"/>
          <w:lang w:val="es-ES_tradnl"/>
        </w:rPr>
        <w:t>1</w:t>
      </w:r>
      <w:r w:rsidR="00F2290F" w:rsidRPr="00F85253">
        <w:rPr>
          <w:rFonts w:ascii="Arial" w:hAnsi="Arial" w:cs="Arial"/>
          <w:sz w:val="22"/>
          <w:lang w:val="es-ES_tradnl"/>
        </w:rPr>
        <w:t xml:space="preserve">%; mientras que, el VAN se reduce en USD 4.7 millones, alcanzando USD </w:t>
      </w:r>
      <w:r w:rsidR="007E2B33" w:rsidRPr="00F85253">
        <w:rPr>
          <w:rFonts w:ascii="Arial" w:hAnsi="Arial" w:cs="Arial"/>
          <w:sz w:val="22"/>
          <w:lang w:val="es-ES_tradnl"/>
        </w:rPr>
        <w:t>55</w:t>
      </w:r>
      <w:r w:rsidR="00F2290F" w:rsidRPr="00F85253">
        <w:rPr>
          <w:rFonts w:ascii="Arial" w:hAnsi="Arial" w:cs="Arial"/>
          <w:sz w:val="22"/>
          <w:lang w:val="es-ES_tradnl"/>
        </w:rPr>
        <w:t>.</w:t>
      </w:r>
      <w:r w:rsidR="007E2B33" w:rsidRPr="00F85253">
        <w:rPr>
          <w:rFonts w:ascii="Arial" w:hAnsi="Arial" w:cs="Arial"/>
          <w:sz w:val="22"/>
          <w:lang w:val="es-ES_tradnl"/>
        </w:rPr>
        <w:t>35</w:t>
      </w:r>
      <w:r w:rsidR="00F2290F" w:rsidRPr="00F85253">
        <w:rPr>
          <w:rFonts w:ascii="Arial" w:hAnsi="Arial" w:cs="Arial"/>
          <w:sz w:val="22"/>
          <w:lang w:val="es-ES_tradnl"/>
        </w:rPr>
        <w:t xml:space="preserve"> millones. El presente escenario asume la disminución de los beneficios; así como, el aumento de los costos económicos del programa. La reducción</w:t>
      </w:r>
      <w:r w:rsidR="00A319D6" w:rsidRPr="00F85253">
        <w:rPr>
          <w:rFonts w:ascii="Arial" w:hAnsi="Arial" w:cs="Arial"/>
          <w:sz w:val="22"/>
          <w:lang w:val="es-ES_tradnl"/>
        </w:rPr>
        <w:t xml:space="preserve"> en la TIR y VAN</w:t>
      </w:r>
      <w:r w:rsidR="00F2290F" w:rsidRPr="00F85253">
        <w:rPr>
          <w:rFonts w:ascii="Arial" w:hAnsi="Arial" w:cs="Arial"/>
          <w:sz w:val="22"/>
          <w:lang w:val="es-ES_tradnl"/>
        </w:rPr>
        <w:t xml:space="preserve">, a pesar de las modificaciones </w:t>
      </w:r>
      <w:r w:rsidR="00A319D6" w:rsidRPr="00F85253">
        <w:rPr>
          <w:rFonts w:ascii="Arial" w:hAnsi="Arial" w:cs="Arial"/>
          <w:sz w:val="22"/>
          <w:lang w:val="es-ES_tradnl"/>
        </w:rPr>
        <w:t>mencionadas, es menor al escenario 1 de sensibilidad</w:t>
      </w:r>
      <w:r w:rsidR="00F2290F" w:rsidRPr="00F85253">
        <w:rPr>
          <w:rFonts w:ascii="Arial" w:hAnsi="Arial" w:cs="Arial"/>
          <w:sz w:val="22"/>
          <w:lang w:val="es-ES_tradnl"/>
        </w:rPr>
        <w:t xml:space="preserve">. </w:t>
      </w:r>
      <w:r w:rsidR="00A319D6" w:rsidRPr="00F85253">
        <w:rPr>
          <w:rFonts w:ascii="Arial" w:hAnsi="Arial" w:cs="Arial"/>
          <w:sz w:val="22"/>
          <w:lang w:val="es-ES_tradnl"/>
        </w:rPr>
        <w:t>Se evidencia, nuevamente,</w:t>
      </w:r>
      <w:r w:rsidR="00F2290F" w:rsidRPr="00F85253">
        <w:rPr>
          <w:rFonts w:ascii="Arial" w:hAnsi="Arial" w:cs="Arial"/>
          <w:sz w:val="22"/>
          <w:lang w:val="es-ES_tradnl"/>
        </w:rPr>
        <w:t xml:space="preserve"> </w:t>
      </w:r>
      <w:r w:rsidR="00A319D6" w:rsidRPr="00F85253">
        <w:rPr>
          <w:rFonts w:ascii="Arial" w:hAnsi="Arial" w:cs="Arial"/>
          <w:sz w:val="22"/>
          <w:lang w:val="es-ES_tradnl"/>
        </w:rPr>
        <w:t>una</w:t>
      </w:r>
      <w:r w:rsidR="00F2290F" w:rsidRPr="00F85253">
        <w:rPr>
          <w:rFonts w:ascii="Arial" w:hAnsi="Arial" w:cs="Arial"/>
          <w:sz w:val="22"/>
          <w:lang w:val="es-ES_tradnl"/>
        </w:rPr>
        <w:t xml:space="preserve"> mayor sensibilidad del programa </w:t>
      </w:r>
      <w:r w:rsidR="00A319D6" w:rsidRPr="00F85253">
        <w:rPr>
          <w:rFonts w:ascii="Arial" w:hAnsi="Arial" w:cs="Arial"/>
          <w:sz w:val="22"/>
          <w:lang w:val="es-ES_tradnl"/>
        </w:rPr>
        <w:t>al eje de las desvinculaciones de</w:t>
      </w:r>
      <w:r w:rsidR="00F54094" w:rsidRPr="00F85253">
        <w:rPr>
          <w:rFonts w:ascii="Arial" w:hAnsi="Arial" w:cs="Arial"/>
          <w:sz w:val="22"/>
          <w:lang w:val="es-ES_tradnl"/>
        </w:rPr>
        <w:t xml:space="preserve"> personal de</w:t>
      </w:r>
      <w:r w:rsidR="00A319D6" w:rsidRPr="00F85253">
        <w:rPr>
          <w:rFonts w:ascii="Arial" w:hAnsi="Arial" w:cs="Arial"/>
          <w:sz w:val="22"/>
          <w:lang w:val="es-ES_tradnl"/>
        </w:rPr>
        <w:t xml:space="preserve"> las EEPP.</w:t>
      </w:r>
    </w:p>
    <w:p w14:paraId="692C5252" w14:textId="77777777" w:rsidR="0023514C" w:rsidRPr="00F85253" w:rsidRDefault="0023514C" w:rsidP="0023514C">
      <w:pPr>
        <w:pStyle w:val="ListParagraph"/>
        <w:spacing w:after="0"/>
        <w:rPr>
          <w:rFonts w:ascii="Arial" w:hAnsi="Arial" w:cs="Arial"/>
          <w:lang w:val="es-ES_tradnl"/>
        </w:rPr>
      </w:pPr>
    </w:p>
    <w:p w14:paraId="7D7FCCEF" w14:textId="13501B56" w:rsidR="005D3B03" w:rsidRPr="00F85253" w:rsidRDefault="0023514C" w:rsidP="0023514C">
      <w:pPr>
        <w:pStyle w:val="Paragraph"/>
        <w:numPr>
          <w:ilvl w:val="1"/>
          <w:numId w:val="2"/>
        </w:numPr>
        <w:spacing w:before="0" w:after="0" w:line="276" w:lineRule="auto"/>
        <w:ind w:left="720" w:hanging="720"/>
        <w:outlineLvl w:val="9"/>
        <w:rPr>
          <w:rFonts w:ascii="Arial" w:hAnsi="Arial" w:cs="Arial"/>
          <w:sz w:val="22"/>
          <w:szCs w:val="22"/>
          <w:lang w:val="es-ES_tradnl"/>
        </w:rPr>
      </w:pPr>
      <w:r w:rsidRPr="00F85253">
        <w:rPr>
          <w:rFonts w:ascii="Arial" w:hAnsi="Arial" w:cs="Arial"/>
          <w:sz w:val="22"/>
          <w:lang w:val="es-ES_tradnl"/>
        </w:rPr>
        <w:t xml:space="preserve">Finalmente, </w:t>
      </w:r>
      <w:r w:rsidR="005D3B03" w:rsidRPr="00F85253">
        <w:rPr>
          <w:rFonts w:ascii="Arial" w:hAnsi="Arial" w:cs="Arial"/>
          <w:sz w:val="22"/>
          <w:lang w:val="es-ES_tradnl"/>
        </w:rPr>
        <w:t>los resultados del tercer escenario (escenario optimista)</w:t>
      </w:r>
      <w:r w:rsidR="005D3B03" w:rsidRPr="00F85253">
        <w:rPr>
          <w:rFonts w:ascii="Arial" w:hAnsi="Arial" w:cs="Arial"/>
          <w:sz w:val="22"/>
          <w:szCs w:val="22"/>
          <w:lang w:val="es-ES_tradnl"/>
        </w:rPr>
        <w:t xml:space="preserve"> muestran un aumento en la TIR y el VAN, debido al incremento</w:t>
      </w:r>
      <w:r w:rsidR="005D3B03" w:rsidRPr="00F85253">
        <w:rPr>
          <w:rFonts w:ascii="Arial" w:hAnsi="Arial" w:cs="Arial"/>
          <w:sz w:val="22"/>
          <w:lang w:val="es-ES_tradnl"/>
        </w:rPr>
        <w:t xml:space="preserve"> de los beneficios en el</w:t>
      </w:r>
      <w:r w:rsidR="005D3B03" w:rsidRPr="00F85253">
        <w:rPr>
          <w:rFonts w:ascii="Arial" w:hAnsi="Arial" w:cs="Arial"/>
          <w:sz w:val="22"/>
          <w:szCs w:val="22"/>
          <w:lang w:val="es-ES_tradnl"/>
        </w:rPr>
        <w:t xml:space="preserve"> eje de transparencia, y eficiencia por la fusión de las petroleras. Los beneficios por mayor transparencia aumentan en 17% (de USD 9.01 millones a USD 10.58 millones), respecto al escenario original (tabla 1); mientras que, el ahorro por fusión de las petroleras </w:t>
      </w:r>
      <w:r w:rsidR="00591A49" w:rsidRPr="00F85253">
        <w:rPr>
          <w:rFonts w:ascii="Arial" w:hAnsi="Arial" w:cs="Arial"/>
          <w:sz w:val="22"/>
          <w:szCs w:val="22"/>
          <w:lang w:val="es-ES_tradnl"/>
        </w:rPr>
        <w:t xml:space="preserve">se </w:t>
      </w:r>
      <w:r w:rsidR="004E48A4" w:rsidRPr="00F85253">
        <w:rPr>
          <w:rFonts w:ascii="Arial" w:hAnsi="Arial" w:cs="Arial"/>
          <w:sz w:val="22"/>
          <w:szCs w:val="22"/>
          <w:lang w:val="es-ES_tradnl"/>
        </w:rPr>
        <w:t>incrementa en 3</w:t>
      </w:r>
      <w:r w:rsidR="00776266" w:rsidRPr="00F85253">
        <w:rPr>
          <w:rFonts w:ascii="Arial" w:hAnsi="Arial" w:cs="Arial"/>
          <w:sz w:val="22"/>
          <w:szCs w:val="22"/>
          <w:lang w:val="es-ES_tradnl"/>
        </w:rPr>
        <w:t>5</w:t>
      </w:r>
      <w:r w:rsidR="004E48A4" w:rsidRPr="00F85253">
        <w:rPr>
          <w:rFonts w:ascii="Arial" w:hAnsi="Arial" w:cs="Arial"/>
          <w:sz w:val="22"/>
          <w:szCs w:val="22"/>
          <w:lang w:val="es-ES_tradnl"/>
        </w:rPr>
        <w:t xml:space="preserve">% (de USD </w:t>
      </w:r>
      <w:r w:rsidR="00207185" w:rsidRPr="00F85253">
        <w:rPr>
          <w:rFonts w:ascii="Arial" w:hAnsi="Arial" w:cs="Arial"/>
          <w:sz w:val="22"/>
          <w:szCs w:val="22"/>
          <w:lang w:val="es-ES_tradnl"/>
        </w:rPr>
        <w:t>63</w:t>
      </w:r>
      <w:r w:rsidR="00776266" w:rsidRPr="00F85253">
        <w:rPr>
          <w:rFonts w:ascii="Arial" w:hAnsi="Arial" w:cs="Arial"/>
          <w:sz w:val="22"/>
          <w:szCs w:val="22"/>
          <w:lang w:val="es-ES_tradnl"/>
        </w:rPr>
        <w:t>.91</w:t>
      </w:r>
      <w:r w:rsidR="004E48A4" w:rsidRPr="00F85253">
        <w:rPr>
          <w:rFonts w:ascii="Arial" w:hAnsi="Arial" w:cs="Arial"/>
          <w:sz w:val="22"/>
          <w:szCs w:val="22"/>
          <w:lang w:val="es-ES_tradnl"/>
        </w:rPr>
        <w:t xml:space="preserve"> millones a USD </w:t>
      </w:r>
      <w:r w:rsidR="00776266" w:rsidRPr="00F85253">
        <w:rPr>
          <w:rFonts w:ascii="Arial" w:hAnsi="Arial" w:cs="Arial"/>
          <w:sz w:val="22"/>
          <w:szCs w:val="22"/>
          <w:lang w:val="es-ES_tradnl"/>
        </w:rPr>
        <w:t>86.06</w:t>
      </w:r>
      <w:r w:rsidR="004E48A4" w:rsidRPr="00F85253">
        <w:rPr>
          <w:rFonts w:ascii="Arial" w:hAnsi="Arial" w:cs="Arial"/>
          <w:sz w:val="22"/>
          <w:szCs w:val="22"/>
          <w:lang w:val="es-ES_tradnl"/>
        </w:rPr>
        <w:t xml:space="preserve"> millones). El aumento de la TIR es de dos puntos porcentuales</w:t>
      </w:r>
      <w:r w:rsidR="00776266" w:rsidRPr="00F85253">
        <w:rPr>
          <w:rFonts w:ascii="Arial" w:hAnsi="Arial" w:cs="Arial"/>
          <w:sz w:val="22"/>
          <w:szCs w:val="22"/>
          <w:lang w:val="es-ES_tradnl"/>
        </w:rPr>
        <w:t xml:space="preserve"> (alcanzando el 35%)</w:t>
      </w:r>
      <w:r w:rsidR="004E48A4" w:rsidRPr="00F85253">
        <w:rPr>
          <w:rFonts w:ascii="Arial" w:hAnsi="Arial" w:cs="Arial"/>
          <w:sz w:val="22"/>
          <w:szCs w:val="22"/>
          <w:lang w:val="es-ES_tradnl"/>
        </w:rPr>
        <w:t xml:space="preserve">, respecto al escenario original; y, el VAN alcanza los USD </w:t>
      </w:r>
      <w:r w:rsidR="005A3A5A" w:rsidRPr="00F85253">
        <w:rPr>
          <w:rFonts w:ascii="Arial" w:hAnsi="Arial" w:cs="Arial"/>
          <w:sz w:val="22"/>
          <w:szCs w:val="22"/>
          <w:lang w:val="es-ES_tradnl"/>
        </w:rPr>
        <w:t>69.34</w:t>
      </w:r>
      <w:r w:rsidR="004E48A4" w:rsidRPr="00F85253">
        <w:rPr>
          <w:rFonts w:ascii="Arial" w:hAnsi="Arial" w:cs="Arial"/>
          <w:sz w:val="22"/>
          <w:szCs w:val="22"/>
          <w:lang w:val="es-ES_tradnl"/>
        </w:rPr>
        <w:t xml:space="preserve"> millones. Al igual que en el segundo escenario, las modificaciones en los </w:t>
      </w:r>
      <w:proofErr w:type="gramStart"/>
      <w:r w:rsidR="004E48A4" w:rsidRPr="00F85253">
        <w:rPr>
          <w:rFonts w:ascii="Arial" w:hAnsi="Arial" w:cs="Arial"/>
          <w:sz w:val="22"/>
          <w:szCs w:val="22"/>
          <w:lang w:val="es-ES_tradnl"/>
        </w:rPr>
        <w:t>beneficios,</w:t>
      </w:r>
      <w:proofErr w:type="gramEnd"/>
      <w:r w:rsidR="004E48A4" w:rsidRPr="00F85253">
        <w:rPr>
          <w:rFonts w:ascii="Arial" w:hAnsi="Arial" w:cs="Arial"/>
          <w:sz w:val="22"/>
          <w:szCs w:val="22"/>
          <w:lang w:val="es-ES_tradnl"/>
        </w:rPr>
        <w:t xml:space="preserve"> generan cambios en los indicadores financieros analizados, no obstante, dichos cambios son menores al primer escenario (tabla 3), en el cual se considera una variación en el eje de desvinculaciones. </w:t>
      </w:r>
      <w:r w:rsidR="005D3B03" w:rsidRPr="00F85253">
        <w:rPr>
          <w:rFonts w:ascii="Arial" w:hAnsi="Arial" w:cs="Arial"/>
          <w:sz w:val="22"/>
          <w:szCs w:val="22"/>
          <w:lang w:val="es-ES_tradnl"/>
        </w:rPr>
        <w:t xml:space="preserve"> </w:t>
      </w:r>
    </w:p>
    <w:p w14:paraId="4FA0CFDC" w14:textId="77777777" w:rsidR="005D3B03" w:rsidRPr="00F85253" w:rsidRDefault="005D3B03" w:rsidP="0023514C">
      <w:pPr>
        <w:pStyle w:val="Paragraph"/>
        <w:spacing w:before="0" w:after="0" w:line="276" w:lineRule="auto"/>
        <w:outlineLvl w:val="9"/>
        <w:rPr>
          <w:rFonts w:ascii="Arial" w:hAnsi="Arial" w:cs="Arial"/>
          <w:sz w:val="22"/>
          <w:szCs w:val="22"/>
          <w:lang w:val="es-ES_tradnl"/>
        </w:rPr>
        <w:sectPr w:rsidR="005D3B03" w:rsidRPr="00F85253">
          <w:pgSz w:w="11906" w:h="16838"/>
          <w:pgMar w:top="994" w:right="1440" w:bottom="1166" w:left="1354" w:header="720" w:footer="720" w:gutter="0"/>
          <w:cols w:space="720"/>
          <w:docGrid w:linePitch="360"/>
        </w:sectPr>
      </w:pPr>
    </w:p>
    <w:p w14:paraId="0C599013" w14:textId="090CDFEB" w:rsidR="000B6FF1" w:rsidRPr="00F85253" w:rsidRDefault="000B6FF1" w:rsidP="000B6FF1">
      <w:pPr>
        <w:pStyle w:val="Paragraph"/>
        <w:spacing w:before="0" w:after="0" w:line="276" w:lineRule="auto"/>
        <w:outlineLvl w:val="9"/>
        <w:rPr>
          <w:rFonts w:ascii="Arial" w:hAnsi="Arial" w:cs="Arial"/>
          <w:b/>
          <w:sz w:val="22"/>
        </w:rPr>
      </w:pPr>
      <w:r w:rsidRPr="00F85253">
        <w:rPr>
          <w:rFonts w:ascii="Arial" w:hAnsi="Arial" w:cs="Arial"/>
          <w:b/>
          <w:sz w:val="22"/>
        </w:rPr>
        <w:lastRenderedPageBreak/>
        <w:t xml:space="preserve">Tabla </w:t>
      </w:r>
      <w:r w:rsidRPr="00F85253">
        <w:rPr>
          <w:rFonts w:ascii="Arial" w:hAnsi="Arial" w:cs="Arial"/>
          <w:b/>
          <w:sz w:val="22"/>
        </w:rPr>
        <w:fldChar w:fldCharType="begin"/>
      </w:r>
      <w:r w:rsidRPr="00F85253">
        <w:rPr>
          <w:rFonts w:ascii="Arial" w:hAnsi="Arial" w:cs="Arial"/>
          <w:b/>
          <w:sz w:val="22"/>
        </w:rPr>
        <w:instrText xml:space="preserve"> SEQ Tabla \* ARABIC </w:instrText>
      </w:r>
      <w:r w:rsidRPr="00F85253">
        <w:rPr>
          <w:rFonts w:ascii="Arial" w:hAnsi="Arial" w:cs="Arial"/>
          <w:b/>
          <w:sz w:val="22"/>
        </w:rPr>
        <w:fldChar w:fldCharType="separate"/>
      </w:r>
      <w:r w:rsidR="000E725F" w:rsidRPr="00F85253">
        <w:rPr>
          <w:rFonts w:ascii="Arial" w:hAnsi="Arial" w:cs="Arial"/>
          <w:b/>
          <w:noProof/>
          <w:sz w:val="22"/>
        </w:rPr>
        <w:t>3</w:t>
      </w:r>
      <w:r w:rsidRPr="00F85253">
        <w:rPr>
          <w:rFonts w:ascii="Arial" w:hAnsi="Arial" w:cs="Arial"/>
          <w:b/>
          <w:sz w:val="22"/>
        </w:rPr>
        <w:fldChar w:fldCharType="end"/>
      </w:r>
      <w:r w:rsidRPr="00F85253">
        <w:rPr>
          <w:rFonts w:ascii="Arial" w:hAnsi="Arial" w:cs="Arial"/>
          <w:b/>
          <w:sz w:val="22"/>
        </w:rPr>
        <w:t xml:space="preserve"> Análisis Económico – Análisis de sensibilidad</w:t>
      </w:r>
      <w:r w:rsidR="000E725F" w:rsidRPr="00F85253">
        <w:rPr>
          <w:rFonts w:ascii="Arial" w:hAnsi="Arial" w:cs="Arial"/>
          <w:b/>
          <w:sz w:val="22"/>
        </w:rPr>
        <w:t>: Escenario 1</w:t>
      </w:r>
    </w:p>
    <w:p w14:paraId="6DD390A8" w14:textId="686170B8" w:rsidR="00DD09F4" w:rsidRPr="00F85253" w:rsidRDefault="00DD09F4" w:rsidP="000B6FF1">
      <w:pPr>
        <w:pStyle w:val="Paragraph"/>
        <w:spacing w:before="0" w:after="0" w:line="276" w:lineRule="auto"/>
        <w:outlineLvl w:val="9"/>
        <w:rPr>
          <w:rFonts w:ascii="Arial" w:hAnsi="Arial" w:cs="Arial"/>
          <w:b/>
          <w:sz w:val="22"/>
        </w:rPr>
      </w:pPr>
      <w:r w:rsidRPr="00F85253">
        <w:rPr>
          <w:rFonts w:ascii="Arial" w:hAnsi="Arial" w:cs="Arial"/>
          <w:b/>
        </w:rPr>
        <w:t>Millones de dólares constantes de 2018 (tasa de descuento 12%)</w:t>
      </w:r>
    </w:p>
    <w:p w14:paraId="5EABA7C0" w14:textId="77777777" w:rsidR="00E5507A" w:rsidRPr="00F85253" w:rsidRDefault="00E5507A" w:rsidP="000B6FF1">
      <w:pPr>
        <w:pStyle w:val="Paragraph"/>
        <w:spacing w:before="0" w:after="0" w:line="276" w:lineRule="auto"/>
        <w:outlineLvl w:val="9"/>
        <w:rPr>
          <w:rFonts w:ascii="Arial" w:hAnsi="Arial" w:cs="Arial"/>
          <w:sz w:val="22"/>
        </w:rPr>
      </w:pPr>
    </w:p>
    <w:tbl>
      <w:tblPr>
        <w:tblW w:w="14440" w:type="dxa"/>
        <w:tblInd w:w="55" w:type="dxa"/>
        <w:tblCellMar>
          <w:left w:w="70" w:type="dxa"/>
          <w:right w:w="70" w:type="dxa"/>
        </w:tblCellMar>
        <w:tblLook w:val="04A0" w:firstRow="1" w:lastRow="0" w:firstColumn="1" w:lastColumn="0" w:noHBand="0" w:noVBand="1"/>
      </w:tblPr>
      <w:tblGrid>
        <w:gridCol w:w="4693"/>
        <w:gridCol w:w="1167"/>
        <w:gridCol w:w="880"/>
        <w:gridCol w:w="940"/>
        <w:gridCol w:w="880"/>
        <w:gridCol w:w="920"/>
        <w:gridCol w:w="780"/>
        <w:gridCol w:w="780"/>
        <w:gridCol w:w="780"/>
        <w:gridCol w:w="780"/>
        <w:gridCol w:w="780"/>
        <w:gridCol w:w="1060"/>
      </w:tblGrid>
      <w:tr w:rsidR="00207185" w:rsidRPr="00F85253" w14:paraId="3972E164" w14:textId="77777777" w:rsidTr="00207185">
        <w:trPr>
          <w:trHeight w:val="270"/>
        </w:trPr>
        <w:tc>
          <w:tcPr>
            <w:tcW w:w="4693" w:type="dxa"/>
            <w:tcBorders>
              <w:top w:val="single" w:sz="8" w:space="0" w:color="auto"/>
              <w:left w:val="single" w:sz="8" w:space="0" w:color="auto"/>
              <w:bottom w:val="single" w:sz="8" w:space="0" w:color="auto"/>
              <w:right w:val="nil"/>
            </w:tcBorders>
            <w:shd w:val="clear" w:color="000000" w:fill="FFFFFF"/>
            <w:noWrap/>
            <w:vAlign w:val="bottom"/>
            <w:hideMark/>
          </w:tcPr>
          <w:p w14:paraId="7A41094C" w14:textId="77777777" w:rsidR="00207185" w:rsidRPr="00F85253" w:rsidRDefault="00207185" w:rsidP="00207185">
            <w:pPr>
              <w:spacing w:after="0" w:line="240" w:lineRule="auto"/>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ITEM</w:t>
            </w:r>
          </w:p>
        </w:tc>
        <w:tc>
          <w:tcPr>
            <w:tcW w:w="1167" w:type="dxa"/>
            <w:tcBorders>
              <w:top w:val="single" w:sz="8" w:space="0" w:color="auto"/>
              <w:left w:val="nil"/>
              <w:bottom w:val="single" w:sz="8" w:space="0" w:color="auto"/>
              <w:right w:val="nil"/>
            </w:tcBorders>
            <w:shd w:val="clear" w:color="000000" w:fill="FFFFFF"/>
            <w:noWrap/>
            <w:vAlign w:val="bottom"/>
            <w:hideMark/>
          </w:tcPr>
          <w:p w14:paraId="2C0E94BC" w14:textId="77777777" w:rsidR="00207185" w:rsidRPr="00F85253" w:rsidRDefault="00207185" w:rsidP="00207185">
            <w:pPr>
              <w:spacing w:after="0" w:line="240" w:lineRule="auto"/>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Subtotal </w:t>
            </w:r>
          </w:p>
        </w:tc>
        <w:tc>
          <w:tcPr>
            <w:tcW w:w="880" w:type="dxa"/>
            <w:tcBorders>
              <w:top w:val="single" w:sz="8" w:space="0" w:color="auto"/>
              <w:left w:val="single" w:sz="8" w:space="0" w:color="auto"/>
              <w:bottom w:val="single" w:sz="8" w:space="0" w:color="auto"/>
              <w:right w:val="nil"/>
            </w:tcBorders>
            <w:shd w:val="clear" w:color="000000" w:fill="FFFFFF"/>
            <w:noWrap/>
            <w:vAlign w:val="bottom"/>
            <w:hideMark/>
          </w:tcPr>
          <w:p w14:paraId="466CA7F8"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2019</w:t>
            </w:r>
          </w:p>
        </w:tc>
        <w:tc>
          <w:tcPr>
            <w:tcW w:w="940" w:type="dxa"/>
            <w:tcBorders>
              <w:top w:val="single" w:sz="8" w:space="0" w:color="auto"/>
              <w:left w:val="nil"/>
              <w:bottom w:val="single" w:sz="8" w:space="0" w:color="auto"/>
              <w:right w:val="nil"/>
            </w:tcBorders>
            <w:shd w:val="clear" w:color="000000" w:fill="FFFFFF"/>
            <w:noWrap/>
            <w:vAlign w:val="bottom"/>
            <w:hideMark/>
          </w:tcPr>
          <w:p w14:paraId="5174AD5C"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2020</w:t>
            </w:r>
          </w:p>
        </w:tc>
        <w:tc>
          <w:tcPr>
            <w:tcW w:w="880" w:type="dxa"/>
            <w:tcBorders>
              <w:top w:val="single" w:sz="8" w:space="0" w:color="auto"/>
              <w:left w:val="nil"/>
              <w:bottom w:val="single" w:sz="8" w:space="0" w:color="auto"/>
              <w:right w:val="nil"/>
            </w:tcBorders>
            <w:shd w:val="clear" w:color="000000" w:fill="FFFFFF"/>
            <w:noWrap/>
            <w:vAlign w:val="bottom"/>
            <w:hideMark/>
          </w:tcPr>
          <w:p w14:paraId="042B7B37"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2021</w:t>
            </w:r>
          </w:p>
        </w:tc>
        <w:tc>
          <w:tcPr>
            <w:tcW w:w="920" w:type="dxa"/>
            <w:tcBorders>
              <w:top w:val="single" w:sz="8" w:space="0" w:color="auto"/>
              <w:left w:val="nil"/>
              <w:bottom w:val="single" w:sz="8" w:space="0" w:color="auto"/>
              <w:right w:val="single" w:sz="8" w:space="0" w:color="auto"/>
            </w:tcBorders>
            <w:shd w:val="clear" w:color="000000" w:fill="FFFFFF"/>
            <w:noWrap/>
            <w:vAlign w:val="bottom"/>
            <w:hideMark/>
          </w:tcPr>
          <w:p w14:paraId="1322A9D3"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2022</w:t>
            </w:r>
          </w:p>
        </w:tc>
        <w:tc>
          <w:tcPr>
            <w:tcW w:w="780" w:type="dxa"/>
            <w:tcBorders>
              <w:top w:val="single" w:sz="8" w:space="0" w:color="auto"/>
              <w:left w:val="nil"/>
              <w:bottom w:val="single" w:sz="8" w:space="0" w:color="auto"/>
              <w:right w:val="nil"/>
            </w:tcBorders>
            <w:shd w:val="clear" w:color="000000" w:fill="FFFFFF"/>
            <w:noWrap/>
            <w:vAlign w:val="bottom"/>
            <w:hideMark/>
          </w:tcPr>
          <w:p w14:paraId="33D9CA03"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2023</w:t>
            </w:r>
          </w:p>
        </w:tc>
        <w:tc>
          <w:tcPr>
            <w:tcW w:w="780" w:type="dxa"/>
            <w:tcBorders>
              <w:top w:val="single" w:sz="8" w:space="0" w:color="auto"/>
              <w:left w:val="nil"/>
              <w:bottom w:val="single" w:sz="8" w:space="0" w:color="auto"/>
              <w:right w:val="nil"/>
            </w:tcBorders>
            <w:shd w:val="clear" w:color="000000" w:fill="FFFFFF"/>
            <w:noWrap/>
            <w:vAlign w:val="bottom"/>
            <w:hideMark/>
          </w:tcPr>
          <w:p w14:paraId="45279E12"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2024</w:t>
            </w:r>
          </w:p>
        </w:tc>
        <w:tc>
          <w:tcPr>
            <w:tcW w:w="780" w:type="dxa"/>
            <w:tcBorders>
              <w:top w:val="single" w:sz="8" w:space="0" w:color="auto"/>
              <w:left w:val="nil"/>
              <w:bottom w:val="single" w:sz="8" w:space="0" w:color="auto"/>
              <w:right w:val="nil"/>
            </w:tcBorders>
            <w:shd w:val="clear" w:color="000000" w:fill="FFFFFF"/>
            <w:noWrap/>
            <w:vAlign w:val="bottom"/>
            <w:hideMark/>
          </w:tcPr>
          <w:p w14:paraId="1BE7EF3C"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2025</w:t>
            </w:r>
          </w:p>
        </w:tc>
        <w:tc>
          <w:tcPr>
            <w:tcW w:w="780" w:type="dxa"/>
            <w:tcBorders>
              <w:top w:val="single" w:sz="8" w:space="0" w:color="auto"/>
              <w:left w:val="nil"/>
              <w:bottom w:val="single" w:sz="8" w:space="0" w:color="auto"/>
              <w:right w:val="nil"/>
            </w:tcBorders>
            <w:shd w:val="clear" w:color="000000" w:fill="FFFFFF"/>
            <w:noWrap/>
            <w:vAlign w:val="bottom"/>
            <w:hideMark/>
          </w:tcPr>
          <w:p w14:paraId="2BD18A58"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2026</w:t>
            </w:r>
          </w:p>
        </w:tc>
        <w:tc>
          <w:tcPr>
            <w:tcW w:w="780" w:type="dxa"/>
            <w:tcBorders>
              <w:top w:val="single" w:sz="8" w:space="0" w:color="auto"/>
              <w:left w:val="nil"/>
              <w:bottom w:val="single" w:sz="8" w:space="0" w:color="auto"/>
              <w:right w:val="nil"/>
            </w:tcBorders>
            <w:shd w:val="clear" w:color="000000" w:fill="FFFFFF"/>
            <w:noWrap/>
            <w:vAlign w:val="bottom"/>
            <w:hideMark/>
          </w:tcPr>
          <w:p w14:paraId="20B518A1"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2027</w:t>
            </w:r>
          </w:p>
        </w:tc>
        <w:tc>
          <w:tcPr>
            <w:tcW w:w="1060" w:type="dxa"/>
            <w:tcBorders>
              <w:top w:val="single" w:sz="8" w:space="0" w:color="auto"/>
              <w:left w:val="nil"/>
              <w:bottom w:val="single" w:sz="8" w:space="0" w:color="auto"/>
              <w:right w:val="single" w:sz="8" w:space="0" w:color="auto"/>
            </w:tcBorders>
            <w:shd w:val="clear" w:color="000000" w:fill="FFFFFF"/>
            <w:noWrap/>
            <w:vAlign w:val="bottom"/>
            <w:hideMark/>
          </w:tcPr>
          <w:p w14:paraId="5E7E96FA"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2028</w:t>
            </w:r>
          </w:p>
        </w:tc>
      </w:tr>
      <w:tr w:rsidR="00207185" w:rsidRPr="00F85253" w14:paraId="65657323" w14:textId="77777777" w:rsidTr="00207185">
        <w:trPr>
          <w:trHeight w:val="255"/>
        </w:trPr>
        <w:tc>
          <w:tcPr>
            <w:tcW w:w="4693" w:type="dxa"/>
            <w:tcBorders>
              <w:top w:val="nil"/>
              <w:left w:val="single" w:sz="8" w:space="0" w:color="auto"/>
              <w:bottom w:val="nil"/>
              <w:right w:val="nil"/>
            </w:tcBorders>
            <w:shd w:val="clear" w:color="000000" w:fill="FFFFFF"/>
            <w:noWrap/>
            <w:vAlign w:val="bottom"/>
            <w:hideMark/>
          </w:tcPr>
          <w:p w14:paraId="073D9ABD" w14:textId="77777777" w:rsidR="00207185" w:rsidRPr="00F85253" w:rsidRDefault="00207185" w:rsidP="00207185">
            <w:pPr>
              <w:spacing w:after="0" w:line="240" w:lineRule="auto"/>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Beneficios Económicos</w:t>
            </w:r>
          </w:p>
        </w:tc>
        <w:tc>
          <w:tcPr>
            <w:tcW w:w="1167" w:type="dxa"/>
            <w:tcBorders>
              <w:top w:val="nil"/>
              <w:left w:val="nil"/>
              <w:bottom w:val="nil"/>
              <w:right w:val="nil"/>
            </w:tcBorders>
            <w:shd w:val="clear" w:color="000000" w:fill="FFFFFF"/>
            <w:noWrap/>
            <w:vAlign w:val="bottom"/>
            <w:hideMark/>
          </w:tcPr>
          <w:p w14:paraId="6165FD3B"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w:t>
            </w:r>
          </w:p>
        </w:tc>
        <w:tc>
          <w:tcPr>
            <w:tcW w:w="880" w:type="dxa"/>
            <w:tcBorders>
              <w:top w:val="nil"/>
              <w:left w:val="single" w:sz="8" w:space="0" w:color="auto"/>
              <w:bottom w:val="nil"/>
              <w:right w:val="nil"/>
            </w:tcBorders>
            <w:shd w:val="clear" w:color="000000" w:fill="FFFFFF"/>
            <w:noWrap/>
            <w:vAlign w:val="bottom"/>
            <w:hideMark/>
          </w:tcPr>
          <w:p w14:paraId="20B09F98"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w:t>
            </w:r>
          </w:p>
        </w:tc>
        <w:tc>
          <w:tcPr>
            <w:tcW w:w="940" w:type="dxa"/>
            <w:tcBorders>
              <w:top w:val="nil"/>
              <w:left w:val="nil"/>
              <w:bottom w:val="nil"/>
              <w:right w:val="nil"/>
            </w:tcBorders>
            <w:shd w:val="clear" w:color="000000" w:fill="FFFFFF"/>
            <w:noWrap/>
            <w:vAlign w:val="bottom"/>
            <w:hideMark/>
          </w:tcPr>
          <w:p w14:paraId="32E757EC"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880" w:type="dxa"/>
            <w:tcBorders>
              <w:top w:val="nil"/>
              <w:left w:val="nil"/>
              <w:bottom w:val="nil"/>
              <w:right w:val="nil"/>
            </w:tcBorders>
            <w:shd w:val="clear" w:color="000000" w:fill="FFFFFF"/>
            <w:noWrap/>
            <w:vAlign w:val="bottom"/>
            <w:hideMark/>
          </w:tcPr>
          <w:p w14:paraId="7024BA12"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920" w:type="dxa"/>
            <w:tcBorders>
              <w:top w:val="nil"/>
              <w:left w:val="nil"/>
              <w:bottom w:val="nil"/>
              <w:right w:val="single" w:sz="8" w:space="0" w:color="auto"/>
            </w:tcBorders>
            <w:shd w:val="clear" w:color="000000" w:fill="FFFFFF"/>
            <w:noWrap/>
            <w:vAlign w:val="bottom"/>
            <w:hideMark/>
          </w:tcPr>
          <w:p w14:paraId="4C032D5D"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30F0271F"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08199E0B"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59D0ADF0"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35ADB4E4"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64016D76"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1060" w:type="dxa"/>
            <w:tcBorders>
              <w:top w:val="nil"/>
              <w:left w:val="nil"/>
              <w:bottom w:val="nil"/>
              <w:right w:val="single" w:sz="8" w:space="0" w:color="auto"/>
            </w:tcBorders>
            <w:shd w:val="clear" w:color="000000" w:fill="FFFFFF"/>
            <w:noWrap/>
            <w:vAlign w:val="bottom"/>
            <w:hideMark/>
          </w:tcPr>
          <w:p w14:paraId="25D13185"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r>
      <w:tr w:rsidR="00207185" w:rsidRPr="00F85253" w14:paraId="6BE5A082" w14:textId="77777777" w:rsidTr="00207185">
        <w:trPr>
          <w:trHeight w:val="255"/>
        </w:trPr>
        <w:tc>
          <w:tcPr>
            <w:tcW w:w="4693" w:type="dxa"/>
            <w:tcBorders>
              <w:top w:val="nil"/>
              <w:left w:val="single" w:sz="8" w:space="0" w:color="auto"/>
              <w:bottom w:val="nil"/>
              <w:right w:val="nil"/>
            </w:tcBorders>
            <w:shd w:val="clear" w:color="000000" w:fill="FFFFFF"/>
            <w:noWrap/>
            <w:vAlign w:val="bottom"/>
            <w:hideMark/>
          </w:tcPr>
          <w:p w14:paraId="7FFEEBEA" w14:textId="77777777" w:rsidR="00207185" w:rsidRPr="00F85253" w:rsidRDefault="00207185" w:rsidP="00207185">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C. Evitados por Desvinculación</w:t>
            </w:r>
          </w:p>
        </w:tc>
        <w:tc>
          <w:tcPr>
            <w:tcW w:w="1167" w:type="dxa"/>
            <w:tcBorders>
              <w:top w:val="nil"/>
              <w:left w:val="nil"/>
              <w:bottom w:val="nil"/>
              <w:right w:val="nil"/>
            </w:tcBorders>
            <w:shd w:val="clear" w:color="000000" w:fill="FFFFFF"/>
            <w:noWrap/>
            <w:vAlign w:val="bottom"/>
            <w:hideMark/>
          </w:tcPr>
          <w:p w14:paraId="71AD66EB"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w:t>
            </w:r>
            <w:proofErr w:type="gramStart"/>
            <w:r w:rsidRPr="00F85253">
              <w:rPr>
                <w:rFonts w:ascii="Arial" w:eastAsia="Times New Roman" w:hAnsi="Arial" w:cs="Arial"/>
                <w:b/>
                <w:bCs/>
                <w:sz w:val="20"/>
                <w:szCs w:val="20"/>
                <w:lang w:val="es-EC" w:eastAsia="es-EC"/>
              </w:rPr>
              <w:t>$  203.52</w:t>
            </w:r>
            <w:proofErr w:type="gramEnd"/>
            <w:r w:rsidRPr="00F85253">
              <w:rPr>
                <w:rFonts w:ascii="Arial" w:eastAsia="Times New Roman" w:hAnsi="Arial" w:cs="Arial"/>
                <w:b/>
                <w:bCs/>
                <w:sz w:val="20"/>
                <w:szCs w:val="20"/>
                <w:lang w:val="es-EC" w:eastAsia="es-EC"/>
              </w:rPr>
              <w:t xml:space="preserve"> </w:t>
            </w:r>
          </w:p>
        </w:tc>
        <w:tc>
          <w:tcPr>
            <w:tcW w:w="880" w:type="dxa"/>
            <w:tcBorders>
              <w:top w:val="nil"/>
              <w:left w:val="single" w:sz="8" w:space="0" w:color="auto"/>
              <w:bottom w:val="nil"/>
              <w:right w:val="nil"/>
            </w:tcBorders>
            <w:shd w:val="clear" w:color="000000" w:fill="FFFFFF"/>
            <w:noWrap/>
            <w:vAlign w:val="bottom"/>
            <w:hideMark/>
          </w:tcPr>
          <w:p w14:paraId="24522967"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940" w:type="dxa"/>
            <w:tcBorders>
              <w:top w:val="nil"/>
              <w:left w:val="nil"/>
              <w:bottom w:val="nil"/>
              <w:right w:val="nil"/>
            </w:tcBorders>
            <w:shd w:val="clear" w:color="000000" w:fill="FFFFFF"/>
            <w:noWrap/>
            <w:vAlign w:val="bottom"/>
            <w:hideMark/>
          </w:tcPr>
          <w:p w14:paraId="7F0B1AC6"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880" w:type="dxa"/>
            <w:tcBorders>
              <w:top w:val="nil"/>
              <w:left w:val="nil"/>
              <w:bottom w:val="nil"/>
              <w:right w:val="nil"/>
            </w:tcBorders>
            <w:shd w:val="clear" w:color="000000" w:fill="FFFFFF"/>
            <w:noWrap/>
            <w:vAlign w:val="bottom"/>
            <w:hideMark/>
          </w:tcPr>
          <w:p w14:paraId="680F0D45" w14:textId="77777777" w:rsidR="00207185" w:rsidRPr="00F85253" w:rsidRDefault="00207185" w:rsidP="00207185">
            <w:pPr>
              <w:spacing w:after="0" w:line="240" w:lineRule="auto"/>
              <w:jc w:val="right"/>
              <w:rPr>
                <w:rFonts w:ascii="Arial" w:eastAsia="Times New Roman" w:hAnsi="Arial" w:cs="Arial"/>
                <w:b/>
                <w:bCs/>
                <w:i/>
                <w:iCs/>
                <w:color w:val="00B0F0"/>
                <w:sz w:val="20"/>
                <w:szCs w:val="20"/>
                <w:lang w:val="es-EC" w:eastAsia="es-EC"/>
              </w:rPr>
            </w:pPr>
            <w:r w:rsidRPr="00F85253">
              <w:rPr>
                <w:rFonts w:ascii="Arial" w:eastAsia="Times New Roman" w:hAnsi="Arial" w:cs="Arial"/>
                <w:b/>
                <w:bCs/>
                <w:i/>
                <w:iCs/>
                <w:color w:val="00B0F0"/>
                <w:sz w:val="20"/>
                <w:szCs w:val="20"/>
                <w:lang w:val="es-EC" w:eastAsia="es-EC"/>
              </w:rPr>
              <w:t xml:space="preserve"> $ 16.39 </w:t>
            </w:r>
          </w:p>
        </w:tc>
        <w:tc>
          <w:tcPr>
            <w:tcW w:w="920" w:type="dxa"/>
            <w:tcBorders>
              <w:top w:val="nil"/>
              <w:left w:val="nil"/>
              <w:bottom w:val="nil"/>
              <w:right w:val="single" w:sz="8" w:space="0" w:color="auto"/>
            </w:tcBorders>
            <w:shd w:val="clear" w:color="000000" w:fill="FFFFFF"/>
            <w:noWrap/>
            <w:vAlign w:val="bottom"/>
            <w:hideMark/>
          </w:tcPr>
          <w:p w14:paraId="247D0D46" w14:textId="77777777" w:rsidR="00207185" w:rsidRPr="00F85253" w:rsidRDefault="00207185" w:rsidP="00207185">
            <w:pPr>
              <w:spacing w:after="0" w:line="240" w:lineRule="auto"/>
              <w:jc w:val="right"/>
              <w:rPr>
                <w:rFonts w:ascii="Arial" w:eastAsia="Times New Roman" w:hAnsi="Arial" w:cs="Arial"/>
                <w:b/>
                <w:bCs/>
                <w:i/>
                <w:iCs/>
                <w:color w:val="00B0F0"/>
                <w:sz w:val="20"/>
                <w:szCs w:val="20"/>
                <w:lang w:val="es-EC" w:eastAsia="es-EC"/>
              </w:rPr>
            </w:pPr>
            <w:r w:rsidRPr="00F85253">
              <w:rPr>
                <w:rFonts w:ascii="Arial" w:eastAsia="Times New Roman" w:hAnsi="Arial" w:cs="Arial"/>
                <w:b/>
                <w:bCs/>
                <w:i/>
                <w:iCs/>
                <w:color w:val="00B0F0"/>
                <w:sz w:val="20"/>
                <w:szCs w:val="20"/>
                <w:lang w:val="es-EC" w:eastAsia="es-EC"/>
              </w:rPr>
              <w:t xml:space="preserve"> $ 23.22 </w:t>
            </w:r>
          </w:p>
        </w:tc>
        <w:tc>
          <w:tcPr>
            <w:tcW w:w="780" w:type="dxa"/>
            <w:tcBorders>
              <w:top w:val="nil"/>
              <w:left w:val="nil"/>
              <w:bottom w:val="nil"/>
              <w:right w:val="nil"/>
            </w:tcBorders>
            <w:shd w:val="clear" w:color="000000" w:fill="FFFFFF"/>
            <w:noWrap/>
            <w:vAlign w:val="bottom"/>
            <w:hideMark/>
          </w:tcPr>
          <w:p w14:paraId="6C72FDE9"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$27.32 </w:t>
            </w:r>
          </w:p>
        </w:tc>
        <w:tc>
          <w:tcPr>
            <w:tcW w:w="780" w:type="dxa"/>
            <w:tcBorders>
              <w:top w:val="nil"/>
              <w:left w:val="nil"/>
              <w:bottom w:val="nil"/>
              <w:right w:val="nil"/>
            </w:tcBorders>
            <w:shd w:val="clear" w:color="000000" w:fill="FFFFFF"/>
            <w:noWrap/>
            <w:vAlign w:val="bottom"/>
            <w:hideMark/>
          </w:tcPr>
          <w:p w14:paraId="1283B86D"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$27.32 </w:t>
            </w:r>
          </w:p>
        </w:tc>
        <w:tc>
          <w:tcPr>
            <w:tcW w:w="780" w:type="dxa"/>
            <w:tcBorders>
              <w:top w:val="nil"/>
              <w:left w:val="nil"/>
              <w:bottom w:val="nil"/>
              <w:right w:val="nil"/>
            </w:tcBorders>
            <w:shd w:val="clear" w:color="000000" w:fill="FFFFFF"/>
            <w:noWrap/>
            <w:vAlign w:val="bottom"/>
            <w:hideMark/>
          </w:tcPr>
          <w:p w14:paraId="6246ECE9"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$27.32 </w:t>
            </w:r>
          </w:p>
        </w:tc>
        <w:tc>
          <w:tcPr>
            <w:tcW w:w="780" w:type="dxa"/>
            <w:tcBorders>
              <w:top w:val="nil"/>
              <w:left w:val="nil"/>
              <w:bottom w:val="nil"/>
              <w:right w:val="nil"/>
            </w:tcBorders>
            <w:shd w:val="clear" w:color="000000" w:fill="FFFFFF"/>
            <w:noWrap/>
            <w:vAlign w:val="bottom"/>
            <w:hideMark/>
          </w:tcPr>
          <w:p w14:paraId="55FB9324"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$27.32 </w:t>
            </w:r>
          </w:p>
        </w:tc>
        <w:tc>
          <w:tcPr>
            <w:tcW w:w="780" w:type="dxa"/>
            <w:tcBorders>
              <w:top w:val="nil"/>
              <w:left w:val="nil"/>
              <w:bottom w:val="nil"/>
              <w:right w:val="nil"/>
            </w:tcBorders>
            <w:shd w:val="clear" w:color="000000" w:fill="FFFFFF"/>
            <w:noWrap/>
            <w:vAlign w:val="bottom"/>
            <w:hideMark/>
          </w:tcPr>
          <w:p w14:paraId="2F48A685"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$27.32 </w:t>
            </w:r>
          </w:p>
        </w:tc>
        <w:tc>
          <w:tcPr>
            <w:tcW w:w="1060" w:type="dxa"/>
            <w:tcBorders>
              <w:top w:val="nil"/>
              <w:left w:val="nil"/>
              <w:bottom w:val="nil"/>
              <w:right w:val="single" w:sz="8" w:space="0" w:color="auto"/>
            </w:tcBorders>
            <w:shd w:val="clear" w:color="000000" w:fill="FFFFFF"/>
            <w:noWrap/>
            <w:vAlign w:val="bottom"/>
            <w:hideMark/>
          </w:tcPr>
          <w:p w14:paraId="1128F903"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27.32 </w:t>
            </w:r>
          </w:p>
        </w:tc>
      </w:tr>
      <w:tr w:rsidR="00207185" w:rsidRPr="00F85253" w14:paraId="6A43BDBD" w14:textId="77777777" w:rsidTr="00207185">
        <w:trPr>
          <w:trHeight w:val="255"/>
        </w:trPr>
        <w:tc>
          <w:tcPr>
            <w:tcW w:w="4693" w:type="dxa"/>
            <w:tcBorders>
              <w:top w:val="nil"/>
              <w:left w:val="single" w:sz="8" w:space="0" w:color="auto"/>
              <w:bottom w:val="nil"/>
              <w:right w:val="nil"/>
            </w:tcBorders>
            <w:shd w:val="clear" w:color="000000" w:fill="FFFFFF"/>
            <w:noWrap/>
            <w:vAlign w:val="bottom"/>
            <w:hideMark/>
          </w:tcPr>
          <w:p w14:paraId="634B92CF" w14:textId="77777777" w:rsidR="00207185" w:rsidRPr="00F85253" w:rsidRDefault="00207185" w:rsidP="00207185">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C. Evitados por mejor transparencia</w:t>
            </w:r>
          </w:p>
        </w:tc>
        <w:tc>
          <w:tcPr>
            <w:tcW w:w="1167" w:type="dxa"/>
            <w:tcBorders>
              <w:top w:val="nil"/>
              <w:left w:val="nil"/>
              <w:bottom w:val="nil"/>
              <w:right w:val="nil"/>
            </w:tcBorders>
            <w:shd w:val="clear" w:color="000000" w:fill="FFFFFF"/>
            <w:noWrap/>
            <w:vAlign w:val="bottom"/>
            <w:hideMark/>
          </w:tcPr>
          <w:p w14:paraId="654C0B81"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5.10 </w:t>
            </w:r>
          </w:p>
        </w:tc>
        <w:tc>
          <w:tcPr>
            <w:tcW w:w="880" w:type="dxa"/>
            <w:tcBorders>
              <w:top w:val="nil"/>
              <w:left w:val="single" w:sz="8" w:space="0" w:color="auto"/>
              <w:bottom w:val="nil"/>
              <w:right w:val="nil"/>
            </w:tcBorders>
            <w:shd w:val="clear" w:color="000000" w:fill="FFFFFF"/>
            <w:noWrap/>
            <w:vAlign w:val="bottom"/>
            <w:hideMark/>
          </w:tcPr>
          <w:p w14:paraId="31623AD1"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940" w:type="dxa"/>
            <w:tcBorders>
              <w:top w:val="nil"/>
              <w:left w:val="nil"/>
              <w:bottom w:val="nil"/>
              <w:right w:val="nil"/>
            </w:tcBorders>
            <w:shd w:val="clear" w:color="000000" w:fill="FFFFFF"/>
            <w:noWrap/>
            <w:vAlign w:val="bottom"/>
            <w:hideMark/>
          </w:tcPr>
          <w:p w14:paraId="20772D6F"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880" w:type="dxa"/>
            <w:tcBorders>
              <w:top w:val="nil"/>
              <w:left w:val="nil"/>
              <w:bottom w:val="nil"/>
              <w:right w:val="nil"/>
            </w:tcBorders>
            <w:shd w:val="clear" w:color="000000" w:fill="FFFFFF"/>
            <w:noWrap/>
            <w:vAlign w:val="bottom"/>
            <w:hideMark/>
          </w:tcPr>
          <w:p w14:paraId="1716B612"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920" w:type="dxa"/>
            <w:tcBorders>
              <w:top w:val="nil"/>
              <w:left w:val="nil"/>
              <w:bottom w:val="nil"/>
              <w:right w:val="single" w:sz="8" w:space="0" w:color="auto"/>
            </w:tcBorders>
            <w:shd w:val="clear" w:color="000000" w:fill="FFFFFF"/>
            <w:noWrap/>
            <w:vAlign w:val="bottom"/>
            <w:hideMark/>
          </w:tcPr>
          <w:p w14:paraId="5D539399"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780" w:type="dxa"/>
            <w:tcBorders>
              <w:top w:val="nil"/>
              <w:left w:val="nil"/>
              <w:bottom w:val="nil"/>
              <w:right w:val="nil"/>
            </w:tcBorders>
            <w:shd w:val="clear" w:color="000000" w:fill="FFFFFF"/>
            <w:noWrap/>
            <w:vAlign w:val="bottom"/>
            <w:hideMark/>
          </w:tcPr>
          <w:p w14:paraId="6A524439" w14:textId="77777777" w:rsidR="00207185" w:rsidRPr="00F85253" w:rsidRDefault="00207185" w:rsidP="00207185">
            <w:pPr>
              <w:spacing w:after="0" w:line="240" w:lineRule="auto"/>
              <w:jc w:val="right"/>
              <w:rPr>
                <w:rFonts w:ascii="Arial" w:eastAsia="Times New Roman" w:hAnsi="Arial" w:cs="Arial"/>
                <w:b/>
                <w:bCs/>
                <w:i/>
                <w:iCs/>
                <w:color w:val="00B0F0"/>
                <w:sz w:val="20"/>
                <w:szCs w:val="20"/>
                <w:lang w:val="es-EC" w:eastAsia="es-EC"/>
              </w:rPr>
            </w:pPr>
            <w:r w:rsidRPr="00F85253">
              <w:rPr>
                <w:rFonts w:ascii="Arial" w:eastAsia="Times New Roman" w:hAnsi="Arial" w:cs="Arial"/>
                <w:b/>
                <w:bCs/>
                <w:i/>
                <w:iCs/>
                <w:color w:val="00B0F0"/>
                <w:sz w:val="20"/>
                <w:szCs w:val="20"/>
                <w:lang w:val="es-EC" w:eastAsia="es-EC"/>
              </w:rPr>
              <w:t xml:space="preserve"> $    -   </w:t>
            </w:r>
          </w:p>
        </w:tc>
        <w:tc>
          <w:tcPr>
            <w:tcW w:w="780" w:type="dxa"/>
            <w:tcBorders>
              <w:top w:val="nil"/>
              <w:left w:val="nil"/>
              <w:bottom w:val="nil"/>
              <w:right w:val="nil"/>
            </w:tcBorders>
            <w:shd w:val="clear" w:color="000000" w:fill="FFFFFF"/>
            <w:noWrap/>
            <w:vAlign w:val="bottom"/>
            <w:hideMark/>
          </w:tcPr>
          <w:p w14:paraId="71103145"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$ 0.25 </w:t>
            </w:r>
          </w:p>
        </w:tc>
        <w:tc>
          <w:tcPr>
            <w:tcW w:w="780" w:type="dxa"/>
            <w:tcBorders>
              <w:top w:val="nil"/>
              <w:left w:val="nil"/>
              <w:bottom w:val="nil"/>
              <w:right w:val="nil"/>
            </w:tcBorders>
            <w:shd w:val="clear" w:color="000000" w:fill="FFFFFF"/>
            <w:noWrap/>
            <w:vAlign w:val="bottom"/>
            <w:hideMark/>
          </w:tcPr>
          <w:p w14:paraId="153F19DB"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$ 0.43 </w:t>
            </w:r>
          </w:p>
        </w:tc>
        <w:tc>
          <w:tcPr>
            <w:tcW w:w="780" w:type="dxa"/>
            <w:tcBorders>
              <w:top w:val="nil"/>
              <w:left w:val="nil"/>
              <w:bottom w:val="nil"/>
              <w:right w:val="nil"/>
            </w:tcBorders>
            <w:shd w:val="clear" w:color="000000" w:fill="FFFFFF"/>
            <w:noWrap/>
            <w:vAlign w:val="bottom"/>
            <w:hideMark/>
          </w:tcPr>
          <w:p w14:paraId="30CFAEB7"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$ 0.76 </w:t>
            </w:r>
          </w:p>
        </w:tc>
        <w:tc>
          <w:tcPr>
            <w:tcW w:w="780" w:type="dxa"/>
            <w:tcBorders>
              <w:top w:val="nil"/>
              <w:left w:val="nil"/>
              <w:bottom w:val="nil"/>
              <w:right w:val="nil"/>
            </w:tcBorders>
            <w:shd w:val="clear" w:color="000000" w:fill="FFFFFF"/>
            <w:noWrap/>
            <w:vAlign w:val="bottom"/>
            <w:hideMark/>
          </w:tcPr>
          <w:p w14:paraId="2A6E7940"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$ 1.33 </w:t>
            </w:r>
          </w:p>
        </w:tc>
        <w:tc>
          <w:tcPr>
            <w:tcW w:w="1060" w:type="dxa"/>
            <w:tcBorders>
              <w:top w:val="nil"/>
              <w:left w:val="nil"/>
              <w:bottom w:val="nil"/>
              <w:right w:val="single" w:sz="8" w:space="0" w:color="auto"/>
            </w:tcBorders>
            <w:shd w:val="clear" w:color="000000" w:fill="FFFFFF"/>
            <w:noWrap/>
            <w:vAlign w:val="bottom"/>
            <w:hideMark/>
          </w:tcPr>
          <w:p w14:paraId="6B2E4CC3"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2.33 </w:t>
            </w:r>
          </w:p>
        </w:tc>
      </w:tr>
      <w:tr w:rsidR="00207185" w:rsidRPr="00F85253" w14:paraId="696B596C" w14:textId="77777777" w:rsidTr="00207185">
        <w:trPr>
          <w:trHeight w:val="255"/>
        </w:trPr>
        <w:tc>
          <w:tcPr>
            <w:tcW w:w="4693" w:type="dxa"/>
            <w:tcBorders>
              <w:top w:val="nil"/>
              <w:left w:val="single" w:sz="8" w:space="0" w:color="auto"/>
              <w:bottom w:val="nil"/>
              <w:right w:val="nil"/>
            </w:tcBorders>
            <w:shd w:val="clear" w:color="000000" w:fill="FFFFFF"/>
            <w:noWrap/>
            <w:vAlign w:val="bottom"/>
            <w:hideMark/>
          </w:tcPr>
          <w:p w14:paraId="43D2E0E3" w14:textId="77777777" w:rsidR="00207185" w:rsidRPr="00F85253" w:rsidRDefault="00207185" w:rsidP="00207185">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C. Evitados por mejor Eficiencia por fusión</w:t>
            </w:r>
          </w:p>
        </w:tc>
        <w:tc>
          <w:tcPr>
            <w:tcW w:w="1167" w:type="dxa"/>
            <w:tcBorders>
              <w:top w:val="nil"/>
              <w:left w:val="nil"/>
              <w:bottom w:val="nil"/>
              <w:right w:val="nil"/>
            </w:tcBorders>
            <w:shd w:val="clear" w:color="000000" w:fill="FFFFFF"/>
            <w:noWrap/>
            <w:vAlign w:val="bottom"/>
            <w:hideMark/>
          </w:tcPr>
          <w:p w14:paraId="0C0A4D85"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38.84 </w:t>
            </w:r>
          </w:p>
        </w:tc>
        <w:tc>
          <w:tcPr>
            <w:tcW w:w="880" w:type="dxa"/>
            <w:tcBorders>
              <w:top w:val="nil"/>
              <w:left w:val="single" w:sz="8" w:space="0" w:color="auto"/>
              <w:bottom w:val="nil"/>
              <w:right w:val="nil"/>
            </w:tcBorders>
            <w:shd w:val="clear" w:color="000000" w:fill="FFFFFF"/>
            <w:noWrap/>
            <w:vAlign w:val="bottom"/>
            <w:hideMark/>
          </w:tcPr>
          <w:p w14:paraId="024C8DC2"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940" w:type="dxa"/>
            <w:tcBorders>
              <w:top w:val="nil"/>
              <w:left w:val="nil"/>
              <w:bottom w:val="nil"/>
              <w:right w:val="nil"/>
            </w:tcBorders>
            <w:shd w:val="clear" w:color="000000" w:fill="FFFFFF"/>
            <w:noWrap/>
            <w:vAlign w:val="bottom"/>
            <w:hideMark/>
          </w:tcPr>
          <w:p w14:paraId="4DE705EC"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880" w:type="dxa"/>
            <w:tcBorders>
              <w:top w:val="nil"/>
              <w:left w:val="nil"/>
              <w:bottom w:val="nil"/>
              <w:right w:val="nil"/>
            </w:tcBorders>
            <w:shd w:val="clear" w:color="000000" w:fill="FFFFFF"/>
            <w:noWrap/>
            <w:vAlign w:val="bottom"/>
            <w:hideMark/>
          </w:tcPr>
          <w:p w14:paraId="32DAFC4A"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920" w:type="dxa"/>
            <w:tcBorders>
              <w:top w:val="nil"/>
              <w:left w:val="nil"/>
              <w:bottom w:val="nil"/>
              <w:right w:val="single" w:sz="8" w:space="0" w:color="auto"/>
            </w:tcBorders>
            <w:shd w:val="clear" w:color="000000" w:fill="FFFFFF"/>
            <w:noWrap/>
            <w:vAlign w:val="bottom"/>
            <w:hideMark/>
          </w:tcPr>
          <w:p w14:paraId="160D6D4A"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780" w:type="dxa"/>
            <w:tcBorders>
              <w:top w:val="nil"/>
              <w:left w:val="nil"/>
              <w:bottom w:val="nil"/>
              <w:right w:val="nil"/>
            </w:tcBorders>
            <w:shd w:val="clear" w:color="000000" w:fill="FFFFFF"/>
            <w:noWrap/>
            <w:vAlign w:val="bottom"/>
            <w:hideMark/>
          </w:tcPr>
          <w:p w14:paraId="1C267186" w14:textId="77777777" w:rsidR="00207185" w:rsidRPr="00F85253" w:rsidRDefault="00207185" w:rsidP="00207185">
            <w:pPr>
              <w:spacing w:after="0" w:line="240" w:lineRule="auto"/>
              <w:jc w:val="right"/>
              <w:rPr>
                <w:rFonts w:ascii="Arial" w:eastAsia="Times New Roman" w:hAnsi="Arial" w:cs="Arial"/>
                <w:b/>
                <w:bCs/>
                <w:i/>
                <w:iCs/>
                <w:color w:val="00B0F0"/>
                <w:sz w:val="20"/>
                <w:szCs w:val="20"/>
                <w:lang w:val="es-EC" w:eastAsia="es-EC"/>
              </w:rPr>
            </w:pPr>
            <w:r w:rsidRPr="00F85253">
              <w:rPr>
                <w:rFonts w:ascii="Arial" w:eastAsia="Times New Roman" w:hAnsi="Arial" w:cs="Arial"/>
                <w:b/>
                <w:bCs/>
                <w:i/>
                <w:iCs/>
                <w:color w:val="00B0F0"/>
                <w:sz w:val="20"/>
                <w:szCs w:val="20"/>
                <w:lang w:val="es-EC" w:eastAsia="es-EC"/>
              </w:rPr>
              <w:t xml:space="preserve"> $    -   </w:t>
            </w:r>
          </w:p>
        </w:tc>
        <w:tc>
          <w:tcPr>
            <w:tcW w:w="780" w:type="dxa"/>
            <w:tcBorders>
              <w:top w:val="nil"/>
              <w:left w:val="nil"/>
              <w:bottom w:val="nil"/>
              <w:right w:val="nil"/>
            </w:tcBorders>
            <w:shd w:val="clear" w:color="000000" w:fill="FFFFFF"/>
            <w:noWrap/>
            <w:vAlign w:val="bottom"/>
            <w:hideMark/>
          </w:tcPr>
          <w:p w14:paraId="09DDD9A8"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$ 2.35 </w:t>
            </w:r>
          </w:p>
        </w:tc>
        <w:tc>
          <w:tcPr>
            <w:tcW w:w="780" w:type="dxa"/>
            <w:tcBorders>
              <w:top w:val="nil"/>
              <w:left w:val="nil"/>
              <w:bottom w:val="nil"/>
              <w:right w:val="nil"/>
            </w:tcBorders>
            <w:shd w:val="clear" w:color="000000" w:fill="FFFFFF"/>
            <w:noWrap/>
            <w:vAlign w:val="bottom"/>
            <w:hideMark/>
          </w:tcPr>
          <w:p w14:paraId="1EF3A972"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$ 3.83 </w:t>
            </w:r>
          </w:p>
        </w:tc>
        <w:tc>
          <w:tcPr>
            <w:tcW w:w="780" w:type="dxa"/>
            <w:tcBorders>
              <w:top w:val="nil"/>
              <w:left w:val="nil"/>
              <w:bottom w:val="nil"/>
              <w:right w:val="nil"/>
            </w:tcBorders>
            <w:shd w:val="clear" w:color="000000" w:fill="FFFFFF"/>
            <w:noWrap/>
            <w:vAlign w:val="bottom"/>
            <w:hideMark/>
          </w:tcPr>
          <w:p w14:paraId="04B842B9"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$ 6.23 </w:t>
            </w:r>
          </w:p>
        </w:tc>
        <w:tc>
          <w:tcPr>
            <w:tcW w:w="780" w:type="dxa"/>
            <w:tcBorders>
              <w:top w:val="nil"/>
              <w:left w:val="nil"/>
              <w:bottom w:val="nil"/>
              <w:right w:val="nil"/>
            </w:tcBorders>
            <w:shd w:val="clear" w:color="000000" w:fill="FFFFFF"/>
            <w:noWrap/>
            <w:vAlign w:val="bottom"/>
            <w:hideMark/>
          </w:tcPr>
          <w:p w14:paraId="2BE4718D"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$10.10 </w:t>
            </w:r>
          </w:p>
        </w:tc>
        <w:tc>
          <w:tcPr>
            <w:tcW w:w="1060" w:type="dxa"/>
            <w:tcBorders>
              <w:top w:val="nil"/>
              <w:left w:val="nil"/>
              <w:bottom w:val="nil"/>
              <w:right w:val="single" w:sz="8" w:space="0" w:color="auto"/>
            </w:tcBorders>
            <w:shd w:val="clear" w:color="000000" w:fill="FFFFFF"/>
            <w:noWrap/>
            <w:vAlign w:val="bottom"/>
            <w:hideMark/>
          </w:tcPr>
          <w:p w14:paraId="75E4E67E"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16.32 </w:t>
            </w:r>
          </w:p>
        </w:tc>
      </w:tr>
      <w:tr w:rsidR="00207185" w:rsidRPr="00F85253" w14:paraId="27955816" w14:textId="77777777" w:rsidTr="00207185">
        <w:trPr>
          <w:trHeight w:val="255"/>
        </w:trPr>
        <w:tc>
          <w:tcPr>
            <w:tcW w:w="4693" w:type="dxa"/>
            <w:tcBorders>
              <w:top w:val="nil"/>
              <w:left w:val="single" w:sz="8" w:space="0" w:color="auto"/>
              <w:bottom w:val="nil"/>
              <w:right w:val="nil"/>
            </w:tcBorders>
            <w:shd w:val="clear" w:color="000000" w:fill="FFFFFF"/>
            <w:noWrap/>
            <w:vAlign w:val="bottom"/>
            <w:hideMark/>
          </w:tcPr>
          <w:p w14:paraId="56526291" w14:textId="77777777" w:rsidR="00207185" w:rsidRPr="00F85253" w:rsidRDefault="00207185" w:rsidP="00207185">
            <w:pPr>
              <w:spacing w:after="0" w:line="240" w:lineRule="auto"/>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Subtotal Beneficios</w:t>
            </w:r>
          </w:p>
        </w:tc>
        <w:tc>
          <w:tcPr>
            <w:tcW w:w="1167" w:type="dxa"/>
            <w:tcBorders>
              <w:top w:val="nil"/>
              <w:left w:val="nil"/>
              <w:bottom w:val="nil"/>
              <w:right w:val="nil"/>
            </w:tcBorders>
            <w:shd w:val="clear" w:color="000000" w:fill="FFFFFF"/>
            <w:noWrap/>
            <w:vAlign w:val="bottom"/>
            <w:hideMark/>
          </w:tcPr>
          <w:p w14:paraId="319C48D1"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w:t>
            </w:r>
            <w:proofErr w:type="gramStart"/>
            <w:r w:rsidRPr="00F85253">
              <w:rPr>
                <w:rFonts w:ascii="Arial" w:eastAsia="Times New Roman" w:hAnsi="Arial" w:cs="Arial"/>
                <w:b/>
                <w:bCs/>
                <w:sz w:val="20"/>
                <w:szCs w:val="20"/>
                <w:lang w:val="es-EC" w:eastAsia="es-EC"/>
              </w:rPr>
              <w:t>$  247.46</w:t>
            </w:r>
            <w:proofErr w:type="gramEnd"/>
            <w:r w:rsidRPr="00F85253">
              <w:rPr>
                <w:rFonts w:ascii="Arial" w:eastAsia="Times New Roman" w:hAnsi="Arial" w:cs="Arial"/>
                <w:b/>
                <w:bCs/>
                <w:sz w:val="20"/>
                <w:szCs w:val="20"/>
                <w:lang w:val="es-EC" w:eastAsia="es-EC"/>
              </w:rPr>
              <w:t xml:space="preserve"> </w:t>
            </w:r>
          </w:p>
        </w:tc>
        <w:tc>
          <w:tcPr>
            <w:tcW w:w="880" w:type="dxa"/>
            <w:tcBorders>
              <w:top w:val="nil"/>
              <w:left w:val="single" w:sz="8" w:space="0" w:color="auto"/>
              <w:bottom w:val="nil"/>
              <w:right w:val="nil"/>
            </w:tcBorders>
            <w:shd w:val="clear" w:color="000000" w:fill="FFFFFF"/>
            <w:noWrap/>
            <w:vAlign w:val="bottom"/>
            <w:hideMark/>
          </w:tcPr>
          <w:p w14:paraId="53A2423B"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   </w:t>
            </w:r>
          </w:p>
        </w:tc>
        <w:tc>
          <w:tcPr>
            <w:tcW w:w="940" w:type="dxa"/>
            <w:tcBorders>
              <w:top w:val="nil"/>
              <w:left w:val="nil"/>
              <w:bottom w:val="nil"/>
              <w:right w:val="nil"/>
            </w:tcBorders>
            <w:shd w:val="clear" w:color="000000" w:fill="FFFFFF"/>
            <w:noWrap/>
            <w:vAlign w:val="bottom"/>
            <w:hideMark/>
          </w:tcPr>
          <w:p w14:paraId="12D3B624"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   </w:t>
            </w:r>
          </w:p>
        </w:tc>
        <w:tc>
          <w:tcPr>
            <w:tcW w:w="880" w:type="dxa"/>
            <w:tcBorders>
              <w:top w:val="nil"/>
              <w:left w:val="nil"/>
              <w:bottom w:val="nil"/>
              <w:right w:val="nil"/>
            </w:tcBorders>
            <w:shd w:val="clear" w:color="000000" w:fill="FFFFFF"/>
            <w:noWrap/>
            <w:vAlign w:val="bottom"/>
            <w:hideMark/>
          </w:tcPr>
          <w:p w14:paraId="5EFF3B59"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$ 16.39 </w:t>
            </w:r>
          </w:p>
        </w:tc>
        <w:tc>
          <w:tcPr>
            <w:tcW w:w="920" w:type="dxa"/>
            <w:tcBorders>
              <w:top w:val="nil"/>
              <w:left w:val="nil"/>
              <w:bottom w:val="nil"/>
              <w:right w:val="single" w:sz="8" w:space="0" w:color="auto"/>
            </w:tcBorders>
            <w:shd w:val="clear" w:color="000000" w:fill="FFFFFF"/>
            <w:noWrap/>
            <w:vAlign w:val="bottom"/>
            <w:hideMark/>
          </w:tcPr>
          <w:p w14:paraId="0094AEFC"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w:t>
            </w:r>
            <w:proofErr w:type="gramStart"/>
            <w:r w:rsidRPr="00F85253">
              <w:rPr>
                <w:rFonts w:ascii="Arial" w:eastAsia="Times New Roman" w:hAnsi="Arial" w:cs="Arial"/>
                <w:b/>
                <w:bCs/>
                <w:sz w:val="20"/>
                <w:szCs w:val="20"/>
                <w:lang w:val="es-EC" w:eastAsia="es-EC"/>
              </w:rPr>
              <w:t>$  23.22</w:t>
            </w:r>
            <w:proofErr w:type="gramEnd"/>
            <w:r w:rsidRPr="00F85253">
              <w:rPr>
                <w:rFonts w:ascii="Arial" w:eastAsia="Times New Roman" w:hAnsi="Arial" w:cs="Arial"/>
                <w:b/>
                <w:bCs/>
                <w:sz w:val="20"/>
                <w:szCs w:val="20"/>
                <w:lang w:val="es-EC" w:eastAsia="es-EC"/>
              </w:rPr>
              <w:t xml:space="preserve"> </w:t>
            </w:r>
          </w:p>
        </w:tc>
        <w:tc>
          <w:tcPr>
            <w:tcW w:w="780" w:type="dxa"/>
            <w:tcBorders>
              <w:top w:val="nil"/>
              <w:left w:val="nil"/>
              <w:bottom w:val="nil"/>
              <w:right w:val="nil"/>
            </w:tcBorders>
            <w:shd w:val="clear" w:color="000000" w:fill="FFFFFF"/>
            <w:noWrap/>
            <w:vAlign w:val="bottom"/>
            <w:hideMark/>
          </w:tcPr>
          <w:p w14:paraId="6309B15E"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$27.32 </w:t>
            </w:r>
          </w:p>
        </w:tc>
        <w:tc>
          <w:tcPr>
            <w:tcW w:w="780" w:type="dxa"/>
            <w:tcBorders>
              <w:top w:val="nil"/>
              <w:left w:val="nil"/>
              <w:bottom w:val="nil"/>
              <w:right w:val="nil"/>
            </w:tcBorders>
            <w:shd w:val="clear" w:color="000000" w:fill="FFFFFF"/>
            <w:noWrap/>
            <w:vAlign w:val="bottom"/>
            <w:hideMark/>
          </w:tcPr>
          <w:p w14:paraId="05E6495B"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$29.92 </w:t>
            </w:r>
          </w:p>
        </w:tc>
        <w:tc>
          <w:tcPr>
            <w:tcW w:w="780" w:type="dxa"/>
            <w:tcBorders>
              <w:top w:val="nil"/>
              <w:left w:val="nil"/>
              <w:bottom w:val="nil"/>
              <w:right w:val="nil"/>
            </w:tcBorders>
            <w:shd w:val="clear" w:color="000000" w:fill="FFFFFF"/>
            <w:noWrap/>
            <w:vAlign w:val="bottom"/>
            <w:hideMark/>
          </w:tcPr>
          <w:p w14:paraId="6E98DDB4"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$31.58 </w:t>
            </w:r>
          </w:p>
        </w:tc>
        <w:tc>
          <w:tcPr>
            <w:tcW w:w="780" w:type="dxa"/>
            <w:tcBorders>
              <w:top w:val="nil"/>
              <w:left w:val="nil"/>
              <w:bottom w:val="nil"/>
              <w:right w:val="nil"/>
            </w:tcBorders>
            <w:shd w:val="clear" w:color="000000" w:fill="FFFFFF"/>
            <w:noWrap/>
            <w:vAlign w:val="bottom"/>
            <w:hideMark/>
          </w:tcPr>
          <w:p w14:paraId="797E44B0"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$34.31 </w:t>
            </w:r>
          </w:p>
        </w:tc>
        <w:tc>
          <w:tcPr>
            <w:tcW w:w="780" w:type="dxa"/>
            <w:tcBorders>
              <w:top w:val="nil"/>
              <w:left w:val="nil"/>
              <w:bottom w:val="nil"/>
              <w:right w:val="nil"/>
            </w:tcBorders>
            <w:shd w:val="clear" w:color="000000" w:fill="FFFFFF"/>
            <w:noWrap/>
            <w:vAlign w:val="bottom"/>
            <w:hideMark/>
          </w:tcPr>
          <w:p w14:paraId="7C1E0F57"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$38.75 </w:t>
            </w:r>
          </w:p>
        </w:tc>
        <w:tc>
          <w:tcPr>
            <w:tcW w:w="1060" w:type="dxa"/>
            <w:tcBorders>
              <w:top w:val="nil"/>
              <w:left w:val="nil"/>
              <w:bottom w:val="nil"/>
              <w:right w:val="single" w:sz="8" w:space="0" w:color="auto"/>
            </w:tcBorders>
            <w:shd w:val="clear" w:color="000000" w:fill="FFFFFF"/>
            <w:noWrap/>
            <w:vAlign w:val="bottom"/>
            <w:hideMark/>
          </w:tcPr>
          <w:p w14:paraId="283F831B"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45.97 </w:t>
            </w:r>
          </w:p>
        </w:tc>
      </w:tr>
      <w:tr w:rsidR="00207185" w:rsidRPr="00F85253" w14:paraId="652BC559" w14:textId="77777777" w:rsidTr="00207185">
        <w:trPr>
          <w:trHeight w:val="255"/>
        </w:trPr>
        <w:tc>
          <w:tcPr>
            <w:tcW w:w="4693" w:type="dxa"/>
            <w:tcBorders>
              <w:top w:val="nil"/>
              <w:left w:val="single" w:sz="8" w:space="0" w:color="auto"/>
              <w:bottom w:val="nil"/>
              <w:right w:val="nil"/>
            </w:tcBorders>
            <w:shd w:val="clear" w:color="000000" w:fill="FFFFFF"/>
            <w:noWrap/>
            <w:vAlign w:val="bottom"/>
            <w:hideMark/>
          </w:tcPr>
          <w:p w14:paraId="2760FD17" w14:textId="77777777" w:rsidR="00207185" w:rsidRPr="00F85253" w:rsidRDefault="00207185" w:rsidP="00207185">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1167" w:type="dxa"/>
            <w:tcBorders>
              <w:top w:val="nil"/>
              <w:left w:val="nil"/>
              <w:bottom w:val="nil"/>
              <w:right w:val="nil"/>
            </w:tcBorders>
            <w:shd w:val="clear" w:color="000000" w:fill="FFFFFF"/>
            <w:noWrap/>
            <w:vAlign w:val="bottom"/>
            <w:hideMark/>
          </w:tcPr>
          <w:p w14:paraId="4EDA1E91"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w:t>
            </w:r>
          </w:p>
        </w:tc>
        <w:tc>
          <w:tcPr>
            <w:tcW w:w="880" w:type="dxa"/>
            <w:tcBorders>
              <w:top w:val="nil"/>
              <w:left w:val="single" w:sz="8" w:space="0" w:color="auto"/>
              <w:bottom w:val="nil"/>
              <w:right w:val="nil"/>
            </w:tcBorders>
            <w:shd w:val="clear" w:color="000000" w:fill="FFFFFF"/>
            <w:noWrap/>
            <w:vAlign w:val="bottom"/>
            <w:hideMark/>
          </w:tcPr>
          <w:p w14:paraId="20D377E5"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w:t>
            </w:r>
          </w:p>
        </w:tc>
        <w:tc>
          <w:tcPr>
            <w:tcW w:w="940" w:type="dxa"/>
            <w:tcBorders>
              <w:top w:val="nil"/>
              <w:left w:val="nil"/>
              <w:bottom w:val="nil"/>
              <w:right w:val="nil"/>
            </w:tcBorders>
            <w:shd w:val="clear" w:color="000000" w:fill="FFFFFF"/>
            <w:noWrap/>
            <w:vAlign w:val="bottom"/>
            <w:hideMark/>
          </w:tcPr>
          <w:p w14:paraId="6BAB5026"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880" w:type="dxa"/>
            <w:tcBorders>
              <w:top w:val="nil"/>
              <w:left w:val="nil"/>
              <w:bottom w:val="nil"/>
              <w:right w:val="nil"/>
            </w:tcBorders>
            <w:shd w:val="clear" w:color="000000" w:fill="FFFFFF"/>
            <w:noWrap/>
            <w:vAlign w:val="bottom"/>
            <w:hideMark/>
          </w:tcPr>
          <w:p w14:paraId="262EB858"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920" w:type="dxa"/>
            <w:tcBorders>
              <w:top w:val="nil"/>
              <w:left w:val="nil"/>
              <w:bottom w:val="nil"/>
              <w:right w:val="single" w:sz="8" w:space="0" w:color="auto"/>
            </w:tcBorders>
            <w:shd w:val="clear" w:color="000000" w:fill="FFFFFF"/>
            <w:noWrap/>
            <w:vAlign w:val="bottom"/>
            <w:hideMark/>
          </w:tcPr>
          <w:p w14:paraId="6962C93B"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0DCEBE4B"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4F66FF43"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3D5B9A23"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7E3500A9"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52674C54"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1060" w:type="dxa"/>
            <w:tcBorders>
              <w:top w:val="nil"/>
              <w:left w:val="nil"/>
              <w:bottom w:val="nil"/>
              <w:right w:val="single" w:sz="8" w:space="0" w:color="auto"/>
            </w:tcBorders>
            <w:shd w:val="clear" w:color="000000" w:fill="FFFFFF"/>
            <w:noWrap/>
            <w:vAlign w:val="bottom"/>
            <w:hideMark/>
          </w:tcPr>
          <w:p w14:paraId="5FE812F2"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r>
      <w:tr w:rsidR="00207185" w:rsidRPr="00F85253" w14:paraId="0AD9E2C9" w14:textId="77777777" w:rsidTr="00207185">
        <w:trPr>
          <w:trHeight w:val="255"/>
        </w:trPr>
        <w:tc>
          <w:tcPr>
            <w:tcW w:w="4693" w:type="dxa"/>
            <w:tcBorders>
              <w:top w:val="nil"/>
              <w:left w:val="single" w:sz="8" w:space="0" w:color="auto"/>
              <w:bottom w:val="nil"/>
              <w:right w:val="nil"/>
            </w:tcBorders>
            <w:shd w:val="clear" w:color="000000" w:fill="FFFFFF"/>
            <w:noWrap/>
            <w:vAlign w:val="bottom"/>
            <w:hideMark/>
          </w:tcPr>
          <w:p w14:paraId="5B3ED5B3" w14:textId="77777777" w:rsidR="00207185" w:rsidRPr="00F85253" w:rsidRDefault="00207185" w:rsidP="00207185">
            <w:pPr>
              <w:spacing w:after="0" w:line="240" w:lineRule="auto"/>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Costes Económicos</w:t>
            </w:r>
          </w:p>
        </w:tc>
        <w:tc>
          <w:tcPr>
            <w:tcW w:w="1167" w:type="dxa"/>
            <w:tcBorders>
              <w:top w:val="nil"/>
              <w:left w:val="nil"/>
              <w:bottom w:val="nil"/>
              <w:right w:val="nil"/>
            </w:tcBorders>
            <w:shd w:val="clear" w:color="000000" w:fill="FFFFFF"/>
            <w:noWrap/>
            <w:vAlign w:val="bottom"/>
            <w:hideMark/>
          </w:tcPr>
          <w:p w14:paraId="14992339"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w:t>
            </w:r>
          </w:p>
        </w:tc>
        <w:tc>
          <w:tcPr>
            <w:tcW w:w="880" w:type="dxa"/>
            <w:tcBorders>
              <w:top w:val="nil"/>
              <w:left w:val="single" w:sz="8" w:space="0" w:color="auto"/>
              <w:bottom w:val="nil"/>
              <w:right w:val="nil"/>
            </w:tcBorders>
            <w:shd w:val="clear" w:color="000000" w:fill="FFFFFF"/>
            <w:noWrap/>
            <w:vAlign w:val="bottom"/>
            <w:hideMark/>
          </w:tcPr>
          <w:p w14:paraId="51E90A76"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w:t>
            </w:r>
          </w:p>
        </w:tc>
        <w:tc>
          <w:tcPr>
            <w:tcW w:w="940" w:type="dxa"/>
            <w:tcBorders>
              <w:top w:val="nil"/>
              <w:left w:val="nil"/>
              <w:bottom w:val="nil"/>
              <w:right w:val="nil"/>
            </w:tcBorders>
            <w:shd w:val="clear" w:color="000000" w:fill="FFFFFF"/>
            <w:noWrap/>
            <w:vAlign w:val="bottom"/>
            <w:hideMark/>
          </w:tcPr>
          <w:p w14:paraId="74433904"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880" w:type="dxa"/>
            <w:tcBorders>
              <w:top w:val="nil"/>
              <w:left w:val="nil"/>
              <w:bottom w:val="nil"/>
              <w:right w:val="nil"/>
            </w:tcBorders>
            <w:shd w:val="clear" w:color="000000" w:fill="FFFFFF"/>
            <w:noWrap/>
            <w:vAlign w:val="bottom"/>
            <w:hideMark/>
          </w:tcPr>
          <w:p w14:paraId="51EF3AB9"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920" w:type="dxa"/>
            <w:tcBorders>
              <w:top w:val="nil"/>
              <w:left w:val="nil"/>
              <w:bottom w:val="nil"/>
              <w:right w:val="single" w:sz="8" w:space="0" w:color="auto"/>
            </w:tcBorders>
            <w:shd w:val="clear" w:color="000000" w:fill="FFFFFF"/>
            <w:noWrap/>
            <w:vAlign w:val="bottom"/>
            <w:hideMark/>
          </w:tcPr>
          <w:p w14:paraId="61ACB72D"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39FC2FBC"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1AC018D7"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5685A5E7"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603A78CA"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3E38D079"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1060" w:type="dxa"/>
            <w:tcBorders>
              <w:top w:val="nil"/>
              <w:left w:val="nil"/>
              <w:bottom w:val="nil"/>
              <w:right w:val="single" w:sz="8" w:space="0" w:color="auto"/>
            </w:tcBorders>
            <w:shd w:val="clear" w:color="000000" w:fill="FFFFFF"/>
            <w:noWrap/>
            <w:vAlign w:val="bottom"/>
            <w:hideMark/>
          </w:tcPr>
          <w:p w14:paraId="24A28BCC"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r>
      <w:tr w:rsidR="00207185" w:rsidRPr="00F85253" w14:paraId="66935657" w14:textId="77777777" w:rsidTr="00207185">
        <w:trPr>
          <w:trHeight w:val="255"/>
        </w:trPr>
        <w:tc>
          <w:tcPr>
            <w:tcW w:w="4693" w:type="dxa"/>
            <w:tcBorders>
              <w:top w:val="nil"/>
              <w:left w:val="single" w:sz="8" w:space="0" w:color="auto"/>
              <w:bottom w:val="nil"/>
              <w:right w:val="nil"/>
            </w:tcBorders>
            <w:shd w:val="clear" w:color="000000" w:fill="FFFFFF"/>
            <w:noWrap/>
            <w:vAlign w:val="bottom"/>
            <w:hideMark/>
          </w:tcPr>
          <w:p w14:paraId="63DDEC0B" w14:textId="77777777" w:rsidR="00207185" w:rsidRPr="00F85253" w:rsidRDefault="00207185" w:rsidP="00207185">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CAPEX</w:t>
            </w:r>
          </w:p>
        </w:tc>
        <w:tc>
          <w:tcPr>
            <w:tcW w:w="1167" w:type="dxa"/>
            <w:tcBorders>
              <w:top w:val="nil"/>
              <w:left w:val="nil"/>
              <w:bottom w:val="nil"/>
              <w:right w:val="nil"/>
            </w:tcBorders>
            <w:shd w:val="clear" w:color="000000" w:fill="FFFFFF"/>
            <w:noWrap/>
            <w:vAlign w:val="bottom"/>
            <w:hideMark/>
          </w:tcPr>
          <w:p w14:paraId="53B55695"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61.75 </w:t>
            </w:r>
          </w:p>
        </w:tc>
        <w:tc>
          <w:tcPr>
            <w:tcW w:w="880" w:type="dxa"/>
            <w:tcBorders>
              <w:top w:val="nil"/>
              <w:left w:val="single" w:sz="8" w:space="0" w:color="auto"/>
              <w:bottom w:val="nil"/>
              <w:right w:val="nil"/>
            </w:tcBorders>
            <w:shd w:val="clear" w:color="000000" w:fill="FFFFFF"/>
            <w:noWrap/>
            <w:vAlign w:val="bottom"/>
            <w:hideMark/>
          </w:tcPr>
          <w:p w14:paraId="6EC7843E"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2.32 </w:t>
            </w:r>
          </w:p>
        </w:tc>
        <w:tc>
          <w:tcPr>
            <w:tcW w:w="940" w:type="dxa"/>
            <w:tcBorders>
              <w:top w:val="nil"/>
              <w:left w:val="nil"/>
              <w:bottom w:val="nil"/>
              <w:right w:val="nil"/>
            </w:tcBorders>
            <w:shd w:val="clear" w:color="000000" w:fill="FFFFFF"/>
            <w:noWrap/>
            <w:vAlign w:val="bottom"/>
            <w:hideMark/>
          </w:tcPr>
          <w:p w14:paraId="772930DC"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w:t>
            </w:r>
            <w:proofErr w:type="gramStart"/>
            <w:r w:rsidRPr="00F85253">
              <w:rPr>
                <w:rFonts w:ascii="Arial" w:eastAsia="Times New Roman" w:hAnsi="Arial" w:cs="Arial"/>
                <w:sz w:val="20"/>
                <w:szCs w:val="20"/>
                <w:lang w:val="es-EC" w:eastAsia="es-EC"/>
              </w:rPr>
              <w:t>$  33.69</w:t>
            </w:r>
            <w:proofErr w:type="gramEnd"/>
            <w:r w:rsidRPr="00F85253">
              <w:rPr>
                <w:rFonts w:ascii="Arial" w:eastAsia="Times New Roman" w:hAnsi="Arial" w:cs="Arial"/>
                <w:sz w:val="20"/>
                <w:szCs w:val="20"/>
                <w:lang w:val="es-EC" w:eastAsia="es-EC"/>
              </w:rPr>
              <w:t xml:space="preserve"> </w:t>
            </w:r>
          </w:p>
        </w:tc>
        <w:tc>
          <w:tcPr>
            <w:tcW w:w="880" w:type="dxa"/>
            <w:tcBorders>
              <w:top w:val="nil"/>
              <w:left w:val="nil"/>
              <w:bottom w:val="nil"/>
              <w:right w:val="nil"/>
            </w:tcBorders>
            <w:shd w:val="clear" w:color="000000" w:fill="FFFFFF"/>
            <w:noWrap/>
            <w:vAlign w:val="bottom"/>
            <w:hideMark/>
          </w:tcPr>
          <w:p w14:paraId="02446F52"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$ 18.26 </w:t>
            </w:r>
          </w:p>
        </w:tc>
        <w:tc>
          <w:tcPr>
            <w:tcW w:w="920" w:type="dxa"/>
            <w:tcBorders>
              <w:top w:val="nil"/>
              <w:left w:val="nil"/>
              <w:bottom w:val="nil"/>
              <w:right w:val="single" w:sz="8" w:space="0" w:color="auto"/>
            </w:tcBorders>
            <w:shd w:val="clear" w:color="000000" w:fill="FFFFFF"/>
            <w:noWrap/>
            <w:vAlign w:val="bottom"/>
            <w:hideMark/>
          </w:tcPr>
          <w:p w14:paraId="166F58F6"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7.47 </w:t>
            </w:r>
          </w:p>
        </w:tc>
        <w:tc>
          <w:tcPr>
            <w:tcW w:w="780" w:type="dxa"/>
            <w:tcBorders>
              <w:top w:val="nil"/>
              <w:left w:val="nil"/>
              <w:bottom w:val="nil"/>
              <w:right w:val="nil"/>
            </w:tcBorders>
            <w:shd w:val="clear" w:color="000000" w:fill="FFFFFF"/>
            <w:noWrap/>
            <w:vAlign w:val="bottom"/>
            <w:hideMark/>
          </w:tcPr>
          <w:p w14:paraId="48B48360"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780" w:type="dxa"/>
            <w:tcBorders>
              <w:top w:val="nil"/>
              <w:left w:val="nil"/>
              <w:bottom w:val="nil"/>
              <w:right w:val="nil"/>
            </w:tcBorders>
            <w:shd w:val="clear" w:color="000000" w:fill="FFFFFF"/>
            <w:noWrap/>
            <w:vAlign w:val="bottom"/>
            <w:hideMark/>
          </w:tcPr>
          <w:p w14:paraId="5020D895"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780" w:type="dxa"/>
            <w:tcBorders>
              <w:top w:val="nil"/>
              <w:left w:val="nil"/>
              <w:bottom w:val="nil"/>
              <w:right w:val="nil"/>
            </w:tcBorders>
            <w:shd w:val="clear" w:color="000000" w:fill="FFFFFF"/>
            <w:noWrap/>
            <w:vAlign w:val="bottom"/>
            <w:hideMark/>
          </w:tcPr>
          <w:p w14:paraId="1721BCC0"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780" w:type="dxa"/>
            <w:tcBorders>
              <w:top w:val="nil"/>
              <w:left w:val="nil"/>
              <w:bottom w:val="nil"/>
              <w:right w:val="nil"/>
            </w:tcBorders>
            <w:shd w:val="clear" w:color="000000" w:fill="FFFFFF"/>
            <w:noWrap/>
            <w:vAlign w:val="bottom"/>
            <w:hideMark/>
          </w:tcPr>
          <w:p w14:paraId="0452C574"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780" w:type="dxa"/>
            <w:tcBorders>
              <w:top w:val="nil"/>
              <w:left w:val="nil"/>
              <w:bottom w:val="nil"/>
              <w:right w:val="nil"/>
            </w:tcBorders>
            <w:shd w:val="clear" w:color="000000" w:fill="FFFFFF"/>
            <w:noWrap/>
            <w:vAlign w:val="bottom"/>
            <w:hideMark/>
          </w:tcPr>
          <w:p w14:paraId="766DB35A"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1060" w:type="dxa"/>
            <w:tcBorders>
              <w:top w:val="nil"/>
              <w:left w:val="nil"/>
              <w:bottom w:val="nil"/>
              <w:right w:val="single" w:sz="8" w:space="0" w:color="auto"/>
            </w:tcBorders>
            <w:shd w:val="clear" w:color="000000" w:fill="FFFFFF"/>
            <w:noWrap/>
            <w:vAlign w:val="bottom"/>
            <w:hideMark/>
          </w:tcPr>
          <w:p w14:paraId="69867715"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r>
      <w:tr w:rsidR="00207185" w:rsidRPr="00F85253" w14:paraId="5A8EDD57" w14:textId="77777777" w:rsidTr="00207185">
        <w:trPr>
          <w:trHeight w:val="255"/>
        </w:trPr>
        <w:tc>
          <w:tcPr>
            <w:tcW w:w="4693" w:type="dxa"/>
            <w:tcBorders>
              <w:top w:val="nil"/>
              <w:left w:val="single" w:sz="8" w:space="0" w:color="auto"/>
              <w:bottom w:val="nil"/>
              <w:right w:val="nil"/>
            </w:tcBorders>
            <w:shd w:val="clear" w:color="000000" w:fill="FFFFFF"/>
            <w:noWrap/>
            <w:vAlign w:val="bottom"/>
            <w:hideMark/>
          </w:tcPr>
          <w:p w14:paraId="3D642F28" w14:textId="77777777" w:rsidR="00207185" w:rsidRPr="00F85253" w:rsidRDefault="00207185" w:rsidP="00207185">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OPEX</w:t>
            </w:r>
          </w:p>
        </w:tc>
        <w:tc>
          <w:tcPr>
            <w:tcW w:w="1167" w:type="dxa"/>
            <w:tcBorders>
              <w:top w:val="nil"/>
              <w:left w:val="nil"/>
              <w:bottom w:val="nil"/>
              <w:right w:val="nil"/>
            </w:tcBorders>
            <w:shd w:val="clear" w:color="000000" w:fill="FFFFFF"/>
            <w:noWrap/>
            <w:vAlign w:val="bottom"/>
            <w:hideMark/>
          </w:tcPr>
          <w:p w14:paraId="4771EC6B"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61.99 </w:t>
            </w:r>
          </w:p>
        </w:tc>
        <w:tc>
          <w:tcPr>
            <w:tcW w:w="880" w:type="dxa"/>
            <w:tcBorders>
              <w:top w:val="nil"/>
              <w:left w:val="single" w:sz="8" w:space="0" w:color="auto"/>
              <w:bottom w:val="nil"/>
              <w:right w:val="nil"/>
            </w:tcBorders>
            <w:shd w:val="clear" w:color="000000" w:fill="FFFFFF"/>
            <w:noWrap/>
            <w:vAlign w:val="bottom"/>
            <w:hideMark/>
          </w:tcPr>
          <w:p w14:paraId="7887AB5F"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0.27 </w:t>
            </w:r>
          </w:p>
        </w:tc>
        <w:tc>
          <w:tcPr>
            <w:tcW w:w="940" w:type="dxa"/>
            <w:tcBorders>
              <w:top w:val="nil"/>
              <w:left w:val="nil"/>
              <w:bottom w:val="nil"/>
              <w:right w:val="nil"/>
            </w:tcBorders>
            <w:shd w:val="clear" w:color="000000" w:fill="FFFFFF"/>
            <w:noWrap/>
            <w:vAlign w:val="bottom"/>
            <w:hideMark/>
          </w:tcPr>
          <w:p w14:paraId="07C647F0"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4.27 </w:t>
            </w:r>
          </w:p>
        </w:tc>
        <w:tc>
          <w:tcPr>
            <w:tcW w:w="880" w:type="dxa"/>
            <w:tcBorders>
              <w:top w:val="nil"/>
              <w:left w:val="nil"/>
              <w:bottom w:val="nil"/>
              <w:right w:val="nil"/>
            </w:tcBorders>
            <w:shd w:val="clear" w:color="000000" w:fill="FFFFFF"/>
            <w:noWrap/>
            <w:vAlign w:val="bottom"/>
            <w:hideMark/>
          </w:tcPr>
          <w:p w14:paraId="5CC26F5E"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6.43 </w:t>
            </w:r>
          </w:p>
        </w:tc>
        <w:tc>
          <w:tcPr>
            <w:tcW w:w="920" w:type="dxa"/>
            <w:tcBorders>
              <w:top w:val="nil"/>
              <w:left w:val="nil"/>
              <w:bottom w:val="nil"/>
              <w:right w:val="single" w:sz="8" w:space="0" w:color="auto"/>
            </w:tcBorders>
            <w:shd w:val="clear" w:color="000000" w:fill="FFFFFF"/>
            <w:noWrap/>
            <w:vAlign w:val="bottom"/>
            <w:hideMark/>
          </w:tcPr>
          <w:p w14:paraId="2A37574B"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7.29 </w:t>
            </w:r>
          </w:p>
        </w:tc>
        <w:tc>
          <w:tcPr>
            <w:tcW w:w="780" w:type="dxa"/>
            <w:tcBorders>
              <w:top w:val="nil"/>
              <w:left w:val="nil"/>
              <w:bottom w:val="nil"/>
              <w:right w:val="nil"/>
            </w:tcBorders>
            <w:shd w:val="clear" w:color="000000" w:fill="FFFFFF"/>
            <w:noWrap/>
            <w:vAlign w:val="bottom"/>
            <w:hideMark/>
          </w:tcPr>
          <w:p w14:paraId="281CB289"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$ 7.29 </w:t>
            </w:r>
          </w:p>
        </w:tc>
        <w:tc>
          <w:tcPr>
            <w:tcW w:w="780" w:type="dxa"/>
            <w:tcBorders>
              <w:top w:val="nil"/>
              <w:left w:val="nil"/>
              <w:bottom w:val="nil"/>
              <w:right w:val="nil"/>
            </w:tcBorders>
            <w:shd w:val="clear" w:color="000000" w:fill="FFFFFF"/>
            <w:noWrap/>
            <w:vAlign w:val="bottom"/>
            <w:hideMark/>
          </w:tcPr>
          <w:p w14:paraId="6FFA06E3"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$ 7.29 </w:t>
            </w:r>
          </w:p>
        </w:tc>
        <w:tc>
          <w:tcPr>
            <w:tcW w:w="780" w:type="dxa"/>
            <w:tcBorders>
              <w:top w:val="nil"/>
              <w:left w:val="nil"/>
              <w:bottom w:val="nil"/>
              <w:right w:val="nil"/>
            </w:tcBorders>
            <w:shd w:val="clear" w:color="000000" w:fill="FFFFFF"/>
            <w:noWrap/>
            <w:vAlign w:val="bottom"/>
            <w:hideMark/>
          </w:tcPr>
          <w:p w14:paraId="65E7197D"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$ 7.29 </w:t>
            </w:r>
          </w:p>
        </w:tc>
        <w:tc>
          <w:tcPr>
            <w:tcW w:w="780" w:type="dxa"/>
            <w:tcBorders>
              <w:top w:val="nil"/>
              <w:left w:val="nil"/>
              <w:bottom w:val="nil"/>
              <w:right w:val="nil"/>
            </w:tcBorders>
            <w:shd w:val="clear" w:color="000000" w:fill="FFFFFF"/>
            <w:noWrap/>
            <w:vAlign w:val="bottom"/>
            <w:hideMark/>
          </w:tcPr>
          <w:p w14:paraId="6DC9C752"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$ 7.29 </w:t>
            </w:r>
          </w:p>
        </w:tc>
        <w:tc>
          <w:tcPr>
            <w:tcW w:w="780" w:type="dxa"/>
            <w:tcBorders>
              <w:top w:val="nil"/>
              <w:left w:val="nil"/>
              <w:bottom w:val="nil"/>
              <w:right w:val="nil"/>
            </w:tcBorders>
            <w:shd w:val="clear" w:color="000000" w:fill="FFFFFF"/>
            <w:noWrap/>
            <w:vAlign w:val="bottom"/>
            <w:hideMark/>
          </w:tcPr>
          <w:p w14:paraId="70F078BE"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$ 7.29 </w:t>
            </w:r>
          </w:p>
        </w:tc>
        <w:tc>
          <w:tcPr>
            <w:tcW w:w="1060" w:type="dxa"/>
            <w:tcBorders>
              <w:top w:val="nil"/>
              <w:left w:val="nil"/>
              <w:bottom w:val="nil"/>
              <w:right w:val="single" w:sz="8" w:space="0" w:color="auto"/>
            </w:tcBorders>
            <w:shd w:val="clear" w:color="000000" w:fill="FFFFFF"/>
            <w:noWrap/>
            <w:vAlign w:val="bottom"/>
            <w:hideMark/>
          </w:tcPr>
          <w:p w14:paraId="5454F6DA"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7.29 </w:t>
            </w:r>
          </w:p>
        </w:tc>
      </w:tr>
      <w:tr w:rsidR="00207185" w:rsidRPr="00F85253" w14:paraId="6AC21720" w14:textId="77777777" w:rsidTr="00207185">
        <w:trPr>
          <w:trHeight w:val="255"/>
        </w:trPr>
        <w:tc>
          <w:tcPr>
            <w:tcW w:w="4693" w:type="dxa"/>
            <w:tcBorders>
              <w:top w:val="nil"/>
              <w:left w:val="single" w:sz="8" w:space="0" w:color="auto"/>
              <w:bottom w:val="nil"/>
              <w:right w:val="nil"/>
            </w:tcBorders>
            <w:shd w:val="clear" w:color="000000" w:fill="FFFFFF"/>
            <w:noWrap/>
            <w:vAlign w:val="bottom"/>
            <w:hideMark/>
          </w:tcPr>
          <w:p w14:paraId="35CE2BC5" w14:textId="77777777" w:rsidR="00207185" w:rsidRPr="00F85253" w:rsidRDefault="00207185" w:rsidP="00207185">
            <w:pPr>
              <w:spacing w:after="0" w:line="240" w:lineRule="auto"/>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Subtotal OPEX y CAPEX</w:t>
            </w:r>
          </w:p>
        </w:tc>
        <w:tc>
          <w:tcPr>
            <w:tcW w:w="1167" w:type="dxa"/>
            <w:tcBorders>
              <w:top w:val="nil"/>
              <w:left w:val="nil"/>
              <w:bottom w:val="nil"/>
              <w:right w:val="nil"/>
            </w:tcBorders>
            <w:shd w:val="clear" w:color="000000" w:fill="FFFFFF"/>
            <w:noWrap/>
            <w:vAlign w:val="bottom"/>
            <w:hideMark/>
          </w:tcPr>
          <w:p w14:paraId="41720440"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w:t>
            </w:r>
            <w:proofErr w:type="gramStart"/>
            <w:r w:rsidRPr="00F85253">
              <w:rPr>
                <w:rFonts w:ascii="Arial" w:eastAsia="Times New Roman" w:hAnsi="Arial" w:cs="Arial"/>
                <w:b/>
                <w:bCs/>
                <w:sz w:val="20"/>
                <w:szCs w:val="20"/>
                <w:lang w:val="es-EC" w:eastAsia="es-EC"/>
              </w:rPr>
              <w:t>$  123.74</w:t>
            </w:r>
            <w:proofErr w:type="gramEnd"/>
            <w:r w:rsidRPr="00F85253">
              <w:rPr>
                <w:rFonts w:ascii="Arial" w:eastAsia="Times New Roman" w:hAnsi="Arial" w:cs="Arial"/>
                <w:b/>
                <w:bCs/>
                <w:sz w:val="20"/>
                <w:szCs w:val="20"/>
                <w:lang w:val="es-EC" w:eastAsia="es-EC"/>
              </w:rPr>
              <w:t xml:space="preserve"> </w:t>
            </w:r>
          </w:p>
        </w:tc>
        <w:tc>
          <w:tcPr>
            <w:tcW w:w="880" w:type="dxa"/>
            <w:tcBorders>
              <w:top w:val="nil"/>
              <w:left w:val="single" w:sz="8" w:space="0" w:color="auto"/>
              <w:bottom w:val="nil"/>
              <w:right w:val="nil"/>
            </w:tcBorders>
            <w:shd w:val="clear" w:color="000000" w:fill="FFFFFF"/>
            <w:noWrap/>
            <w:vAlign w:val="bottom"/>
            <w:hideMark/>
          </w:tcPr>
          <w:p w14:paraId="4E19E35D"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2.59 </w:t>
            </w:r>
          </w:p>
        </w:tc>
        <w:tc>
          <w:tcPr>
            <w:tcW w:w="940" w:type="dxa"/>
            <w:tcBorders>
              <w:top w:val="nil"/>
              <w:left w:val="nil"/>
              <w:bottom w:val="nil"/>
              <w:right w:val="nil"/>
            </w:tcBorders>
            <w:shd w:val="clear" w:color="000000" w:fill="FFFFFF"/>
            <w:noWrap/>
            <w:vAlign w:val="bottom"/>
            <w:hideMark/>
          </w:tcPr>
          <w:p w14:paraId="52345800"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w:t>
            </w:r>
            <w:proofErr w:type="gramStart"/>
            <w:r w:rsidRPr="00F85253">
              <w:rPr>
                <w:rFonts w:ascii="Arial" w:eastAsia="Times New Roman" w:hAnsi="Arial" w:cs="Arial"/>
                <w:b/>
                <w:bCs/>
                <w:sz w:val="20"/>
                <w:szCs w:val="20"/>
                <w:lang w:val="es-EC" w:eastAsia="es-EC"/>
              </w:rPr>
              <w:t>$  37.97</w:t>
            </w:r>
            <w:proofErr w:type="gramEnd"/>
            <w:r w:rsidRPr="00F85253">
              <w:rPr>
                <w:rFonts w:ascii="Arial" w:eastAsia="Times New Roman" w:hAnsi="Arial" w:cs="Arial"/>
                <w:b/>
                <w:bCs/>
                <w:sz w:val="20"/>
                <w:szCs w:val="20"/>
                <w:lang w:val="es-EC" w:eastAsia="es-EC"/>
              </w:rPr>
              <w:t xml:space="preserve"> </w:t>
            </w:r>
          </w:p>
        </w:tc>
        <w:tc>
          <w:tcPr>
            <w:tcW w:w="880" w:type="dxa"/>
            <w:tcBorders>
              <w:top w:val="nil"/>
              <w:left w:val="nil"/>
              <w:bottom w:val="nil"/>
              <w:right w:val="nil"/>
            </w:tcBorders>
            <w:shd w:val="clear" w:color="000000" w:fill="FFFFFF"/>
            <w:noWrap/>
            <w:vAlign w:val="bottom"/>
            <w:hideMark/>
          </w:tcPr>
          <w:p w14:paraId="3D20E373"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$ 24.69 </w:t>
            </w:r>
          </w:p>
        </w:tc>
        <w:tc>
          <w:tcPr>
            <w:tcW w:w="920" w:type="dxa"/>
            <w:tcBorders>
              <w:top w:val="nil"/>
              <w:left w:val="nil"/>
              <w:bottom w:val="nil"/>
              <w:right w:val="single" w:sz="8" w:space="0" w:color="auto"/>
            </w:tcBorders>
            <w:shd w:val="clear" w:color="000000" w:fill="FFFFFF"/>
            <w:noWrap/>
            <w:vAlign w:val="bottom"/>
            <w:hideMark/>
          </w:tcPr>
          <w:p w14:paraId="31C27863"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w:t>
            </w:r>
            <w:proofErr w:type="gramStart"/>
            <w:r w:rsidRPr="00F85253">
              <w:rPr>
                <w:rFonts w:ascii="Arial" w:eastAsia="Times New Roman" w:hAnsi="Arial" w:cs="Arial"/>
                <w:b/>
                <w:bCs/>
                <w:sz w:val="20"/>
                <w:szCs w:val="20"/>
                <w:lang w:val="es-EC" w:eastAsia="es-EC"/>
              </w:rPr>
              <w:t>$  14.76</w:t>
            </w:r>
            <w:proofErr w:type="gramEnd"/>
            <w:r w:rsidRPr="00F85253">
              <w:rPr>
                <w:rFonts w:ascii="Arial" w:eastAsia="Times New Roman" w:hAnsi="Arial" w:cs="Arial"/>
                <w:b/>
                <w:bCs/>
                <w:sz w:val="20"/>
                <w:szCs w:val="20"/>
                <w:lang w:val="es-EC" w:eastAsia="es-EC"/>
              </w:rPr>
              <w:t xml:space="preserve"> </w:t>
            </w:r>
          </w:p>
        </w:tc>
        <w:tc>
          <w:tcPr>
            <w:tcW w:w="780" w:type="dxa"/>
            <w:tcBorders>
              <w:top w:val="nil"/>
              <w:left w:val="nil"/>
              <w:bottom w:val="nil"/>
              <w:right w:val="nil"/>
            </w:tcBorders>
            <w:shd w:val="clear" w:color="000000" w:fill="FFFFFF"/>
            <w:noWrap/>
            <w:vAlign w:val="bottom"/>
            <w:hideMark/>
          </w:tcPr>
          <w:p w14:paraId="0C913DFE"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$ 7.29 </w:t>
            </w:r>
          </w:p>
        </w:tc>
        <w:tc>
          <w:tcPr>
            <w:tcW w:w="780" w:type="dxa"/>
            <w:tcBorders>
              <w:top w:val="nil"/>
              <w:left w:val="nil"/>
              <w:bottom w:val="nil"/>
              <w:right w:val="nil"/>
            </w:tcBorders>
            <w:shd w:val="clear" w:color="000000" w:fill="FFFFFF"/>
            <w:noWrap/>
            <w:vAlign w:val="bottom"/>
            <w:hideMark/>
          </w:tcPr>
          <w:p w14:paraId="3B03EC73"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$ 7.29 </w:t>
            </w:r>
          </w:p>
        </w:tc>
        <w:tc>
          <w:tcPr>
            <w:tcW w:w="780" w:type="dxa"/>
            <w:tcBorders>
              <w:top w:val="nil"/>
              <w:left w:val="nil"/>
              <w:bottom w:val="nil"/>
              <w:right w:val="nil"/>
            </w:tcBorders>
            <w:shd w:val="clear" w:color="000000" w:fill="FFFFFF"/>
            <w:noWrap/>
            <w:vAlign w:val="bottom"/>
            <w:hideMark/>
          </w:tcPr>
          <w:p w14:paraId="2092D3F1"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$ 7.29 </w:t>
            </w:r>
          </w:p>
        </w:tc>
        <w:tc>
          <w:tcPr>
            <w:tcW w:w="780" w:type="dxa"/>
            <w:tcBorders>
              <w:top w:val="nil"/>
              <w:left w:val="nil"/>
              <w:bottom w:val="nil"/>
              <w:right w:val="nil"/>
            </w:tcBorders>
            <w:shd w:val="clear" w:color="000000" w:fill="FFFFFF"/>
            <w:noWrap/>
            <w:vAlign w:val="bottom"/>
            <w:hideMark/>
          </w:tcPr>
          <w:p w14:paraId="3BD98810"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$ 7.29 </w:t>
            </w:r>
          </w:p>
        </w:tc>
        <w:tc>
          <w:tcPr>
            <w:tcW w:w="780" w:type="dxa"/>
            <w:tcBorders>
              <w:top w:val="nil"/>
              <w:left w:val="nil"/>
              <w:bottom w:val="nil"/>
              <w:right w:val="nil"/>
            </w:tcBorders>
            <w:shd w:val="clear" w:color="000000" w:fill="FFFFFF"/>
            <w:noWrap/>
            <w:vAlign w:val="bottom"/>
            <w:hideMark/>
          </w:tcPr>
          <w:p w14:paraId="23459A8B"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$ 7.29 </w:t>
            </w:r>
          </w:p>
        </w:tc>
        <w:tc>
          <w:tcPr>
            <w:tcW w:w="1060" w:type="dxa"/>
            <w:tcBorders>
              <w:top w:val="nil"/>
              <w:left w:val="nil"/>
              <w:bottom w:val="nil"/>
              <w:right w:val="single" w:sz="8" w:space="0" w:color="auto"/>
            </w:tcBorders>
            <w:shd w:val="clear" w:color="000000" w:fill="FFFFFF"/>
            <w:noWrap/>
            <w:vAlign w:val="bottom"/>
            <w:hideMark/>
          </w:tcPr>
          <w:p w14:paraId="404679F9"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7.29 </w:t>
            </w:r>
          </w:p>
        </w:tc>
      </w:tr>
      <w:tr w:rsidR="00207185" w:rsidRPr="00F85253" w14:paraId="0D47591B" w14:textId="77777777" w:rsidTr="00207185">
        <w:trPr>
          <w:trHeight w:val="255"/>
        </w:trPr>
        <w:tc>
          <w:tcPr>
            <w:tcW w:w="4693" w:type="dxa"/>
            <w:tcBorders>
              <w:top w:val="nil"/>
              <w:left w:val="single" w:sz="8" w:space="0" w:color="auto"/>
              <w:bottom w:val="nil"/>
              <w:right w:val="nil"/>
            </w:tcBorders>
            <w:shd w:val="clear" w:color="000000" w:fill="FFFFFF"/>
            <w:noWrap/>
            <w:vAlign w:val="bottom"/>
            <w:hideMark/>
          </w:tcPr>
          <w:p w14:paraId="32FE2661" w14:textId="77777777" w:rsidR="00207185" w:rsidRPr="00F85253" w:rsidRDefault="00207185" w:rsidP="00207185">
            <w:pPr>
              <w:spacing w:after="0" w:line="240" w:lineRule="auto"/>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w:t>
            </w:r>
          </w:p>
        </w:tc>
        <w:tc>
          <w:tcPr>
            <w:tcW w:w="1167" w:type="dxa"/>
            <w:tcBorders>
              <w:top w:val="nil"/>
              <w:left w:val="nil"/>
              <w:bottom w:val="nil"/>
              <w:right w:val="nil"/>
            </w:tcBorders>
            <w:shd w:val="clear" w:color="000000" w:fill="FFFFFF"/>
            <w:noWrap/>
            <w:vAlign w:val="bottom"/>
            <w:hideMark/>
          </w:tcPr>
          <w:p w14:paraId="5B132576"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w:t>
            </w:r>
          </w:p>
        </w:tc>
        <w:tc>
          <w:tcPr>
            <w:tcW w:w="880" w:type="dxa"/>
            <w:tcBorders>
              <w:top w:val="nil"/>
              <w:left w:val="single" w:sz="8" w:space="0" w:color="auto"/>
              <w:bottom w:val="nil"/>
              <w:right w:val="nil"/>
            </w:tcBorders>
            <w:shd w:val="clear" w:color="000000" w:fill="FFFFFF"/>
            <w:noWrap/>
            <w:vAlign w:val="bottom"/>
            <w:hideMark/>
          </w:tcPr>
          <w:p w14:paraId="089111FD"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w:t>
            </w:r>
          </w:p>
        </w:tc>
        <w:tc>
          <w:tcPr>
            <w:tcW w:w="940" w:type="dxa"/>
            <w:tcBorders>
              <w:top w:val="nil"/>
              <w:left w:val="nil"/>
              <w:bottom w:val="nil"/>
              <w:right w:val="nil"/>
            </w:tcBorders>
            <w:shd w:val="clear" w:color="000000" w:fill="FFFFFF"/>
            <w:noWrap/>
            <w:vAlign w:val="bottom"/>
            <w:hideMark/>
          </w:tcPr>
          <w:p w14:paraId="406BBC86"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880" w:type="dxa"/>
            <w:tcBorders>
              <w:top w:val="nil"/>
              <w:left w:val="nil"/>
              <w:bottom w:val="nil"/>
              <w:right w:val="nil"/>
            </w:tcBorders>
            <w:shd w:val="clear" w:color="000000" w:fill="FFFFFF"/>
            <w:noWrap/>
            <w:vAlign w:val="bottom"/>
            <w:hideMark/>
          </w:tcPr>
          <w:p w14:paraId="002C4191"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920" w:type="dxa"/>
            <w:tcBorders>
              <w:top w:val="nil"/>
              <w:left w:val="nil"/>
              <w:bottom w:val="nil"/>
              <w:right w:val="single" w:sz="8" w:space="0" w:color="auto"/>
            </w:tcBorders>
            <w:shd w:val="clear" w:color="000000" w:fill="FFFFFF"/>
            <w:noWrap/>
            <w:vAlign w:val="bottom"/>
            <w:hideMark/>
          </w:tcPr>
          <w:p w14:paraId="3CDC05D5"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5FD89206"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1266C9A6"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0C529423"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5709CA58"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2DA484AF"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1060" w:type="dxa"/>
            <w:tcBorders>
              <w:top w:val="nil"/>
              <w:left w:val="nil"/>
              <w:bottom w:val="nil"/>
              <w:right w:val="single" w:sz="8" w:space="0" w:color="auto"/>
            </w:tcBorders>
            <w:shd w:val="clear" w:color="000000" w:fill="FFFFFF"/>
            <w:noWrap/>
            <w:vAlign w:val="bottom"/>
            <w:hideMark/>
          </w:tcPr>
          <w:p w14:paraId="1B830AF0"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r>
      <w:tr w:rsidR="00207185" w:rsidRPr="00F85253" w14:paraId="7AC0DA3B" w14:textId="77777777" w:rsidTr="00207185">
        <w:trPr>
          <w:trHeight w:val="270"/>
        </w:trPr>
        <w:tc>
          <w:tcPr>
            <w:tcW w:w="4693" w:type="dxa"/>
            <w:tcBorders>
              <w:top w:val="nil"/>
              <w:left w:val="single" w:sz="8" w:space="0" w:color="auto"/>
              <w:bottom w:val="single" w:sz="8" w:space="0" w:color="auto"/>
              <w:right w:val="nil"/>
            </w:tcBorders>
            <w:shd w:val="clear" w:color="000000" w:fill="FFFFFF"/>
            <w:noWrap/>
            <w:vAlign w:val="bottom"/>
            <w:hideMark/>
          </w:tcPr>
          <w:p w14:paraId="053211F7" w14:textId="77777777" w:rsidR="00207185" w:rsidRPr="00F85253" w:rsidRDefault="00207185" w:rsidP="00207185">
            <w:pPr>
              <w:spacing w:after="0" w:line="240" w:lineRule="auto"/>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Flujo Neto Generado</w:t>
            </w:r>
          </w:p>
        </w:tc>
        <w:tc>
          <w:tcPr>
            <w:tcW w:w="1167" w:type="dxa"/>
            <w:tcBorders>
              <w:top w:val="nil"/>
              <w:left w:val="nil"/>
              <w:bottom w:val="single" w:sz="8" w:space="0" w:color="auto"/>
              <w:right w:val="nil"/>
            </w:tcBorders>
            <w:shd w:val="clear" w:color="000000" w:fill="FFFFFF"/>
            <w:noWrap/>
            <w:vAlign w:val="bottom"/>
            <w:hideMark/>
          </w:tcPr>
          <w:p w14:paraId="6CE7EA33"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w:t>
            </w:r>
            <w:proofErr w:type="gramStart"/>
            <w:r w:rsidRPr="00F85253">
              <w:rPr>
                <w:rFonts w:ascii="Arial" w:eastAsia="Times New Roman" w:hAnsi="Arial" w:cs="Arial"/>
                <w:b/>
                <w:bCs/>
                <w:sz w:val="20"/>
                <w:szCs w:val="20"/>
                <w:lang w:val="es-EC" w:eastAsia="es-EC"/>
              </w:rPr>
              <w:t>$  123.72</w:t>
            </w:r>
            <w:proofErr w:type="gramEnd"/>
            <w:r w:rsidRPr="00F85253">
              <w:rPr>
                <w:rFonts w:ascii="Arial" w:eastAsia="Times New Roman" w:hAnsi="Arial" w:cs="Arial"/>
                <w:b/>
                <w:bCs/>
                <w:sz w:val="20"/>
                <w:szCs w:val="20"/>
                <w:lang w:val="es-EC" w:eastAsia="es-EC"/>
              </w:rPr>
              <w:t xml:space="preserve"> </w:t>
            </w:r>
          </w:p>
        </w:tc>
        <w:tc>
          <w:tcPr>
            <w:tcW w:w="880" w:type="dxa"/>
            <w:tcBorders>
              <w:top w:val="nil"/>
              <w:left w:val="single" w:sz="8" w:space="0" w:color="auto"/>
              <w:bottom w:val="single" w:sz="8" w:space="0" w:color="auto"/>
              <w:right w:val="nil"/>
            </w:tcBorders>
            <w:shd w:val="clear" w:color="000000" w:fill="FFFFFF"/>
            <w:noWrap/>
            <w:vAlign w:val="bottom"/>
            <w:hideMark/>
          </w:tcPr>
          <w:p w14:paraId="18108C95"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w:t>
            </w:r>
            <w:proofErr w:type="gramStart"/>
            <w:r w:rsidRPr="00F85253">
              <w:rPr>
                <w:rFonts w:ascii="Arial" w:eastAsia="Times New Roman" w:hAnsi="Arial" w:cs="Arial"/>
                <w:b/>
                <w:bCs/>
                <w:sz w:val="20"/>
                <w:szCs w:val="20"/>
                <w:lang w:val="es-EC" w:eastAsia="es-EC"/>
              </w:rPr>
              <w:t>$  -</w:t>
            </w:r>
            <w:proofErr w:type="gramEnd"/>
            <w:r w:rsidRPr="00F85253">
              <w:rPr>
                <w:rFonts w:ascii="Arial" w:eastAsia="Times New Roman" w:hAnsi="Arial" w:cs="Arial"/>
                <w:b/>
                <w:bCs/>
                <w:sz w:val="20"/>
                <w:szCs w:val="20"/>
                <w:lang w:val="es-EC" w:eastAsia="es-EC"/>
              </w:rPr>
              <w:t xml:space="preserve">2.59 </w:t>
            </w:r>
          </w:p>
        </w:tc>
        <w:tc>
          <w:tcPr>
            <w:tcW w:w="940" w:type="dxa"/>
            <w:tcBorders>
              <w:top w:val="nil"/>
              <w:left w:val="nil"/>
              <w:bottom w:val="single" w:sz="8" w:space="0" w:color="auto"/>
              <w:right w:val="nil"/>
            </w:tcBorders>
            <w:shd w:val="clear" w:color="000000" w:fill="FFFFFF"/>
            <w:noWrap/>
            <w:vAlign w:val="bottom"/>
            <w:hideMark/>
          </w:tcPr>
          <w:p w14:paraId="4DEDF2E4"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-37.97 </w:t>
            </w:r>
          </w:p>
        </w:tc>
        <w:tc>
          <w:tcPr>
            <w:tcW w:w="880" w:type="dxa"/>
            <w:tcBorders>
              <w:top w:val="nil"/>
              <w:left w:val="nil"/>
              <w:bottom w:val="single" w:sz="8" w:space="0" w:color="auto"/>
              <w:right w:val="nil"/>
            </w:tcBorders>
            <w:shd w:val="clear" w:color="000000" w:fill="FFFFFF"/>
            <w:noWrap/>
            <w:vAlign w:val="bottom"/>
            <w:hideMark/>
          </w:tcPr>
          <w:p w14:paraId="3C8BE899"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w:t>
            </w:r>
            <w:proofErr w:type="gramStart"/>
            <w:r w:rsidRPr="00F85253">
              <w:rPr>
                <w:rFonts w:ascii="Arial" w:eastAsia="Times New Roman" w:hAnsi="Arial" w:cs="Arial"/>
                <w:b/>
                <w:bCs/>
                <w:sz w:val="20"/>
                <w:szCs w:val="20"/>
                <w:lang w:val="es-EC" w:eastAsia="es-EC"/>
              </w:rPr>
              <w:t>$  -</w:t>
            </w:r>
            <w:proofErr w:type="gramEnd"/>
            <w:r w:rsidRPr="00F85253">
              <w:rPr>
                <w:rFonts w:ascii="Arial" w:eastAsia="Times New Roman" w:hAnsi="Arial" w:cs="Arial"/>
                <w:b/>
                <w:bCs/>
                <w:sz w:val="20"/>
                <w:szCs w:val="20"/>
                <w:lang w:val="es-EC" w:eastAsia="es-EC"/>
              </w:rPr>
              <w:t xml:space="preserve">8.30 </w:t>
            </w:r>
          </w:p>
        </w:tc>
        <w:tc>
          <w:tcPr>
            <w:tcW w:w="920" w:type="dxa"/>
            <w:tcBorders>
              <w:top w:val="nil"/>
              <w:left w:val="nil"/>
              <w:bottom w:val="single" w:sz="8" w:space="0" w:color="auto"/>
              <w:right w:val="single" w:sz="8" w:space="0" w:color="auto"/>
            </w:tcBorders>
            <w:shd w:val="clear" w:color="000000" w:fill="FFFFFF"/>
            <w:noWrap/>
            <w:vAlign w:val="bottom"/>
            <w:hideMark/>
          </w:tcPr>
          <w:p w14:paraId="5E671244"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8.46 </w:t>
            </w:r>
          </w:p>
        </w:tc>
        <w:tc>
          <w:tcPr>
            <w:tcW w:w="780" w:type="dxa"/>
            <w:tcBorders>
              <w:top w:val="nil"/>
              <w:left w:val="nil"/>
              <w:bottom w:val="single" w:sz="8" w:space="0" w:color="auto"/>
              <w:right w:val="nil"/>
            </w:tcBorders>
            <w:shd w:val="clear" w:color="000000" w:fill="FFFFFF"/>
            <w:noWrap/>
            <w:vAlign w:val="bottom"/>
            <w:hideMark/>
          </w:tcPr>
          <w:p w14:paraId="3334AEFE"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$20.03 </w:t>
            </w:r>
          </w:p>
        </w:tc>
        <w:tc>
          <w:tcPr>
            <w:tcW w:w="780" w:type="dxa"/>
            <w:tcBorders>
              <w:top w:val="nil"/>
              <w:left w:val="nil"/>
              <w:bottom w:val="single" w:sz="8" w:space="0" w:color="auto"/>
              <w:right w:val="nil"/>
            </w:tcBorders>
            <w:shd w:val="clear" w:color="000000" w:fill="FFFFFF"/>
            <w:noWrap/>
            <w:vAlign w:val="bottom"/>
            <w:hideMark/>
          </w:tcPr>
          <w:p w14:paraId="072A1C85"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$22.63 </w:t>
            </w:r>
          </w:p>
        </w:tc>
        <w:tc>
          <w:tcPr>
            <w:tcW w:w="780" w:type="dxa"/>
            <w:tcBorders>
              <w:top w:val="nil"/>
              <w:left w:val="nil"/>
              <w:bottom w:val="single" w:sz="8" w:space="0" w:color="auto"/>
              <w:right w:val="nil"/>
            </w:tcBorders>
            <w:shd w:val="clear" w:color="000000" w:fill="FFFFFF"/>
            <w:noWrap/>
            <w:vAlign w:val="bottom"/>
            <w:hideMark/>
          </w:tcPr>
          <w:p w14:paraId="7594D069"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$24.30 </w:t>
            </w:r>
          </w:p>
        </w:tc>
        <w:tc>
          <w:tcPr>
            <w:tcW w:w="780" w:type="dxa"/>
            <w:tcBorders>
              <w:top w:val="nil"/>
              <w:left w:val="nil"/>
              <w:bottom w:val="single" w:sz="8" w:space="0" w:color="auto"/>
              <w:right w:val="nil"/>
            </w:tcBorders>
            <w:shd w:val="clear" w:color="000000" w:fill="FFFFFF"/>
            <w:noWrap/>
            <w:vAlign w:val="bottom"/>
            <w:hideMark/>
          </w:tcPr>
          <w:p w14:paraId="690C51E4"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$27.02 </w:t>
            </w:r>
          </w:p>
        </w:tc>
        <w:tc>
          <w:tcPr>
            <w:tcW w:w="780" w:type="dxa"/>
            <w:tcBorders>
              <w:top w:val="nil"/>
              <w:left w:val="nil"/>
              <w:bottom w:val="single" w:sz="8" w:space="0" w:color="auto"/>
              <w:right w:val="nil"/>
            </w:tcBorders>
            <w:shd w:val="clear" w:color="000000" w:fill="FFFFFF"/>
            <w:noWrap/>
            <w:vAlign w:val="bottom"/>
            <w:hideMark/>
          </w:tcPr>
          <w:p w14:paraId="18AE7A83"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$31.46 </w:t>
            </w:r>
          </w:p>
        </w:tc>
        <w:tc>
          <w:tcPr>
            <w:tcW w:w="1060" w:type="dxa"/>
            <w:tcBorders>
              <w:top w:val="nil"/>
              <w:left w:val="nil"/>
              <w:bottom w:val="single" w:sz="8" w:space="0" w:color="auto"/>
              <w:right w:val="single" w:sz="8" w:space="0" w:color="auto"/>
            </w:tcBorders>
            <w:shd w:val="clear" w:color="000000" w:fill="FFFFFF"/>
            <w:noWrap/>
            <w:vAlign w:val="bottom"/>
            <w:hideMark/>
          </w:tcPr>
          <w:p w14:paraId="789EAF88"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38.68 </w:t>
            </w:r>
          </w:p>
        </w:tc>
      </w:tr>
      <w:tr w:rsidR="00207185" w:rsidRPr="00F85253" w14:paraId="4931D307" w14:textId="77777777" w:rsidTr="00207185">
        <w:trPr>
          <w:trHeight w:val="270"/>
        </w:trPr>
        <w:tc>
          <w:tcPr>
            <w:tcW w:w="4693" w:type="dxa"/>
            <w:tcBorders>
              <w:top w:val="nil"/>
              <w:left w:val="nil"/>
              <w:bottom w:val="nil"/>
              <w:right w:val="nil"/>
            </w:tcBorders>
            <w:shd w:val="clear" w:color="000000" w:fill="FFFFFF"/>
            <w:noWrap/>
            <w:vAlign w:val="bottom"/>
            <w:hideMark/>
          </w:tcPr>
          <w:p w14:paraId="538103F1" w14:textId="77777777" w:rsidR="00207185" w:rsidRPr="00F85253" w:rsidRDefault="00207185" w:rsidP="00207185">
            <w:pPr>
              <w:spacing w:after="0" w:line="240" w:lineRule="auto"/>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w:t>
            </w:r>
          </w:p>
        </w:tc>
        <w:tc>
          <w:tcPr>
            <w:tcW w:w="1167" w:type="dxa"/>
            <w:tcBorders>
              <w:top w:val="nil"/>
              <w:left w:val="nil"/>
              <w:bottom w:val="nil"/>
              <w:right w:val="nil"/>
            </w:tcBorders>
            <w:shd w:val="clear" w:color="000000" w:fill="FFFFFF"/>
            <w:noWrap/>
            <w:vAlign w:val="bottom"/>
            <w:hideMark/>
          </w:tcPr>
          <w:p w14:paraId="17810DCB" w14:textId="77777777" w:rsidR="00207185" w:rsidRPr="00F85253" w:rsidRDefault="00207185" w:rsidP="00207185">
            <w:pPr>
              <w:spacing w:after="0" w:line="240" w:lineRule="auto"/>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w:t>
            </w:r>
          </w:p>
        </w:tc>
        <w:tc>
          <w:tcPr>
            <w:tcW w:w="880" w:type="dxa"/>
            <w:tcBorders>
              <w:top w:val="nil"/>
              <w:left w:val="single" w:sz="8" w:space="0" w:color="auto"/>
              <w:bottom w:val="single" w:sz="8" w:space="0" w:color="auto"/>
              <w:right w:val="nil"/>
            </w:tcBorders>
            <w:shd w:val="clear" w:color="000000" w:fill="FFFFFF"/>
            <w:noWrap/>
            <w:vAlign w:val="bottom"/>
            <w:hideMark/>
          </w:tcPr>
          <w:p w14:paraId="4CFAE509" w14:textId="77777777" w:rsidR="00207185" w:rsidRPr="00F85253" w:rsidRDefault="00207185" w:rsidP="00207185">
            <w:pPr>
              <w:spacing w:after="0" w:line="240" w:lineRule="auto"/>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w:t>
            </w:r>
          </w:p>
        </w:tc>
        <w:tc>
          <w:tcPr>
            <w:tcW w:w="940" w:type="dxa"/>
            <w:tcBorders>
              <w:top w:val="nil"/>
              <w:left w:val="nil"/>
              <w:bottom w:val="single" w:sz="8" w:space="0" w:color="auto"/>
              <w:right w:val="nil"/>
            </w:tcBorders>
            <w:shd w:val="clear" w:color="000000" w:fill="FFFFFF"/>
            <w:noWrap/>
            <w:vAlign w:val="bottom"/>
            <w:hideMark/>
          </w:tcPr>
          <w:p w14:paraId="50315E43" w14:textId="77777777" w:rsidR="00207185" w:rsidRPr="00F85253" w:rsidRDefault="00207185" w:rsidP="00207185">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880" w:type="dxa"/>
            <w:tcBorders>
              <w:top w:val="nil"/>
              <w:left w:val="nil"/>
              <w:bottom w:val="single" w:sz="8" w:space="0" w:color="auto"/>
              <w:right w:val="nil"/>
            </w:tcBorders>
            <w:shd w:val="clear" w:color="000000" w:fill="FFFFFF"/>
            <w:noWrap/>
            <w:vAlign w:val="bottom"/>
            <w:hideMark/>
          </w:tcPr>
          <w:p w14:paraId="10FA21EF" w14:textId="77777777" w:rsidR="00207185" w:rsidRPr="00F85253" w:rsidRDefault="00207185" w:rsidP="00207185">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920" w:type="dxa"/>
            <w:tcBorders>
              <w:top w:val="nil"/>
              <w:left w:val="nil"/>
              <w:bottom w:val="single" w:sz="8" w:space="0" w:color="auto"/>
              <w:right w:val="single" w:sz="8" w:space="0" w:color="auto"/>
            </w:tcBorders>
            <w:shd w:val="clear" w:color="000000" w:fill="FFFFFF"/>
            <w:noWrap/>
            <w:vAlign w:val="bottom"/>
            <w:hideMark/>
          </w:tcPr>
          <w:p w14:paraId="66F48F62" w14:textId="77777777" w:rsidR="00207185" w:rsidRPr="00F85253" w:rsidRDefault="00207185" w:rsidP="00207185">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4F2DA055" w14:textId="77777777" w:rsidR="00207185" w:rsidRPr="00F85253" w:rsidRDefault="00207185" w:rsidP="00207185">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246CAEC7" w14:textId="77777777" w:rsidR="00207185" w:rsidRPr="00F85253" w:rsidRDefault="00207185" w:rsidP="00207185">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7879D039" w14:textId="77777777" w:rsidR="00207185" w:rsidRPr="00F85253" w:rsidRDefault="00207185" w:rsidP="00207185">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743602EE" w14:textId="77777777" w:rsidR="00207185" w:rsidRPr="00F85253" w:rsidRDefault="00207185" w:rsidP="00207185">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571B57C6" w14:textId="77777777" w:rsidR="00207185" w:rsidRPr="00F85253" w:rsidRDefault="00207185" w:rsidP="00207185">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1060" w:type="dxa"/>
            <w:tcBorders>
              <w:top w:val="nil"/>
              <w:left w:val="nil"/>
              <w:bottom w:val="nil"/>
              <w:right w:val="nil"/>
            </w:tcBorders>
            <w:shd w:val="clear" w:color="000000" w:fill="FFFFFF"/>
            <w:noWrap/>
            <w:vAlign w:val="bottom"/>
            <w:hideMark/>
          </w:tcPr>
          <w:p w14:paraId="4F0335BF" w14:textId="77777777" w:rsidR="00207185" w:rsidRPr="00F85253" w:rsidRDefault="00207185" w:rsidP="00207185">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r>
      <w:tr w:rsidR="00207185" w:rsidRPr="00F85253" w14:paraId="0855680B" w14:textId="77777777" w:rsidTr="00207185">
        <w:trPr>
          <w:trHeight w:val="255"/>
        </w:trPr>
        <w:tc>
          <w:tcPr>
            <w:tcW w:w="4693" w:type="dxa"/>
            <w:tcBorders>
              <w:top w:val="single" w:sz="8" w:space="0" w:color="auto"/>
              <w:left w:val="single" w:sz="8" w:space="0" w:color="auto"/>
              <w:bottom w:val="nil"/>
              <w:right w:val="nil"/>
            </w:tcBorders>
            <w:shd w:val="clear" w:color="000000" w:fill="FFFFFF"/>
            <w:noWrap/>
            <w:vAlign w:val="bottom"/>
            <w:hideMark/>
          </w:tcPr>
          <w:p w14:paraId="177989F0" w14:textId="77777777" w:rsidR="00207185" w:rsidRPr="00F85253" w:rsidRDefault="00207185" w:rsidP="00207185">
            <w:pPr>
              <w:spacing w:after="0" w:line="240" w:lineRule="auto"/>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TIR</w:t>
            </w:r>
          </w:p>
        </w:tc>
        <w:tc>
          <w:tcPr>
            <w:tcW w:w="1167" w:type="dxa"/>
            <w:tcBorders>
              <w:top w:val="single" w:sz="8" w:space="0" w:color="auto"/>
              <w:left w:val="nil"/>
              <w:bottom w:val="nil"/>
              <w:right w:val="nil"/>
            </w:tcBorders>
            <w:shd w:val="clear" w:color="000000" w:fill="FFFFFF"/>
            <w:noWrap/>
            <w:vAlign w:val="bottom"/>
          </w:tcPr>
          <w:p w14:paraId="2CAD8039" w14:textId="0110CD40" w:rsidR="00207185" w:rsidRPr="00F85253" w:rsidRDefault="00207185" w:rsidP="00207185">
            <w:pPr>
              <w:spacing w:after="0" w:line="240" w:lineRule="auto"/>
              <w:jc w:val="right"/>
              <w:rPr>
                <w:rFonts w:ascii="Arial" w:eastAsia="Times New Roman" w:hAnsi="Arial" w:cs="Arial"/>
                <w:b/>
                <w:bCs/>
                <w:sz w:val="20"/>
                <w:szCs w:val="20"/>
                <w:lang w:val="es-EC" w:eastAsia="es-EC"/>
              </w:rPr>
            </w:pPr>
          </w:p>
        </w:tc>
        <w:tc>
          <w:tcPr>
            <w:tcW w:w="880" w:type="dxa"/>
            <w:tcBorders>
              <w:top w:val="nil"/>
              <w:left w:val="single" w:sz="8" w:space="0" w:color="auto"/>
              <w:bottom w:val="nil"/>
              <w:right w:val="nil"/>
            </w:tcBorders>
            <w:shd w:val="clear" w:color="000000" w:fill="FFFFFF"/>
            <w:noWrap/>
            <w:vAlign w:val="bottom"/>
          </w:tcPr>
          <w:p w14:paraId="171CE1DA" w14:textId="6739246A" w:rsidR="00207185" w:rsidRPr="00F85253" w:rsidRDefault="00207185" w:rsidP="00207185">
            <w:pPr>
              <w:spacing w:after="0" w:line="240" w:lineRule="auto"/>
              <w:jc w:val="right"/>
              <w:rPr>
                <w:rFonts w:ascii="Arial" w:eastAsia="Times New Roman" w:hAnsi="Arial" w:cs="Arial"/>
                <w:color w:val="FFFFFF"/>
                <w:sz w:val="20"/>
                <w:szCs w:val="20"/>
                <w:lang w:val="es-EC" w:eastAsia="es-EC"/>
              </w:rPr>
            </w:pPr>
          </w:p>
        </w:tc>
        <w:tc>
          <w:tcPr>
            <w:tcW w:w="940" w:type="dxa"/>
            <w:tcBorders>
              <w:top w:val="nil"/>
              <w:left w:val="nil"/>
              <w:bottom w:val="nil"/>
              <w:right w:val="nil"/>
            </w:tcBorders>
            <w:shd w:val="clear" w:color="000000" w:fill="FFFFFF"/>
            <w:noWrap/>
            <w:vAlign w:val="bottom"/>
          </w:tcPr>
          <w:p w14:paraId="4A112530" w14:textId="1BD8CCE5" w:rsidR="00207185" w:rsidRPr="00F85253" w:rsidRDefault="00207185" w:rsidP="00207185">
            <w:pPr>
              <w:spacing w:after="0" w:line="240" w:lineRule="auto"/>
              <w:jc w:val="right"/>
              <w:rPr>
                <w:rFonts w:ascii="Arial" w:eastAsia="Times New Roman" w:hAnsi="Arial" w:cs="Arial"/>
                <w:color w:val="FFFFFF"/>
                <w:sz w:val="20"/>
                <w:szCs w:val="20"/>
                <w:lang w:val="es-EC" w:eastAsia="es-EC"/>
              </w:rPr>
            </w:pPr>
          </w:p>
        </w:tc>
        <w:tc>
          <w:tcPr>
            <w:tcW w:w="880" w:type="dxa"/>
            <w:tcBorders>
              <w:top w:val="nil"/>
              <w:left w:val="nil"/>
              <w:bottom w:val="nil"/>
              <w:right w:val="nil"/>
            </w:tcBorders>
            <w:shd w:val="clear" w:color="000000" w:fill="FFFFFF"/>
            <w:noWrap/>
            <w:vAlign w:val="bottom"/>
          </w:tcPr>
          <w:p w14:paraId="0ECC76BC" w14:textId="007B78E0" w:rsidR="00207185" w:rsidRPr="00F85253" w:rsidRDefault="00207185" w:rsidP="00207185">
            <w:pPr>
              <w:spacing w:after="0" w:line="240" w:lineRule="auto"/>
              <w:jc w:val="right"/>
              <w:rPr>
                <w:rFonts w:ascii="Arial" w:eastAsia="Times New Roman" w:hAnsi="Arial" w:cs="Arial"/>
                <w:color w:val="FFFFFF"/>
                <w:sz w:val="20"/>
                <w:szCs w:val="20"/>
                <w:lang w:val="es-EC" w:eastAsia="es-EC"/>
              </w:rPr>
            </w:pPr>
          </w:p>
        </w:tc>
        <w:tc>
          <w:tcPr>
            <w:tcW w:w="920" w:type="dxa"/>
            <w:tcBorders>
              <w:top w:val="nil"/>
              <w:left w:val="nil"/>
              <w:bottom w:val="nil"/>
              <w:right w:val="single" w:sz="8" w:space="0" w:color="auto"/>
            </w:tcBorders>
            <w:shd w:val="clear" w:color="000000" w:fill="FFFFFF"/>
            <w:noWrap/>
            <w:vAlign w:val="bottom"/>
          </w:tcPr>
          <w:p w14:paraId="54F3CB09" w14:textId="27263993" w:rsidR="00207185" w:rsidRPr="00F85253" w:rsidRDefault="00207185" w:rsidP="00207185">
            <w:pPr>
              <w:spacing w:after="0" w:line="240" w:lineRule="auto"/>
              <w:jc w:val="right"/>
              <w:rPr>
                <w:rFonts w:ascii="Arial" w:eastAsia="Times New Roman" w:hAnsi="Arial" w:cs="Arial"/>
                <w:color w:val="FFFFFF"/>
                <w:sz w:val="20"/>
                <w:szCs w:val="20"/>
                <w:lang w:val="es-EC" w:eastAsia="es-EC"/>
              </w:rPr>
            </w:pPr>
          </w:p>
        </w:tc>
        <w:tc>
          <w:tcPr>
            <w:tcW w:w="780" w:type="dxa"/>
            <w:tcBorders>
              <w:top w:val="single" w:sz="8" w:space="0" w:color="auto"/>
              <w:left w:val="nil"/>
              <w:bottom w:val="nil"/>
              <w:right w:val="nil"/>
            </w:tcBorders>
            <w:shd w:val="clear" w:color="000000" w:fill="FFFFFF"/>
            <w:noWrap/>
            <w:vAlign w:val="bottom"/>
          </w:tcPr>
          <w:p w14:paraId="27C0EFB6" w14:textId="34CC92BD" w:rsidR="00207185" w:rsidRPr="00F85253" w:rsidRDefault="00207185" w:rsidP="00207185">
            <w:pPr>
              <w:spacing w:after="0" w:line="240" w:lineRule="auto"/>
              <w:jc w:val="right"/>
              <w:rPr>
                <w:rFonts w:ascii="Arial" w:eastAsia="Times New Roman" w:hAnsi="Arial" w:cs="Arial"/>
                <w:color w:val="FFFFFF"/>
                <w:sz w:val="20"/>
                <w:szCs w:val="20"/>
                <w:lang w:val="es-EC" w:eastAsia="es-EC"/>
              </w:rPr>
            </w:pPr>
          </w:p>
        </w:tc>
        <w:tc>
          <w:tcPr>
            <w:tcW w:w="780" w:type="dxa"/>
            <w:tcBorders>
              <w:top w:val="single" w:sz="8" w:space="0" w:color="auto"/>
              <w:left w:val="nil"/>
              <w:bottom w:val="nil"/>
              <w:right w:val="nil"/>
            </w:tcBorders>
            <w:shd w:val="clear" w:color="000000" w:fill="FFFFFF"/>
            <w:noWrap/>
            <w:vAlign w:val="bottom"/>
          </w:tcPr>
          <w:p w14:paraId="2FB8F1FC" w14:textId="55D3AE25" w:rsidR="00207185" w:rsidRPr="00F85253" w:rsidRDefault="00207185" w:rsidP="00207185">
            <w:pPr>
              <w:spacing w:after="0" w:line="240" w:lineRule="auto"/>
              <w:jc w:val="right"/>
              <w:rPr>
                <w:rFonts w:ascii="Arial" w:eastAsia="Times New Roman" w:hAnsi="Arial" w:cs="Arial"/>
                <w:color w:val="FFFFFF"/>
                <w:sz w:val="20"/>
                <w:szCs w:val="20"/>
                <w:lang w:val="es-EC" w:eastAsia="es-EC"/>
              </w:rPr>
            </w:pPr>
          </w:p>
        </w:tc>
        <w:tc>
          <w:tcPr>
            <w:tcW w:w="780" w:type="dxa"/>
            <w:tcBorders>
              <w:top w:val="single" w:sz="8" w:space="0" w:color="auto"/>
              <w:left w:val="nil"/>
              <w:bottom w:val="nil"/>
              <w:right w:val="nil"/>
            </w:tcBorders>
            <w:shd w:val="clear" w:color="000000" w:fill="FFFFFF"/>
            <w:noWrap/>
            <w:vAlign w:val="bottom"/>
          </w:tcPr>
          <w:p w14:paraId="6528145B" w14:textId="7522DF0B" w:rsidR="00207185" w:rsidRPr="00F85253" w:rsidRDefault="00207185" w:rsidP="00207185">
            <w:pPr>
              <w:spacing w:after="0" w:line="240" w:lineRule="auto"/>
              <w:jc w:val="right"/>
              <w:rPr>
                <w:rFonts w:ascii="Arial" w:eastAsia="Times New Roman" w:hAnsi="Arial" w:cs="Arial"/>
                <w:color w:val="FFFFFF"/>
                <w:sz w:val="20"/>
                <w:szCs w:val="20"/>
                <w:lang w:val="es-EC" w:eastAsia="es-EC"/>
              </w:rPr>
            </w:pPr>
          </w:p>
        </w:tc>
        <w:tc>
          <w:tcPr>
            <w:tcW w:w="780" w:type="dxa"/>
            <w:tcBorders>
              <w:top w:val="single" w:sz="8" w:space="0" w:color="auto"/>
              <w:left w:val="nil"/>
              <w:bottom w:val="nil"/>
              <w:right w:val="nil"/>
            </w:tcBorders>
            <w:shd w:val="clear" w:color="000000" w:fill="FFFFFF"/>
            <w:noWrap/>
            <w:vAlign w:val="bottom"/>
          </w:tcPr>
          <w:p w14:paraId="4DA1CFA8" w14:textId="7D27F5E2" w:rsidR="00207185" w:rsidRPr="00F85253" w:rsidRDefault="00207185" w:rsidP="00207185">
            <w:pPr>
              <w:spacing w:after="0" w:line="240" w:lineRule="auto"/>
              <w:jc w:val="right"/>
              <w:rPr>
                <w:rFonts w:ascii="Arial" w:eastAsia="Times New Roman" w:hAnsi="Arial" w:cs="Arial"/>
                <w:color w:val="FFFFFF"/>
                <w:sz w:val="20"/>
                <w:szCs w:val="20"/>
                <w:lang w:val="es-EC" w:eastAsia="es-EC"/>
              </w:rPr>
            </w:pPr>
          </w:p>
        </w:tc>
        <w:tc>
          <w:tcPr>
            <w:tcW w:w="780" w:type="dxa"/>
            <w:tcBorders>
              <w:top w:val="single" w:sz="8" w:space="0" w:color="auto"/>
              <w:left w:val="nil"/>
              <w:bottom w:val="nil"/>
              <w:right w:val="nil"/>
            </w:tcBorders>
            <w:shd w:val="clear" w:color="000000" w:fill="FFFFFF"/>
            <w:noWrap/>
            <w:vAlign w:val="bottom"/>
          </w:tcPr>
          <w:p w14:paraId="53A84FC0" w14:textId="3413F843" w:rsidR="00207185" w:rsidRPr="00F85253" w:rsidRDefault="00207185" w:rsidP="00207185">
            <w:pPr>
              <w:spacing w:after="0" w:line="240" w:lineRule="auto"/>
              <w:jc w:val="right"/>
              <w:rPr>
                <w:rFonts w:ascii="Arial" w:eastAsia="Times New Roman" w:hAnsi="Arial" w:cs="Arial"/>
                <w:color w:val="FFFFFF"/>
                <w:sz w:val="20"/>
                <w:szCs w:val="20"/>
                <w:lang w:val="es-EC" w:eastAsia="es-EC"/>
              </w:rPr>
            </w:pPr>
          </w:p>
        </w:tc>
        <w:tc>
          <w:tcPr>
            <w:tcW w:w="1060" w:type="dxa"/>
            <w:tcBorders>
              <w:top w:val="single" w:sz="8" w:space="0" w:color="auto"/>
              <w:left w:val="nil"/>
              <w:bottom w:val="nil"/>
              <w:right w:val="single" w:sz="8" w:space="0" w:color="auto"/>
            </w:tcBorders>
            <w:shd w:val="clear" w:color="000000" w:fill="FFFFFF"/>
            <w:noWrap/>
            <w:vAlign w:val="bottom"/>
            <w:hideMark/>
          </w:tcPr>
          <w:p w14:paraId="7B084BEB"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28%</w:t>
            </w:r>
          </w:p>
        </w:tc>
      </w:tr>
      <w:tr w:rsidR="00207185" w:rsidRPr="00F85253" w14:paraId="05D27017" w14:textId="77777777" w:rsidTr="00207185">
        <w:trPr>
          <w:trHeight w:val="270"/>
        </w:trPr>
        <w:tc>
          <w:tcPr>
            <w:tcW w:w="4693" w:type="dxa"/>
            <w:tcBorders>
              <w:top w:val="nil"/>
              <w:left w:val="single" w:sz="8" w:space="0" w:color="auto"/>
              <w:bottom w:val="single" w:sz="8" w:space="0" w:color="auto"/>
              <w:right w:val="nil"/>
            </w:tcBorders>
            <w:shd w:val="clear" w:color="000000" w:fill="FFFFFF"/>
            <w:noWrap/>
            <w:vAlign w:val="bottom"/>
            <w:hideMark/>
          </w:tcPr>
          <w:p w14:paraId="4F85103D" w14:textId="77777777" w:rsidR="00207185" w:rsidRPr="00F85253" w:rsidRDefault="00207185" w:rsidP="00207185">
            <w:pPr>
              <w:spacing w:after="0" w:line="240" w:lineRule="auto"/>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VAN</w:t>
            </w:r>
          </w:p>
        </w:tc>
        <w:tc>
          <w:tcPr>
            <w:tcW w:w="1167" w:type="dxa"/>
            <w:tcBorders>
              <w:top w:val="nil"/>
              <w:left w:val="nil"/>
              <w:bottom w:val="single" w:sz="8" w:space="0" w:color="auto"/>
              <w:right w:val="nil"/>
            </w:tcBorders>
            <w:shd w:val="clear" w:color="000000" w:fill="FFFFFF"/>
            <w:noWrap/>
            <w:vAlign w:val="bottom"/>
          </w:tcPr>
          <w:p w14:paraId="3ECCCE60" w14:textId="00F5E695" w:rsidR="00207185" w:rsidRPr="00F85253" w:rsidRDefault="00207185" w:rsidP="00207185">
            <w:pPr>
              <w:spacing w:after="0" w:line="240" w:lineRule="auto"/>
              <w:jc w:val="right"/>
              <w:rPr>
                <w:rFonts w:ascii="Arial" w:eastAsia="Times New Roman" w:hAnsi="Arial" w:cs="Arial"/>
                <w:b/>
                <w:bCs/>
                <w:sz w:val="20"/>
                <w:szCs w:val="20"/>
                <w:lang w:val="es-EC" w:eastAsia="es-EC"/>
              </w:rPr>
            </w:pPr>
          </w:p>
        </w:tc>
        <w:tc>
          <w:tcPr>
            <w:tcW w:w="880" w:type="dxa"/>
            <w:tcBorders>
              <w:top w:val="nil"/>
              <w:left w:val="single" w:sz="8" w:space="0" w:color="auto"/>
              <w:bottom w:val="single" w:sz="8" w:space="0" w:color="auto"/>
              <w:right w:val="nil"/>
            </w:tcBorders>
            <w:shd w:val="clear" w:color="000000" w:fill="FFFFFF"/>
            <w:noWrap/>
            <w:vAlign w:val="bottom"/>
          </w:tcPr>
          <w:p w14:paraId="52160706" w14:textId="7D027CD7" w:rsidR="00207185" w:rsidRPr="00F85253" w:rsidRDefault="00207185" w:rsidP="00207185">
            <w:pPr>
              <w:spacing w:after="0" w:line="240" w:lineRule="auto"/>
              <w:jc w:val="right"/>
              <w:rPr>
                <w:rFonts w:ascii="Arial" w:eastAsia="Times New Roman" w:hAnsi="Arial" w:cs="Arial"/>
                <w:color w:val="FFFFFF"/>
                <w:sz w:val="20"/>
                <w:szCs w:val="20"/>
                <w:lang w:val="es-EC" w:eastAsia="es-EC"/>
              </w:rPr>
            </w:pPr>
          </w:p>
        </w:tc>
        <w:tc>
          <w:tcPr>
            <w:tcW w:w="940" w:type="dxa"/>
            <w:tcBorders>
              <w:top w:val="nil"/>
              <w:left w:val="nil"/>
              <w:bottom w:val="single" w:sz="8" w:space="0" w:color="auto"/>
              <w:right w:val="nil"/>
            </w:tcBorders>
            <w:shd w:val="clear" w:color="000000" w:fill="FFFFFF"/>
            <w:noWrap/>
            <w:vAlign w:val="bottom"/>
          </w:tcPr>
          <w:p w14:paraId="32185C54" w14:textId="57D7631F" w:rsidR="00207185" w:rsidRPr="00F85253" w:rsidRDefault="00207185" w:rsidP="00207185">
            <w:pPr>
              <w:spacing w:after="0" w:line="240" w:lineRule="auto"/>
              <w:jc w:val="right"/>
              <w:rPr>
                <w:rFonts w:ascii="Arial" w:eastAsia="Times New Roman" w:hAnsi="Arial" w:cs="Arial"/>
                <w:color w:val="FFFFFF"/>
                <w:sz w:val="20"/>
                <w:szCs w:val="20"/>
                <w:lang w:val="es-EC" w:eastAsia="es-EC"/>
              </w:rPr>
            </w:pPr>
          </w:p>
        </w:tc>
        <w:tc>
          <w:tcPr>
            <w:tcW w:w="880" w:type="dxa"/>
            <w:tcBorders>
              <w:top w:val="nil"/>
              <w:left w:val="nil"/>
              <w:bottom w:val="single" w:sz="8" w:space="0" w:color="auto"/>
              <w:right w:val="nil"/>
            </w:tcBorders>
            <w:shd w:val="clear" w:color="000000" w:fill="FFFFFF"/>
            <w:noWrap/>
            <w:vAlign w:val="bottom"/>
          </w:tcPr>
          <w:p w14:paraId="6B9AD29D" w14:textId="5C3AD3AC" w:rsidR="00207185" w:rsidRPr="00F85253" w:rsidRDefault="00207185" w:rsidP="00207185">
            <w:pPr>
              <w:spacing w:after="0" w:line="240" w:lineRule="auto"/>
              <w:jc w:val="right"/>
              <w:rPr>
                <w:rFonts w:ascii="Arial" w:eastAsia="Times New Roman" w:hAnsi="Arial" w:cs="Arial"/>
                <w:color w:val="FFFFFF"/>
                <w:sz w:val="20"/>
                <w:szCs w:val="20"/>
                <w:lang w:val="es-EC" w:eastAsia="es-EC"/>
              </w:rPr>
            </w:pPr>
          </w:p>
        </w:tc>
        <w:tc>
          <w:tcPr>
            <w:tcW w:w="920" w:type="dxa"/>
            <w:tcBorders>
              <w:top w:val="nil"/>
              <w:left w:val="nil"/>
              <w:bottom w:val="single" w:sz="8" w:space="0" w:color="auto"/>
              <w:right w:val="single" w:sz="8" w:space="0" w:color="auto"/>
            </w:tcBorders>
            <w:shd w:val="clear" w:color="000000" w:fill="FFFFFF"/>
            <w:noWrap/>
            <w:vAlign w:val="bottom"/>
          </w:tcPr>
          <w:p w14:paraId="2D8EB18B" w14:textId="2385B9EF" w:rsidR="00207185" w:rsidRPr="00F85253" w:rsidRDefault="00207185" w:rsidP="00207185">
            <w:pPr>
              <w:spacing w:after="0" w:line="240" w:lineRule="auto"/>
              <w:jc w:val="right"/>
              <w:rPr>
                <w:rFonts w:ascii="Arial" w:eastAsia="Times New Roman" w:hAnsi="Arial" w:cs="Arial"/>
                <w:color w:val="FFFFFF"/>
                <w:sz w:val="20"/>
                <w:szCs w:val="20"/>
                <w:lang w:val="es-EC" w:eastAsia="es-EC"/>
              </w:rPr>
            </w:pPr>
          </w:p>
        </w:tc>
        <w:tc>
          <w:tcPr>
            <w:tcW w:w="780" w:type="dxa"/>
            <w:tcBorders>
              <w:top w:val="nil"/>
              <w:left w:val="nil"/>
              <w:bottom w:val="single" w:sz="8" w:space="0" w:color="auto"/>
              <w:right w:val="nil"/>
            </w:tcBorders>
            <w:shd w:val="clear" w:color="000000" w:fill="FFFFFF"/>
            <w:noWrap/>
            <w:vAlign w:val="bottom"/>
          </w:tcPr>
          <w:p w14:paraId="563DF989" w14:textId="30E02F5C" w:rsidR="00207185" w:rsidRPr="00F85253" w:rsidRDefault="00207185" w:rsidP="00207185">
            <w:pPr>
              <w:spacing w:after="0" w:line="240" w:lineRule="auto"/>
              <w:jc w:val="right"/>
              <w:rPr>
                <w:rFonts w:ascii="Arial" w:eastAsia="Times New Roman" w:hAnsi="Arial" w:cs="Arial"/>
                <w:color w:val="FFFFFF"/>
                <w:sz w:val="20"/>
                <w:szCs w:val="20"/>
                <w:lang w:val="es-EC" w:eastAsia="es-EC"/>
              </w:rPr>
            </w:pPr>
          </w:p>
        </w:tc>
        <w:tc>
          <w:tcPr>
            <w:tcW w:w="780" w:type="dxa"/>
            <w:tcBorders>
              <w:top w:val="nil"/>
              <w:left w:val="nil"/>
              <w:bottom w:val="single" w:sz="8" w:space="0" w:color="auto"/>
              <w:right w:val="nil"/>
            </w:tcBorders>
            <w:shd w:val="clear" w:color="000000" w:fill="FFFFFF"/>
            <w:noWrap/>
            <w:vAlign w:val="bottom"/>
          </w:tcPr>
          <w:p w14:paraId="229AE705" w14:textId="50DC5CC7" w:rsidR="00207185" w:rsidRPr="00F85253" w:rsidRDefault="00207185" w:rsidP="00207185">
            <w:pPr>
              <w:spacing w:after="0" w:line="240" w:lineRule="auto"/>
              <w:jc w:val="right"/>
              <w:rPr>
                <w:rFonts w:ascii="Arial" w:eastAsia="Times New Roman" w:hAnsi="Arial" w:cs="Arial"/>
                <w:color w:val="FFFFFF"/>
                <w:sz w:val="20"/>
                <w:szCs w:val="20"/>
                <w:lang w:val="es-EC" w:eastAsia="es-EC"/>
              </w:rPr>
            </w:pPr>
          </w:p>
        </w:tc>
        <w:tc>
          <w:tcPr>
            <w:tcW w:w="780" w:type="dxa"/>
            <w:tcBorders>
              <w:top w:val="nil"/>
              <w:left w:val="nil"/>
              <w:bottom w:val="single" w:sz="8" w:space="0" w:color="auto"/>
              <w:right w:val="nil"/>
            </w:tcBorders>
            <w:shd w:val="clear" w:color="000000" w:fill="FFFFFF"/>
            <w:noWrap/>
            <w:vAlign w:val="bottom"/>
          </w:tcPr>
          <w:p w14:paraId="2B9D7406" w14:textId="1636D6D5" w:rsidR="00207185" w:rsidRPr="00F85253" w:rsidRDefault="00207185" w:rsidP="00207185">
            <w:pPr>
              <w:spacing w:after="0" w:line="240" w:lineRule="auto"/>
              <w:jc w:val="right"/>
              <w:rPr>
                <w:rFonts w:ascii="Arial" w:eastAsia="Times New Roman" w:hAnsi="Arial" w:cs="Arial"/>
                <w:color w:val="FFFFFF"/>
                <w:sz w:val="20"/>
                <w:szCs w:val="20"/>
                <w:lang w:val="es-EC" w:eastAsia="es-EC"/>
              </w:rPr>
            </w:pPr>
          </w:p>
        </w:tc>
        <w:tc>
          <w:tcPr>
            <w:tcW w:w="780" w:type="dxa"/>
            <w:tcBorders>
              <w:top w:val="nil"/>
              <w:left w:val="nil"/>
              <w:bottom w:val="single" w:sz="8" w:space="0" w:color="auto"/>
              <w:right w:val="nil"/>
            </w:tcBorders>
            <w:shd w:val="clear" w:color="000000" w:fill="FFFFFF"/>
            <w:noWrap/>
            <w:vAlign w:val="bottom"/>
          </w:tcPr>
          <w:p w14:paraId="5278CF6A" w14:textId="71DE8735" w:rsidR="00207185" w:rsidRPr="00F85253" w:rsidRDefault="00207185" w:rsidP="00207185">
            <w:pPr>
              <w:spacing w:after="0" w:line="240" w:lineRule="auto"/>
              <w:jc w:val="right"/>
              <w:rPr>
                <w:rFonts w:ascii="Arial" w:eastAsia="Times New Roman" w:hAnsi="Arial" w:cs="Arial"/>
                <w:color w:val="FFFFFF"/>
                <w:sz w:val="20"/>
                <w:szCs w:val="20"/>
                <w:lang w:val="es-EC" w:eastAsia="es-EC"/>
              </w:rPr>
            </w:pPr>
          </w:p>
        </w:tc>
        <w:tc>
          <w:tcPr>
            <w:tcW w:w="780" w:type="dxa"/>
            <w:tcBorders>
              <w:top w:val="nil"/>
              <w:left w:val="nil"/>
              <w:bottom w:val="single" w:sz="8" w:space="0" w:color="auto"/>
              <w:right w:val="nil"/>
            </w:tcBorders>
            <w:shd w:val="clear" w:color="000000" w:fill="FFFFFF"/>
            <w:noWrap/>
            <w:vAlign w:val="bottom"/>
          </w:tcPr>
          <w:p w14:paraId="7FB9E90D" w14:textId="7C9EC452" w:rsidR="00207185" w:rsidRPr="00F85253" w:rsidRDefault="00207185" w:rsidP="00207185">
            <w:pPr>
              <w:spacing w:after="0" w:line="240" w:lineRule="auto"/>
              <w:jc w:val="right"/>
              <w:rPr>
                <w:rFonts w:ascii="Arial" w:eastAsia="Times New Roman" w:hAnsi="Arial" w:cs="Arial"/>
                <w:color w:val="FFFFFF"/>
                <w:sz w:val="20"/>
                <w:szCs w:val="20"/>
                <w:lang w:val="es-EC" w:eastAsia="es-EC"/>
              </w:rPr>
            </w:pPr>
          </w:p>
        </w:tc>
        <w:tc>
          <w:tcPr>
            <w:tcW w:w="1060" w:type="dxa"/>
            <w:tcBorders>
              <w:top w:val="nil"/>
              <w:left w:val="nil"/>
              <w:bottom w:val="single" w:sz="8" w:space="0" w:color="auto"/>
              <w:right w:val="single" w:sz="8" w:space="0" w:color="auto"/>
            </w:tcBorders>
            <w:shd w:val="clear" w:color="000000" w:fill="FFFFFF"/>
            <w:noWrap/>
            <w:vAlign w:val="bottom"/>
            <w:hideMark/>
          </w:tcPr>
          <w:p w14:paraId="1A2E85DF"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$39.67</w:t>
            </w:r>
          </w:p>
        </w:tc>
      </w:tr>
    </w:tbl>
    <w:p w14:paraId="5BA72C63" w14:textId="77777777" w:rsidR="000B6FF1" w:rsidRPr="00F85253" w:rsidRDefault="000B6FF1" w:rsidP="000B6FF1">
      <w:pPr>
        <w:pStyle w:val="Paragraph"/>
        <w:spacing w:before="0" w:after="0" w:line="276" w:lineRule="auto"/>
        <w:outlineLvl w:val="9"/>
        <w:rPr>
          <w:rFonts w:ascii="Arial" w:hAnsi="Arial" w:cs="Arial"/>
          <w:sz w:val="22"/>
          <w:szCs w:val="22"/>
          <w:lang w:val="es-ES_tradnl"/>
        </w:rPr>
      </w:pPr>
    </w:p>
    <w:p w14:paraId="00384D37" w14:textId="77777777" w:rsidR="00E96C78" w:rsidRPr="00F85253" w:rsidRDefault="00E96C78" w:rsidP="000B6FF1">
      <w:pPr>
        <w:pStyle w:val="Paragraph"/>
        <w:spacing w:before="0" w:after="0" w:line="276" w:lineRule="auto"/>
        <w:outlineLvl w:val="9"/>
        <w:rPr>
          <w:rFonts w:ascii="Arial" w:hAnsi="Arial" w:cs="Arial"/>
          <w:sz w:val="22"/>
          <w:szCs w:val="22"/>
          <w:lang w:val="es-ES_tradnl"/>
        </w:rPr>
      </w:pPr>
    </w:p>
    <w:p w14:paraId="61364F4B" w14:textId="77777777" w:rsidR="000E725F" w:rsidRPr="00F85253" w:rsidRDefault="000E725F" w:rsidP="000B6FF1">
      <w:pPr>
        <w:pStyle w:val="Paragraph"/>
        <w:spacing w:before="0" w:after="0" w:line="276" w:lineRule="auto"/>
        <w:outlineLvl w:val="9"/>
        <w:rPr>
          <w:rFonts w:ascii="Arial" w:hAnsi="Arial" w:cs="Arial"/>
          <w:sz w:val="22"/>
          <w:szCs w:val="22"/>
          <w:lang w:val="es-ES_tradnl"/>
        </w:rPr>
      </w:pPr>
    </w:p>
    <w:p w14:paraId="655F2693" w14:textId="77777777" w:rsidR="000E725F" w:rsidRPr="00F85253" w:rsidRDefault="000E725F" w:rsidP="000B6FF1">
      <w:pPr>
        <w:pStyle w:val="Paragraph"/>
        <w:spacing w:before="0" w:after="0" w:line="276" w:lineRule="auto"/>
        <w:outlineLvl w:val="9"/>
        <w:rPr>
          <w:rFonts w:ascii="Arial" w:hAnsi="Arial" w:cs="Arial"/>
          <w:sz w:val="22"/>
          <w:szCs w:val="22"/>
          <w:lang w:val="es-ES_tradnl"/>
        </w:rPr>
      </w:pPr>
    </w:p>
    <w:p w14:paraId="0E57B4F0" w14:textId="77777777" w:rsidR="000E725F" w:rsidRPr="00F85253" w:rsidRDefault="000E725F" w:rsidP="000B6FF1">
      <w:pPr>
        <w:pStyle w:val="Paragraph"/>
        <w:spacing w:before="0" w:after="0" w:line="276" w:lineRule="auto"/>
        <w:outlineLvl w:val="9"/>
        <w:rPr>
          <w:rFonts w:ascii="Arial" w:hAnsi="Arial" w:cs="Arial"/>
          <w:sz w:val="22"/>
          <w:szCs w:val="22"/>
          <w:lang w:val="es-ES_tradnl"/>
        </w:rPr>
      </w:pPr>
    </w:p>
    <w:p w14:paraId="55C5255E" w14:textId="77777777" w:rsidR="000E725F" w:rsidRPr="00F85253" w:rsidRDefault="000E725F" w:rsidP="000B6FF1">
      <w:pPr>
        <w:pStyle w:val="Paragraph"/>
        <w:spacing w:before="0" w:after="0" w:line="276" w:lineRule="auto"/>
        <w:outlineLvl w:val="9"/>
        <w:rPr>
          <w:rFonts w:ascii="Arial" w:hAnsi="Arial" w:cs="Arial"/>
          <w:sz w:val="22"/>
          <w:szCs w:val="22"/>
          <w:lang w:val="es-ES_tradnl"/>
        </w:rPr>
      </w:pPr>
    </w:p>
    <w:p w14:paraId="07375A3F" w14:textId="77777777" w:rsidR="000E725F" w:rsidRPr="00F85253" w:rsidRDefault="000E725F" w:rsidP="000B6FF1">
      <w:pPr>
        <w:pStyle w:val="Paragraph"/>
        <w:spacing w:before="0" w:after="0" w:line="276" w:lineRule="auto"/>
        <w:outlineLvl w:val="9"/>
        <w:rPr>
          <w:rFonts w:ascii="Arial" w:hAnsi="Arial" w:cs="Arial"/>
          <w:sz w:val="22"/>
          <w:szCs w:val="22"/>
          <w:lang w:val="es-ES_tradnl"/>
        </w:rPr>
      </w:pPr>
    </w:p>
    <w:p w14:paraId="718DE738" w14:textId="77777777" w:rsidR="000E725F" w:rsidRPr="00F85253" w:rsidRDefault="000E725F" w:rsidP="000B6FF1">
      <w:pPr>
        <w:pStyle w:val="Paragraph"/>
        <w:spacing w:before="0" w:after="0" w:line="276" w:lineRule="auto"/>
        <w:outlineLvl w:val="9"/>
        <w:rPr>
          <w:rFonts w:ascii="Arial" w:hAnsi="Arial" w:cs="Arial"/>
          <w:sz w:val="22"/>
          <w:szCs w:val="22"/>
          <w:lang w:val="es-ES_tradnl"/>
        </w:rPr>
      </w:pPr>
    </w:p>
    <w:p w14:paraId="6BEC425B" w14:textId="77777777" w:rsidR="000E725F" w:rsidRPr="00F85253" w:rsidRDefault="000E725F" w:rsidP="000B6FF1">
      <w:pPr>
        <w:pStyle w:val="Paragraph"/>
        <w:spacing w:before="0" w:after="0" w:line="276" w:lineRule="auto"/>
        <w:outlineLvl w:val="9"/>
        <w:rPr>
          <w:rFonts w:ascii="Arial" w:hAnsi="Arial" w:cs="Arial"/>
          <w:sz w:val="22"/>
          <w:szCs w:val="22"/>
          <w:lang w:val="es-ES_tradnl"/>
        </w:rPr>
      </w:pPr>
    </w:p>
    <w:p w14:paraId="61BA965E" w14:textId="77777777" w:rsidR="000E725F" w:rsidRPr="00F85253" w:rsidRDefault="000E725F" w:rsidP="000B6FF1">
      <w:pPr>
        <w:pStyle w:val="Paragraph"/>
        <w:spacing w:before="0" w:after="0" w:line="276" w:lineRule="auto"/>
        <w:outlineLvl w:val="9"/>
        <w:rPr>
          <w:rFonts w:ascii="Arial" w:hAnsi="Arial" w:cs="Arial"/>
          <w:sz w:val="22"/>
          <w:szCs w:val="22"/>
          <w:lang w:val="es-ES_tradnl"/>
        </w:rPr>
      </w:pPr>
    </w:p>
    <w:p w14:paraId="4E2770FC" w14:textId="77777777" w:rsidR="000E725F" w:rsidRPr="00F85253" w:rsidRDefault="000E725F" w:rsidP="000B6FF1">
      <w:pPr>
        <w:pStyle w:val="Paragraph"/>
        <w:spacing w:before="0" w:after="0" w:line="276" w:lineRule="auto"/>
        <w:outlineLvl w:val="9"/>
        <w:rPr>
          <w:rFonts w:ascii="Arial" w:hAnsi="Arial" w:cs="Arial"/>
          <w:sz w:val="22"/>
          <w:szCs w:val="22"/>
          <w:lang w:val="es-ES_tradnl"/>
        </w:rPr>
      </w:pPr>
    </w:p>
    <w:p w14:paraId="4B078C02" w14:textId="2C104B29" w:rsidR="000E725F" w:rsidRPr="00F85253" w:rsidRDefault="000E725F" w:rsidP="000E725F">
      <w:pPr>
        <w:pStyle w:val="Paragraph"/>
        <w:spacing w:before="0" w:after="0" w:line="276" w:lineRule="auto"/>
        <w:outlineLvl w:val="9"/>
        <w:rPr>
          <w:rFonts w:ascii="Arial" w:hAnsi="Arial" w:cs="Arial"/>
          <w:b/>
          <w:sz w:val="22"/>
        </w:rPr>
      </w:pPr>
      <w:r w:rsidRPr="00F85253">
        <w:rPr>
          <w:rFonts w:ascii="Arial" w:hAnsi="Arial" w:cs="Arial"/>
          <w:b/>
          <w:sz w:val="22"/>
        </w:rPr>
        <w:lastRenderedPageBreak/>
        <w:t xml:space="preserve">Tabla </w:t>
      </w:r>
      <w:r w:rsidRPr="00F85253">
        <w:rPr>
          <w:rFonts w:ascii="Arial" w:hAnsi="Arial" w:cs="Arial"/>
          <w:b/>
          <w:sz w:val="22"/>
        </w:rPr>
        <w:fldChar w:fldCharType="begin"/>
      </w:r>
      <w:r w:rsidRPr="00F85253">
        <w:rPr>
          <w:rFonts w:ascii="Arial" w:hAnsi="Arial" w:cs="Arial"/>
          <w:b/>
          <w:sz w:val="22"/>
        </w:rPr>
        <w:instrText xml:space="preserve"> SEQ Tabla \* ARABIC </w:instrText>
      </w:r>
      <w:r w:rsidRPr="00F85253">
        <w:rPr>
          <w:rFonts w:ascii="Arial" w:hAnsi="Arial" w:cs="Arial"/>
          <w:b/>
          <w:sz w:val="22"/>
        </w:rPr>
        <w:fldChar w:fldCharType="separate"/>
      </w:r>
      <w:r w:rsidRPr="00F85253">
        <w:rPr>
          <w:rFonts w:ascii="Arial" w:hAnsi="Arial" w:cs="Arial"/>
          <w:b/>
          <w:noProof/>
          <w:sz w:val="22"/>
        </w:rPr>
        <w:t>4</w:t>
      </w:r>
      <w:r w:rsidRPr="00F85253">
        <w:rPr>
          <w:rFonts w:ascii="Arial" w:hAnsi="Arial" w:cs="Arial"/>
          <w:b/>
          <w:sz w:val="22"/>
        </w:rPr>
        <w:fldChar w:fldCharType="end"/>
      </w:r>
      <w:r w:rsidRPr="00F85253">
        <w:rPr>
          <w:rFonts w:ascii="Arial" w:hAnsi="Arial" w:cs="Arial"/>
          <w:b/>
          <w:sz w:val="22"/>
        </w:rPr>
        <w:t xml:space="preserve"> Análisis Económico – Análisis de sensibilidad: Escenario 2</w:t>
      </w:r>
    </w:p>
    <w:p w14:paraId="7B93087B" w14:textId="77777777" w:rsidR="000E725F" w:rsidRPr="00F85253" w:rsidRDefault="000E725F" w:rsidP="000E725F">
      <w:pPr>
        <w:pStyle w:val="Paragraph"/>
        <w:spacing w:before="0" w:after="0" w:line="276" w:lineRule="auto"/>
        <w:outlineLvl w:val="9"/>
        <w:rPr>
          <w:rFonts w:ascii="Arial" w:hAnsi="Arial" w:cs="Arial"/>
          <w:b/>
          <w:sz w:val="22"/>
        </w:rPr>
      </w:pPr>
      <w:r w:rsidRPr="00F85253">
        <w:rPr>
          <w:rFonts w:ascii="Arial" w:hAnsi="Arial" w:cs="Arial"/>
          <w:b/>
        </w:rPr>
        <w:t>Millones de dólares constantes de 2018 (tasa de descuento 12%)</w:t>
      </w:r>
    </w:p>
    <w:p w14:paraId="325391A7" w14:textId="77777777" w:rsidR="000E725F" w:rsidRPr="00F85253" w:rsidRDefault="000E725F" w:rsidP="000B6FF1">
      <w:pPr>
        <w:pStyle w:val="Paragraph"/>
        <w:spacing w:before="0" w:after="0" w:line="276" w:lineRule="auto"/>
        <w:outlineLvl w:val="9"/>
        <w:rPr>
          <w:rFonts w:ascii="Arial" w:hAnsi="Arial" w:cs="Arial"/>
          <w:sz w:val="22"/>
          <w:szCs w:val="22"/>
        </w:rPr>
      </w:pPr>
    </w:p>
    <w:tbl>
      <w:tblPr>
        <w:tblW w:w="14160" w:type="dxa"/>
        <w:tblInd w:w="55" w:type="dxa"/>
        <w:tblCellMar>
          <w:left w:w="70" w:type="dxa"/>
          <w:right w:w="70" w:type="dxa"/>
        </w:tblCellMar>
        <w:tblLook w:val="04A0" w:firstRow="1" w:lastRow="0" w:firstColumn="1" w:lastColumn="0" w:noHBand="0" w:noVBand="1"/>
      </w:tblPr>
      <w:tblGrid>
        <w:gridCol w:w="4693"/>
        <w:gridCol w:w="1167"/>
        <w:gridCol w:w="880"/>
        <w:gridCol w:w="940"/>
        <w:gridCol w:w="880"/>
        <w:gridCol w:w="920"/>
        <w:gridCol w:w="780"/>
        <w:gridCol w:w="780"/>
        <w:gridCol w:w="780"/>
        <w:gridCol w:w="780"/>
        <w:gridCol w:w="780"/>
        <w:gridCol w:w="780"/>
      </w:tblGrid>
      <w:tr w:rsidR="00207185" w:rsidRPr="00F85253" w14:paraId="7CD2972F" w14:textId="77777777" w:rsidTr="00207185">
        <w:trPr>
          <w:trHeight w:val="270"/>
        </w:trPr>
        <w:tc>
          <w:tcPr>
            <w:tcW w:w="4693" w:type="dxa"/>
            <w:tcBorders>
              <w:top w:val="single" w:sz="8" w:space="0" w:color="auto"/>
              <w:left w:val="single" w:sz="8" w:space="0" w:color="auto"/>
              <w:bottom w:val="single" w:sz="8" w:space="0" w:color="auto"/>
              <w:right w:val="nil"/>
            </w:tcBorders>
            <w:shd w:val="clear" w:color="000000" w:fill="FFFFFF"/>
            <w:noWrap/>
            <w:vAlign w:val="bottom"/>
            <w:hideMark/>
          </w:tcPr>
          <w:p w14:paraId="490CD4EB" w14:textId="77777777" w:rsidR="00207185" w:rsidRPr="00F85253" w:rsidRDefault="00207185" w:rsidP="00207185">
            <w:pPr>
              <w:spacing w:after="0" w:line="240" w:lineRule="auto"/>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ITEM</w:t>
            </w:r>
          </w:p>
        </w:tc>
        <w:tc>
          <w:tcPr>
            <w:tcW w:w="1167" w:type="dxa"/>
            <w:tcBorders>
              <w:top w:val="single" w:sz="8" w:space="0" w:color="auto"/>
              <w:left w:val="nil"/>
              <w:bottom w:val="single" w:sz="8" w:space="0" w:color="auto"/>
              <w:right w:val="nil"/>
            </w:tcBorders>
            <w:shd w:val="clear" w:color="000000" w:fill="FFFFFF"/>
            <w:noWrap/>
            <w:vAlign w:val="bottom"/>
            <w:hideMark/>
          </w:tcPr>
          <w:p w14:paraId="0C510A93" w14:textId="77777777" w:rsidR="00207185" w:rsidRPr="00F85253" w:rsidRDefault="00207185" w:rsidP="00207185">
            <w:pPr>
              <w:spacing w:after="0" w:line="240" w:lineRule="auto"/>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Subtotal </w:t>
            </w:r>
          </w:p>
        </w:tc>
        <w:tc>
          <w:tcPr>
            <w:tcW w:w="880" w:type="dxa"/>
            <w:tcBorders>
              <w:top w:val="single" w:sz="8" w:space="0" w:color="auto"/>
              <w:left w:val="single" w:sz="8" w:space="0" w:color="auto"/>
              <w:bottom w:val="single" w:sz="8" w:space="0" w:color="auto"/>
              <w:right w:val="nil"/>
            </w:tcBorders>
            <w:shd w:val="clear" w:color="000000" w:fill="FFFFFF"/>
            <w:noWrap/>
            <w:vAlign w:val="bottom"/>
            <w:hideMark/>
          </w:tcPr>
          <w:p w14:paraId="1C0F5CA8"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2019</w:t>
            </w:r>
          </w:p>
        </w:tc>
        <w:tc>
          <w:tcPr>
            <w:tcW w:w="940" w:type="dxa"/>
            <w:tcBorders>
              <w:top w:val="single" w:sz="8" w:space="0" w:color="auto"/>
              <w:left w:val="nil"/>
              <w:bottom w:val="single" w:sz="8" w:space="0" w:color="auto"/>
              <w:right w:val="nil"/>
            </w:tcBorders>
            <w:shd w:val="clear" w:color="000000" w:fill="FFFFFF"/>
            <w:noWrap/>
            <w:vAlign w:val="bottom"/>
            <w:hideMark/>
          </w:tcPr>
          <w:p w14:paraId="146255CD"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2020</w:t>
            </w:r>
          </w:p>
        </w:tc>
        <w:tc>
          <w:tcPr>
            <w:tcW w:w="880" w:type="dxa"/>
            <w:tcBorders>
              <w:top w:val="single" w:sz="8" w:space="0" w:color="auto"/>
              <w:left w:val="nil"/>
              <w:bottom w:val="single" w:sz="8" w:space="0" w:color="auto"/>
              <w:right w:val="nil"/>
            </w:tcBorders>
            <w:shd w:val="clear" w:color="000000" w:fill="FFFFFF"/>
            <w:noWrap/>
            <w:vAlign w:val="bottom"/>
            <w:hideMark/>
          </w:tcPr>
          <w:p w14:paraId="1B8258DD"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2021</w:t>
            </w:r>
          </w:p>
        </w:tc>
        <w:tc>
          <w:tcPr>
            <w:tcW w:w="920" w:type="dxa"/>
            <w:tcBorders>
              <w:top w:val="single" w:sz="8" w:space="0" w:color="auto"/>
              <w:left w:val="nil"/>
              <w:bottom w:val="single" w:sz="8" w:space="0" w:color="auto"/>
              <w:right w:val="single" w:sz="8" w:space="0" w:color="auto"/>
            </w:tcBorders>
            <w:shd w:val="clear" w:color="000000" w:fill="FFFFFF"/>
            <w:noWrap/>
            <w:vAlign w:val="bottom"/>
            <w:hideMark/>
          </w:tcPr>
          <w:p w14:paraId="7297E362"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2022</w:t>
            </w:r>
          </w:p>
        </w:tc>
        <w:tc>
          <w:tcPr>
            <w:tcW w:w="780" w:type="dxa"/>
            <w:tcBorders>
              <w:top w:val="single" w:sz="8" w:space="0" w:color="auto"/>
              <w:left w:val="nil"/>
              <w:bottom w:val="single" w:sz="8" w:space="0" w:color="auto"/>
              <w:right w:val="nil"/>
            </w:tcBorders>
            <w:shd w:val="clear" w:color="000000" w:fill="FFFFFF"/>
            <w:noWrap/>
            <w:vAlign w:val="bottom"/>
            <w:hideMark/>
          </w:tcPr>
          <w:p w14:paraId="47FB2348"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2023</w:t>
            </w:r>
          </w:p>
        </w:tc>
        <w:tc>
          <w:tcPr>
            <w:tcW w:w="780" w:type="dxa"/>
            <w:tcBorders>
              <w:top w:val="single" w:sz="8" w:space="0" w:color="auto"/>
              <w:left w:val="nil"/>
              <w:bottom w:val="single" w:sz="8" w:space="0" w:color="auto"/>
              <w:right w:val="nil"/>
            </w:tcBorders>
            <w:shd w:val="clear" w:color="000000" w:fill="FFFFFF"/>
            <w:noWrap/>
            <w:vAlign w:val="bottom"/>
            <w:hideMark/>
          </w:tcPr>
          <w:p w14:paraId="08856497"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2024</w:t>
            </w:r>
          </w:p>
        </w:tc>
        <w:tc>
          <w:tcPr>
            <w:tcW w:w="780" w:type="dxa"/>
            <w:tcBorders>
              <w:top w:val="single" w:sz="8" w:space="0" w:color="auto"/>
              <w:left w:val="nil"/>
              <w:bottom w:val="single" w:sz="8" w:space="0" w:color="auto"/>
              <w:right w:val="nil"/>
            </w:tcBorders>
            <w:shd w:val="clear" w:color="000000" w:fill="FFFFFF"/>
            <w:noWrap/>
            <w:vAlign w:val="bottom"/>
            <w:hideMark/>
          </w:tcPr>
          <w:p w14:paraId="0070A9C2"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2025</w:t>
            </w:r>
          </w:p>
        </w:tc>
        <w:tc>
          <w:tcPr>
            <w:tcW w:w="780" w:type="dxa"/>
            <w:tcBorders>
              <w:top w:val="single" w:sz="8" w:space="0" w:color="auto"/>
              <w:left w:val="nil"/>
              <w:bottom w:val="single" w:sz="8" w:space="0" w:color="auto"/>
              <w:right w:val="nil"/>
            </w:tcBorders>
            <w:shd w:val="clear" w:color="000000" w:fill="FFFFFF"/>
            <w:noWrap/>
            <w:vAlign w:val="bottom"/>
            <w:hideMark/>
          </w:tcPr>
          <w:p w14:paraId="7D2D3417"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2026</w:t>
            </w:r>
          </w:p>
        </w:tc>
        <w:tc>
          <w:tcPr>
            <w:tcW w:w="780" w:type="dxa"/>
            <w:tcBorders>
              <w:top w:val="single" w:sz="8" w:space="0" w:color="auto"/>
              <w:left w:val="nil"/>
              <w:bottom w:val="single" w:sz="8" w:space="0" w:color="auto"/>
              <w:right w:val="nil"/>
            </w:tcBorders>
            <w:shd w:val="clear" w:color="000000" w:fill="FFFFFF"/>
            <w:noWrap/>
            <w:vAlign w:val="bottom"/>
            <w:hideMark/>
          </w:tcPr>
          <w:p w14:paraId="4A345489"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2027</w:t>
            </w:r>
          </w:p>
        </w:tc>
        <w:tc>
          <w:tcPr>
            <w:tcW w:w="780" w:type="dxa"/>
            <w:tcBorders>
              <w:top w:val="single" w:sz="8" w:space="0" w:color="auto"/>
              <w:left w:val="nil"/>
              <w:bottom w:val="single" w:sz="8" w:space="0" w:color="auto"/>
              <w:right w:val="single" w:sz="8" w:space="0" w:color="auto"/>
            </w:tcBorders>
            <w:shd w:val="clear" w:color="000000" w:fill="FFFFFF"/>
            <w:noWrap/>
            <w:vAlign w:val="bottom"/>
            <w:hideMark/>
          </w:tcPr>
          <w:p w14:paraId="549BECA7"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2028</w:t>
            </w:r>
          </w:p>
        </w:tc>
      </w:tr>
      <w:tr w:rsidR="00207185" w:rsidRPr="00F85253" w14:paraId="2D788D75" w14:textId="77777777" w:rsidTr="00207185">
        <w:trPr>
          <w:trHeight w:val="255"/>
        </w:trPr>
        <w:tc>
          <w:tcPr>
            <w:tcW w:w="4693" w:type="dxa"/>
            <w:tcBorders>
              <w:top w:val="nil"/>
              <w:left w:val="single" w:sz="8" w:space="0" w:color="auto"/>
              <w:bottom w:val="nil"/>
              <w:right w:val="nil"/>
            </w:tcBorders>
            <w:shd w:val="clear" w:color="000000" w:fill="FFFFFF"/>
            <w:noWrap/>
            <w:vAlign w:val="bottom"/>
            <w:hideMark/>
          </w:tcPr>
          <w:p w14:paraId="35FEE215" w14:textId="77777777" w:rsidR="00207185" w:rsidRPr="00F85253" w:rsidRDefault="00207185" w:rsidP="00207185">
            <w:pPr>
              <w:spacing w:after="0" w:line="240" w:lineRule="auto"/>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Beneficios Económicos</w:t>
            </w:r>
          </w:p>
        </w:tc>
        <w:tc>
          <w:tcPr>
            <w:tcW w:w="1167" w:type="dxa"/>
            <w:tcBorders>
              <w:top w:val="nil"/>
              <w:left w:val="nil"/>
              <w:bottom w:val="nil"/>
              <w:right w:val="nil"/>
            </w:tcBorders>
            <w:shd w:val="clear" w:color="000000" w:fill="FFFFFF"/>
            <w:noWrap/>
            <w:vAlign w:val="bottom"/>
            <w:hideMark/>
          </w:tcPr>
          <w:p w14:paraId="0E340AC9"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w:t>
            </w:r>
          </w:p>
        </w:tc>
        <w:tc>
          <w:tcPr>
            <w:tcW w:w="880" w:type="dxa"/>
            <w:tcBorders>
              <w:top w:val="nil"/>
              <w:left w:val="single" w:sz="8" w:space="0" w:color="auto"/>
              <w:bottom w:val="nil"/>
              <w:right w:val="nil"/>
            </w:tcBorders>
            <w:shd w:val="clear" w:color="000000" w:fill="FFFFFF"/>
            <w:noWrap/>
            <w:vAlign w:val="bottom"/>
            <w:hideMark/>
          </w:tcPr>
          <w:p w14:paraId="7D8E7B9C"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w:t>
            </w:r>
          </w:p>
        </w:tc>
        <w:tc>
          <w:tcPr>
            <w:tcW w:w="940" w:type="dxa"/>
            <w:tcBorders>
              <w:top w:val="nil"/>
              <w:left w:val="nil"/>
              <w:bottom w:val="nil"/>
              <w:right w:val="nil"/>
            </w:tcBorders>
            <w:shd w:val="clear" w:color="000000" w:fill="FFFFFF"/>
            <w:noWrap/>
            <w:vAlign w:val="bottom"/>
            <w:hideMark/>
          </w:tcPr>
          <w:p w14:paraId="5E291185"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880" w:type="dxa"/>
            <w:tcBorders>
              <w:top w:val="nil"/>
              <w:left w:val="nil"/>
              <w:bottom w:val="nil"/>
              <w:right w:val="nil"/>
            </w:tcBorders>
            <w:shd w:val="clear" w:color="000000" w:fill="FFFFFF"/>
            <w:noWrap/>
            <w:vAlign w:val="bottom"/>
            <w:hideMark/>
          </w:tcPr>
          <w:p w14:paraId="68921346"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920" w:type="dxa"/>
            <w:tcBorders>
              <w:top w:val="nil"/>
              <w:left w:val="nil"/>
              <w:bottom w:val="nil"/>
              <w:right w:val="single" w:sz="8" w:space="0" w:color="auto"/>
            </w:tcBorders>
            <w:shd w:val="clear" w:color="000000" w:fill="FFFFFF"/>
            <w:noWrap/>
            <w:vAlign w:val="bottom"/>
            <w:hideMark/>
          </w:tcPr>
          <w:p w14:paraId="46FA5D37"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0DD6D954"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065C36E6"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1AB2BEB1"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564A5B6D"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7DA2373D"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single" w:sz="8" w:space="0" w:color="auto"/>
            </w:tcBorders>
            <w:shd w:val="clear" w:color="000000" w:fill="FFFFFF"/>
            <w:noWrap/>
            <w:vAlign w:val="bottom"/>
            <w:hideMark/>
          </w:tcPr>
          <w:p w14:paraId="532E2CC6"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r>
      <w:tr w:rsidR="00207185" w:rsidRPr="00F85253" w14:paraId="0DBB6E4C" w14:textId="77777777" w:rsidTr="00207185">
        <w:trPr>
          <w:trHeight w:val="255"/>
        </w:trPr>
        <w:tc>
          <w:tcPr>
            <w:tcW w:w="4693" w:type="dxa"/>
            <w:tcBorders>
              <w:top w:val="nil"/>
              <w:left w:val="single" w:sz="8" w:space="0" w:color="auto"/>
              <w:bottom w:val="nil"/>
              <w:right w:val="nil"/>
            </w:tcBorders>
            <w:shd w:val="clear" w:color="000000" w:fill="FFFFFF"/>
            <w:noWrap/>
            <w:vAlign w:val="bottom"/>
            <w:hideMark/>
          </w:tcPr>
          <w:p w14:paraId="04D7A011" w14:textId="77777777" w:rsidR="00207185" w:rsidRPr="00F85253" w:rsidRDefault="00207185" w:rsidP="00207185">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C. Evitados por Desvinculación</w:t>
            </w:r>
          </w:p>
        </w:tc>
        <w:tc>
          <w:tcPr>
            <w:tcW w:w="1167" w:type="dxa"/>
            <w:tcBorders>
              <w:top w:val="nil"/>
              <w:left w:val="nil"/>
              <w:bottom w:val="nil"/>
              <w:right w:val="nil"/>
            </w:tcBorders>
            <w:shd w:val="clear" w:color="000000" w:fill="FFFFFF"/>
            <w:noWrap/>
            <w:vAlign w:val="bottom"/>
            <w:hideMark/>
          </w:tcPr>
          <w:p w14:paraId="5F24687E"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w:t>
            </w:r>
            <w:proofErr w:type="gramStart"/>
            <w:r w:rsidRPr="00F85253">
              <w:rPr>
                <w:rFonts w:ascii="Arial" w:eastAsia="Times New Roman" w:hAnsi="Arial" w:cs="Arial"/>
                <w:b/>
                <w:bCs/>
                <w:sz w:val="20"/>
                <w:szCs w:val="20"/>
                <w:lang w:val="es-EC" w:eastAsia="es-EC"/>
              </w:rPr>
              <w:t>$  218.54</w:t>
            </w:r>
            <w:proofErr w:type="gramEnd"/>
            <w:r w:rsidRPr="00F85253">
              <w:rPr>
                <w:rFonts w:ascii="Arial" w:eastAsia="Times New Roman" w:hAnsi="Arial" w:cs="Arial"/>
                <w:b/>
                <w:bCs/>
                <w:sz w:val="20"/>
                <w:szCs w:val="20"/>
                <w:lang w:val="es-EC" w:eastAsia="es-EC"/>
              </w:rPr>
              <w:t xml:space="preserve"> </w:t>
            </w:r>
          </w:p>
        </w:tc>
        <w:tc>
          <w:tcPr>
            <w:tcW w:w="880" w:type="dxa"/>
            <w:tcBorders>
              <w:top w:val="nil"/>
              <w:left w:val="single" w:sz="8" w:space="0" w:color="auto"/>
              <w:bottom w:val="nil"/>
              <w:right w:val="nil"/>
            </w:tcBorders>
            <w:shd w:val="clear" w:color="000000" w:fill="FFFFFF"/>
            <w:noWrap/>
            <w:vAlign w:val="bottom"/>
            <w:hideMark/>
          </w:tcPr>
          <w:p w14:paraId="12C98C15"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940" w:type="dxa"/>
            <w:tcBorders>
              <w:top w:val="nil"/>
              <w:left w:val="nil"/>
              <w:bottom w:val="nil"/>
              <w:right w:val="nil"/>
            </w:tcBorders>
            <w:shd w:val="clear" w:color="000000" w:fill="FFFFFF"/>
            <w:noWrap/>
            <w:vAlign w:val="bottom"/>
            <w:hideMark/>
          </w:tcPr>
          <w:p w14:paraId="590FC118"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880" w:type="dxa"/>
            <w:tcBorders>
              <w:top w:val="nil"/>
              <w:left w:val="nil"/>
              <w:bottom w:val="nil"/>
              <w:right w:val="nil"/>
            </w:tcBorders>
            <w:shd w:val="clear" w:color="000000" w:fill="FFFFFF"/>
            <w:noWrap/>
            <w:vAlign w:val="bottom"/>
            <w:hideMark/>
          </w:tcPr>
          <w:p w14:paraId="4C6F89CA"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$ 27.32 </w:t>
            </w:r>
          </w:p>
        </w:tc>
        <w:tc>
          <w:tcPr>
            <w:tcW w:w="920" w:type="dxa"/>
            <w:tcBorders>
              <w:top w:val="nil"/>
              <w:left w:val="nil"/>
              <w:bottom w:val="nil"/>
              <w:right w:val="single" w:sz="8" w:space="0" w:color="auto"/>
            </w:tcBorders>
            <w:shd w:val="clear" w:color="000000" w:fill="FFFFFF"/>
            <w:noWrap/>
            <w:vAlign w:val="bottom"/>
            <w:hideMark/>
          </w:tcPr>
          <w:p w14:paraId="6E05DC94"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w:t>
            </w:r>
            <w:proofErr w:type="gramStart"/>
            <w:r w:rsidRPr="00F85253">
              <w:rPr>
                <w:rFonts w:ascii="Arial" w:eastAsia="Times New Roman" w:hAnsi="Arial" w:cs="Arial"/>
                <w:sz w:val="20"/>
                <w:szCs w:val="20"/>
                <w:lang w:val="es-EC" w:eastAsia="es-EC"/>
              </w:rPr>
              <w:t>$  27.32</w:t>
            </w:r>
            <w:proofErr w:type="gramEnd"/>
            <w:r w:rsidRPr="00F85253">
              <w:rPr>
                <w:rFonts w:ascii="Arial" w:eastAsia="Times New Roman" w:hAnsi="Arial" w:cs="Arial"/>
                <w:sz w:val="20"/>
                <w:szCs w:val="20"/>
                <w:lang w:val="es-EC" w:eastAsia="es-EC"/>
              </w:rPr>
              <w:t xml:space="preserve"> </w:t>
            </w:r>
          </w:p>
        </w:tc>
        <w:tc>
          <w:tcPr>
            <w:tcW w:w="780" w:type="dxa"/>
            <w:tcBorders>
              <w:top w:val="nil"/>
              <w:left w:val="nil"/>
              <w:bottom w:val="nil"/>
              <w:right w:val="nil"/>
            </w:tcBorders>
            <w:shd w:val="clear" w:color="000000" w:fill="FFFFFF"/>
            <w:noWrap/>
            <w:vAlign w:val="bottom"/>
            <w:hideMark/>
          </w:tcPr>
          <w:p w14:paraId="71EBFD91"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$27.32 </w:t>
            </w:r>
          </w:p>
        </w:tc>
        <w:tc>
          <w:tcPr>
            <w:tcW w:w="780" w:type="dxa"/>
            <w:tcBorders>
              <w:top w:val="nil"/>
              <w:left w:val="nil"/>
              <w:bottom w:val="nil"/>
              <w:right w:val="nil"/>
            </w:tcBorders>
            <w:shd w:val="clear" w:color="000000" w:fill="FFFFFF"/>
            <w:noWrap/>
            <w:vAlign w:val="bottom"/>
            <w:hideMark/>
          </w:tcPr>
          <w:p w14:paraId="056BA1C9"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$27.32 </w:t>
            </w:r>
          </w:p>
        </w:tc>
        <w:tc>
          <w:tcPr>
            <w:tcW w:w="780" w:type="dxa"/>
            <w:tcBorders>
              <w:top w:val="nil"/>
              <w:left w:val="nil"/>
              <w:bottom w:val="nil"/>
              <w:right w:val="nil"/>
            </w:tcBorders>
            <w:shd w:val="clear" w:color="000000" w:fill="FFFFFF"/>
            <w:noWrap/>
            <w:vAlign w:val="bottom"/>
            <w:hideMark/>
          </w:tcPr>
          <w:p w14:paraId="0D2A441C"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$27.32 </w:t>
            </w:r>
          </w:p>
        </w:tc>
        <w:tc>
          <w:tcPr>
            <w:tcW w:w="780" w:type="dxa"/>
            <w:tcBorders>
              <w:top w:val="nil"/>
              <w:left w:val="nil"/>
              <w:bottom w:val="nil"/>
              <w:right w:val="nil"/>
            </w:tcBorders>
            <w:shd w:val="clear" w:color="000000" w:fill="FFFFFF"/>
            <w:noWrap/>
            <w:vAlign w:val="bottom"/>
            <w:hideMark/>
          </w:tcPr>
          <w:p w14:paraId="2983A078"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$27.32 </w:t>
            </w:r>
          </w:p>
        </w:tc>
        <w:tc>
          <w:tcPr>
            <w:tcW w:w="780" w:type="dxa"/>
            <w:tcBorders>
              <w:top w:val="nil"/>
              <w:left w:val="nil"/>
              <w:bottom w:val="nil"/>
              <w:right w:val="nil"/>
            </w:tcBorders>
            <w:shd w:val="clear" w:color="000000" w:fill="FFFFFF"/>
            <w:noWrap/>
            <w:vAlign w:val="bottom"/>
            <w:hideMark/>
          </w:tcPr>
          <w:p w14:paraId="39AFDB35"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$27.32 </w:t>
            </w:r>
          </w:p>
        </w:tc>
        <w:tc>
          <w:tcPr>
            <w:tcW w:w="780" w:type="dxa"/>
            <w:tcBorders>
              <w:top w:val="nil"/>
              <w:left w:val="nil"/>
              <w:bottom w:val="nil"/>
              <w:right w:val="single" w:sz="8" w:space="0" w:color="auto"/>
            </w:tcBorders>
            <w:shd w:val="clear" w:color="000000" w:fill="FFFFFF"/>
            <w:noWrap/>
            <w:vAlign w:val="bottom"/>
            <w:hideMark/>
          </w:tcPr>
          <w:p w14:paraId="2A796243"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$27.32 </w:t>
            </w:r>
          </w:p>
        </w:tc>
      </w:tr>
      <w:tr w:rsidR="00207185" w:rsidRPr="00F85253" w14:paraId="1ECDDB99" w14:textId="77777777" w:rsidTr="00207185">
        <w:trPr>
          <w:trHeight w:val="255"/>
        </w:trPr>
        <w:tc>
          <w:tcPr>
            <w:tcW w:w="4693" w:type="dxa"/>
            <w:tcBorders>
              <w:top w:val="nil"/>
              <w:left w:val="single" w:sz="8" w:space="0" w:color="auto"/>
              <w:bottom w:val="nil"/>
              <w:right w:val="nil"/>
            </w:tcBorders>
            <w:shd w:val="clear" w:color="000000" w:fill="FFFFFF"/>
            <w:noWrap/>
            <w:vAlign w:val="bottom"/>
            <w:hideMark/>
          </w:tcPr>
          <w:p w14:paraId="6A8317CC" w14:textId="77777777" w:rsidR="00207185" w:rsidRPr="00F85253" w:rsidRDefault="00207185" w:rsidP="00207185">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C. Evitados por mejor transparencia</w:t>
            </w:r>
          </w:p>
        </w:tc>
        <w:tc>
          <w:tcPr>
            <w:tcW w:w="1167" w:type="dxa"/>
            <w:tcBorders>
              <w:top w:val="nil"/>
              <w:left w:val="nil"/>
              <w:bottom w:val="nil"/>
              <w:right w:val="nil"/>
            </w:tcBorders>
            <w:shd w:val="clear" w:color="000000" w:fill="FFFFFF"/>
            <w:noWrap/>
            <w:vAlign w:val="bottom"/>
            <w:hideMark/>
          </w:tcPr>
          <w:p w14:paraId="4234E42C"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7.51 </w:t>
            </w:r>
          </w:p>
        </w:tc>
        <w:tc>
          <w:tcPr>
            <w:tcW w:w="880" w:type="dxa"/>
            <w:tcBorders>
              <w:top w:val="nil"/>
              <w:left w:val="single" w:sz="8" w:space="0" w:color="auto"/>
              <w:bottom w:val="nil"/>
              <w:right w:val="nil"/>
            </w:tcBorders>
            <w:shd w:val="clear" w:color="000000" w:fill="FFFFFF"/>
            <w:noWrap/>
            <w:vAlign w:val="bottom"/>
            <w:hideMark/>
          </w:tcPr>
          <w:p w14:paraId="02223784"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940" w:type="dxa"/>
            <w:tcBorders>
              <w:top w:val="nil"/>
              <w:left w:val="nil"/>
              <w:bottom w:val="nil"/>
              <w:right w:val="nil"/>
            </w:tcBorders>
            <w:shd w:val="clear" w:color="000000" w:fill="FFFFFF"/>
            <w:noWrap/>
            <w:vAlign w:val="bottom"/>
            <w:hideMark/>
          </w:tcPr>
          <w:p w14:paraId="75B87A06"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880" w:type="dxa"/>
            <w:tcBorders>
              <w:top w:val="nil"/>
              <w:left w:val="nil"/>
              <w:bottom w:val="nil"/>
              <w:right w:val="nil"/>
            </w:tcBorders>
            <w:shd w:val="clear" w:color="000000" w:fill="FFFFFF"/>
            <w:noWrap/>
            <w:vAlign w:val="bottom"/>
            <w:hideMark/>
          </w:tcPr>
          <w:p w14:paraId="412E256E"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920" w:type="dxa"/>
            <w:tcBorders>
              <w:top w:val="nil"/>
              <w:left w:val="nil"/>
              <w:bottom w:val="nil"/>
              <w:right w:val="single" w:sz="8" w:space="0" w:color="auto"/>
            </w:tcBorders>
            <w:shd w:val="clear" w:color="000000" w:fill="FFFFFF"/>
            <w:noWrap/>
            <w:vAlign w:val="bottom"/>
            <w:hideMark/>
          </w:tcPr>
          <w:p w14:paraId="225EB113"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780" w:type="dxa"/>
            <w:tcBorders>
              <w:top w:val="nil"/>
              <w:left w:val="nil"/>
              <w:bottom w:val="nil"/>
              <w:right w:val="nil"/>
            </w:tcBorders>
            <w:shd w:val="clear" w:color="000000" w:fill="FFFFFF"/>
            <w:noWrap/>
            <w:vAlign w:val="bottom"/>
            <w:hideMark/>
          </w:tcPr>
          <w:p w14:paraId="25BBDDA7" w14:textId="77777777" w:rsidR="00207185" w:rsidRPr="00F85253" w:rsidRDefault="00207185" w:rsidP="00207185">
            <w:pPr>
              <w:spacing w:after="0" w:line="240" w:lineRule="auto"/>
              <w:jc w:val="right"/>
              <w:rPr>
                <w:rFonts w:ascii="Arial" w:eastAsia="Times New Roman" w:hAnsi="Arial" w:cs="Arial"/>
                <w:b/>
                <w:bCs/>
                <w:color w:val="00B0F0"/>
                <w:sz w:val="20"/>
                <w:szCs w:val="20"/>
                <w:lang w:val="es-EC" w:eastAsia="es-EC"/>
              </w:rPr>
            </w:pPr>
            <w:r w:rsidRPr="00F85253">
              <w:rPr>
                <w:rFonts w:ascii="Arial" w:eastAsia="Times New Roman" w:hAnsi="Arial" w:cs="Arial"/>
                <w:b/>
                <w:bCs/>
                <w:color w:val="00B0F0"/>
                <w:sz w:val="20"/>
                <w:szCs w:val="20"/>
                <w:lang w:val="es-EC" w:eastAsia="es-EC"/>
              </w:rPr>
              <w:t xml:space="preserve"> $ 0.24 </w:t>
            </w:r>
          </w:p>
        </w:tc>
        <w:tc>
          <w:tcPr>
            <w:tcW w:w="780" w:type="dxa"/>
            <w:tcBorders>
              <w:top w:val="nil"/>
              <w:left w:val="nil"/>
              <w:bottom w:val="nil"/>
              <w:right w:val="nil"/>
            </w:tcBorders>
            <w:shd w:val="clear" w:color="000000" w:fill="FFFFFF"/>
            <w:noWrap/>
            <w:vAlign w:val="bottom"/>
            <w:hideMark/>
          </w:tcPr>
          <w:p w14:paraId="3333088A" w14:textId="77777777" w:rsidR="00207185" w:rsidRPr="00F85253" w:rsidRDefault="00207185" w:rsidP="00207185">
            <w:pPr>
              <w:spacing w:after="0" w:line="240" w:lineRule="auto"/>
              <w:jc w:val="right"/>
              <w:rPr>
                <w:rFonts w:ascii="Arial" w:eastAsia="Times New Roman" w:hAnsi="Arial" w:cs="Arial"/>
                <w:b/>
                <w:bCs/>
                <w:color w:val="00B0F0"/>
                <w:sz w:val="20"/>
                <w:szCs w:val="20"/>
                <w:lang w:val="es-EC" w:eastAsia="es-EC"/>
              </w:rPr>
            </w:pPr>
            <w:r w:rsidRPr="00F85253">
              <w:rPr>
                <w:rFonts w:ascii="Arial" w:eastAsia="Times New Roman" w:hAnsi="Arial" w:cs="Arial"/>
                <w:b/>
                <w:bCs/>
                <w:color w:val="00B0F0"/>
                <w:sz w:val="20"/>
                <w:szCs w:val="20"/>
                <w:lang w:val="es-EC" w:eastAsia="es-EC"/>
              </w:rPr>
              <w:t xml:space="preserve"> $ 0.40 </w:t>
            </w:r>
          </w:p>
        </w:tc>
        <w:tc>
          <w:tcPr>
            <w:tcW w:w="780" w:type="dxa"/>
            <w:tcBorders>
              <w:top w:val="nil"/>
              <w:left w:val="nil"/>
              <w:bottom w:val="nil"/>
              <w:right w:val="nil"/>
            </w:tcBorders>
            <w:shd w:val="clear" w:color="000000" w:fill="FFFFFF"/>
            <w:noWrap/>
            <w:vAlign w:val="bottom"/>
            <w:hideMark/>
          </w:tcPr>
          <w:p w14:paraId="47DB6ACD" w14:textId="77777777" w:rsidR="00207185" w:rsidRPr="00F85253" w:rsidRDefault="00207185" w:rsidP="00207185">
            <w:pPr>
              <w:spacing w:after="0" w:line="240" w:lineRule="auto"/>
              <w:jc w:val="right"/>
              <w:rPr>
                <w:rFonts w:ascii="Arial" w:eastAsia="Times New Roman" w:hAnsi="Arial" w:cs="Arial"/>
                <w:b/>
                <w:bCs/>
                <w:color w:val="00B0F0"/>
                <w:sz w:val="20"/>
                <w:szCs w:val="20"/>
                <w:lang w:val="es-EC" w:eastAsia="es-EC"/>
              </w:rPr>
            </w:pPr>
            <w:r w:rsidRPr="00F85253">
              <w:rPr>
                <w:rFonts w:ascii="Arial" w:eastAsia="Times New Roman" w:hAnsi="Arial" w:cs="Arial"/>
                <w:b/>
                <w:bCs/>
                <w:color w:val="00B0F0"/>
                <w:sz w:val="20"/>
                <w:szCs w:val="20"/>
                <w:lang w:val="es-EC" w:eastAsia="es-EC"/>
              </w:rPr>
              <w:t xml:space="preserve"> $ 0.68 </w:t>
            </w:r>
          </w:p>
        </w:tc>
        <w:tc>
          <w:tcPr>
            <w:tcW w:w="780" w:type="dxa"/>
            <w:tcBorders>
              <w:top w:val="nil"/>
              <w:left w:val="nil"/>
              <w:bottom w:val="nil"/>
              <w:right w:val="nil"/>
            </w:tcBorders>
            <w:shd w:val="clear" w:color="000000" w:fill="FFFFFF"/>
            <w:noWrap/>
            <w:vAlign w:val="bottom"/>
            <w:hideMark/>
          </w:tcPr>
          <w:p w14:paraId="479D1E0D" w14:textId="77777777" w:rsidR="00207185" w:rsidRPr="00F85253" w:rsidRDefault="00207185" w:rsidP="00207185">
            <w:pPr>
              <w:spacing w:after="0" w:line="240" w:lineRule="auto"/>
              <w:jc w:val="right"/>
              <w:rPr>
                <w:rFonts w:ascii="Arial" w:eastAsia="Times New Roman" w:hAnsi="Arial" w:cs="Arial"/>
                <w:b/>
                <w:bCs/>
                <w:color w:val="00B0F0"/>
                <w:sz w:val="20"/>
                <w:szCs w:val="20"/>
                <w:lang w:val="es-EC" w:eastAsia="es-EC"/>
              </w:rPr>
            </w:pPr>
            <w:r w:rsidRPr="00F85253">
              <w:rPr>
                <w:rFonts w:ascii="Arial" w:eastAsia="Times New Roman" w:hAnsi="Arial" w:cs="Arial"/>
                <w:b/>
                <w:bCs/>
                <w:color w:val="00B0F0"/>
                <w:sz w:val="20"/>
                <w:szCs w:val="20"/>
                <w:lang w:val="es-EC" w:eastAsia="es-EC"/>
              </w:rPr>
              <w:t xml:space="preserve"> $ 1.13 </w:t>
            </w:r>
          </w:p>
        </w:tc>
        <w:tc>
          <w:tcPr>
            <w:tcW w:w="780" w:type="dxa"/>
            <w:tcBorders>
              <w:top w:val="nil"/>
              <w:left w:val="nil"/>
              <w:bottom w:val="nil"/>
              <w:right w:val="nil"/>
            </w:tcBorders>
            <w:shd w:val="clear" w:color="000000" w:fill="FFFFFF"/>
            <w:noWrap/>
            <w:vAlign w:val="bottom"/>
            <w:hideMark/>
          </w:tcPr>
          <w:p w14:paraId="7196C1EB" w14:textId="77777777" w:rsidR="00207185" w:rsidRPr="00F85253" w:rsidRDefault="00207185" w:rsidP="00207185">
            <w:pPr>
              <w:spacing w:after="0" w:line="240" w:lineRule="auto"/>
              <w:jc w:val="right"/>
              <w:rPr>
                <w:rFonts w:ascii="Arial" w:eastAsia="Times New Roman" w:hAnsi="Arial" w:cs="Arial"/>
                <w:b/>
                <w:bCs/>
                <w:color w:val="00B0F0"/>
                <w:sz w:val="20"/>
                <w:szCs w:val="20"/>
                <w:lang w:val="es-EC" w:eastAsia="es-EC"/>
              </w:rPr>
            </w:pPr>
            <w:r w:rsidRPr="00F85253">
              <w:rPr>
                <w:rFonts w:ascii="Arial" w:eastAsia="Times New Roman" w:hAnsi="Arial" w:cs="Arial"/>
                <w:b/>
                <w:bCs/>
                <w:color w:val="00B0F0"/>
                <w:sz w:val="20"/>
                <w:szCs w:val="20"/>
                <w:lang w:val="es-EC" w:eastAsia="es-EC"/>
              </w:rPr>
              <w:t xml:space="preserve"> $ 1.90 </w:t>
            </w:r>
          </w:p>
        </w:tc>
        <w:tc>
          <w:tcPr>
            <w:tcW w:w="780" w:type="dxa"/>
            <w:tcBorders>
              <w:top w:val="nil"/>
              <w:left w:val="nil"/>
              <w:bottom w:val="nil"/>
              <w:right w:val="single" w:sz="8" w:space="0" w:color="auto"/>
            </w:tcBorders>
            <w:shd w:val="clear" w:color="000000" w:fill="FFFFFF"/>
            <w:noWrap/>
            <w:vAlign w:val="bottom"/>
            <w:hideMark/>
          </w:tcPr>
          <w:p w14:paraId="3F9A5579" w14:textId="77777777" w:rsidR="00207185" w:rsidRPr="00F85253" w:rsidRDefault="00207185" w:rsidP="00207185">
            <w:pPr>
              <w:spacing w:after="0" w:line="240" w:lineRule="auto"/>
              <w:jc w:val="right"/>
              <w:rPr>
                <w:rFonts w:ascii="Arial" w:eastAsia="Times New Roman" w:hAnsi="Arial" w:cs="Arial"/>
                <w:b/>
                <w:bCs/>
                <w:color w:val="00B0F0"/>
                <w:sz w:val="20"/>
                <w:szCs w:val="20"/>
                <w:lang w:val="es-EC" w:eastAsia="es-EC"/>
              </w:rPr>
            </w:pPr>
            <w:r w:rsidRPr="00F85253">
              <w:rPr>
                <w:rFonts w:ascii="Arial" w:eastAsia="Times New Roman" w:hAnsi="Arial" w:cs="Arial"/>
                <w:b/>
                <w:bCs/>
                <w:color w:val="00B0F0"/>
                <w:sz w:val="20"/>
                <w:szCs w:val="20"/>
                <w:lang w:val="es-EC" w:eastAsia="es-EC"/>
              </w:rPr>
              <w:t xml:space="preserve"> $ 3.16 </w:t>
            </w:r>
          </w:p>
        </w:tc>
      </w:tr>
      <w:tr w:rsidR="00207185" w:rsidRPr="00F85253" w14:paraId="24996478" w14:textId="77777777" w:rsidTr="00207185">
        <w:trPr>
          <w:trHeight w:val="255"/>
        </w:trPr>
        <w:tc>
          <w:tcPr>
            <w:tcW w:w="4693" w:type="dxa"/>
            <w:tcBorders>
              <w:top w:val="nil"/>
              <w:left w:val="single" w:sz="8" w:space="0" w:color="auto"/>
              <w:bottom w:val="nil"/>
              <w:right w:val="nil"/>
            </w:tcBorders>
            <w:shd w:val="clear" w:color="000000" w:fill="FFFFFF"/>
            <w:noWrap/>
            <w:vAlign w:val="bottom"/>
            <w:hideMark/>
          </w:tcPr>
          <w:p w14:paraId="5A6E51D9" w14:textId="77777777" w:rsidR="00207185" w:rsidRPr="00F85253" w:rsidRDefault="00207185" w:rsidP="00207185">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C. Evitados por mejor Eficiencia por fusión</w:t>
            </w:r>
          </w:p>
        </w:tc>
        <w:tc>
          <w:tcPr>
            <w:tcW w:w="1167" w:type="dxa"/>
            <w:tcBorders>
              <w:top w:val="nil"/>
              <w:left w:val="nil"/>
              <w:bottom w:val="nil"/>
              <w:right w:val="nil"/>
            </w:tcBorders>
            <w:shd w:val="clear" w:color="000000" w:fill="FFFFFF"/>
            <w:noWrap/>
            <w:vAlign w:val="bottom"/>
            <w:hideMark/>
          </w:tcPr>
          <w:p w14:paraId="5546E6CB"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63.91 </w:t>
            </w:r>
          </w:p>
        </w:tc>
        <w:tc>
          <w:tcPr>
            <w:tcW w:w="880" w:type="dxa"/>
            <w:tcBorders>
              <w:top w:val="nil"/>
              <w:left w:val="single" w:sz="8" w:space="0" w:color="auto"/>
              <w:bottom w:val="nil"/>
              <w:right w:val="nil"/>
            </w:tcBorders>
            <w:shd w:val="clear" w:color="000000" w:fill="FFFFFF"/>
            <w:noWrap/>
            <w:vAlign w:val="bottom"/>
            <w:hideMark/>
          </w:tcPr>
          <w:p w14:paraId="1C10E858"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940" w:type="dxa"/>
            <w:tcBorders>
              <w:top w:val="nil"/>
              <w:left w:val="nil"/>
              <w:bottom w:val="nil"/>
              <w:right w:val="nil"/>
            </w:tcBorders>
            <w:shd w:val="clear" w:color="000000" w:fill="FFFFFF"/>
            <w:noWrap/>
            <w:vAlign w:val="bottom"/>
            <w:hideMark/>
          </w:tcPr>
          <w:p w14:paraId="4FAE2F57"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880" w:type="dxa"/>
            <w:tcBorders>
              <w:top w:val="nil"/>
              <w:left w:val="nil"/>
              <w:bottom w:val="nil"/>
              <w:right w:val="nil"/>
            </w:tcBorders>
            <w:shd w:val="clear" w:color="000000" w:fill="FFFFFF"/>
            <w:noWrap/>
            <w:vAlign w:val="bottom"/>
            <w:hideMark/>
          </w:tcPr>
          <w:p w14:paraId="685AFF5C"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920" w:type="dxa"/>
            <w:tcBorders>
              <w:top w:val="nil"/>
              <w:left w:val="nil"/>
              <w:bottom w:val="nil"/>
              <w:right w:val="single" w:sz="8" w:space="0" w:color="auto"/>
            </w:tcBorders>
            <w:shd w:val="clear" w:color="000000" w:fill="FFFFFF"/>
            <w:noWrap/>
            <w:vAlign w:val="bottom"/>
            <w:hideMark/>
          </w:tcPr>
          <w:p w14:paraId="060355B3"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780" w:type="dxa"/>
            <w:tcBorders>
              <w:top w:val="nil"/>
              <w:left w:val="nil"/>
              <w:bottom w:val="nil"/>
              <w:right w:val="nil"/>
            </w:tcBorders>
            <w:shd w:val="clear" w:color="000000" w:fill="FFFFFF"/>
            <w:noWrap/>
            <w:vAlign w:val="bottom"/>
            <w:hideMark/>
          </w:tcPr>
          <w:p w14:paraId="48FB6F5F"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$ 2.28 </w:t>
            </w:r>
          </w:p>
        </w:tc>
        <w:tc>
          <w:tcPr>
            <w:tcW w:w="780" w:type="dxa"/>
            <w:tcBorders>
              <w:top w:val="nil"/>
              <w:left w:val="nil"/>
              <w:bottom w:val="nil"/>
              <w:right w:val="nil"/>
            </w:tcBorders>
            <w:shd w:val="clear" w:color="000000" w:fill="FFFFFF"/>
            <w:noWrap/>
            <w:vAlign w:val="bottom"/>
            <w:hideMark/>
          </w:tcPr>
          <w:p w14:paraId="70EC63F4"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$ 3.73 </w:t>
            </w:r>
          </w:p>
        </w:tc>
        <w:tc>
          <w:tcPr>
            <w:tcW w:w="780" w:type="dxa"/>
            <w:tcBorders>
              <w:top w:val="nil"/>
              <w:left w:val="nil"/>
              <w:bottom w:val="nil"/>
              <w:right w:val="nil"/>
            </w:tcBorders>
            <w:shd w:val="clear" w:color="000000" w:fill="FFFFFF"/>
            <w:noWrap/>
            <w:vAlign w:val="bottom"/>
            <w:hideMark/>
          </w:tcPr>
          <w:p w14:paraId="37C37CAE"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$ 6.08 </w:t>
            </w:r>
          </w:p>
        </w:tc>
        <w:tc>
          <w:tcPr>
            <w:tcW w:w="780" w:type="dxa"/>
            <w:tcBorders>
              <w:top w:val="nil"/>
              <w:left w:val="nil"/>
              <w:bottom w:val="nil"/>
              <w:right w:val="nil"/>
            </w:tcBorders>
            <w:shd w:val="clear" w:color="000000" w:fill="FFFFFF"/>
            <w:noWrap/>
            <w:vAlign w:val="bottom"/>
            <w:hideMark/>
          </w:tcPr>
          <w:p w14:paraId="6192EE8F"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$ 9.89 </w:t>
            </w:r>
          </w:p>
        </w:tc>
        <w:tc>
          <w:tcPr>
            <w:tcW w:w="780" w:type="dxa"/>
            <w:tcBorders>
              <w:top w:val="nil"/>
              <w:left w:val="nil"/>
              <w:bottom w:val="nil"/>
              <w:right w:val="nil"/>
            </w:tcBorders>
            <w:shd w:val="clear" w:color="000000" w:fill="FFFFFF"/>
            <w:noWrap/>
            <w:vAlign w:val="bottom"/>
            <w:hideMark/>
          </w:tcPr>
          <w:p w14:paraId="5CD6CB80"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$16.02 </w:t>
            </w:r>
          </w:p>
        </w:tc>
        <w:tc>
          <w:tcPr>
            <w:tcW w:w="780" w:type="dxa"/>
            <w:tcBorders>
              <w:top w:val="nil"/>
              <w:left w:val="nil"/>
              <w:bottom w:val="nil"/>
              <w:right w:val="single" w:sz="8" w:space="0" w:color="auto"/>
            </w:tcBorders>
            <w:shd w:val="clear" w:color="000000" w:fill="FFFFFF"/>
            <w:noWrap/>
            <w:vAlign w:val="bottom"/>
            <w:hideMark/>
          </w:tcPr>
          <w:p w14:paraId="3749C864"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$25.90 </w:t>
            </w:r>
          </w:p>
        </w:tc>
      </w:tr>
      <w:tr w:rsidR="00207185" w:rsidRPr="00F85253" w14:paraId="6E6BD12B" w14:textId="77777777" w:rsidTr="00207185">
        <w:trPr>
          <w:trHeight w:val="255"/>
        </w:trPr>
        <w:tc>
          <w:tcPr>
            <w:tcW w:w="4693" w:type="dxa"/>
            <w:tcBorders>
              <w:top w:val="nil"/>
              <w:left w:val="single" w:sz="8" w:space="0" w:color="auto"/>
              <w:bottom w:val="nil"/>
              <w:right w:val="nil"/>
            </w:tcBorders>
            <w:shd w:val="clear" w:color="000000" w:fill="FFFFFF"/>
            <w:noWrap/>
            <w:vAlign w:val="bottom"/>
            <w:hideMark/>
          </w:tcPr>
          <w:p w14:paraId="2BB015A7" w14:textId="77777777" w:rsidR="00207185" w:rsidRPr="00F85253" w:rsidRDefault="00207185" w:rsidP="00207185">
            <w:pPr>
              <w:spacing w:after="0" w:line="240" w:lineRule="auto"/>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Subtotal Beneficios</w:t>
            </w:r>
          </w:p>
        </w:tc>
        <w:tc>
          <w:tcPr>
            <w:tcW w:w="1167" w:type="dxa"/>
            <w:tcBorders>
              <w:top w:val="nil"/>
              <w:left w:val="nil"/>
              <w:bottom w:val="nil"/>
              <w:right w:val="nil"/>
            </w:tcBorders>
            <w:shd w:val="clear" w:color="000000" w:fill="FFFFFF"/>
            <w:noWrap/>
            <w:vAlign w:val="bottom"/>
            <w:hideMark/>
          </w:tcPr>
          <w:p w14:paraId="1D3B7B24"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w:t>
            </w:r>
            <w:proofErr w:type="gramStart"/>
            <w:r w:rsidRPr="00F85253">
              <w:rPr>
                <w:rFonts w:ascii="Arial" w:eastAsia="Times New Roman" w:hAnsi="Arial" w:cs="Arial"/>
                <w:b/>
                <w:bCs/>
                <w:sz w:val="20"/>
                <w:szCs w:val="20"/>
                <w:lang w:val="es-EC" w:eastAsia="es-EC"/>
              </w:rPr>
              <w:t>$  289.97</w:t>
            </w:r>
            <w:proofErr w:type="gramEnd"/>
            <w:r w:rsidRPr="00F85253">
              <w:rPr>
                <w:rFonts w:ascii="Arial" w:eastAsia="Times New Roman" w:hAnsi="Arial" w:cs="Arial"/>
                <w:b/>
                <w:bCs/>
                <w:sz w:val="20"/>
                <w:szCs w:val="20"/>
                <w:lang w:val="es-EC" w:eastAsia="es-EC"/>
              </w:rPr>
              <w:t xml:space="preserve"> </w:t>
            </w:r>
          </w:p>
        </w:tc>
        <w:tc>
          <w:tcPr>
            <w:tcW w:w="880" w:type="dxa"/>
            <w:tcBorders>
              <w:top w:val="nil"/>
              <w:left w:val="single" w:sz="8" w:space="0" w:color="auto"/>
              <w:bottom w:val="nil"/>
              <w:right w:val="nil"/>
            </w:tcBorders>
            <w:shd w:val="clear" w:color="000000" w:fill="FFFFFF"/>
            <w:noWrap/>
            <w:vAlign w:val="bottom"/>
            <w:hideMark/>
          </w:tcPr>
          <w:p w14:paraId="0DEFD4E5"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   </w:t>
            </w:r>
          </w:p>
        </w:tc>
        <w:tc>
          <w:tcPr>
            <w:tcW w:w="940" w:type="dxa"/>
            <w:tcBorders>
              <w:top w:val="nil"/>
              <w:left w:val="nil"/>
              <w:bottom w:val="nil"/>
              <w:right w:val="nil"/>
            </w:tcBorders>
            <w:shd w:val="clear" w:color="000000" w:fill="FFFFFF"/>
            <w:noWrap/>
            <w:vAlign w:val="bottom"/>
            <w:hideMark/>
          </w:tcPr>
          <w:p w14:paraId="44C70D3D"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   </w:t>
            </w:r>
          </w:p>
        </w:tc>
        <w:tc>
          <w:tcPr>
            <w:tcW w:w="880" w:type="dxa"/>
            <w:tcBorders>
              <w:top w:val="nil"/>
              <w:left w:val="nil"/>
              <w:bottom w:val="nil"/>
              <w:right w:val="nil"/>
            </w:tcBorders>
            <w:shd w:val="clear" w:color="000000" w:fill="FFFFFF"/>
            <w:noWrap/>
            <w:vAlign w:val="bottom"/>
            <w:hideMark/>
          </w:tcPr>
          <w:p w14:paraId="2353B1E8"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$ 27.32 </w:t>
            </w:r>
          </w:p>
        </w:tc>
        <w:tc>
          <w:tcPr>
            <w:tcW w:w="920" w:type="dxa"/>
            <w:tcBorders>
              <w:top w:val="nil"/>
              <w:left w:val="nil"/>
              <w:bottom w:val="nil"/>
              <w:right w:val="single" w:sz="8" w:space="0" w:color="auto"/>
            </w:tcBorders>
            <w:shd w:val="clear" w:color="000000" w:fill="FFFFFF"/>
            <w:noWrap/>
            <w:vAlign w:val="bottom"/>
            <w:hideMark/>
          </w:tcPr>
          <w:p w14:paraId="5CDCD577"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w:t>
            </w:r>
            <w:proofErr w:type="gramStart"/>
            <w:r w:rsidRPr="00F85253">
              <w:rPr>
                <w:rFonts w:ascii="Arial" w:eastAsia="Times New Roman" w:hAnsi="Arial" w:cs="Arial"/>
                <w:b/>
                <w:bCs/>
                <w:sz w:val="20"/>
                <w:szCs w:val="20"/>
                <w:lang w:val="es-EC" w:eastAsia="es-EC"/>
              </w:rPr>
              <w:t>$  27.32</w:t>
            </w:r>
            <w:proofErr w:type="gramEnd"/>
            <w:r w:rsidRPr="00F85253">
              <w:rPr>
                <w:rFonts w:ascii="Arial" w:eastAsia="Times New Roman" w:hAnsi="Arial" w:cs="Arial"/>
                <w:b/>
                <w:bCs/>
                <w:sz w:val="20"/>
                <w:szCs w:val="20"/>
                <w:lang w:val="es-EC" w:eastAsia="es-EC"/>
              </w:rPr>
              <w:t xml:space="preserve"> </w:t>
            </w:r>
          </w:p>
        </w:tc>
        <w:tc>
          <w:tcPr>
            <w:tcW w:w="780" w:type="dxa"/>
            <w:tcBorders>
              <w:top w:val="nil"/>
              <w:left w:val="nil"/>
              <w:bottom w:val="nil"/>
              <w:right w:val="nil"/>
            </w:tcBorders>
            <w:shd w:val="clear" w:color="000000" w:fill="FFFFFF"/>
            <w:noWrap/>
            <w:vAlign w:val="bottom"/>
            <w:hideMark/>
          </w:tcPr>
          <w:p w14:paraId="1EF61B50"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$29.84 </w:t>
            </w:r>
          </w:p>
        </w:tc>
        <w:tc>
          <w:tcPr>
            <w:tcW w:w="780" w:type="dxa"/>
            <w:tcBorders>
              <w:top w:val="nil"/>
              <w:left w:val="nil"/>
              <w:bottom w:val="nil"/>
              <w:right w:val="nil"/>
            </w:tcBorders>
            <w:shd w:val="clear" w:color="000000" w:fill="FFFFFF"/>
            <w:noWrap/>
            <w:vAlign w:val="bottom"/>
            <w:hideMark/>
          </w:tcPr>
          <w:p w14:paraId="628280CF"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$31.45 </w:t>
            </w:r>
          </w:p>
        </w:tc>
        <w:tc>
          <w:tcPr>
            <w:tcW w:w="780" w:type="dxa"/>
            <w:tcBorders>
              <w:top w:val="nil"/>
              <w:left w:val="nil"/>
              <w:bottom w:val="nil"/>
              <w:right w:val="nil"/>
            </w:tcBorders>
            <w:shd w:val="clear" w:color="000000" w:fill="FFFFFF"/>
            <w:noWrap/>
            <w:vAlign w:val="bottom"/>
            <w:hideMark/>
          </w:tcPr>
          <w:p w14:paraId="4394809B"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$34.08 </w:t>
            </w:r>
          </w:p>
        </w:tc>
        <w:tc>
          <w:tcPr>
            <w:tcW w:w="780" w:type="dxa"/>
            <w:tcBorders>
              <w:top w:val="nil"/>
              <w:left w:val="nil"/>
              <w:bottom w:val="nil"/>
              <w:right w:val="nil"/>
            </w:tcBorders>
            <w:shd w:val="clear" w:color="000000" w:fill="FFFFFF"/>
            <w:noWrap/>
            <w:vAlign w:val="bottom"/>
            <w:hideMark/>
          </w:tcPr>
          <w:p w14:paraId="33169A5E"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$38.34 </w:t>
            </w:r>
          </w:p>
        </w:tc>
        <w:tc>
          <w:tcPr>
            <w:tcW w:w="780" w:type="dxa"/>
            <w:tcBorders>
              <w:top w:val="nil"/>
              <w:left w:val="nil"/>
              <w:bottom w:val="nil"/>
              <w:right w:val="nil"/>
            </w:tcBorders>
            <w:shd w:val="clear" w:color="000000" w:fill="FFFFFF"/>
            <w:noWrap/>
            <w:vAlign w:val="bottom"/>
            <w:hideMark/>
          </w:tcPr>
          <w:p w14:paraId="052CDCBF"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$45.24 </w:t>
            </w:r>
          </w:p>
        </w:tc>
        <w:tc>
          <w:tcPr>
            <w:tcW w:w="780" w:type="dxa"/>
            <w:tcBorders>
              <w:top w:val="nil"/>
              <w:left w:val="nil"/>
              <w:bottom w:val="nil"/>
              <w:right w:val="single" w:sz="8" w:space="0" w:color="auto"/>
            </w:tcBorders>
            <w:shd w:val="clear" w:color="000000" w:fill="FFFFFF"/>
            <w:noWrap/>
            <w:vAlign w:val="bottom"/>
            <w:hideMark/>
          </w:tcPr>
          <w:p w14:paraId="251D41A3"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$56.38 </w:t>
            </w:r>
          </w:p>
        </w:tc>
      </w:tr>
      <w:tr w:rsidR="00207185" w:rsidRPr="00F85253" w14:paraId="046A66DE" w14:textId="77777777" w:rsidTr="00207185">
        <w:trPr>
          <w:trHeight w:val="255"/>
        </w:trPr>
        <w:tc>
          <w:tcPr>
            <w:tcW w:w="4693" w:type="dxa"/>
            <w:tcBorders>
              <w:top w:val="nil"/>
              <w:left w:val="single" w:sz="8" w:space="0" w:color="auto"/>
              <w:bottom w:val="nil"/>
              <w:right w:val="nil"/>
            </w:tcBorders>
            <w:shd w:val="clear" w:color="000000" w:fill="FFFFFF"/>
            <w:noWrap/>
            <w:vAlign w:val="bottom"/>
            <w:hideMark/>
          </w:tcPr>
          <w:p w14:paraId="39445F59" w14:textId="77777777" w:rsidR="00207185" w:rsidRPr="00F85253" w:rsidRDefault="00207185" w:rsidP="00207185">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1167" w:type="dxa"/>
            <w:tcBorders>
              <w:top w:val="nil"/>
              <w:left w:val="nil"/>
              <w:bottom w:val="nil"/>
              <w:right w:val="nil"/>
            </w:tcBorders>
            <w:shd w:val="clear" w:color="000000" w:fill="FFFFFF"/>
            <w:noWrap/>
            <w:vAlign w:val="bottom"/>
            <w:hideMark/>
          </w:tcPr>
          <w:p w14:paraId="0F0AB592"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w:t>
            </w:r>
          </w:p>
        </w:tc>
        <w:tc>
          <w:tcPr>
            <w:tcW w:w="880" w:type="dxa"/>
            <w:tcBorders>
              <w:top w:val="nil"/>
              <w:left w:val="single" w:sz="8" w:space="0" w:color="auto"/>
              <w:bottom w:val="nil"/>
              <w:right w:val="nil"/>
            </w:tcBorders>
            <w:shd w:val="clear" w:color="000000" w:fill="FFFFFF"/>
            <w:noWrap/>
            <w:vAlign w:val="bottom"/>
            <w:hideMark/>
          </w:tcPr>
          <w:p w14:paraId="28E46C85"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w:t>
            </w:r>
          </w:p>
        </w:tc>
        <w:tc>
          <w:tcPr>
            <w:tcW w:w="940" w:type="dxa"/>
            <w:tcBorders>
              <w:top w:val="nil"/>
              <w:left w:val="nil"/>
              <w:bottom w:val="nil"/>
              <w:right w:val="nil"/>
            </w:tcBorders>
            <w:shd w:val="clear" w:color="000000" w:fill="FFFFFF"/>
            <w:noWrap/>
            <w:vAlign w:val="bottom"/>
            <w:hideMark/>
          </w:tcPr>
          <w:p w14:paraId="5E23F2EC"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880" w:type="dxa"/>
            <w:tcBorders>
              <w:top w:val="nil"/>
              <w:left w:val="nil"/>
              <w:bottom w:val="nil"/>
              <w:right w:val="nil"/>
            </w:tcBorders>
            <w:shd w:val="clear" w:color="000000" w:fill="FFFFFF"/>
            <w:noWrap/>
            <w:vAlign w:val="bottom"/>
            <w:hideMark/>
          </w:tcPr>
          <w:p w14:paraId="242B21F3"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920" w:type="dxa"/>
            <w:tcBorders>
              <w:top w:val="nil"/>
              <w:left w:val="nil"/>
              <w:bottom w:val="nil"/>
              <w:right w:val="single" w:sz="8" w:space="0" w:color="auto"/>
            </w:tcBorders>
            <w:shd w:val="clear" w:color="000000" w:fill="FFFFFF"/>
            <w:noWrap/>
            <w:vAlign w:val="bottom"/>
            <w:hideMark/>
          </w:tcPr>
          <w:p w14:paraId="25C2356E"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268881BF"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5DE64C7C"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6711118D"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14DB4CA1"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3C178060"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single" w:sz="8" w:space="0" w:color="auto"/>
            </w:tcBorders>
            <w:shd w:val="clear" w:color="000000" w:fill="FFFFFF"/>
            <w:noWrap/>
            <w:vAlign w:val="bottom"/>
            <w:hideMark/>
          </w:tcPr>
          <w:p w14:paraId="6CA4AC14"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r>
      <w:tr w:rsidR="00207185" w:rsidRPr="00F85253" w14:paraId="6BC1741D" w14:textId="77777777" w:rsidTr="00207185">
        <w:trPr>
          <w:trHeight w:val="255"/>
        </w:trPr>
        <w:tc>
          <w:tcPr>
            <w:tcW w:w="4693" w:type="dxa"/>
            <w:tcBorders>
              <w:top w:val="nil"/>
              <w:left w:val="single" w:sz="8" w:space="0" w:color="auto"/>
              <w:bottom w:val="nil"/>
              <w:right w:val="nil"/>
            </w:tcBorders>
            <w:shd w:val="clear" w:color="000000" w:fill="FFFFFF"/>
            <w:noWrap/>
            <w:vAlign w:val="bottom"/>
            <w:hideMark/>
          </w:tcPr>
          <w:p w14:paraId="00F8FFD6" w14:textId="77777777" w:rsidR="00207185" w:rsidRPr="00F85253" w:rsidRDefault="00207185" w:rsidP="00207185">
            <w:pPr>
              <w:spacing w:after="0" w:line="240" w:lineRule="auto"/>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Costes Económicos</w:t>
            </w:r>
          </w:p>
        </w:tc>
        <w:tc>
          <w:tcPr>
            <w:tcW w:w="1167" w:type="dxa"/>
            <w:tcBorders>
              <w:top w:val="nil"/>
              <w:left w:val="nil"/>
              <w:bottom w:val="nil"/>
              <w:right w:val="nil"/>
            </w:tcBorders>
            <w:shd w:val="clear" w:color="000000" w:fill="FFFFFF"/>
            <w:noWrap/>
            <w:vAlign w:val="bottom"/>
            <w:hideMark/>
          </w:tcPr>
          <w:p w14:paraId="6B7B5628"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w:t>
            </w:r>
          </w:p>
        </w:tc>
        <w:tc>
          <w:tcPr>
            <w:tcW w:w="880" w:type="dxa"/>
            <w:tcBorders>
              <w:top w:val="nil"/>
              <w:left w:val="single" w:sz="8" w:space="0" w:color="auto"/>
              <w:bottom w:val="nil"/>
              <w:right w:val="nil"/>
            </w:tcBorders>
            <w:shd w:val="clear" w:color="000000" w:fill="FFFFFF"/>
            <w:noWrap/>
            <w:vAlign w:val="bottom"/>
            <w:hideMark/>
          </w:tcPr>
          <w:p w14:paraId="75A53D2E"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w:t>
            </w:r>
          </w:p>
        </w:tc>
        <w:tc>
          <w:tcPr>
            <w:tcW w:w="940" w:type="dxa"/>
            <w:tcBorders>
              <w:top w:val="nil"/>
              <w:left w:val="nil"/>
              <w:bottom w:val="nil"/>
              <w:right w:val="nil"/>
            </w:tcBorders>
            <w:shd w:val="clear" w:color="000000" w:fill="FFFFFF"/>
            <w:noWrap/>
            <w:vAlign w:val="bottom"/>
            <w:hideMark/>
          </w:tcPr>
          <w:p w14:paraId="5F2914CE"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880" w:type="dxa"/>
            <w:tcBorders>
              <w:top w:val="nil"/>
              <w:left w:val="nil"/>
              <w:bottom w:val="nil"/>
              <w:right w:val="nil"/>
            </w:tcBorders>
            <w:shd w:val="clear" w:color="000000" w:fill="FFFFFF"/>
            <w:noWrap/>
            <w:vAlign w:val="bottom"/>
            <w:hideMark/>
          </w:tcPr>
          <w:p w14:paraId="46100FDB"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920" w:type="dxa"/>
            <w:tcBorders>
              <w:top w:val="nil"/>
              <w:left w:val="nil"/>
              <w:bottom w:val="nil"/>
              <w:right w:val="single" w:sz="8" w:space="0" w:color="auto"/>
            </w:tcBorders>
            <w:shd w:val="clear" w:color="000000" w:fill="FFFFFF"/>
            <w:noWrap/>
            <w:vAlign w:val="bottom"/>
            <w:hideMark/>
          </w:tcPr>
          <w:p w14:paraId="713D2969"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526A8DB7"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5CCB86F6"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07057146"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76D73F1A"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3A9CBCE2"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single" w:sz="8" w:space="0" w:color="auto"/>
            </w:tcBorders>
            <w:shd w:val="clear" w:color="000000" w:fill="FFFFFF"/>
            <w:noWrap/>
            <w:vAlign w:val="bottom"/>
            <w:hideMark/>
          </w:tcPr>
          <w:p w14:paraId="2A070E6F"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r>
      <w:tr w:rsidR="00207185" w:rsidRPr="00F85253" w14:paraId="7A8933A7" w14:textId="77777777" w:rsidTr="00207185">
        <w:trPr>
          <w:trHeight w:val="255"/>
        </w:trPr>
        <w:tc>
          <w:tcPr>
            <w:tcW w:w="4693" w:type="dxa"/>
            <w:tcBorders>
              <w:top w:val="nil"/>
              <w:left w:val="single" w:sz="8" w:space="0" w:color="auto"/>
              <w:bottom w:val="nil"/>
              <w:right w:val="nil"/>
            </w:tcBorders>
            <w:shd w:val="clear" w:color="000000" w:fill="FFFFFF"/>
            <w:noWrap/>
            <w:vAlign w:val="bottom"/>
            <w:hideMark/>
          </w:tcPr>
          <w:p w14:paraId="77907AC9" w14:textId="77777777" w:rsidR="00207185" w:rsidRPr="00F85253" w:rsidRDefault="00207185" w:rsidP="00207185">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CAPEX</w:t>
            </w:r>
          </w:p>
        </w:tc>
        <w:tc>
          <w:tcPr>
            <w:tcW w:w="1167" w:type="dxa"/>
            <w:tcBorders>
              <w:top w:val="nil"/>
              <w:left w:val="nil"/>
              <w:bottom w:val="nil"/>
              <w:right w:val="nil"/>
            </w:tcBorders>
            <w:shd w:val="clear" w:color="000000" w:fill="FFFFFF"/>
            <w:noWrap/>
            <w:vAlign w:val="bottom"/>
            <w:hideMark/>
          </w:tcPr>
          <w:p w14:paraId="7CC373C4"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61.75 </w:t>
            </w:r>
          </w:p>
        </w:tc>
        <w:tc>
          <w:tcPr>
            <w:tcW w:w="880" w:type="dxa"/>
            <w:tcBorders>
              <w:top w:val="nil"/>
              <w:left w:val="single" w:sz="8" w:space="0" w:color="auto"/>
              <w:bottom w:val="nil"/>
              <w:right w:val="nil"/>
            </w:tcBorders>
            <w:shd w:val="clear" w:color="000000" w:fill="FFFFFF"/>
            <w:noWrap/>
            <w:vAlign w:val="bottom"/>
            <w:hideMark/>
          </w:tcPr>
          <w:p w14:paraId="713D250E"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2.32 </w:t>
            </w:r>
          </w:p>
        </w:tc>
        <w:tc>
          <w:tcPr>
            <w:tcW w:w="940" w:type="dxa"/>
            <w:tcBorders>
              <w:top w:val="nil"/>
              <w:left w:val="nil"/>
              <w:bottom w:val="nil"/>
              <w:right w:val="nil"/>
            </w:tcBorders>
            <w:shd w:val="clear" w:color="000000" w:fill="FFFFFF"/>
            <w:noWrap/>
            <w:vAlign w:val="bottom"/>
            <w:hideMark/>
          </w:tcPr>
          <w:p w14:paraId="51C377DB"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w:t>
            </w:r>
            <w:proofErr w:type="gramStart"/>
            <w:r w:rsidRPr="00F85253">
              <w:rPr>
                <w:rFonts w:ascii="Arial" w:eastAsia="Times New Roman" w:hAnsi="Arial" w:cs="Arial"/>
                <w:sz w:val="20"/>
                <w:szCs w:val="20"/>
                <w:lang w:val="es-EC" w:eastAsia="es-EC"/>
              </w:rPr>
              <w:t>$  47.66</w:t>
            </w:r>
            <w:proofErr w:type="gramEnd"/>
            <w:r w:rsidRPr="00F85253">
              <w:rPr>
                <w:rFonts w:ascii="Arial" w:eastAsia="Times New Roman" w:hAnsi="Arial" w:cs="Arial"/>
                <w:sz w:val="20"/>
                <w:szCs w:val="20"/>
                <w:lang w:val="es-EC" w:eastAsia="es-EC"/>
              </w:rPr>
              <w:t xml:space="preserve"> </w:t>
            </w:r>
          </w:p>
        </w:tc>
        <w:tc>
          <w:tcPr>
            <w:tcW w:w="880" w:type="dxa"/>
            <w:tcBorders>
              <w:top w:val="nil"/>
              <w:left w:val="nil"/>
              <w:bottom w:val="nil"/>
              <w:right w:val="nil"/>
            </w:tcBorders>
            <w:shd w:val="clear" w:color="000000" w:fill="FFFFFF"/>
            <w:noWrap/>
            <w:vAlign w:val="bottom"/>
            <w:hideMark/>
          </w:tcPr>
          <w:p w14:paraId="52D9EA71"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9.53 </w:t>
            </w:r>
          </w:p>
        </w:tc>
        <w:tc>
          <w:tcPr>
            <w:tcW w:w="920" w:type="dxa"/>
            <w:tcBorders>
              <w:top w:val="nil"/>
              <w:left w:val="nil"/>
              <w:bottom w:val="nil"/>
              <w:right w:val="single" w:sz="8" w:space="0" w:color="auto"/>
            </w:tcBorders>
            <w:shd w:val="clear" w:color="000000" w:fill="FFFFFF"/>
            <w:noWrap/>
            <w:vAlign w:val="bottom"/>
            <w:hideMark/>
          </w:tcPr>
          <w:p w14:paraId="0D03E1BF"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2.23 </w:t>
            </w:r>
          </w:p>
        </w:tc>
        <w:tc>
          <w:tcPr>
            <w:tcW w:w="780" w:type="dxa"/>
            <w:tcBorders>
              <w:top w:val="nil"/>
              <w:left w:val="nil"/>
              <w:bottom w:val="nil"/>
              <w:right w:val="nil"/>
            </w:tcBorders>
            <w:shd w:val="clear" w:color="000000" w:fill="FFFFFF"/>
            <w:noWrap/>
            <w:vAlign w:val="bottom"/>
            <w:hideMark/>
          </w:tcPr>
          <w:p w14:paraId="68F8170E"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780" w:type="dxa"/>
            <w:tcBorders>
              <w:top w:val="nil"/>
              <w:left w:val="nil"/>
              <w:bottom w:val="nil"/>
              <w:right w:val="nil"/>
            </w:tcBorders>
            <w:shd w:val="clear" w:color="000000" w:fill="FFFFFF"/>
            <w:noWrap/>
            <w:vAlign w:val="bottom"/>
            <w:hideMark/>
          </w:tcPr>
          <w:p w14:paraId="1099568C"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780" w:type="dxa"/>
            <w:tcBorders>
              <w:top w:val="nil"/>
              <w:left w:val="nil"/>
              <w:bottom w:val="nil"/>
              <w:right w:val="nil"/>
            </w:tcBorders>
            <w:shd w:val="clear" w:color="000000" w:fill="FFFFFF"/>
            <w:noWrap/>
            <w:vAlign w:val="bottom"/>
            <w:hideMark/>
          </w:tcPr>
          <w:p w14:paraId="6599DFE5"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780" w:type="dxa"/>
            <w:tcBorders>
              <w:top w:val="nil"/>
              <w:left w:val="nil"/>
              <w:bottom w:val="nil"/>
              <w:right w:val="nil"/>
            </w:tcBorders>
            <w:shd w:val="clear" w:color="000000" w:fill="FFFFFF"/>
            <w:noWrap/>
            <w:vAlign w:val="bottom"/>
            <w:hideMark/>
          </w:tcPr>
          <w:p w14:paraId="5B2F4661"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780" w:type="dxa"/>
            <w:tcBorders>
              <w:top w:val="nil"/>
              <w:left w:val="nil"/>
              <w:bottom w:val="nil"/>
              <w:right w:val="nil"/>
            </w:tcBorders>
            <w:shd w:val="clear" w:color="000000" w:fill="FFFFFF"/>
            <w:noWrap/>
            <w:vAlign w:val="bottom"/>
            <w:hideMark/>
          </w:tcPr>
          <w:p w14:paraId="3FABF08C"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780" w:type="dxa"/>
            <w:tcBorders>
              <w:top w:val="nil"/>
              <w:left w:val="nil"/>
              <w:bottom w:val="nil"/>
              <w:right w:val="single" w:sz="8" w:space="0" w:color="auto"/>
            </w:tcBorders>
            <w:shd w:val="clear" w:color="000000" w:fill="FFFFFF"/>
            <w:noWrap/>
            <w:vAlign w:val="bottom"/>
            <w:hideMark/>
          </w:tcPr>
          <w:p w14:paraId="4238079F"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r>
      <w:tr w:rsidR="00207185" w:rsidRPr="00F85253" w14:paraId="60B0A9E5" w14:textId="77777777" w:rsidTr="00207185">
        <w:trPr>
          <w:trHeight w:val="255"/>
        </w:trPr>
        <w:tc>
          <w:tcPr>
            <w:tcW w:w="4693" w:type="dxa"/>
            <w:tcBorders>
              <w:top w:val="nil"/>
              <w:left w:val="single" w:sz="8" w:space="0" w:color="auto"/>
              <w:bottom w:val="nil"/>
              <w:right w:val="nil"/>
            </w:tcBorders>
            <w:shd w:val="clear" w:color="000000" w:fill="FFFFFF"/>
            <w:noWrap/>
            <w:vAlign w:val="bottom"/>
            <w:hideMark/>
          </w:tcPr>
          <w:p w14:paraId="7C8F8626" w14:textId="77777777" w:rsidR="00207185" w:rsidRPr="00F85253" w:rsidRDefault="00207185" w:rsidP="00207185">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OPEX</w:t>
            </w:r>
          </w:p>
        </w:tc>
        <w:tc>
          <w:tcPr>
            <w:tcW w:w="1167" w:type="dxa"/>
            <w:tcBorders>
              <w:top w:val="nil"/>
              <w:left w:val="nil"/>
              <w:bottom w:val="nil"/>
              <w:right w:val="nil"/>
            </w:tcBorders>
            <w:shd w:val="clear" w:color="000000" w:fill="FFFFFF"/>
            <w:noWrap/>
            <w:vAlign w:val="bottom"/>
            <w:hideMark/>
          </w:tcPr>
          <w:p w14:paraId="291A6301"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69.44 </w:t>
            </w:r>
          </w:p>
        </w:tc>
        <w:tc>
          <w:tcPr>
            <w:tcW w:w="880" w:type="dxa"/>
            <w:tcBorders>
              <w:top w:val="nil"/>
              <w:left w:val="single" w:sz="8" w:space="0" w:color="auto"/>
              <w:bottom w:val="nil"/>
              <w:right w:val="nil"/>
            </w:tcBorders>
            <w:shd w:val="clear" w:color="000000" w:fill="FFFFFF"/>
            <w:noWrap/>
            <w:vAlign w:val="bottom"/>
            <w:hideMark/>
          </w:tcPr>
          <w:p w14:paraId="7454F94C" w14:textId="77777777" w:rsidR="00207185" w:rsidRPr="00F85253" w:rsidRDefault="00207185" w:rsidP="00207185">
            <w:pPr>
              <w:spacing w:after="0" w:line="240" w:lineRule="auto"/>
              <w:jc w:val="right"/>
              <w:rPr>
                <w:rFonts w:ascii="Arial" w:eastAsia="Times New Roman" w:hAnsi="Arial" w:cs="Arial"/>
                <w:b/>
                <w:bCs/>
                <w:color w:val="00B0F0"/>
                <w:sz w:val="20"/>
                <w:szCs w:val="20"/>
                <w:lang w:val="es-EC" w:eastAsia="es-EC"/>
              </w:rPr>
            </w:pPr>
            <w:r w:rsidRPr="00F85253">
              <w:rPr>
                <w:rFonts w:ascii="Arial" w:eastAsia="Times New Roman" w:hAnsi="Arial" w:cs="Arial"/>
                <w:b/>
                <w:bCs/>
                <w:color w:val="00B0F0"/>
                <w:sz w:val="20"/>
                <w:szCs w:val="20"/>
                <w:lang w:val="es-EC" w:eastAsia="es-EC"/>
              </w:rPr>
              <w:t xml:space="preserve"> $   0.33 </w:t>
            </w:r>
          </w:p>
        </w:tc>
        <w:tc>
          <w:tcPr>
            <w:tcW w:w="940" w:type="dxa"/>
            <w:tcBorders>
              <w:top w:val="nil"/>
              <w:left w:val="nil"/>
              <w:bottom w:val="nil"/>
              <w:right w:val="nil"/>
            </w:tcBorders>
            <w:shd w:val="clear" w:color="000000" w:fill="FFFFFF"/>
            <w:noWrap/>
            <w:vAlign w:val="bottom"/>
            <w:hideMark/>
          </w:tcPr>
          <w:p w14:paraId="7AECD3F0" w14:textId="77777777" w:rsidR="00207185" w:rsidRPr="00F85253" w:rsidRDefault="00207185" w:rsidP="00207185">
            <w:pPr>
              <w:spacing w:after="0" w:line="240" w:lineRule="auto"/>
              <w:jc w:val="right"/>
              <w:rPr>
                <w:rFonts w:ascii="Arial" w:eastAsia="Times New Roman" w:hAnsi="Arial" w:cs="Arial"/>
                <w:b/>
                <w:bCs/>
                <w:color w:val="00B0F0"/>
                <w:sz w:val="20"/>
                <w:szCs w:val="20"/>
                <w:lang w:val="es-EC" w:eastAsia="es-EC"/>
              </w:rPr>
            </w:pPr>
            <w:r w:rsidRPr="00F85253">
              <w:rPr>
                <w:rFonts w:ascii="Arial" w:eastAsia="Times New Roman" w:hAnsi="Arial" w:cs="Arial"/>
                <w:b/>
                <w:bCs/>
                <w:color w:val="00B0F0"/>
                <w:sz w:val="20"/>
                <w:szCs w:val="20"/>
                <w:lang w:val="es-EC" w:eastAsia="es-EC"/>
              </w:rPr>
              <w:t xml:space="preserve"> $    7.44 </w:t>
            </w:r>
          </w:p>
        </w:tc>
        <w:tc>
          <w:tcPr>
            <w:tcW w:w="880" w:type="dxa"/>
            <w:tcBorders>
              <w:top w:val="nil"/>
              <w:left w:val="nil"/>
              <w:bottom w:val="nil"/>
              <w:right w:val="nil"/>
            </w:tcBorders>
            <w:shd w:val="clear" w:color="000000" w:fill="FFFFFF"/>
            <w:noWrap/>
            <w:vAlign w:val="bottom"/>
            <w:hideMark/>
          </w:tcPr>
          <w:p w14:paraId="6A8B9DCA" w14:textId="77777777" w:rsidR="00207185" w:rsidRPr="00F85253" w:rsidRDefault="00207185" w:rsidP="00207185">
            <w:pPr>
              <w:spacing w:after="0" w:line="240" w:lineRule="auto"/>
              <w:jc w:val="right"/>
              <w:rPr>
                <w:rFonts w:ascii="Arial" w:eastAsia="Times New Roman" w:hAnsi="Arial" w:cs="Arial"/>
                <w:b/>
                <w:bCs/>
                <w:color w:val="00B0F0"/>
                <w:sz w:val="20"/>
                <w:szCs w:val="20"/>
                <w:lang w:val="es-EC" w:eastAsia="es-EC"/>
              </w:rPr>
            </w:pPr>
            <w:r w:rsidRPr="00F85253">
              <w:rPr>
                <w:rFonts w:ascii="Arial" w:eastAsia="Times New Roman" w:hAnsi="Arial" w:cs="Arial"/>
                <w:b/>
                <w:bCs/>
                <w:color w:val="00B0F0"/>
                <w:sz w:val="20"/>
                <w:szCs w:val="20"/>
                <w:lang w:val="es-EC" w:eastAsia="es-EC"/>
              </w:rPr>
              <w:t xml:space="preserve"> $   8.82 </w:t>
            </w:r>
          </w:p>
        </w:tc>
        <w:tc>
          <w:tcPr>
            <w:tcW w:w="920" w:type="dxa"/>
            <w:tcBorders>
              <w:top w:val="nil"/>
              <w:left w:val="nil"/>
              <w:bottom w:val="nil"/>
              <w:right w:val="single" w:sz="8" w:space="0" w:color="auto"/>
            </w:tcBorders>
            <w:shd w:val="clear" w:color="000000" w:fill="FFFFFF"/>
            <w:noWrap/>
            <w:vAlign w:val="bottom"/>
            <w:hideMark/>
          </w:tcPr>
          <w:p w14:paraId="0931351D" w14:textId="77777777" w:rsidR="00207185" w:rsidRPr="00F85253" w:rsidRDefault="00207185" w:rsidP="00207185">
            <w:pPr>
              <w:spacing w:after="0" w:line="240" w:lineRule="auto"/>
              <w:jc w:val="right"/>
              <w:rPr>
                <w:rFonts w:ascii="Arial" w:eastAsia="Times New Roman" w:hAnsi="Arial" w:cs="Arial"/>
                <w:b/>
                <w:bCs/>
                <w:color w:val="00B0F0"/>
                <w:sz w:val="20"/>
                <w:szCs w:val="20"/>
                <w:lang w:val="es-EC" w:eastAsia="es-EC"/>
              </w:rPr>
            </w:pPr>
            <w:r w:rsidRPr="00F85253">
              <w:rPr>
                <w:rFonts w:ascii="Arial" w:eastAsia="Times New Roman" w:hAnsi="Arial" w:cs="Arial"/>
                <w:b/>
                <w:bCs/>
                <w:color w:val="00B0F0"/>
                <w:sz w:val="20"/>
                <w:szCs w:val="20"/>
                <w:lang w:val="es-EC" w:eastAsia="es-EC"/>
              </w:rPr>
              <w:t xml:space="preserve"> $    9.11 </w:t>
            </w:r>
          </w:p>
        </w:tc>
        <w:tc>
          <w:tcPr>
            <w:tcW w:w="780" w:type="dxa"/>
            <w:tcBorders>
              <w:top w:val="nil"/>
              <w:left w:val="nil"/>
              <w:bottom w:val="nil"/>
              <w:right w:val="nil"/>
            </w:tcBorders>
            <w:shd w:val="clear" w:color="000000" w:fill="FFFFFF"/>
            <w:noWrap/>
            <w:vAlign w:val="bottom"/>
            <w:hideMark/>
          </w:tcPr>
          <w:p w14:paraId="3FCF4E23" w14:textId="77777777" w:rsidR="00207185" w:rsidRPr="00F85253" w:rsidRDefault="00207185" w:rsidP="00207185">
            <w:pPr>
              <w:spacing w:after="0" w:line="240" w:lineRule="auto"/>
              <w:jc w:val="right"/>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 xml:space="preserve"> $ 7.29 </w:t>
            </w:r>
          </w:p>
        </w:tc>
        <w:tc>
          <w:tcPr>
            <w:tcW w:w="780" w:type="dxa"/>
            <w:tcBorders>
              <w:top w:val="nil"/>
              <w:left w:val="nil"/>
              <w:bottom w:val="nil"/>
              <w:right w:val="nil"/>
            </w:tcBorders>
            <w:shd w:val="clear" w:color="000000" w:fill="FFFFFF"/>
            <w:noWrap/>
            <w:vAlign w:val="bottom"/>
            <w:hideMark/>
          </w:tcPr>
          <w:p w14:paraId="0EF55BD3" w14:textId="77777777" w:rsidR="00207185" w:rsidRPr="00F85253" w:rsidRDefault="00207185" w:rsidP="00207185">
            <w:pPr>
              <w:spacing w:after="0" w:line="240" w:lineRule="auto"/>
              <w:jc w:val="right"/>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 xml:space="preserve"> $ 7.29 </w:t>
            </w:r>
          </w:p>
        </w:tc>
        <w:tc>
          <w:tcPr>
            <w:tcW w:w="780" w:type="dxa"/>
            <w:tcBorders>
              <w:top w:val="nil"/>
              <w:left w:val="nil"/>
              <w:bottom w:val="nil"/>
              <w:right w:val="nil"/>
            </w:tcBorders>
            <w:shd w:val="clear" w:color="000000" w:fill="FFFFFF"/>
            <w:noWrap/>
            <w:vAlign w:val="bottom"/>
            <w:hideMark/>
          </w:tcPr>
          <w:p w14:paraId="75D06F96" w14:textId="77777777" w:rsidR="00207185" w:rsidRPr="00F85253" w:rsidRDefault="00207185" w:rsidP="00207185">
            <w:pPr>
              <w:spacing w:after="0" w:line="240" w:lineRule="auto"/>
              <w:jc w:val="right"/>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 xml:space="preserve"> $ 7.29 </w:t>
            </w:r>
          </w:p>
        </w:tc>
        <w:tc>
          <w:tcPr>
            <w:tcW w:w="780" w:type="dxa"/>
            <w:tcBorders>
              <w:top w:val="nil"/>
              <w:left w:val="nil"/>
              <w:bottom w:val="nil"/>
              <w:right w:val="nil"/>
            </w:tcBorders>
            <w:shd w:val="clear" w:color="000000" w:fill="FFFFFF"/>
            <w:noWrap/>
            <w:vAlign w:val="bottom"/>
            <w:hideMark/>
          </w:tcPr>
          <w:p w14:paraId="5855C7B3" w14:textId="77777777" w:rsidR="00207185" w:rsidRPr="00F85253" w:rsidRDefault="00207185" w:rsidP="00207185">
            <w:pPr>
              <w:spacing w:after="0" w:line="240" w:lineRule="auto"/>
              <w:jc w:val="right"/>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 xml:space="preserve"> $ 7.29 </w:t>
            </w:r>
          </w:p>
        </w:tc>
        <w:tc>
          <w:tcPr>
            <w:tcW w:w="780" w:type="dxa"/>
            <w:tcBorders>
              <w:top w:val="nil"/>
              <w:left w:val="nil"/>
              <w:bottom w:val="nil"/>
              <w:right w:val="nil"/>
            </w:tcBorders>
            <w:shd w:val="clear" w:color="000000" w:fill="FFFFFF"/>
            <w:noWrap/>
            <w:vAlign w:val="bottom"/>
            <w:hideMark/>
          </w:tcPr>
          <w:p w14:paraId="6DDB01C1" w14:textId="77777777" w:rsidR="00207185" w:rsidRPr="00F85253" w:rsidRDefault="00207185" w:rsidP="00207185">
            <w:pPr>
              <w:spacing w:after="0" w:line="240" w:lineRule="auto"/>
              <w:jc w:val="right"/>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 xml:space="preserve"> $ 7.29 </w:t>
            </w:r>
          </w:p>
        </w:tc>
        <w:tc>
          <w:tcPr>
            <w:tcW w:w="780" w:type="dxa"/>
            <w:tcBorders>
              <w:top w:val="nil"/>
              <w:left w:val="nil"/>
              <w:bottom w:val="nil"/>
              <w:right w:val="single" w:sz="8" w:space="0" w:color="auto"/>
            </w:tcBorders>
            <w:shd w:val="clear" w:color="000000" w:fill="FFFFFF"/>
            <w:noWrap/>
            <w:vAlign w:val="bottom"/>
            <w:hideMark/>
          </w:tcPr>
          <w:p w14:paraId="05DF4041" w14:textId="77777777" w:rsidR="00207185" w:rsidRPr="00F85253" w:rsidRDefault="00207185" w:rsidP="00207185">
            <w:pPr>
              <w:spacing w:after="0" w:line="240" w:lineRule="auto"/>
              <w:jc w:val="right"/>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 xml:space="preserve"> $ 7.29 </w:t>
            </w:r>
          </w:p>
        </w:tc>
      </w:tr>
      <w:tr w:rsidR="00207185" w:rsidRPr="00F85253" w14:paraId="54D7D510" w14:textId="77777777" w:rsidTr="00207185">
        <w:trPr>
          <w:trHeight w:val="255"/>
        </w:trPr>
        <w:tc>
          <w:tcPr>
            <w:tcW w:w="4693" w:type="dxa"/>
            <w:tcBorders>
              <w:top w:val="nil"/>
              <w:left w:val="single" w:sz="8" w:space="0" w:color="auto"/>
              <w:bottom w:val="nil"/>
              <w:right w:val="nil"/>
            </w:tcBorders>
            <w:shd w:val="clear" w:color="000000" w:fill="FFFFFF"/>
            <w:noWrap/>
            <w:vAlign w:val="bottom"/>
            <w:hideMark/>
          </w:tcPr>
          <w:p w14:paraId="74729D71" w14:textId="77777777" w:rsidR="00207185" w:rsidRPr="00F85253" w:rsidRDefault="00207185" w:rsidP="00207185">
            <w:pPr>
              <w:spacing w:after="0" w:line="240" w:lineRule="auto"/>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Subtotal OPEX y CAPEX</w:t>
            </w:r>
          </w:p>
        </w:tc>
        <w:tc>
          <w:tcPr>
            <w:tcW w:w="1167" w:type="dxa"/>
            <w:tcBorders>
              <w:top w:val="nil"/>
              <w:left w:val="nil"/>
              <w:bottom w:val="nil"/>
              <w:right w:val="nil"/>
            </w:tcBorders>
            <w:shd w:val="clear" w:color="000000" w:fill="FFFFFF"/>
            <w:noWrap/>
            <w:vAlign w:val="bottom"/>
            <w:hideMark/>
          </w:tcPr>
          <w:p w14:paraId="6C0EDD6D"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w:t>
            </w:r>
            <w:proofErr w:type="gramStart"/>
            <w:r w:rsidRPr="00F85253">
              <w:rPr>
                <w:rFonts w:ascii="Arial" w:eastAsia="Times New Roman" w:hAnsi="Arial" w:cs="Arial"/>
                <w:b/>
                <w:bCs/>
                <w:sz w:val="20"/>
                <w:szCs w:val="20"/>
                <w:lang w:val="es-EC" w:eastAsia="es-EC"/>
              </w:rPr>
              <w:t>$  131.19</w:t>
            </w:r>
            <w:proofErr w:type="gramEnd"/>
            <w:r w:rsidRPr="00F85253">
              <w:rPr>
                <w:rFonts w:ascii="Arial" w:eastAsia="Times New Roman" w:hAnsi="Arial" w:cs="Arial"/>
                <w:b/>
                <w:bCs/>
                <w:sz w:val="20"/>
                <w:szCs w:val="20"/>
                <w:lang w:val="es-EC" w:eastAsia="es-EC"/>
              </w:rPr>
              <w:t xml:space="preserve"> </w:t>
            </w:r>
          </w:p>
        </w:tc>
        <w:tc>
          <w:tcPr>
            <w:tcW w:w="880" w:type="dxa"/>
            <w:tcBorders>
              <w:top w:val="nil"/>
              <w:left w:val="single" w:sz="8" w:space="0" w:color="auto"/>
              <w:bottom w:val="nil"/>
              <w:right w:val="nil"/>
            </w:tcBorders>
            <w:shd w:val="clear" w:color="000000" w:fill="FFFFFF"/>
            <w:noWrap/>
            <w:vAlign w:val="bottom"/>
            <w:hideMark/>
          </w:tcPr>
          <w:p w14:paraId="115195A9"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2.66 </w:t>
            </w:r>
          </w:p>
        </w:tc>
        <w:tc>
          <w:tcPr>
            <w:tcW w:w="940" w:type="dxa"/>
            <w:tcBorders>
              <w:top w:val="nil"/>
              <w:left w:val="nil"/>
              <w:bottom w:val="nil"/>
              <w:right w:val="nil"/>
            </w:tcBorders>
            <w:shd w:val="clear" w:color="000000" w:fill="FFFFFF"/>
            <w:noWrap/>
            <w:vAlign w:val="bottom"/>
            <w:hideMark/>
          </w:tcPr>
          <w:p w14:paraId="01E74000"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w:t>
            </w:r>
            <w:proofErr w:type="gramStart"/>
            <w:r w:rsidRPr="00F85253">
              <w:rPr>
                <w:rFonts w:ascii="Arial" w:eastAsia="Times New Roman" w:hAnsi="Arial" w:cs="Arial"/>
                <w:b/>
                <w:bCs/>
                <w:sz w:val="20"/>
                <w:szCs w:val="20"/>
                <w:lang w:val="es-EC" w:eastAsia="es-EC"/>
              </w:rPr>
              <w:t>$  55.10</w:t>
            </w:r>
            <w:proofErr w:type="gramEnd"/>
            <w:r w:rsidRPr="00F85253">
              <w:rPr>
                <w:rFonts w:ascii="Arial" w:eastAsia="Times New Roman" w:hAnsi="Arial" w:cs="Arial"/>
                <w:b/>
                <w:bCs/>
                <w:sz w:val="20"/>
                <w:szCs w:val="20"/>
                <w:lang w:val="es-EC" w:eastAsia="es-EC"/>
              </w:rPr>
              <w:t xml:space="preserve"> </w:t>
            </w:r>
          </w:p>
        </w:tc>
        <w:tc>
          <w:tcPr>
            <w:tcW w:w="880" w:type="dxa"/>
            <w:tcBorders>
              <w:top w:val="nil"/>
              <w:left w:val="nil"/>
              <w:bottom w:val="nil"/>
              <w:right w:val="nil"/>
            </w:tcBorders>
            <w:shd w:val="clear" w:color="000000" w:fill="FFFFFF"/>
            <w:noWrap/>
            <w:vAlign w:val="bottom"/>
            <w:hideMark/>
          </w:tcPr>
          <w:p w14:paraId="1F8EFE0B"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$ 18.36 </w:t>
            </w:r>
          </w:p>
        </w:tc>
        <w:tc>
          <w:tcPr>
            <w:tcW w:w="920" w:type="dxa"/>
            <w:tcBorders>
              <w:top w:val="nil"/>
              <w:left w:val="nil"/>
              <w:bottom w:val="nil"/>
              <w:right w:val="single" w:sz="8" w:space="0" w:color="auto"/>
            </w:tcBorders>
            <w:shd w:val="clear" w:color="000000" w:fill="FFFFFF"/>
            <w:noWrap/>
            <w:vAlign w:val="bottom"/>
            <w:hideMark/>
          </w:tcPr>
          <w:p w14:paraId="4BB4AEC2"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w:t>
            </w:r>
            <w:proofErr w:type="gramStart"/>
            <w:r w:rsidRPr="00F85253">
              <w:rPr>
                <w:rFonts w:ascii="Arial" w:eastAsia="Times New Roman" w:hAnsi="Arial" w:cs="Arial"/>
                <w:b/>
                <w:bCs/>
                <w:sz w:val="20"/>
                <w:szCs w:val="20"/>
                <w:lang w:val="es-EC" w:eastAsia="es-EC"/>
              </w:rPr>
              <w:t>$  11.34</w:t>
            </w:r>
            <w:proofErr w:type="gramEnd"/>
            <w:r w:rsidRPr="00F85253">
              <w:rPr>
                <w:rFonts w:ascii="Arial" w:eastAsia="Times New Roman" w:hAnsi="Arial" w:cs="Arial"/>
                <w:b/>
                <w:bCs/>
                <w:sz w:val="20"/>
                <w:szCs w:val="20"/>
                <w:lang w:val="es-EC" w:eastAsia="es-EC"/>
              </w:rPr>
              <w:t xml:space="preserve"> </w:t>
            </w:r>
          </w:p>
        </w:tc>
        <w:tc>
          <w:tcPr>
            <w:tcW w:w="780" w:type="dxa"/>
            <w:tcBorders>
              <w:top w:val="nil"/>
              <w:left w:val="nil"/>
              <w:bottom w:val="nil"/>
              <w:right w:val="nil"/>
            </w:tcBorders>
            <w:shd w:val="clear" w:color="000000" w:fill="FFFFFF"/>
            <w:noWrap/>
            <w:vAlign w:val="bottom"/>
            <w:hideMark/>
          </w:tcPr>
          <w:p w14:paraId="6DA1333F"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$ 7.29 </w:t>
            </w:r>
          </w:p>
        </w:tc>
        <w:tc>
          <w:tcPr>
            <w:tcW w:w="780" w:type="dxa"/>
            <w:tcBorders>
              <w:top w:val="nil"/>
              <w:left w:val="nil"/>
              <w:bottom w:val="nil"/>
              <w:right w:val="nil"/>
            </w:tcBorders>
            <w:shd w:val="clear" w:color="000000" w:fill="FFFFFF"/>
            <w:noWrap/>
            <w:vAlign w:val="bottom"/>
            <w:hideMark/>
          </w:tcPr>
          <w:p w14:paraId="5C37F1DE"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$ 7.29 </w:t>
            </w:r>
          </w:p>
        </w:tc>
        <w:tc>
          <w:tcPr>
            <w:tcW w:w="780" w:type="dxa"/>
            <w:tcBorders>
              <w:top w:val="nil"/>
              <w:left w:val="nil"/>
              <w:bottom w:val="nil"/>
              <w:right w:val="nil"/>
            </w:tcBorders>
            <w:shd w:val="clear" w:color="000000" w:fill="FFFFFF"/>
            <w:noWrap/>
            <w:vAlign w:val="bottom"/>
            <w:hideMark/>
          </w:tcPr>
          <w:p w14:paraId="6946C6C2"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$ 7.29 </w:t>
            </w:r>
          </w:p>
        </w:tc>
        <w:tc>
          <w:tcPr>
            <w:tcW w:w="780" w:type="dxa"/>
            <w:tcBorders>
              <w:top w:val="nil"/>
              <w:left w:val="nil"/>
              <w:bottom w:val="nil"/>
              <w:right w:val="nil"/>
            </w:tcBorders>
            <w:shd w:val="clear" w:color="000000" w:fill="FFFFFF"/>
            <w:noWrap/>
            <w:vAlign w:val="bottom"/>
            <w:hideMark/>
          </w:tcPr>
          <w:p w14:paraId="5B43FD02"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$ 7.29 </w:t>
            </w:r>
          </w:p>
        </w:tc>
        <w:tc>
          <w:tcPr>
            <w:tcW w:w="780" w:type="dxa"/>
            <w:tcBorders>
              <w:top w:val="nil"/>
              <w:left w:val="nil"/>
              <w:bottom w:val="nil"/>
              <w:right w:val="nil"/>
            </w:tcBorders>
            <w:shd w:val="clear" w:color="000000" w:fill="FFFFFF"/>
            <w:noWrap/>
            <w:vAlign w:val="bottom"/>
            <w:hideMark/>
          </w:tcPr>
          <w:p w14:paraId="5A4E0B38"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$ 7.29 </w:t>
            </w:r>
          </w:p>
        </w:tc>
        <w:tc>
          <w:tcPr>
            <w:tcW w:w="780" w:type="dxa"/>
            <w:tcBorders>
              <w:top w:val="nil"/>
              <w:left w:val="nil"/>
              <w:bottom w:val="nil"/>
              <w:right w:val="single" w:sz="8" w:space="0" w:color="auto"/>
            </w:tcBorders>
            <w:shd w:val="clear" w:color="000000" w:fill="FFFFFF"/>
            <w:noWrap/>
            <w:vAlign w:val="bottom"/>
            <w:hideMark/>
          </w:tcPr>
          <w:p w14:paraId="7F1146D8"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$ 7.29 </w:t>
            </w:r>
          </w:p>
        </w:tc>
      </w:tr>
      <w:tr w:rsidR="00207185" w:rsidRPr="00F85253" w14:paraId="0C0ADB46" w14:textId="77777777" w:rsidTr="00207185">
        <w:trPr>
          <w:trHeight w:val="255"/>
        </w:trPr>
        <w:tc>
          <w:tcPr>
            <w:tcW w:w="4693" w:type="dxa"/>
            <w:tcBorders>
              <w:top w:val="nil"/>
              <w:left w:val="single" w:sz="8" w:space="0" w:color="auto"/>
              <w:bottom w:val="nil"/>
              <w:right w:val="nil"/>
            </w:tcBorders>
            <w:shd w:val="clear" w:color="000000" w:fill="FFFFFF"/>
            <w:noWrap/>
            <w:vAlign w:val="bottom"/>
            <w:hideMark/>
          </w:tcPr>
          <w:p w14:paraId="7715A5BE" w14:textId="77777777" w:rsidR="00207185" w:rsidRPr="00F85253" w:rsidRDefault="00207185" w:rsidP="00207185">
            <w:pPr>
              <w:spacing w:after="0" w:line="240" w:lineRule="auto"/>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w:t>
            </w:r>
          </w:p>
        </w:tc>
        <w:tc>
          <w:tcPr>
            <w:tcW w:w="1167" w:type="dxa"/>
            <w:tcBorders>
              <w:top w:val="nil"/>
              <w:left w:val="nil"/>
              <w:bottom w:val="nil"/>
              <w:right w:val="nil"/>
            </w:tcBorders>
            <w:shd w:val="clear" w:color="000000" w:fill="FFFFFF"/>
            <w:noWrap/>
            <w:vAlign w:val="bottom"/>
            <w:hideMark/>
          </w:tcPr>
          <w:p w14:paraId="14846F8C"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w:t>
            </w:r>
          </w:p>
        </w:tc>
        <w:tc>
          <w:tcPr>
            <w:tcW w:w="880" w:type="dxa"/>
            <w:tcBorders>
              <w:top w:val="nil"/>
              <w:left w:val="single" w:sz="8" w:space="0" w:color="auto"/>
              <w:bottom w:val="nil"/>
              <w:right w:val="nil"/>
            </w:tcBorders>
            <w:shd w:val="clear" w:color="000000" w:fill="FFFFFF"/>
            <w:noWrap/>
            <w:vAlign w:val="bottom"/>
            <w:hideMark/>
          </w:tcPr>
          <w:p w14:paraId="37B81BB6"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w:t>
            </w:r>
          </w:p>
        </w:tc>
        <w:tc>
          <w:tcPr>
            <w:tcW w:w="940" w:type="dxa"/>
            <w:tcBorders>
              <w:top w:val="nil"/>
              <w:left w:val="nil"/>
              <w:bottom w:val="nil"/>
              <w:right w:val="nil"/>
            </w:tcBorders>
            <w:shd w:val="clear" w:color="000000" w:fill="FFFFFF"/>
            <w:noWrap/>
            <w:vAlign w:val="bottom"/>
            <w:hideMark/>
          </w:tcPr>
          <w:p w14:paraId="2D0BE465"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880" w:type="dxa"/>
            <w:tcBorders>
              <w:top w:val="nil"/>
              <w:left w:val="nil"/>
              <w:bottom w:val="nil"/>
              <w:right w:val="nil"/>
            </w:tcBorders>
            <w:shd w:val="clear" w:color="000000" w:fill="FFFFFF"/>
            <w:noWrap/>
            <w:vAlign w:val="bottom"/>
            <w:hideMark/>
          </w:tcPr>
          <w:p w14:paraId="3C45B0E9"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920" w:type="dxa"/>
            <w:tcBorders>
              <w:top w:val="nil"/>
              <w:left w:val="nil"/>
              <w:bottom w:val="nil"/>
              <w:right w:val="single" w:sz="8" w:space="0" w:color="auto"/>
            </w:tcBorders>
            <w:shd w:val="clear" w:color="000000" w:fill="FFFFFF"/>
            <w:noWrap/>
            <w:vAlign w:val="bottom"/>
            <w:hideMark/>
          </w:tcPr>
          <w:p w14:paraId="58A0B9A7"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28FF21CC"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5EC058B0"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14174004"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5AFF9864"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1A862459"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single" w:sz="8" w:space="0" w:color="auto"/>
            </w:tcBorders>
            <w:shd w:val="clear" w:color="000000" w:fill="FFFFFF"/>
            <w:noWrap/>
            <w:vAlign w:val="bottom"/>
            <w:hideMark/>
          </w:tcPr>
          <w:p w14:paraId="272D3304"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r>
      <w:tr w:rsidR="00207185" w:rsidRPr="00F85253" w14:paraId="0919A685" w14:textId="77777777" w:rsidTr="00207185">
        <w:trPr>
          <w:trHeight w:val="270"/>
        </w:trPr>
        <w:tc>
          <w:tcPr>
            <w:tcW w:w="4693" w:type="dxa"/>
            <w:tcBorders>
              <w:top w:val="nil"/>
              <w:left w:val="single" w:sz="8" w:space="0" w:color="auto"/>
              <w:bottom w:val="single" w:sz="8" w:space="0" w:color="auto"/>
              <w:right w:val="nil"/>
            </w:tcBorders>
            <w:shd w:val="clear" w:color="000000" w:fill="FFFFFF"/>
            <w:noWrap/>
            <w:vAlign w:val="bottom"/>
            <w:hideMark/>
          </w:tcPr>
          <w:p w14:paraId="178AD676" w14:textId="77777777" w:rsidR="00207185" w:rsidRPr="00F85253" w:rsidRDefault="00207185" w:rsidP="00207185">
            <w:pPr>
              <w:spacing w:after="0" w:line="240" w:lineRule="auto"/>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Flujo Neto Generado</w:t>
            </w:r>
          </w:p>
        </w:tc>
        <w:tc>
          <w:tcPr>
            <w:tcW w:w="1167" w:type="dxa"/>
            <w:tcBorders>
              <w:top w:val="nil"/>
              <w:left w:val="nil"/>
              <w:bottom w:val="single" w:sz="8" w:space="0" w:color="auto"/>
              <w:right w:val="nil"/>
            </w:tcBorders>
            <w:shd w:val="clear" w:color="000000" w:fill="FFFFFF"/>
            <w:noWrap/>
            <w:vAlign w:val="bottom"/>
            <w:hideMark/>
          </w:tcPr>
          <w:p w14:paraId="44523207"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w:t>
            </w:r>
            <w:proofErr w:type="gramStart"/>
            <w:r w:rsidRPr="00F85253">
              <w:rPr>
                <w:rFonts w:ascii="Arial" w:eastAsia="Times New Roman" w:hAnsi="Arial" w:cs="Arial"/>
                <w:b/>
                <w:bCs/>
                <w:sz w:val="20"/>
                <w:szCs w:val="20"/>
                <w:lang w:val="es-EC" w:eastAsia="es-EC"/>
              </w:rPr>
              <w:t>$  158.78</w:t>
            </w:r>
            <w:proofErr w:type="gramEnd"/>
            <w:r w:rsidRPr="00F85253">
              <w:rPr>
                <w:rFonts w:ascii="Arial" w:eastAsia="Times New Roman" w:hAnsi="Arial" w:cs="Arial"/>
                <w:b/>
                <w:bCs/>
                <w:sz w:val="20"/>
                <w:szCs w:val="20"/>
                <w:lang w:val="es-EC" w:eastAsia="es-EC"/>
              </w:rPr>
              <w:t xml:space="preserve"> </w:t>
            </w:r>
          </w:p>
        </w:tc>
        <w:tc>
          <w:tcPr>
            <w:tcW w:w="880" w:type="dxa"/>
            <w:tcBorders>
              <w:top w:val="nil"/>
              <w:left w:val="single" w:sz="8" w:space="0" w:color="auto"/>
              <w:bottom w:val="single" w:sz="8" w:space="0" w:color="auto"/>
              <w:right w:val="nil"/>
            </w:tcBorders>
            <w:shd w:val="clear" w:color="000000" w:fill="FFFFFF"/>
            <w:noWrap/>
            <w:vAlign w:val="bottom"/>
            <w:hideMark/>
          </w:tcPr>
          <w:p w14:paraId="2056031F"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w:t>
            </w:r>
            <w:proofErr w:type="gramStart"/>
            <w:r w:rsidRPr="00F85253">
              <w:rPr>
                <w:rFonts w:ascii="Arial" w:eastAsia="Times New Roman" w:hAnsi="Arial" w:cs="Arial"/>
                <w:b/>
                <w:bCs/>
                <w:sz w:val="20"/>
                <w:szCs w:val="20"/>
                <w:lang w:val="es-EC" w:eastAsia="es-EC"/>
              </w:rPr>
              <w:t>$  -</w:t>
            </w:r>
            <w:proofErr w:type="gramEnd"/>
            <w:r w:rsidRPr="00F85253">
              <w:rPr>
                <w:rFonts w:ascii="Arial" w:eastAsia="Times New Roman" w:hAnsi="Arial" w:cs="Arial"/>
                <w:b/>
                <w:bCs/>
                <w:sz w:val="20"/>
                <w:szCs w:val="20"/>
                <w:lang w:val="es-EC" w:eastAsia="es-EC"/>
              </w:rPr>
              <w:t xml:space="preserve">2.66 </w:t>
            </w:r>
          </w:p>
        </w:tc>
        <w:tc>
          <w:tcPr>
            <w:tcW w:w="940" w:type="dxa"/>
            <w:tcBorders>
              <w:top w:val="nil"/>
              <w:left w:val="nil"/>
              <w:bottom w:val="single" w:sz="8" w:space="0" w:color="auto"/>
              <w:right w:val="nil"/>
            </w:tcBorders>
            <w:shd w:val="clear" w:color="000000" w:fill="FFFFFF"/>
            <w:noWrap/>
            <w:vAlign w:val="bottom"/>
            <w:hideMark/>
          </w:tcPr>
          <w:p w14:paraId="1EC2882B"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-55.10 </w:t>
            </w:r>
          </w:p>
        </w:tc>
        <w:tc>
          <w:tcPr>
            <w:tcW w:w="880" w:type="dxa"/>
            <w:tcBorders>
              <w:top w:val="nil"/>
              <w:left w:val="nil"/>
              <w:bottom w:val="single" w:sz="8" w:space="0" w:color="auto"/>
              <w:right w:val="nil"/>
            </w:tcBorders>
            <w:shd w:val="clear" w:color="000000" w:fill="FFFFFF"/>
            <w:noWrap/>
            <w:vAlign w:val="bottom"/>
            <w:hideMark/>
          </w:tcPr>
          <w:p w14:paraId="27EE8D2C"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8.96 </w:t>
            </w:r>
          </w:p>
        </w:tc>
        <w:tc>
          <w:tcPr>
            <w:tcW w:w="920" w:type="dxa"/>
            <w:tcBorders>
              <w:top w:val="nil"/>
              <w:left w:val="nil"/>
              <w:bottom w:val="single" w:sz="8" w:space="0" w:color="auto"/>
              <w:right w:val="single" w:sz="8" w:space="0" w:color="auto"/>
            </w:tcBorders>
            <w:shd w:val="clear" w:color="000000" w:fill="FFFFFF"/>
            <w:noWrap/>
            <w:vAlign w:val="bottom"/>
            <w:hideMark/>
          </w:tcPr>
          <w:p w14:paraId="05AAA9A1"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w:t>
            </w:r>
            <w:proofErr w:type="gramStart"/>
            <w:r w:rsidRPr="00F85253">
              <w:rPr>
                <w:rFonts w:ascii="Arial" w:eastAsia="Times New Roman" w:hAnsi="Arial" w:cs="Arial"/>
                <w:b/>
                <w:bCs/>
                <w:sz w:val="20"/>
                <w:szCs w:val="20"/>
                <w:lang w:val="es-EC" w:eastAsia="es-EC"/>
              </w:rPr>
              <w:t>$  15.98</w:t>
            </w:r>
            <w:proofErr w:type="gramEnd"/>
            <w:r w:rsidRPr="00F85253">
              <w:rPr>
                <w:rFonts w:ascii="Arial" w:eastAsia="Times New Roman" w:hAnsi="Arial" w:cs="Arial"/>
                <w:b/>
                <w:bCs/>
                <w:sz w:val="20"/>
                <w:szCs w:val="20"/>
                <w:lang w:val="es-EC" w:eastAsia="es-EC"/>
              </w:rPr>
              <w:t xml:space="preserve"> </w:t>
            </w:r>
          </w:p>
        </w:tc>
        <w:tc>
          <w:tcPr>
            <w:tcW w:w="780" w:type="dxa"/>
            <w:tcBorders>
              <w:top w:val="nil"/>
              <w:left w:val="nil"/>
              <w:bottom w:val="single" w:sz="8" w:space="0" w:color="auto"/>
              <w:right w:val="nil"/>
            </w:tcBorders>
            <w:shd w:val="clear" w:color="000000" w:fill="FFFFFF"/>
            <w:noWrap/>
            <w:vAlign w:val="bottom"/>
            <w:hideMark/>
          </w:tcPr>
          <w:p w14:paraId="7F3A3464"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$22.55 </w:t>
            </w:r>
          </w:p>
        </w:tc>
        <w:tc>
          <w:tcPr>
            <w:tcW w:w="780" w:type="dxa"/>
            <w:tcBorders>
              <w:top w:val="nil"/>
              <w:left w:val="nil"/>
              <w:bottom w:val="single" w:sz="8" w:space="0" w:color="auto"/>
              <w:right w:val="nil"/>
            </w:tcBorders>
            <w:shd w:val="clear" w:color="000000" w:fill="FFFFFF"/>
            <w:noWrap/>
            <w:vAlign w:val="bottom"/>
            <w:hideMark/>
          </w:tcPr>
          <w:p w14:paraId="76F8D54A"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$24.16 </w:t>
            </w:r>
          </w:p>
        </w:tc>
        <w:tc>
          <w:tcPr>
            <w:tcW w:w="780" w:type="dxa"/>
            <w:tcBorders>
              <w:top w:val="nil"/>
              <w:left w:val="nil"/>
              <w:bottom w:val="single" w:sz="8" w:space="0" w:color="auto"/>
              <w:right w:val="nil"/>
            </w:tcBorders>
            <w:shd w:val="clear" w:color="000000" w:fill="FFFFFF"/>
            <w:noWrap/>
            <w:vAlign w:val="bottom"/>
            <w:hideMark/>
          </w:tcPr>
          <w:p w14:paraId="431B668D"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$26.79 </w:t>
            </w:r>
          </w:p>
        </w:tc>
        <w:tc>
          <w:tcPr>
            <w:tcW w:w="780" w:type="dxa"/>
            <w:tcBorders>
              <w:top w:val="nil"/>
              <w:left w:val="nil"/>
              <w:bottom w:val="single" w:sz="8" w:space="0" w:color="auto"/>
              <w:right w:val="nil"/>
            </w:tcBorders>
            <w:shd w:val="clear" w:color="000000" w:fill="FFFFFF"/>
            <w:noWrap/>
            <w:vAlign w:val="bottom"/>
            <w:hideMark/>
          </w:tcPr>
          <w:p w14:paraId="0D3A1401"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$31.05 </w:t>
            </w:r>
          </w:p>
        </w:tc>
        <w:tc>
          <w:tcPr>
            <w:tcW w:w="780" w:type="dxa"/>
            <w:tcBorders>
              <w:top w:val="nil"/>
              <w:left w:val="nil"/>
              <w:bottom w:val="single" w:sz="8" w:space="0" w:color="auto"/>
              <w:right w:val="nil"/>
            </w:tcBorders>
            <w:shd w:val="clear" w:color="000000" w:fill="FFFFFF"/>
            <w:noWrap/>
            <w:vAlign w:val="bottom"/>
            <w:hideMark/>
          </w:tcPr>
          <w:p w14:paraId="081E299B"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$37.95 </w:t>
            </w:r>
          </w:p>
        </w:tc>
        <w:tc>
          <w:tcPr>
            <w:tcW w:w="780" w:type="dxa"/>
            <w:tcBorders>
              <w:top w:val="nil"/>
              <w:left w:val="nil"/>
              <w:bottom w:val="single" w:sz="8" w:space="0" w:color="auto"/>
              <w:right w:val="single" w:sz="8" w:space="0" w:color="auto"/>
            </w:tcBorders>
            <w:shd w:val="clear" w:color="000000" w:fill="FFFFFF"/>
            <w:noWrap/>
            <w:vAlign w:val="bottom"/>
            <w:hideMark/>
          </w:tcPr>
          <w:p w14:paraId="082EDE7A"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$49.09 </w:t>
            </w:r>
          </w:p>
        </w:tc>
      </w:tr>
      <w:tr w:rsidR="00207185" w:rsidRPr="00F85253" w14:paraId="32BF1CA8" w14:textId="77777777" w:rsidTr="00207185">
        <w:trPr>
          <w:trHeight w:val="270"/>
        </w:trPr>
        <w:tc>
          <w:tcPr>
            <w:tcW w:w="4693" w:type="dxa"/>
            <w:tcBorders>
              <w:top w:val="nil"/>
              <w:left w:val="nil"/>
              <w:bottom w:val="nil"/>
              <w:right w:val="nil"/>
            </w:tcBorders>
            <w:shd w:val="clear" w:color="000000" w:fill="FFFFFF"/>
            <w:noWrap/>
            <w:vAlign w:val="bottom"/>
            <w:hideMark/>
          </w:tcPr>
          <w:p w14:paraId="3815F8A2" w14:textId="77777777" w:rsidR="00207185" w:rsidRPr="00F85253" w:rsidRDefault="00207185" w:rsidP="00207185">
            <w:pPr>
              <w:spacing w:after="0" w:line="240" w:lineRule="auto"/>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w:t>
            </w:r>
          </w:p>
        </w:tc>
        <w:tc>
          <w:tcPr>
            <w:tcW w:w="1167" w:type="dxa"/>
            <w:tcBorders>
              <w:top w:val="nil"/>
              <w:left w:val="nil"/>
              <w:bottom w:val="nil"/>
              <w:right w:val="nil"/>
            </w:tcBorders>
            <w:shd w:val="clear" w:color="000000" w:fill="FFFFFF"/>
            <w:noWrap/>
            <w:vAlign w:val="bottom"/>
            <w:hideMark/>
          </w:tcPr>
          <w:p w14:paraId="3DF04128" w14:textId="77777777" w:rsidR="00207185" w:rsidRPr="00F85253" w:rsidRDefault="00207185" w:rsidP="00207185">
            <w:pPr>
              <w:spacing w:after="0" w:line="240" w:lineRule="auto"/>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w:t>
            </w:r>
          </w:p>
        </w:tc>
        <w:tc>
          <w:tcPr>
            <w:tcW w:w="880" w:type="dxa"/>
            <w:tcBorders>
              <w:top w:val="nil"/>
              <w:left w:val="single" w:sz="8" w:space="0" w:color="auto"/>
              <w:bottom w:val="single" w:sz="8" w:space="0" w:color="auto"/>
              <w:right w:val="nil"/>
            </w:tcBorders>
            <w:shd w:val="clear" w:color="000000" w:fill="FFFFFF"/>
            <w:noWrap/>
            <w:vAlign w:val="bottom"/>
            <w:hideMark/>
          </w:tcPr>
          <w:p w14:paraId="4500815C" w14:textId="77777777" w:rsidR="00207185" w:rsidRPr="00F85253" w:rsidRDefault="00207185" w:rsidP="00207185">
            <w:pPr>
              <w:spacing w:after="0" w:line="240" w:lineRule="auto"/>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w:t>
            </w:r>
          </w:p>
        </w:tc>
        <w:tc>
          <w:tcPr>
            <w:tcW w:w="940" w:type="dxa"/>
            <w:tcBorders>
              <w:top w:val="nil"/>
              <w:left w:val="nil"/>
              <w:bottom w:val="single" w:sz="8" w:space="0" w:color="auto"/>
              <w:right w:val="nil"/>
            </w:tcBorders>
            <w:shd w:val="clear" w:color="000000" w:fill="FFFFFF"/>
            <w:noWrap/>
            <w:vAlign w:val="bottom"/>
            <w:hideMark/>
          </w:tcPr>
          <w:p w14:paraId="3F6F7A7E" w14:textId="77777777" w:rsidR="00207185" w:rsidRPr="00F85253" w:rsidRDefault="00207185" w:rsidP="00207185">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880" w:type="dxa"/>
            <w:tcBorders>
              <w:top w:val="nil"/>
              <w:left w:val="nil"/>
              <w:bottom w:val="single" w:sz="8" w:space="0" w:color="auto"/>
              <w:right w:val="nil"/>
            </w:tcBorders>
            <w:shd w:val="clear" w:color="000000" w:fill="FFFFFF"/>
            <w:noWrap/>
            <w:vAlign w:val="bottom"/>
            <w:hideMark/>
          </w:tcPr>
          <w:p w14:paraId="32BB05F9" w14:textId="77777777" w:rsidR="00207185" w:rsidRPr="00F85253" w:rsidRDefault="00207185" w:rsidP="00207185">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920" w:type="dxa"/>
            <w:tcBorders>
              <w:top w:val="nil"/>
              <w:left w:val="nil"/>
              <w:bottom w:val="single" w:sz="8" w:space="0" w:color="auto"/>
              <w:right w:val="single" w:sz="8" w:space="0" w:color="auto"/>
            </w:tcBorders>
            <w:shd w:val="clear" w:color="000000" w:fill="FFFFFF"/>
            <w:noWrap/>
            <w:vAlign w:val="bottom"/>
            <w:hideMark/>
          </w:tcPr>
          <w:p w14:paraId="4BE0DEE6" w14:textId="77777777" w:rsidR="00207185" w:rsidRPr="00F85253" w:rsidRDefault="00207185" w:rsidP="00207185">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0CD3F54D" w14:textId="77777777" w:rsidR="00207185" w:rsidRPr="00F85253" w:rsidRDefault="00207185" w:rsidP="00207185">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3A7632FC" w14:textId="77777777" w:rsidR="00207185" w:rsidRPr="00F85253" w:rsidRDefault="00207185" w:rsidP="00207185">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638EC73C" w14:textId="77777777" w:rsidR="00207185" w:rsidRPr="00F85253" w:rsidRDefault="00207185" w:rsidP="00207185">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777E32E4" w14:textId="77777777" w:rsidR="00207185" w:rsidRPr="00F85253" w:rsidRDefault="00207185" w:rsidP="00207185">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3F735CD3" w14:textId="77777777" w:rsidR="00207185" w:rsidRPr="00F85253" w:rsidRDefault="00207185" w:rsidP="00207185">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780" w:type="dxa"/>
            <w:tcBorders>
              <w:top w:val="nil"/>
              <w:left w:val="nil"/>
              <w:bottom w:val="nil"/>
              <w:right w:val="nil"/>
            </w:tcBorders>
            <w:shd w:val="clear" w:color="000000" w:fill="FFFFFF"/>
            <w:noWrap/>
            <w:vAlign w:val="bottom"/>
            <w:hideMark/>
          </w:tcPr>
          <w:p w14:paraId="47BCD834" w14:textId="77777777" w:rsidR="00207185" w:rsidRPr="00F85253" w:rsidRDefault="00207185" w:rsidP="00207185">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r>
      <w:tr w:rsidR="00207185" w:rsidRPr="00F85253" w14:paraId="2C77C35F" w14:textId="77777777" w:rsidTr="00207185">
        <w:trPr>
          <w:trHeight w:val="255"/>
        </w:trPr>
        <w:tc>
          <w:tcPr>
            <w:tcW w:w="4693" w:type="dxa"/>
            <w:tcBorders>
              <w:top w:val="single" w:sz="8" w:space="0" w:color="auto"/>
              <w:left w:val="single" w:sz="8" w:space="0" w:color="auto"/>
              <w:bottom w:val="nil"/>
              <w:right w:val="nil"/>
            </w:tcBorders>
            <w:shd w:val="clear" w:color="000000" w:fill="FFFFFF"/>
            <w:noWrap/>
            <w:vAlign w:val="bottom"/>
            <w:hideMark/>
          </w:tcPr>
          <w:p w14:paraId="68BB23BC" w14:textId="77777777" w:rsidR="00207185" w:rsidRPr="00F85253" w:rsidRDefault="00207185" w:rsidP="00207185">
            <w:pPr>
              <w:spacing w:after="0" w:line="240" w:lineRule="auto"/>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TIR</w:t>
            </w:r>
          </w:p>
        </w:tc>
        <w:tc>
          <w:tcPr>
            <w:tcW w:w="1167" w:type="dxa"/>
            <w:tcBorders>
              <w:top w:val="single" w:sz="8" w:space="0" w:color="auto"/>
              <w:left w:val="nil"/>
              <w:bottom w:val="nil"/>
              <w:right w:val="nil"/>
            </w:tcBorders>
            <w:shd w:val="clear" w:color="000000" w:fill="FFFFFF"/>
            <w:noWrap/>
            <w:vAlign w:val="bottom"/>
          </w:tcPr>
          <w:p w14:paraId="6E56C0CE" w14:textId="0EB3847E" w:rsidR="00207185" w:rsidRPr="00F85253" w:rsidRDefault="00207185" w:rsidP="00207185">
            <w:pPr>
              <w:spacing w:after="0" w:line="240" w:lineRule="auto"/>
              <w:jc w:val="right"/>
              <w:rPr>
                <w:rFonts w:ascii="Arial" w:eastAsia="Times New Roman" w:hAnsi="Arial" w:cs="Arial"/>
                <w:b/>
                <w:bCs/>
                <w:sz w:val="20"/>
                <w:szCs w:val="20"/>
                <w:lang w:val="es-EC" w:eastAsia="es-EC"/>
              </w:rPr>
            </w:pPr>
          </w:p>
        </w:tc>
        <w:tc>
          <w:tcPr>
            <w:tcW w:w="880" w:type="dxa"/>
            <w:tcBorders>
              <w:top w:val="nil"/>
              <w:left w:val="single" w:sz="8" w:space="0" w:color="auto"/>
              <w:bottom w:val="nil"/>
              <w:right w:val="nil"/>
            </w:tcBorders>
            <w:shd w:val="clear" w:color="000000" w:fill="FFFFFF"/>
            <w:noWrap/>
            <w:vAlign w:val="bottom"/>
          </w:tcPr>
          <w:p w14:paraId="112F930E" w14:textId="5D5B32AA" w:rsidR="00207185" w:rsidRPr="00F85253" w:rsidRDefault="00207185" w:rsidP="00207185">
            <w:pPr>
              <w:spacing w:after="0" w:line="240" w:lineRule="auto"/>
              <w:jc w:val="right"/>
              <w:rPr>
                <w:rFonts w:ascii="Arial" w:eastAsia="Times New Roman" w:hAnsi="Arial" w:cs="Arial"/>
                <w:color w:val="FFFFFF"/>
                <w:sz w:val="20"/>
                <w:szCs w:val="20"/>
                <w:lang w:val="es-EC" w:eastAsia="es-EC"/>
              </w:rPr>
            </w:pPr>
          </w:p>
        </w:tc>
        <w:tc>
          <w:tcPr>
            <w:tcW w:w="940" w:type="dxa"/>
            <w:tcBorders>
              <w:top w:val="nil"/>
              <w:left w:val="nil"/>
              <w:bottom w:val="nil"/>
              <w:right w:val="nil"/>
            </w:tcBorders>
            <w:shd w:val="clear" w:color="000000" w:fill="FFFFFF"/>
            <w:noWrap/>
            <w:vAlign w:val="bottom"/>
          </w:tcPr>
          <w:p w14:paraId="69292912" w14:textId="2E0A5492" w:rsidR="00207185" w:rsidRPr="00F85253" w:rsidRDefault="00207185" w:rsidP="00207185">
            <w:pPr>
              <w:spacing w:after="0" w:line="240" w:lineRule="auto"/>
              <w:jc w:val="right"/>
              <w:rPr>
                <w:rFonts w:ascii="Arial" w:eastAsia="Times New Roman" w:hAnsi="Arial" w:cs="Arial"/>
                <w:color w:val="FFFFFF"/>
                <w:sz w:val="20"/>
                <w:szCs w:val="20"/>
                <w:lang w:val="es-EC" w:eastAsia="es-EC"/>
              </w:rPr>
            </w:pPr>
          </w:p>
        </w:tc>
        <w:tc>
          <w:tcPr>
            <w:tcW w:w="880" w:type="dxa"/>
            <w:tcBorders>
              <w:top w:val="nil"/>
              <w:left w:val="nil"/>
              <w:bottom w:val="nil"/>
              <w:right w:val="nil"/>
            </w:tcBorders>
            <w:shd w:val="clear" w:color="000000" w:fill="FFFFFF"/>
            <w:noWrap/>
            <w:vAlign w:val="bottom"/>
          </w:tcPr>
          <w:p w14:paraId="6B197F16" w14:textId="140C118F" w:rsidR="00207185" w:rsidRPr="00F85253" w:rsidRDefault="00207185" w:rsidP="00207185">
            <w:pPr>
              <w:spacing w:after="0" w:line="240" w:lineRule="auto"/>
              <w:jc w:val="right"/>
              <w:rPr>
                <w:rFonts w:ascii="Arial" w:eastAsia="Times New Roman" w:hAnsi="Arial" w:cs="Arial"/>
                <w:color w:val="FFFFFF"/>
                <w:sz w:val="20"/>
                <w:szCs w:val="20"/>
                <w:lang w:val="es-EC" w:eastAsia="es-EC"/>
              </w:rPr>
            </w:pPr>
          </w:p>
        </w:tc>
        <w:tc>
          <w:tcPr>
            <w:tcW w:w="920" w:type="dxa"/>
            <w:tcBorders>
              <w:top w:val="nil"/>
              <w:left w:val="nil"/>
              <w:bottom w:val="nil"/>
              <w:right w:val="single" w:sz="8" w:space="0" w:color="auto"/>
            </w:tcBorders>
            <w:shd w:val="clear" w:color="000000" w:fill="FFFFFF"/>
            <w:noWrap/>
            <w:vAlign w:val="bottom"/>
          </w:tcPr>
          <w:p w14:paraId="4C2D703E" w14:textId="287B0F70" w:rsidR="00207185" w:rsidRPr="00F85253" w:rsidRDefault="00207185" w:rsidP="00207185">
            <w:pPr>
              <w:spacing w:after="0" w:line="240" w:lineRule="auto"/>
              <w:jc w:val="right"/>
              <w:rPr>
                <w:rFonts w:ascii="Arial" w:eastAsia="Times New Roman" w:hAnsi="Arial" w:cs="Arial"/>
                <w:color w:val="FFFFFF"/>
                <w:sz w:val="20"/>
                <w:szCs w:val="20"/>
                <w:lang w:val="es-EC" w:eastAsia="es-EC"/>
              </w:rPr>
            </w:pPr>
          </w:p>
        </w:tc>
        <w:tc>
          <w:tcPr>
            <w:tcW w:w="780" w:type="dxa"/>
            <w:tcBorders>
              <w:top w:val="single" w:sz="8" w:space="0" w:color="auto"/>
              <w:left w:val="nil"/>
              <w:bottom w:val="nil"/>
              <w:right w:val="nil"/>
            </w:tcBorders>
            <w:shd w:val="clear" w:color="000000" w:fill="FFFFFF"/>
            <w:noWrap/>
            <w:vAlign w:val="bottom"/>
          </w:tcPr>
          <w:p w14:paraId="0637E11B" w14:textId="666414B3" w:rsidR="00207185" w:rsidRPr="00F85253" w:rsidRDefault="00207185" w:rsidP="00207185">
            <w:pPr>
              <w:spacing w:after="0" w:line="240" w:lineRule="auto"/>
              <w:jc w:val="right"/>
              <w:rPr>
                <w:rFonts w:ascii="Arial" w:eastAsia="Times New Roman" w:hAnsi="Arial" w:cs="Arial"/>
                <w:color w:val="FFFFFF"/>
                <w:sz w:val="20"/>
                <w:szCs w:val="20"/>
                <w:lang w:val="es-EC" w:eastAsia="es-EC"/>
              </w:rPr>
            </w:pPr>
          </w:p>
        </w:tc>
        <w:tc>
          <w:tcPr>
            <w:tcW w:w="780" w:type="dxa"/>
            <w:tcBorders>
              <w:top w:val="single" w:sz="8" w:space="0" w:color="auto"/>
              <w:left w:val="nil"/>
              <w:bottom w:val="nil"/>
              <w:right w:val="nil"/>
            </w:tcBorders>
            <w:shd w:val="clear" w:color="000000" w:fill="FFFFFF"/>
            <w:noWrap/>
            <w:vAlign w:val="bottom"/>
          </w:tcPr>
          <w:p w14:paraId="28C36F79" w14:textId="7B5AD32B" w:rsidR="00207185" w:rsidRPr="00F85253" w:rsidRDefault="00207185" w:rsidP="00207185">
            <w:pPr>
              <w:spacing w:after="0" w:line="240" w:lineRule="auto"/>
              <w:jc w:val="right"/>
              <w:rPr>
                <w:rFonts w:ascii="Arial" w:eastAsia="Times New Roman" w:hAnsi="Arial" w:cs="Arial"/>
                <w:color w:val="FFFFFF"/>
                <w:sz w:val="20"/>
                <w:szCs w:val="20"/>
                <w:lang w:val="es-EC" w:eastAsia="es-EC"/>
              </w:rPr>
            </w:pPr>
          </w:p>
        </w:tc>
        <w:tc>
          <w:tcPr>
            <w:tcW w:w="780" w:type="dxa"/>
            <w:tcBorders>
              <w:top w:val="single" w:sz="8" w:space="0" w:color="auto"/>
              <w:left w:val="nil"/>
              <w:bottom w:val="nil"/>
              <w:right w:val="nil"/>
            </w:tcBorders>
            <w:shd w:val="clear" w:color="000000" w:fill="FFFFFF"/>
            <w:noWrap/>
            <w:vAlign w:val="bottom"/>
          </w:tcPr>
          <w:p w14:paraId="6C98444E" w14:textId="186BD1C3" w:rsidR="00207185" w:rsidRPr="00F85253" w:rsidRDefault="00207185" w:rsidP="00207185">
            <w:pPr>
              <w:spacing w:after="0" w:line="240" w:lineRule="auto"/>
              <w:jc w:val="right"/>
              <w:rPr>
                <w:rFonts w:ascii="Arial" w:eastAsia="Times New Roman" w:hAnsi="Arial" w:cs="Arial"/>
                <w:color w:val="FFFFFF"/>
                <w:sz w:val="20"/>
                <w:szCs w:val="20"/>
                <w:lang w:val="es-EC" w:eastAsia="es-EC"/>
              </w:rPr>
            </w:pPr>
          </w:p>
        </w:tc>
        <w:tc>
          <w:tcPr>
            <w:tcW w:w="780" w:type="dxa"/>
            <w:tcBorders>
              <w:top w:val="single" w:sz="8" w:space="0" w:color="auto"/>
              <w:left w:val="nil"/>
              <w:bottom w:val="nil"/>
              <w:right w:val="nil"/>
            </w:tcBorders>
            <w:shd w:val="clear" w:color="000000" w:fill="FFFFFF"/>
            <w:noWrap/>
            <w:vAlign w:val="bottom"/>
          </w:tcPr>
          <w:p w14:paraId="28814BE3" w14:textId="43E08C1B" w:rsidR="00207185" w:rsidRPr="00F85253" w:rsidRDefault="00207185" w:rsidP="00207185">
            <w:pPr>
              <w:spacing w:after="0" w:line="240" w:lineRule="auto"/>
              <w:jc w:val="right"/>
              <w:rPr>
                <w:rFonts w:ascii="Arial" w:eastAsia="Times New Roman" w:hAnsi="Arial" w:cs="Arial"/>
                <w:color w:val="FFFFFF"/>
                <w:sz w:val="20"/>
                <w:szCs w:val="20"/>
                <w:lang w:val="es-EC" w:eastAsia="es-EC"/>
              </w:rPr>
            </w:pPr>
          </w:p>
        </w:tc>
        <w:tc>
          <w:tcPr>
            <w:tcW w:w="780" w:type="dxa"/>
            <w:tcBorders>
              <w:top w:val="single" w:sz="8" w:space="0" w:color="auto"/>
              <w:left w:val="nil"/>
              <w:bottom w:val="nil"/>
              <w:right w:val="nil"/>
            </w:tcBorders>
            <w:shd w:val="clear" w:color="000000" w:fill="FFFFFF"/>
            <w:noWrap/>
            <w:vAlign w:val="bottom"/>
            <w:hideMark/>
          </w:tcPr>
          <w:p w14:paraId="03491E82" w14:textId="77777777" w:rsidR="00207185" w:rsidRPr="00F85253" w:rsidRDefault="00207185" w:rsidP="00207185">
            <w:pPr>
              <w:spacing w:after="0" w:line="240" w:lineRule="auto"/>
              <w:jc w:val="right"/>
              <w:rPr>
                <w:rFonts w:ascii="Arial" w:eastAsia="Times New Roman" w:hAnsi="Arial" w:cs="Arial"/>
                <w:color w:val="FFFFFF"/>
                <w:sz w:val="20"/>
                <w:szCs w:val="20"/>
                <w:lang w:val="es-EC" w:eastAsia="es-EC"/>
              </w:rPr>
            </w:pPr>
            <w:r w:rsidRPr="00F85253">
              <w:rPr>
                <w:rFonts w:ascii="Arial" w:eastAsia="Times New Roman" w:hAnsi="Arial" w:cs="Arial"/>
                <w:color w:val="FFFFFF"/>
                <w:sz w:val="20"/>
                <w:szCs w:val="20"/>
                <w:lang w:val="es-EC" w:eastAsia="es-EC"/>
              </w:rPr>
              <w:t>28%</w:t>
            </w:r>
          </w:p>
        </w:tc>
        <w:tc>
          <w:tcPr>
            <w:tcW w:w="780" w:type="dxa"/>
            <w:tcBorders>
              <w:top w:val="single" w:sz="8" w:space="0" w:color="auto"/>
              <w:left w:val="nil"/>
              <w:bottom w:val="nil"/>
              <w:right w:val="single" w:sz="8" w:space="0" w:color="auto"/>
            </w:tcBorders>
            <w:shd w:val="clear" w:color="000000" w:fill="FFFFFF"/>
            <w:noWrap/>
            <w:vAlign w:val="bottom"/>
            <w:hideMark/>
          </w:tcPr>
          <w:p w14:paraId="272408F1"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31%</w:t>
            </w:r>
          </w:p>
        </w:tc>
      </w:tr>
      <w:tr w:rsidR="00207185" w:rsidRPr="00F85253" w14:paraId="4917E0B2" w14:textId="77777777" w:rsidTr="00207185">
        <w:trPr>
          <w:trHeight w:val="270"/>
        </w:trPr>
        <w:tc>
          <w:tcPr>
            <w:tcW w:w="4693" w:type="dxa"/>
            <w:tcBorders>
              <w:top w:val="nil"/>
              <w:left w:val="single" w:sz="8" w:space="0" w:color="auto"/>
              <w:bottom w:val="single" w:sz="8" w:space="0" w:color="auto"/>
              <w:right w:val="nil"/>
            </w:tcBorders>
            <w:shd w:val="clear" w:color="000000" w:fill="FFFFFF"/>
            <w:noWrap/>
            <w:vAlign w:val="bottom"/>
            <w:hideMark/>
          </w:tcPr>
          <w:p w14:paraId="098ED860" w14:textId="77777777" w:rsidR="00207185" w:rsidRPr="00F85253" w:rsidRDefault="00207185" w:rsidP="00207185">
            <w:pPr>
              <w:spacing w:after="0" w:line="240" w:lineRule="auto"/>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VAN</w:t>
            </w:r>
          </w:p>
        </w:tc>
        <w:tc>
          <w:tcPr>
            <w:tcW w:w="1167" w:type="dxa"/>
            <w:tcBorders>
              <w:top w:val="nil"/>
              <w:left w:val="nil"/>
              <w:bottom w:val="single" w:sz="8" w:space="0" w:color="auto"/>
              <w:right w:val="nil"/>
            </w:tcBorders>
            <w:shd w:val="clear" w:color="000000" w:fill="FFFFFF"/>
            <w:noWrap/>
            <w:vAlign w:val="bottom"/>
          </w:tcPr>
          <w:p w14:paraId="480F8B94" w14:textId="7AA5FC1E" w:rsidR="00207185" w:rsidRPr="00F85253" w:rsidRDefault="00207185" w:rsidP="00207185">
            <w:pPr>
              <w:spacing w:after="0" w:line="240" w:lineRule="auto"/>
              <w:jc w:val="right"/>
              <w:rPr>
                <w:rFonts w:ascii="Arial" w:eastAsia="Times New Roman" w:hAnsi="Arial" w:cs="Arial"/>
                <w:b/>
                <w:bCs/>
                <w:sz w:val="20"/>
                <w:szCs w:val="20"/>
                <w:lang w:val="es-EC" w:eastAsia="es-EC"/>
              </w:rPr>
            </w:pPr>
          </w:p>
        </w:tc>
        <w:tc>
          <w:tcPr>
            <w:tcW w:w="880" w:type="dxa"/>
            <w:tcBorders>
              <w:top w:val="nil"/>
              <w:left w:val="single" w:sz="8" w:space="0" w:color="auto"/>
              <w:bottom w:val="single" w:sz="8" w:space="0" w:color="auto"/>
              <w:right w:val="nil"/>
            </w:tcBorders>
            <w:shd w:val="clear" w:color="000000" w:fill="FFFFFF"/>
            <w:noWrap/>
            <w:vAlign w:val="bottom"/>
          </w:tcPr>
          <w:p w14:paraId="176A8928" w14:textId="11796F0D" w:rsidR="00207185" w:rsidRPr="00F85253" w:rsidRDefault="00207185" w:rsidP="00207185">
            <w:pPr>
              <w:spacing w:after="0" w:line="240" w:lineRule="auto"/>
              <w:jc w:val="right"/>
              <w:rPr>
                <w:rFonts w:ascii="Arial" w:eastAsia="Times New Roman" w:hAnsi="Arial" w:cs="Arial"/>
                <w:color w:val="FFFFFF"/>
                <w:sz w:val="20"/>
                <w:szCs w:val="20"/>
                <w:lang w:val="es-EC" w:eastAsia="es-EC"/>
              </w:rPr>
            </w:pPr>
          </w:p>
        </w:tc>
        <w:tc>
          <w:tcPr>
            <w:tcW w:w="940" w:type="dxa"/>
            <w:tcBorders>
              <w:top w:val="nil"/>
              <w:left w:val="nil"/>
              <w:bottom w:val="single" w:sz="8" w:space="0" w:color="auto"/>
              <w:right w:val="nil"/>
            </w:tcBorders>
            <w:shd w:val="clear" w:color="000000" w:fill="FFFFFF"/>
            <w:noWrap/>
            <w:vAlign w:val="bottom"/>
          </w:tcPr>
          <w:p w14:paraId="6D1C7595" w14:textId="398DD6E2" w:rsidR="00207185" w:rsidRPr="00F85253" w:rsidRDefault="00207185" w:rsidP="00207185">
            <w:pPr>
              <w:spacing w:after="0" w:line="240" w:lineRule="auto"/>
              <w:jc w:val="right"/>
              <w:rPr>
                <w:rFonts w:ascii="Arial" w:eastAsia="Times New Roman" w:hAnsi="Arial" w:cs="Arial"/>
                <w:color w:val="FFFFFF"/>
                <w:sz w:val="20"/>
                <w:szCs w:val="20"/>
                <w:lang w:val="es-EC" w:eastAsia="es-EC"/>
              </w:rPr>
            </w:pPr>
          </w:p>
        </w:tc>
        <w:tc>
          <w:tcPr>
            <w:tcW w:w="880" w:type="dxa"/>
            <w:tcBorders>
              <w:top w:val="nil"/>
              <w:left w:val="nil"/>
              <w:bottom w:val="single" w:sz="8" w:space="0" w:color="auto"/>
              <w:right w:val="nil"/>
            </w:tcBorders>
            <w:shd w:val="clear" w:color="000000" w:fill="FFFFFF"/>
            <w:noWrap/>
            <w:vAlign w:val="bottom"/>
          </w:tcPr>
          <w:p w14:paraId="77D7BBDA" w14:textId="5958AA65" w:rsidR="00207185" w:rsidRPr="00F85253" w:rsidRDefault="00207185" w:rsidP="00207185">
            <w:pPr>
              <w:spacing w:after="0" w:line="240" w:lineRule="auto"/>
              <w:jc w:val="right"/>
              <w:rPr>
                <w:rFonts w:ascii="Arial" w:eastAsia="Times New Roman" w:hAnsi="Arial" w:cs="Arial"/>
                <w:color w:val="FFFFFF"/>
                <w:sz w:val="20"/>
                <w:szCs w:val="20"/>
                <w:lang w:val="es-EC" w:eastAsia="es-EC"/>
              </w:rPr>
            </w:pPr>
          </w:p>
        </w:tc>
        <w:tc>
          <w:tcPr>
            <w:tcW w:w="920" w:type="dxa"/>
            <w:tcBorders>
              <w:top w:val="nil"/>
              <w:left w:val="nil"/>
              <w:bottom w:val="single" w:sz="8" w:space="0" w:color="auto"/>
              <w:right w:val="single" w:sz="8" w:space="0" w:color="auto"/>
            </w:tcBorders>
            <w:shd w:val="clear" w:color="000000" w:fill="FFFFFF"/>
            <w:noWrap/>
            <w:vAlign w:val="bottom"/>
          </w:tcPr>
          <w:p w14:paraId="2A4E9B99" w14:textId="0581A30C" w:rsidR="00207185" w:rsidRPr="00F85253" w:rsidRDefault="00207185" w:rsidP="00207185">
            <w:pPr>
              <w:spacing w:after="0" w:line="240" w:lineRule="auto"/>
              <w:jc w:val="right"/>
              <w:rPr>
                <w:rFonts w:ascii="Arial" w:eastAsia="Times New Roman" w:hAnsi="Arial" w:cs="Arial"/>
                <w:color w:val="FFFFFF"/>
                <w:sz w:val="20"/>
                <w:szCs w:val="20"/>
                <w:lang w:val="es-EC" w:eastAsia="es-EC"/>
              </w:rPr>
            </w:pPr>
          </w:p>
        </w:tc>
        <w:tc>
          <w:tcPr>
            <w:tcW w:w="780" w:type="dxa"/>
            <w:tcBorders>
              <w:top w:val="nil"/>
              <w:left w:val="nil"/>
              <w:bottom w:val="single" w:sz="8" w:space="0" w:color="auto"/>
              <w:right w:val="nil"/>
            </w:tcBorders>
            <w:shd w:val="clear" w:color="000000" w:fill="FFFFFF"/>
            <w:noWrap/>
            <w:vAlign w:val="bottom"/>
          </w:tcPr>
          <w:p w14:paraId="24B40ABC" w14:textId="11D3CD8F" w:rsidR="00207185" w:rsidRPr="00F85253" w:rsidRDefault="00207185" w:rsidP="00207185">
            <w:pPr>
              <w:spacing w:after="0" w:line="240" w:lineRule="auto"/>
              <w:jc w:val="right"/>
              <w:rPr>
                <w:rFonts w:ascii="Arial" w:eastAsia="Times New Roman" w:hAnsi="Arial" w:cs="Arial"/>
                <w:color w:val="FFFFFF"/>
                <w:sz w:val="20"/>
                <w:szCs w:val="20"/>
                <w:lang w:val="es-EC" w:eastAsia="es-EC"/>
              </w:rPr>
            </w:pPr>
          </w:p>
        </w:tc>
        <w:tc>
          <w:tcPr>
            <w:tcW w:w="780" w:type="dxa"/>
            <w:tcBorders>
              <w:top w:val="nil"/>
              <w:left w:val="nil"/>
              <w:bottom w:val="single" w:sz="8" w:space="0" w:color="auto"/>
              <w:right w:val="nil"/>
            </w:tcBorders>
            <w:shd w:val="clear" w:color="000000" w:fill="FFFFFF"/>
            <w:noWrap/>
            <w:vAlign w:val="bottom"/>
          </w:tcPr>
          <w:p w14:paraId="2A0C9315" w14:textId="3A560A3E" w:rsidR="00207185" w:rsidRPr="00F85253" w:rsidRDefault="00207185" w:rsidP="00207185">
            <w:pPr>
              <w:spacing w:after="0" w:line="240" w:lineRule="auto"/>
              <w:jc w:val="right"/>
              <w:rPr>
                <w:rFonts w:ascii="Arial" w:eastAsia="Times New Roman" w:hAnsi="Arial" w:cs="Arial"/>
                <w:color w:val="FFFFFF"/>
                <w:sz w:val="20"/>
                <w:szCs w:val="20"/>
                <w:lang w:val="es-EC" w:eastAsia="es-EC"/>
              </w:rPr>
            </w:pPr>
          </w:p>
        </w:tc>
        <w:tc>
          <w:tcPr>
            <w:tcW w:w="780" w:type="dxa"/>
            <w:tcBorders>
              <w:top w:val="nil"/>
              <w:left w:val="nil"/>
              <w:bottom w:val="single" w:sz="8" w:space="0" w:color="auto"/>
              <w:right w:val="nil"/>
            </w:tcBorders>
            <w:shd w:val="clear" w:color="000000" w:fill="FFFFFF"/>
            <w:noWrap/>
            <w:vAlign w:val="bottom"/>
          </w:tcPr>
          <w:p w14:paraId="3F735CBA" w14:textId="37F12CF2" w:rsidR="00207185" w:rsidRPr="00F85253" w:rsidRDefault="00207185" w:rsidP="00207185">
            <w:pPr>
              <w:spacing w:after="0" w:line="240" w:lineRule="auto"/>
              <w:jc w:val="right"/>
              <w:rPr>
                <w:rFonts w:ascii="Arial" w:eastAsia="Times New Roman" w:hAnsi="Arial" w:cs="Arial"/>
                <w:color w:val="FFFFFF"/>
                <w:sz w:val="20"/>
                <w:szCs w:val="20"/>
                <w:lang w:val="es-EC" w:eastAsia="es-EC"/>
              </w:rPr>
            </w:pPr>
          </w:p>
        </w:tc>
        <w:tc>
          <w:tcPr>
            <w:tcW w:w="780" w:type="dxa"/>
            <w:tcBorders>
              <w:top w:val="nil"/>
              <w:left w:val="nil"/>
              <w:bottom w:val="single" w:sz="8" w:space="0" w:color="auto"/>
              <w:right w:val="nil"/>
            </w:tcBorders>
            <w:shd w:val="clear" w:color="000000" w:fill="FFFFFF"/>
            <w:noWrap/>
            <w:vAlign w:val="bottom"/>
          </w:tcPr>
          <w:p w14:paraId="47B92C14" w14:textId="17EE9C5C" w:rsidR="00207185" w:rsidRPr="00F85253" w:rsidRDefault="00207185" w:rsidP="00207185">
            <w:pPr>
              <w:spacing w:after="0" w:line="240" w:lineRule="auto"/>
              <w:jc w:val="right"/>
              <w:rPr>
                <w:rFonts w:ascii="Arial" w:eastAsia="Times New Roman" w:hAnsi="Arial" w:cs="Arial"/>
                <w:color w:val="FFFFFF"/>
                <w:sz w:val="20"/>
                <w:szCs w:val="20"/>
                <w:lang w:val="es-EC" w:eastAsia="es-EC"/>
              </w:rPr>
            </w:pPr>
          </w:p>
        </w:tc>
        <w:tc>
          <w:tcPr>
            <w:tcW w:w="780" w:type="dxa"/>
            <w:tcBorders>
              <w:top w:val="nil"/>
              <w:left w:val="nil"/>
              <w:bottom w:val="single" w:sz="8" w:space="0" w:color="auto"/>
              <w:right w:val="nil"/>
            </w:tcBorders>
            <w:shd w:val="clear" w:color="000000" w:fill="FFFFFF"/>
            <w:noWrap/>
            <w:vAlign w:val="bottom"/>
            <w:hideMark/>
          </w:tcPr>
          <w:p w14:paraId="25DCD34F" w14:textId="77777777" w:rsidR="00207185" w:rsidRPr="00F85253" w:rsidRDefault="00207185" w:rsidP="00207185">
            <w:pPr>
              <w:spacing w:after="0" w:line="240" w:lineRule="auto"/>
              <w:jc w:val="right"/>
              <w:rPr>
                <w:rFonts w:ascii="Arial" w:eastAsia="Times New Roman" w:hAnsi="Arial" w:cs="Arial"/>
                <w:color w:val="FFFFFF"/>
                <w:sz w:val="20"/>
                <w:szCs w:val="20"/>
                <w:lang w:val="es-EC" w:eastAsia="es-EC"/>
              </w:rPr>
            </w:pPr>
            <w:r w:rsidRPr="00F85253">
              <w:rPr>
                <w:rFonts w:ascii="Arial" w:eastAsia="Times New Roman" w:hAnsi="Arial" w:cs="Arial"/>
                <w:color w:val="FFFFFF"/>
                <w:sz w:val="20"/>
                <w:szCs w:val="20"/>
                <w:lang w:val="es-EC" w:eastAsia="es-EC"/>
              </w:rPr>
              <w:t>$38</w:t>
            </w:r>
          </w:p>
        </w:tc>
        <w:tc>
          <w:tcPr>
            <w:tcW w:w="780" w:type="dxa"/>
            <w:tcBorders>
              <w:top w:val="nil"/>
              <w:left w:val="nil"/>
              <w:bottom w:val="single" w:sz="8" w:space="0" w:color="auto"/>
              <w:right w:val="single" w:sz="8" w:space="0" w:color="auto"/>
            </w:tcBorders>
            <w:shd w:val="clear" w:color="000000" w:fill="FFFFFF"/>
            <w:noWrap/>
            <w:vAlign w:val="bottom"/>
            <w:hideMark/>
          </w:tcPr>
          <w:p w14:paraId="23A34196"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$55.35</w:t>
            </w:r>
          </w:p>
        </w:tc>
      </w:tr>
    </w:tbl>
    <w:p w14:paraId="24C0C70E" w14:textId="77777777" w:rsidR="000E725F" w:rsidRPr="00F85253" w:rsidRDefault="000E725F" w:rsidP="000B6FF1">
      <w:pPr>
        <w:pStyle w:val="Paragraph"/>
        <w:spacing w:before="0" w:after="0" w:line="276" w:lineRule="auto"/>
        <w:outlineLvl w:val="9"/>
        <w:rPr>
          <w:rFonts w:ascii="Arial" w:hAnsi="Arial" w:cs="Arial"/>
          <w:sz w:val="22"/>
          <w:szCs w:val="22"/>
        </w:rPr>
      </w:pPr>
    </w:p>
    <w:p w14:paraId="12A13BFB" w14:textId="77777777" w:rsidR="000E725F" w:rsidRPr="00F85253" w:rsidRDefault="000E725F" w:rsidP="000B6FF1">
      <w:pPr>
        <w:pStyle w:val="Paragraph"/>
        <w:spacing w:before="0" w:after="0" w:line="276" w:lineRule="auto"/>
        <w:outlineLvl w:val="9"/>
        <w:rPr>
          <w:rFonts w:ascii="Arial" w:hAnsi="Arial" w:cs="Arial"/>
          <w:sz w:val="22"/>
          <w:szCs w:val="22"/>
        </w:rPr>
      </w:pPr>
    </w:p>
    <w:p w14:paraId="4E86C222" w14:textId="77777777" w:rsidR="000E725F" w:rsidRPr="00F85253" w:rsidRDefault="000E725F" w:rsidP="000B6FF1">
      <w:pPr>
        <w:pStyle w:val="Paragraph"/>
        <w:spacing w:before="0" w:after="0" w:line="276" w:lineRule="auto"/>
        <w:outlineLvl w:val="9"/>
        <w:rPr>
          <w:rFonts w:ascii="Arial" w:hAnsi="Arial" w:cs="Arial"/>
          <w:sz w:val="22"/>
          <w:szCs w:val="22"/>
        </w:rPr>
      </w:pPr>
    </w:p>
    <w:p w14:paraId="22D263CD" w14:textId="77777777" w:rsidR="000E725F" w:rsidRPr="00F85253" w:rsidRDefault="000E725F" w:rsidP="000B6FF1">
      <w:pPr>
        <w:pStyle w:val="Paragraph"/>
        <w:spacing w:before="0" w:after="0" w:line="276" w:lineRule="auto"/>
        <w:outlineLvl w:val="9"/>
        <w:rPr>
          <w:rFonts w:ascii="Arial" w:hAnsi="Arial" w:cs="Arial"/>
          <w:sz w:val="22"/>
          <w:szCs w:val="22"/>
        </w:rPr>
      </w:pPr>
    </w:p>
    <w:p w14:paraId="7C4B73F4" w14:textId="77777777" w:rsidR="000E725F" w:rsidRPr="00F85253" w:rsidRDefault="000E725F" w:rsidP="000B6FF1">
      <w:pPr>
        <w:pStyle w:val="Paragraph"/>
        <w:spacing w:before="0" w:after="0" w:line="276" w:lineRule="auto"/>
        <w:outlineLvl w:val="9"/>
        <w:rPr>
          <w:rFonts w:ascii="Arial" w:hAnsi="Arial" w:cs="Arial"/>
          <w:sz w:val="22"/>
          <w:szCs w:val="22"/>
        </w:rPr>
      </w:pPr>
    </w:p>
    <w:p w14:paraId="75AC5897" w14:textId="77777777" w:rsidR="000E725F" w:rsidRPr="00F85253" w:rsidRDefault="000E725F" w:rsidP="000B6FF1">
      <w:pPr>
        <w:pStyle w:val="Paragraph"/>
        <w:spacing w:before="0" w:after="0" w:line="276" w:lineRule="auto"/>
        <w:outlineLvl w:val="9"/>
        <w:rPr>
          <w:rFonts w:ascii="Arial" w:hAnsi="Arial" w:cs="Arial"/>
          <w:sz w:val="22"/>
          <w:szCs w:val="22"/>
        </w:rPr>
      </w:pPr>
    </w:p>
    <w:p w14:paraId="6FCF89EB" w14:textId="77777777" w:rsidR="000E725F" w:rsidRPr="00F85253" w:rsidRDefault="000E725F" w:rsidP="000B6FF1">
      <w:pPr>
        <w:pStyle w:val="Paragraph"/>
        <w:spacing w:before="0" w:after="0" w:line="276" w:lineRule="auto"/>
        <w:outlineLvl w:val="9"/>
        <w:rPr>
          <w:rFonts w:ascii="Arial" w:hAnsi="Arial" w:cs="Arial"/>
          <w:sz w:val="22"/>
          <w:szCs w:val="22"/>
        </w:rPr>
      </w:pPr>
    </w:p>
    <w:p w14:paraId="07EB0053" w14:textId="77777777" w:rsidR="000E725F" w:rsidRPr="00F85253" w:rsidRDefault="000E725F" w:rsidP="000B6FF1">
      <w:pPr>
        <w:pStyle w:val="Paragraph"/>
        <w:spacing w:before="0" w:after="0" w:line="276" w:lineRule="auto"/>
        <w:outlineLvl w:val="9"/>
        <w:rPr>
          <w:rFonts w:ascii="Arial" w:hAnsi="Arial" w:cs="Arial"/>
          <w:sz w:val="22"/>
          <w:szCs w:val="22"/>
        </w:rPr>
      </w:pPr>
    </w:p>
    <w:p w14:paraId="5D781EAE" w14:textId="77777777" w:rsidR="000E725F" w:rsidRPr="00F85253" w:rsidRDefault="000E725F" w:rsidP="000B6FF1">
      <w:pPr>
        <w:pStyle w:val="Paragraph"/>
        <w:spacing w:before="0" w:after="0" w:line="276" w:lineRule="auto"/>
        <w:outlineLvl w:val="9"/>
        <w:rPr>
          <w:rFonts w:ascii="Arial" w:hAnsi="Arial" w:cs="Arial"/>
          <w:sz w:val="22"/>
          <w:szCs w:val="22"/>
        </w:rPr>
      </w:pPr>
    </w:p>
    <w:p w14:paraId="643DF1B2" w14:textId="77777777" w:rsidR="000E725F" w:rsidRPr="00F85253" w:rsidRDefault="000E725F" w:rsidP="000B6FF1">
      <w:pPr>
        <w:pStyle w:val="Paragraph"/>
        <w:spacing w:before="0" w:after="0" w:line="276" w:lineRule="auto"/>
        <w:outlineLvl w:val="9"/>
        <w:rPr>
          <w:rFonts w:ascii="Arial" w:hAnsi="Arial" w:cs="Arial"/>
          <w:sz w:val="22"/>
          <w:szCs w:val="22"/>
        </w:rPr>
      </w:pPr>
    </w:p>
    <w:p w14:paraId="376E1680" w14:textId="77777777" w:rsidR="000E725F" w:rsidRPr="00F85253" w:rsidRDefault="000E725F" w:rsidP="000B6FF1">
      <w:pPr>
        <w:pStyle w:val="Paragraph"/>
        <w:spacing w:before="0" w:after="0" w:line="276" w:lineRule="auto"/>
        <w:outlineLvl w:val="9"/>
        <w:rPr>
          <w:rFonts w:ascii="Arial" w:hAnsi="Arial" w:cs="Arial"/>
          <w:sz w:val="22"/>
          <w:szCs w:val="22"/>
        </w:rPr>
      </w:pPr>
    </w:p>
    <w:p w14:paraId="3F77365B" w14:textId="4E56B96B" w:rsidR="000E725F" w:rsidRPr="00F85253" w:rsidRDefault="000E725F" w:rsidP="000E725F">
      <w:pPr>
        <w:pStyle w:val="Paragraph"/>
        <w:spacing w:before="0" w:after="0" w:line="276" w:lineRule="auto"/>
        <w:outlineLvl w:val="9"/>
        <w:rPr>
          <w:rFonts w:ascii="Arial" w:hAnsi="Arial" w:cs="Arial"/>
          <w:b/>
          <w:sz w:val="22"/>
        </w:rPr>
      </w:pPr>
      <w:r w:rsidRPr="00F85253">
        <w:rPr>
          <w:rFonts w:ascii="Arial" w:hAnsi="Arial" w:cs="Arial"/>
          <w:b/>
          <w:sz w:val="22"/>
        </w:rPr>
        <w:lastRenderedPageBreak/>
        <w:t xml:space="preserve">Tabla </w:t>
      </w:r>
      <w:r w:rsidRPr="00F85253">
        <w:rPr>
          <w:rFonts w:ascii="Arial" w:hAnsi="Arial" w:cs="Arial"/>
          <w:b/>
          <w:sz w:val="22"/>
        </w:rPr>
        <w:fldChar w:fldCharType="begin"/>
      </w:r>
      <w:r w:rsidRPr="00F85253">
        <w:rPr>
          <w:rFonts w:ascii="Arial" w:hAnsi="Arial" w:cs="Arial"/>
          <w:b/>
          <w:sz w:val="22"/>
        </w:rPr>
        <w:instrText xml:space="preserve"> SEQ Tabla \* ARABIC </w:instrText>
      </w:r>
      <w:r w:rsidRPr="00F85253">
        <w:rPr>
          <w:rFonts w:ascii="Arial" w:hAnsi="Arial" w:cs="Arial"/>
          <w:b/>
          <w:sz w:val="22"/>
        </w:rPr>
        <w:fldChar w:fldCharType="separate"/>
      </w:r>
      <w:r w:rsidRPr="00F85253">
        <w:rPr>
          <w:rFonts w:ascii="Arial" w:hAnsi="Arial" w:cs="Arial"/>
          <w:b/>
          <w:noProof/>
          <w:sz w:val="22"/>
        </w:rPr>
        <w:t>5</w:t>
      </w:r>
      <w:r w:rsidRPr="00F85253">
        <w:rPr>
          <w:rFonts w:ascii="Arial" w:hAnsi="Arial" w:cs="Arial"/>
          <w:b/>
          <w:sz w:val="22"/>
        </w:rPr>
        <w:fldChar w:fldCharType="end"/>
      </w:r>
      <w:r w:rsidRPr="00F85253">
        <w:rPr>
          <w:rFonts w:ascii="Arial" w:hAnsi="Arial" w:cs="Arial"/>
          <w:b/>
          <w:sz w:val="22"/>
        </w:rPr>
        <w:t xml:space="preserve"> Análisis Económico – Análisis de sensibilidad: Escenario 3</w:t>
      </w:r>
    </w:p>
    <w:p w14:paraId="5B6D2742" w14:textId="77777777" w:rsidR="000E725F" w:rsidRPr="00F85253" w:rsidRDefault="000E725F" w:rsidP="000E725F">
      <w:pPr>
        <w:pStyle w:val="Paragraph"/>
        <w:spacing w:before="0" w:after="0" w:line="276" w:lineRule="auto"/>
        <w:outlineLvl w:val="9"/>
        <w:rPr>
          <w:rFonts w:ascii="Arial" w:hAnsi="Arial" w:cs="Arial"/>
          <w:b/>
          <w:sz w:val="22"/>
        </w:rPr>
      </w:pPr>
      <w:r w:rsidRPr="00F85253">
        <w:rPr>
          <w:rFonts w:ascii="Arial" w:hAnsi="Arial" w:cs="Arial"/>
          <w:b/>
        </w:rPr>
        <w:t>Millones de dólares constantes de 2018 (tasa de descuento 12%)</w:t>
      </w:r>
    </w:p>
    <w:p w14:paraId="6A905E1C" w14:textId="77777777" w:rsidR="000E725F" w:rsidRPr="00F85253" w:rsidRDefault="000E725F" w:rsidP="000B6FF1">
      <w:pPr>
        <w:pStyle w:val="Paragraph"/>
        <w:spacing w:before="0" w:after="0" w:line="276" w:lineRule="auto"/>
        <w:outlineLvl w:val="9"/>
        <w:rPr>
          <w:rFonts w:ascii="Arial" w:hAnsi="Arial" w:cs="Arial"/>
          <w:sz w:val="22"/>
          <w:szCs w:val="22"/>
        </w:rPr>
      </w:pPr>
    </w:p>
    <w:p w14:paraId="42ED656F" w14:textId="77777777" w:rsidR="006E4D25" w:rsidRPr="00F85253" w:rsidRDefault="006E4D25" w:rsidP="000B6FF1">
      <w:pPr>
        <w:pStyle w:val="Paragraph"/>
        <w:spacing w:before="0" w:after="0" w:line="276" w:lineRule="auto"/>
        <w:outlineLvl w:val="9"/>
        <w:rPr>
          <w:rFonts w:ascii="Arial" w:hAnsi="Arial" w:cs="Arial"/>
          <w:sz w:val="22"/>
          <w:szCs w:val="22"/>
        </w:rPr>
      </w:pPr>
    </w:p>
    <w:tbl>
      <w:tblPr>
        <w:tblW w:w="14976" w:type="dxa"/>
        <w:tblInd w:w="55" w:type="dxa"/>
        <w:tblCellMar>
          <w:left w:w="70" w:type="dxa"/>
          <w:right w:w="70" w:type="dxa"/>
        </w:tblCellMar>
        <w:tblLook w:val="04A0" w:firstRow="1" w:lastRow="0" w:firstColumn="1" w:lastColumn="0" w:noHBand="0" w:noVBand="1"/>
      </w:tblPr>
      <w:tblGrid>
        <w:gridCol w:w="4489"/>
        <w:gridCol w:w="1293"/>
        <w:gridCol w:w="870"/>
        <w:gridCol w:w="930"/>
        <w:gridCol w:w="870"/>
        <w:gridCol w:w="1061"/>
        <w:gridCol w:w="1134"/>
        <w:gridCol w:w="752"/>
        <w:gridCol w:w="1016"/>
        <w:gridCol w:w="891"/>
        <w:gridCol w:w="820"/>
        <w:gridCol w:w="992"/>
      </w:tblGrid>
      <w:tr w:rsidR="00207185" w:rsidRPr="00F85253" w14:paraId="14F542F6" w14:textId="77777777" w:rsidTr="00207185">
        <w:trPr>
          <w:trHeight w:val="270"/>
        </w:trPr>
        <w:tc>
          <w:tcPr>
            <w:tcW w:w="4489" w:type="dxa"/>
            <w:tcBorders>
              <w:top w:val="single" w:sz="8" w:space="0" w:color="auto"/>
              <w:left w:val="single" w:sz="8" w:space="0" w:color="auto"/>
              <w:bottom w:val="single" w:sz="8" w:space="0" w:color="auto"/>
              <w:right w:val="nil"/>
            </w:tcBorders>
            <w:shd w:val="clear" w:color="000000" w:fill="FFFFFF"/>
            <w:noWrap/>
            <w:vAlign w:val="bottom"/>
            <w:hideMark/>
          </w:tcPr>
          <w:p w14:paraId="27F9D0EB" w14:textId="77777777" w:rsidR="00207185" w:rsidRPr="00F85253" w:rsidRDefault="00207185" w:rsidP="00207185">
            <w:pPr>
              <w:spacing w:after="0" w:line="240" w:lineRule="auto"/>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ITEM</w:t>
            </w:r>
          </w:p>
        </w:tc>
        <w:tc>
          <w:tcPr>
            <w:tcW w:w="1293" w:type="dxa"/>
            <w:tcBorders>
              <w:top w:val="single" w:sz="8" w:space="0" w:color="auto"/>
              <w:left w:val="nil"/>
              <w:bottom w:val="single" w:sz="8" w:space="0" w:color="auto"/>
              <w:right w:val="nil"/>
            </w:tcBorders>
            <w:shd w:val="clear" w:color="000000" w:fill="FFFFFF"/>
            <w:noWrap/>
            <w:vAlign w:val="bottom"/>
            <w:hideMark/>
          </w:tcPr>
          <w:p w14:paraId="35D0973F" w14:textId="77777777" w:rsidR="00207185" w:rsidRPr="00F85253" w:rsidRDefault="00207185" w:rsidP="00207185">
            <w:pPr>
              <w:spacing w:after="0" w:line="240" w:lineRule="auto"/>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Subtotal </w:t>
            </w:r>
          </w:p>
        </w:tc>
        <w:tc>
          <w:tcPr>
            <w:tcW w:w="870" w:type="dxa"/>
            <w:tcBorders>
              <w:top w:val="single" w:sz="8" w:space="0" w:color="auto"/>
              <w:left w:val="single" w:sz="8" w:space="0" w:color="auto"/>
              <w:bottom w:val="single" w:sz="8" w:space="0" w:color="auto"/>
              <w:right w:val="nil"/>
            </w:tcBorders>
            <w:shd w:val="clear" w:color="000000" w:fill="FFFFFF"/>
            <w:noWrap/>
            <w:vAlign w:val="bottom"/>
            <w:hideMark/>
          </w:tcPr>
          <w:p w14:paraId="1E47177E"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2019</w:t>
            </w:r>
          </w:p>
        </w:tc>
        <w:tc>
          <w:tcPr>
            <w:tcW w:w="930" w:type="dxa"/>
            <w:tcBorders>
              <w:top w:val="single" w:sz="8" w:space="0" w:color="auto"/>
              <w:left w:val="nil"/>
              <w:bottom w:val="single" w:sz="8" w:space="0" w:color="auto"/>
              <w:right w:val="nil"/>
            </w:tcBorders>
            <w:shd w:val="clear" w:color="000000" w:fill="FFFFFF"/>
            <w:noWrap/>
            <w:vAlign w:val="bottom"/>
            <w:hideMark/>
          </w:tcPr>
          <w:p w14:paraId="285CFAD1"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2020</w:t>
            </w:r>
          </w:p>
        </w:tc>
        <w:tc>
          <w:tcPr>
            <w:tcW w:w="870" w:type="dxa"/>
            <w:tcBorders>
              <w:top w:val="single" w:sz="8" w:space="0" w:color="auto"/>
              <w:left w:val="nil"/>
              <w:bottom w:val="single" w:sz="8" w:space="0" w:color="auto"/>
              <w:right w:val="nil"/>
            </w:tcBorders>
            <w:shd w:val="clear" w:color="000000" w:fill="FFFFFF"/>
            <w:noWrap/>
            <w:vAlign w:val="bottom"/>
            <w:hideMark/>
          </w:tcPr>
          <w:p w14:paraId="120EE6B1"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2021</w:t>
            </w:r>
          </w:p>
        </w:tc>
        <w:tc>
          <w:tcPr>
            <w:tcW w:w="1061" w:type="dxa"/>
            <w:tcBorders>
              <w:top w:val="single" w:sz="8" w:space="0" w:color="auto"/>
              <w:left w:val="nil"/>
              <w:bottom w:val="single" w:sz="8" w:space="0" w:color="auto"/>
              <w:right w:val="single" w:sz="8" w:space="0" w:color="auto"/>
            </w:tcBorders>
            <w:shd w:val="clear" w:color="000000" w:fill="FFFFFF"/>
            <w:noWrap/>
            <w:vAlign w:val="bottom"/>
            <w:hideMark/>
          </w:tcPr>
          <w:p w14:paraId="60B4C1B5"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2022</w:t>
            </w:r>
          </w:p>
        </w:tc>
        <w:tc>
          <w:tcPr>
            <w:tcW w:w="1134" w:type="dxa"/>
            <w:tcBorders>
              <w:top w:val="single" w:sz="8" w:space="0" w:color="auto"/>
              <w:left w:val="nil"/>
              <w:bottom w:val="single" w:sz="8" w:space="0" w:color="auto"/>
              <w:right w:val="nil"/>
            </w:tcBorders>
            <w:shd w:val="clear" w:color="000000" w:fill="FFFFFF"/>
            <w:noWrap/>
            <w:vAlign w:val="bottom"/>
            <w:hideMark/>
          </w:tcPr>
          <w:p w14:paraId="11781972"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2023</w:t>
            </w:r>
          </w:p>
        </w:tc>
        <w:tc>
          <w:tcPr>
            <w:tcW w:w="610" w:type="dxa"/>
            <w:tcBorders>
              <w:top w:val="single" w:sz="8" w:space="0" w:color="auto"/>
              <w:left w:val="nil"/>
              <w:bottom w:val="single" w:sz="8" w:space="0" w:color="auto"/>
              <w:right w:val="nil"/>
            </w:tcBorders>
            <w:shd w:val="clear" w:color="000000" w:fill="FFFFFF"/>
            <w:noWrap/>
            <w:vAlign w:val="bottom"/>
            <w:hideMark/>
          </w:tcPr>
          <w:p w14:paraId="4774D1FA"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2024</w:t>
            </w:r>
          </w:p>
        </w:tc>
        <w:tc>
          <w:tcPr>
            <w:tcW w:w="1016" w:type="dxa"/>
            <w:tcBorders>
              <w:top w:val="single" w:sz="8" w:space="0" w:color="auto"/>
              <w:left w:val="nil"/>
              <w:bottom w:val="single" w:sz="8" w:space="0" w:color="auto"/>
              <w:right w:val="nil"/>
            </w:tcBorders>
            <w:shd w:val="clear" w:color="000000" w:fill="FFFFFF"/>
            <w:noWrap/>
            <w:vAlign w:val="bottom"/>
            <w:hideMark/>
          </w:tcPr>
          <w:p w14:paraId="67A83A10"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2025</w:t>
            </w:r>
          </w:p>
        </w:tc>
        <w:tc>
          <w:tcPr>
            <w:tcW w:w="891" w:type="dxa"/>
            <w:tcBorders>
              <w:top w:val="single" w:sz="8" w:space="0" w:color="auto"/>
              <w:left w:val="nil"/>
              <w:bottom w:val="single" w:sz="8" w:space="0" w:color="auto"/>
              <w:right w:val="nil"/>
            </w:tcBorders>
            <w:shd w:val="clear" w:color="000000" w:fill="FFFFFF"/>
            <w:noWrap/>
            <w:vAlign w:val="bottom"/>
            <w:hideMark/>
          </w:tcPr>
          <w:p w14:paraId="3BC85446"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2026</w:t>
            </w:r>
          </w:p>
        </w:tc>
        <w:tc>
          <w:tcPr>
            <w:tcW w:w="820" w:type="dxa"/>
            <w:tcBorders>
              <w:top w:val="single" w:sz="8" w:space="0" w:color="auto"/>
              <w:left w:val="nil"/>
              <w:bottom w:val="single" w:sz="8" w:space="0" w:color="auto"/>
              <w:right w:val="nil"/>
            </w:tcBorders>
            <w:shd w:val="clear" w:color="000000" w:fill="FFFFFF"/>
            <w:noWrap/>
            <w:vAlign w:val="bottom"/>
            <w:hideMark/>
          </w:tcPr>
          <w:p w14:paraId="0F55E0D1"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2027</w:t>
            </w:r>
          </w:p>
        </w:tc>
        <w:tc>
          <w:tcPr>
            <w:tcW w:w="992" w:type="dxa"/>
            <w:tcBorders>
              <w:top w:val="single" w:sz="8" w:space="0" w:color="auto"/>
              <w:left w:val="nil"/>
              <w:bottom w:val="single" w:sz="8" w:space="0" w:color="auto"/>
              <w:right w:val="single" w:sz="8" w:space="0" w:color="auto"/>
            </w:tcBorders>
            <w:shd w:val="clear" w:color="000000" w:fill="FFFFFF"/>
            <w:noWrap/>
            <w:vAlign w:val="bottom"/>
            <w:hideMark/>
          </w:tcPr>
          <w:p w14:paraId="6C9E6E2A"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2028</w:t>
            </w:r>
          </w:p>
        </w:tc>
      </w:tr>
      <w:tr w:rsidR="00207185" w:rsidRPr="00F85253" w14:paraId="40021B1D" w14:textId="77777777" w:rsidTr="00207185">
        <w:trPr>
          <w:trHeight w:val="255"/>
        </w:trPr>
        <w:tc>
          <w:tcPr>
            <w:tcW w:w="4489" w:type="dxa"/>
            <w:tcBorders>
              <w:top w:val="nil"/>
              <w:left w:val="single" w:sz="8" w:space="0" w:color="auto"/>
              <w:bottom w:val="nil"/>
              <w:right w:val="nil"/>
            </w:tcBorders>
            <w:shd w:val="clear" w:color="000000" w:fill="FFFFFF"/>
            <w:noWrap/>
            <w:vAlign w:val="bottom"/>
            <w:hideMark/>
          </w:tcPr>
          <w:p w14:paraId="20169B08" w14:textId="77777777" w:rsidR="00207185" w:rsidRPr="00F85253" w:rsidRDefault="00207185" w:rsidP="00207185">
            <w:pPr>
              <w:spacing w:after="0" w:line="240" w:lineRule="auto"/>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Beneficios Económicos</w:t>
            </w:r>
          </w:p>
        </w:tc>
        <w:tc>
          <w:tcPr>
            <w:tcW w:w="1293" w:type="dxa"/>
            <w:tcBorders>
              <w:top w:val="nil"/>
              <w:left w:val="nil"/>
              <w:bottom w:val="nil"/>
              <w:right w:val="nil"/>
            </w:tcBorders>
            <w:shd w:val="clear" w:color="000000" w:fill="FFFFFF"/>
            <w:noWrap/>
            <w:vAlign w:val="bottom"/>
            <w:hideMark/>
          </w:tcPr>
          <w:p w14:paraId="1E463635"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w:t>
            </w:r>
          </w:p>
        </w:tc>
        <w:tc>
          <w:tcPr>
            <w:tcW w:w="870" w:type="dxa"/>
            <w:tcBorders>
              <w:top w:val="nil"/>
              <w:left w:val="single" w:sz="8" w:space="0" w:color="auto"/>
              <w:bottom w:val="nil"/>
              <w:right w:val="nil"/>
            </w:tcBorders>
            <w:shd w:val="clear" w:color="000000" w:fill="FFFFFF"/>
            <w:noWrap/>
            <w:vAlign w:val="bottom"/>
            <w:hideMark/>
          </w:tcPr>
          <w:p w14:paraId="069A60DB"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w:t>
            </w:r>
          </w:p>
        </w:tc>
        <w:tc>
          <w:tcPr>
            <w:tcW w:w="930" w:type="dxa"/>
            <w:tcBorders>
              <w:top w:val="nil"/>
              <w:left w:val="nil"/>
              <w:bottom w:val="nil"/>
              <w:right w:val="nil"/>
            </w:tcBorders>
            <w:shd w:val="clear" w:color="000000" w:fill="FFFFFF"/>
            <w:noWrap/>
            <w:vAlign w:val="bottom"/>
            <w:hideMark/>
          </w:tcPr>
          <w:p w14:paraId="6B825D9D"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870" w:type="dxa"/>
            <w:tcBorders>
              <w:top w:val="nil"/>
              <w:left w:val="nil"/>
              <w:bottom w:val="nil"/>
              <w:right w:val="nil"/>
            </w:tcBorders>
            <w:shd w:val="clear" w:color="000000" w:fill="FFFFFF"/>
            <w:noWrap/>
            <w:vAlign w:val="bottom"/>
            <w:hideMark/>
          </w:tcPr>
          <w:p w14:paraId="034E48C0"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1061" w:type="dxa"/>
            <w:tcBorders>
              <w:top w:val="nil"/>
              <w:left w:val="nil"/>
              <w:bottom w:val="nil"/>
              <w:right w:val="single" w:sz="8" w:space="0" w:color="auto"/>
            </w:tcBorders>
            <w:shd w:val="clear" w:color="000000" w:fill="FFFFFF"/>
            <w:noWrap/>
            <w:vAlign w:val="bottom"/>
            <w:hideMark/>
          </w:tcPr>
          <w:p w14:paraId="6D4992D6"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1134" w:type="dxa"/>
            <w:tcBorders>
              <w:top w:val="nil"/>
              <w:left w:val="nil"/>
              <w:bottom w:val="nil"/>
              <w:right w:val="nil"/>
            </w:tcBorders>
            <w:shd w:val="clear" w:color="000000" w:fill="FFFFFF"/>
            <w:noWrap/>
            <w:vAlign w:val="bottom"/>
            <w:hideMark/>
          </w:tcPr>
          <w:p w14:paraId="3A931893"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610" w:type="dxa"/>
            <w:tcBorders>
              <w:top w:val="nil"/>
              <w:left w:val="nil"/>
              <w:bottom w:val="nil"/>
              <w:right w:val="nil"/>
            </w:tcBorders>
            <w:shd w:val="clear" w:color="000000" w:fill="FFFFFF"/>
            <w:noWrap/>
            <w:vAlign w:val="bottom"/>
            <w:hideMark/>
          </w:tcPr>
          <w:p w14:paraId="3822A17C"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1016" w:type="dxa"/>
            <w:tcBorders>
              <w:top w:val="nil"/>
              <w:left w:val="nil"/>
              <w:bottom w:val="nil"/>
              <w:right w:val="nil"/>
            </w:tcBorders>
            <w:shd w:val="clear" w:color="000000" w:fill="FFFFFF"/>
            <w:noWrap/>
            <w:vAlign w:val="bottom"/>
            <w:hideMark/>
          </w:tcPr>
          <w:p w14:paraId="2399E2F9"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891" w:type="dxa"/>
            <w:tcBorders>
              <w:top w:val="nil"/>
              <w:left w:val="nil"/>
              <w:bottom w:val="nil"/>
              <w:right w:val="nil"/>
            </w:tcBorders>
            <w:shd w:val="clear" w:color="000000" w:fill="FFFFFF"/>
            <w:noWrap/>
            <w:vAlign w:val="bottom"/>
            <w:hideMark/>
          </w:tcPr>
          <w:p w14:paraId="61A52486"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820" w:type="dxa"/>
            <w:tcBorders>
              <w:top w:val="nil"/>
              <w:left w:val="nil"/>
              <w:bottom w:val="nil"/>
              <w:right w:val="nil"/>
            </w:tcBorders>
            <w:shd w:val="clear" w:color="000000" w:fill="FFFFFF"/>
            <w:noWrap/>
            <w:vAlign w:val="bottom"/>
            <w:hideMark/>
          </w:tcPr>
          <w:p w14:paraId="1777201E"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992" w:type="dxa"/>
            <w:tcBorders>
              <w:top w:val="nil"/>
              <w:left w:val="nil"/>
              <w:bottom w:val="nil"/>
              <w:right w:val="single" w:sz="8" w:space="0" w:color="auto"/>
            </w:tcBorders>
            <w:shd w:val="clear" w:color="000000" w:fill="FFFFFF"/>
            <w:noWrap/>
            <w:vAlign w:val="bottom"/>
            <w:hideMark/>
          </w:tcPr>
          <w:p w14:paraId="5017E6E7"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r>
      <w:tr w:rsidR="00207185" w:rsidRPr="00F85253" w14:paraId="734FF129" w14:textId="77777777" w:rsidTr="00207185">
        <w:trPr>
          <w:trHeight w:val="255"/>
        </w:trPr>
        <w:tc>
          <w:tcPr>
            <w:tcW w:w="4489" w:type="dxa"/>
            <w:tcBorders>
              <w:top w:val="nil"/>
              <w:left w:val="single" w:sz="8" w:space="0" w:color="auto"/>
              <w:bottom w:val="nil"/>
              <w:right w:val="nil"/>
            </w:tcBorders>
            <w:shd w:val="clear" w:color="000000" w:fill="FFFFFF"/>
            <w:noWrap/>
            <w:vAlign w:val="bottom"/>
            <w:hideMark/>
          </w:tcPr>
          <w:p w14:paraId="2BD6F04B" w14:textId="77777777" w:rsidR="00207185" w:rsidRPr="00F85253" w:rsidRDefault="00207185" w:rsidP="00207185">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C. Evitados por Desvinculación</w:t>
            </w:r>
          </w:p>
        </w:tc>
        <w:tc>
          <w:tcPr>
            <w:tcW w:w="1293" w:type="dxa"/>
            <w:tcBorders>
              <w:top w:val="nil"/>
              <w:left w:val="nil"/>
              <w:bottom w:val="nil"/>
              <w:right w:val="nil"/>
            </w:tcBorders>
            <w:shd w:val="clear" w:color="000000" w:fill="FFFFFF"/>
            <w:noWrap/>
            <w:vAlign w:val="bottom"/>
            <w:hideMark/>
          </w:tcPr>
          <w:p w14:paraId="6FCD2F08"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w:t>
            </w:r>
            <w:proofErr w:type="gramStart"/>
            <w:r w:rsidRPr="00F85253">
              <w:rPr>
                <w:rFonts w:ascii="Arial" w:eastAsia="Times New Roman" w:hAnsi="Arial" w:cs="Arial"/>
                <w:b/>
                <w:bCs/>
                <w:sz w:val="20"/>
                <w:szCs w:val="20"/>
                <w:lang w:val="es-EC" w:eastAsia="es-EC"/>
              </w:rPr>
              <w:t>$  218.54</w:t>
            </w:r>
            <w:proofErr w:type="gramEnd"/>
            <w:r w:rsidRPr="00F85253">
              <w:rPr>
                <w:rFonts w:ascii="Arial" w:eastAsia="Times New Roman" w:hAnsi="Arial" w:cs="Arial"/>
                <w:b/>
                <w:bCs/>
                <w:sz w:val="20"/>
                <w:szCs w:val="20"/>
                <w:lang w:val="es-EC" w:eastAsia="es-EC"/>
              </w:rPr>
              <w:t xml:space="preserve"> </w:t>
            </w:r>
          </w:p>
        </w:tc>
        <w:tc>
          <w:tcPr>
            <w:tcW w:w="870" w:type="dxa"/>
            <w:tcBorders>
              <w:top w:val="nil"/>
              <w:left w:val="single" w:sz="8" w:space="0" w:color="auto"/>
              <w:bottom w:val="nil"/>
              <w:right w:val="nil"/>
            </w:tcBorders>
            <w:shd w:val="clear" w:color="000000" w:fill="FFFFFF"/>
            <w:noWrap/>
            <w:vAlign w:val="bottom"/>
            <w:hideMark/>
          </w:tcPr>
          <w:p w14:paraId="2D92322E"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930" w:type="dxa"/>
            <w:tcBorders>
              <w:top w:val="nil"/>
              <w:left w:val="nil"/>
              <w:bottom w:val="nil"/>
              <w:right w:val="nil"/>
            </w:tcBorders>
            <w:shd w:val="clear" w:color="000000" w:fill="FFFFFF"/>
            <w:noWrap/>
            <w:vAlign w:val="bottom"/>
            <w:hideMark/>
          </w:tcPr>
          <w:p w14:paraId="5C9BD451"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870" w:type="dxa"/>
            <w:tcBorders>
              <w:top w:val="nil"/>
              <w:left w:val="nil"/>
              <w:bottom w:val="nil"/>
              <w:right w:val="nil"/>
            </w:tcBorders>
            <w:shd w:val="clear" w:color="000000" w:fill="FFFFFF"/>
            <w:noWrap/>
            <w:vAlign w:val="bottom"/>
            <w:hideMark/>
          </w:tcPr>
          <w:p w14:paraId="612D1DD0"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$ 27.32 </w:t>
            </w:r>
          </w:p>
        </w:tc>
        <w:tc>
          <w:tcPr>
            <w:tcW w:w="1061" w:type="dxa"/>
            <w:tcBorders>
              <w:top w:val="nil"/>
              <w:left w:val="nil"/>
              <w:bottom w:val="nil"/>
              <w:right w:val="single" w:sz="8" w:space="0" w:color="auto"/>
            </w:tcBorders>
            <w:shd w:val="clear" w:color="000000" w:fill="FFFFFF"/>
            <w:noWrap/>
            <w:vAlign w:val="bottom"/>
            <w:hideMark/>
          </w:tcPr>
          <w:p w14:paraId="1ADD8E1B"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w:t>
            </w:r>
            <w:proofErr w:type="gramStart"/>
            <w:r w:rsidRPr="00F85253">
              <w:rPr>
                <w:rFonts w:ascii="Arial" w:eastAsia="Times New Roman" w:hAnsi="Arial" w:cs="Arial"/>
                <w:sz w:val="20"/>
                <w:szCs w:val="20"/>
                <w:lang w:val="es-EC" w:eastAsia="es-EC"/>
              </w:rPr>
              <w:t>$  27.32</w:t>
            </w:r>
            <w:proofErr w:type="gramEnd"/>
            <w:r w:rsidRPr="00F85253">
              <w:rPr>
                <w:rFonts w:ascii="Arial" w:eastAsia="Times New Roman" w:hAnsi="Arial" w:cs="Arial"/>
                <w:sz w:val="20"/>
                <w:szCs w:val="20"/>
                <w:lang w:val="es-EC" w:eastAsia="es-EC"/>
              </w:rPr>
              <w:t xml:space="preserve"> </w:t>
            </w:r>
          </w:p>
        </w:tc>
        <w:tc>
          <w:tcPr>
            <w:tcW w:w="1134" w:type="dxa"/>
            <w:tcBorders>
              <w:top w:val="nil"/>
              <w:left w:val="nil"/>
              <w:bottom w:val="nil"/>
              <w:right w:val="nil"/>
            </w:tcBorders>
            <w:shd w:val="clear" w:color="000000" w:fill="FFFFFF"/>
            <w:noWrap/>
            <w:vAlign w:val="bottom"/>
            <w:hideMark/>
          </w:tcPr>
          <w:p w14:paraId="40A1579B"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27.32 </w:t>
            </w:r>
          </w:p>
        </w:tc>
        <w:tc>
          <w:tcPr>
            <w:tcW w:w="610" w:type="dxa"/>
            <w:tcBorders>
              <w:top w:val="nil"/>
              <w:left w:val="nil"/>
              <w:bottom w:val="nil"/>
              <w:right w:val="nil"/>
            </w:tcBorders>
            <w:shd w:val="clear" w:color="000000" w:fill="FFFFFF"/>
            <w:noWrap/>
            <w:vAlign w:val="bottom"/>
            <w:hideMark/>
          </w:tcPr>
          <w:p w14:paraId="08AABF30"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$27.32 </w:t>
            </w:r>
          </w:p>
        </w:tc>
        <w:tc>
          <w:tcPr>
            <w:tcW w:w="1016" w:type="dxa"/>
            <w:tcBorders>
              <w:top w:val="nil"/>
              <w:left w:val="nil"/>
              <w:bottom w:val="nil"/>
              <w:right w:val="nil"/>
            </w:tcBorders>
            <w:shd w:val="clear" w:color="000000" w:fill="FFFFFF"/>
            <w:noWrap/>
            <w:vAlign w:val="bottom"/>
            <w:hideMark/>
          </w:tcPr>
          <w:p w14:paraId="19753ACE"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w:t>
            </w:r>
            <w:proofErr w:type="gramStart"/>
            <w:r w:rsidRPr="00F85253">
              <w:rPr>
                <w:rFonts w:ascii="Arial" w:eastAsia="Times New Roman" w:hAnsi="Arial" w:cs="Arial"/>
                <w:sz w:val="20"/>
                <w:szCs w:val="20"/>
                <w:lang w:val="es-EC" w:eastAsia="es-EC"/>
              </w:rPr>
              <w:t>$  27.32</w:t>
            </w:r>
            <w:proofErr w:type="gramEnd"/>
            <w:r w:rsidRPr="00F85253">
              <w:rPr>
                <w:rFonts w:ascii="Arial" w:eastAsia="Times New Roman" w:hAnsi="Arial" w:cs="Arial"/>
                <w:sz w:val="20"/>
                <w:szCs w:val="20"/>
                <w:lang w:val="es-EC" w:eastAsia="es-EC"/>
              </w:rPr>
              <w:t xml:space="preserve"> </w:t>
            </w:r>
          </w:p>
        </w:tc>
        <w:tc>
          <w:tcPr>
            <w:tcW w:w="891" w:type="dxa"/>
            <w:tcBorders>
              <w:top w:val="nil"/>
              <w:left w:val="nil"/>
              <w:bottom w:val="nil"/>
              <w:right w:val="nil"/>
            </w:tcBorders>
            <w:shd w:val="clear" w:color="000000" w:fill="FFFFFF"/>
            <w:noWrap/>
            <w:vAlign w:val="bottom"/>
            <w:hideMark/>
          </w:tcPr>
          <w:p w14:paraId="415DA450"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$27.32 </w:t>
            </w:r>
          </w:p>
        </w:tc>
        <w:tc>
          <w:tcPr>
            <w:tcW w:w="820" w:type="dxa"/>
            <w:tcBorders>
              <w:top w:val="nil"/>
              <w:left w:val="nil"/>
              <w:bottom w:val="nil"/>
              <w:right w:val="nil"/>
            </w:tcBorders>
            <w:shd w:val="clear" w:color="000000" w:fill="FFFFFF"/>
            <w:noWrap/>
            <w:vAlign w:val="bottom"/>
            <w:hideMark/>
          </w:tcPr>
          <w:p w14:paraId="407562BC"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$27.32 </w:t>
            </w:r>
          </w:p>
        </w:tc>
        <w:tc>
          <w:tcPr>
            <w:tcW w:w="992" w:type="dxa"/>
            <w:tcBorders>
              <w:top w:val="nil"/>
              <w:left w:val="nil"/>
              <w:bottom w:val="nil"/>
              <w:right w:val="single" w:sz="8" w:space="0" w:color="auto"/>
            </w:tcBorders>
            <w:shd w:val="clear" w:color="000000" w:fill="FFFFFF"/>
            <w:noWrap/>
            <w:vAlign w:val="bottom"/>
            <w:hideMark/>
          </w:tcPr>
          <w:p w14:paraId="72599FAF"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w:t>
            </w:r>
            <w:proofErr w:type="gramStart"/>
            <w:r w:rsidRPr="00F85253">
              <w:rPr>
                <w:rFonts w:ascii="Arial" w:eastAsia="Times New Roman" w:hAnsi="Arial" w:cs="Arial"/>
                <w:sz w:val="20"/>
                <w:szCs w:val="20"/>
                <w:lang w:val="es-EC" w:eastAsia="es-EC"/>
              </w:rPr>
              <w:t>$  27.32</w:t>
            </w:r>
            <w:proofErr w:type="gramEnd"/>
            <w:r w:rsidRPr="00F85253">
              <w:rPr>
                <w:rFonts w:ascii="Arial" w:eastAsia="Times New Roman" w:hAnsi="Arial" w:cs="Arial"/>
                <w:sz w:val="20"/>
                <w:szCs w:val="20"/>
                <w:lang w:val="es-EC" w:eastAsia="es-EC"/>
              </w:rPr>
              <w:t xml:space="preserve"> </w:t>
            </w:r>
          </w:p>
        </w:tc>
      </w:tr>
      <w:tr w:rsidR="00207185" w:rsidRPr="00F85253" w14:paraId="12AF1CCC" w14:textId="77777777" w:rsidTr="00207185">
        <w:trPr>
          <w:trHeight w:val="255"/>
        </w:trPr>
        <w:tc>
          <w:tcPr>
            <w:tcW w:w="4489" w:type="dxa"/>
            <w:tcBorders>
              <w:top w:val="nil"/>
              <w:left w:val="single" w:sz="8" w:space="0" w:color="auto"/>
              <w:bottom w:val="nil"/>
              <w:right w:val="nil"/>
            </w:tcBorders>
            <w:shd w:val="clear" w:color="000000" w:fill="FFFFFF"/>
            <w:noWrap/>
            <w:vAlign w:val="bottom"/>
            <w:hideMark/>
          </w:tcPr>
          <w:p w14:paraId="5CE3A402" w14:textId="77777777" w:rsidR="00207185" w:rsidRPr="00F85253" w:rsidRDefault="00207185" w:rsidP="00207185">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C. Evitados por mejor transparencia</w:t>
            </w:r>
          </w:p>
        </w:tc>
        <w:tc>
          <w:tcPr>
            <w:tcW w:w="1293" w:type="dxa"/>
            <w:tcBorders>
              <w:top w:val="nil"/>
              <w:left w:val="nil"/>
              <w:bottom w:val="nil"/>
              <w:right w:val="nil"/>
            </w:tcBorders>
            <w:shd w:val="clear" w:color="000000" w:fill="FFFFFF"/>
            <w:noWrap/>
            <w:vAlign w:val="bottom"/>
            <w:hideMark/>
          </w:tcPr>
          <w:p w14:paraId="2417D325"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10.58 </w:t>
            </w:r>
          </w:p>
        </w:tc>
        <w:tc>
          <w:tcPr>
            <w:tcW w:w="870" w:type="dxa"/>
            <w:tcBorders>
              <w:top w:val="nil"/>
              <w:left w:val="single" w:sz="8" w:space="0" w:color="auto"/>
              <w:bottom w:val="nil"/>
              <w:right w:val="nil"/>
            </w:tcBorders>
            <w:shd w:val="clear" w:color="000000" w:fill="FFFFFF"/>
            <w:noWrap/>
            <w:vAlign w:val="bottom"/>
            <w:hideMark/>
          </w:tcPr>
          <w:p w14:paraId="410BF3EE"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930" w:type="dxa"/>
            <w:tcBorders>
              <w:top w:val="nil"/>
              <w:left w:val="nil"/>
              <w:bottom w:val="nil"/>
              <w:right w:val="nil"/>
            </w:tcBorders>
            <w:shd w:val="clear" w:color="000000" w:fill="FFFFFF"/>
            <w:noWrap/>
            <w:vAlign w:val="bottom"/>
            <w:hideMark/>
          </w:tcPr>
          <w:p w14:paraId="0299C1DD"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870" w:type="dxa"/>
            <w:tcBorders>
              <w:top w:val="nil"/>
              <w:left w:val="nil"/>
              <w:bottom w:val="nil"/>
              <w:right w:val="nil"/>
            </w:tcBorders>
            <w:shd w:val="clear" w:color="000000" w:fill="FFFFFF"/>
            <w:noWrap/>
            <w:vAlign w:val="bottom"/>
            <w:hideMark/>
          </w:tcPr>
          <w:p w14:paraId="5FAEEAF0"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1061" w:type="dxa"/>
            <w:tcBorders>
              <w:top w:val="nil"/>
              <w:left w:val="nil"/>
              <w:bottom w:val="nil"/>
              <w:right w:val="single" w:sz="8" w:space="0" w:color="auto"/>
            </w:tcBorders>
            <w:shd w:val="clear" w:color="000000" w:fill="FFFFFF"/>
            <w:noWrap/>
            <w:vAlign w:val="bottom"/>
            <w:hideMark/>
          </w:tcPr>
          <w:p w14:paraId="5477E71C"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1134" w:type="dxa"/>
            <w:tcBorders>
              <w:top w:val="nil"/>
              <w:left w:val="nil"/>
              <w:bottom w:val="nil"/>
              <w:right w:val="nil"/>
            </w:tcBorders>
            <w:shd w:val="clear" w:color="000000" w:fill="FFFFFF"/>
            <w:noWrap/>
            <w:vAlign w:val="bottom"/>
            <w:hideMark/>
          </w:tcPr>
          <w:p w14:paraId="16E9F990" w14:textId="77777777" w:rsidR="00207185" w:rsidRPr="00F85253" w:rsidRDefault="00207185" w:rsidP="00207185">
            <w:pPr>
              <w:spacing w:after="0" w:line="240" w:lineRule="auto"/>
              <w:jc w:val="right"/>
              <w:rPr>
                <w:rFonts w:ascii="Arial" w:eastAsia="Times New Roman" w:hAnsi="Arial" w:cs="Arial"/>
                <w:b/>
                <w:bCs/>
                <w:color w:val="00B0F0"/>
                <w:sz w:val="20"/>
                <w:szCs w:val="20"/>
                <w:lang w:val="es-EC" w:eastAsia="es-EC"/>
              </w:rPr>
            </w:pPr>
            <w:r w:rsidRPr="00F85253">
              <w:rPr>
                <w:rFonts w:ascii="Arial" w:eastAsia="Times New Roman" w:hAnsi="Arial" w:cs="Arial"/>
                <w:b/>
                <w:bCs/>
                <w:color w:val="00B0F0"/>
                <w:sz w:val="20"/>
                <w:szCs w:val="20"/>
                <w:lang w:val="es-EC" w:eastAsia="es-EC"/>
              </w:rPr>
              <w:t xml:space="preserve"> $      0.24 </w:t>
            </w:r>
          </w:p>
        </w:tc>
        <w:tc>
          <w:tcPr>
            <w:tcW w:w="610" w:type="dxa"/>
            <w:tcBorders>
              <w:top w:val="nil"/>
              <w:left w:val="nil"/>
              <w:bottom w:val="nil"/>
              <w:right w:val="nil"/>
            </w:tcBorders>
            <w:shd w:val="clear" w:color="000000" w:fill="FFFFFF"/>
            <w:noWrap/>
            <w:vAlign w:val="bottom"/>
            <w:hideMark/>
          </w:tcPr>
          <w:p w14:paraId="2917BB5E" w14:textId="77777777" w:rsidR="00207185" w:rsidRPr="00F85253" w:rsidRDefault="00207185" w:rsidP="00207185">
            <w:pPr>
              <w:spacing w:after="0" w:line="240" w:lineRule="auto"/>
              <w:jc w:val="right"/>
              <w:rPr>
                <w:rFonts w:ascii="Arial" w:eastAsia="Times New Roman" w:hAnsi="Arial" w:cs="Arial"/>
                <w:b/>
                <w:bCs/>
                <w:color w:val="00B0F0"/>
                <w:sz w:val="20"/>
                <w:szCs w:val="20"/>
                <w:lang w:val="es-EC" w:eastAsia="es-EC"/>
              </w:rPr>
            </w:pPr>
            <w:r w:rsidRPr="00F85253">
              <w:rPr>
                <w:rFonts w:ascii="Arial" w:eastAsia="Times New Roman" w:hAnsi="Arial" w:cs="Arial"/>
                <w:b/>
                <w:bCs/>
                <w:color w:val="00B0F0"/>
                <w:sz w:val="20"/>
                <w:szCs w:val="20"/>
                <w:lang w:val="es-EC" w:eastAsia="es-EC"/>
              </w:rPr>
              <w:t xml:space="preserve"> $ 0.44 </w:t>
            </w:r>
          </w:p>
        </w:tc>
        <w:tc>
          <w:tcPr>
            <w:tcW w:w="1016" w:type="dxa"/>
            <w:tcBorders>
              <w:top w:val="nil"/>
              <w:left w:val="nil"/>
              <w:bottom w:val="nil"/>
              <w:right w:val="nil"/>
            </w:tcBorders>
            <w:shd w:val="clear" w:color="000000" w:fill="FFFFFF"/>
            <w:noWrap/>
            <w:vAlign w:val="bottom"/>
            <w:hideMark/>
          </w:tcPr>
          <w:p w14:paraId="0E7BC584" w14:textId="77777777" w:rsidR="00207185" w:rsidRPr="00F85253" w:rsidRDefault="00207185" w:rsidP="00207185">
            <w:pPr>
              <w:spacing w:after="0" w:line="240" w:lineRule="auto"/>
              <w:jc w:val="right"/>
              <w:rPr>
                <w:rFonts w:ascii="Arial" w:eastAsia="Times New Roman" w:hAnsi="Arial" w:cs="Arial"/>
                <w:b/>
                <w:bCs/>
                <w:color w:val="00B0F0"/>
                <w:sz w:val="20"/>
                <w:szCs w:val="20"/>
                <w:lang w:val="es-EC" w:eastAsia="es-EC"/>
              </w:rPr>
            </w:pPr>
            <w:r w:rsidRPr="00F85253">
              <w:rPr>
                <w:rFonts w:ascii="Arial" w:eastAsia="Times New Roman" w:hAnsi="Arial" w:cs="Arial"/>
                <w:b/>
                <w:bCs/>
                <w:color w:val="00B0F0"/>
                <w:sz w:val="20"/>
                <w:szCs w:val="20"/>
                <w:lang w:val="es-EC" w:eastAsia="es-EC"/>
              </w:rPr>
              <w:t xml:space="preserve"> $   0.81 </w:t>
            </w:r>
          </w:p>
        </w:tc>
        <w:tc>
          <w:tcPr>
            <w:tcW w:w="891" w:type="dxa"/>
            <w:tcBorders>
              <w:top w:val="nil"/>
              <w:left w:val="nil"/>
              <w:bottom w:val="nil"/>
              <w:right w:val="nil"/>
            </w:tcBorders>
            <w:shd w:val="clear" w:color="000000" w:fill="FFFFFF"/>
            <w:noWrap/>
            <w:vAlign w:val="bottom"/>
            <w:hideMark/>
          </w:tcPr>
          <w:p w14:paraId="3D550D8E" w14:textId="77777777" w:rsidR="00207185" w:rsidRPr="00F85253" w:rsidRDefault="00207185" w:rsidP="00207185">
            <w:pPr>
              <w:spacing w:after="0" w:line="240" w:lineRule="auto"/>
              <w:jc w:val="right"/>
              <w:rPr>
                <w:rFonts w:ascii="Arial" w:eastAsia="Times New Roman" w:hAnsi="Arial" w:cs="Arial"/>
                <w:b/>
                <w:bCs/>
                <w:color w:val="00B0F0"/>
                <w:sz w:val="20"/>
                <w:szCs w:val="20"/>
                <w:lang w:val="es-EC" w:eastAsia="es-EC"/>
              </w:rPr>
            </w:pPr>
            <w:r w:rsidRPr="00F85253">
              <w:rPr>
                <w:rFonts w:ascii="Arial" w:eastAsia="Times New Roman" w:hAnsi="Arial" w:cs="Arial"/>
                <w:b/>
                <w:bCs/>
                <w:color w:val="00B0F0"/>
                <w:sz w:val="20"/>
                <w:szCs w:val="20"/>
                <w:lang w:val="es-EC" w:eastAsia="es-EC"/>
              </w:rPr>
              <w:t xml:space="preserve"> $ 1.48 </w:t>
            </w:r>
          </w:p>
        </w:tc>
        <w:tc>
          <w:tcPr>
            <w:tcW w:w="820" w:type="dxa"/>
            <w:tcBorders>
              <w:top w:val="nil"/>
              <w:left w:val="nil"/>
              <w:bottom w:val="nil"/>
              <w:right w:val="nil"/>
            </w:tcBorders>
            <w:shd w:val="clear" w:color="000000" w:fill="FFFFFF"/>
            <w:noWrap/>
            <w:vAlign w:val="bottom"/>
            <w:hideMark/>
          </w:tcPr>
          <w:p w14:paraId="02F5C7B2" w14:textId="77777777" w:rsidR="00207185" w:rsidRPr="00F85253" w:rsidRDefault="00207185" w:rsidP="00207185">
            <w:pPr>
              <w:spacing w:after="0" w:line="240" w:lineRule="auto"/>
              <w:jc w:val="right"/>
              <w:rPr>
                <w:rFonts w:ascii="Arial" w:eastAsia="Times New Roman" w:hAnsi="Arial" w:cs="Arial"/>
                <w:b/>
                <w:bCs/>
                <w:color w:val="00B0F0"/>
                <w:sz w:val="20"/>
                <w:szCs w:val="20"/>
                <w:lang w:val="es-EC" w:eastAsia="es-EC"/>
              </w:rPr>
            </w:pPr>
            <w:r w:rsidRPr="00F85253">
              <w:rPr>
                <w:rFonts w:ascii="Arial" w:eastAsia="Times New Roman" w:hAnsi="Arial" w:cs="Arial"/>
                <w:b/>
                <w:bCs/>
                <w:color w:val="00B0F0"/>
                <w:sz w:val="20"/>
                <w:szCs w:val="20"/>
                <w:lang w:val="es-EC" w:eastAsia="es-EC"/>
              </w:rPr>
              <w:t xml:space="preserve"> $ 2.70 </w:t>
            </w:r>
          </w:p>
        </w:tc>
        <w:tc>
          <w:tcPr>
            <w:tcW w:w="992" w:type="dxa"/>
            <w:tcBorders>
              <w:top w:val="nil"/>
              <w:left w:val="nil"/>
              <w:bottom w:val="nil"/>
              <w:right w:val="single" w:sz="8" w:space="0" w:color="auto"/>
            </w:tcBorders>
            <w:shd w:val="clear" w:color="000000" w:fill="FFFFFF"/>
            <w:noWrap/>
            <w:vAlign w:val="bottom"/>
            <w:hideMark/>
          </w:tcPr>
          <w:p w14:paraId="29FAB99A" w14:textId="77777777" w:rsidR="00207185" w:rsidRPr="00F85253" w:rsidRDefault="00207185" w:rsidP="00207185">
            <w:pPr>
              <w:spacing w:after="0" w:line="240" w:lineRule="auto"/>
              <w:jc w:val="right"/>
              <w:rPr>
                <w:rFonts w:ascii="Arial" w:eastAsia="Times New Roman" w:hAnsi="Arial" w:cs="Arial"/>
                <w:b/>
                <w:bCs/>
                <w:color w:val="00B0F0"/>
                <w:sz w:val="20"/>
                <w:szCs w:val="20"/>
                <w:lang w:val="es-EC" w:eastAsia="es-EC"/>
              </w:rPr>
            </w:pPr>
            <w:r w:rsidRPr="00F85253">
              <w:rPr>
                <w:rFonts w:ascii="Arial" w:eastAsia="Times New Roman" w:hAnsi="Arial" w:cs="Arial"/>
                <w:b/>
                <w:bCs/>
                <w:color w:val="00B0F0"/>
                <w:sz w:val="20"/>
                <w:szCs w:val="20"/>
                <w:lang w:val="es-EC" w:eastAsia="es-EC"/>
              </w:rPr>
              <w:t xml:space="preserve"> $    4.91 </w:t>
            </w:r>
          </w:p>
        </w:tc>
      </w:tr>
      <w:tr w:rsidR="00207185" w:rsidRPr="00F85253" w14:paraId="5D6551FF" w14:textId="77777777" w:rsidTr="00207185">
        <w:trPr>
          <w:trHeight w:val="255"/>
        </w:trPr>
        <w:tc>
          <w:tcPr>
            <w:tcW w:w="4489" w:type="dxa"/>
            <w:tcBorders>
              <w:top w:val="nil"/>
              <w:left w:val="single" w:sz="8" w:space="0" w:color="auto"/>
              <w:bottom w:val="nil"/>
              <w:right w:val="nil"/>
            </w:tcBorders>
            <w:shd w:val="clear" w:color="000000" w:fill="FFFFFF"/>
            <w:noWrap/>
            <w:vAlign w:val="bottom"/>
            <w:hideMark/>
          </w:tcPr>
          <w:p w14:paraId="62F06C0A" w14:textId="77777777" w:rsidR="00207185" w:rsidRPr="00F85253" w:rsidRDefault="00207185" w:rsidP="00207185">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C. Evitados por mejor Eficiencia por fusión</w:t>
            </w:r>
          </w:p>
        </w:tc>
        <w:tc>
          <w:tcPr>
            <w:tcW w:w="1293" w:type="dxa"/>
            <w:tcBorders>
              <w:top w:val="nil"/>
              <w:left w:val="nil"/>
              <w:bottom w:val="nil"/>
              <w:right w:val="nil"/>
            </w:tcBorders>
            <w:shd w:val="clear" w:color="000000" w:fill="FFFFFF"/>
            <w:noWrap/>
            <w:vAlign w:val="bottom"/>
            <w:hideMark/>
          </w:tcPr>
          <w:p w14:paraId="3C6DA2BC"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86.06 </w:t>
            </w:r>
          </w:p>
        </w:tc>
        <w:tc>
          <w:tcPr>
            <w:tcW w:w="870" w:type="dxa"/>
            <w:tcBorders>
              <w:top w:val="nil"/>
              <w:left w:val="single" w:sz="8" w:space="0" w:color="auto"/>
              <w:bottom w:val="nil"/>
              <w:right w:val="nil"/>
            </w:tcBorders>
            <w:shd w:val="clear" w:color="000000" w:fill="FFFFFF"/>
            <w:noWrap/>
            <w:vAlign w:val="bottom"/>
            <w:hideMark/>
          </w:tcPr>
          <w:p w14:paraId="5508DDBD"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930" w:type="dxa"/>
            <w:tcBorders>
              <w:top w:val="nil"/>
              <w:left w:val="nil"/>
              <w:bottom w:val="nil"/>
              <w:right w:val="nil"/>
            </w:tcBorders>
            <w:shd w:val="clear" w:color="000000" w:fill="FFFFFF"/>
            <w:noWrap/>
            <w:vAlign w:val="bottom"/>
            <w:hideMark/>
          </w:tcPr>
          <w:p w14:paraId="502F7486"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870" w:type="dxa"/>
            <w:tcBorders>
              <w:top w:val="nil"/>
              <w:left w:val="nil"/>
              <w:bottom w:val="nil"/>
              <w:right w:val="nil"/>
            </w:tcBorders>
            <w:shd w:val="clear" w:color="000000" w:fill="FFFFFF"/>
            <w:noWrap/>
            <w:vAlign w:val="bottom"/>
            <w:hideMark/>
          </w:tcPr>
          <w:p w14:paraId="479622DA"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1061" w:type="dxa"/>
            <w:tcBorders>
              <w:top w:val="nil"/>
              <w:left w:val="nil"/>
              <w:bottom w:val="nil"/>
              <w:right w:val="single" w:sz="8" w:space="0" w:color="auto"/>
            </w:tcBorders>
            <w:shd w:val="clear" w:color="000000" w:fill="FFFFFF"/>
            <w:noWrap/>
            <w:vAlign w:val="bottom"/>
            <w:hideMark/>
          </w:tcPr>
          <w:p w14:paraId="65C3EDCB"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1134" w:type="dxa"/>
            <w:tcBorders>
              <w:top w:val="nil"/>
              <w:left w:val="nil"/>
              <w:bottom w:val="nil"/>
              <w:right w:val="nil"/>
            </w:tcBorders>
            <w:shd w:val="clear" w:color="000000" w:fill="FFFFFF"/>
            <w:noWrap/>
            <w:vAlign w:val="bottom"/>
            <w:hideMark/>
          </w:tcPr>
          <w:p w14:paraId="28867477" w14:textId="77777777" w:rsidR="00207185" w:rsidRPr="00F85253" w:rsidRDefault="00207185" w:rsidP="00207185">
            <w:pPr>
              <w:spacing w:after="0" w:line="240" w:lineRule="auto"/>
              <w:jc w:val="right"/>
              <w:rPr>
                <w:rFonts w:ascii="Arial" w:eastAsia="Times New Roman" w:hAnsi="Arial" w:cs="Arial"/>
                <w:b/>
                <w:bCs/>
                <w:color w:val="00B0F0"/>
                <w:sz w:val="20"/>
                <w:szCs w:val="20"/>
                <w:lang w:val="es-EC" w:eastAsia="es-EC"/>
              </w:rPr>
            </w:pPr>
            <w:r w:rsidRPr="00F85253">
              <w:rPr>
                <w:rFonts w:ascii="Arial" w:eastAsia="Times New Roman" w:hAnsi="Arial" w:cs="Arial"/>
                <w:b/>
                <w:bCs/>
                <w:color w:val="00B0F0"/>
                <w:sz w:val="20"/>
                <w:szCs w:val="20"/>
                <w:lang w:val="es-EC" w:eastAsia="es-EC"/>
              </w:rPr>
              <w:t xml:space="preserve"> $      2.28 </w:t>
            </w:r>
          </w:p>
        </w:tc>
        <w:tc>
          <w:tcPr>
            <w:tcW w:w="610" w:type="dxa"/>
            <w:tcBorders>
              <w:top w:val="nil"/>
              <w:left w:val="nil"/>
              <w:bottom w:val="nil"/>
              <w:right w:val="nil"/>
            </w:tcBorders>
            <w:shd w:val="clear" w:color="000000" w:fill="FFFFFF"/>
            <w:noWrap/>
            <w:vAlign w:val="bottom"/>
            <w:hideMark/>
          </w:tcPr>
          <w:p w14:paraId="492ECC67" w14:textId="77777777" w:rsidR="00207185" w:rsidRPr="00F85253" w:rsidRDefault="00207185" w:rsidP="00207185">
            <w:pPr>
              <w:spacing w:after="0" w:line="240" w:lineRule="auto"/>
              <w:jc w:val="right"/>
              <w:rPr>
                <w:rFonts w:ascii="Arial" w:eastAsia="Times New Roman" w:hAnsi="Arial" w:cs="Arial"/>
                <w:b/>
                <w:bCs/>
                <w:color w:val="00B0F0"/>
                <w:sz w:val="20"/>
                <w:szCs w:val="20"/>
                <w:lang w:val="es-EC" w:eastAsia="es-EC"/>
              </w:rPr>
            </w:pPr>
            <w:r w:rsidRPr="00F85253">
              <w:rPr>
                <w:rFonts w:ascii="Arial" w:eastAsia="Times New Roman" w:hAnsi="Arial" w:cs="Arial"/>
                <w:b/>
                <w:bCs/>
                <w:color w:val="00B0F0"/>
                <w:sz w:val="20"/>
                <w:szCs w:val="20"/>
                <w:lang w:val="es-EC" w:eastAsia="es-EC"/>
              </w:rPr>
              <w:t xml:space="preserve"> $ 4.03 </w:t>
            </w:r>
          </w:p>
        </w:tc>
        <w:tc>
          <w:tcPr>
            <w:tcW w:w="1016" w:type="dxa"/>
            <w:tcBorders>
              <w:top w:val="nil"/>
              <w:left w:val="nil"/>
              <w:bottom w:val="nil"/>
              <w:right w:val="nil"/>
            </w:tcBorders>
            <w:shd w:val="clear" w:color="000000" w:fill="FFFFFF"/>
            <w:noWrap/>
            <w:vAlign w:val="bottom"/>
            <w:hideMark/>
          </w:tcPr>
          <w:p w14:paraId="236456B9" w14:textId="77777777" w:rsidR="00207185" w:rsidRPr="00F85253" w:rsidRDefault="00207185" w:rsidP="00207185">
            <w:pPr>
              <w:spacing w:after="0" w:line="240" w:lineRule="auto"/>
              <w:jc w:val="right"/>
              <w:rPr>
                <w:rFonts w:ascii="Arial" w:eastAsia="Times New Roman" w:hAnsi="Arial" w:cs="Arial"/>
                <w:b/>
                <w:bCs/>
                <w:color w:val="00B0F0"/>
                <w:sz w:val="20"/>
                <w:szCs w:val="20"/>
                <w:lang w:val="es-EC" w:eastAsia="es-EC"/>
              </w:rPr>
            </w:pPr>
            <w:r w:rsidRPr="00F85253">
              <w:rPr>
                <w:rFonts w:ascii="Arial" w:eastAsia="Times New Roman" w:hAnsi="Arial" w:cs="Arial"/>
                <w:b/>
                <w:bCs/>
                <w:color w:val="00B0F0"/>
                <w:sz w:val="20"/>
                <w:szCs w:val="20"/>
                <w:lang w:val="es-EC" w:eastAsia="es-EC"/>
              </w:rPr>
              <w:t xml:space="preserve"> $   7.11 </w:t>
            </w:r>
          </w:p>
        </w:tc>
        <w:tc>
          <w:tcPr>
            <w:tcW w:w="891" w:type="dxa"/>
            <w:tcBorders>
              <w:top w:val="nil"/>
              <w:left w:val="nil"/>
              <w:bottom w:val="nil"/>
              <w:right w:val="nil"/>
            </w:tcBorders>
            <w:shd w:val="clear" w:color="000000" w:fill="FFFFFF"/>
            <w:noWrap/>
            <w:vAlign w:val="bottom"/>
            <w:hideMark/>
          </w:tcPr>
          <w:p w14:paraId="5B5FBFBC" w14:textId="77777777" w:rsidR="00207185" w:rsidRPr="00F85253" w:rsidRDefault="00207185" w:rsidP="00207185">
            <w:pPr>
              <w:spacing w:after="0" w:line="240" w:lineRule="auto"/>
              <w:jc w:val="right"/>
              <w:rPr>
                <w:rFonts w:ascii="Arial" w:eastAsia="Times New Roman" w:hAnsi="Arial" w:cs="Arial"/>
                <w:b/>
                <w:bCs/>
                <w:color w:val="00B0F0"/>
                <w:sz w:val="20"/>
                <w:szCs w:val="20"/>
                <w:lang w:val="es-EC" w:eastAsia="es-EC"/>
              </w:rPr>
            </w:pPr>
            <w:r w:rsidRPr="00F85253">
              <w:rPr>
                <w:rFonts w:ascii="Arial" w:eastAsia="Times New Roman" w:hAnsi="Arial" w:cs="Arial"/>
                <w:b/>
                <w:bCs/>
                <w:color w:val="00B0F0"/>
                <w:sz w:val="20"/>
                <w:szCs w:val="20"/>
                <w:lang w:val="es-EC" w:eastAsia="es-EC"/>
              </w:rPr>
              <w:t xml:space="preserve"> $12.49 </w:t>
            </w:r>
          </w:p>
        </w:tc>
        <w:tc>
          <w:tcPr>
            <w:tcW w:w="820" w:type="dxa"/>
            <w:tcBorders>
              <w:top w:val="nil"/>
              <w:left w:val="nil"/>
              <w:bottom w:val="nil"/>
              <w:right w:val="nil"/>
            </w:tcBorders>
            <w:shd w:val="clear" w:color="000000" w:fill="FFFFFF"/>
            <w:noWrap/>
            <w:vAlign w:val="bottom"/>
            <w:hideMark/>
          </w:tcPr>
          <w:p w14:paraId="034B88E9" w14:textId="77777777" w:rsidR="00207185" w:rsidRPr="00F85253" w:rsidRDefault="00207185" w:rsidP="00207185">
            <w:pPr>
              <w:spacing w:after="0" w:line="240" w:lineRule="auto"/>
              <w:jc w:val="right"/>
              <w:rPr>
                <w:rFonts w:ascii="Arial" w:eastAsia="Times New Roman" w:hAnsi="Arial" w:cs="Arial"/>
                <w:b/>
                <w:bCs/>
                <w:color w:val="00B0F0"/>
                <w:sz w:val="20"/>
                <w:szCs w:val="20"/>
                <w:lang w:val="es-EC" w:eastAsia="es-EC"/>
              </w:rPr>
            </w:pPr>
            <w:r w:rsidRPr="00F85253">
              <w:rPr>
                <w:rFonts w:ascii="Arial" w:eastAsia="Times New Roman" w:hAnsi="Arial" w:cs="Arial"/>
                <w:b/>
                <w:bCs/>
                <w:color w:val="00B0F0"/>
                <w:sz w:val="20"/>
                <w:szCs w:val="20"/>
                <w:lang w:val="es-EC" w:eastAsia="es-EC"/>
              </w:rPr>
              <w:t xml:space="preserve"> $21.89 </w:t>
            </w:r>
          </w:p>
        </w:tc>
        <w:tc>
          <w:tcPr>
            <w:tcW w:w="992" w:type="dxa"/>
            <w:tcBorders>
              <w:top w:val="nil"/>
              <w:left w:val="nil"/>
              <w:bottom w:val="nil"/>
              <w:right w:val="single" w:sz="8" w:space="0" w:color="auto"/>
            </w:tcBorders>
            <w:shd w:val="clear" w:color="000000" w:fill="FFFFFF"/>
            <w:noWrap/>
            <w:vAlign w:val="bottom"/>
            <w:hideMark/>
          </w:tcPr>
          <w:p w14:paraId="03CFFE8E" w14:textId="77777777" w:rsidR="00207185" w:rsidRPr="00F85253" w:rsidRDefault="00207185" w:rsidP="00207185">
            <w:pPr>
              <w:spacing w:after="0" w:line="240" w:lineRule="auto"/>
              <w:jc w:val="right"/>
              <w:rPr>
                <w:rFonts w:ascii="Arial" w:eastAsia="Times New Roman" w:hAnsi="Arial" w:cs="Arial"/>
                <w:b/>
                <w:bCs/>
                <w:color w:val="00B0F0"/>
                <w:sz w:val="20"/>
                <w:szCs w:val="20"/>
                <w:lang w:val="es-EC" w:eastAsia="es-EC"/>
              </w:rPr>
            </w:pPr>
            <w:r w:rsidRPr="00F85253">
              <w:rPr>
                <w:rFonts w:ascii="Arial" w:eastAsia="Times New Roman" w:hAnsi="Arial" w:cs="Arial"/>
                <w:b/>
                <w:bCs/>
                <w:color w:val="00B0F0"/>
                <w:sz w:val="20"/>
                <w:szCs w:val="20"/>
                <w:lang w:val="es-EC" w:eastAsia="es-EC"/>
              </w:rPr>
              <w:t xml:space="preserve"> </w:t>
            </w:r>
            <w:proofErr w:type="gramStart"/>
            <w:r w:rsidRPr="00F85253">
              <w:rPr>
                <w:rFonts w:ascii="Arial" w:eastAsia="Times New Roman" w:hAnsi="Arial" w:cs="Arial"/>
                <w:b/>
                <w:bCs/>
                <w:color w:val="00B0F0"/>
                <w:sz w:val="20"/>
                <w:szCs w:val="20"/>
                <w:lang w:val="es-EC" w:eastAsia="es-EC"/>
              </w:rPr>
              <w:t>$  38.25</w:t>
            </w:r>
            <w:proofErr w:type="gramEnd"/>
            <w:r w:rsidRPr="00F85253">
              <w:rPr>
                <w:rFonts w:ascii="Arial" w:eastAsia="Times New Roman" w:hAnsi="Arial" w:cs="Arial"/>
                <w:b/>
                <w:bCs/>
                <w:color w:val="00B0F0"/>
                <w:sz w:val="20"/>
                <w:szCs w:val="20"/>
                <w:lang w:val="es-EC" w:eastAsia="es-EC"/>
              </w:rPr>
              <w:t xml:space="preserve"> </w:t>
            </w:r>
          </w:p>
        </w:tc>
      </w:tr>
      <w:tr w:rsidR="00207185" w:rsidRPr="00F85253" w14:paraId="28FD420D" w14:textId="77777777" w:rsidTr="00207185">
        <w:trPr>
          <w:trHeight w:val="255"/>
        </w:trPr>
        <w:tc>
          <w:tcPr>
            <w:tcW w:w="4489" w:type="dxa"/>
            <w:tcBorders>
              <w:top w:val="nil"/>
              <w:left w:val="single" w:sz="8" w:space="0" w:color="auto"/>
              <w:bottom w:val="nil"/>
              <w:right w:val="nil"/>
            </w:tcBorders>
            <w:shd w:val="clear" w:color="000000" w:fill="FFFFFF"/>
            <w:noWrap/>
            <w:vAlign w:val="bottom"/>
            <w:hideMark/>
          </w:tcPr>
          <w:p w14:paraId="13078E41" w14:textId="77777777" w:rsidR="00207185" w:rsidRPr="00F85253" w:rsidRDefault="00207185" w:rsidP="00207185">
            <w:pPr>
              <w:spacing w:after="0" w:line="240" w:lineRule="auto"/>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Subtotal Beneficios</w:t>
            </w:r>
          </w:p>
        </w:tc>
        <w:tc>
          <w:tcPr>
            <w:tcW w:w="1293" w:type="dxa"/>
            <w:tcBorders>
              <w:top w:val="nil"/>
              <w:left w:val="nil"/>
              <w:bottom w:val="nil"/>
              <w:right w:val="nil"/>
            </w:tcBorders>
            <w:shd w:val="clear" w:color="000000" w:fill="FFFFFF"/>
            <w:noWrap/>
            <w:vAlign w:val="bottom"/>
            <w:hideMark/>
          </w:tcPr>
          <w:p w14:paraId="23E90A03"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w:t>
            </w:r>
            <w:proofErr w:type="gramStart"/>
            <w:r w:rsidRPr="00F85253">
              <w:rPr>
                <w:rFonts w:ascii="Arial" w:eastAsia="Times New Roman" w:hAnsi="Arial" w:cs="Arial"/>
                <w:b/>
                <w:bCs/>
                <w:sz w:val="20"/>
                <w:szCs w:val="20"/>
                <w:lang w:val="es-EC" w:eastAsia="es-EC"/>
              </w:rPr>
              <w:t>$  315.17</w:t>
            </w:r>
            <w:proofErr w:type="gramEnd"/>
            <w:r w:rsidRPr="00F85253">
              <w:rPr>
                <w:rFonts w:ascii="Arial" w:eastAsia="Times New Roman" w:hAnsi="Arial" w:cs="Arial"/>
                <w:b/>
                <w:bCs/>
                <w:sz w:val="20"/>
                <w:szCs w:val="20"/>
                <w:lang w:val="es-EC" w:eastAsia="es-EC"/>
              </w:rPr>
              <w:t xml:space="preserve"> </w:t>
            </w:r>
          </w:p>
        </w:tc>
        <w:tc>
          <w:tcPr>
            <w:tcW w:w="870" w:type="dxa"/>
            <w:tcBorders>
              <w:top w:val="nil"/>
              <w:left w:val="single" w:sz="8" w:space="0" w:color="auto"/>
              <w:bottom w:val="nil"/>
              <w:right w:val="nil"/>
            </w:tcBorders>
            <w:shd w:val="clear" w:color="000000" w:fill="FFFFFF"/>
            <w:noWrap/>
            <w:vAlign w:val="bottom"/>
            <w:hideMark/>
          </w:tcPr>
          <w:p w14:paraId="3E31E9FC"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   </w:t>
            </w:r>
          </w:p>
        </w:tc>
        <w:tc>
          <w:tcPr>
            <w:tcW w:w="930" w:type="dxa"/>
            <w:tcBorders>
              <w:top w:val="nil"/>
              <w:left w:val="nil"/>
              <w:bottom w:val="nil"/>
              <w:right w:val="nil"/>
            </w:tcBorders>
            <w:shd w:val="clear" w:color="000000" w:fill="FFFFFF"/>
            <w:noWrap/>
            <w:vAlign w:val="bottom"/>
            <w:hideMark/>
          </w:tcPr>
          <w:p w14:paraId="1BEA3AAC"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   </w:t>
            </w:r>
          </w:p>
        </w:tc>
        <w:tc>
          <w:tcPr>
            <w:tcW w:w="870" w:type="dxa"/>
            <w:tcBorders>
              <w:top w:val="nil"/>
              <w:left w:val="nil"/>
              <w:bottom w:val="nil"/>
              <w:right w:val="nil"/>
            </w:tcBorders>
            <w:shd w:val="clear" w:color="000000" w:fill="FFFFFF"/>
            <w:noWrap/>
            <w:vAlign w:val="bottom"/>
            <w:hideMark/>
          </w:tcPr>
          <w:p w14:paraId="03D98EF6"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$ 27.32 </w:t>
            </w:r>
          </w:p>
        </w:tc>
        <w:tc>
          <w:tcPr>
            <w:tcW w:w="1061" w:type="dxa"/>
            <w:tcBorders>
              <w:top w:val="nil"/>
              <w:left w:val="nil"/>
              <w:bottom w:val="nil"/>
              <w:right w:val="single" w:sz="8" w:space="0" w:color="auto"/>
            </w:tcBorders>
            <w:shd w:val="clear" w:color="000000" w:fill="FFFFFF"/>
            <w:noWrap/>
            <w:vAlign w:val="bottom"/>
            <w:hideMark/>
          </w:tcPr>
          <w:p w14:paraId="4C4E28DE"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w:t>
            </w:r>
            <w:proofErr w:type="gramStart"/>
            <w:r w:rsidRPr="00F85253">
              <w:rPr>
                <w:rFonts w:ascii="Arial" w:eastAsia="Times New Roman" w:hAnsi="Arial" w:cs="Arial"/>
                <w:b/>
                <w:bCs/>
                <w:sz w:val="20"/>
                <w:szCs w:val="20"/>
                <w:lang w:val="es-EC" w:eastAsia="es-EC"/>
              </w:rPr>
              <w:t>$  27.32</w:t>
            </w:r>
            <w:proofErr w:type="gramEnd"/>
            <w:r w:rsidRPr="00F85253">
              <w:rPr>
                <w:rFonts w:ascii="Arial" w:eastAsia="Times New Roman" w:hAnsi="Arial" w:cs="Arial"/>
                <w:b/>
                <w:bCs/>
                <w:sz w:val="20"/>
                <w:szCs w:val="20"/>
                <w:lang w:val="es-EC" w:eastAsia="es-EC"/>
              </w:rPr>
              <w:t xml:space="preserve"> </w:t>
            </w:r>
          </w:p>
        </w:tc>
        <w:tc>
          <w:tcPr>
            <w:tcW w:w="1134" w:type="dxa"/>
            <w:tcBorders>
              <w:top w:val="nil"/>
              <w:left w:val="nil"/>
              <w:bottom w:val="nil"/>
              <w:right w:val="nil"/>
            </w:tcBorders>
            <w:shd w:val="clear" w:color="000000" w:fill="FFFFFF"/>
            <w:noWrap/>
            <w:vAlign w:val="bottom"/>
            <w:hideMark/>
          </w:tcPr>
          <w:p w14:paraId="6D829AA5"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29.84 </w:t>
            </w:r>
          </w:p>
        </w:tc>
        <w:tc>
          <w:tcPr>
            <w:tcW w:w="610" w:type="dxa"/>
            <w:tcBorders>
              <w:top w:val="nil"/>
              <w:left w:val="nil"/>
              <w:bottom w:val="nil"/>
              <w:right w:val="nil"/>
            </w:tcBorders>
            <w:shd w:val="clear" w:color="000000" w:fill="FFFFFF"/>
            <w:noWrap/>
            <w:vAlign w:val="bottom"/>
            <w:hideMark/>
          </w:tcPr>
          <w:p w14:paraId="4673AF84"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$31.79 </w:t>
            </w:r>
          </w:p>
        </w:tc>
        <w:tc>
          <w:tcPr>
            <w:tcW w:w="1016" w:type="dxa"/>
            <w:tcBorders>
              <w:top w:val="nil"/>
              <w:left w:val="nil"/>
              <w:bottom w:val="nil"/>
              <w:right w:val="nil"/>
            </w:tcBorders>
            <w:shd w:val="clear" w:color="000000" w:fill="FFFFFF"/>
            <w:noWrap/>
            <w:vAlign w:val="bottom"/>
            <w:hideMark/>
          </w:tcPr>
          <w:p w14:paraId="5F21334B"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w:t>
            </w:r>
            <w:proofErr w:type="gramStart"/>
            <w:r w:rsidRPr="00F85253">
              <w:rPr>
                <w:rFonts w:ascii="Arial" w:eastAsia="Times New Roman" w:hAnsi="Arial" w:cs="Arial"/>
                <w:b/>
                <w:bCs/>
                <w:sz w:val="20"/>
                <w:szCs w:val="20"/>
                <w:lang w:val="es-EC" w:eastAsia="es-EC"/>
              </w:rPr>
              <w:t>$  35.24</w:t>
            </w:r>
            <w:proofErr w:type="gramEnd"/>
            <w:r w:rsidRPr="00F85253">
              <w:rPr>
                <w:rFonts w:ascii="Arial" w:eastAsia="Times New Roman" w:hAnsi="Arial" w:cs="Arial"/>
                <w:b/>
                <w:bCs/>
                <w:sz w:val="20"/>
                <w:szCs w:val="20"/>
                <w:lang w:val="es-EC" w:eastAsia="es-EC"/>
              </w:rPr>
              <w:t xml:space="preserve"> </w:t>
            </w:r>
          </w:p>
        </w:tc>
        <w:tc>
          <w:tcPr>
            <w:tcW w:w="891" w:type="dxa"/>
            <w:tcBorders>
              <w:top w:val="nil"/>
              <w:left w:val="nil"/>
              <w:bottom w:val="nil"/>
              <w:right w:val="nil"/>
            </w:tcBorders>
            <w:shd w:val="clear" w:color="000000" w:fill="FFFFFF"/>
            <w:noWrap/>
            <w:vAlign w:val="bottom"/>
            <w:hideMark/>
          </w:tcPr>
          <w:p w14:paraId="17B9A402"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$41.29 </w:t>
            </w:r>
          </w:p>
        </w:tc>
        <w:tc>
          <w:tcPr>
            <w:tcW w:w="820" w:type="dxa"/>
            <w:tcBorders>
              <w:top w:val="nil"/>
              <w:left w:val="nil"/>
              <w:bottom w:val="nil"/>
              <w:right w:val="nil"/>
            </w:tcBorders>
            <w:shd w:val="clear" w:color="000000" w:fill="FFFFFF"/>
            <w:noWrap/>
            <w:vAlign w:val="bottom"/>
            <w:hideMark/>
          </w:tcPr>
          <w:p w14:paraId="47D59972"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$51.90 </w:t>
            </w:r>
          </w:p>
        </w:tc>
        <w:tc>
          <w:tcPr>
            <w:tcW w:w="992" w:type="dxa"/>
            <w:tcBorders>
              <w:top w:val="nil"/>
              <w:left w:val="nil"/>
              <w:bottom w:val="nil"/>
              <w:right w:val="single" w:sz="8" w:space="0" w:color="auto"/>
            </w:tcBorders>
            <w:shd w:val="clear" w:color="000000" w:fill="FFFFFF"/>
            <w:noWrap/>
            <w:vAlign w:val="bottom"/>
            <w:hideMark/>
          </w:tcPr>
          <w:p w14:paraId="686C9782"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w:t>
            </w:r>
            <w:proofErr w:type="gramStart"/>
            <w:r w:rsidRPr="00F85253">
              <w:rPr>
                <w:rFonts w:ascii="Arial" w:eastAsia="Times New Roman" w:hAnsi="Arial" w:cs="Arial"/>
                <w:b/>
                <w:bCs/>
                <w:sz w:val="20"/>
                <w:szCs w:val="20"/>
                <w:lang w:val="es-EC" w:eastAsia="es-EC"/>
              </w:rPr>
              <w:t>$  70.48</w:t>
            </w:r>
            <w:proofErr w:type="gramEnd"/>
            <w:r w:rsidRPr="00F85253">
              <w:rPr>
                <w:rFonts w:ascii="Arial" w:eastAsia="Times New Roman" w:hAnsi="Arial" w:cs="Arial"/>
                <w:b/>
                <w:bCs/>
                <w:sz w:val="20"/>
                <w:szCs w:val="20"/>
                <w:lang w:val="es-EC" w:eastAsia="es-EC"/>
              </w:rPr>
              <w:t xml:space="preserve"> </w:t>
            </w:r>
          </w:p>
        </w:tc>
      </w:tr>
      <w:tr w:rsidR="00207185" w:rsidRPr="00F85253" w14:paraId="47DE5D6D" w14:textId="77777777" w:rsidTr="00207185">
        <w:trPr>
          <w:trHeight w:val="255"/>
        </w:trPr>
        <w:tc>
          <w:tcPr>
            <w:tcW w:w="4489" w:type="dxa"/>
            <w:tcBorders>
              <w:top w:val="nil"/>
              <w:left w:val="single" w:sz="8" w:space="0" w:color="auto"/>
              <w:bottom w:val="nil"/>
              <w:right w:val="nil"/>
            </w:tcBorders>
            <w:shd w:val="clear" w:color="000000" w:fill="FFFFFF"/>
            <w:noWrap/>
            <w:vAlign w:val="bottom"/>
            <w:hideMark/>
          </w:tcPr>
          <w:p w14:paraId="16DBAED0" w14:textId="77777777" w:rsidR="00207185" w:rsidRPr="00F85253" w:rsidRDefault="00207185" w:rsidP="00207185">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1293" w:type="dxa"/>
            <w:tcBorders>
              <w:top w:val="nil"/>
              <w:left w:val="nil"/>
              <w:bottom w:val="nil"/>
              <w:right w:val="nil"/>
            </w:tcBorders>
            <w:shd w:val="clear" w:color="000000" w:fill="FFFFFF"/>
            <w:noWrap/>
            <w:vAlign w:val="bottom"/>
            <w:hideMark/>
          </w:tcPr>
          <w:p w14:paraId="04CE1CFC"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w:t>
            </w:r>
          </w:p>
        </w:tc>
        <w:tc>
          <w:tcPr>
            <w:tcW w:w="870" w:type="dxa"/>
            <w:tcBorders>
              <w:top w:val="nil"/>
              <w:left w:val="single" w:sz="8" w:space="0" w:color="auto"/>
              <w:bottom w:val="nil"/>
              <w:right w:val="nil"/>
            </w:tcBorders>
            <w:shd w:val="clear" w:color="000000" w:fill="FFFFFF"/>
            <w:noWrap/>
            <w:vAlign w:val="bottom"/>
            <w:hideMark/>
          </w:tcPr>
          <w:p w14:paraId="723AA498"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w:t>
            </w:r>
          </w:p>
        </w:tc>
        <w:tc>
          <w:tcPr>
            <w:tcW w:w="930" w:type="dxa"/>
            <w:tcBorders>
              <w:top w:val="nil"/>
              <w:left w:val="nil"/>
              <w:bottom w:val="nil"/>
              <w:right w:val="nil"/>
            </w:tcBorders>
            <w:shd w:val="clear" w:color="000000" w:fill="FFFFFF"/>
            <w:noWrap/>
            <w:vAlign w:val="bottom"/>
            <w:hideMark/>
          </w:tcPr>
          <w:p w14:paraId="4EC94C23"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870" w:type="dxa"/>
            <w:tcBorders>
              <w:top w:val="nil"/>
              <w:left w:val="nil"/>
              <w:bottom w:val="nil"/>
              <w:right w:val="nil"/>
            </w:tcBorders>
            <w:shd w:val="clear" w:color="000000" w:fill="FFFFFF"/>
            <w:noWrap/>
            <w:vAlign w:val="bottom"/>
            <w:hideMark/>
          </w:tcPr>
          <w:p w14:paraId="1B7AAA5E"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1061" w:type="dxa"/>
            <w:tcBorders>
              <w:top w:val="nil"/>
              <w:left w:val="nil"/>
              <w:bottom w:val="nil"/>
              <w:right w:val="single" w:sz="8" w:space="0" w:color="auto"/>
            </w:tcBorders>
            <w:shd w:val="clear" w:color="000000" w:fill="FFFFFF"/>
            <w:noWrap/>
            <w:vAlign w:val="bottom"/>
            <w:hideMark/>
          </w:tcPr>
          <w:p w14:paraId="4BE68ED8"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1134" w:type="dxa"/>
            <w:tcBorders>
              <w:top w:val="nil"/>
              <w:left w:val="nil"/>
              <w:bottom w:val="nil"/>
              <w:right w:val="nil"/>
            </w:tcBorders>
            <w:shd w:val="clear" w:color="000000" w:fill="FFFFFF"/>
            <w:noWrap/>
            <w:vAlign w:val="bottom"/>
            <w:hideMark/>
          </w:tcPr>
          <w:p w14:paraId="6702E53C"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610" w:type="dxa"/>
            <w:tcBorders>
              <w:top w:val="nil"/>
              <w:left w:val="nil"/>
              <w:bottom w:val="nil"/>
              <w:right w:val="nil"/>
            </w:tcBorders>
            <w:shd w:val="clear" w:color="000000" w:fill="FFFFFF"/>
            <w:noWrap/>
            <w:vAlign w:val="bottom"/>
            <w:hideMark/>
          </w:tcPr>
          <w:p w14:paraId="752116CB"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1016" w:type="dxa"/>
            <w:tcBorders>
              <w:top w:val="nil"/>
              <w:left w:val="nil"/>
              <w:bottom w:val="nil"/>
              <w:right w:val="nil"/>
            </w:tcBorders>
            <w:shd w:val="clear" w:color="000000" w:fill="FFFFFF"/>
            <w:noWrap/>
            <w:vAlign w:val="bottom"/>
            <w:hideMark/>
          </w:tcPr>
          <w:p w14:paraId="11746E73"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891" w:type="dxa"/>
            <w:tcBorders>
              <w:top w:val="nil"/>
              <w:left w:val="nil"/>
              <w:bottom w:val="nil"/>
              <w:right w:val="nil"/>
            </w:tcBorders>
            <w:shd w:val="clear" w:color="000000" w:fill="FFFFFF"/>
            <w:noWrap/>
            <w:vAlign w:val="bottom"/>
            <w:hideMark/>
          </w:tcPr>
          <w:p w14:paraId="3ABDD944"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820" w:type="dxa"/>
            <w:tcBorders>
              <w:top w:val="nil"/>
              <w:left w:val="nil"/>
              <w:bottom w:val="nil"/>
              <w:right w:val="nil"/>
            </w:tcBorders>
            <w:shd w:val="clear" w:color="000000" w:fill="FFFFFF"/>
            <w:noWrap/>
            <w:vAlign w:val="bottom"/>
            <w:hideMark/>
          </w:tcPr>
          <w:p w14:paraId="2044D4FB"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992" w:type="dxa"/>
            <w:tcBorders>
              <w:top w:val="nil"/>
              <w:left w:val="nil"/>
              <w:bottom w:val="nil"/>
              <w:right w:val="single" w:sz="8" w:space="0" w:color="auto"/>
            </w:tcBorders>
            <w:shd w:val="clear" w:color="000000" w:fill="FFFFFF"/>
            <w:noWrap/>
            <w:vAlign w:val="bottom"/>
            <w:hideMark/>
          </w:tcPr>
          <w:p w14:paraId="0BAB5B68"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r>
      <w:tr w:rsidR="00207185" w:rsidRPr="00F85253" w14:paraId="7ABA1E0F" w14:textId="77777777" w:rsidTr="00207185">
        <w:trPr>
          <w:trHeight w:val="255"/>
        </w:trPr>
        <w:tc>
          <w:tcPr>
            <w:tcW w:w="4489" w:type="dxa"/>
            <w:tcBorders>
              <w:top w:val="nil"/>
              <w:left w:val="single" w:sz="8" w:space="0" w:color="auto"/>
              <w:bottom w:val="nil"/>
              <w:right w:val="nil"/>
            </w:tcBorders>
            <w:shd w:val="clear" w:color="000000" w:fill="FFFFFF"/>
            <w:noWrap/>
            <w:vAlign w:val="bottom"/>
            <w:hideMark/>
          </w:tcPr>
          <w:p w14:paraId="38B304BA" w14:textId="77777777" w:rsidR="00207185" w:rsidRPr="00F85253" w:rsidRDefault="00207185" w:rsidP="00207185">
            <w:pPr>
              <w:spacing w:after="0" w:line="240" w:lineRule="auto"/>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Costes Económicos</w:t>
            </w:r>
          </w:p>
        </w:tc>
        <w:tc>
          <w:tcPr>
            <w:tcW w:w="1293" w:type="dxa"/>
            <w:tcBorders>
              <w:top w:val="nil"/>
              <w:left w:val="nil"/>
              <w:bottom w:val="nil"/>
              <w:right w:val="nil"/>
            </w:tcBorders>
            <w:shd w:val="clear" w:color="000000" w:fill="FFFFFF"/>
            <w:noWrap/>
            <w:vAlign w:val="bottom"/>
            <w:hideMark/>
          </w:tcPr>
          <w:p w14:paraId="46C91D26"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w:t>
            </w:r>
          </w:p>
        </w:tc>
        <w:tc>
          <w:tcPr>
            <w:tcW w:w="870" w:type="dxa"/>
            <w:tcBorders>
              <w:top w:val="nil"/>
              <w:left w:val="single" w:sz="8" w:space="0" w:color="auto"/>
              <w:bottom w:val="nil"/>
              <w:right w:val="nil"/>
            </w:tcBorders>
            <w:shd w:val="clear" w:color="000000" w:fill="FFFFFF"/>
            <w:noWrap/>
            <w:vAlign w:val="bottom"/>
            <w:hideMark/>
          </w:tcPr>
          <w:p w14:paraId="2C7022E2"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w:t>
            </w:r>
          </w:p>
        </w:tc>
        <w:tc>
          <w:tcPr>
            <w:tcW w:w="930" w:type="dxa"/>
            <w:tcBorders>
              <w:top w:val="nil"/>
              <w:left w:val="nil"/>
              <w:bottom w:val="nil"/>
              <w:right w:val="nil"/>
            </w:tcBorders>
            <w:shd w:val="clear" w:color="000000" w:fill="FFFFFF"/>
            <w:noWrap/>
            <w:vAlign w:val="bottom"/>
            <w:hideMark/>
          </w:tcPr>
          <w:p w14:paraId="64F6F70A"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870" w:type="dxa"/>
            <w:tcBorders>
              <w:top w:val="nil"/>
              <w:left w:val="nil"/>
              <w:bottom w:val="nil"/>
              <w:right w:val="nil"/>
            </w:tcBorders>
            <w:shd w:val="clear" w:color="000000" w:fill="FFFFFF"/>
            <w:noWrap/>
            <w:vAlign w:val="bottom"/>
            <w:hideMark/>
          </w:tcPr>
          <w:p w14:paraId="71702AA6"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1061" w:type="dxa"/>
            <w:tcBorders>
              <w:top w:val="nil"/>
              <w:left w:val="nil"/>
              <w:bottom w:val="nil"/>
              <w:right w:val="single" w:sz="8" w:space="0" w:color="auto"/>
            </w:tcBorders>
            <w:shd w:val="clear" w:color="000000" w:fill="FFFFFF"/>
            <w:noWrap/>
            <w:vAlign w:val="bottom"/>
            <w:hideMark/>
          </w:tcPr>
          <w:p w14:paraId="77211158"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1134" w:type="dxa"/>
            <w:tcBorders>
              <w:top w:val="nil"/>
              <w:left w:val="nil"/>
              <w:bottom w:val="nil"/>
              <w:right w:val="nil"/>
            </w:tcBorders>
            <w:shd w:val="clear" w:color="000000" w:fill="FFFFFF"/>
            <w:noWrap/>
            <w:vAlign w:val="bottom"/>
            <w:hideMark/>
          </w:tcPr>
          <w:p w14:paraId="4AA364AA"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610" w:type="dxa"/>
            <w:tcBorders>
              <w:top w:val="nil"/>
              <w:left w:val="nil"/>
              <w:bottom w:val="nil"/>
              <w:right w:val="nil"/>
            </w:tcBorders>
            <w:shd w:val="clear" w:color="000000" w:fill="FFFFFF"/>
            <w:noWrap/>
            <w:vAlign w:val="bottom"/>
            <w:hideMark/>
          </w:tcPr>
          <w:p w14:paraId="7959A5CC"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1016" w:type="dxa"/>
            <w:tcBorders>
              <w:top w:val="nil"/>
              <w:left w:val="nil"/>
              <w:bottom w:val="nil"/>
              <w:right w:val="nil"/>
            </w:tcBorders>
            <w:shd w:val="clear" w:color="000000" w:fill="FFFFFF"/>
            <w:noWrap/>
            <w:vAlign w:val="bottom"/>
            <w:hideMark/>
          </w:tcPr>
          <w:p w14:paraId="7F3A6D5B"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891" w:type="dxa"/>
            <w:tcBorders>
              <w:top w:val="nil"/>
              <w:left w:val="nil"/>
              <w:bottom w:val="nil"/>
              <w:right w:val="nil"/>
            </w:tcBorders>
            <w:shd w:val="clear" w:color="000000" w:fill="FFFFFF"/>
            <w:noWrap/>
            <w:vAlign w:val="bottom"/>
            <w:hideMark/>
          </w:tcPr>
          <w:p w14:paraId="7F822BC6"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820" w:type="dxa"/>
            <w:tcBorders>
              <w:top w:val="nil"/>
              <w:left w:val="nil"/>
              <w:bottom w:val="nil"/>
              <w:right w:val="nil"/>
            </w:tcBorders>
            <w:shd w:val="clear" w:color="000000" w:fill="FFFFFF"/>
            <w:noWrap/>
            <w:vAlign w:val="bottom"/>
            <w:hideMark/>
          </w:tcPr>
          <w:p w14:paraId="3FD6448A"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992" w:type="dxa"/>
            <w:tcBorders>
              <w:top w:val="nil"/>
              <w:left w:val="nil"/>
              <w:bottom w:val="nil"/>
              <w:right w:val="single" w:sz="8" w:space="0" w:color="auto"/>
            </w:tcBorders>
            <w:shd w:val="clear" w:color="000000" w:fill="FFFFFF"/>
            <w:noWrap/>
            <w:vAlign w:val="bottom"/>
            <w:hideMark/>
          </w:tcPr>
          <w:p w14:paraId="1A10347B"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r>
      <w:tr w:rsidR="00207185" w:rsidRPr="00F85253" w14:paraId="36317BC6" w14:textId="77777777" w:rsidTr="00207185">
        <w:trPr>
          <w:trHeight w:val="255"/>
        </w:trPr>
        <w:tc>
          <w:tcPr>
            <w:tcW w:w="4489" w:type="dxa"/>
            <w:tcBorders>
              <w:top w:val="nil"/>
              <w:left w:val="single" w:sz="8" w:space="0" w:color="auto"/>
              <w:bottom w:val="nil"/>
              <w:right w:val="nil"/>
            </w:tcBorders>
            <w:shd w:val="clear" w:color="000000" w:fill="FFFFFF"/>
            <w:noWrap/>
            <w:vAlign w:val="bottom"/>
            <w:hideMark/>
          </w:tcPr>
          <w:p w14:paraId="51201B50" w14:textId="77777777" w:rsidR="00207185" w:rsidRPr="00F85253" w:rsidRDefault="00207185" w:rsidP="00207185">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CAPEX</w:t>
            </w:r>
          </w:p>
        </w:tc>
        <w:tc>
          <w:tcPr>
            <w:tcW w:w="1293" w:type="dxa"/>
            <w:tcBorders>
              <w:top w:val="nil"/>
              <w:left w:val="nil"/>
              <w:bottom w:val="nil"/>
              <w:right w:val="nil"/>
            </w:tcBorders>
            <w:shd w:val="clear" w:color="000000" w:fill="FFFFFF"/>
            <w:noWrap/>
            <w:vAlign w:val="bottom"/>
            <w:hideMark/>
          </w:tcPr>
          <w:p w14:paraId="57C49B43"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61.75 </w:t>
            </w:r>
          </w:p>
        </w:tc>
        <w:tc>
          <w:tcPr>
            <w:tcW w:w="870" w:type="dxa"/>
            <w:tcBorders>
              <w:top w:val="nil"/>
              <w:left w:val="single" w:sz="8" w:space="0" w:color="auto"/>
              <w:bottom w:val="nil"/>
              <w:right w:val="nil"/>
            </w:tcBorders>
            <w:shd w:val="clear" w:color="000000" w:fill="FFFFFF"/>
            <w:noWrap/>
            <w:vAlign w:val="bottom"/>
            <w:hideMark/>
          </w:tcPr>
          <w:p w14:paraId="2C8532F5"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2.32 </w:t>
            </w:r>
          </w:p>
        </w:tc>
        <w:tc>
          <w:tcPr>
            <w:tcW w:w="930" w:type="dxa"/>
            <w:tcBorders>
              <w:top w:val="nil"/>
              <w:left w:val="nil"/>
              <w:bottom w:val="nil"/>
              <w:right w:val="nil"/>
            </w:tcBorders>
            <w:shd w:val="clear" w:color="000000" w:fill="FFFFFF"/>
            <w:noWrap/>
            <w:vAlign w:val="bottom"/>
            <w:hideMark/>
          </w:tcPr>
          <w:p w14:paraId="0D009DC6"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w:t>
            </w:r>
            <w:proofErr w:type="gramStart"/>
            <w:r w:rsidRPr="00F85253">
              <w:rPr>
                <w:rFonts w:ascii="Arial" w:eastAsia="Times New Roman" w:hAnsi="Arial" w:cs="Arial"/>
                <w:sz w:val="20"/>
                <w:szCs w:val="20"/>
                <w:lang w:val="es-EC" w:eastAsia="es-EC"/>
              </w:rPr>
              <w:t>$  47.66</w:t>
            </w:r>
            <w:proofErr w:type="gramEnd"/>
            <w:r w:rsidRPr="00F85253">
              <w:rPr>
                <w:rFonts w:ascii="Arial" w:eastAsia="Times New Roman" w:hAnsi="Arial" w:cs="Arial"/>
                <w:sz w:val="20"/>
                <w:szCs w:val="20"/>
                <w:lang w:val="es-EC" w:eastAsia="es-EC"/>
              </w:rPr>
              <w:t xml:space="preserve"> </w:t>
            </w:r>
          </w:p>
        </w:tc>
        <w:tc>
          <w:tcPr>
            <w:tcW w:w="870" w:type="dxa"/>
            <w:tcBorders>
              <w:top w:val="nil"/>
              <w:left w:val="nil"/>
              <w:bottom w:val="nil"/>
              <w:right w:val="nil"/>
            </w:tcBorders>
            <w:shd w:val="clear" w:color="000000" w:fill="FFFFFF"/>
            <w:noWrap/>
            <w:vAlign w:val="bottom"/>
            <w:hideMark/>
          </w:tcPr>
          <w:p w14:paraId="6BB17451"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9.53 </w:t>
            </w:r>
          </w:p>
        </w:tc>
        <w:tc>
          <w:tcPr>
            <w:tcW w:w="1061" w:type="dxa"/>
            <w:tcBorders>
              <w:top w:val="nil"/>
              <w:left w:val="nil"/>
              <w:bottom w:val="nil"/>
              <w:right w:val="single" w:sz="8" w:space="0" w:color="auto"/>
            </w:tcBorders>
            <w:shd w:val="clear" w:color="000000" w:fill="FFFFFF"/>
            <w:noWrap/>
            <w:vAlign w:val="bottom"/>
            <w:hideMark/>
          </w:tcPr>
          <w:p w14:paraId="11C83AE5"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2.23 </w:t>
            </w:r>
          </w:p>
        </w:tc>
        <w:tc>
          <w:tcPr>
            <w:tcW w:w="1134" w:type="dxa"/>
            <w:tcBorders>
              <w:top w:val="nil"/>
              <w:left w:val="nil"/>
              <w:bottom w:val="nil"/>
              <w:right w:val="nil"/>
            </w:tcBorders>
            <w:shd w:val="clear" w:color="000000" w:fill="FFFFFF"/>
            <w:noWrap/>
            <w:vAlign w:val="bottom"/>
            <w:hideMark/>
          </w:tcPr>
          <w:p w14:paraId="49881338"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610" w:type="dxa"/>
            <w:tcBorders>
              <w:top w:val="nil"/>
              <w:left w:val="nil"/>
              <w:bottom w:val="nil"/>
              <w:right w:val="nil"/>
            </w:tcBorders>
            <w:shd w:val="clear" w:color="000000" w:fill="FFFFFF"/>
            <w:noWrap/>
            <w:vAlign w:val="bottom"/>
            <w:hideMark/>
          </w:tcPr>
          <w:p w14:paraId="045635BF"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1016" w:type="dxa"/>
            <w:tcBorders>
              <w:top w:val="nil"/>
              <w:left w:val="nil"/>
              <w:bottom w:val="nil"/>
              <w:right w:val="nil"/>
            </w:tcBorders>
            <w:shd w:val="clear" w:color="000000" w:fill="FFFFFF"/>
            <w:noWrap/>
            <w:vAlign w:val="bottom"/>
            <w:hideMark/>
          </w:tcPr>
          <w:p w14:paraId="7A589129"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891" w:type="dxa"/>
            <w:tcBorders>
              <w:top w:val="nil"/>
              <w:left w:val="nil"/>
              <w:bottom w:val="nil"/>
              <w:right w:val="nil"/>
            </w:tcBorders>
            <w:shd w:val="clear" w:color="000000" w:fill="FFFFFF"/>
            <w:noWrap/>
            <w:vAlign w:val="bottom"/>
            <w:hideMark/>
          </w:tcPr>
          <w:p w14:paraId="32C5DB9D"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820" w:type="dxa"/>
            <w:tcBorders>
              <w:top w:val="nil"/>
              <w:left w:val="nil"/>
              <w:bottom w:val="nil"/>
              <w:right w:val="nil"/>
            </w:tcBorders>
            <w:shd w:val="clear" w:color="000000" w:fill="FFFFFF"/>
            <w:noWrap/>
            <w:vAlign w:val="bottom"/>
            <w:hideMark/>
          </w:tcPr>
          <w:p w14:paraId="6B86EA7A"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992" w:type="dxa"/>
            <w:tcBorders>
              <w:top w:val="nil"/>
              <w:left w:val="nil"/>
              <w:bottom w:val="nil"/>
              <w:right w:val="single" w:sz="8" w:space="0" w:color="auto"/>
            </w:tcBorders>
            <w:shd w:val="clear" w:color="000000" w:fill="FFFFFF"/>
            <w:noWrap/>
            <w:vAlign w:val="bottom"/>
            <w:hideMark/>
          </w:tcPr>
          <w:p w14:paraId="31DE3F5C"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r>
      <w:tr w:rsidR="00207185" w:rsidRPr="00F85253" w14:paraId="28592C1C" w14:textId="77777777" w:rsidTr="00207185">
        <w:trPr>
          <w:trHeight w:val="255"/>
        </w:trPr>
        <w:tc>
          <w:tcPr>
            <w:tcW w:w="4489" w:type="dxa"/>
            <w:tcBorders>
              <w:top w:val="nil"/>
              <w:left w:val="single" w:sz="8" w:space="0" w:color="auto"/>
              <w:bottom w:val="nil"/>
              <w:right w:val="nil"/>
            </w:tcBorders>
            <w:shd w:val="clear" w:color="000000" w:fill="FFFFFF"/>
            <w:noWrap/>
            <w:vAlign w:val="bottom"/>
            <w:hideMark/>
          </w:tcPr>
          <w:p w14:paraId="23661C1F" w14:textId="77777777" w:rsidR="00207185" w:rsidRPr="00F85253" w:rsidRDefault="00207185" w:rsidP="00207185">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OPEX</w:t>
            </w:r>
          </w:p>
        </w:tc>
        <w:tc>
          <w:tcPr>
            <w:tcW w:w="1293" w:type="dxa"/>
            <w:tcBorders>
              <w:top w:val="nil"/>
              <w:left w:val="nil"/>
              <w:bottom w:val="nil"/>
              <w:right w:val="nil"/>
            </w:tcBorders>
            <w:shd w:val="clear" w:color="000000" w:fill="FFFFFF"/>
            <w:noWrap/>
            <w:vAlign w:val="bottom"/>
            <w:hideMark/>
          </w:tcPr>
          <w:p w14:paraId="1F5185CA"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64.30 </w:t>
            </w:r>
          </w:p>
        </w:tc>
        <w:tc>
          <w:tcPr>
            <w:tcW w:w="870" w:type="dxa"/>
            <w:tcBorders>
              <w:top w:val="nil"/>
              <w:left w:val="single" w:sz="8" w:space="0" w:color="auto"/>
              <w:bottom w:val="nil"/>
              <w:right w:val="nil"/>
            </w:tcBorders>
            <w:shd w:val="clear" w:color="000000" w:fill="FFFFFF"/>
            <w:noWrap/>
            <w:vAlign w:val="bottom"/>
            <w:hideMark/>
          </w:tcPr>
          <w:p w14:paraId="15865686"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0.27 </w:t>
            </w:r>
          </w:p>
        </w:tc>
        <w:tc>
          <w:tcPr>
            <w:tcW w:w="930" w:type="dxa"/>
            <w:tcBorders>
              <w:top w:val="nil"/>
              <w:left w:val="nil"/>
              <w:bottom w:val="nil"/>
              <w:right w:val="nil"/>
            </w:tcBorders>
            <w:shd w:val="clear" w:color="000000" w:fill="FFFFFF"/>
            <w:noWrap/>
            <w:vAlign w:val="bottom"/>
            <w:hideMark/>
          </w:tcPr>
          <w:p w14:paraId="5DB218BC"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5.95 </w:t>
            </w:r>
          </w:p>
        </w:tc>
        <w:tc>
          <w:tcPr>
            <w:tcW w:w="870" w:type="dxa"/>
            <w:tcBorders>
              <w:top w:val="nil"/>
              <w:left w:val="nil"/>
              <w:bottom w:val="nil"/>
              <w:right w:val="nil"/>
            </w:tcBorders>
            <w:shd w:val="clear" w:color="000000" w:fill="FFFFFF"/>
            <w:noWrap/>
            <w:vAlign w:val="bottom"/>
            <w:hideMark/>
          </w:tcPr>
          <w:p w14:paraId="146BDE22"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7.06 </w:t>
            </w:r>
          </w:p>
        </w:tc>
        <w:tc>
          <w:tcPr>
            <w:tcW w:w="1061" w:type="dxa"/>
            <w:tcBorders>
              <w:top w:val="nil"/>
              <w:left w:val="nil"/>
              <w:bottom w:val="nil"/>
              <w:right w:val="single" w:sz="8" w:space="0" w:color="auto"/>
            </w:tcBorders>
            <w:shd w:val="clear" w:color="000000" w:fill="FFFFFF"/>
            <w:noWrap/>
            <w:vAlign w:val="bottom"/>
            <w:hideMark/>
          </w:tcPr>
          <w:p w14:paraId="09357F2B"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7.29 </w:t>
            </w:r>
          </w:p>
        </w:tc>
        <w:tc>
          <w:tcPr>
            <w:tcW w:w="1134" w:type="dxa"/>
            <w:tcBorders>
              <w:top w:val="nil"/>
              <w:left w:val="nil"/>
              <w:bottom w:val="nil"/>
              <w:right w:val="nil"/>
            </w:tcBorders>
            <w:shd w:val="clear" w:color="000000" w:fill="FFFFFF"/>
            <w:noWrap/>
            <w:vAlign w:val="bottom"/>
            <w:hideMark/>
          </w:tcPr>
          <w:p w14:paraId="645C4CAA"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7.29 </w:t>
            </w:r>
          </w:p>
        </w:tc>
        <w:tc>
          <w:tcPr>
            <w:tcW w:w="610" w:type="dxa"/>
            <w:tcBorders>
              <w:top w:val="nil"/>
              <w:left w:val="nil"/>
              <w:bottom w:val="nil"/>
              <w:right w:val="nil"/>
            </w:tcBorders>
            <w:shd w:val="clear" w:color="000000" w:fill="FFFFFF"/>
            <w:noWrap/>
            <w:vAlign w:val="bottom"/>
            <w:hideMark/>
          </w:tcPr>
          <w:p w14:paraId="43F610DD"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$ 7.29 </w:t>
            </w:r>
          </w:p>
        </w:tc>
        <w:tc>
          <w:tcPr>
            <w:tcW w:w="1016" w:type="dxa"/>
            <w:tcBorders>
              <w:top w:val="nil"/>
              <w:left w:val="nil"/>
              <w:bottom w:val="nil"/>
              <w:right w:val="nil"/>
            </w:tcBorders>
            <w:shd w:val="clear" w:color="000000" w:fill="FFFFFF"/>
            <w:noWrap/>
            <w:vAlign w:val="bottom"/>
            <w:hideMark/>
          </w:tcPr>
          <w:p w14:paraId="51F1D8D5"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7.29 </w:t>
            </w:r>
          </w:p>
        </w:tc>
        <w:tc>
          <w:tcPr>
            <w:tcW w:w="891" w:type="dxa"/>
            <w:tcBorders>
              <w:top w:val="nil"/>
              <w:left w:val="nil"/>
              <w:bottom w:val="nil"/>
              <w:right w:val="nil"/>
            </w:tcBorders>
            <w:shd w:val="clear" w:color="000000" w:fill="FFFFFF"/>
            <w:noWrap/>
            <w:vAlign w:val="bottom"/>
            <w:hideMark/>
          </w:tcPr>
          <w:p w14:paraId="46184875"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$ 7.29 </w:t>
            </w:r>
          </w:p>
        </w:tc>
        <w:tc>
          <w:tcPr>
            <w:tcW w:w="820" w:type="dxa"/>
            <w:tcBorders>
              <w:top w:val="nil"/>
              <w:left w:val="nil"/>
              <w:bottom w:val="nil"/>
              <w:right w:val="nil"/>
            </w:tcBorders>
            <w:shd w:val="clear" w:color="000000" w:fill="FFFFFF"/>
            <w:noWrap/>
            <w:vAlign w:val="bottom"/>
            <w:hideMark/>
          </w:tcPr>
          <w:p w14:paraId="2CA08B9E"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$ 7.29 </w:t>
            </w:r>
          </w:p>
        </w:tc>
        <w:tc>
          <w:tcPr>
            <w:tcW w:w="992" w:type="dxa"/>
            <w:tcBorders>
              <w:top w:val="nil"/>
              <w:left w:val="nil"/>
              <w:bottom w:val="nil"/>
              <w:right w:val="single" w:sz="8" w:space="0" w:color="auto"/>
            </w:tcBorders>
            <w:shd w:val="clear" w:color="000000" w:fill="FFFFFF"/>
            <w:noWrap/>
            <w:vAlign w:val="bottom"/>
            <w:hideMark/>
          </w:tcPr>
          <w:p w14:paraId="26190172"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7.29 </w:t>
            </w:r>
          </w:p>
        </w:tc>
      </w:tr>
      <w:tr w:rsidR="00207185" w:rsidRPr="00F85253" w14:paraId="7090C46A" w14:textId="77777777" w:rsidTr="00207185">
        <w:trPr>
          <w:trHeight w:val="255"/>
        </w:trPr>
        <w:tc>
          <w:tcPr>
            <w:tcW w:w="4489" w:type="dxa"/>
            <w:tcBorders>
              <w:top w:val="nil"/>
              <w:left w:val="single" w:sz="8" w:space="0" w:color="auto"/>
              <w:bottom w:val="nil"/>
              <w:right w:val="nil"/>
            </w:tcBorders>
            <w:shd w:val="clear" w:color="000000" w:fill="FFFFFF"/>
            <w:noWrap/>
            <w:vAlign w:val="bottom"/>
            <w:hideMark/>
          </w:tcPr>
          <w:p w14:paraId="7FFE02C3" w14:textId="77777777" w:rsidR="00207185" w:rsidRPr="00F85253" w:rsidRDefault="00207185" w:rsidP="00207185">
            <w:pPr>
              <w:spacing w:after="0" w:line="240" w:lineRule="auto"/>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Subtotal OPEX y CAPEX</w:t>
            </w:r>
          </w:p>
        </w:tc>
        <w:tc>
          <w:tcPr>
            <w:tcW w:w="1293" w:type="dxa"/>
            <w:tcBorders>
              <w:top w:val="nil"/>
              <w:left w:val="nil"/>
              <w:bottom w:val="nil"/>
              <w:right w:val="nil"/>
            </w:tcBorders>
            <w:shd w:val="clear" w:color="000000" w:fill="FFFFFF"/>
            <w:noWrap/>
            <w:vAlign w:val="bottom"/>
            <w:hideMark/>
          </w:tcPr>
          <w:p w14:paraId="4EBCF5D0"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w:t>
            </w:r>
            <w:proofErr w:type="gramStart"/>
            <w:r w:rsidRPr="00F85253">
              <w:rPr>
                <w:rFonts w:ascii="Arial" w:eastAsia="Times New Roman" w:hAnsi="Arial" w:cs="Arial"/>
                <w:b/>
                <w:bCs/>
                <w:sz w:val="20"/>
                <w:szCs w:val="20"/>
                <w:lang w:val="es-EC" w:eastAsia="es-EC"/>
              </w:rPr>
              <w:t>$  126.05</w:t>
            </w:r>
            <w:proofErr w:type="gramEnd"/>
            <w:r w:rsidRPr="00F85253">
              <w:rPr>
                <w:rFonts w:ascii="Arial" w:eastAsia="Times New Roman" w:hAnsi="Arial" w:cs="Arial"/>
                <w:b/>
                <w:bCs/>
                <w:sz w:val="20"/>
                <w:szCs w:val="20"/>
                <w:lang w:val="es-EC" w:eastAsia="es-EC"/>
              </w:rPr>
              <w:t xml:space="preserve"> </w:t>
            </w:r>
          </w:p>
        </w:tc>
        <w:tc>
          <w:tcPr>
            <w:tcW w:w="870" w:type="dxa"/>
            <w:tcBorders>
              <w:top w:val="nil"/>
              <w:left w:val="single" w:sz="8" w:space="0" w:color="auto"/>
              <w:bottom w:val="nil"/>
              <w:right w:val="nil"/>
            </w:tcBorders>
            <w:shd w:val="clear" w:color="000000" w:fill="FFFFFF"/>
            <w:noWrap/>
            <w:vAlign w:val="bottom"/>
            <w:hideMark/>
          </w:tcPr>
          <w:p w14:paraId="422F19E2"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2.59 </w:t>
            </w:r>
          </w:p>
        </w:tc>
        <w:tc>
          <w:tcPr>
            <w:tcW w:w="930" w:type="dxa"/>
            <w:tcBorders>
              <w:top w:val="nil"/>
              <w:left w:val="nil"/>
              <w:bottom w:val="nil"/>
              <w:right w:val="nil"/>
            </w:tcBorders>
            <w:shd w:val="clear" w:color="000000" w:fill="FFFFFF"/>
            <w:noWrap/>
            <w:vAlign w:val="bottom"/>
            <w:hideMark/>
          </w:tcPr>
          <w:p w14:paraId="2400CD78"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w:t>
            </w:r>
            <w:proofErr w:type="gramStart"/>
            <w:r w:rsidRPr="00F85253">
              <w:rPr>
                <w:rFonts w:ascii="Arial" w:eastAsia="Times New Roman" w:hAnsi="Arial" w:cs="Arial"/>
                <w:b/>
                <w:bCs/>
                <w:sz w:val="20"/>
                <w:szCs w:val="20"/>
                <w:lang w:val="es-EC" w:eastAsia="es-EC"/>
              </w:rPr>
              <w:t>$  53.61</w:t>
            </w:r>
            <w:proofErr w:type="gramEnd"/>
            <w:r w:rsidRPr="00F85253">
              <w:rPr>
                <w:rFonts w:ascii="Arial" w:eastAsia="Times New Roman" w:hAnsi="Arial" w:cs="Arial"/>
                <w:b/>
                <w:bCs/>
                <w:sz w:val="20"/>
                <w:szCs w:val="20"/>
                <w:lang w:val="es-EC" w:eastAsia="es-EC"/>
              </w:rPr>
              <w:t xml:space="preserve"> </w:t>
            </w:r>
          </w:p>
        </w:tc>
        <w:tc>
          <w:tcPr>
            <w:tcW w:w="870" w:type="dxa"/>
            <w:tcBorders>
              <w:top w:val="nil"/>
              <w:left w:val="nil"/>
              <w:bottom w:val="nil"/>
              <w:right w:val="nil"/>
            </w:tcBorders>
            <w:shd w:val="clear" w:color="000000" w:fill="FFFFFF"/>
            <w:noWrap/>
            <w:vAlign w:val="bottom"/>
            <w:hideMark/>
          </w:tcPr>
          <w:p w14:paraId="4DD72A51"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$ 16.59 </w:t>
            </w:r>
          </w:p>
        </w:tc>
        <w:tc>
          <w:tcPr>
            <w:tcW w:w="1061" w:type="dxa"/>
            <w:tcBorders>
              <w:top w:val="nil"/>
              <w:left w:val="nil"/>
              <w:bottom w:val="nil"/>
              <w:right w:val="single" w:sz="8" w:space="0" w:color="auto"/>
            </w:tcBorders>
            <w:shd w:val="clear" w:color="000000" w:fill="FFFFFF"/>
            <w:noWrap/>
            <w:vAlign w:val="bottom"/>
            <w:hideMark/>
          </w:tcPr>
          <w:p w14:paraId="527F4855"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9.52 </w:t>
            </w:r>
          </w:p>
        </w:tc>
        <w:tc>
          <w:tcPr>
            <w:tcW w:w="1134" w:type="dxa"/>
            <w:tcBorders>
              <w:top w:val="nil"/>
              <w:left w:val="nil"/>
              <w:bottom w:val="nil"/>
              <w:right w:val="nil"/>
            </w:tcBorders>
            <w:shd w:val="clear" w:color="000000" w:fill="FFFFFF"/>
            <w:noWrap/>
            <w:vAlign w:val="bottom"/>
            <w:hideMark/>
          </w:tcPr>
          <w:p w14:paraId="7806B5B9"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7.29 </w:t>
            </w:r>
          </w:p>
        </w:tc>
        <w:tc>
          <w:tcPr>
            <w:tcW w:w="610" w:type="dxa"/>
            <w:tcBorders>
              <w:top w:val="nil"/>
              <w:left w:val="nil"/>
              <w:bottom w:val="nil"/>
              <w:right w:val="nil"/>
            </w:tcBorders>
            <w:shd w:val="clear" w:color="000000" w:fill="FFFFFF"/>
            <w:noWrap/>
            <w:vAlign w:val="bottom"/>
            <w:hideMark/>
          </w:tcPr>
          <w:p w14:paraId="34767A09"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$ 7.29 </w:t>
            </w:r>
          </w:p>
        </w:tc>
        <w:tc>
          <w:tcPr>
            <w:tcW w:w="1016" w:type="dxa"/>
            <w:tcBorders>
              <w:top w:val="nil"/>
              <w:left w:val="nil"/>
              <w:bottom w:val="nil"/>
              <w:right w:val="nil"/>
            </w:tcBorders>
            <w:shd w:val="clear" w:color="000000" w:fill="FFFFFF"/>
            <w:noWrap/>
            <w:vAlign w:val="bottom"/>
            <w:hideMark/>
          </w:tcPr>
          <w:p w14:paraId="4034809D"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7.29 </w:t>
            </w:r>
          </w:p>
        </w:tc>
        <w:tc>
          <w:tcPr>
            <w:tcW w:w="891" w:type="dxa"/>
            <w:tcBorders>
              <w:top w:val="nil"/>
              <w:left w:val="nil"/>
              <w:bottom w:val="nil"/>
              <w:right w:val="nil"/>
            </w:tcBorders>
            <w:shd w:val="clear" w:color="000000" w:fill="FFFFFF"/>
            <w:noWrap/>
            <w:vAlign w:val="bottom"/>
            <w:hideMark/>
          </w:tcPr>
          <w:p w14:paraId="3936DC9B"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$ 7.29 </w:t>
            </w:r>
          </w:p>
        </w:tc>
        <w:tc>
          <w:tcPr>
            <w:tcW w:w="820" w:type="dxa"/>
            <w:tcBorders>
              <w:top w:val="nil"/>
              <w:left w:val="nil"/>
              <w:bottom w:val="nil"/>
              <w:right w:val="nil"/>
            </w:tcBorders>
            <w:shd w:val="clear" w:color="000000" w:fill="FFFFFF"/>
            <w:noWrap/>
            <w:vAlign w:val="bottom"/>
            <w:hideMark/>
          </w:tcPr>
          <w:p w14:paraId="08B9EA6C"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$ 7.29 </w:t>
            </w:r>
          </w:p>
        </w:tc>
        <w:tc>
          <w:tcPr>
            <w:tcW w:w="992" w:type="dxa"/>
            <w:tcBorders>
              <w:top w:val="nil"/>
              <w:left w:val="nil"/>
              <w:bottom w:val="nil"/>
              <w:right w:val="single" w:sz="8" w:space="0" w:color="auto"/>
            </w:tcBorders>
            <w:shd w:val="clear" w:color="000000" w:fill="FFFFFF"/>
            <w:noWrap/>
            <w:vAlign w:val="bottom"/>
            <w:hideMark/>
          </w:tcPr>
          <w:p w14:paraId="5F62E8FB"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7.29 </w:t>
            </w:r>
          </w:p>
        </w:tc>
      </w:tr>
      <w:tr w:rsidR="00207185" w:rsidRPr="00F85253" w14:paraId="6705B184" w14:textId="77777777" w:rsidTr="00207185">
        <w:trPr>
          <w:trHeight w:val="255"/>
        </w:trPr>
        <w:tc>
          <w:tcPr>
            <w:tcW w:w="4489" w:type="dxa"/>
            <w:tcBorders>
              <w:top w:val="nil"/>
              <w:left w:val="single" w:sz="8" w:space="0" w:color="auto"/>
              <w:bottom w:val="nil"/>
              <w:right w:val="nil"/>
            </w:tcBorders>
            <w:shd w:val="clear" w:color="000000" w:fill="FFFFFF"/>
            <w:noWrap/>
            <w:vAlign w:val="bottom"/>
            <w:hideMark/>
          </w:tcPr>
          <w:p w14:paraId="7CCC1189" w14:textId="77777777" w:rsidR="00207185" w:rsidRPr="00F85253" w:rsidRDefault="00207185" w:rsidP="00207185">
            <w:pPr>
              <w:spacing w:after="0" w:line="240" w:lineRule="auto"/>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w:t>
            </w:r>
          </w:p>
        </w:tc>
        <w:tc>
          <w:tcPr>
            <w:tcW w:w="1293" w:type="dxa"/>
            <w:tcBorders>
              <w:top w:val="nil"/>
              <w:left w:val="nil"/>
              <w:bottom w:val="nil"/>
              <w:right w:val="nil"/>
            </w:tcBorders>
            <w:shd w:val="clear" w:color="000000" w:fill="FFFFFF"/>
            <w:noWrap/>
            <w:vAlign w:val="bottom"/>
            <w:hideMark/>
          </w:tcPr>
          <w:p w14:paraId="3BC9BEDD"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w:t>
            </w:r>
          </w:p>
        </w:tc>
        <w:tc>
          <w:tcPr>
            <w:tcW w:w="870" w:type="dxa"/>
            <w:tcBorders>
              <w:top w:val="nil"/>
              <w:left w:val="single" w:sz="8" w:space="0" w:color="auto"/>
              <w:bottom w:val="nil"/>
              <w:right w:val="nil"/>
            </w:tcBorders>
            <w:shd w:val="clear" w:color="000000" w:fill="FFFFFF"/>
            <w:noWrap/>
            <w:vAlign w:val="bottom"/>
            <w:hideMark/>
          </w:tcPr>
          <w:p w14:paraId="45ABF522"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w:t>
            </w:r>
          </w:p>
        </w:tc>
        <w:tc>
          <w:tcPr>
            <w:tcW w:w="930" w:type="dxa"/>
            <w:tcBorders>
              <w:top w:val="nil"/>
              <w:left w:val="nil"/>
              <w:bottom w:val="nil"/>
              <w:right w:val="nil"/>
            </w:tcBorders>
            <w:shd w:val="clear" w:color="000000" w:fill="FFFFFF"/>
            <w:noWrap/>
            <w:vAlign w:val="bottom"/>
            <w:hideMark/>
          </w:tcPr>
          <w:p w14:paraId="70E7F2D0"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870" w:type="dxa"/>
            <w:tcBorders>
              <w:top w:val="nil"/>
              <w:left w:val="nil"/>
              <w:bottom w:val="nil"/>
              <w:right w:val="nil"/>
            </w:tcBorders>
            <w:shd w:val="clear" w:color="000000" w:fill="FFFFFF"/>
            <w:noWrap/>
            <w:vAlign w:val="bottom"/>
            <w:hideMark/>
          </w:tcPr>
          <w:p w14:paraId="0D5B111F"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1061" w:type="dxa"/>
            <w:tcBorders>
              <w:top w:val="nil"/>
              <w:left w:val="nil"/>
              <w:bottom w:val="nil"/>
              <w:right w:val="single" w:sz="8" w:space="0" w:color="auto"/>
            </w:tcBorders>
            <w:shd w:val="clear" w:color="000000" w:fill="FFFFFF"/>
            <w:noWrap/>
            <w:vAlign w:val="bottom"/>
            <w:hideMark/>
          </w:tcPr>
          <w:p w14:paraId="79AC99F7"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1134" w:type="dxa"/>
            <w:tcBorders>
              <w:top w:val="nil"/>
              <w:left w:val="nil"/>
              <w:bottom w:val="nil"/>
              <w:right w:val="nil"/>
            </w:tcBorders>
            <w:shd w:val="clear" w:color="000000" w:fill="FFFFFF"/>
            <w:noWrap/>
            <w:vAlign w:val="bottom"/>
            <w:hideMark/>
          </w:tcPr>
          <w:p w14:paraId="6D9B9269"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610" w:type="dxa"/>
            <w:tcBorders>
              <w:top w:val="nil"/>
              <w:left w:val="nil"/>
              <w:bottom w:val="nil"/>
              <w:right w:val="nil"/>
            </w:tcBorders>
            <w:shd w:val="clear" w:color="000000" w:fill="FFFFFF"/>
            <w:noWrap/>
            <w:vAlign w:val="bottom"/>
            <w:hideMark/>
          </w:tcPr>
          <w:p w14:paraId="044CC5C0"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1016" w:type="dxa"/>
            <w:tcBorders>
              <w:top w:val="nil"/>
              <w:left w:val="nil"/>
              <w:bottom w:val="nil"/>
              <w:right w:val="nil"/>
            </w:tcBorders>
            <w:shd w:val="clear" w:color="000000" w:fill="FFFFFF"/>
            <w:noWrap/>
            <w:vAlign w:val="bottom"/>
            <w:hideMark/>
          </w:tcPr>
          <w:p w14:paraId="104B171E"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891" w:type="dxa"/>
            <w:tcBorders>
              <w:top w:val="nil"/>
              <w:left w:val="nil"/>
              <w:bottom w:val="nil"/>
              <w:right w:val="nil"/>
            </w:tcBorders>
            <w:shd w:val="clear" w:color="000000" w:fill="FFFFFF"/>
            <w:noWrap/>
            <w:vAlign w:val="bottom"/>
            <w:hideMark/>
          </w:tcPr>
          <w:p w14:paraId="2BC28E80"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820" w:type="dxa"/>
            <w:tcBorders>
              <w:top w:val="nil"/>
              <w:left w:val="nil"/>
              <w:bottom w:val="nil"/>
              <w:right w:val="nil"/>
            </w:tcBorders>
            <w:shd w:val="clear" w:color="000000" w:fill="FFFFFF"/>
            <w:noWrap/>
            <w:vAlign w:val="bottom"/>
            <w:hideMark/>
          </w:tcPr>
          <w:p w14:paraId="61E18B9B"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992" w:type="dxa"/>
            <w:tcBorders>
              <w:top w:val="nil"/>
              <w:left w:val="nil"/>
              <w:bottom w:val="nil"/>
              <w:right w:val="single" w:sz="8" w:space="0" w:color="auto"/>
            </w:tcBorders>
            <w:shd w:val="clear" w:color="000000" w:fill="FFFFFF"/>
            <w:noWrap/>
            <w:vAlign w:val="bottom"/>
            <w:hideMark/>
          </w:tcPr>
          <w:p w14:paraId="24B5A19C" w14:textId="77777777" w:rsidR="00207185" w:rsidRPr="00F85253" w:rsidRDefault="00207185" w:rsidP="00207185">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r>
      <w:tr w:rsidR="00207185" w:rsidRPr="00F85253" w14:paraId="1E4EE8FB" w14:textId="77777777" w:rsidTr="00207185">
        <w:trPr>
          <w:trHeight w:val="270"/>
        </w:trPr>
        <w:tc>
          <w:tcPr>
            <w:tcW w:w="4489" w:type="dxa"/>
            <w:tcBorders>
              <w:top w:val="nil"/>
              <w:left w:val="single" w:sz="8" w:space="0" w:color="auto"/>
              <w:bottom w:val="single" w:sz="8" w:space="0" w:color="auto"/>
              <w:right w:val="nil"/>
            </w:tcBorders>
            <w:shd w:val="clear" w:color="000000" w:fill="FFFFFF"/>
            <w:noWrap/>
            <w:vAlign w:val="bottom"/>
            <w:hideMark/>
          </w:tcPr>
          <w:p w14:paraId="6077F89B" w14:textId="77777777" w:rsidR="00207185" w:rsidRPr="00F85253" w:rsidRDefault="00207185" w:rsidP="00207185">
            <w:pPr>
              <w:spacing w:after="0" w:line="240" w:lineRule="auto"/>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Flujo Neto Generado</w:t>
            </w:r>
          </w:p>
        </w:tc>
        <w:tc>
          <w:tcPr>
            <w:tcW w:w="1293" w:type="dxa"/>
            <w:tcBorders>
              <w:top w:val="nil"/>
              <w:left w:val="nil"/>
              <w:bottom w:val="single" w:sz="8" w:space="0" w:color="auto"/>
              <w:right w:val="nil"/>
            </w:tcBorders>
            <w:shd w:val="clear" w:color="000000" w:fill="FFFFFF"/>
            <w:noWrap/>
            <w:vAlign w:val="bottom"/>
            <w:hideMark/>
          </w:tcPr>
          <w:p w14:paraId="75894279"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w:t>
            </w:r>
            <w:proofErr w:type="gramStart"/>
            <w:r w:rsidRPr="00F85253">
              <w:rPr>
                <w:rFonts w:ascii="Arial" w:eastAsia="Times New Roman" w:hAnsi="Arial" w:cs="Arial"/>
                <w:b/>
                <w:bCs/>
                <w:sz w:val="20"/>
                <w:szCs w:val="20"/>
                <w:lang w:val="es-EC" w:eastAsia="es-EC"/>
              </w:rPr>
              <w:t>$  189.13</w:t>
            </w:r>
            <w:proofErr w:type="gramEnd"/>
            <w:r w:rsidRPr="00F85253">
              <w:rPr>
                <w:rFonts w:ascii="Arial" w:eastAsia="Times New Roman" w:hAnsi="Arial" w:cs="Arial"/>
                <w:b/>
                <w:bCs/>
                <w:sz w:val="20"/>
                <w:szCs w:val="20"/>
                <w:lang w:val="es-EC" w:eastAsia="es-EC"/>
              </w:rPr>
              <w:t xml:space="preserve"> </w:t>
            </w:r>
          </w:p>
        </w:tc>
        <w:tc>
          <w:tcPr>
            <w:tcW w:w="870" w:type="dxa"/>
            <w:tcBorders>
              <w:top w:val="nil"/>
              <w:left w:val="single" w:sz="8" w:space="0" w:color="auto"/>
              <w:bottom w:val="single" w:sz="8" w:space="0" w:color="auto"/>
              <w:right w:val="nil"/>
            </w:tcBorders>
            <w:shd w:val="clear" w:color="000000" w:fill="FFFFFF"/>
            <w:noWrap/>
            <w:vAlign w:val="bottom"/>
            <w:hideMark/>
          </w:tcPr>
          <w:p w14:paraId="2DC818F0"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w:t>
            </w:r>
            <w:proofErr w:type="gramStart"/>
            <w:r w:rsidRPr="00F85253">
              <w:rPr>
                <w:rFonts w:ascii="Arial" w:eastAsia="Times New Roman" w:hAnsi="Arial" w:cs="Arial"/>
                <w:b/>
                <w:bCs/>
                <w:sz w:val="20"/>
                <w:szCs w:val="20"/>
                <w:lang w:val="es-EC" w:eastAsia="es-EC"/>
              </w:rPr>
              <w:t>$  -</w:t>
            </w:r>
            <w:proofErr w:type="gramEnd"/>
            <w:r w:rsidRPr="00F85253">
              <w:rPr>
                <w:rFonts w:ascii="Arial" w:eastAsia="Times New Roman" w:hAnsi="Arial" w:cs="Arial"/>
                <w:b/>
                <w:bCs/>
                <w:sz w:val="20"/>
                <w:szCs w:val="20"/>
                <w:lang w:val="es-EC" w:eastAsia="es-EC"/>
              </w:rPr>
              <w:t xml:space="preserve">2.59 </w:t>
            </w:r>
          </w:p>
        </w:tc>
        <w:tc>
          <w:tcPr>
            <w:tcW w:w="930" w:type="dxa"/>
            <w:tcBorders>
              <w:top w:val="nil"/>
              <w:left w:val="nil"/>
              <w:bottom w:val="single" w:sz="8" w:space="0" w:color="auto"/>
              <w:right w:val="nil"/>
            </w:tcBorders>
            <w:shd w:val="clear" w:color="000000" w:fill="FFFFFF"/>
            <w:noWrap/>
            <w:vAlign w:val="bottom"/>
            <w:hideMark/>
          </w:tcPr>
          <w:p w14:paraId="70718820"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-53.61 </w:t>
            </w:r>
          </w:p>
        </w:tc>
        <w:tc>
          <w:tcPr>
            <w:tcW w:w="870" w:type="dxa"/>
            <w:tcBorders>
              <w:top w:val="nil"/>
              <w:left w:val="nil"/>
              <w:bottom w:val="single" w:sz="8" w:space="0" w:color="auto"/>
              <w:right w:val="nil"/>
            </w:tcBorders>
            <w:shd w:val="clear" w:color="000000" w:fill="FFFFFF"/>
            <w:noWrap/>
            <w:vAlign w:val="bottom"/>
            <w:hideMark/>
          </w:tcPr>
          <w:p w14:paraId="4E8024C4"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$ 10.73 </w:t>
            </w:r>
          </w:p>
        </w:tc>
        <w:tc>
          <w:tcPr>
            <w:tcW w:w="1061" w:type="dxa"/>
            <w:tcBorders>
              <w:top w:val="nil"/>
              <w:left w:val="nil"/>
              <w:bottom w:val="single" w:sz="8" w:space="0" w:color="auto"/>
              <w:right w:val="single" w:sz="8" w:space="0" w:color="auto"/>
            </w:tcBorders>
            <w:shd w:val="clear" w:color="000000" w:fill="FFFFFF"/>
            <w:noWrap/>
            <w:vAlign w:val="bottom"/>
            <w:hideMark/>
          </w:tcPr>
          <w:p w14:paraId="250F57D5"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w:t>
            </w:r>
            <w:proofErr w:type="gramStart"/>
            <w:r w:rsidRPr="00F85253">
              <w:rPr>
                <w:rFonts w:ascii="Arial" w:eastAsia="Times New Roman" w:hAnsi="Arial" w:cs="Arial"/>
                <w:b/>
                <w:bCs/>
                <w:sz w:val="20"/>
                <w:szCs w:val="20"/>
                <w:lang w:val="es-EC" w:eastAsia="es-EC"/>
              </w:rPr>
              <w:t>$  17.80</w:t>
            </w:r>
            <w:proofErr w:type="gramEnd"/>
            <w:r w:rsidRPr="00F85253">
              <w:rPr>
                <w:rFonts w:ascii="Arial" w:eastAsia="Times New Roman" w:hAnsi="Arial" w:cs="Arial"/>
                <w:b/>
                <w:bCs/>
                <w:sz w:val="20"/>
                <w:szCs w:val="20"/>
                <w:lang w:val="es-EC" w:eastAsia="es-EC"/>
              </w:rPr>
              <w:t xml:space="preserve"> </w:t>
            </w:r>
          </w:p>
        </w:tc>
        <w:tc>
          <w:tcPr>
            <w:tcW w:w="1134" w:type="dxa"/>
            <w:tcBorders>
              <w:top w:val="nil"/>
              <w:left w:val="nil"/>
              <w:bottom w:val="single" w:sz="8" w:space="0" w:color="auto"/>
              <w:right w:val="nil"/>
            </w:tcBorders>
            <w:shd w:val="clear" w:color="000000" w:fill="FFFFFF"/>
            <w:noWrap/>
            <w:vAlign w:val="bottom"/>
            <w:hideMark/>
          </w:tcPr>
          <w:p w14:paraId="58A95E0B"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22.55 </w:t>
            </w:r>
          </w:p>
        </w:tc>
        <w:tc>
          <w:tcPr>
            <w:tcW w:w="610" w:type="dxa"/>
            <w:tcBorders>
              <w:top w:val="nil"/>
              <w:left w:val="nil"/>
              <w:bottom w:val="single" w:sz="8" w:space="0" w:color="auto"/>
              <w:right w:val="nil"/>
            </w:tcBorders>
            <w:shd w:val="clear" w:color="000000" w:fill="FFFFFF"/>
            <w:noWrap/>
            <w:vAlign w:val="bottom"/>
            <w:hideMark/>
          </w:tcPr>
          <w:p w14:paraId="7489B9C3"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$24.50 </w:t>
            </w:r>
          </w:p>
        </w:tc>
        <w:tc>
          <w:tcPr>
            <w:tcW w:w="1016" w:type="dxa"/>
            <w:tcBorders>
              <w:top w:val="nil"/>
              <w:left w:val="nil"/>
              <w:bottom w:val="single" w:sz="8" w:space="0" w:color="auto"/>
              <w:right w:val="nil"/>
            </w:tcBorders>
            <w:shd w:val="clear" w:color="000000" w:fill="FFFFFF"/>
            <w:noWrap/>
            <w:vAlign w:val="bottom"/>
            <w:hideMark/>
          </w:tcPr>
          <w:p w14:paraId="62A87203"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w:t>
            </w:r>
            <w:proofErr w:type="gramStart"/>
            <w:r w:rsidRPr="00F85253">
              <w:rPr>
                <w:rFonts w:ascii="Arial" w:eastAsia="Times New Roman" w:hAnsi="Arial" w:cs="Arial"/>
                <w:b/>
                <w:bCs/>
                <w:sz w:val="20"/>
                <w:szCs w:val="20"/>
                <w:lang w:val="es-EC" w:eastAsia="es-EC"/>
              </w:rPr>
              <w:t>$  27.95</w:t>
            </w:r>
            <w:proofErr w:type="gramEnd"/>
            <w:r w:rsidRPr="00F85253">
              <w:rPr>
                <w:rFonts w:ascii="Arial" w:eastAsia="Times New Roman" w:hAnsi="Arial" w:cs="Arial"/>
                <w:b/>
                <w:bCs/>
                <w:sz w:val="20"/>
                <w:szCs w:val="20"/>
                <w:lang w:val="es-EC" w:eastAsia="es-EC"/>
              </w:rPr>
              <w:t xml:space="preserve"> </w:t>
            </w:r>
          </w:p>
        </w:tc>
        <w:tc>
          <w:tcPr>
            <w:tcW w:w="891" w:type="dxa"/>
            <w:tcBorders>
              <w:top w:val="nil"/>
              <w:left w:val="nil"/>
              <w:bottom w:val="single" w:sz="8" w:space="0" w:color="auto"/>
              <w:right w:val="nil"/>
            </w:tcBorders>
            <w:shd w:val="clear" w:color="000000" w:fill="FFFFFF"/>
            <w:noWrap/>
            <w:vAlign w:val="bottom"/>
            <w:hideMark/>
          </w:tcPr>
          <w:p w14:paraId="732AC6D0"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$34.00 </w:t>
            </w:r>
          </w:p>
        </w:tc>
        <w:tc>
          <w:tcPr>
            <w:tcW w:w="820" w:type="dxa"/>
            <w:tcBorders>
              <w:top w:val="nil"/>
              <w:left w:val="nil"/>
              <w:bottom w:val="single" w:sz="8" w:space="0" w:color="auto"/>
              <w:right w:val="nil"/>
            </w:tcBorders>
            <w:shd w:val="clear" w:color="000000" w:fill="FFFFFF"/>
            <w:noWrap/>
            <w:vAlign w:val="bottom"/>
            <w:hideMark/>
          </w:tcPr>
          <w:p w14:paraId="4B19FEB7"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$44.61 </w:t>
            </w:r>
          </w:p>
        </w:tc>
        <w:tc>
          <w:tcPr>
            <w:tcW w:w="992" w:type="dxa"/>
            <w:tcBorders>
              <w:top w:val="nil"/>
              <w:left w:val="nil"/>
              <w:bottom w:val="single" w:sz="8" w:space="0" w:color="auto"/>
              <w:right w:val="single" w:sz="8" w:space="0" w:color="auto"/>
            </w:tcBorders>
            <w:shd w:val="clear" w:color="000000" w:fill="FFFFFF"/>
            <w:noWrap/>
            <w:vAlign w:val="bottom"/>
            <w:hideMark/>
          </w:tcPr>
          <w:p w14:paraId="3F4D94B6"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w:t>
            </w:r>
            <w:proofErr w:type="gramStart"/>
            <w:r w:rsidRPr="00F85253">
              <w:rPr>
                <w:rFonts w:ascii="Arial" w:eastAsia="Times New Roman" w:hAnsi="Arial" w:cs="Arial"/>
                <w:b/>
                <w:bCs/>
                <w:sz w:val="20"/>
                <w:szCs w:val="20"/>
                <w:lang w:val="es-EC" w:eastAsia="es-EC"/>
              </w:rPr>
              <w:t>$  63.19</w:t>
            </w:r>
            <w:proofErr w:type="gramEnd"/>
            <w:r w:rsidRPr="00F85253">
              <w:rPr>
                <w:rFonts w:ascii="Arial" w:eastAsia="Times New Roman" w:hAnsi="Arial" w:cs="Arial"/>
                <w:b/>
                <w:bCs/>
                <w:sz w:val="20"/>
                <w:szCs w:val="20"/>
                <w:lang w:val="es-EC" w:eastAsia="es-EC"/>
              </w:rPr>
              <w:t xml:space="preserve"> </w:t>
            </w:r>
          </w:p>
        </w:tc>
      </w:tr>
      <w:tr w:rsidR="00207185" w:rsidRPr="00F85253" w14:paraId="4C8D85AC" w14:textId="77777777" w:rsidTr="00207185">
        <w:trPr>
          <w:trHeight w:val="270"/>
        </w:trPr>
        <w:tc>
          <w:tcPr>
            <w:tcW w:w="4489" w:type="dxa"/>
            <w:tcBorders>
              <w:top w:val="nil"/>
              <w:left w:val="nil"/>
              <w:bottom w:val="nil"/>
              <w:right w:val="nil"/>
            </w:tcBorders>
            <w:shd w:val="clear" w:color="000000" w:fill="FFFFFF"/>
            <w:noWrap/>
            <w:vAlign w:val="bottom"/>
            <w:hideMark/>
          </w:tcPr>
          <w:p w14:paraId="544C9703" w14:textId="77777777" w:rsidR="00207185" w:rsidRPr="00F85253" w:rsidRDefault="00207185" w:rsidP="00207185">
            <w:pPr>
              <w:spacing w:after="0" w:line="240" w:lineRule="auto"/>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w:t>
            </w:r>
          </w:p>
        </w:tc>
        <w:tc>
          <w:tcPr>
            <w:tcW w:w="1293" w:type="dxa"/>
            <w:tcBorders>
              <w:top w:val="nil"/>
              <w:left w:val="nil"/>
              <w:bottom w:val="nil"/>
              <w:right w:val="nil"/>
            </w:tcBorders>
            <w:shd w:val="clear" w:color="000000" w:fill="FFFFFF"/>
            <w:noWrap/>
            <w:vAlign w:val="bottom"/>
            <w:hideMark/>
          </w:tcPr>
          <w:p w14:paraId="194A1FEA" w14:textId="77777777" w:rsidR="00207185" w:rsidRPr="00F85253" w:rsidRDefault="00207185" w:rsidP="00207185">
            <w:pPr>
              <w:spacing w:after="0" w:line="240" w:lineRule="auto"/>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w:t>
            </w:r>
          </w:p>
        </w:tc>
        <w:tc>
          <w:tcPr>
            <w:tcW w:w="870" w:type="dxa"/>
            <w:tcBorders>
              <w:top w:val="nil"/>
              <w:left w:val="single" w:sz="8" w:space="0" w:color="auto"/>
              <w:bottom w:val="single" w:sz="8" w:space="0" w:color="auto"/>
              <w:right w:val="nil"/>
            </w:tcBorders>
            <w:shd w:val="clear" w:color="000000" w:fill="FFFFFF"/>
            <w:noWrap/>
            <w:vAlign w:val="bottom"/>
            <w:hideMark/>
          </w:tcPr>
          <w:p w14:paraId="4BB714F8" w14:textId="77777777" w:rsidR="00207185" w:rsidRPr="00F85253" w:rsidRDefault="00207185" w:rsidP="00207185">
            <w:pPr>
              <w:spacing w:after="0" w:line="240" w:lineRule="auto"/>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w:t>
            </w:r>
          </w:p>
        </w:tc>
        <w:tc>
          <w:tcPr>
            <w:tcW w:w="930" w:type="dxa"/>
            <w:tcBorders>
              <w:top w:val="nil"/>
              <w:left w:val="nil"/>
              <w:bottom w:val="single" w:sz="8" w:space="0" w:color="auto"/>
              <w:right w:val="nil"/>
            </w:tcBorders>
            <w:shd w:val="clear" w:color="000000" w:fill="FFFFFF"/>
            <w:noWrap/>
            <w:vAlign w:val="bottom"/>
            <w:hideMark/>
          </w:tcPr>
          <w:p w14:paraId="49AC5A71" w14:textId="77777777" w:rsidR="00207185" w:rsidRPr="00F85253" w:rsidRDefault="00207185" w:rsidP="00207185">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870" w:type="dxa"/>
            <w:tcBorders>
              <w:top w:val="nil"/>
              <w:left w:val="nil"/>
              <w:bottom w:val="single" w:sz="8" w:space="0" w:color="auto"/>
              <w:right w:val="nil"/>
            </w:tcBorders>
            <w:shd w:val="clear" w:color="000000" w:fill="FFFFFF"/>
            <w:noWrap/>
            <w:vAlign w:val="bottom"/>
            <w:hideMark/>
          </w:tcPr>
          <w:p w14:paraId="74166D8D" w14:textId="77777777" w:rsidR="00207185" w:rsidRPr="00F85253" w:rsidRDefault="00207185" w:rsidP="00207185">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1061" w:type="dxa"/>
            <w:tcBorders>
              <w:top w:val="nil"/>
              <w:left w:val="nil"/>
              <w:bottom w:val="single" w:sz="8" w:space="0" w:color="auto"/>
              <w:right w:val="single" w:sz="8" w:space="0" w:color="auto"/>
            </w:tcBorders>
            <w:shd w:val="clear" w:color="000000" w:fill="FFFFFF"/>
            <w:noWrap/>
            <w:vAlign w:val="bottom"/>
            <w:hideMark/>
          </w:tcPr>
          <w:p w14:paraId="1B75A586" w14:textId="77777777" w:rsidR="00207185" w:rsidRPr="00F85253" w:rsidRDefault="00207185" w:rsidP="00207185">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1134" w:type="dxa"/>
            <w:tcBorders>
              <w:top w:val="nil"/>
              <w:left w:val="nil"/>
              <w:bottom w:val="nil"/>
              <w:right w:val="nil"/>
            </w:tcBorders>
            <w:shd w:val="clear" w:color="000000" w:fill="FFFFFF"/>
            <w:noWrap/>
            <w:vAlign w:val="bottom"/>
            <w:hideMark/>
          </w:tcPr>
          <w:p w14:paraId="0B5BBD5B" w14:textId="77777777" w:rsidR="00207185" w:rsidRPr="00F85253" w:rsidRDefault="00207185" w:rsidP="00207185">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610" w:type="dxa"/>
            <w:tcBorders>
              <w:top w:val="nil"/>
              <w:left w:val="nil"/>
              <w:bottom w:val="nil"/>
              <w:right w:val="nil"/>
            </w:tcBorders>
            <w:shd w:val="clear" w:color="000000" w:fill="FFFFFF"/>
            <w:noWrap/>
            <w:vAlign w:val="bottom"/>
            <w:hideMark/>
          </w:tcPr>
          <w:p w14:paraId="597BFDF6" w14:textId="77777777" w:rsidR="00207185" w:rsidRPr="00F85253" w:rsidRDefault="00207185" w:rsidP="00207185">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1016" w:type="dxa"/>
            <w:tcBorders>
              <w:top w:val="nil"/>
              <w:left w:val="nil"/>
              <w:bottom w:val="nil"/>
              <w:right w:val="nil"/>
            </w:tcBorders>
            <w:shd w:val="clear" w:color="000000" w:fill="FFFFFF"/>
            <w:noWrap/>
            <w:vAlign w:val="bottom"/>
            <w:hideMark/>
          </w:tcPr>
          <w:p w14:paraId="04CA9F29" w14:textId="77777777" w:rsidR="00207185" w:rsidRPr="00F85253" w:rsidRDefault="00207185" w:rsidP="00207185">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891" w:type="dxa"/>
            <w:tcBorders>
              <w:top w:val="nil"/>
              <w:left w:val="nil"/>
              <w:bottom w:val="nil"/>
              <w:right w:val="nil"/>
            </w:tcBorders>
            <w:shd w:val="clear" w:color="000000" w:fill="FFFFFF"/>
            <w:noWrap/>
            <w:vAlign w:val="bottom"/>
            <w:hideMark/>
          </w:tcPr>
          <w:p w14:paraId="6C48A4BC" w14:textId="77777777" w:rsidR="00207185" w:rsidRPr="00F85253" w:rsidRDefault="00207185" w:rsidP="00207185">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820" w:type="dxa"/>
            <w:tcBorders>
              <w:top w:val="nil"/>
              <w:left w:val="nil"/>
              <w:bottom w:val="nil"/>
              <w:right w:val="nil"/>
            </w:tcBorders>
            <w:shd w:val="clear" w:color="000000" w:fill="FFFFFF"/>
            <w:noWrap/>
            <w:vAlign w:val="bottom"/>
            <w:hideMark/>
          </w:tcPr>
          <w:p w14:paraId="39E4AD05" w14:textId="77777777" w:rsidR="00207185" w:rsidRPr="00F85253" w:rsidRDefault="00207185" w:rsidP="00207185">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992" w:type="dxa"/>
            <w:tcBorders>
              <w:top w:val="nil"/>
              <w:left w:val="nil"/>
              <w:bottom w:val="nil"/>
              <w:right w:val="nil"/>
            </w:tcBorders>
            <w:shd w:val="clear" w:color="000000" w:fill="FFFFFF"/>
            <w:noWrap/>
            <w:vAlign w:val="bottom"/>
            <w:hideMark/>
          </w:tcPr>
          <w:p w14:paraId="14CE61E0" w14:textId="77777777" w:rsidR="00207185" w:rsidRPr="00F85253" w:rsidRDefault="00207185" w:rsidP="00207185">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r>
      <w:tr w:rsidR="00207185" w:rsidRPr="00F85253" w14:paraId="01DAB49E" w14:textId="77777777" w:rsidTr="00207185">
        <w:trPr>
          <w:trHeight w:val="255"/>
        </w:trPr>
        <w:tc>
          <w:tcPr>
            <w:tcW w:w="4489" w:type="dxa"/>
            <w:tcBorders>
              <w:top w:val="single" w:sz="8" w:space="0" w:color="auto"/>
              <w:left w:val="single" w:sz="8" w:space="0" w:color="auto"/>
              <w:bottom w:val="nil"/>
              <w:right w:val="nil"/>
            </w:tcBorders>
            <w:shd w:val="clear" w:color="000000" w:fill="FFFFFF"/>
            <w:noWrap/>
            <w:vAlign w:val="bottom"/>
            <w:hideMark/>
          </w:tcPr>
          <w:p w14:paraId="6C4DF345" w14:textId="77777777" w:rsidR="00207185" w:rsidRPr="00F85253" w:rsidRDefault="00207185" w:rsidP="00207185">
            <w:pPr>
              <w:spacing w:after="0" w:line="240" w:lineRule="auto"/>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TIR</w:t>
            </w:r>
          </w:p>
        </w:tc>
        <w:tc>
          <w:tcPr>
            <w:tcW w:w="1293" w:type="dxa"/>
            <w:tcBorders>
              <w:top w:val="single" w:sz="8" w:space="0" w:color="auto"/>
              <w:left w:val="nil"/>
              <w:bottom w:val="nil"/>
              <w:right w:val="nil"/>
            </w:tcBorders>
            <w:shd w:val="clear" w:color="000000" w:fill="FFFFFF"/>
            <w:noWrap/>
            <w:vAlign w:val="bottom"/>
          </w:tcPr>
          <w:p w14:paraId="057A8B77" w14:textId="42FBD427" w:rsidR="00207185" w:rsidRPr="00F85253" w:rsidRDefault="00207185" w:rsidP="00207185">
            <w:pPr>
              <w:spacing w:after="0" w:line="240" w:lineRule="auto"/>
              <w:jc w:val="right"/>
              <w:rPr>
                <w:rFonts w:ascii="Arial" w:eastAsia="Times New Roman" w:hAnsi="Arial" w:cs="Arial"/>
                <w:b/>
                <w:bCs/>
                <w:sz w:val="20"/>
                <w:szCs w:val="20"/>
                <w:lang w:val="es-EC" w:eastAsia="es-EC"/>
              </w:rPr>
            </w:pPr>
          </w:p>
        </w:tc>
        <w:tc>
          <w:tcPr>
            <w:tcW w:w="870" w:type="dxa"/>
            <w:tcBorders>
              <w:top w:val="nil"/>
              <w:left w:val="single" w:sz="8" w:space="0" w:color="auto"/>
              <w:bottom w:val="nil"/>
              <w:right w:val="nil"/>
            </w:tcBorders>
            <w:shd w:val="clear" w:color="000000" w:fill="FFFFFF"/>
            <w:noWrap/>
            <w:vAlign w:val="bottom"/>
          </w:tcPr>
          <w:p w14:paraId="49450F33" w14:textId="02AD0740" w:rsidR="00207185" w:rsidRPr="00F85253" w:rsidRDefault="00207185" w:rsidP="00207185">
            <w:pPr>
              <w:spacing w:after="0" w:line="240" w:lineRule="auto"/>
              <w:jc w:val="right"/>
              <w:rPr>
                <w:rFonts w:ascii="Arial" w:eastAsia="Times New Roman" w:hAnsi="Arial" w:cs="Arial"/>
                <w:color w:val="FFFFFF"/>
                <w:sz w:val="20"/>
                <w:szCs w:val="20"/>
                <w:lang w:val="es-EC" w:eastAsia="es-EC"/>
              </w:rPr>
            </w:pPr>
          </w:p>
        </w:tc>
        <w:tc>
          <w:tcPr>
            <w:tcW w:w="930" w:type="dxa"/>
            <w:tcBorders>
              <w:top w:val="nil"/>
              <w:left w:val="nil"/>
              <w:bottom w:val="nil"/>
              <w:right w:val="nil"/>
            </w:tcBorders>
            <w:shd w:val="clear" w:color="000000" w:fill="FFFFFF"/>
            <w:noWrap/>
            <w:vAlign w:val="bottom"/>
          </w:tcPr>
          <w:p w14:paraId="7964EF7D" w14:textId="2A510EAF" w:rsidR="00207185" w:rsidRPr="00F85253" w:rsidRDefault="00207185" w:rsidP="00207185">
            <w:pPr>
              <w:spacing w:after="0" w:line="240" w:lineRule="auto"/>
              <w:jc w:val="right"/>
              <w:rPr>
                <w:rFonts w:ascii="Arial" w:eastAsia="Times New Roman" w:hAnsi="Arial" w:cs="Arial"/>
                <w:color w:val="FFFFFF"/>
                <w:sz w:val="20"/>
                <w:szCs w:val="20"/>
                <w:lang w:val="es-EC" w:eastAsia="es-EC"/>
              </w:rPr>
            </w:pPr>
          </w:p>
        </w:tc>
        <w:tc>
          <w:tcPr>
            <w:tcW w:w="870" w:type="dxa"/>
            <w:tcBorders>
              <w:top w:val="nil"/>
              <w:left w:val="nil"/>
              <w:bottom w:val="nil"/>
              <w:right w:val="nil"/>
            </w:tcBorders>
            <w:shd w:val="clear" w:color="000000" w:fill="FFFFFF"/>
            <w:noWrap/>
            <w:vAlign w:val="bottom"/>
          </w:tcPr>
          <w:p w14:paraId="3044980E" w14:textId="4DE376CA" w:rsidR="00207185" w:rsidRPr="00F85253" w:rsidRDefault="00207185" w:rsidP="00207185">
            <w:pPr>
              <w:spacing w:after="0" w:line="240" w:lineRule="auto"/>
              <w:jc w:val="right"/>
              <w:rPr>
                <w:rFonts w:ascii="Arial" w:eastAsia="Times New Roman" w:hAnsi="Arial" w:cs="Arial"/>
                <w:color w:val="FFFFFF"/>
                <w:sz w:val="20"/>
                <w:szCs w:val="20"/>
                <w:lang w:val="es-EC" w:eastAsia="es-EC"/>
              </w:rPr>
            </w:pPr>
          </w:p>
        </w:tc>
        <w:tc>
          <w:tcPr>
            <w:tcW w:w="1061" w:type="dxa"/>
            <w:tcBorders>
              <w:top w:val="nil"/>
              <w:left w:val="nil"/>
              <w:bottom w:val="nil"/>
              <w:right w:val="single" w:sz="8" w:space="0" w:color="auto"/>
            </w:tcBorders>
            <w:shd w:val="clear" w:color="000000" w:fill="FFFFFF"/>
            <w:noWrap/>
            <w:vAlign w:val="bottom"/>
          </w:tcPr>
          <w:p w14:paraId="528A1E7C" w14:textId="217CDAD2" w:rsidR="00207185" w:rsidRPr="00F85253" w:rsidRDefault="00207185" w:rsidP="00207185">
            <w:pPr>
              <w:spacing w:after="0" w:line="240" w:lineRule="auto"/>
              <w:jc w:val="right"/>
              <w:rPr>
                <w:rFonts w:ascii="Arial" w:eastAsia="Times New Roman" w:hAnsi="Arial" w:cs="Arial"/>
                <w:color w:val="FFFFFF"/>
                <w:sz w:val="20"/>
                <w:szCs w:val="20"/>
                <w:lang w:val="es-EC" w:eastAsia="es-EC"/>
              </w:rPr>
            </w:pPr>
          </w:p>
        </w:tc>
        <w:tc>
          <w:tcPr>
            <w:tcW w:w="1134" w:type="dxa"/>
            <w:tcBorders>
              <w:top w:val="single" w:sz="8" w:space="0" w:color="auto"/>
              <w:left w:val="nil"/>
              <w:bottom w:val="nil"/>
              <w:right w:val="nil"/>
            </w:tcBorders>
            <w:shd w:val="clear" w:color="000000" w:fill="FFFFFF"/>
            <w:noWrap/>
            <w:vAlign w:val="bottom"/>
          </w:tcPr>
          <w:p w14:paraId="17C06D3E" w14:textId="1D56AECE" w:rsidR="00207185" w:rsidRPr="00F85253" w:rsidRDefault="00207185" w:rsidP="00207185">
            <w:pPr>
              <w:spacing w:after="0" w:line="240" w:lineRule="auto"/>
              <w:jc w:val="right"/>
              <w:rPr>
                <w:rFonts w:ascii="Arial" w:eastAsia="Times New Roman" w:hAnsi="Arial" w:cs="Arial"/>
                <w:color w:val="FFFFFF"/>
                <w:sz w:val="20"/>
                <w:szCs w:val="20"/>
                <w:lang w:val="es-EC" w:eastAsia="es-EC"/>
              </w:rPr>
            </w:pPr>
          </w:p>
        </w:tc>
        <w:tc>
          <w:tcPr>
            <w:tcW w:w="610" w:type="dxa"/>
            <w:tcBorders>
              <w:top w:val="single" w:sz="8" w:space="0" w:color="auto"/>
              <w:left w:val="nil"/>
              <w:bottom w:val="nil"/>
              <w:right w:val="nil"/>
            </w:tcBorders>
            <w:shd w:val="clear" w:color="000000" w:fill="FFFFFF"/>
            <w:noWrap/>
            <w:vAlign w:val="bottom"/>
          </w:tcPr>
          <w:p w14:paraId="4C2B901B" w14:textId="420A39C2" w:rsidR="00207185" w:rsidRPr="00F85253" w:rsidRDefault="00207185" w:rsidP="00207185">
            <w:pPr>
              <w:spacing w:after="0" w:line="240" w:lineRule="auto"/>
              <w:jc w:val="right"/>
              <w:rPr>
                <w:rFonts w:ascii="Arial" w:eastAsia="Times New Roman" w:hAnsi="Arial" w:cs="Arial"/>
                <w:color w:val="FFFFFF"/>
                <w:sz w:val="20"/>
                <w:szCs w:val="20"/>
                <w:lang w:val="es-EC" w:eastAsia="es-EC"/>
              </w:rPr>
            </w:pPr>
          </w:p>
        </w:tc>
        <w:tc>
          <w:tcPr>
            <w:tcW w:w="1016" w:type="dxa"/>
            <w:tcBorders>
              <w:top w:val="single" w:sz="8" w:space="0" w:color="auto"/>
              <w:left w:val="nil"/>
              <w:bottom w:val="nil"/>
              <w:right w:val="nil"/>
            </w:tcBorders>
            <w:shd w:val="clear" w:color="000000" w:fill="FFFFFF"/>
            <w:noWrap/>
            <w:vAlign w:val="bottom"/>
          </w:tcPr>
          <w:p w14:paraId="3E443892" w14:textId="76DAC6D1" w:rsidR="00207185" w:rsidRPr="00F85253" w:rsidRDefault="00207185" w:rsidP="00207185">
            <w:pPr>
              <w:spacing w:after="0" w:line="240" w:lineRule="auto"/>
              <w:jc w:val="right"/>
              <w:rPr>
                <w:rFonts w:ascii="Arial" w:eastAsia="Times New Roman" w:hAnsi="Arial" w:cs="Arial"/>
                <w:color w:val="FFFFFF"/>
                <w:sz w:val="20"/>
                <w:szCs w:val="20"/>
                <w:lang w:val="es-EC" w:eastAsia="es-EC"/>
              </w:rPr>
            </w:pPr>
          </w:p>
        </w:tc>
        <w:tc>
          <w:tcPr>
            <w:tcW w:w="891" w:type="dxa"/>
            <w:tcBorders>
              <w:top w:val="single" w:sz="8" w:space="0" w:color="auto"/>
              <w:left w:val="nil"/>
              <w:bottom w:val="nil"/>
              <w:right w:val="nil"/>
            </w:tcBorders>
            <w:shd w:val="clear" w:color="000000" w:fill="FFFFFF"/>
            <w:noWrap/>
            <w:vAlign w:val="bottom"/>
          </w:tcPr>
          <w:p w14:paraId="5A3B0DEE" w14:textId="1732119F" w:rsidR="00207185" w:rsidRPr="00F85253" w:rsidRDefault="00207185" w:rsidP="00207185">
            <w:pPr>
              <w:spacing w:after="0" w:line="240" w:lineRule="auto"/>
              <w:jc w:val="right"/>
              <w:rPr>
                <w:rFonts w:ascii="Arial" w:eastAsia="Times New Roman" w:hAnsi="Arial" w:cs="Arial"/>
                <w:color w:val="FFFFFF"/>
                <w:sz w:val="20"/>
                <w:szCs w:val="20"/>
                <w:lang w:val="es-EC" w:eastAsia="es-EC"/>
              </w:rPr>
            </w:pPr>
          </w:p>
        </w:tc>
        <w:tc>
          <w:tcPr>
            <w:tcW w:w="820" w:type="dxa"/>
            <w:tcBorders>
              <w:top w:val="single" w:sz="8" w:space="0" w:color="auto"/>
              <w:left w:val="nil"/>
              <w:bottom w:val="nil"/>
              <w:right w:val="nil"/>
            </w:tcBorders>
            <w:shd w:val="clear" w:color="000000" w:fill="FFFFFF"/>
            <w:noWrap/>
            <w:vAlign w:val="bottom"/>
          </w:tcPr>
          <w:p w14:paraId="26925BF3" w14:textId="052929B7" w:rsidR="00207185" w:rsidRPr="00F85253" w:rsidRDefault="00207185" w:rsidP="00207185">
            <w:pPr>
              <w:spacing w:after="0" w:line="240" w:lineRule="auto"/>
              <w:jc w:val="right"/>
              <w:rPr>
                <w:rFonts w:ascii="Arial" w:eastAsia="Times New Roman" w:hAnsi="Arial" w:cs="Arial"/>
                <w:color w:val="FFFFFF"/>
                <w:sz w:val="20"/>
                <w:szCs w:val="20"/>
                <w:lang w:val="es-EC" w:eastAsia="es-EC"/>
              </w:rPr>
            </w:pPr>
          </w:p>
        </w:tc>
        <w:tc>
          <w:tcPr>
            <w:tcW w:w="992" w:type="dxa"/>
            <w:tcBorders>
              <w:top w:val="single" w:sz="8" w:space="0" w:color="auto"/>
              <w:left w:val="nil"/>
              <w:bottom w:val="nil"/>
              <w:right w:val="single" w:sz="8" w:space="0" w:color="auto"/>
            </w:tcBorders>
            <w:shd w:val="clear" w:color="000000" w:fill="FFFFFF"/>
            <w:noWrap/>
            <w:vAlign w:val="bottom"/>
            <w:hideMark/>
          </w:tcPr>
          <w:p w14:paraId="57DE2FC0"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35%</w:t>
            </w:r>
          </w:p>
        </w:tc>
      </w:tr>
      <w:tr w:rsidR="00207185" w:rsidRPr="00F85253" w14:paraId="20627B90" w14:textId="77777777" w:rsidTr="00207185">
        <w:trPr>
          <w:trHeight w:val="270"/>
        </w:trPr>
        <w:tc>
          <w:tcPr>
            <w:tcW w:w="4489" w:type="dxa"/>
            <w:tcBorders>
              <w:top w:val="nil"/>
              <w:left w:val="single" w:sz="8" w:space="0" w:color="auto"/>
              <w:bottom w:val="single" w:sz="8" w:space="0" w:color="auto"/>
              <w:right w:val="nil"/>
            </w:tcBorders>
            <w:shd w:val="clear" w:color="000000" w:fill="FFFFFF"/>
            <w:noWrap/>
            <w:vAlign w:val="bottom"/>
            <w:hideMark/>
          </w:tcPr>
          <w:p w14:paraId="3E4FB909" w14:textId="77777777" w:rsidR="00207185" w:rsidRPr="00F85253" w:rsidRDefault="00207185" w:rsidP="00207185">
            <w:pPr>
              <w:spacing w:after="0" w:line="240" w:lineRule="auto"/>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VAN</w:t>
            </w:r>
          </w:p>
        </w:tc>
        <w:tc>
          <w:tcPr>
            <w:tcW w:w="1293" w:type="dxa"/>
            <w:tcBorders>
              <w:top w:val="nil"/>
              <w:left w:val="nil"/>
              <w:bottom w:val="single" w:sz="8" w:space="0" w:color="auto"/>
              <w:right w:val="nil"/>
            </w:tcBorders>
            <w:shd w:val="clear" w:color="000000" w:fill="FFFFFF"/>
            <w:noWrap/>
            <w:vAlign w:val="bottom"/>
          </w:tcPr>
          <w:p w14:paraId="137A6B7C" w14:textId="1F97791B" w:rsidR="00207185" w:rsidRPr="00F85253" w:rsidRDefault="00207185" w:rsidP="00207185">
            <w:pPr>
              <w:spacing w:after="0" w:line="240" w:lineRule="auto"/>
              <w:jc w:val="right"/>
              <w:rPr>
                <w:rFonts w:ascii="Arial" w:eastAsia="Times New Roman" w:hAnsi="Arial" w:cs="Arial"/>
                <w:b/>
                <w:bCs/>
                <w:sz w:val="20"/>
                <w:szCs w:val="20"/>
                <w:lang w:val="es-EC" w:eastAsia="es-EC"/>
              </w:rPr>
            </w:pPr>
          </w:p>
        </w:tc>
        <w:tc>
          <w:tcPr>
            <w:tcW w:w="870" w:type="dxa"/>
            <w:tcBorders>
              <w:top w:val="nil"/>
              <w:left w:val="single" w:sz="8" w:space="0" w:color="auto"/>
              <w:bottom w:val="single" w:sz="8" w:space="0" w:color="auto"/>
              <w:right w:val="nil"/>
            </w:tcBorders>
            <w:shd w:val="clear" w:color="000000" w:fill="FFFFFF"/>
            <w:noWrap/>
            <w:vAlign w:val="bottom"/>
          </w:tcPr>
          <w:p w14:paraId="5A7A3D07" w14:textId="55C5C806" w:rsidR="00207185" w:rsidRPr="00F85253" w:rsidRDefault="00207185" w:rsidP="00207185">
            <w:pPr>
              <w:spacing w:after="0" w:line="240" w:lineRule="auto"/>
              <w:jc w:val="right"/>
              <w:rPr>
                <w:rFonts w:ascii="Arial" w:eastAsia="Times New Roman" w:hAnsi="Arial" w:cs="Arial"/>
                <w:color w:val="FFFFFF"/>
                <w:sz w:val="20"/>
                <w:szCs w:val="20"/>
                <w:lang w:val="es-EC" w:eastAsia="es-EC"/>
              </w:rPr>
            </w:pPr>
          </w:p>
        </w:tc>
        <w:tc>
          <w:tcPr>
            <w:tcW w:w="930" w:type="dxa"/>
            <w:tcBorders>
              <w:top w:val="nil"/>
              <w:left w:val="nil"/>
              <w:bottom w:val="single" w:sz="8" w:space="0" w:color="auto"/>
              <w:right w:val="nil"/>
            </w:tcBorders>
            <w:shd w:val="clear" w:color="000000" w:fill="FFFFFF"/>
            <w:noWrap/>
            <w:vAlign w:val="bottom"/>
          </w:tcPr>
          <w:p w14:paraId="1E840C3D" w14:textId="371FB093" w:rsidR="00207185" w:rsidRPr="00F85253" w:rsidRDefault="00207185" w:rsidP="00207185">
            <w:pPr>
              <w:spacing w:after="0" w:line="240" w:lineRule="auto"/>
              <w:jc w:val="right"/>
              <w:rPr>
                <w:rFonts w:ascii="Arial" w:eastAsia="Times New Roman" w:hAnsi="Arial" w:cs="Arial"/>
                <w:color w:val="FFFFFF"/>
                <w:sz w:val="20"/>
                <w:szCs w:val="20"/>
                <w:lang w:val="es-EC" w:eastAsia="es-EC"/>
              </w:rPr>
            </w:pPr>
          </w:p>
        </w:tc>
        <w:tc>
          <w:tcPr>
            <w:tcW w:w="870" w:type="dxa"/>
            <w:tcBorders>
              <w:top w:val="nil"/>
              <w:left w:val="nil"/>
              <w:bottom w:val="single" w:sz="8" w:space="0" w:color="auto"/>
              <w:right w:val="nil"/>
            </w:tcBorders>
            <w:shd w:val="clear" w:color="000000" w:fill="FFFFFF"/>
            <w:noWrap/>
            <w:vAlign w:val="bottom"/>
          </w:tcPr>
          <w:p w14:paraId="4AD639B4" w14:textId="6458A0DA" w:rsidR="00207185" w:rsidRPr="00F85253" w:rsidRDefault="00207185" w:rsidP="00207185">
            <w:pPr>
              <w:spacing w:after="0" w:line="240" w:lineRule="auto"/>
              <w:jc w:val="right"/>
              <w:rPr>
                <w:rFonts w:ascii="Arial" w:eastAsia="Times New Roman" w:hAnsi="Arial" w:cs="Arial"/>
                <w:color w:val="FFFFFF"/>
                <w:sz w:val="20"/>
                <w:szCs w:val="20"/>
                <w:lang w:val="es-EC" w:eastAsia="es-EC"/>
              </w:rPr>
            </w:pPr>
          </w:p>
        </w:tc>
        <w:tc>
          <w:tcPr>
            <w:tcW w:w="1061" w:type="dxa"/>
            <w:tcBorders>
              <w:top w:val="nil"/>
              <w:left w:val="nil"/>
              <w:bottom w:val="single" w:sz="8" w:space="0" w:color="auto"/>
              <w:right w:val="single" w:sz="8" w:space="0" w:color="auto"/>
            </w:tcBorders>
            <w:shd w:val="clear" w:color="000000" w:fill="FFFFFF"/>
            <w:noWrap/>
            <w:vAlign w:val="bottom"/>
          </w:tcPr>
          <w:p w14:paraId="17709B6A" w14:textId="6FE2A173" w:rsidR="00207185" w:rsidRPr="00F85253" w:rsidRDefault="00207185" w:rsidP="00207185">
            <w:pPr>
              <w:spacing w:after="0" w:line="240" w:lineRule="auto"/>
              <w:jc w:val="right"/>
              <w:rPr>
                <w:rFonts w:ascii="Arial" w:eastAsia="Times New Roman" w:hAnsi="Arial" w:cs="Arial"/>
                <w:color w:val="FFFFFF"/>
                <w:sz w:val="20"/>
                <w:szCs w:val="20"/>
                <w:lang w:val="es-EC" w:eastAsia="es-EC"/>
              </w:rPr>
            </w:pPr>
          </w:p>
        </w:tc>
        <w:tc>
          <w:tcPr>
            <w:tcW w:w="1134" w:type="dxa"/>
            <w:tcBorders>
              <w:top w:val="nil"/>
              <w:left w:val="nil"/>
              <w:bottom w:val="single" w:sz="8" w:space="0" w:color="auto"/>
              <w:right w:val="nil"/>
            </w:tcBorders>
            <w:shd w:val="clear" w:color="000000" w:fill="FFFFFF"/>
            <w:noWrap/>
            <w:vAlign w:val="bottom"/>
          </w:tcPr>
          <w:p w14:paraId="5606EFFF" w14:textId="54021B6A" w:rsidR="00207185" w:rsidRPr="00F85253" w:rsidRDefault="00207185" w:rsidP="00207185">
            <w:pPr>
              <w:spacing w:after="0" w:line="240" w:lineRule="auto"/>
              <w:jc w:val="right"/>
              <w:rPr>
                <w:rFonts w:ascii="Arial" w:eastAsia="Times New Roman" w:hAnsi="Arial" w:cs="Arial"/>
                <w:color w:val="FFFFFF"/>
                <w:sz w:val="20"/>
                <w:szCs w:val="20"/>
                <w:lang w:val="es-EC" w:eastAsia="es-EC"/>
              </w:rPr>
            </w:pPr>
          </w:p>
        </w:tc>
        <w:tc>
          <w:tcPr>
            <w:tcW w:w="610" w:type="dxa"/>
            <w:tcBorders>
              <w:top w:val="nil"/>
              <w:left w:val="nil"/>
              <w:bottom w:val="single" w:sz="8" w:space="0" w:color="auto"/>
              <w:right w:val="nil"/>
            </w:tcBorders>
            <w:shd w:val="clear" w:color="000000" w:fill="FFFFFF"/>
            <w:noWrap/>
            <w:vAlign w:val="bottom"/>
          </w:tcPr>
          <w:p w14:paraId="6331F635" w14:textId="5A6AF33C" w:rsidR="00207185" w:rsidRPr="00F85253" w:rsidRDefault="00207185" w:rsidP="00207185">
            <w:pPr>
              <w:spacing w:after="0" w:line="240" w:lineRule="auto"/>
              <w:jc w:val="right"/>
              <w:rPr>
                <w:rFonts w:ascii="Arial" w:eastAsia="Times New Roman" w:hAnsi="Arial" w:cs="Arial"/>
                <w:color w:val="FFFFFF"/>
                <w:sz w:val="20"/>
                <w:szCs w:val="20"/>
                <w:lang w:val="es-EC" w:eastAsia="es-EC"/>
              </w:rPr>
            </w:pPr>
          </w:p>
        </w:tc>
        <w:tc>
          <w:tcPr>
            <w:tcW w:w="1016" w:type="dxa"/>
            <w:tcBorders>
              <w:top w:val="nil"/>
              <w:left w:val="nil"/>
              <w:bottom w:val="single" w:sz="8" w:space="0" w:color="auto"/>
              <w:right w:val="nil"/>
            </w:tcBorders>
            <w:shd w:val="clear" w:color="000000" w:fill="FFFFFF"/>
            <w:noWrap/>
            <w:vAlign w:val="bottom"/>
          </w:tcPr>
          <w:p w14:paraId="0EBF30AA" w14:textId="028F9C47" w:rsidR="00207185" w:rsidRPr="00F85253" w:rsidRDefault="00207185" w:rsidP="00207185">
            <w:pPr>
              <w:spacing w:after="0" w:line="240" w:lineRule="auto"/>
              <w:jc w:val="right"/>
              <w:rPr>
                <w:rFonts w:ascii="Arial" w:eastAsia="Times New Roman" w:hAnsi="Arial" w:cs="Arial"/>
                <w:sz w:val="20"/>
                <w:szCs w:val="20"/>
                <w:lang w:val="es-EC" w:eastAsia="es-EC"/>
              </w:rPr>
            </w:pPr>
          </w:p>
        </w:tc>
        <w:tc>
          <w:tcPr>
            <w:tcW w:w="891" w:type="dxa"/>
            <w:tcBorders>
              <w:top w:val="nil"/>
              <w:left w:val="nil"/>
              <w:bottom w:val="single" w:sz="8" w:space="0" w:color="auto"/>
              <w:right w:val="nil"/>
            </w:tcBorders>
            <w:shd w:val="clear" w:color="000000" w:fill="FFFFFF"/>
            <w:noWrap/>
            <w:vAlign w:val="bottom"/>
          </w:tcPr>
          <w:p w14:paraId="57BAA254" w14:textId="66591536" w:rsidR="00207185" w:rsidRPr="00F85253" w:rsidRDefault="00207185" w:rsidP="00207185">
            <w:pPr>
              <w:spacing w:after="0" w:line="240" w:lineRule="auto"/>
              <w:jc w:val="right"/>
              <w:rPr>
                <w:rFonts w:ascii="Arial" w:eastAsia="Times New Roman" w:hAnsi="Arial" w:cs="Arial"/>
                <w:sz w:val="20"/>
                <w:szCs w:val="20"/>
                <w:lang w:val="es-EC" w:eastAsia="es-EC"/>
              </w:rPr>
            </w:pPr>
          </w:p>
        </w:tc>
        <w:tc>
          <w:tcPr>
            <w:tcW w:w="820" w:type="dxa"/>
            <w:tcBorders>
              <w:top w:val="nil"/>
              <w:left w:val="nil"/>
              <w:bottom w:val="single" w:sz="8" w:space="0" w:color="auto"/>
              <w:right w:val="nil"/>
            </w:tcBorders>
            <w:shd w:val="clear" w:color="000000" w:fill="FFFFFF"/>
            <w:noWrap/>
            <w:vAlign w:val="bottom"/>
          </w:tcPr>
          <w:p w14:paraId="2DF24FAD" w14:textId="5206B4F6" w:rsidR="00207185" w:rsidRPr="00F85253" w:rsidRDefault="00207185" w:rsidP="00207185">
            <w:pPr>
              <w:spacing w:after="0" w:line="240" w:lineRule="auto"/>
              <w:jc w:val="right"/>
              <w:rPr>
                <w:rFonts w:ascii="Arial" w:eastAsia="Times New Roman" w:hAnsi="Arial" w:cs="Arial"/>
                <w:sz w:val="20"/>
                <w:szCs w:val="20"/>
                <w:lang w:val="es-EC" w:eastAsia="es-EC"/>
              </w:rPr>
            </w:pPr>
          </w:p>
        </w:tc>
        <w:tc>
          <w:tcPr>
            <w:tcW w:w="992" w:type="dxa"/>
            <w:tcBorders>
              <w:top w:val="nil"/>
              <w:left w:val="nil"/>
              <w:bottom w:val="single" w:sz="8" w:space="0" w:color="auto"/>
              <w:right w:val="single" w:sz="8" w:space="0" w:color="auto"/>
            </w:tcBorders>
            <w:shd w:val="clear" w:color="000000" w:fill="FFFFFF"/>
            <w:noWrap/>
            <w:vAlign w:val="bottom"/>
            <w:hideMark/>
          </w:tcPr>
          <w:p w14:paraId="43E76D8C" w14:textId="77777777" w:rsidR="00207185" w:rsidRPr="00F85253" w:rsidRDefault="00207185" w:rsidP="00207185">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$69.34</w:t>
            </w:r>
          </w:p>
        </w:tc>
      </w:tr>
    </w:tbl>
    <w:p w14:paraId="7F3AC088" w14:textId="77777777" w:rsidR="006E4D25" w:rsidRPr="00F85253" w:rsidRDefault="006E4D25" w:rsidP="000B6FF1">
      <w:pPr>
        <w:pStyle w:val="Paragraph"/>
        <w:spacing w:before="0" w:after="0" w:line="276" w:lineRule="auto"/>
        <w:outlineLvl w:val="9"/>
        <w:rPr>
          <w:rFonts w:ascii="Arial" w:hAnsi="Arial" w:cs="Arial"/>
          <w:sz w:val="22"/>
          <w:szCs w:val="22"/>
        </w:rPr>
        <w:sectPr w:rsidR="006E4D25" w:rsidRPr="00F85253" w:rsidSect="00997B4A">
          <w:pgSz w:w="16838" w:h="11906" w:orient="landscape"/>
          <w:pgMar w:top="1355" w:right="992" w:bottom="1440" w:left="1168" w:header="720" w:footer="720" w:gutter="0"/>
          <w:cols w:space="720"/>
          <w:docGrid w:linePitch="360"/>
        </w:sectPr>
      </w:pPr>
    </w:p>
    <w:p w14:paraId="375EAC67" w14:textId="77777777" w:rsidR="00F10D9A" w:rsidRPr="00F85253" w:rsidRDefault="007E781F" w:rsidP="002543DC">
      <w:pPr>
        <w:pStyle w:val="Heading1"/>
        <w:spacing w:before="0" w:after="0" w:line="276" w:lineRule="auto"/>
        <w:jc w:val="both"/>
        <w:rPr>
          <w:rFonts w:cs="Arial"/>
          <w:b w:val="0"/>
          <w:sz w:val="22"/>
          <w:szCs w:val="22"/>
          <w:lang w:val="es-ES_tradnl"/>
        </w:rPr>
      </w:pPr>
      <w:bookmarkStart w:id="30" w:name="_ANEXO_I_–"/>
      <w:bookmarkStart w:id="31" w:name="_Toc479116397"/>
      <w:bookmarkStart w:id="32" w:name="_Toc518739337"/>
      <w:bookmarkEnd w:id="30"/>
      <w:r w:rsidRPr="00F85253">
        <w:rPr>
          <w:rFonts w:cs="Arial"/>
          <w:sz w:val="22"/>
          <w:szCs w:val="22"/>
          <w:lang w:val="es-ES_tradnl"/>
        </w:rPr>
        <w:lastRenderedPageBreak/>
        <w:t xml:space="preserve">ANEXO I – Precios </w:t>
      </w:r>
      <w:r w:rsidR="00723397" w:rsidRPr="00F85253">
        <w:rPr>
          <w:rFonts w:cs="Arial"/>
          <w:sz w:val="22"/>
          <w:szCs w:val="22"/>
          <w:lang w:val="es-ES_tradnl"/>
        </w:rPr>
        <w:t>de eficiencia</w:t>
      </w:r>
      <w:r w:rsidRPr="00F85253">
        <w:rPr>
          <w:rFonts w:cs="Arial"/>
          <w:sz w:val="22"/>
          <w:szCs w:val="22"/>
          <w:lang w:val="es-ES_tradnl"/>
        </w:rPr>
        <w:t xml:space="preserve"> - Estimación de los Costos Económicos de Inversión y Mantenimiento</w:t>
      </w:r>
      <w:bookmarkEnd w:id="31"/>
      <w:bookmarkEnd w:id="32"/>
    </w:p>
    <w:p w14:paraId="4608CE79" w14:textId="77777777" w:rsidR="00723397" w:rsidRPr="00F85253" w:rsidRDefault="00723397" w:rsidP="002543DC">
      <w:pPr>
        <w:spacing w:after="0"/>
        <w:ind w:firstLine="540"/>
        <w:jc w:val="both"/>
        <w:rPr>
          <w:rFonts w:ascii="Arial" w:hAnsi="Arial" w:cs="Arial"/>
          <w:b/>
          <w:lang w:val="es-ES_tradnl"/>
        </w:rPr>
      </w:pPr>
      <w:bookmarkStart w:id="33" w:name="_Toc479116398"/>
    </w:p>
    <w:p w14:paraId="2A72DD57" w14:textId="77777777" w:rsidR="008D1244" w:rsidRPr="00F85253" w:rsidRDefault="008D1244" w:rsidP="002543DC">
      <w:pPr>
        <w:spacing w:after="0"/>
        <w:ind w:firstLine="540"/>
        <w:jc w:val="both"/>
        <w:rPr>
          <w:rFonts w:ascii="Arial" w:hAnsi="Arial" w:cs="Arial"/>
          <w:b/>
          <w:lang w:val="es-ES_tradnl"/>
        </w:rPr>
      </w:pPr>
    </w:p>
    <w:p w14:paraId="5AE5D6BD" w14:textId="77777777" w:rsidR="00F10D9A" w:rsidRPr="00F85253" w:rsidRDefault="007E781F" w:rsidP="002543DC">
      <w:pPr>
        <w:spacing w:after="0"/>
        <w:ind w:firstLine="540"/>
        <w:jc w:val="both"/>
        <w:rPr>
          <w:rFonts w:ascii="Arial" w:hAnsi="Arial" w:cs="Arial"/>
          <w:b/>
          <w:bCs/>
          <w:lang w:val="es-ES_tradnl"/>
        </w:rPr>
      </w:pPr>
      <w:r w:rsidRPr="00F85253">
        <w:rPr>
          <w:rFonts w:ascii="Arial" w:hAnsi="Arial" w:cs="Arial"/>
          <w:b/>
          <w:lang w:val="es-ES_tradnl"/>
        </w:rPr>
        <w:t>Costos</w:t>
      </w:r>
      <w:r w:rsidRPr="00F85253">
        <w:rPr>
          <w:rFonts w:ascii="Arial" w:hAnsi="Arial" w:cs="Arial"/>
          <w:b/>
          <w:spacing w:val="-4"/>
          <w:lang w:val="es-ES_tradnl"/>
        </w:rPr>
        <w:t xml:space="preserve"> </w:t>
      </w:r>
      <w:bookmarkEnd w:id="33"/>
      <w:r w:rsidR="00AA5AB9" w:rsidRPr="00F85253">
        <w:rPr>
          <w:rFonts w:ascii="Arial" w:hAnsi="Arial" w:cs="Arial"/>
          <w:b/>
          <w:lang w:val="es-ES_tradnl"/>
        </w:rPr>
        <w:t>económicos</w:t>
      </w:r>
    </w:p>
    <w:p w14:paraId="3E6C083F" w14:textId="77777777" w:rsidR="00D665D8" w:rsidRPr="00F85253" w:rsidRDefault="00D665D8" w:rsidP="000B2BC8">
      <w:pPr>
        <w:pStyle w:val="Paragraph"/>
        <w:spacing w:before="0" w:after="0" w:line="276" w:lineRule="auto"/>
        <w:ind w:left="540"/>
        <w:outlineLvl w:val="9"/>
        <w:rPr>
          <w:rFonts w:ascii="Arial" w:hAnsi="Arial" w:cs="Arial"/>
          <w:sz w:val="22"/>
          <w:szCs w:val="22"/>
          <w:lang w:val="es-ES_tradnl"/>
        </w:rPr>
      </w:pPr>
    </w:p>
    <w:p w14:paraId="51852ED4" w14:textId="44074D5D" w:rsidR="000C031E" w:rsidRPr="00F85253" w:rsidRDefault="007E781F" w:rsidP="00F056AF">
      <w:pPr>
        <w:pStyle w:val="Paragraph"/>
        <w:numPr>
          <w:ilvl w:val="1"/>
          <w:numId w:val="3"/>
        </w:numPr>
        <w:spacing w:before="0" w:after="0" w:line="276" w:lineRule="auto"/>
        <w:ind w:left="540" w:hanging="540"/>
        <w:outlineLvl w:val="9"/>
        <w:rPr>
          <w:rFonts w:ascii="Arial" w:hAnsi="Arial" w:cs="Arial"/>
          <w:sz w:val="22"/>
          <w:szCs w:val="22"/>
          <w:lang w:val="es-ES_tradnl"/>
        </w:rPr>
      </w:pPr>
      <w:r w:rsidRPr="00F85253">
        <w:rPr>
          <w:rFonts w:ascii="Arial" w:hAnsi="Arial" w:cs="Arial"/>
          <w:sz w:val="22"/>
          <w:szCs w:val="22"/>
          <w:lang w:val="es-ES_tradnl"/>
        </w:rPr>
        <w:t xml:space="preserve">Los costos </w:t>
      </w:r>
      <w:r w:rsidR="003605A6" w:rsidRPr="00F85253">
        <w:rPr>
          <w:rFonts w:ascii="Arial" w:hAnsi="Arial" w:cs="Arial"/>
          <w:sz w:val="22"/>
          <w:szCs w:val="22"/>
          <w:lang w:val="es-ES_tradnl"/>
        </w:rPr>
        <w:t xml:space="preserve">del proyecto </w:t>
      </w:r>
      <w:r w:rsidRPr="00F85253">
        <w:rPr>
          <w:rFonts w:ascii="Arial" w:hAnsi="Arial" w:cs="Arial"/>
          <w:sz w:val="22"/>
          <w:szCs w:val="22"/>
          <w:lang w:val="es-ES_tradnl"/>
        </w:rPr>
        <w:t xml:space="preserve">incluyen </w:t>
      </w:r>
      <w:r w:rsidR="000C031E" w:rsidRPr="00F85253">
        <w:rPr>
          <w:rFonts w:ascii="Arial" w:hAnsi="Arial" w:cs="Arial"/>
          <w:sz w:val="22"/>
          <w:szCs w:val="22"/>
          <w:lang w:val="es-ES_tradnl"/>
        </w:rPr>
        <w:t xml:space="preserve">los gastos en capital y los gastos de operación. El </w:t>
      </w:r>
      <w:r w:rsidR="000A63D9" w:rsidRPr="00F85253">
        <w:rPr>
          <w:rFonts w:ascii="Arial" w:hAnsi="Arial" w:cs="Arial"/>
          <w:sz w:val="22"/>
          <w:szCs w:val="22"/>
          <w:lang w:val="es-ES_tradnl"/>
        </w:rPr>
        <w:t>g</w:t>
      </w:r>
      <w:r w:rsidR="000C031E" w:rsidRPr="00F85253">
        <w:rPr>
          <w:rFonts w:ascii="Arial" w:hAnsi="Arial" w:cs="Arial"/>
          <w:sz w:val="22"/>
          <w:szCs w:val="22"/>
          <w:lang w:val="es-ES_tradnl"/>
        </w:rPr>
        <w:t xml:space="preserve">asto en </w:t>
      </w:r>
      <w:r w:rsidR="000A63D9" w:rsidRPr="00F85253">
        <w:rPr>
          <w:rFonts w:ascii="Arial" w:hAnsi="Arial" w:cs="Arial"/>
          <w:sz w:val="22"/>
          <w:szCs w:val="22"/>
          <w:lang w:val="es-ES_tradnl"/>
        </w:rPr>
        <w:t>c</w:t>
      </w:r>
      <w:r w:rsidR="000C031E" w:rsidRPr="00F85253">
        <w:rPr>
          <w:rFonts w:ascii="Arial" w:hAnsi="Arial" w:cs="Arial"/>
          <w:sz w:val="22"/>
          <w:szCs w:val="22"/>
          <w:lang w:val="es-ES_tradnl"/>
        </w:rPr>
        <w:t xml:space="preserve">apital está </w:t>
      </w:r>
      <w:r w:rsidR="009F7D18" w:rsidRPr="00F85253">
        <w:rPr>
          <w:rFonts w:ascii="Arial" w:hAnsi="Arial" w:cs="Arial"/>
          <w:sz w:val="22"/>
          <w:szCs w:val="22"/>
          <w:lang w:val="es-ES_tradnl"/>
        </w:rPr>
        <w:t>conformado por el</w:t>
      </w:r>
      <w:r w:rsidR="00F056AF" w:rsidRPr="00F85253">
        <w:rPr>
          <w:rFonts w:ascii="Arial" w:hAnsi="Arial" w:cs="Arial"/>
          <w:sz w:val="22"/>
          <w:szCs w:val="22"/>
          <w:lang w:val="es-ES_tradnl"/>
        </w:rPr>
        <w:t xml:space="preserve"> monto destinado a la optimización de la cart</w:t>
      </w:r>
      <w:r w:rsidR="00633A52" w:rsidRPr="00F85253">
        <w:rPr>
          <w:rFonts w:ascii="Arial" w:hAnsi="Arial" w:cs="Arial"/>
          <w:sz w:val="22"/>
          <w:szCs w:val="22"/>
          <w:lang w:val="es-ES_tradnl"/>
        </w:rPr>
        <w:t xml:space="preserve">era de </w:t>
      </w:r>
      <w:r w:rsidR="0023565F" w:rsidRPr="00F85253">
        <w:rPr>
          <w:rFonts w:ascii="Arial" w:hAnsi="Arial" w:cs="Arial"/>
          <w:sz w:val="22"/>
          <w:szCs w:val="22"/>
          <w:lang w:val="es-ES_tradnl"/>
        </w:rPr>
        <w:t>EEPP</w:t>
      </w:r>
      <w:r w:rsidR="00633A52" w:rsidRPr="00F85253">
        <w:rPr>
          <w:rFonts w:ascii="Arial" w:hAnsi="Arial" w:cs="Arial"/>
          <w:sz w:val="22"/>
          <w:szCs w:val="22"/>
          <w:lang w:val="es-ES_tradnl"/>
        </w:rPr>
        <w:t>, el cual abarca el financiamiento para la</w:t>
      </w:r>
      <w:r w:rsidR="00F056AF" w:rsidRPr="00F85253">
        <w:rPr>
          <w:rFonts w:ascii="Arial" w:hAnsi="Arial" w:cs="Arial"/>
          <w:sz w:val="22"/>
          <w:szCs w:val="22"/>
          <w:lang w:val="es-ES_tradnl"/>
        </w:rPr>
        <w:t xml:space="preserve"> fusión de las petroleras, la optimización de CELEC, CNEL, consultorías </w:t>
      </w:r>
      <w:r w:rsidR="00416611" w:rsidRPr="00F85253">
        <w:rPr>
          <w:rFonts w:ascii="Arial" w:hAnsi="Arial" w:cs="Arial"/>
          <w:sz w:val="22"/>
          <w:szCs w:val="22"/>
          <w:lang w:val="es-ES_tradnl"/>
        </w:rPr>
        <w:t xml:space="preserve">de </w:t>
      </w:r>
      <w:r w:rsidR="00F056AF" w:rsidRPr="00F85253">
        <w:rPr>
          <w:rFonts w:ascii="Arial" w:hAnsi="Arial" w:cs="Arial"/>
          <w:sz w:val="22"/>
          <w:szCs w:val="22"/>
          <w:lang w:val="es-ES_tradnl"/>
        </w:rPr>
        <w:t>TAME y</w:t>
      </w:r>
      <w:r w:rsidR="00416611" w:rsidRPr="00F85253">
        <w:rPr>
          <w:rFonts w:ascii="Arial" w:hAnsi="Arial" w:cs="Arial"/>
          <w:sz w:val="22"/>
          <w:szCs w:val="22"/>
          <w:lang w:val="es-ES_tradnl"/>
        </w:rPr>
        <w:t xml:space="preserve"> las</w:t>
      </w:r>
      <w:r w:rsidR="00F056AF" w:rsidRPr="00F85253">
        <w:rPr>
          <w:rFonts w:ascii="Arial" w:hAnsi="Arial" w:cs="Arial"/>
          <w:sz w:val="22"/>
          <w:szCs w:val="22"/>
          <w:lang w:val="es-ES_tradnl"/>
        </w:rPr>
        <w:t xml:space="preserve"> estrategias de comunicación</w:t>
      </w:r>
      <w:r w:rsidR="00416611" w:rsidRPr="00F85253">
        <w:rPr>
          <w:rFonts w:ascii="Arial" w:hAnsi="Arial" w:cs="Arial"/>
          <w:sz w:val="22"/>
          <w:szCs w:val="22"/>
          <w:lang w:val="es-ES_tradnl"/>
        </w:rPr>
        <w:t xml:space="preserve"> del programa</w:t>
      </w:r>
      <w:r w:rsidR="00F056AF" w:rsidRPr="00F85253">
        <w:rPr>
          <w:rFonts w:ascii="Arial" w:hAnsi="Arial" w:cs="Arial"/>
          <w:sz w:val="22"/>
          <w:szCs w:val="22"/>
          <w:lang w:val="es-ES_tradnl"/>
        </w:rPr>
        <w:t>; adem</w:t>
      </w:r>
      <w:r w:rsidR="00A36B3A" w:rsidRPr="00F85253">
        <w:rPr>
          <w:rFonts w:ascii="Arial" w:hAnsi="Arial" w:cs="Arial"/>
          <w:sz w:val="22"/>
          <w:szCs w:val="22"/>
          <w:lang w:val="es-ES_tradnl"/>
        </w:rPr>
        <w:t xml:space="preserve">ás, toma en cuenta el costo de </w:t>
      </w:r>
      <w:r w:rsidR="00F056AF" w:rsidRPr="00F85253">
        <w:rPr>
          <w:rFonts w:ascii="Arial" w:hAnsi="Arial" w:cs="Arial"/>
          <w:sz w:val="22"/>
          <w:szCs w:val="22"/>
          <w:lang w:val="es-ES_tradnl"/>
        </w:rPr>
        <w:t xml:space="preserve">las desvinculaciones del personal de </w:t>
      </w:r>
      <w:r w:rsidR="00011F6D" w:rsidRPr="00F85253">
        <w:rPr>
          <w:rFonts w:ascii="Arial" w:hAnsi="Arial" w:cs="Arial"/>
          <w:sz w:val="22"/>
          <w:szCs w:val="22"/>
          <w:lang w:val="es-ES_tradnl"/>
        </w:rPr>
        <w:t xml:space="preserve">las </w:t>
      </w:r>
      <w:r w:rsidR="008A5C1A" w:rsidRPr="00F85253">
        <w:rPr>
          <w:rFonts w:ascii="Arial" w:hAnsi="Arial" w:cs="Arial"/>
          <w:sz w:val="22"/>
          <w:szCs w:val="22"/>
          <w:lang w:val="es-ES_tradnl"/>
        </w:rPr>
        <w:t>EEPP</w:t>
      </w:r>
      <w:r w:rsidR="00F056AF" w:rsidRPr="00F85253">
        <w:rPr>
          <w:rFonts w:ascii="Arial" w:hAnsi="Arial" w:cs="Arial"/>
          <w:sz w:val="22"/>
          <w:szCs w:val="22"/>
          <w:lang w:val="es-ES_tradnl"/>
        </w:rPr>
        <w:t>; las actividades para el fortalecimiento del Marco de Gobernanza Corporativa; y, la administración del programa</w:t>
      </w:r>
      <w:r w:rsidR="000C031E" w:rsidRPr="00F85253">
        <w:rPr>
          <w:rFonts w:ascii="Arial" w:hAnsi="Arial" w:cs="Arial"/>
          <w:sz w:val="22"/>
          <w:szCs w:val="22"/>
          <w:lang w:val="es-ES_tradnl"/>
        </w:rPr>
        <w:t xml:space="preserve">. </w:t>
      </w:r>
      <w:r w:rsidR="000A63D9" w:rsidRPr="00F85253">
        <w:rPr>
          <w:rFonts w:ascii="Arial" w:hAnsi="Arial" w:cs="Arial"/>
          <w:sz w:val="22"/>
          <w:szCs w:val="22"/>
          <w:lang w:val="es-ES_tradnl"/>
        </w:rPr>
        <w:t>Por su parte, e</w:t>
      </w:r>
      <w:r w:rsidR="000C031E" w:rsidRPr="00F85253">
        <w:rPr>
          <w:rFonts w:ascii="Arial" w:hAnsi="Arial" w:cs="Arial"/>
          <w:sz w:val="22"/>
          <w:szCs w:val="22"/>
          <w:lang w:val="es-ES_tradnl"/>
        </w:rPr>
        <w:t xml:space="preserve">l gasto de </w:t>
      </w:r>
      <w:r w:rsidR="00282464" w:rsidRPr="00F85253">
        <w:rPr>
          <w:rFonts w:ascii="Arial" w:hAnsi="Arial" w:cs="Arial"/>
          <w:sz w:val="22"/>
          <w:szCs w:val="22"/>
          <w:lang w:val="es-ES_tradnl"/>
        </w:rPr>
        <w:t>o</w:t>
      </w:r>
      <w:r w:rsidR="000C031E" w:rsidRPr="00F85253">
        <w:rPr>
          <w:rFonts w:ascii="Arial" w:hAnsi="Arial" w:cs="Arial"/>
          <w:sz w:val="22"/>
          <w:szCs w:val="22"/>
          <w:lang w:val="es-ES_tradnl"/>
        </w:rPr>
        <w:t xml:space="preserve">peración </w:t>
      </w:r>
      <w:r w:rsidR="00282464" w:rsidRPr="00F85253">
        <w:rPr>
          <w:rFonts w:ascii="Arial" w:hAnsi="Arial" w:cs="Arial"/>
          <w:sz w:val="22"/>
          <w:szCs w:val="22"/>
          <w:lang w:val="es-ES_tradnl"/>
        </w:rPr>
        <w:t>corresponde al 12% de los gastos de capital</w:t>
      </w:r>
      <w:r w:rsidR="00A36B3A" w:rsidRPr="00F85253">
        <w:rPr>
          <w:rFonts w:ascii="Arial" w:hAnsi="Arial" w:cs="Arial"/>
          <w:sz w:val="22"/>
          <w:szCs w:val="22"/>
          <w:lang w:val="es-ES_tradnl"/>
        </w:rPr>
        <w:t xml:space="preserve"> acumulado</w:t>
      </w:r>
      <w:r w:rsidR="00593C41" w:rsidRPr="00F85253">
        <w:rPr>
          <w:rFonts w:ascii="Arial" w:hAnsi="Arial" w:cs="Arial"/>
          <w:sz w:val="22"/>
          <w:szCs w:val="22"/>
          <w:lang w:val="es-ES_tradnl"/>
        </w:rPr>
        <w:t>s anualmente</w:t>
      </w:r>
      <w:r w:rsidR="00A36B3A" w:rsidRPr="00F85253">
        <w:rPr>
          <w:rFonts w:ascii="Arial" w:hAnsi="Arial" w:cs="Arial"/>
          <w:sz w:val="22"/>
          <w:szCs w:val="22"/>
          <w:lang w:val="es-ES_tradnl"/>
        </w:rPr>
        <w:t>,</w:t>
      </w:r>
      <w:r w:rsidR="009019F0" w:rsidRPr="00F85253">
        <w:rPr>
          <w:rFonts w:ascii="Arial" w:hAnsi="Arial" w:cs="Arial"/>
          <w:sz w:val="22"/>
          <w:szCs w:val="22"/>
          <w:lang w:val="es-ES_tradnl"/>
        </w:rPr>
        <w:t xml:space="preserve"> en el período correspondiente</w:t>
      </w:r>
      <w:r w:rsidR="000C031E" w:rsidRPr="00F85253">
        <w:rPr>
          <w:rFonts w:ascii="Arial" w:hAnsi="Arial" w:cs="Arial"/>
          <w:sz w:val="22"/>
          <w:szCs w:val="22"/>
          <w:lang w:val="es-ES_tradnl"/>
        </w:rPr>
        <w:t xml:space="preserve">. </w:t>
      </w:r>
    </w:p>
    <w:p w14:paraId="7D6261F7" w14:textId="77777777" w:rsidR="00D665D8" w:rsidRPr="00F85253" w:rsidRDefault="00D665D8" w:rsidP="000B2BC8">
      <w:pPr>
        <w:pStyle w:val="Paragraph"/>
        <w:spacing w:before="0" w:after="0" w:line="276" w:lineRule="auto"/>
        <w:ind w:left="540"/>
        <w:outlineLvl w:val="9"/>
        <w:rPr>
          <w:rFonts w:ascii="Arial" w:hAnsi="Arial" w:cs="Arial"/>
          <w:sz w:val="22"/>
          <w:szCs w:val="22"/>
          <w:lang w:val="es-ES_tradnl"/>
        </w:rPr>
      </w:pPr>
      <w:bookmarkStart w:id="34" w:name="Cuadro_2:_Costos_de_inversión_por_catego"/>
      <w:bookmarkEnd w:id="34"/>
    </w:p>
    <w:p w14:paraId="42553099" w14:textId="727A7FDE" w:rsidR="00723397" w:rsidRPr="00F85253" w:rsidRDefault="009019F0" w:rsidP="0073600A">
      <w:pPr>
        <w:pStyle w:val="Paragraph"/>
        <w:numPr>
          <w:ilvl w:val="1"/>
          <w:numId w:val="3"/>
        </w:numPr>
        <w:spacing w:before="0" w:after="0" w:line="276" w:lineRule="auto"/>
        <w:ind w:left="540" w:hanging="540"/>
        <w:outlineLvl w:val="9"/>
        <w:rPr>
          <w:rFonts w:ascii="Arial" w:hAnsi="Arial" w:cs="Arial"/>
          <w:sz w:val="22"/>
          <w:szCs w:val="22"/>
          <w:lang w:val="es-ES_tradnl"/>
        </w:rPr>
      </w:pPr>
      <w:r w:rsidRPr="00F85253">
        <w:rPr>
          <w:rFonts w:ascii="Arial" w:hAnsi="Arial" w:cs="Arial"/>
          <w:sz w:val="22"/>
          <w:szCs w:val="22"/>
          <w:lang w:val="es-ES_tradnl"/>
        </w:rPr>
        <w:t>Se evidencia que</w:t>
      </w:r>
      <w:r w:rsidR="00B525D8" w:rsidRPr="00F85253">
        <w:rPr>
          <w:rFonts w:ascii="Arial" w:hAnsi="Arial" w:cs="Arial"/>
          <w:sz w:val="22"/>
          <w:szCs w:val="22"/>
          <w:lang w:val="es-ES_tradnl"/>
        </w:rPr>
        <w:t>,</w:t>
      </w:r>
      <w:r w:rsidR="000A63D9" w:rsidRPr="00F85253">
        <w:rPr>
          <w:rFonts w:ascii="Arial" w:hAnsi="Arial" w:cs="Arial"/>
          <w:sz w:val="22"/>
          <w:szCs w:val="22"/>
          <w:lang w:val="es-ES_tradnl"/>
        </w:rPr>
        <w:t xml:space="preserve"> e</w:t>
      </w:r>
      <w:r w:rsidR="007E781F" w:rsidRPr="00F85253">
        <w:rPr>
          <w:rFonts w:ascii="Arial" w:hAnsi="Arial" w:cs="Arial"/>
          <w:sz w:val="22"/>
          <w:szCs w:val="22"/>
          <w:lang w:val="es-ES_tradnl"/>
        </w:rPr>
        <w:t xml:space="preserve">l valor </w:t>
      </w:r>
      <w:r w:rsidR="00A7730C" w:rsidRPr="00F85253">
        <w:rPr>
          <w:rFonts w:ascii="Arial" w:hAnsi="Arial" w:cs="Arial"/>
          <w:sz w:val="22"/>
          <w:szCs w:val="22"/>
          <w:lang w:val="es-ES_tradnl"/>
        </w:rPr>
        <w:t>de gastos de capital</w:t>
      </w:r>
      <w:r w:rsidR="00B525D8" w:rsidRPr="00F85253">
        <w:rPr>
          <w:rFonts w:ascii="Arial" w:hAnsi="Arial" w:cs="Arial"/>
          <w:sz w:val="22"/>
          <w:szCs w:val="22"/>
          <w:lang w:val="es-ES_tradnl"/>
        </w:rPr>
        <w:t>,</w:t>
      </w:r>
      <w:r w:rsidR="007E781F" w:rsidRPr="00F85253">
        <w:rPr>
          <w:rFonts w:ascii="Arial" w:hAnsi="Arial" w:cs="Arial"/>
          <w:sz w:val="22"/>
          <w:szCs w:val="22"/>
          <w:lang w:val="es-ES_tradnl"/>
        </w:rPr>
        <w:t xml:space="preserve"> a precios de mercado</w:t>
      </w:r>
      <w:r w:rsidR="00B525D8" w:rsidRPr="00F85253">
        <w:rPr>
          <w:rFonts w:ascii="Arial" w:hAnsi="Arial" w:cs="Arial"/>
          <w:sz w:val="22"/>
          <w:szCs w:val="22"/>
          <w:lang w:val="es-ES_tradnl"/>
        </w:rPr>
        <w:t>,</w:t>
      </w:r>
      <w:r w:rsidR="007E781F" w:rsidRPr="00F85253">
        <w:rPr>
          <w:rFonts w:ascii="Arial" w:hAnsi="Arial" w:cs="Arial"/>
          <w:sz w:val="22"/>
          <w:szCs w:val="22"/>
          <w:lang w:val="es-ES_tradnl"/>
        </w:rPr>
        <w:t xml:space="preserve"> alcanza</w:t>
      </w:r>
      <w:r w:rsidR="00B525D8" w:rsidRPr="00F85253">
        <w:rPr>
          <w:rFonts w:ascii="Arial" w:hAnsi="Arial" w:cs="Arial"/>
          <w:sz w:val="22"/>
          <w:szCs w:val="22"/>
          <w:lang w:val="es-ES_tradnl"/>
        </w:rPr>
        <w:t xml:space="preserve"> los</w:t>
      </w:r>
      <w:r w:rsidR="007E781F" w:rsidRPr="00F85253">
        <w:rPr>
          <w:rFonts w:ascii="Arial" w:hAnsi="Arial" w:cs="Arial"/>
          <w:sz w:val="22"/>
          <w:szCs w:val="22"/>
          <w:lang w:val="es-ES_tradnl"/>
        </w:rPr>
        <w:t xml:space="preserve"> US</w:t>
      </w:r>
      <w:r w:rsidR="000A63D9" w:rsidRPr="00F85253">
        <w:rPr>
          <w:rFonts w:ascii="Arial" w:hAnsi="Arial" w:cs="Arial"/>
          <w:sz w:val="22"/>
          <w:szCs w:val="22"/>
          <w:lang w:val="es-ES_tradnl"/>
        </w:rPr>
        <w:t>D 75</w:t>
      </w:r>
      <w:r w:rsidR="007E781F" w:rsidRPr="00F85253">
        <w:rPr>
          <w:rFonts w:ascii="Arial" w:hAnsi="Arial" w:cs="Arial"/>
          <w:sz w:val="22"/>
          <w:szCs w:val="22"/>
          <w:lang w:val="es-ES_tradnl"/>
        </w:rPr>
        <w:t xml:space="preserve"> millones</w:t>
      </w:r>
      <w:r w:rsidR="000937D3" w:rsidRPr="00F85253">
        <w:rPr>
          <w:rFonts w:ascii="Arial" w:hAnsi="Arial" w:cs="Arial"/>
          <w:sz w:val="22"/>
          <w:szCs w:val="22"/>
          <w:lang w:val="es-ES_tradnl"/>
        </w:rPr>
        <w:t xml:space="preserve">, </w:t>
      </w:r>
      <w:r w:rsidR="000A63D9" w:rsidRPr="00F85253">
        <w:rPr>
          <w:rFonts w:ascii="Arial" w:hAnsi="Arial" w:cs="Arial"/>
          <w:sz w:val="22"/>
          <w:szCs w:val="22"/>
          <w:lang w:val="es-ES_tradnl"/>
        </w:rPr>
        <w:t>los cuales incluyen</w:t>
      </w:r>
      <w:r w:rsidR="00011F6D" w:rsidRPr="00F85253">
        <w:rPr>
          <w:rFonts w:ascii="Arial" w:hAnsi="Arial" w:cs="Arial"/>
          <w:sz w:val="22"/>
          <w:szCs w:val="22"/>
          <w:lang w:val="es-ES_tradnl"/>
        </w:rPr>
        <w:t xml:space="preserve"> los</w:t>
      </w:r>
      <w:r w:rsidR="000A63D9" w:rsidRPr="00F85253">
        <w:rPr>
          <w:rFonts w:ascii="Arial" w:hAnsi="Arial" w:cs="Arial"/>
          <w:sz w:val="22"/>
          <w:szCs w:val="22"/>
          <w:lang w:val="es-ES_tradnl"/>
        </w:rPr>
        <w:t xml:space="preserve"> USD </w:t>
      </w:r>
      <w:r w:rsidR="00011F6D" w:rsidRPr="00F85253">
        <w:rPr>
          <w:rFonts w:ascii="Arial" w:hAnsi="Arial" w:cs="Arial"/>
          <w:sz w:val="22"/>
          <w:szCs w:val="22"/>
          <w:lang w:val="es-ES_tradnl"/>
        </w:rPr>
        <w:t>43</w:t>
      </w:r>
      <w:r w:rsidR="000A63D9" w:rsidRPr="00F85253">
        <w:rPr>
          <w:rFonts w:ascii="Arial" w:hAnsi="Arial" w:cs="Arial"/>
          <w:sz w:val="22"/>
          <w:szCs w:val="22"/>
          <w:lang w:val="es-ES_tradnl"/>
        </w:rPr>
        <w:t xml:space="preserve"> millones</w:t>
      </w:r>
      <w:r w:rsidR="00011F6D" w:rsidRPr="00F85253">
        <w:rPr>
          <w:rFonts w:ascii="Arial" w:hAnsi="Arial" w:cs="Arial"/>
          <w:sz w:val="22"/>
          <w:szCs w:val="22"/>
          <w:lang w:val="es-ES_tradnl"/>
        </w:rPr>
        <w:t xml:space="preserve"> de las compensaciones </w:t>
      </w:r>
      <w:r w:rsidR="000937D3" w:rsidRPr="00F85253">
        <w:rPr>
          <w:rFonts w:ascii="Arial" w:hAnsi="Arial" w:cs="Arial"/>
          <w:sz w:val="22"/>
          <w:szCs w:val="22"/>
          <w:lang w:val="es-ES_tradnl"/>
        </w:rPr>
        <w:t>en</w:t>
      </w:r>
      <w:r w:rsidR="00580783" w:rsidRPr="00F85253">
        <w:rPr>
          <w:rFonts w:ascii="Arial" w:hAnsi="Arial" w:cs="Arial"/>
          <w:sz w:val="22"/>
          <w:szCs w:val="22"/>
          <w:lang w:val="es-ES_tradnl"/>
        </w:rPr>
        <w:t xml:space="preserve"> l</w:t>
      </w:r>
      <w:r w:rsidR="00502F5F" w:rsidRPr="00F85253">
        <w:rPr>
          <w:rFonts w:ascii="Arial" w:hAnsi="Arial" w:cs="Arial"/>
          <w:sz w:val="22"/>
          <w:szCs w:val="22"/>
          <w:lang w:val="es-ES_tradnl"/>
        </w:rPr>
        <w:t>a</w:t>
      </w:r>
      <w:r w:rsidR="000A63D9" w:rsidRPr="00F85253">
        <w:rPr>
          <w:rFonts w:ascii="Arial" w:hAnsi="Arial" w:cs="Arial"/>
          <w:sz w:val="22"/>
          <w:szCs w:val="22"/>
          <w:lang w:val="es-ES_tradnl"/>
        </w:rPr>
        <w:t xml:space="preserve"> desvinculaci</w:t>
      </w:r>
      <w:r w:rsidR="00502F5F" w:rsidRPr="00F85253">
        <w:rPr>
          <w:rFonts w:ascii="Arial" w:hAnsi="Arial" w:cs="Arial"/>
          <w:sz w:val="22"/>
          <w:szCs w:val="22"/>
          <w:lang w:val="es-ES_tradnl"/>
        </w:rPr>
        <w:t xml:space="preserve">ón de personal de </w:t>
      </w:r>
      <w:r w:rsidR="0023565F" w:rsidRPr="00F85253">
        <w:rPr>
          <w:rFonts w:ascii="Arial" w:hAnsi="Arial" w:cs="Arial"/>
          <w:sz w:val="22"/>
          <w:szCs w:val="22"/>
          <w:lang w:val="es-ES_tradnl"/>
        </w:rPr>
        <w:t>EEPP</w:t>
      </w:r>
      <w:r w:rsidR="00011F6D" w:rsidRPr="00F85253">
        <w:rPr>
          <w:rFonts w:ascii="Arial" w:hAnsi="Arial" w:cs="Arial"/>
          <w:sz w:val="22"/>
          <w:szCs w:val="22"/>
          <w:lang w:val="es-ES_tradnl"/>
        </w:rPr>
        <w:t xml:space="preserve">, que representa el 57% de los costos económicos </w:t>
      </w:r>
      <w:r w:rsidR="00593C41" w:rsidRPr="00F85253">
        <w:rPr>
          <w:rFonts w:ascii="Arial" w:hAnsi="Arial" w:cs="Arial"/>
          <w:sz w:val="22"/>
          <w:szCs w:val="22"/>
          <w:lang w:val="es-ES_tradnl"/>
        </w:rPr>
        <w:t xml:space="preserve">de capital </w:t>
      </w:r>
      <w:r w:rsidR="00011F6D" w:rsidRPr="00F85253">
        <w:rPr>
          <w:rFonts w:ascii="Arial" w:hAnsi="Arial" w:cs="Arial"/>
          <w:sz w:val="22"/>
          <w:szCs w:val="22"/>
          <w:lang w:val="es-ES_tradnl"/>
        </w:rPr>
        <w:t>del programa. Seguido</w:t>
      </w:r>
      <w:r w:rsidR="00593C41" w:rsidRPr="00F85253">
        <w:rPr>
          <w:rFonts w:ascii="Arial" w:hAnsi="Arial" w:cs="Arial"/>
          <w:sz w:val="22"/>
          <w:szCs w:val="22"/>
          <w:lang w:val="es-ES_tradnl"/>
        </w:rPr>
        <w:t>,</w:t>
      </w:r>
      <w:r w:rsidR="00011F6D" w:rsidRPr="00F85253">
        <w:rPr>
          <w:rFonts w:ascii="Arial" w:hAnsi="Arial" w:cs="Arial"/>
          <w:sz w:val="22"/>
          <w:szCs w:val="22"/>
          <w:lang w:val="es-ES_tradnl"/>
        </w:rPr>
        <w:t xml:space="preserve"> se encuentra el monto </w:t>
      </w:r>
      <w:r w:rsidR="00F46E60" w:rsidRPr="00F85253">
        <w:rPr>
          <w:rFonts w:ascii="Arial" w:hAnsi="Arial" w:cs="Arial"/>
          <w:sz w:val="22"/>
          <w:szCs w:val="22"/>
          <w:lang w:val="es-ES_tradnl"/>
        </w:rPr>
        <w:t>dirigido a</w:t>
      </w:r>
      <w:r w:rsidR="00011F6D" w:rsidRPr="00F85253">
        <w:rPr>
          <w:rFonts w:ascii="Arial" w:hAnsi="Arial" w:cs="Arial"/>
          <w:sz w:val="22"/>
          <w:szCs w:val="22"/>
          <w:lang w:val="es-ES_tradnl"/>
        </w:rPr>
        <w:t xml:space="preserve"> la optimización de la cartera de </w:t>
      </w:r>
      <w:r w:rsidR="008A5C1A" w:rsidRPr="00F85253">
        <w:rPr>
          <w:rFonts w:ascii="Arial" w:hAnsi="Arial" w:cs="Arial"/>
          <w:sz w:val="22"/>
          <w:szCs w:val="22"/>
          <w:lang w:val="es-ES_tradnl"/>
        </w:rPr>
        <w:t>EEPP</w:t>
      </w:r>
      <w:r w:rsidR="00011F6D" w:rsidRPr="00F85253">
        <w:rPr>
          <w:rFonts w:ascii="Arial" w:hAnsi="Arial" w:cs="Arial"/>
          <w:sz w:val="22"/>
          <w:szCs w:val="22"/>
          <w:lang w:val="es-ES_tradnl"/>
        </w:rPr>
        <w:t xml:space="preserve"> (exceptuando las desvinculaciones) con una participación del 33%.</w:t>
      </w:r>
      <w:r w:rsidR="00580783" w:rsidRPr="00F85253">
        <w:rPr>
          <w:rFonts w:ascii="Arial" w:hAnsi="Arial" w:cs="Arial"/>
          <w:sz w:val="22"/>
          <w:szCs w:val="22"/>
          <w:lang w:val="es-ES_tradnl"/>
        </w:rPr>
        <w:t xml:space="preserve"> </w:t>
      </w:r>
      <w:r w:rsidR="0047440F" w:rsidRPr="00F85253">
        <w:rPr>
          <w:rFonts w:ascii="Arial" w:hAnsi="Arial" w:cs="Arial"/>
          <w:sz w:val="22"/>
          <w:szCs w:val="22"/>
          <w:lang w:val="es-ES_tradnl"/>
        </w:rPr>
        <w:t xml:space="preserve">De manera conjunta, el monto para el Fortalecimiento del Marco de Gobernanza Corporativa y la Administración del programa alcanzan el </w:t>
      </w:r>
      <w:r w:rsidR="00593C41" w:rsidRPr="00F85253">
        <w:rPr>
          <w:rFonts w:ascii="Arial" w:hAnsi="Arial" w:cs="Arial"/>
          <w:sz w:val="22"/>
          <w:szCs w:val="22"/>
          <w:lang w:val="es-ES_tradnl"/>
        </w:rPr>
        <w:t>9</w:t>
      </w:r>
      <w:r w:rsidR="0047440F" w:rsidRPr="00F85253">
        <w:rPr>
          <w:rFonts w:ascii="Arial" w:hAnsi="Arial" w:cs="Arial"/>
          <w:sz w:val="22"/>
          <w:szCs w:val="22"/>
          <w:lang w:val="es-ES_tradnl"/>
        </w:rPr>
        <w:t xml:space="preserve">%. </w:t>
      </w:r>
      <w:r w:rsidR="00580783" w:rsidRPr="00F85253">
        <w:rPr>
          <w:rFonts w:ascii="Arial" w:hAnsi="Arial" w:cs="Arial"/>
          <w:sz w:val="22"/>
          <w:szCs w:val="22"/>
          <w:lang w:val="es-ES_tradnl"/>
        </w:rPr>
        <w:t xml:space="preserve">El cuadro </w:t>
      </w:r>
      <w:r w:rsidR="00011F6D" w:rsidRPr="00F85253">
        <w:rPr>
          <w:rFonts w:ascii="Arial" w:hAnsi="Arial" w:cs="Arial"/>
          <w:sz w:val="22"/>
          <w:szCs w:val="22"/>
          <w:lang w:val="es-ES_tradnl"/>
        </w:rPr>
        <w:t>2</w:t>
      </w:r>
      <w:r w:rsidR="00580783" w:rsidRPr="00F85253">
        <w:rPr>
          <w:rFonts w:ascii="Arial" w:hAnsi="Arial" w:cs="Arial"/>
          <w:sz w:val="22"/>
          <w:szCs w:val="22"/>
          <w:lang w:val="es-ES_tradnl"/>
        </w:rPr>
        <w:t xml:space="preserve"> presenta los detalles de los </w:t>
      </w:r>
      <w:r w:rsidR="00A21C0F" w:rsidRPr="00F85253">
        <w:rPr>
          <w:rFonts w:ascii="Arial" w:hAnsi="Arial" w:cs="Arial"/>
          <w:sz w:val="22"/>
          <w:szCs w:val="22"/>
          <w:lang w:val="es-ES_tradnl"/>
        </w:rPr>
        <w:t>gastos de inversión</w:t>
      </w:r>
      <w:r w:rsidR="00580783" w:rsidRPr="00F85253">
        <w:rPr>
          <w:rFonts w:ascii="Arial" w:hAnsi="Arial" w:cs="Arial"/>
          <w:sz w:val="22"/>
          <w:szCs w:val="22"/>
          <w:lang w:val="es-ES_tradnl"/>
        </w:rPr>
        <w:t xml:space="preserve">. </w:t>
      </w:r>
      <w:r w:rsidR="000A63D9" w:rsidRPr="00F85253">
        <w:rPr>
          <w:rFonts w:ascii="Arial" w:hAnsi="Arial" w:cs="Arial"/>
          <w:sz w:val="22"/>
          <w:szCs w:val="22"/>
          <w:lang w:val="es-ES_tradnl"/>
        </w:rPr>
        <w:t xml:space="preserve"> </w:t>
      </w:r>
    </w:p>
    <w:p w14:paraId="59363EC3" w14:textId="77777777" w:rsidR="00011F6D" w:rsidRPr="00F85253" w:rsidRDefault="00011F6D" w:rsidP="00011F6D">
      <w:pPr>
        <w:pStyle w:val="Paragraph"/>
        <w:spacing w:before="0" w:after="0" w:line="276" w:lineRule="auto"/>
        <w:ind w:left="540"/>
        <w:outlineLvl w:val="9"/>
        <w:rPr>
          <w:rFonts w:ascii="Arial" w:hAnsi="Arial" w:cs="Arial"/>
          <w:sz w:val="22"/>
          <w:szCs w:val="22"/>
          <w:lang w:val="es-ES_tradnl"/>
        </w:rPr>
      </w:pPr>
    </w:p>
    <w:p w14:paraId="13A21572" w14:textId="77777777" w:rsidR="008D1244" w:rsidRPr="00F85253" w:rsidRDefault="008D1244" w:rsidP="00011F6D">
      <w:pPr>
        <w:pStyle w:val="Paragraph"/>
        <w:spacing w:before="0" w:after="0" w:line="276" w:lineRule="auto"/>
        <w:ind w:left="540"/>
        <w:outlineLvl w:val="9"/>
        <w:rPr>
          <w:rFonts w:ascii="Arial" w:hAnsi="Arial" w:cs="Arial"/>
          <w:sz w:val="22"/>
          <w:szCs w:val="22"/>
          <w:lang w:val="es-ES_tradnl"/>
        </w:rPr>
      </w:pPr>
    </w:p>
    <w:tbl>
      <w:tblPr>
        <w:tblW w:w="7308" w:type="dxa"/>
        <w:jc w:val="center"/>
        <w:tblCellMar>
          <w:left w:w="70" w:type="dxa"/>
          <w:right w:w="70" w:type="dxa"/>
        </w:tblCellMar>
        <w:tblLook w:val="04A0" w:firstRow="1" w:lastRow="0" w:firstColumn="1" w:lastColumn="0" w:noHBand="0" w:noVBand="1"/>
      </w:tblPr>
      <w:tblGrid>
        <w:gridCol w:w="5246"/>
        <w:gridCol w:w="2062"/>
      </w:tblGrid>
      <w:tr w:rsidR="004A5CE0" w:rsidRPr="00F85253" w14:paraId="59E12E51" w14:textId="77777777" w:rsidTr="004A5CE0">
        <w:trPr>
          <w:trHeight w:val="300"/>
          <w:jc w:val="center"/>
        </w:trPr>
        <w:tc>
          <w:tcPr>
            <w:tcW w:w="7308" w:type="dxa"/>
            <w:gridSpan w:val="2"/>
            <w:tcBorders>
              <w:top w:val="single" w:sz="4" w:space="0" w:color="auto"/>
              <w:left w:val="single" w:sz="4" w:space="0" w:color="auto"/>
              <w:bottom w:val="single" w:sz="4" w:space="0" w:color="auto"/>
              <w:right w:val="single" w:sz="4" w:space="0" w:color="auto"/>
            </w:tcBorders>
            <w:shd w:val="clear" w:color="000000" w:fill="F2F2F2"/>
            <w:vAlign w:val="center"/>
            <w:hideMark/>
          </w:tcPr>
          <w:p w14:paraId="1A987353" w14:textId="77777777" w:rsidR="004A5CE0" w:rsidRPr="00F85253" w:rsidRDefault="004A5CE0" w:rsidP="004A5CE0">
            <w:pPr>
              <w:spacing w:after="0" w:line="240" w:lineRule="auto"/>
              <w:jc w:val="both"/>
              <w:rPr>
                <w:rFonts w:ascii="Arial" w:eastAsia="Times New Roman" w:hAnsi="Arial" w:cs="Arial"/>
                <w:b/>
                <w:bCs/>
                <w:color w:val="000000"/>
                <w:sz w:val="20"/>
                <w:szCs w:val="20"/>
                <w:lang w:val="es-EC" w:eastAsia="es-EC"/>
              </w:rPr>
            </w:pPr>
            <w:r w:rsidRPr="00F85253">
              <w:rPr>
                <w:rFonts w:ascii="Arial" w:eastAsia="Times New Roman" w:hAnsi="Arial" w:cs="Arial"/>
                <w:b/>
                <w:bCs/>
                <w:color w:val="000000"/>
                <w:sz w:val="20"/>
                <w:szCs w:val="20"/>
                <w:lang w:val="es-EC" w:eastAsia="es-EC"/>
              </w:rPr>
              <w:t xml:space="preserve">Cuadro 2. Costos económicos del proyecto en precios de mercado </w:t>
            </w:r>
          </w:p>
          <w:p w14:paraId="32DCC0E7" w14:textId="658CE681" w:rsidR="004A5CE0" w:rsidRPr="00F85253" w:rsidRDefault="004A5CE0" w:rsidP="004A5CE0">
            <w:pPr>
              <w:spacing w:after="0" w:line="240" w:lineRule="auto"/>
              <w:jc w:val="both"/>
              <w:rPr>
                <w:rFonts w:ascii="Arial" w:eastAsia="Times New Roman" w:hAnsi="Arial" w:cs="Arial"/>
                <w:b/>
                <w:bCs/>
                <w:color w:val="000000"/>
                <w:sz w:val="20"/>
                <w:szCs w:val="20"/>
                <w:lang w:val="es-EC" w:eastAsia="es-EC"/>
              </w:rPr>
            </w:pPr>
            <w:r w:rsidRPr="00F85253">
              <w:rPr>
                <w:rFonts w:ascii="Arial" w:eastAsia="Times New Roman" w:hAnsi="Arial" w:cs="Arial"/>
                <w:b/>
                <w:bCs/>
                <w:color w:val="000000"/>
                <w:sz w:val="20"/>
                <w:szCs w:val="20"/>
                <w:lang w:val="es-EC" w:eastAsia="es-EC"/>
              </w:rPr>
              <w:t>(en millones de dólares)</w:t>
            </w:r>
          </w:p>
        </w:tc>
      </w:tr>
      <w:tr w:rsidR="004A5CE0" w:rsidRPr="00F85253" w14:paraId="787968D6" w14:textId="77777777" w:rsidTr="004A5CE0">
        <w:trPr>
          <w:trHeight w:val="300"/>
          <w:jc w:val="center"/>
        </w:trPr>
        <w:tc>
          <w:tcPr>
            <w:tcW w:w="5246" w:type="dxa"/>
            <w:tcBorders>
              <w:top w:val="nil"/>
              <w:left w:val="single" w:sz="4" w:space="0" w:color="auto"/>
              <w:bottom w:val="single" w:sz="4" w:space="0" w:color="auto"/>
              <w:right w:val="single" w:sz="4" w:space="0" w:color="auto"/>
            </w:tcBorders>
            <w:shd w:val="clear" w:color="000000" w:fill="F2F2F2"/>
            <w:noWrap/>
            <w:vAlign w:val="bottom"/>
            <w:hideMark/>
          </w:tcPr>
          <w:p w14:paraId="2EBAAF72" w14:textId="77777777" w:rsidR="004A5CE0" w:rsidRPr="00F85253" w:rsidRDefault="004A5CE0" w:rsidP="004A5CE0">
            <w:pPr>
              <w:spacing w:after="0" w:line="240" w:lineRule="auto"/>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Categoría</w:t>
            </w:r>
          </w:p>
        </w:tc>
        <w:tc>
          <w:tcPr>
            <w:tcW w:w="2062" w:type="dxa"/>
            <w:tcBorders>
              <w:top w:val="nil"/>
              <w:left w:val="nil"/>
              <w:bottom w:val="single" w:sz="4" w:space="0" w:color="auto"/>
              <w:right w:val="single" w:sz="4" w:space="0" w:color="auto"/>
            </w:tcBorders>
            <w:shd w:val="clear" w:color="000000" w:fill="F2F2F2"/>
            <w:noWrap/>
            <w:vAlign w:val="bottom"/>
            <w:hideMark/>
          </w:tcPr>
          <w:p w14:paraId="4AE96FF8" w14:textId="77777777" w:rsidR="004A5CE0" w:rsidRPr="00F85253" w:rsidRDefault="004A5CE0" w:rsidP="004A5CE0">
            <w:pPr>
              <w:spacing w:after="0" w:line="240" w:lineRule="auto"/>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Precio de mercado</w:t>
            </w:r>
          </w:p>
        </w:tc>
      </w:tr>
      <w:tr w:rsidR="004A5CE0" w:rsidRPr="00F85253" w14:paraId="6BB56699" w14:textId="77777777" w:rsidTr="004A5CE0">
        <w:trPr>
          <w:trHeight w:val="300"/>
          <w:jc w:val="center"/>
        </w:trPr>
        <w:tc>
          <w:tcPr>
            <w:tcW w:w="5246" w:type="dxa"/>
            <w:tcBorders>
              <w:top w:val="nil"/>
              <w:left w:val="single" w:sz="4" w:space="0" w:color="auto"/>
              <w:bottom w:val="single" w:sz="4" w:space="0" w:color="auto"/>
              <w:right w:val="single" w:sz="4" w:space="0" w:color="auto"/>
            </w:tcBorders>
            <w:shd w:val="clear" w:color="000000" w:fill="FFFFFF"/>
            <w:noWrap/>
            <w:vAlign w:val="bottom"/>
            <w:hideMark/>
          </w:tcPr>
          <w:p w14:paraId="64B7E196" w14:textId="5B0F6E7E" w:rsidR="004A5CE0" w:rsidRPr="00F85253" w:rsidRDefault="004A5CE0" w:rsidP="00A77281">
            <w:pPr>
              <w:spacing w:after="0" w:line="240" w:lineRule="auto"/>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Optimización cartera EEPP (excepto desvinculaciones*)</w:t>
            </w:r>
          </w:p>
        </w:tc>
        <w:tc>
          <w:tcPr>
            <w:tcW w:w="2062" w:type="dxa"/>
            <w:tcBorders>
              <w:top w:val="nil"/>
              <w:left w:val="nil"/>
              <w:bottom w:val="single" w:sz="4" w:space="0" w:color="auto"/>
              <w:right w:val="single" w:sz="4" w:space="0" w:color="auto"/>
            </w:tcBorders>
            <w:shd w:val="clear" w:color="000000" w:fill="FFFFFF"/>
            <w:noWrap/>
            <w:vAlign w:val="bottom"/>
            <w:hideMark/>
          </w:tcPr>
          <w:p w14:paraId="7D561D77" w14:textId="77777777" w:rsidR="004A5CE0" w:rsidRPr="00F85253" w:rsidRDefault="004A5CE0" w:rsidP="004A5CE0">
            <w:pPr>
              <w:spacing w:after="0" w:line="240" w:lineRule="auto"/>
              <w:jc w:val="right"/>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 xml:space="preserve">         24.82 </w:t>
            </w:r>
          </w:p>
        </w:tc>
      </w:tr>
      <w:tr w:rsidR="004A5CE0" w:rsidRPr="00F85253" w14:paraId="137CD1BE" w14:textId="77777777" w:rsidTr="004A5CE0">
        <w:trPr>
          <w:trHeight w:val="300"/>
          <w:jc w:val="center"/>
        </w:trPr>
        <w:tc>
          <w:tcPr>
            <w:tcW w:w="5246" w:type="dxa"/>
            <w:tcBorders>
              <w:top w:val="nil"/>
              <w:left w:val="single" w:sz="4" w:space="0" w:color="auto"/>
              <w:bottom w:val="single" w:sz="4" w:space="0" w:color="auto"/>
              <w:right w:val="single" w:sz="4" w:space="0" w:color="auto"/>
            </w:tcBorders>
            <w:shd w:val="clear" w:color="000000" w:fill="FFFFFF"/>
            <w:noWrap/>
            <w:vAlign w:val="bottom"/>
            <w:hideMark/>
          </w:tcPr>
          <w:p w14:paraId="292DEBE7" w14:textId="26FC5B69" w:rsidR="004A5CE0" w:rsidRPr="00F85253" w:rsidRDefault="00A77281" w:rsidP="00A77281">
            <w:pPr>
              <w:spacing w:after="0" w:line="240" w:lineRule="auto"/>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Optimización cartera EE</w:t>
            </w:r>
            <w:r w:rsidR="004A5CE0" w:rsidRPr="00F85253">
              <w:rPr>
                <w:rFonts w:ascii="Arial" w:eastAsia="Times New Roman" w:hAnsi="Arial" w:cs="Arial"/>
                <w:color w:val="000000"/>
                <w:sz w:val="20"/>
                <w:szCs w:val="20"/>
                <w:lang w:val="es-EC" w:eastAsia="es-EC"/>
              </w:rPr>
              <w:t>PP (desvinculaciones)</w:t>
            </w:r>
          </w:p>
        </w:tc>
        <w:tc>
          <w:tcPr>
            <w:tcW w:w="2062" w:type="dxa"/>
            <w:tcBorders>
              <w:top w:val="nil"/>
              <w:left w:val="nil"/>
              <w:bottom w:val="single" w:sz="4" w:space="0" w:color="auto"/>
              <w:right w:val="single" w:sz="4" w:space="0" w:color="auto"/>
            </w:tcBorders>
            <w:shd w:val="clear" w:color="000000" w:fill="FFFFFF"/>
            <w:noWrap/>
            <w:vAlign w:val="bottom"/>
            <w:hideMark/>
          </w:tcPr>
          <w:p w14:paraId="61BFBB2F" w14:textId="77777777" w:rsidR="004A5CE0" w:rsidRPr="00F85253" w:rsidRDefault="004A5CE0" w:rsidP="004A5CE0">
            <w:pPr>
              <w:spacing w:after="0" w:line="240" w:lineRule="auto"/>
              <w:jc w:val="right"/>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 xml:space="preserve">         43.00 </w:t>
            </w:r>
          </w:p>
        </w:tc>
      </w:tr>
      <w:tr w:rsidR="004A5CE0" w:rsidRPr="00F85253" w14:paraId="7F651949" w14:textId="77777777" w:rsidTr="004A5CE0">
        <w:trPr>
          <w:trHeight w:val="300"/>
          <w:jc w:val="center"/>
        </w:trPr>
        <w:tc>
          <w:tcPr>
            <w:tcW w:w="5246" w:type="dxa"/>
            <w:tcBorders>
              <w:top w:val="nil"/>
              <w:left w:val="single" w:sz="4" w:space="0" w:color="auto"/>
              <w:bottom w:val="single" w:sz="4" w:space="0" w:color="auto"/>
              <w:right w:val="single" w:sz="4" w:space="0" w:color="auto"/>
            </w:tcBorders>
            <w:shd w:val="clear" w:color="000000" w:fill="FFFFFF"/>
            <w:noWrap/>
            <w:vAlign w:val="bottom"/>
            <w:hideMark/>
          </w:tcPr>
          <w:p w14:paraId="36872D6E" w14:textId="77777777" w:rsidR="004A5CE0" w:rsidRPr="00F85253" w:rsidRDefault="004A5CE0" w:rsidP="004A5CE0">
            <w:pPr>
              <w:spacing w:after="0" w:line="240" w:lineRule="auto"/>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Fortalecimiento del Marco de Gobernanza Corporativa</w:t>
            </w:r>
          </w:p>
        </w:tc>
        <w:tc>
          <w:tcPr>
            <w:tcW w:w="2062" w:type="dxa"/>
            <w:tcBorders>
              <w:top w:val="nil"/>
              <w:left w:val="nil"/>
              <w:bottom w:val="single" w:sz="4" w:space="0" w:color="auto"/>
              <w:right w:val="single" w:sz="4" w:space="0" w:color="auto"/>
            </w:tcBorders>
            <w:shd w:val="clear" w:color="000000" w:fill="FFFFFF"/>
            <w:noWrap/>
            <w:vAlign w:val="bottom"/>
            <w:hideMark/>
          </w:tcPr>
          <w:p w14:paraId="7AE6B2C5" w14:textId="77777777" w:rsidR="004A5CE0" w:rsidRPr="00F85253" w:rsidRDefault="004A5CE0" w:rsidP="004A5CE0">
            <w:pPr>
              <w:spacing w:after="0" w:line="240" w:lineRule="auto"/>
              <w:jc w:val="right"/>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 xml:space="preserve">           4.11 </w:t>
            </w:r>
          </w:p>
        </w:tc>
      </w:tr>
      <w:tr w:rsidR="004A5CE0" w:rsidRPr="00F85253" w14:paraId="0CB35F62" w14:textId="77777777" w:rsidTr="004A5CE0">
        <w:trPr>
          <w:trHeight w:val="300"/>
          <w:jc w:val="center"/>
        </w:trPr>
        <w:tc>
          <w:tcPr>
            <w:tcW w:w="5246" w:type="dxa"/>
            <w:tcBorders>
              <w:top w:val="nil"/>
              <w:left w:val="single" w:sz="4" w:space="0" w:color="auto"/>
              <w:bottom w:val="single" w:sz="4" w:space="0" w:color="auto"/>
              <w:right w:val="single" w:sz="4" w:space="0" w:color="auto"/>
            </w:tcBorders>
            <w:shd w:val="clear" w:color="000000" w:fill="FFFFFF"/>
            <w:noWrap/>
            <w:vAlign w:val="bottom"/>
            <w:hideMark/>
          </w:tcPr>
          <w:p w14:paraId="6488111C" w14:textId="1CC0290D" w:rsidR="004A5CE0" w:rsidRPr="00F85253" w:rsidRDefault="004A5CE0" w:rsidP="004A5CE0">
            <w:pPr>
              <w:spacing w:after="0" w:line="240" w:lineRule="auto"/>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Administración del programa</w:t>
            </w:r>
          </w:p>
        </w:tc>
        <w:tc>
          <w:tcPr>
            <w:tcW w:w="2062" w:type="dxa"/>
            <w:tcBorders>
              <w:top w:val="nil"/>
              <w:left w:val="nil"/>
              <w:bottom w:val="single" w:sz="4" w:space="0" w:color="auto"/>
              <w:right w:val="single" w:sz="4" w:space="0" w:color="auto"/>
            </w:tcBorders>
            <w:shd w:val="clear" w:color="000000" w:fill="FFFFFF"/>
            <w:noWrap/>
            <w:vAlign w:val="bottom"/>
            <w:hideMark/>
          </w:tcPr>
          <w:p w14:paraId="5305484C" w14:textId="77777777" w:rsidR="004A5CE0" w:rsidRPr="00F85253" w:rsidRDefault="004A5CE0" w:rsidP="004A5CE0">
            <w:pPr>
              <w:spacing w:after="0" w:line="240" w:lineRule="auto"/>
              <w:jc w:val="right"/>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 xml:space="preserve">           3.07 </w:t>
            </w:r>
          </w:p>
        </w:tc>
      </w:tr>
      <w:tr w:rsidR="004A5CE0" w:rsidRPr="00F85253" w14:paraId="3393AE6C" w14:textId="77777777" w:rsidTr="004A5CE0">
        <w:trPr>
          <w:trHeight w:val="300"/>
          <w:jc w:val="center"/>
        </w:trPr>
        <w:tc>
          <w:tcPr>
            <w:tcW w:w="5246" w:type="dxa"/>
            <w:tcBorders>
              <w:top w:val="nil"/>
              <w:left w:val="single" w:sz="4" w:space="0" w:color="auto"/>
              <w:bottom w:val="single" w:sz="4" w:space="0" w:color="auto"/>
              <w:right w:val="single" w:sz="4" w:space="0" w:color="auto"/>
            </w:tcBorders>
            <w:shd w:val="clear" w:color="000000" w:fill="F2F2F2"/>
            <w:noWrap/>
            <w:vAlign w:val="bottom"/>
            <w:hideMark/>
          </w:tcPr>
          <w:p w14:paraId="585EE8EC" w14:textId="77777777" w:rsidR="004A5CE0" w:rsidRPr="00F85253" w:rsidRDefault="004A5CE0" w:rsidP="004A5CE0">
            <w:pPr>
              <w:spacing w:after="0" w:line="240" w:lineRule="auto"/>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Total</w:t>
            </w:r>
          </w:p>
        </w:tc>
        <w:tc>
          <w:tcPr>
            <w:tcW w:w="2062" w:type="dxa"/>
            <w:tcBorders>
              <w:top w:val="nil"/>
              <w:left w:val="nil"/>
              <w:bottom w:val="single" w:sz="4" w:space="0" w:color="auto"/>
              <w:right w:val="single" w:sz="4" w:space="0" w:color="auto"/>
            </w:tcBorders>
            <w:shd w:val="clear" w:color="000000" w:fill="F2F2F2"/>
            <w:noWrap/>
            <w:vAlign w:val="bottom"/>
            <w:hideMark/>
          </w:tcPr>
          <w:p w14:paraId="4C1A9A06" w14:textId="77777777" w:rsidR="004A5CE0" w:rsidRPr="00F85253" w:rsidRDefault="004A5CE0" w:rsidP="004A5CE0">
            <w:pPr>
              <w:spacing w:after="0" w:line="240" w:lineRule="auto"/>
              <w:jc w:val="right"/>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 xml:space="preserve">         75.00 </w:t>
            </w:r>
          </w:p>
        </w:tc>
      </w:tr>
    </w:tbl>
    <w:p w14:paraId="4841524D" w14:textId="450CE420" w:rsidR="0083722C" w:rsidRPr="00F85253" w:rsidRDefault="004A5CE0" w:rsidP="004A5CE0">
      <w:pPr>
        <w:pStyle w:val="Paragraph"/>
        <w:spacing w:before="0" w:after="0" w:line="276" w:lineRule="auto"/>
        <w:ind w:left="1005"/>
        <w:outlineLvl w:val="9"/>
        <w:rPr>
          <w:rFonts w:ascii="Arial" w:eastAsia="Times New Roman" w:hAnsi="Arial" w:cs="Arial"/>
          <w:i/>
          <w:iCs/>
          <w:color w:val="000000"/>
          <w:sz w:val="18"/>
          <w:szCs w:val="20"/>
          <w:lang w:val="es-EC" w:eastAsia="es-EC"/>
        </w:rPr>
      </w:pPr>
      <w:r w:rsidRPr="00F85253">
        <w:rPr>
          <w:rFonts w:ascii="Arial" w:eastAsia="Times New Roman" w:hAnsi="Arial" w:cs="Arial"/>
          <w:i/>
          <w:iCs/>
          <w:color w:val="000000"/>
          <w:sz w:val="18"/>
          <w:szCs w:val="20"/>
          <w:lang w:val="es-EC" w:eastAsia="es-EC"/>
        </w:rPr>
        <w:t>* Considera la fusión de las petroleras, la optimización de CELEC, CNEL, consultorías TAME y     estrategia de comunicación</w:t>
      </w:r>
    </w:p>
    <w:p w14:paraId="6973DB45" w14:textId="77777777" w:rsidR="004A5CE0" w:rsidRPr="00F85253" w:rsidRDefault="004A5CE0" w:rsidP="004A5CE0">
      <w:pPr>
        <w:pStyle w:val="Paragraph"/>
        <w:spacing w:before="0" w:after="0" w:line="276" w:lineRule="auto"/>
        <w:ind w:left="1005"/>
        <w:outlineLvl w:val="9"/>
        <w:rPr>
          <w:rFonts w:ascii="Arial" w:hAnsi="Arial" w:cs="Arial"/>
          <w:sz w:val="22"/>
          <w:szCs w:val="22"/>
          <w:lang w:val="es-EC"/>
        </w:rPr>
      </w:pPr>
    </w:p>
    <w:p w14:paraId="4C1D6ACA" w14:textId="77777777" w:rsidR="008D1244" w:rsidRPr="00F85253" w:rsidRDefault="008D1244" w:rsidP="004A5CE0">
      <w:pPr>
        <w:pStyle w:val="Paragraph"/>
        <w:spacing w:before="0" w:after="0" w:line="276" w:lineRule="auto"/>
        <w:ind w:left="1005"/>
        <w:outlineLvl w:val="9"/>
        <w:rPr>
          <w:rFonts w:ascii="Arial" w:hAnsi="Arial" w:cs="Arial"/>
          <w:sz w:val="22"/>
          <w:szCs w:val="22"/>
          <w:lang w:val="es-EC"/>
        </w:rPr>
      </w:pPr>
    </w:p>
    <w:p w14:paraId="0CFF342F" w14:textId="718D7479" w:rsidR="00BE501B" w:rsidRPr="00F85253" w:rsidRDefault="00E00111" w:rsidP="00F46905">
      <w:pPr>
        <w:pStyle w:val="Paragraph"/>
        <w:numPr>
          <w:ilvl w:val="1"/>
          <w:numId w:val="3"/>
        </w:numPr>
        <w:spacing w:before="0" w:after="0" w:line="276" w:lineRule="auto"/>
        <w:ind w:left="540" w:hanging="540"/>
        <w:outlineLvl w:val="9"/>
        <w:rPr>
          <w:rFonts w:ascii="Arial" w:hAnsi="Arial" w:cs="Arial"/>
          <w:sz w:val="22"/>
          <w:szCs w:val="22"/>
          <w:lang w:val="es-ES_tradnl"/>
        </w:rPr>
      </w:pPr>
      <w:r w:rsidRPr="00F85253">
        <w:rPr>
          <w:rFonts w:ascii="Arial" w:hAnsi="Arial" w:cs="Arial"/>
          <w:sz w:val="22"/>
          <w:szCs w:val="22"/>
          <w:lang w:val="es-ES_tradnl"/>
        </w:rPr>
        <w:t>Con el objetivo de</w:t>
      </w:r>
      <w:r w:rsidR="007E781F" w:rsidRPr="00F85253">
        <w:rPr>
          <w:rFonts w:ascii="Arial" w:hAnsi="Arial" w:cs="Arial"/>
          <w:sz w:val="22"/>
          <w:szCs w:val="22"/>
          <w:lang w:val="es-ES_tradnl"/>
        </w:rPr>
        <w:t xml:space="preserve"> convertir los costos </w:t>
      </w:r>
      <w:r w:rsidRPr="00F85253">
        <w:rPr>
          <w:rFonts w:ascii="Arial" w:hAnsi="Arial" w:cs="Arial"/>
          <w:sz w:val="22"/>
          <w:szCs w:val="22"/>
          <w:lang w:val="es-ES_tradnl"/>
        </w:rPr>
        <w:t>económicos</w:t>
      </w:r>
      <w:r w:rsidR="00512552" w:rsidRPr="00F85253">
        <w:rPr>
          <w:rFonts w:ascii="Arial" w:hAnsi="Arial" w:cs="Arial"/>
          <w:sz w:val="22"/>
          <w:szCs w:val="22"/>
          <w:lang w:val="es-ES_tradnl"/>
        </w:rPr>
        <w:t>, expresados</w:t>
      </w:r>
      <w:r w:rsidR="00DC773A" w:rsidRPr="00F85253">
        <w:rPr>
          <w:rFonts w:ascii="Arial" w:hAnsi="Arial" w:cs="Arial"/>
          <w:sz w:val="22"/>
          <w:szCs w:val="22"/>
          <w:lang w:val="es-ES_tradnl"/>
        </w:rPr>
        <w:t xml:space="preserve"> </w:t>
      </w:r>
      <w:r w:rsidR="00512552" w:rsidRPr="00F85253">
        <w:rPr>
          <w:rFonts w:ascii="Arial" w:hAnsi="Arial" w:cs="Arial"/>
          <w:sz w:val="22"/>
          <w:szCs w:val="22"/>
          <w:lang w:val="es-ES_tradnl"/>
        </w:rPr>
        <w:t xml:space="preserve">en </w:t>
      </w:r>
      <w:r w:rsidR="00DC773A" w:rsidRPr="00F85253">
        <w:rPr>
          <w:rFonts w:ascii="Arial" w:hAnsi="Arial" w:cs="Arial"/>
          <w:sz w:val="22"/>
          <w:szCs w:val="22"/>
          <w:lang w:val="es-ES_tradnl"/>
        </w:rPr>
        <w:t>precio de mercado</w:t>
      </w:r>
      <w:r w:rsidR="00512552" w:rsidRPr="00F85253">
        <w:rPr>
          <w:rFonts w:ascii="Arial" w:hAnsi="Arial" w:cs="Arial"/>
          <w:sz w:val="22"/>
          <w:szCs w:val="22"/>
          <w:lang w:val="es-ES_tradnl"/>
        </w:rPr>
        <w:t xml:space="preserve">, a </w:t>
      </w:r>
      <w:r w:rsidR="007E781F" w:rsidRPr="00F85253">
        <w:rPr>
          <w:rFonts w:ascii="Arial" w:hAnsi="Arial" w:cs="Arial"/>
          <w:sz w:val="22"/>
          <w:szCs w:val="22"/>
          <w:lang w:val="es-ES_tradnl"/>
        </w:rPr>
        <w:t xml:space="preserve">precios </w:t>
      </w:r>
      <w:r w:rsidRPr="00F85253">
        <w:rPr>
          <w:rFonts w:ascii="Arial" w:hAnsi="Arial" w:cs="Arial"/>
          <w:sz w:val="22"/>
          <w:szCs w:val="22"/>
          <w:lang w:val="es-ES_tradnl"/>
        </w:rPr>
        <w:t>de eficiencia</w:t>
      </w:r>
      <w:r w:rsidR="00DC773A" w:rsidRPr="00F85253">
        <w:rPr>
          <w:rFonts w:ascii="Arial" w:hAnsi="Arial" w:cs="Arial"/>
          <w:sz w:val="22"/>
          <w:szCs w:val="22"/>
          <w:lang w:val="es-ES_tradnl"/>
        </w:rPr>
        <w:t>, se realiza</w:t>
      </w:r>
      <w:r w:rsidR="007E781F" w:rsidRPr="00F85253">
        <w:rPr>
          <w:rFonts w:ascii="Arial" w:hAnsi="Arial" w:cs="Arial"/>
          <w:sz w:val="22"/>
          <w:szCs w:val="22"/>
          <w:lang w:val="es-ES_tradnl"/>
        </w:rPr>
        <w:t xml:space="preserve"> una desagregación de los costos</w:t>
      </w:r>
      <w:r w:rsidR="00512552" w:rsidRPr="00F85253">
        <w:rPr>
          <w:rFonts w:ascii="Arial" w:hAnsi="Arial" w:cs="Arial"/>
          <w:sz w:val="22"/>
          <w:szCs w:val="22"/>
          <w:lang w:val="es-ES_tradnl"/>
        </w:rPr>
        <w:t xml:space="preserve"> en función del tipo de mano de obra utilizada</w:t>
      </w:r>
      <w:r w:rsidR="00DC773A" w:rsidRPr="00F85253">
        <w:rPr>
          <w:rFonts w:ascii="Arial" w:hAnsi="Arial" w:cs="Arial"/>
          <w:sz w:val="22"/>
          <w:szCs w:val="22"/>
          <w:lang w:val="es-ES_tradnl"/>
        </w:rPr>
        <w:t>:</w:t>
      </w:r>
      <w:r w:rsidR="00512552" w:rsidRPr="00F85253">
        <w:rPr>
          <w:rFonts w:ascii="Arial" w:hAnsi="Arial" w:cs="Arial"/>
          <w:sz w:val="22"/>
          <w:szCs w:val="22"/>
          <w:lang w:val="es-ES_tradnl"/>
        </w:rPr>
        <w:t xml:space="preserve"> mano de obra</w:t>
      </w:r>
      <w:r w:rsidR="00DC773A" w:rsidRPr="00F85253">
        <w:rPr>
          <w:rFonts w:ascii="Arial" w:hAnsi="Arial" w:cs="Arial"/>
          <w:sz w:val="22"/>
          <w:szCs w:val="22"/>
          <w:lang w:val="es-ES_tradnl"/>
        </w:rPr>
        <w:t xml:space="preserve"> </w:t>
      </w:r>
      <w:r w:rsidR="007E781F" w:rsidRPr="00F85253">
        <w:rPr>
          <w:rFonts w:ascii="Arial" w:hAnsi="Arial" w:cs="Arial"/>
          <w:sz w:val="22"/>
          <w:szCs w:val="22"/>
          <w:lang w:val="es-ES_tradnl"/>
        </w:rPr>
        <w:t>calificada y no calificada</w:t>
      </w:r>
      <w:r w:rsidR="00ED3ADF" w:rsidRPr="00F85253">
        <w:rPr>
          <w:rFonts w:ascii="Arial" w:hAnsi="Arial" w:cs="Arial"/>
          <w:sz w:val="22"/>
          <w:szCs w:val="22"/>
          <w:lang w:val="es-ES_tradnl"/>
        </w:rPr>
        <w:t xml:space="preserve"> (sector privado o público)</w:t>
      </w:r>
      <w:r w:rsidR="007E781F" w:rsidRPr="00F85253">
        <w:rPr>
          <w:rFonts w:ascii="Arial" w:hAnsi="Arial" w:cs="Arial"/>
          <w:sz w:val="22"/>
          <w:szCs w:val="22"/>
          <w:lang w:val="es-ES_tradnl"/>
        </w:rPr>
        <w:t xml:space="preserve">. </w:t>
      </w:r>
    </w:p>
    <w:p w14:paraId="3581AB3E" w14:textId="77777777" w:rsidR="00D665D8" w:rsidRPr="00F85253" w:rsidRDefault="00D665D8" w:rsidP="000B2BC8">
      <w:pPr>
        <w:pStyle w:val="Paragraph"/>
        <w:spacing w:before="0" w:after="0" w:line="276" w:lineRule="auto"/>
        <w:ind w:left="540"/>
        <w:outlineLvl w:val="9"/>
        <w:rPr>
          <w:rFonts w:ascii="Arial" w:hAnsi="Arial" w:cs="Arial"/>
          <w:sz w:val="22"/>
          <w:szCs w:val="22"/>
          <w:lang w:val="es-ES_tradnl"/>
        </w:rPr>
      </w:pPr>
    </w:p>
    <w:p w14:paraId="4A933DE4" w14:textId="77777777" w:rsidR="000C12A9" w:rsidRPr="00F85253" w:rsidRDefault="000C12A9" w:rsidP="000C12A9">
      <w:pPr>
        <w:pStyle w:val="Paragraph"/>
        <w:numPr>
          <w:ilvl w:val="1"/>
          <w:numId w:val="3"/>
        </w:numPr>
        <w:spacing w:before="0" w:after="0" w:line="276" w:lineRule="auto"/>
        <w:ind w:left="540" w:hanging="540"/>
        <w:outlineLvl w:val="9"/>
        <w:rPr>
          <w:rFonts w:ascii="Arial" w:hAnsi="Arial" w:cs="Arial"/>
          <w:sz w:val="22"/>
          <w:szCs w:val="22"/>
          <w:lang w:val="es-ES_tradnl"/>
        </w:rPr>
      </w:pPr>
      <w:r w:rsidRPr="00F85253">
        <w:rPr>
          <w:rFonts w:ascii="Arial" w:hAnsi="Arial" w:cs="Arial"/>
          <w:sz w:val="22"/>
          <w:szCs w:val="22"/>
          <w:lang w:val="es-ES_tradnl"/>
        </w:rPr>
        <w:t xml:space="preserve">En vista de que los precios de mercado no reflejan el costo real de oportunidad de los recursos, a causa de la presencia de imperfecciones como impuestos (subsidios), poder de mercado (monopolios), entre otros, los precios de mercado deben corregirse haciendo uso de factores de conversión, que transforman el precio de mercado en </w:t>
      </w:r>
      <w:r w:rsidRPr="00F85253">
        <w:rPr>
          <w:rFonts w:ascii="Arial" w:hAnsi="Arial" w:cs="Arial"/>
          <w:sz w:val="22"/>
          <w:szCs w:val="22"/>
          <w:lang w:val="es-ES_tradnl"/>
        </w:rPr>
        <w:lastRenderedPageBreak/>
        <w:t>precio de eficiencia</w:t>
      </w:r>
      <w:r w:rsidRPr="00F85253">
        <w:rPr>
          <w:rStyle w:val="FootnoteReference"/>
          <w:rFonts w:ascii="Arial" w:hAnsi="Arial" w:cs="Arial"/>
          <w:sz w:val="22"/>
          <w:szCs w:val="22"/>
          <w:lang w:val="es-ES_tradnl"/>
        </w:rPr>
        <w:footnoteReference w:id="54"/>
      </w:r>
      <w:r w:rsidRPr="00F85253">
        <w:rPr>
          <w:rFonts w:ascii="Arial" w:hAnsi="Arial" w:cs="Arial"/>
          <w:sz w:val="22"/>
          <w:szCs w:val="22"/>
          <w:lang w:val="es-ES_tradnl"/>
        </w:rPr>
        <w:t>. Dicha conversión se realiza con los factores de conversión estándar, de mano de obra calificada, y de mano de obra no calif</w:t>
      </w:r>
      <w:r w:rsidR="00A7730C" w:rsidRPr="00F85253">
        <w:rPr>
          <w:rFonts w:ascii="Arial" w:hAnsi="Arial" w:cs="Arial"/>
          <w:sz w:val="22"/>
          <w:szCs w:val="22"/>
          <w:lang w:val="es-ES_tradnl"/>
        </w:rPr>
        <w:t>icada, expuestos a continuación.</w:t>
      </w:r>
    </w:p>
    <w:p w14:paraId="74156553" w14:textId="77777777" w:rsidR="00ED3ADF" w:rsidRPr="00F85253" w:rsidRDefault="00ED3ADF" w:rsidP="00ED3ADF">
      <w:pPr>
        <w:pStyle w:val="Paragraph"/>
        <w:spacing w:before="0" w:after="0" w:line="276" w:lineRule="auto"/>
        <w:outlineLvl w:val="9"/>
        <w:rPr>
          <w:rFonts w:ascii="Arial" w:hAnsi="Arial" w:cs="Arial"/>
          <w:sz w:val="22"/>
          <w:szCs w:val="22"/>
          <w:lang w:val="es-ES_tradnl"/>
        </w:rPr>
      </w:pPr>
    </w:p>
    <w:p w14:paraId="0DBA41E7" w14:textId="19B9AEA1" w:rsidR="000C12A9" w:rsidRPr="00F85253" w:rsidRDefault="000C12A9" w:rsidP="000C12A9">
      <w:pPr>
        <w:pStyle w:val="Paragraph"/>
        <w:numPr>
          <w:ilvl w:val="0"/>
          <w:numId w:val="4"/>
        </w:numPr>
        <w:spacing w:before="0" w:after="0" w:line="276" w:lineRule="auto"/>
        <w:ind w:left="900"/>
        <w:outlineLvl w:val="9"/>
        <w:rPr>
          <w:rFonts w:ascii="Arial" w:hAnsi="Arial" w:cs="Arial"/>
          <w:sz w:val="22"/>
          <w:szCs w:val="22"/>
          <w:lang w:val="es-ES_tradnl"/>
        </w:rPr>
      </w:pPr>
      <w:r w:rsidRPr="00F85253">
        <w:rPr>
          <w:rFonts w:ascii="Arial" w:hAnsi="Arial" w:cs="Arial"/>
          <w:spacing w:val="-1"/>
          <w:sz w:val="22"/>
          <w:szCs w:val="22"/>
          <w:u w:val="single" w:color="000000"/>
          <w:lang w:val="es-ES_tradnl"/>
        </w:rPr>
        <w:t>Factor</w:t>
      </w:r>
      <w:r w:rsidRPr="00F85253">
        <w:rPr>
          <w:rFonts w:ascii="Arial" w:hAnsi="Arial" w:cs="Arial"/>
          <w:spacing w:val="38"/>
          <w:sz w:val="22"/>
          <w:szCs w:val="22"/>
          <w:u w:val="single" w:color="000000"/>
          <w:lang w:val="es-ES_tradnl"/>
        </w:rPr>
        <w:t xml:space="preserve"> </w:t>
      </w:r>
      <w:r w:rsidRPr="00F85253">
        <w:rPr>
          <w:rFonts w:ascii="Arial" w:hAnsi="Arial" w:cs="Arial"/>
          <w:sz w:val="22"/>
          <w:szCs w:val="22"/>
          <w:u w:val="single" w:color="000000"/>
          <w:lang w:val="es-ES_tradnl"/>
        </w:rPr>
        <w:t>de</w:t>
      </w:r>
      <w:r w:rsidRPr="00F85253">
        <w:rPr>
          <w:rFonts w:ascii="Arial" w:hAnsi="Arial" w:cs="Arial"/>
          <w:spacing w:val="39"/>
          <w:sz w:val="22"/>
          <w:szCs w:val="22"/>
          <w:u w:val="single" w:color="000000"/>
          <w:lang w:val="es-ES_tradnl"/>
        </w:rPr>
        <w:t xml:space="preserve"> </w:t>
      </w:r>
      <w:r w:rsidRPr="00F85253">
        <w:rPr>
          <w:rFonts w:ascii="Arial" w:hAnsi="Arial" w:cs="Arial"/>
          <w:spacing w:val="-1"/>
          <w:sz w:val="22"/>
          <w:szCs w:val="22"/>
          <w:u w:val="single" w:color="000000"/>
          <w:lang w:val="es-ES_tradnl"/>
        </w:rPr>
        <w:t>conversión</w:t>
      </w:r>
      <w:r w:rsidRPr="00F85253">
        <w:rPr>
          <w:rFonts w:ascii="Arial" w:hAnsi="Arial" w:cs="Arial"/>
          <w:spacing w:val="39"/>
          <w:sz w:val="22"/>
          <w:szCs w:val="22"/>
          <w:u w:val="single" w:color="000000"/>
          <w:lang w:val="es-ES_tradnl"/>
        </w:rPr>
        <w:t xml:space="preserve"> </w:t>
      </w:r>
      <w:r w:rsidRPr="00F85253">
        <w:rPr>
          <w:rFonts w:ascii="Arial" w:hAnsi="Arial" w:cs="Arial"/>
          <w:spacing w:val="-1"/>
          <w:sz w:val="22"/>
          <w:szCs w:val="22"/>
          <w:u w:val="single" w:color="000000"/>
          <w:lang w:val="es-ES_tradnl"/>
        </w:rPr>
        <w:t>estándar</w:t>
      </w:r>
      <w:r w:rsidRPr="00F85253">
        <w:rPr>
          <w:rFonts w:ascii="Arial" w:hAnsi="Arial" w:cs="Arial"/>
          <w:spacing w:val="37"/>
          <w:sz w:val="22"/>
          <w:szCs w:val="22"/>
          <w:u w:val="single" w:color="000000"/>
          <w:lang w:val="es-ES_tradnl"/>
        </w:rPr>
        <w:t xml:space="preserve"> </w:t>
      </w:r>
      <w:r w:rsidRPr="00F85253">
        <w:rPr>
          <w:rFonts w:ascii="Arial" w:hAnsi="Arial" w:cs="Arial"/>
          <w:spacing w:val="-1"/>
          <w:sz w:val="22"/>
          <w:szCs w:val="22"/>
          <w:u w:val="single" w:color="000000"/>
          <w:lang w:val="es-ES_tradnl"/>
        </w:rPr>
        <w:t>(FCS)</w:t>
      </w:r>
      <w:r w:rsidRPr="00F85253">
        <w:rPr>
          <w:rFonts w:ascii="Arial" w:hAnsi="Arial" w:cs="Arial"/>
          <w:spacing w:val="-1"/>
          <w:sz w:val="22"/>
          <w:szCs w:val="22"/>
          <w:lang w:val="es-ES_tradnl"/>
        </w:rPr>
        <w:t>:</w:t>
      </w:r>
      <w:r w:rsidRPr="00F85253">
        <w:rPr>
          <w:rFonts w:ascii="Arial" w:hAnsi="Arial" w:cs="Arial"/>
          <w:spacing w:val="38"/>
          <w:sz w:val="22"/>
          <w:szCs w:val="22"/>
          <w:lang w:val="es-ES_tradnl"/>
        </w:rPr>
        <w:t xml:space="preserve"> </w:t>
      </w:r>
      <w:r w:rsidRPr="00F85253">
        <w:rPr>
          <w:rFonts w:ascii="Arial" w:hAnsi="Arial" w:cs="Arial"/>
          <w:sz w:val="22"/>
          <w:szCs w:val="22"/>
          <w:lang w:val="es-ES_tradnl"/>
        </w:rPr>
        <w:t>se</w:t>
      </w:r>
      <w:r w:rsidRPr="00F85253">
        <w:rPr>
          <w:rFonts w:ascii="Arial" w:hAnsi="Arial" w:cs="Arial"/>
          <w:spacing w:val="35"/>
          <w:sz w:val="22"/>
          <w:szCs w:val="22"/>
          <w:lang w:val="es-ES_tradnl"/>
        </w:rPr>
        <w:t xml:space="preserve"> </w:t>
      </w:r>
      <w:r w:rsidRPr="00F85253">
        <w:rPr>
          <w:rFonts w:ascii="Arial" w:hAnsi="Arial" w:cs="Arial"/>
          <w:sz w:val="22"/>
          <w:szCs w:val="22"/>
          <w:lang w:val="es-ES_tradnl"/>
        </w:rPr>
        <w:t>obtiene</w:t>
      </w:r>
      <w:r w:rsidRPr="00F85253">
        <w:rPr>
          <w:rFonts w:ascii="Arial" w:hAnsi="Arial" w:cs="Arial"/>
          <w:spacing w:val="36"/>
          <w:sz w:val="22"/>
          <w:szCs w:val="22"/>
          <w:lang w:val="es-ES_tradnl"/>
        </w:rPr>
        <w:t xml:space="preserve"> </w:t>
      </w:r>
      <w:r w:rsidRPr="00F85253">
        <w:rPr>
          <w:rFonts w:ascii="Arial" w:hAnsi="Arial" w:cs="Arial"/>
          <w:sz w:val="22"/>
          <w:szCs w:val="22"/>
          <w:lang w:val="es-ES_tradnl"/>
        </w:rPr>
        <w:t>a</w:t>
      </w:r>
      <w:r w:rsidRPr="00F85253">
        <w:rPr>
          <w:rFonts w:ascii="Arial" w:hAnsi="Arial" w:cs="Arial"/>
          <w:spacing w:val="36"/>
          <w:sz w:val="22"/>
          <w:szCs w:val="22"/>
          <w:lang w:val="es-ES_tradnl"/>
        </w:rPr>
        <w:t xml:space="preserve"> </w:t>
      </w:r>
      <w:r w:rsidRPr="00F85253">
        <w:rPr>
          <w:rFonts w:ascii="Arial" w:hAnsi="Arial" w:cs="Arial"/>
          <w:spacing w:val="-1"/>
          <w:sz w:val="22"/>
          <w:szCs w:val="22"/>
          <w:lang w:val="es-ES_tradnl"/>
        </w:rPr>
        <w:t>través</w:t>
      </w:r>
      <w:r w:rsidRPr="00F85253">
        <w:rPr>
          <w:rFonts w:ascii="Arial" w:hAnsi="Arial" w:cs="Arial"/>
          <w:spacing w:val="37"/>
          <w:sz w:val="22"/>
          <w:szCs w:val="22"/>
          <w:lang w:val="es-ES_tradnl"/>
        </w:rPr>
        <w:t xml:space="preserve"> </w:t>
      </w:r>
      <w:r w:rsidRPr="00F85253">
        <w:rPr>
          <w:rFonts w:ascii="Arial" w:hAnsi="Arial" w:cs="Arial"/>
          <w:sz w:val="22"/>
          <w:szCs w:val="22"/>
          <w:lang w:val="es-ES_tradnl"/>
        </w:rPr>
        <w:t>de</w:t>
      </w:r>
      <w:r w:rsidRPr="00F85253">
        <w:rPr>
          <w:rFonts w:ascii="Arial" w:hAnsi="Arial" w:cs="Arial"/>
          <w:spacing w:val="39"/>
          <w:sz w:val="22"/>
          <w:szCs w:val="22"/>
          <w:lang w:val="es-ES_tradnl"/>
        </w:rPr>
        <w:t xml:space="preserve"> </w:t>
      </w:r>
      <w:r w:rsidRPr="00F85253">
        <w:rPr>
          <w:rFonts w:ascii="Arial" w:hAnsi="Arial" w:cs="Arial"/>
          <w:sz w:val="22"/>
          <w:szCs w:val="22"/>
          <w:lang w:val="es-ES_tradnl"/>
        </w:rPr>
        <w:t xml:space="preserve">la información de comercio exterior de Ecuador, durante el </w:t>
      </w:r>
      <w:r w:rsidRPr="00F85253">
        <w:rPr>
          <w:rFonts w:ascii="Arial" w:hAnsi="Arial" w:cs="Arial"/>
          <w:spacing w:val="-1"/>
          <w:sz w:val="22"/>
          <w:szCs w:val="22"/>
          <w:lang w:val="es-ES_tradnl"/>
        </w:rPr>
        <w:t>período 2014 a 2018, aplicando</w:t>
      </w:r>
      <w:r w:rsidRPr="00F85253">
        <w:rPr>
          <w:rFonts w:ascii="Arial" w:hAnsi="Arial" w:cs="Arial"/>
          <w:spacing w:val="36"/>
          <w:sz w:val="22"/>
          <w:szCs w:val="22"/>
          <w:lang w:val="es-ES_tradnl"/>
        </w:rPr>
        <w:t xml:space="preserve"> </w:t>
      </w:r>
      <w:r w:rsidRPr="00F85253">
        <w:rPr>
          <w:rFonts w:ascii="Arial" w:hAnsi="Arial" w:cs="Arial"/>
          <w:sz w:val="22"/>
          <w:szCs w:val="22"/>
          <w:lang w:val="es-ES_tradnl"/>
        </w:rPr>
        <w:t>la</w:t>
      </w:r>
      <w:r w:rsidRPr="00F85253">
        <w:rPr>
          <w:rFonts w:ascii="Arial" w:hAnsi="Arial" w:cs="Arial"/>
          <w:spacing w:val="36"/>
          <w:sz w:val="22"/>
          <w:szCs w:val="22"/>
          <w:lang w:val="es-ES_tradnl"/>
        </w:rPr>
        <w:t xml:space="preserve"> </w:t>
      </w:r>
      <w:r w:rsidRPr="00F85253">
        <w:rPr>
          <w:rFonts w:ascii="Arial" w:hAnsi="Arial" w:cs="Arial"/>
          <w:spacing w:val="-1"/>
          <w:sz w:val="22"/>
          <w:szCs w:val="22"/>
          <w:lang w:val="es-ES_tradnl"/>
        </w:rPr>
        <w:t>siguiente</w:t>
      </w:r>
      <w:r w:rsidRPr="00F85253">
        <w:rPr>
          <w:rFonts w:ascii="Arial" w:hAnsi="Arial" w:cs="Arial"/>
          <w:spacing w:val="63"/>
          <w:w w:val="99"/>
          <w:sz w:val="22"/>
          <w:szCs w:val="22"/>
          <w:lang w:val="es-ES_tradnl"/>
        </w:rPr>
        <w:t xml:space="preserve"> </w:t>
      </w:r>
      <w:r w:rsidRPr="00F85253">
        <w:rPr>
          <w:rFonts w:ascii="Arial" w:hAnsi="Arial" w:cs="Arial"/>
          <w:spacing w:val="-1"/>
          <w:sz w:val="22"/>
          <w:szCs w:val="22"/>
          <w:lang w:val="es-ES_tradnl"/>
        </w:rPr>
        <w:t xml:space="preserve">expresión. </w:t>
      </w:r>
      <w:r w:rsidRPr="00F85253">
        <w:rPr>
          <w:rFonts w:ascii="Arial" w:hAnsi="Arial" w:cs="Arial"/>
          <w:spacing w:val="-1"/>
          <w:sz w:val="22"/>
          <w:szCs w:val="22"/>
          <w:u w:color="000000"/>
          <w:lang w:val="es-ES_tradnl"/>
        </w:rPr>
        <w:t xml:space="preserve">Los datos correspondientes, se presentan en el cuadro </w:t>
      </w:r>
      <w:r w:rsidR="00991826" w:rsidRPr="00F85253">
        <w:rPr>
          <w:rFonts w:ascii="Arial" w:hAnsi="Arial" w:cs="Arial"/>
          <w:spacing w:val="-1"/>
          <w:sz w:val="22"/>
          <w:szCs w:val="22"/>
          <w:u w:color="000000"/>
          <w:lang w:val="es-ES_tradnl"/>
        </w:rPr>
        <w:t>3</w:t>
      </w:r>
      <w:r w:rsidRPr="00F85253">
        <w:rPr>
          <w:rFonts w:ascii="Arial" w:hAnsi="Arial" w:cs="Arial"/>
          <w:spacing w:val="-1"/>
          <w:sz w:val="22"/>
          <w:szCs w:val="22"/>
          <w:u w:color="000000"/>
          <w:lang w:val="es-ES_tradnl"/>
        </w:rPr>
        <w:t>.</w:t>
      </w:r>
      <w:r w:rsidRPr="00F85253">
        <w:rPr>
          <w:rFonts w:ascii="Arial" w:hAnsi="Arial" w:cs="Arial"/>
          <w:spacing w:val="-1"/>
          <w:sz w:val="22"/>
          <w:szCs w:val="22"/>
          <w:lang w:val="es-ES_tradnl"/>
        </w:rPr>
        <w:t xml:space="preserve"> </w:t>
      </w:r>
    </w:p>
    <w:p w14:paraId="3D7EE7E0" w14:textId="77777777" w:rsidR="000C12A9" w:rsidRPr="00F85253" w:rsidRDefault="000C12A9" w:rsidP="000C12A9">
      <w:pPr>
        <w:pStyle w:val="Paragraph"/>
        <w:spacing w:before="0" w:after="0" w:line="276" w:lineRule="auto"/>
        <w:outlineLvl w:val="9"/>
        <w:rPr>
          <w:rFonts w:ascii="Arial" w:hAnsi="Arial" w:cs="Arial"/>
          <w:sz w:val="22"/>
          <w:szCs w:val="22"/>
          <w:lang w:val="es-ES_tradnl"/>
        </w:rPr>
      </w:pPr>
      <m:oMathPara>
        <m:oMath>
          <m:r>
            <w:rPr>
              <w:rFonts w:ascii="Cambria Math" w:hAnsi="Cambria Math" w:cs="Arial"/>
              <w:sz w:val="22"/>
              <w:szCs w:val="22"/>
              <w:lang w:val="es-ES_tradnl"/>
            </w:rPr>
            <m:t>FCS=</m:t>
          </m:r>
          <m:f>
            <m:fPr>
              <m:ctrlPr>
                <w:rPr>
                  <w:rFonts w:ascii="Cambria Math" w:hAnsi="Cambria Math" w:cs="Arial"/>
                  <w:i/>
                  <w:sz w:val="22"/>
                  <w:szCs w:val="22"/>
                  <w:lang w:val="es-ES_tradnl"/>
                </w:rPr>
              </m:ctrlPr>
            </m:fPr>
            <m:num>
              <m:r>
                <w:rPr>
                  <w:rFonts w:ascii="Cambria Math" w:hAnsi="Cambria Math" w:cs="Arial"/>
                  <w:sz w:val="22"/>
                  <w:szCs w:val="22"/>
                  <w:lang w:val="es-ES_tradnl"/>
                </w:rPr>
                <m:t>X+M</m:t>
              </m:r>
            </m:num>
            <m:den>
              <m:r>
                <w:rPr>
                  <w:rFonts w:ascii="Cambria Math" w:hAnsi="Cambria Math" w:cs="Arial"/>
                  <w:sz w:val="22"/>
                  <w:szCs w:val="22"/>
                  <w:lang w:val="es-ES_tradnl"/>
                </w:rPr>
                <m:t>X+M+T</m:t>
              </m:r>
            </m:den>
          </m:f>
          <m:r>
            <w:rPr>
              <w:rFonts w:ascii="Cambria Math" w:hAnsi="Cambria Math" w:cs="Arial"/>
              <w:sz w:val="22"/>
              <w:szCs w:val="22"/>
              <w:lang w:val="es-ES_tradnl"/>
            </w:rPr>
            <m:t>= 0.918</m:t>
          </m:r>
        </m:oMath>
      </m:oMathPara>
    </w:p>
    <w:p w14:paraId="1F969FF3" w14:textId="77777777" w:rsidR="008D1244" w:rsidRPr="00F85253" w:rsidRDefault="008D1244" w:rsidP="000C12A9">
      <w:pPr>
        <w:pStyle w:val="Paragraph"/>
        <w:spacing w:before="0" w:after="0" w:line="276" w:lineRule="auto"/>
        <w:ind w:firstLine="720"/>
        <w:outlineLvl w:val="9"/>
        <w:rPr>
          <w:rFonts w:ascii="Arial" w:hAnsi="Arial" w:cs="Arial"/>
          <w:sz w:val="22"/>
          <w:szCs w:val="22"/>
          <w:lang w:val="es-ES_tradnl"/>
        </w:rPr>
      </w:pPr>
    </w:p>
    <w:p w14:paraId="4892559D" w14:textId="77777777" w:rsidR="000C12A9" w:rsidRPr="00F85253" w:rsidRDefault="000C12A9" w:rsidP="000C12A9">
      <w:pPr>
        <w:pStyle w:val="Paragraph"/>
        <w:spacing w:before="0" w:after="0" w:line="276" w:lineRule="auto"/>
        <w:ind w:firstLine="720"/>
        <w:outlineLvl w:val="9"/>
        <w:rPr>
          <w:rFonts w:ascii="Arial" w:hAnsi="Arial" w:cs="Arial"/>
          <w:sz w:val="22"/>
          <w:szCs w:val="22"/>
          <w:lang w:val="es-ES_tradnl"/>
        </w:rPr>
      </w:pPr>
      <w:r w:rsidRPr="00F85253">
        <w:rPr>
          <w:rFonts w:ascii="Arial" w:hAnsi="Arial" w:cs="Arial"/>
          <w:sz w:val="22"/>
          <w:szCs w:val="22"/>
          <w:lang w:val="es-ES_tradnl"/>
        </w:rPr>
        <w:t>Donde:</w:t>
      </w:r>
    </w:p>
    <w:p w14:paraId="30EB4EB0" w14:textId="77777777" w:rsidR="000C12A9" w:rsidRPr="00F85253" w:rsidRDefault="000C12A9" w:rsidP="000C12A9">
      <w:pPr>
        <w:pStyle w:val="Paragraph"/>
        <w:spacing w:before="0" w:after="0" w:line="276" w:lineRule="auto"/>
        <w:ind w:firstLine="720"/>
        <w:outlineLvl w:val="9"/>
        <w:rPr>
          <w:rFonts w:ascii="Arial" w:hAnsi="Arial" w:cs="Arial"/>
          <w:sz w:val="22"/>
          <w:szCs w:val="22"/>
          <w:lang w:val="es-ES_tradnl"/>
        </w:rPr>
      </w:pPr>
      <m:oMath>
        <m:r>
          <w:rPr>
            <w:rFonts w:ascii="Cambria Math" w:hAnsi="Cambria Math" w:cs="Arial"/>
            <w:sz w:val="22"/>
            <w:szCs w:val="22"/>
            <w:lang w:val="es-ES_tradnl"/>
          </w:rPr>
          <m:t>X:valor total de las exportaciones de Ecuador</m:t>
        </m:r>
      </m:oMath>
      <w:r w:rsidRPr="00F85253">
        <w:rPr>
          <w:rFonts w:ascii="Arial" w:hAnsi="Arial" w:cs="Arial"/>
          <w:sz w:val="22"/>
          <w:szCs w:val="22"/>
          <w:lang w:val="es-ES_tradnl"/>
        </w:rPr>
        <w:t xml:space="preserve"> </w:t>
      </w:r>
    </w:p>
    <w:p w14:paraId="4E3689EE" w14:textId="77777777" w:rsidR="000C12A9" w:rsidRPr="00F85253" w:rsidRDefault="000C12A9" w:rsidP="000C12A9">
      <w:pPr>
        <w:pStyle w:val="Paragraph"/>
        <w:spacing w:before="0" w:after="0" w:line="276" w:lineRule="auto"/>
        <w:ind w:firstLine="720"/>
        <w:outlineLvl w:val="9"/>
        <w:rPr>
          <w:rFonts w:ascii="Arial" w:hAnsi="Arial" w:cs="Arial"/>
          <w:sz w:val="22"/>
          <w:szCs w:val="22"/>
          <w:lang w:val="es-ES_tradnl"/>
        </w:rPr>
      </w:pPr>
      <m:oMath>
        <m:r>
          <w:rPr>
            <w:rFonts w:ascii="Cambria Math" w:hAnsi="Cambria Math" w:cs="Arial"/>
            <w:sz w:val="22"/>
            <w:szCs w:val="22"/>
            <w:lang w:val="es-ES_tradnl"/>
          </w:rPr>
          <m:t>M:valor total de las importaciones de Ecuador</m:t>
        </m:r>
      </m:oMath>
      <w:r w:rsidRPr="00F85253">
        <w:rPr>
          <w:rFonts w:ascii="Arial" w:hAnsi="Arial" w:cs="Arial"/>
          <w:sz w:val="22"/>
          <w:szCs w:val="22"/>
          <w:lang w:val="es-ES_tradnl"/>
        </w:rPr>
        <w:t xml:space="preserve"> </w:t>
      </w:r>
    </w:p>
    <w:p w14:paraId="1D56610E" w14:textId="77777777" w:rsidR="000C12A9" w:rsidRPr="00F85253" w:rsidRDefault="000C12A9" w:rsidP="000C12A9">
      <w:pPr>
        <w:pStyle w:val="Paragraph"/>
        <w:spacing w:before="0" w:after="0" w:line="276" w:lineRule="auto"/>
        <w:ind w:firstLine="720"/>
        <w:outlineLvl w:val="9"/>
        <w:rPr>
          <w:rFonts w:ascii="Arial" w:hAnsi="Arial" w:cs="Arial"/>
          <w:sz w:val="22"/>
          <w:szCs w:val="22"/>
          <w:lang w:val="es-ES_tradnl"/>
        </w:rPr>
      </w:pPr>
      <m:oMath>
        <m:r>
          <w:rPr>
            <w:rFonts w:ascii="Cambria Math" w:hAnsi="Cambria Math" w:cs="Arial"/>
            <w:sz w:val="22"/>
            <w:szCs w:val="22"/>
            <w:lang w:val="es-ES_tradnl"/>
          </w:rPr>
          <m:t>T:recaudación aduanera de Ecuador</m:t>
        </m:r>
      </m:oMath>
      <w:r w:rsidRPr="00F85253">
        <w:rPr>
          <w:rFonts w:ascii="Arial" w:hAnsi="Arial" w:cs="Arial"/>
          <w:sz w:val="22"/>
          <w:szCs w:val="22"/>
          <w:lang w:val="es-ES_tradnl"/>
        </w:rPr>
        <w:t xml:space="preserve"> </w:t>
      </w:r>
    </w:p>
    <w:p w14:paraId="15D617A7" w14:textId="77777777" w:rsidR="000C12A9" w:rsidRPr="00F85253" w:rsidRDefault="000C12A9" w:rsidP="000C12A9">
      <w:pPr>
        <w:pStyle w:val="Paragraph"/>
        <w:spacing w:before="0" w:after="0" w:line="276" w:lineRule="auto"/>
        <w:outlineLvl w:val="9"/>
        <w:rPr>
          <w:rFonts w:ascii="Arial" w:hAnsi="Arial" w:cs="Arial"/>
          <w:spacing w:val="-1"/>
          <w:sz w:val="22"/>
          <w:szCs w:val="22"/>
          <w:u w:color="000000"/>
          <w:lang w:val="es-ES_tradnl"/>
        </w:rPr>
      </w:pPr>
    </w:p>
    <w:p w14:paraId="7082FB93" w14:textId="77777777" w:rsidR="008D1244" w:rsidRPr="00F85253" w:rsidRDefault="008D1244" w:rsidP="000C12A9">
      <w:pPr>
        <w:pStyle w:val="Paragraph"/>
        <w:spacing w:before="0" w:after="0" w:line="276" w:lineRule="auto"/>
        <w:outlineLvl w:val="9"/>
        <w:rPr>
          <w:rFonts w:ascii="Arial" w:hAnsi="Arial" w:cs="Arial"/>
          <w:spacing w:val="-1"/>
          <w:sz w:val="22"/>
          <w:szCs w:val="22"/>
          <w:u w:color="000000"/>
          <w:lang w:val="es-ES_tradnl"/>
        </w:rPr>
      </w:pPr>
    </w:p>
    <w:tbl>
      <w:tblPr>
        <w:tblW w:w="9597" w:type="dxa"/>
        <w:tblInd w:w="-34" w:type="dxa"/>
        <w:tblLook w:val="04A0" w:firstRow="1" w:lastRow="0" w:firstColumn="1" w:lastColumn="0" w:noHBand="0" w:noVBand="1"/>
      </w:tblPr>
      <w:tblGrid>
        <w:gridCol w:w="4395"/>
        <w:gridCol w:w="1134"/>
        <w:gridCol w:w="1106"/>
        <w:gridCol w:w="1106"/>
        <w:gridCol w:w="1106"/>
        <w:gridCol w:w="1106"/>
      </w:tblGrid>
      <w:tr w:rsidR="000C12A9" w:rsidRPr="00F85253" w14:paraId="088ED189" w14:textId="77777777" w:rsidTr="00A2607F">
        <w:trPr>
          <w:trHeight w:val="285"/>
        </w:trPr>
        <w:tc>
          <w:tcPr>
            <w:tcW w:w="9597" w:type="dxa"/>
            <w:gridSpan w:val="6"/>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515612AC" w14:textId="77777777" w:rsidR="0073600A" w:rsidRPr="00F85253" w:rsidRDefault="000C12A9" w:rsidP="00681685">
            <w:pPr>
              <w:spacing w:after="0" w:line="240" w:lineRule="auto"/>
              <w:jc w:val="both"/>
              <w:rPr>
                <w:rFonts w:ascii="Arial" w:hAnsi="Arial" w:cs="Arial"/>
                <w:b/>
                <w:color w:val="000000"/>
                <w:sz w:val="20"/>
                <w:szCs w:val="18"/>
                <w:lang w:val="es-ES_tradnl"/>
              </w:rPr>
            </w:pPr>
            <w:r w:rsidRPr="00F85253">
              <w:rPr>
                <w:rFonts w:ascii="Arial" w:hAnsi="Arial" w:cs="Arial"/>
                <w:b/>
                <w:color w:val="000000"/>
                <w:sz w:val="20"/>
                <w:szCs w:val="18"/>
                <w:lang w:val="es-ES_tradnl"/>
              </w:rPr>
              <w:t xml:space="preserve">Cuadro </w:t>
            </w:r>
            <w:r w:rsidR="00BF0236" w:rsidRPr="00F85253">
              <w:rPr>
                <w:rFonts w:ascii="Arial" w:hAnsi="Arial" w:cs="Arial"/>
                <w:b/>
                <w:color w:val="000000"/>
                <w:sz w:val="20"/>
                <w:szCs w:val="18"/>
                <w:lang w:val="es-ES_tradnl"/>
              </w:rPr>
              <w:t>3</w:t>
            </w:r>
            <w:r w:rsidRPr="00F85253">
              <w:rPr>
                <w:rFonts w:ascii="Arial" w:hAnsi="Arial" w:cs="Arial"/>
                <w:b/>
                <w:color w:val="000000"/>
                <w:sz w:val="20"/>
                <w:szCs w:val="18"/>
                <w:lang w:val="es-ES_tradnl"/>
              </w:rPr>
              <w:t>- Facto</w:t>
            </w:r>
            <w:r w:rsidR="00A7730C" w:rsidRPr="00F85253">
              <w:rPr>
                <w:rFonts w:ascii="Arial" w:hAnsi="Arial" w:cs="Arial"/>
                <w:b/>
                <w:color w:val="000000"/>
                <w:sz w:val="20"/>
                <w:szCs w:val="18"/>
                <w:lang w:val="es-ES_tradnl"/>
              </w:rPr>
              <w:t>r de c</w:t>
            </w:r>
            <w:r w:rsidR="0073600A" w:rsidRPr="00F85253">
              <w:rPr>
                <w:rFonts w:ascii="Arial" w:hAnsi="Arial" w:cs="Arial"/>
                <w:b/>
                <w:color w:val="000000"/>
                <w:sz w:val="20"/>
                <w:szCs w:val="18"/>
                <w:lang w:val="es-ES_tradnl"/>
              </w:rPr>
              <w:t xml:space="preserve">onversión </w:t>
            </w:r>
            <w:r w:rsidR="00A7730C" w:rsidRPr="00F85253">
              <w:rPr>
                <w:rFonts w:ascii="Arial" w:hAnsi="Arial" w:cs="Arial"/>
                <w:b/>
                <w:color w:val="000000"/>
                <w:sz w:val="20"/>
                <w:szCs w:val="18"/>
                <w:lang w:val="es-ES_tradnl"/>
              </w:rPr>
              <w:t>e</w:t>
            </w:r>
            <w:r w:rsidR="0073600A" w:rsidRPr="00F85253">
              <w:rPr>
                <w:rFonts w:ascii="Arial" w:hAnsi="Arial" w:cs="Arial"/>
                <w:b/>
                <w:color w:val="000000"/>
                <w:sz w:val="20"/>
                <w:szCs w:val="18"/>
                <w:lang w:val="es-ES_tradnl"/>
              </w:rPr>
              <w:t xml:space="preserve">stándar (FCE) </w:t>
            </w:r>
          </w:p>
          <w:p w14:paraId="6E172261" w14:textId="77777777" w:rsidR="000C12A9" w:rsidRPr="00F85253" w:rsidRDefault="000C12A9" w:rsidP="00681685">
            <w:pPr>
              <w:spacing w:after="0" w:line="240" w:lineRule="auto"/>
              <w:jc w:val="both"/>
              <w:rPr>
                <w:rFonts w:ascii="Arial" w:hAnsi="Arial" w:cs="Arial"/>
                <w:b/>
                <w:color w:val="000000"/>
                <w:sz w:val="20"/>
                <w:szCs w:val="18"/>
                <w:lang w:val="es-ES_tradnl"/>
              </w:rPr>
            </w:pPr>
            <w:r w:rsidRPr="00F85253">
              <w:rPr>
                <w:rFonts w:ascii="Arial" w:hAnsi="Arial" w:cs="Arial"/>
                <w:b/>
                <w:color w:val="000000"/>
                <w:sz w:val="20"/>
                <w:szCs w:val="18"/>
                <w:lang w:val="es-ES_tradnl"/>
              </w:rPr>
              <w:t>(en millones dólares corrientes)</w:t>
            </w:r>
          </w:p>
        </w:tc>
      </w:tr>
      <w:tr w:rsidR="000C12A9" w:rsidRPr="00F85253" w14:paraId="67029441" w14:textId="77777777" w:rsidTr="00A2607F">
        <w:trPr>
          <w:trHeight w:val="263"/>
        </w:trPr>
        <w:tc>
          <w:tcPr>
            <w:tcW w:w="4395"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6A0936A1" w14:textId="77777777" w:rsidR="000C12A9" w:rsidRPr="00F85253" w:rsidRDefault="000C12A9" w:rsidP="00681685">
            <w:pPr>
              <w:spacing w:after="0" w:line="240" w:lineRule="auto"/>
              <w:jc w:val="both"/>
              <w:rPr>
                <w:rFonts w:ascii="Arial" w:hAnsi="Arial" w:cs="Arial"/>
                <w:b/>
                <w:color w:val="000000"/>
                <w:sz w:val="20"/>
                <w:szCs w:val="18"/>
                <w:lang w:val="es-ES_tradnl"/>
              </w:rPr>
            </w:pPr>
          </w:p>
        </w:tc>
        <w:tc>
          <w:tcPr>
            <w:tcW w:w="1134" w:type="dxa"/>
            <w:tcBorders>
              <w:top w:val="nil"/>
              <w:left w:val="nil"/>
              <w:bottom w:val="single" w:sz="4" w:space="0" w:color="auto"/>
              <w:right w:val="single" w:sz="4" w:space="0" w:color="auto"/>
            </w:tcBorders>
            <w:shd w:val="clear" w:color="auto" w:fill="FFFFFF" w:themeFill="background1"/>
            <w:noWrap/>
            <w:vAlign w:val="bottom"/>
            <w:hideMark/>
          </w:tcPr>
          <w:p w14:paraId="7E81B1B9" w14:textId="77777777" w:rsidR="000C12A9" w:rsidRPr="00F85253" w:rsidRDefault="000C12A9" w:rsidP="00681685">
            <w:pPr>
              <w:spacing w:after="0" w:line="240" w:lineRule="auto"/>
              <w:jc w:val="center"/>
              <w:rPr>
                <w:rFonts w:ascii="Arial" w:hAnsi="Arial" w:cs="Arial"/>
                <w:b/>
                <w:color w:val="000000"/>
                <w:sz w:val="20"/>
                <w:szCs w:val="18"/>
                <w:lang w:val="es-ES_tradnl"/>
              </w:rPr>
            </w:pPr>
            <w:r w:rsidRPr="00F85253">
              <w:rPr>
                <w:rFonts w:ascii="Arial" w:hAnsi="Arial" w:cs="Arial"/>
                <w:b/>
                <w:color w:val="000000"/>
                <w:sz w:val="20"/>
                <w:szCs w:val="18"/>
                <w:lang w:val="es-ES_tradnl"/>
              </w:rPr>
              <w:t>2014</w:t>
            </w:r>
          </w:p>
        </w:tc>
        <w:tc>
          <w:tcPr>
            <w:tcW w:w="1017" w:type="dxa"/>
            <w:tcBorders>
              <w:top w:val="nil"/>
              <w:left w:val="nil"/>
              <w:bottom w:val="single" w:sz="4" w:space="0" w:color="auto"/>
              <w:right w:val="single" w:sz="4" w:space="0" w:color="auto"/>
            </w:tcBorders>
            <w:shd w:val="clear" w:color="auto" w:fill="FFFFFF" w:themeFill="background1"/>
            <w:noWrap/>
            <w:vAlign w:val="bottom"/>
            <w:hideMark/>
          </w:tcPr>
          <w:p w14:paraId="508C1458" w14:textId="77777777" w:rsidR="000C12A9" w:rsidRPr="00F85253" w:rsidRDefault="000C12A9" w:rsidP="00681685">
            <w:pPr>
              <w:spacing w:after="0" w:line="240" w:lineRule="auto"/>
              <w:jc w:val="center"/>
              <w:rPr>
                <w:rFonts w:ascii="Arial" w:hAnsi="Arial" w:cs="Arial"/>
                <w:b/>
                <w:color w:val="000000"/>
                <w:sz w:val="20"/>
                <w:szCs w:val="18"/>
                <w:lang w:val="es-ES_tradnl"/>
              </w:rPr>
            </w:pPr>
            <w:r w:rsidRPr="00F85253">
              <w:rPr>
                <w:rFonts w:ascii="Arial" w:hAnsi="Arial" w:cs="Arial"/>
                <w:b/>
                <w:color w:val="000000"/>
                <w:sz w:val="20"/>
                <w:szCs w:val="18"/>
                <w:lang w:val="es-ES_tradnl"/>
              </w:rPr>
              <w:t>2015</w:t>
            </w:r>
          </w:p>
        </w:tc>
        <w:tc>
          <w:tcPr>
            <w:tcW w:w="1017" w:type="dxa"/>
            <w:tcBorders>
              <w:top w:val="nil"/>
              <w:left w:val="nil"/>
              <w:bottom w:val="single" w:sz="4" w:space="0" w:color="auto"/>
              <w:right w:val="single" w:sz="4" w:space="0" w:color="auto"/>
            </w:tcBorders>
            <w:shd w:val="clear" w:color="auto" w:fill="FFFFFF" w:themeFill="background1"/>
            <w:noWrap/>
            <w:vAlign w:val="bottom"/>
            <w:hideMark/>
          </w:tcPr>
          <w:p w14:paraId="28F563D7" w14:textId="77777777" w:rsidR="000C12A9" w:rsidRPr="00F85253" w:rsidRDefault="000C12A9" w:rsidP="00681685">
            <w:pPr>
              <w:spacing w:after="0" w:line="240" w:lineRule="auto"/>
              <w:jc w:val="center"/>
              <w:rPr>
                <w:rFonts w:ascii="Arial" w:hAnsi="Arial" w:cs="Arial"/>
                <w:b/>
                <w:color w:val="000000"/>
                <w:sz w:val="20"/>
                <w:szCs w:val="18"/>
                <w:lang w:val="es-ES_tradnl"/>
              </w:rPr>
            </w:pPr>
            <w:r w:rsidRPr="00F85253">
              <w:rPr>
                <w:rFonts w:ascii="Arial" w:hAnsi="Arial" w:cs="Arial"/>
                <w:b/>
                <w:color w:val="000000"/>
                <w:sz w:val="20"/>
                <w:szCs w:val="18"/>
                <w:lang w:val="es-ES_tradnl"/>
              </w:rPr>
              <w:t>2016</w:t>
            </w:r>
          </w:p>
        </w:tc>
        <w:tc>
          <w:tcPr>
            <w:tcW w:w="1017" w:type="dxa"/>
            <w:tcBorders>
              <w:top w:val="nil"/>
              <w:left w:val="nil"/>
              <w:bottom w:val="single" w:sz="4" w:space="0" w:color="auto"/>
              <w:right w:val="single" w:sz="4" w:space="0" w:color="auto"/>
            </w:tcBorders>
            <w:shd w:val="clear" w:color="auto" w:fill="FFFFFF" w:themeFill="background1"/>
            <w:noWrap/>
            <w:vAlign w:val="bottom"/>
            <w:hideMark/>
          </w:tcPr>
          <w:p w14:paraId="6903E9D9" w14:textId="77777777" w:rsidR="000C12A9" w:rsidRPr="00F85253" w:rsidRDefault="000C12A9" w:rsidP="00681685">
            <w:pPr>
              <w:spacing w:after="0" w:line="240" w:lineRule="auto"/>
              <w:jc w:val="center"/>
              <w:rPr>
                <w:rFonts w:ascii="Arial" w:hAnsi="Arial" w:cs="Arial"/>
                <w:b/>
                <w:color w:val="000000"/>
                <w:sz w:val="20"/>
                <w:szCs w:val="18"/>
                <w:lang w:val="es-ES_tradnl"/>
              </w:rPr>
            </w:pPr>
            <w:r w:rsidRPr="00F85253">
              <w:rPr>
                <w:rFonts w:ascii="Arial" w:hAnsi="Arial" w:cs="Arial"/>
                <w:b/>
                <w:color w:val="000000"/>
                <w:sz w:val="20"/>
                <w:szCs w:val="18"/>
                <w:lang w:val="es-ES_tradnl"/>
              </w:rPr>
              <w:t>2017</w:t>
            </w:r>
          </w:p>
        </w:tc>
        <w:tc>
          <w:tcPr>
            <w:tcW w:w="1017" w:type="dxa"/>
            <w:tcBorders>
              <w:top w:val="nil"/>
              <w:left w:val="nil"/>
              <w:bottom w:val="single" w:sz="4" w:space="0" w:color="auto"/>
              <w:right w:val="single" w:sz="4" w:space="0" w:color="auto"/>
            </w:tcBorders>
            <w:shd w:val="clear" w:color="auto" w:fill="FFFFFF" w:themeFill="background1"/>
            <w:vAlign w:val="bottom"/>
          </w:tcPr>
          <w:p w14:paraId="562F1341" w14:textId="77777777" w:rsidR="000C12A9" w:rsidRPr="00F85253" w:rsidRDefault="000C12A9" w:rsidP="00681685">
            <w:pPr>
              <w:spacing w:after="0" w:line="240" w:lineRule="auto"/>
              <w:jc w:val="center"/>
              <w:rPr>
                <w:rFonts w:ascii="Arial" w:hAnsi="Arial" w:cs="Arial"/>
                <w:b/>
                <w:color w:val="000000"/>
                <w:sz w:val="20"/>
                <w:szCs w:val="18"/>
                <w:lang w:val="es-ES_tradnl"/>
              </w:rPr>
            </w:pPr>
            <w:r w:rsidRPr="00F85253">
              <w:rPr>
                <w:rFonts w:ascii="Arial" w:hAnsi="Arial" w:cs="Arial"/>
                <w:b/>
                <w:color w:val="000000"/>
                <w:sz w:val="20"/>
                <w:szCs w:val="18"/>
                <w:lang w:val="es-ES_tradnl"/>
              </w:rPr>
              <w:t>2018</w:t>
            </w:r>
          </w:p>
        </w:tc>
      </w:tr>
      <w:tr w:rsidR="000C12A9" w:rsidRPr="00F85253" w14:paraId="32FBE98C" w14:textId="77777777" w:rsidTr="005D27C3">
        <w:trPr>
          <w:trHeight w:val="78"/>
        </w:trPr>
        <w:tc>
          <w:tcPr>
            <w:tcW w:w="4395" w:type="dxa"/>
            <w:tcBorders>
              <w:top w:val="nil"/>
              <w:left w:val="single" w:sz="4" w:space="0" w:color="auto"/>
              <w:bottom w:val="single" w:sz="4" w:space="0" w:color="auto"/>
              <w:right w:val="single" w:sz="4" w:space="0" w:color="auto"/>
            </w:tcBorders>
            <w:shd w:val="clear" w:color="auto" w:fill="auto"/>
            <w:vAlign w:val="bottom"/>
            <w:hideMark/>
          </w:tcPr>
          <w:p w14:paraId="68FE742D" w14:textId="77777777" w:rsidR="000C12A9" w:rsidRPr="00F85253" w:rsidRDefault="000C12A9" w:rsidP="00681685">
            <w:pPr>
              <w:spacing w:after="0" w:line="240" w:lineRule="auto"/>
              <w:rPr>
                <w:rFonts w:ascii="Arial" w:hAnsi="Arial" w:cs="Arial"/>
                <w:i/>
                <w:color w:val="000000"/>
                <w:sz w:val="20"/>
                <w:szCs w:val="18"/>
                <w:lang w:val="es-EC"/>
              </w:rPr>
            </w:pPr>
            <w:r w:rsidRPr="00F85253">
              <w:rPr>
                <w:rFonts w:ascii="Arial" w:hAnsi="Arial" w:cs="Arial"/>
                <w:i/>
                <w:color w:val="000000"/>
                <w:sz w:val="20"/>
                <w:szCs w:val="18"/>
                <w:lang w:val="es-EC"/>
              </w:rPr>
              <w:t>X: valor total de las exportaciones de Ecuador</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BBD824" w14:textId="77777777" w:rsidR="000C12A9" w:rsidRPr="00F85253" w:rsidRDefault="000C12A9" w:rsidP="00681685">
            <w:pPr>
              <w:spacing w:after="0" w:line="240" w:lineRule="auto"/>
              <w:jc w:val="right"/>
              <w:rPr>
                <w:rFonts w:ascii="Arial" w:hAnsi="Arial" w:cs="Arial"/>
                <w:color w:val="000000"/>
                <w:sz w:val="20"/>
                <w:szCs w:val="18"/>
                <w:lang w:val="es-ES_tradnl"/>
              </w:rPr>
            </w:pPr>
            <w:r w:rsidRPr="00F85253">
              <w:rPr>
                <w:rFonts w:ascii="Arial" w:hAnsi="Arial" w:cs="Arial"/>
                <w:color w:val="000000"/>
                <w:sz w:val="20"/>
                <w:szCs w:val="18"/>
                <w:lang w:val="es-EC"/>
              </w:rPr>
              <w:t xml:space="preserve">                </w:t>
            </w:r>
            <w:r w:rsidRPr="00F85253">
              <w:rPr>
                <w:rFonts w:ascii="Arial" w:hAnsi="Arial" w:cs="Arial"/>
                <w:color w:val="000000"/>
                <w:sz w:val="20"/>
                <w:szCs w:val="18"/>
                <w:lang w:val="es-ES_tradnl"/>
              </w:rPr>
              <w:t xml:space="preserve">25,724.43 </w:t>
            </w:r>
          </w:p>
        </w:tc>
        <w:tc>
          <w:tcPr>
            <w:tcW w:w="1017" w:type="dxa"/>
            <w:tcBorders>
              <w:top w:val="single" w:sz="4" w:space="0" w:color="auto"/>
              <w:left w:val="nil"/>
              <w:bottom w:val="single" w:sz="4" w:space="0" w:color="auto"/>
              <w:right w:val="single" w:sz="4" w:space="0" w:color="auto"/>
            </w:tcBorders>
            <w:shd w:val="clear" w:color="auto" w:fill="auto"/>
            <w:noWrap/>
            <w:vAlign w:val="bottom"/>
            <w:hideMark/>
          </w:tcPr>
          <w:p w14:paraId="355F7EDF" w14:textId="77777777" w:rsidR="000C12A9" w:rsidRPr="00F85253" w:rsidRDefault="000C12A9" w:rsidP="00681685">
            <w:pPr>
              <w:spacing w:after="0" w:line="240" w:lineRule="auto"/>
              <w:jc w:val="right"/>
              <w:rPr>
                <w:rFonts w:ascii="Arial" w:hAnsi="Arial" w:cs="Arial"/>
                <w:color w:val="000000"/>
                <w:sz w:val="20"/>
                <w:szCs w:val="18"/>
                <w:lang w:val="es-ES_tradnl"/>
              </w:rPr>
            </w:pPr>
            <w:r w:rsidRPr="00F85253">
              <w:rPr>
                <w:rFonts w:ascii="Arial" w:hAnsi="Arial" w:cs="Arial"/>
                <w:color w:val="000000"/>
                <w:sz w:val="20"/>
                <w:szCs w:val="18"/>
                <w:lang w:val="es-ES_tradnl"/>
              </w:rPr>
              <w:t xml:space="preserve">               18,330.61 </w:t>
            </w:r>
          </w:p>
        </w:tc>
        <w:tc>
          <w:tcPr>
            <w:tcW w:w="1017" w:type="dxa"/>
            <w:tcBorders>
              <w:top w:val="single" w:sz="4" w:space="0" w:color="auto"/>
              <w:left w:val="nil"/>
              <w:bottom w:val="single" w:sz="4" w:space="0" w:color="auto"/>
              <w:right w:val="single" w:sz="4" w:space="0" w:color="auto"/>
            </w:tcBorders>
            <w:shd w:val="clear" w:color="auto" w:fill="auto"/>
            <w:noWrap/>
            <w:vAlign w:val="bottom"/>
            <w:hideMark/>
          </w:tcPr>
          <w:p w14:paraId="2B9307C8" w14:textId="77777777" w:rsidR="000C12A9" w:rsidRPr="00F85253" w:rsidRDefault="000C12A9" w:rsidP="00681685">
            <w:pPr>
              <w:spacing w:after="0" w:line="240" w:lineRule="auto"/>
              <w:jc w:val="right"/>
              <w:rPr>
                <w:rFonts w:ascii="Arial" w:hAnsi="Arial" w:cs="Arial"/>
                <w:color w:val="000000"/>
                <w:sz w:val="20"/>
                <w:szCs w:val="18"/>
                <w:lang w:val="es-ES_tradnl"/>
              </w:rPr>
            </w:pPr>
            <w:r w:rsidRPr="00F85253">
              <w:rPr>
                <w:rFonts w:ascii="Arial" w:hAnsi="Arial" w:cs="Arial"/>
                <w:color w:val="000000"/>
                <w:sz w:val="20"/>
                <w:szCs w:val="18"/>
                <w:lang w:val="es-ES_tradnl"/>
              </w:rPr>
              <w:t xml:space="preserve">             16,797.66 </w:t>
            </w:r>
          </w:p>
        </w:tc>
        <w:tc>
          <w:tcPr>
            <w:tcW w:w="1017" w:type="dxa"/>
            <w:tcBorders>
              <w:top w:val="single" w:sz="4" w:space="0" w:color="auto"/>
              <w:left w:val="nil"/>
              <w:bottom w:val="single" w:sz="4" w:space="0" w:color="auto"/>
              <w:right w:val="single" w:sz="4" w:space="0" w:color="auto"/>
            </w:tcBorders>
            <w:shd w:val="clear" w:color="auto" w:fill="auto"/>
            <w:noWrap/>
            <w:vAlign w:val="bottom"/>
            <w:hideMark/>
          </w:tcPr>
          <w:p w14:paraId="429E442B" w14:textId="77777777" w:rsidR="000C12A9" w:rsidRPr="00F85253" w:rsidRDefault="00A2607F" w:rsidP="00681685">
            <w:pPr>
              <w:spacing w:after="0" w:line="240" w:lineRule="auto"/>
              <w:rPr>
                <w:rFonts w:ascii="Arial" w:hAnsi="Arial" w:cs="Arial"/>
                <w:color w:val="000000"/>
                <w:sz w:val="20"/>
                <w:szCs w:val="18"/>
                <w:lang w:val="es-ES_tradnl"/>
              </w:rPr>
            </w:pPr>
            <w:r w:rsidRPr="00F85253">
              <w:rPr>
                <w:rFonts w:ascii="Arial" w:hAnsi="Arial" w:cs="Arial"/>
                <w:color w:val="000000"/>
                <w:sz w:val="20"/>
                <w:szCs w:val="18"/>
                <w:lang w:val="es-ES_tradnl"/>
              </w:rPr>
              <w:t>1</w:t>
            </w:r>
            <w:r w:rsidR="000C12A9" w:rsidRPr="00F85253">
              <w:rPr>
                <w:rFonts w:ascii="Arial" w:hAnsi="Arial" w:cs="Arial"/>
                <w:color w:val="000000"/>
                <w:sz w:val="20"/>
                <w:szCs w:val="18"/>
                <w:lang w:val="es-ES_tradnl"/>
              </w:rPr>
              <w:t xml:space="preserve">9,122.45 </w:t>
            </w:r>
          </w:p>
        </w:tc>
        <w:tc>
          <w:tcPr>
            <w:tcW w:w="1017" w:type="dxa"/>
            <w:tcBorders>
              <w:top w:val="single" w:sz="4" w:space="0" w:color="auto"/>
              <w:left w:val="nil"/>
              <w:bottom w:val="single" w:sz="4" w:space="0" w:color="auto"/>
              <w:right w:val="single" w:sz="4" w:space="0" w:color="auto"/>
            </w:tcBorders>
            <w:shd w:val="clear" w:color="auto" w:fill="auto"/>
            <w:vAlign w:val="bottom"/>
          </w:tcPr>
          <w:p w14:paraId="4CAA0E85" w14:textId="77777777" w:rsidR="000C12A9" w:rsidRPr="00F85253" w:rsidRDefault="000C12A9" w:rsidP="00681685">
            <w:pPr>
              <w:spacing w:after="0" w:line="240" w:lineRule="auto"/>
              <w:jc w:val="right"/>
              <w:rPr>
                <w:rFonts w:ascii="Arial" w:hAnsi="Arial" w:cs="Arial"/>
                <w:color w:val="000000"/>
                <w:sz w:val="20"/>
                <w:szCs w:val="18"/>
                <w:lang w:val="es-ES_tradnl"/>
              </w:rPr>
            </w:pPr>
            <w:r w:rsidRPr="00F85253">
              <w:rPr>
                <w:rFonts w:ascii="Arial" w:hAnsi="Arial" w:cs="Arial"/>
                <w:color w:val="000000"/>
                <w:sz w:val="20"/>
                <w:szCs w:val="18"/>
                <w:lang w:val="es-ES_tradnl"/>
              </w:rPr>
              <w:t xml:space="preserve">           21,606.13 </w:t>
            </w:r>
          </w:p>
        </w:tc>
      </w:tr>
      <w:tr w:rsidR="000C12A9" w:rsidRPr="00F85253" w14:paraId="4F766B00" w14:textId="77777777" w:rsidTr="00A2607F">
        <w:trPr>
          <w:trHeight w:val="263"/>
        </w:trPr>
        <w:tc>
          <w:tcPr>
            <w:tcW w:w="4395" w:type="dxa"/>
            <w:tcBorders>
              <w:top w:val="nil"/>
              <w:left w:val="single" w:sz="4" w:space="0" w:color="auto"/>
              <w:bottom w:val="single" w:sz="4" w:space="0" w:color="auto"/>
              <w:right w:val="single" w:sz="4" w:space="0" w:color="auto"/>
            </w:tcBorders>
            <w:shd w:val="clear" w:color="auto" w:fill="auto"/>
            <w:vAlign w:val="bottom"/>
            <w:hideMark/>
          </w:tcPr>
          <w:p w14:paraId="053B628D" w14:textId="77777777" w:rsidR="000C12A9" w:rsidRPr="00F85253" w:rsidRDefault="000C12A9" w:rsidP="00681685">
            <w:pPr>
              <w:spacing w:after="0" w:line="240" w:lineRule="auto"/>
              <w:rPr>
                <w:rFonts w:ascii="Arial" w:hAnsi="Arial" w:cs="Arial"/>
                <w:i/>
                <w:color w:val="000000"/>
                <w:sz w:val="20"/>
                <w:szCs w:val="18"/>
                <w:lang w:val="es-ES_tradnl"/>
              </w:rPr>
            </w:pPr>
            <w:r w:rsidRPr="00F85253">
              <w:rPr>
                <w:rFonts w:ascii="Arial" w:hAnsi="Arial" w:cs="Arial"/>
                <w:i/>
                <w:color w:val="000000"/>
                <w:sz w:val="20"/>
                <w:szCs w:val="18"/>
                <w:lang w:val="es-ES_tradnl"/>
              </w:rPr>
              <w:t>M: valor total de las importaciones de Ecuador</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4061A9" w14:textId="77777777" w:rsidR="000C12A9" w:rsidRPr="00F85253" w:rsidRDefault="000C12A9" w:rsidP="00681685">
            <w:pPr>
              <w:spacing w:after="0" w:line="240" w:lineRule="auto"/>
              <w:jc w:val="right"/>
              <w:rPr>
                <w:rFonts w:ascii="Arial" w:hAnsi="Arial" w:cs="Arial"/>
                <w:color w:val="000000"/>
                <w:sz w:val="20"/>
                <w:szCs w:val="18"/>
                <w:lang w:val="es-ES_tradnl"/>
              </w:rPr>
            </w:pPr>
            <w:r w:rsidRPr="00F85253">
              <w:rPr>
                <w:rFonts w:ascii="Arial" w:hAnsi="Arial" w:cs="Arial"/>
                <w:color w:val="000000"/>
                <w:sz w:val="20"/>
                <w:szCs w:val="18"/>
                <w:lang w:val="es-ES_tradnl"/>
              </w:rPr>
              <w:t xml:space="preserve">                  26,421.48 </w:t>
            </w:r>
          </w:p>
        </w:tc>
        <w:tc>
          <w:tcPr>
            <w:tcW w:w="1017" w:type="dxa"/>
            <w:tcBorders>
              <w:top w:val="single" w:sz="4" w:space="0" w:color="auto"/>
              <w:left w:val="nil"/>
              <w:bottom w:val="single" w:sz="4" w:space="0" w:color="auto"/>
              <w:right w:val="single" w:sz="4" w:space="0" w:color="auto"/>
            </w:tcBorders>
            <w:shd w:val="clear" w:color="auto" w:fill="auto"/>
            <w:noWrap/>
            <w:vAlign w:val="bottom"/>
            <w:hideMark/>
          </w:tcPr>
          <w:p w14:paraId="0AEF7135" w14:textId="77777777" w:rsidR="000C12A9" w:rsidRPr="00F85253" w:rsidRDefault="000C12A9" w:rsidP="00681685">
            <w:pPr>
              <w:spacing w:after="0" w:line="240" w:lineRule="auto"/>
              <w:jc w:val="right"/>
              <w:rPr>
                <w:rFonts w:ascii="Arial" w:hAnsi="Arial" w:cs="Arial"/>
                <w:color w:val="000000"/>
                <w:sz w:val="20"/>
                <w:szCs w:val="18"/>
                <w:lang w:val="es-ES_tradnl"/>
              </w:rPr>
            </w:pPr>
            <w:r w:rsidRPr="00F85253">
              <w:rPr>
                <w:rFonts w:ascii="Arial" w:hAnsi="Arial" w:cs="Arial"/>
                <w:color w:val="000000"/>
                <w:sz w:val="20"/>
                <w:szCs w:val="18"/>
                <w:lang w:val="es-ES_tradnl"/>
              </w:rPr>
              <w:t xml:space="preserve">                  20,446.80 </w:t>
            </w:r>
          </w:p>
        </w:tc>
        <w:tc>
          <w:tcPr>
            <w:tcW w:w="1017" w:type="dxa"/>
            <w:tcBorders>
              <w:top w:val="single" w:sz="4" w:space="0" w:color="auto"/>
              <w:left w:val="nil"/>
              <w:bottom w:val="single" w:sz="4" w:space="0" w:color="auto"/>
              <w:right w:val="single" w:sz="4" w:space="0" w:color="auto"/>
            </w:tcBorders>
            <w:shd w:val="clear" w:color="auto" w:fill="auto"/>
            <w:noWrap/>
            <w:vAlign w:val="bottom"/>
            <w:hideMark/>
          </w:tcPr>
          <w:p w14:paraId="1ED6A572" w14:textId="77777777" w:rsidR="000C12A9" w:rsidRPr="00F85253" w:rsidRDefault="000C12A9" w:rsidP="00681685">
            <w:pPr>
              <w:spacing w:after="0" w:line="240" w:lineRule="auto"/>
              <w:jc w:val="right"/>
              <w:rPr>
                <w:rFonts w:ascii="Arial" w:hAnsi="Arial" w:cs="Arial"/>
                <w:color w:val="000000"/>
                <w:sz w:val="20"/>
                <w:szCs w:val="18"/>
                <w:lang w:val="es-ES_tradnl"/>
              </w:rPr>
            </w:pPr>
            <w:r w:rsidRPr="00F85253">
              <w:rPr>
                <w:rFonts w:ascii="Arial" w:hAnsi="Arial" w:cs="Arial"/>
                <w:color w:val="000000"/>
                <w:sz w:val="20"/>
                <w:szCs w:val="18"/>
                <w:lang w:val="es-ES_tradnl"/>
              </w:rPr>
              <w:t xml:space="preserve">                  15,545.16 </w:t>
            </w:r>
          </w:p>
        </w:tc>
        <w:tc>
          <w:tcPr>
            <w:tcW w:w="1017" w:type="dxa"/>
            <w:tcBorders>
              <w:top w:val="single" w:sz="4" w:space="0" w:color="auto"/>
              <w:left w:val="nil"/>
              <w:bottom w:val="single" w:sz="4" w:space="0" w:color="auto"/>
              <w:right w:val="single" w:sz="4" w:space="0" w:color="auto"/>
            </w:tcBorders>
            <w:shd w:val="clear" w:color="auto" w:fill="auto"/>
            <w:noWrap/>
            <w:vAlign w:val="bottom"/>
            <w:hideMark/>
          </w:tcPr>
          <w:p w14:paraId="2B95B9D1" w14:textId="77777777" w:rsidR="000C12A9" w:rsidRPr="00F85253" w:rsidRDefault="000C12A9" w:rsidP="00681685">
            <w:pPr>
              <w:spacing w:after="0" w:line="240" w:lineRule="auto"/>
              <w:jc w:val="right"/>
              <w:rPr>
                <w:rFonts w:ascii="Arial" w:hAnsi="Arial" w:cs="Arial"/>
                <w:color w:val="000000"/>
                <w:sz w:val="20"/>
                <w:szCs w:val="18"/>
                <w:lang w:val="es-ES_tradnl"/>
              </w:rPr>
            </w:pPr>
            <w:r w:rsidRPr="00F85253">
              <w:rPr>
                <w:rFonts w:ascii="Arial" w:hAnsi="Arial" w:cs="Arial"/>
                <w:color w:val="000000"/>
                <w:sz w:val="20"/>
                <w:szCs w:val="18"/>
                <w:lang w:val="es-ES_tradnl"/>
              </w:rPr>
              <w:t xml:space="preserve">                  19,031.06 </w:t>
            </w:r>
          </w:p>
        </w:tc>
        <w:tc>
          <w:tcPr>
            <w:tcW w:w="1017" w:type="dxa"/>
            <w:tcBorders>
              <w:top w:val="single" w:sz="4" w:space="0" w:color="auto"/>
              <w:left w:val="nil"/>
              <w:bottom w:val="single" w:sz="4" w:space="0" w:color="auto"/>
              <w:right w:val="single" w:sz="4" w:space="0" w:color="auto"/>
            </w:tcBorders>
            <w:shd w:val="clear" w:color="auto" w:fill="auto"/>
            <w:vAlign w:val="bottom"/>
          </w:tcPr>
          <w:p w14:paraId="2A0651A2" w14:textId="77777777" w:rsidR="000C12A9" w:rsidRPr="00F85253" w:rsidRDefault="000C12A9" w:rsidP="00681685">
            <w:pPr>
              <w:spacing w:after="0" w:line="240" w:lineRule="auto"/>
              <w:jc w:val="right"/>
              <w:rPr>
                <w:rFonts w:ascii="Arial" w:hAnsi="Arial" w:cs="Arial"/>
                <w:color w:val="000000"/>
                <w:sz w:val="20"/>
                <w:szCs w:val="18"/>
                <w:lang w:val="es-ES_tradnl"/>
              </w:rPr>
            </w:pPr>
            <w:r w:rsidRPr="00F85253">
              <w:rPr>
                <w:rFonts w:ascii="Arial" w:hAnsi="Arial" w:cs="Arial"/>
                <w:color w:val="000000"/>
                <w:sz w:val="20"/>
                <w:szCs w:val="18"/>
                <w:lang w:val="es-ES_tradnl"/>
              </w:rPr>
              <w:t xml:space="preserve">                  22,118.88 </w:t>
            </w:r>
          </w:p>
        </w:tc>
      </w:tr>
      <w:tr w:rsidR="000C12A9" w:rsidRPr="00F85253" w14:paraId="67D5FCBB" w14:textId="77777777" w:rsidTr="00A2607F">
        <w:trPr>
          <w:trHeight w:val="263"/>
        </w:trPr>
        <w:tc>
          <w:tcPr>
            <w:tcW w:w="4395" w:type="dxa"/>
            <w:tcBorders>
              <w:top w:val="nil"/>
              <w:left w:val="single" w:sz="4" w:space="0" w:color="auto"/>
              <w:bottom w:val="single" w:sz="4" w:space="0" w:color="auto"/>
              <w:right w:val="single" w:sz="4" w:space="0" w:color="auto"/>
            </w:tcBorders>
            <w:shd w:val="clear" w:color="auto" w:fill="auto"/>
            <w:vAlign w:val="bottom"/>
            <w:hideMark/>
          </w:tcPr>
          <w:p w14:paraId="0CF3ACDB" w14:textId="77777777" w:rsidR="000C12A9" w:rsidRPr="00F85253" w:rsidRDefault="000C12A9" w:rsidP="00681685">
            <w:pPr>
              <w:spacing w:after="0" w:line="240" w:lineRule="auto"/>
              <w:rPr>
                <w:rFonts w:ascii="Arial" w:hAnsi="Arial" w:cs="Arial"/>
                <w:i/>
                <w:color w:val="000000"/>
                <w:sz w:val="20"/>
                <w:szCs w:val="18"/>
                <w:lang w:val="es-ES_tradnl"/>
              </w:rPr>
            </w:pPr>
            <w:r w:rsidRPr="00F85253">
              <w:rPr>
                <w:rFonts w:ascii="Arial" w:hAnsi="Arial" w:cs="Arial"/>
                <w:i/>
                <w:color w:val="000000"/>
                <w:sz w:val="20"/>
                <w:szCs w:val="18"/>
                <w:lang w:val="es-ES_tradnl"/>
              </w:rPr>
              <w:t>T: recaudación aduanera de Ecuador</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3AF677" w14:textId="77777777" w:rsidR="000C12A9" w:rsidRPr="00F85253" w:rsidRDefault="000C12A9" w:rsidP="00681685">
            <w:pPr>
              <w:spacing w:after="0" w:line="240" w:lineRule="auto"/>
              <w:jc w:val="right"/>
              <w:rPr>
                <w:rFonts w:ascii="Arial" w:hAnsi="Arial" w:cs="Arial"/>
                <w:color w:val="000000"/>
                <w:sz w:val="20"/>
                <w:szCs w:val="18"/>
                <w:lang w:val="es-ES_tradnl"/>
              </w:rPr>
            </w:pPr>
            <w:r w:rsidRPr="00F85253">
              <w:rPr>
                <w:rFonts w:ascii="Arial" w:hAnsi="Arial" w:cs="Arial"/>
                <w:color w:val="000000"/>
                <w:sz w:val="20"/>
                <w:szCs w:val="18"/>
                <w:lang w:val="es-ES_tradnl"/>
              </w:rPr>
              <w:t xml:space="preserve">                     3,661.32 </w:t>
            </w:r>
          </w:p>
        </w:tc>
        <w:tc>
          <w:tcPr>
            <w:tcW w:w="1017" w:type="dxa"/>
            <w:tcBorders>
              <w:top w:val="single" w:sz="4" w:space="0" w:color="auto"/>
              <w:left w:val="nil"/>
              <w:bottom w:val="single" w:sz="4" w:space="0" w:color="auto"/>
              <w:right w:val="single" w:sz="4" w:space="0" w:color="auto"/>
            </w:tcBorders>
            <w:shd w:val="clear" w:color="auto" w:fill="auto"/>
            <w:noWrap/>
            <w:vAlign w:val="bottom"/>
            <w:hideMark/>
          </w:tcPr>
          <w:p w14:paraId="200E3A2E" w14:textId="77777777" w:rsidR="000C12A9" w:rsidRPr="00F85253" w:rsidRDefault="000C12A9" w:rsidP="00681685">
            <w:pPr>
              <w:spacing w:after="0" w:line="240" w:lineRule="auto"/>
              <w:jc w:val="right"/>
              <w:rPr>
                <w:rFonts w:ascii="Arial" w:hAnsi="Arial" w:cs="Arial"/>
                <w:color w:val="000000"/>
                <w:sz w:val="20"/>
                <w:szCs w:val="18"/>
                <w:lang w:val="es-ES_tradnl"/>
              </w:rPr>
            </w:pPr>
            <w:r w:rsidRPr="00F85253">
              <w:rPr>
                <w:rFonts w:ascii="Arial" w:hAnsi="Arial" w:cs="Arial"/>
                <w:color w:val="000000"/>
                <w:sz w:val="20"/>
                <w:szCs w:val="18"/>
                <w:lang w:val="es-ES_tradnl"/>
              </w:rPr>
              <w:t xml:space="preserve">                     3,894.96 </w:t>
            </w:r>
          </w:p>
        </w:tc>
        <w:tc>
          <w:tcPr>
            <w:tcW w:w="1017" w:type="dxa"/>
            <w:tcBorders>
              <w:top w:val="single" w:sz="4" w:space="0" w:color="auto"/>
              <w:left w:val="nil"/>
              <w:bottom w:val="single" w:sz="4" w:space="0" w:color="auto"/>
              <w:right w:val="single" w:sz="4" w:space="0" w:color="auto"/>
            </w:tcBorders>
            <w:shd w:val="clear" w:color="auto" w:fill="auto"/>
            <w:noWrap/>
            <w:vAlign w:val="bottom"/>
            <w:hideMark/>
          </w:tcPr>
          <w:p w14:paraId="5CDAAF6E" w14:textId="77777777" w:rsidR="000C12A9" w:rsidRPr="00F85253" w:rsidRDefault="000C12A9" w:rsidP="00681685">
            <w:pPr>
              <w:spacing w:after="0" w:line="240" w:lineRule="auto"/>
              <w:jc w:val="right"/>
              <w:rPr>
                <w:rFonts w:ascii="Arial" w:hAnsi="Arial" w:cs="Arial"/>
                <w:color w:val="000000"/>
                <w:sz w:val="20"/>
                <w:szCs w:val="18"/>
                <w:lang w:val="es-ES_tradnl"/>
              </w:rPr>
            </w:pPr>
            <w:r w:rsidRPr="00F85253">
              <w:rPr>
                <w:rFonts w:ascii="Arial" w:hAnsi="Arial" w:cs="Arial"/>
                <w:color w:val="000000"/>
                <w:sz w:val="20"/>
                <w:szCs w:val="18"/>
                <w:lang w:val="es-ES_tradnl"/>
              </w:rPr>
              <w:t xml:space="preserve">                     3,221.07 </w:t>
            </w:r>
          </w:p>
        </w:tc>
        <w:tc>
          <w:tcPr>
            <w:tcW w:w="1017" w:type="dxa"/>
            <w:tcBorders>
              <w:top w:val="single" w:sz="4" w:space="0" w:color="auto"/>
              <w:left w:val="nil"/>
              <w:bottom w:val="single" w:sz="4" w:space="0" w:color="auto"/>
              <w:right w:val="single" w:sz="4" w:space="0" w:color="auto"/>
            </w:tcBorders>
            <w:shd w:val="clear" w:color="auto" w:fill="auto"/>
            <w:noWrap/>
            <w:vAlign w:val="bottom"/>
            <w:hideMark/>
          </w:tcPr>
          <w:p w14:paraId="4C88FC0E" w14:textId="77777777" w:rsidR="000C12A9" w:rsidRPr="00F85253" w:rsidRDefault="000C12A9" w:rsidP="00681685">
            <w:pPr>
              <w:spacing w:after="0" w:line="240" w:lineRule="auto"/>
              <w:jc w:val="right"/>
              <w:rPr>
                <w:rFonts w:ascii="Arial" w:hAnsi="Arial" w:cs="Arial"/>
                <w:color w:val="000000"/>
                <w:sz w:val="20"/>
                <w:szCs w:val="18"/>
                <w:lang w:val="es-ES_tradnl"/>
              </w:rPr>
            </w:pPr>
            <w:r w:rsidRPr="00F85253">
              <w:rPr>
                <w:rFonts w:ascii="Arial" w:hAnsi="Arial" w:cs="Arial"/>
                <w:color w:val="000000"/>
                <w:sz w:val="20"/>
                <w:szCs w:val="18"/>
                <w:lang w:val="es-ES_tradnl"/>
              </w:rPr>
              <w:t xml:space="preserve">                     3,479.06 </w:t>
            </w:r>
          </w:p>
        </w:tc>
        <w:tc>
          <w:tcPr>
            <w:tcW w:w="1017" w:type="dxa"/>
            <w:tcBorders>
              <w:top w:val="single" w:sz="4" w:space="0" w:color="auto"/>
              <w:left w:val="nil"/>
              <w:bottom w:val="single" w:sz="4" w:space="0" w:color="auto"/>
              <w:right w:val="single" w:sz="4" w:space="0" w:color="auto"/>
            </w:tcBorders>
            <w:shd w:val="clear" w:color="auto" w:fill="auto"/>
            <w:vAlign w:val="bottom"/>
          </w:tcPr>
          <w:p w14:paraId="3E3A90E8" w14:textId="77777777" w:rsidR="000C12A9" w:rsidRPr="00F85253" w:rsidRDefault="000C12A9" w:rsidP="00681685">
            <w:pPr>
              <w:spacing w:after="0" w:line="240" w:lineRule="auto"/>
              <w:jc w:val="right"/>
              <w:rPr>
                <w:rFonts w:ascii="Arial" w:hAnsi="Arial" w:cs="Arial"/>
                <w:color w:val="000000"/>
                <w:sz w:val="20"/>
                <w:szCs w:val="18"/>
                <w:lang w:val="es-ES_tradnl"/>
              </w:rPr>
            </w:pPr>
            <w:r w:rsidRPr="00F85253">
              <w:rPr>
                <w:rFonts w:ascii="Arial" w:hAnsi="Arial" w:cs="Arial"/>
                <w:color w:val="000000"/>
                <w:sz w:val="20"/>
                <w:szCs w:val="18"/>
                <w:lang w:val="es-ES_tradnl"/>
              </w:rPr>
              <w:t xml:space="preserve">                     3,829.96 </w:t>
            </w:r>
          </w:p>
        </w:tc>
      </w:tr>
      <w:tr w:rsidR="000C12A9" w:rsidRPr="00F85253" w14:paraId="1668FEF5" w14:textId="77777777" w:rsidTr="00A2607F">
        <w:trPr>
          <w:trHeight w:val="263"/>
        </w:trPr>
        <w:tc>
          <w:tcPr>
            <w:tcW w:w="4395" w:type="dxa"/>
            <w:tcBorders>
              <w:top w:val="nil"/>
              <w:left w:val="single" w:sz="4" w:space="0" w:color="auto"/>
              <w:bottom w:val="single" w:sz="4" w:space="0" w:color="auto"/>
              <w:right w:val="single" w:sz="4" w:space="0" w:color="auto"/>
            </w:tcBorders>
            <w:shd w:val="clear" w:color="auto" w:fill="auto"/>
            <w:vAlign w:val="bottom"/>
            <w:hideMark/>
          </w:tcPr>
          <w:p w14:paraId="17EE9AF4" w14:textId="77777777" w:rsidR="00613940" w:rsidRPr="00F85253" w:rsidRDefault="000C12A9" w:rsidP="00681685">
            <w:pPr>
              <w:spacing w:after="0" w:line="240" w:lineRule="auto"/>
              <w:rPr>
                <w:rFonts w:ascii="Arial" w:hAnsi="Arial" w:cs="Arial"/>
                <w:i/>
                <w:color w:val="000000"/>
                <w:sz w:val="20"/>
                <w:szCs w:val="18"/>
                <w:lang w:val="es-ES_tradnl"/>
              </w:rPr>
            </w:pPr>
            <w:r w:rsidRPr="00F85253">
              <w:rPr>
                <w:rFonts w:ascii="Arial" w:hAnsi="Arial" w:cs="Arial"/>
                <w:i/>
                <w:color w:val="000000"/>
                <w:sz w:val="20"/>
                <w:szCs w:val="18"/>
                <w:lang w:val="es-ES_tradnl"/>
              </w:rPr>
              <w:t xml:space="preserve">Factor de conversión estándar </w:t>
            </w:r>
          </w:p>
          <w:p w14:paraId="174D73B8" w14:textId="37BB470D" w:rsidR="000C12A9" w:rsidRPr="00F85253" w:rsidRDefault="000C12A9" w:rsidP="00681685">
            <w:pPr>
              <w:spacing w:after="0" w:line="240" w:lineRule="auto"/>
              <w:rPr>
                <w:rFonts w:ascii="Arial" w:hAnsi="Arial" w:cs="Arial"/>
                <w:i/>
                <w:color w:val="000000"/>
                <w:sz w:val="20"/>
                <w:szCs w:val="18"/>
                <w:lang w:val="es-ES_tradnl"/>
              </w:rPr>
            </w:pPr>
            <w:r w:rsidRPr="00F85253">
              <w:rPr>
                <w:rFonts w:ascii="Arial" w:hAnsi="Arial" w:cs="Arial"/>
                <w:i/>
                <w:color w:val="000000"/>
                <w:sz w:val="20"/>
                <w:szCs w:val="18"/>
                <w:lang w:val="es-ES_tradnl"/>
              </w:rPr>
              <w:t>(FCE) = (X + M) / (X + M + 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5D0EE5" w14:textId="77777777" w:rsidR="000C12A9" w:rsidRPr="00F85253" w:rsidRDefault="000C12A9" w:rsidP="00681685">
            <w:pPr>
              <w:spacing w:after="0" w:line="240" w:lineRule="auto"/>
              <w:jc w:val="right"/>
              <w:rPr>
                <w:rFonts w:ascii="Arial" w:hAnsi="Arial" w:cs="Arial"/>
                <w:color w:val="000000"/>
                <w:sz w:val="20"/>
                <w:szCs w:val="18"/>
                <w:lang w:val="es-ES_tradnl"/>
              </w:rPr>
            </w:pPr>
            <w:r w:rsidRPr="00F85253">
              <w:rPr>
                <w:rFonts w:ascii="Arial" w:hAnsi="Arial" w:cs="Arial"/>
                <w:color w:val="000000"/>
                <w:sz w:val="20"/>
                <w:szCs w:val="18"/>
                <w:lang w:val="es-ES_tradnl"/>
              </w:rPr>
              <w:t xml:space="preserve">                           0.934 </w:t>
            </w:r>
          </w:p>
        </w:tc>
        <w:tc>
          <w:tcPr>
            <w:tcW w:w="1017" w:type="dxa"/>
            <w:tcBorders>
              <w:top w:val="single" w:sz="4" w:space="0" w:color="auto"/>
              <w:left w:val="nil"/>
              <w:bottom w:val="single" w:sz="4" w:space="0" w:color="auto"/>
              <w:right w:val="single" w:sz="4" w:space="0" w:color="auto"/>
            </w:tcBorders>
            <w:shd w:val="clear" w:color="auto" w:fill="auto"/>
            <w:noWrap/>
            <w:vAlign w:val="bottom"/>
            <w:hideMark/>
          </w:tcPr>
          <w:p w14:paraId="3A1131BF" w14:textId="77777777" w:rsidR="000C12A9" w:rsidRPr="00F85253" w:rsidRDefault="000C12A9" w:rsidP="00681685">
            <w:pPr>
              <w:spacing w:after="0" w:line="240" w:lineRule="auto"/>
              <w:jc w:val="right"/>
              <w:rPr>
                <w:rFonts w:ascii="Arial" w:hAnsi="Arial" w:cs="Arial"/>
                <w:color w:val="000000"/>
                <w:sz w:val="20"/>
                <w:szCs w:val="18"/>
                <w:lang w:val="es-ES_tradnl"/>
              </w:rPr>
            </w:pPr>
            <w:r w:rsidRPr="00F85253">
              <w:rPr>
                <w:rFonts w:ascii="Arial" w:hAnsi="Arial" w:cs="Arial"/>
                <w:color w:val="000000"/>
                <w:sz w:val="20"/>
                <w:szCs w:val="18"/>
                <w:lang w:val="es-ES_tradnl"/>
              </w:rPr>
              <w:t xml:space="preserve">                           0.909 </w:t>
            </w:r>
          </w:p>
        </w:tc>
        <w:tc>
          <w:tcPr>
            <w:tcW w:w="1017" w:type="dxa"/>
            <w:tcBorders>
              <w:top w:val="single" w:sz="4" w:space="0" w:color="auto"/>
              <w:left w:val="nil"/>
              <w:bottom w:val="single" w:sz="4" w:space="0" w:color="auto"/>
              <w:right w:val="single" w:sz="4" w:space="0" w:color="auto"/>
            </w:tcBorders>
            <w:shd w:val="clear" w:color="auto" w:fill="auto"/>
            <w:noWrap/>
            <w:vAlign w:val="bottom"/>
            <w:hideMark/>
          </w:tcPr>
          <w:p w14:paraId="40AE3BF6" w14:textId="77777777" w:rsidR="000C12A9" w:rsidRPr="00F85253" w:rsidRDefault="000C12A9" w:rsidP="00681685">
            <w:pPr>
              <w:spacing w:after="0" w:line="240" w:lineRule="auto"/>
              <w:jc w:val="right"/>
              <w:rPr>
                <w:rFonts w:ascii="Arial" w:hAnsi="Arial" w:cs="Arial"/>
                <w:color w:val="000000"/>
                <w:sz w:val="20"/>
                <w:szCs w:val="18"/>
                <w:lang w:val="es-ES_tradnl"/>
              </w:rPr>
            </w:pPr>
            <w:r w:rsidRPr="00F85253">
              <w:rPr>
                <w:rFonts w:ascii="Arial" w:hAnsi="Arial" w:cs="Arial"/>
                <w:color w:val="000000"/>
                <w:sz w:val="20"/>
                <w:szCs w:val="18"/>
                <w:lang w:val="es-ES_tradnl"/>
              </w:rPr>
              <w:t xml:space="preserve">                           0.909 </w:t>
            </w:r>
          </w:p>
        </w:tc>
        <w:tc>
          <w:tcPr>
            <w:tcW w:w="1017" w:type="dxa"/>
            <w:tcBorders>
              <w:top w:val="single" w:sz="4" w:space="0" w:color="auto"/>
              <w:left w:val="nil"/>
              <w:bottom w:val="single" w:sz="4" w:space="0" w:color="auto"/>
              <w:right w:val="single" w:sz="4" w:space="0" w:color="auto"/>
            </w:tcBorders>
            <w:shd w:val="clear" w:color="auto" w:fill="auto"/>
            <w:noWrap/>
            <w:vAlign w:val="bottom"/>
            <w:hideMark/>
          </w:tcPr>
          <w:p w14:paraId="773F2275" w14:textId="77777777" w:rsidR="000C12A9" w:rsidRPr="00F85253" w:rsidRDefault="000C12A9" w:rsidP="00681685">
            <w:pPr>
              <w:spacing w:after="0" w:line="240" w:lineRule="auto"/>
              <w:jc w:val="right"/>
              <w:rPr>
                <w:rFonts w:ascii="Arial" w:hAnsi="Arial" w:cs="Arial"/>
                <w:color w:val="000000"/>
                <w:sz w:val="20"/>
                <w:szCs w:val="18"/>
                <w:lang w:val="es-ES_tradnl"/>
              </w:rPr>
            </w:pPr>
            <w:r w:rsidRPr="00F85253">
              <w:rPr>
                <w:rFonts w:ascii="Arial" w:hAnsi="Arial" w:cs="Arial"/>
                <w:color w:val="000000"/>
                <w:sz w:val="20"/>
                <w:szCs w:val="18"/>
                <w:lang w:val="es-ES_tradnl"/>
              </w:rPr>
              <w:t xml:space="preserve">                           0.916 </w:t>
            </w:r>
          </w:p>
        </w:tc>
        <w:tc>
          <w:tcPr>
            <w:tcW w:w="1017" w:type="dxa"/>
            <w:tcBorders>
              <w:top w:val="single" w:sz="4" w:space="0" w:color="auto"/>
              <w:left w:val="nil"/>
              <w:bottom w:val="single" w:sz="4" w:space="0" w:color="auto"/>
              <w:right w:val="single" w:sz="4" w:space="0" w:color="auto"/>
            </w:tcBorders>
            <w:shd w:val="clear" w:color="auto" w:fill="auto"/>
            <w:vAlign w:val="bottom"/>
          </w:tcPr>
          <w:p w14:paraId="4C19D764" w14:textId="77777777" w:rsidR="000C12A9" w:rsidRPr="00F85253" w:rsidRDefault="000C12A9" w:rsidP="00681685">
            <w:pPr>
              <w:spacing w:after="0" w:line="240" w:lineRule="auto"/>
              <w:jc w:val="right"/>
              <w:rPr>
                <w:rFonts w:ascii="Arial" w:hAnsi="Arial" w:cs="Arial"/>
                <w:color w:val="000000"/>
                <w:sz w:val="20"/>
                <w:szCs w:val="18"/>
                <w:lang w:val="es-ES_tradnl"/>
              </w:rPr>
            </w:pPr>
            <w:r w:rsidRPr="00F85253">
              <w:rPr>
                <w:rFonts w:ascii="Arial" w:hAnsi="Arial" w:cs="Arial"/>
                <w:color w:val="000000"/>
                <w:sz w:val="20"/>
                <w:szCs w:val="18"/>
                <w:lang w:val="es-ES_tradnl"/>
              </w:rPr>
              <w:t xml:space="preserve">                           0.919 </w:t>
            </w:r>
          </w:p>
        </w:tc>
      </w:tr>
      <w:tr w:rsidR="000C12A9" w:rsidRPr="00F85253" w14:paraId="6BEE2EBF" w14:textId="77777777" w:rsidTr="00A2607F">
        <w:trPr>
          <w:trHeight w:val="285"/>
        </w:trPr>
        <w:tc>
          <w:tcPr>
            <w:tcW w:w="4395" w:type="dxa"/>
            <w:tcBorders>
              <w:top w:val="nil"/>
              <w:left w:val="single" w:sz="4" w:space="0" w:color="auto"/>
              <w:bottom w:val="single" w:sz="4" w:space="0" w:color="auto"/>
              <w:right w:val="single" w:sz="4" w:space="0" w:color="auto"/>
            </w:tcBorders>
            <w:shd w:val="clear" w:color="auto" w:fill="F2F2F2" w:themeFill="background1" w:themeFillShade="F2"/>
            <w:vAlign w:val="bottom"/>
            <w:hideMark/>
          </w:tcPr>
          <w:p w14:paraId="5509B87F" w14:textId="77777777" w:rsidR="000C12A9" w:rsidRPr="00F85253" w:rsidRDefault="000C12A9" w:rsidP="00681685">
            <w:pPr>
              <w:spacing w:after="0" w:line="240" w:lineRule="auto"/>
              <w:jc w:val="both"/>
              <w:rPr>
                <w:rFonts w:ascii="Arial" w:hAnsi="Arial" w:cs="Arial"/>
                <w:b/>
                <w:color w:val="000000"/>
                <w:sz w:val="20"/>
                <w:szCs w:val="18"/>
                <w:lang w:val="es-ES_tradnl"/>
              </w:rPr>
            </w:pPr>
            <w:r w:rsidRPr="00F85253">
              <w:rPr>
                <w:rFonts w:ascii="Arial" w:hAnsi="Arial" w:cs="Arial"/>
                <w:b/>
                <w:color w:val="000000"/>
                <w:sz w:val="20"/>
                <w:szCs w:val="18"/>
                <w:lang w:val="es-ES_tradnl"/>
              </w:rPr>
              <w:t>FCE medio</w:t>
            </w:r>
          </w:p>
        </w:tc>
        <w:tc>
          <w:tcPr>
            <w:tcW w:w="5202" w:type="dxa"/>
            <w:gridSpan w:val="5"/>
            <w:tcBorders>
              <w:top w:val="single" w:sz="4" w:space="0" w:color="auto"/>
              <w:left w:val="nil"/>
              <w:bottom w:val="single" w:sz="4" w:space="0" w:color="auto"/>
              <w:right w:val="single" w:sz="4" w:space="0" w:color="auto"/>
            </w:tcBorders>
            <w:shd w:val="clear" w:color="auto" w:fill="F2F2F2" w:themeFill="background1" w:themeFillShade="F2"/>
            <w:vAlign w:val="bottom"/>
            <w:hideMark/>
          </w:tcPr>
          <w:p w14:paraId="70F7C284" w14:textId="77777777" w:rsidR="000C12A9" w:rsidRPr="00F85253" w:rsidRDefault="000C12A9" w:rsidP="00681685">
            <w:pPr>
              <w:spacing w:after="0" w:line="240" w:lineRule="auto"/>
              <w:jc w:val="right"/>
              <w:rPr>
                <w:rFonts w:ascii="Arial" w:hAnsi="Arial" w:cs="Arial"/>
                <w:b/>
                <w:color w:val="000000"/>
                <w:sz w:val="20"/>
                <w:szCs w:val="18"/>
                <w:lang w:val="es-ES_tradnl"/>
              </w:rPr>
            </w:pPr>
            <w:r w:rsidRPr="00F85253">
              <w:rPr>
                <w:rFonts w:ascii="Arial" w:hAnsi="Arial" w:cs="Arial"/>
                <w:b/>
                <w:color w:val="000000"/>
                <w:sz w:val="20"/>
                <w:szCs w:val="18"/>
                <w:lang w:val="es-ES_tradnl"/>
              </w:rPr>
              <w:t>0.918</w:t>
            </w:r>
          </w:p>
        </w:tc>
      </w:tr>
      <w:tr w:rsidR="000C12A9" w:rsidRPr="00F85253" w14:paraId="6D02EEAC" w14:textId="77777777" w:rsidTr="00A2607F">
        <w:trPr>
          <w:trHeight w:val="285"/>
        </w:trPr>
        <w:tc>
          <w:tcPr>
            <w:tcW w:w="9597"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B844BB3" w14:textId="77777777" w:rsidR="000C12A9" w:rsidRPr="00F85253" w:rsidRDefault="000C12A9" w:rsidP="00681685">
            <w:pPr>
              <w:spacing w:after="0" w:line="240" w:lineRule="auto"/>
              <w:jc w:val="both"/>
              <w:rPr>
                <w:rFonts w:ascii="Arial" w:hAnsi="Arial" w:cs="Arial"/>
                <w:color w:val="000000"/>
                <w:sz w:val="20"/>
                <w:szCs w:val="18"/>
                <w:lang w:val="es-ES_tradnl"/>
              </w:rPr>
            </w:pPr>
            <w:r w:rsidRPr="00F85253">
              <w:rPr>
                <w:rFonts w:ascii="Arial" w:hAnsi="Arial" w:cs="Arial"/>
                <w:color w:val="000000"/>
                <w:sz w:val="20"/>
                <w:szCs w:val="18"/>
                <w:lang w:val="es-ES_tradnl"/>
              </w:rPr>
              <w:t xml:space="preserve">Fuente: Información Estadística Mensual No. 2005 a marzo – 2019. Banco Central del Ecuador (BCE) </w:t>
            </w:r>
          </w:p>
          <w:p w14:paraId="0D58E4AD" w14:textId="77777777" w:rsidR="000C12A9" w:rsidRPr="00F85253" w:rsidRDefault="000C12A9" w:rsidP="00681685">
            <w:pPr>
              <w:spacing w:after="0" w:line="240" w:lineRule="auto"/>
              <w:jc w:val="both"/>
              <w:rPr>
                <w:rFonts w:ascii="Arial" w:hAnsi="Arial" w:cs="Arial"/>
                <w:color w:val="000000"/>
                <w:sz w:val="20"/>
                <w:szCs w:val="18"/>
                <w:lang w:val="es-ES_tradnl"/>
              </w:rPr>
            </w:pPr>
            <w:r w:rsidRPr="00F85253">
              <w:rPr>
                <w:rFonts w:ascii="Arial" w:hAnsi="Arial" w:cs="Arial"/>
                <w:color w:val="000000"/>
                <w:sz w:val="20"/>
                <w:szCs w:val="18"/>
                <w:lang w:val="es-ES_tradnl"/>
              </w:rPr>
              <w:t xml:space="preserve">             Exportaciones FOB e Importaciones FOB</w:t>
            </w:r>
          </w:p>
          <w:p w14:paraId="264981BD" w14:textId="77777777" w:rsidR="000C12A9" w:rsidRPr="00F85253" w:rsidRDefault="000C12A9" w:rsidP="00681685">
            <w:pPr>
              <w:spacing w:after="0" w:line="240" w:lineRule="auto"/>
              <w:jc w:val="both"/>
              <w:rPr>
                <w:rFonts w:ascii="Arial" w:hAnsi="Arial" w:cs="Arial"/>
                <w:color w:val="000000"/>
                <w:sz w:val="20"/>
                <w:szCs w:val="18"/>
                <w:lang w:val="es-ES_tradnl"/>
              </w:rPr>
            </w:pPr>
            <w:r w:rsidRPr="00F85253">
              <w:rPr>
                <w:rFonts w:ascii="Arial" w:hAnsi="Arial" w:cs="Arial"/>
                <w:color w:val="000000"/>
                <w:sz w:val="20"/>
                <w:szCs w:val="18"/>
                <w:lang w:val="es-ES_tradnl"/>
              </w:rPr>
              <w:t xml:space="preserve">             Recaudaciones por tipo de tributo 2014-2018. Aduana del Ecuador (SENAE)   </w:t>
            </w:r>
          </w:p>
        </w:tc>
      </w:tr>
    </w:tbl>
    <w:p w14:paraId="248B3379" w14:textId="77777777" w:rsidR="000C12A9" w:rsidRPr="00F85253" w:rsidRDefault="000C12A9" w:rsidP="000C12A9">
      <w:pPr>
        <w:pStyle w:val="Paragraph"/>
        <w:spacing w:before="0" w:after="0" w:line="276" w:lineRule="auto"/>
        <w:ind w:left="900"/>
        <w:outlineLvl w:val="9"/>
        <w:rPr>
          <w:rFonts w:ascii="Arial" w:hAnsi="Arial" w:cs="Arial"/>
          <w:spacing w:val="-1"/>
          <w:sz w:val="22"/>
          <w:szCs w:val="22"/>
          <w:lang w:val="es-ES_tradnl"/>
        </w:rPr>
      </w:pPr>
    </w:p>
    <w:p w14:paraId="0B426D85" w14:textId="77777777" w:rsidR="000C12A9" w:rsidRPr="00F85253" w:rsidRDefault="000C12A9" w:rsidP="000C12A9">
      <w:pPr>
        <w:pStyle w:val="Paragraph"/>
        <w:numPr>
          <w:ilvl w:val="0"/>
          <w:numId w:val="4"/>
        </w:numPr>
        <w:spacing w:before="0" w:after="0" w:line="276" w:lineRule="auto"/>
        <w:ind w:left="900"/>
        <w:outlineLvl w:val="9"/>
        <w:rPr>
          <w:rFonts w:ascii="Arial" w:hAnsi="Arial" w:cs="Arial"/>
          <w:spacing w:val="-1"/>
          <w:sz w:val="22"/>
          <w:szCs w:val="22"/>
          <w:lang w:val="es-ES_tradnl"/>
        </w:rPr>
      </w:pPr>
      <w:r w:rsidRPr="00F85253">
        <w:rPr>
          <w:rFonts w:ascii="Arial" w:hAnsi="Arial" w:cs="Arial"/>
          <w:spacing w:val="-1"/>
          <w:sz w:val="22"/>
          <w:szCs w:val="22"/>
          <w:u w:val="single"/>
          <w:lang w:val="es-ES_tradnl"/>
        </w:rPr>
        <w:t>Factor de conversión de mano de obra estándar (FCMOS)</w:t>
      </w:r>
      <w:r w:rsidRPr="00F85253">
        <w:rPr>
          <w:rFonts w:ascii="Arial" w:hAnsi="Arial" w:cs="Arial"/>
          <w:spacing w:val="-1"/>
          <w:sz w:val="22"/>
          <w:szCs w:val="22"/>
          <w:lang w:val="es-ES_tradnl"/>
        </w:rPr>
        <w:t>: para este factor se deducen de las remuneraciones, aquellos ítems de cargas salariales que representan transferencias. Los datos correspondientes a Ecu</w:t>
      </w:r>
      <w:r w:rsidR="00A21C0F" w:rsidRPr="00F85253">
        <w:rPr>
          <w:rFonts w:ascii="Arial" w:hAnsi="Arial" w:cs="Arial"/>
          <w:spacing w:val="-1"/>
          <w:sz w:val="22"/>
          <w:szCs w:val="22"/>
          <w:lang w:val="es-ES_tradnl"/>
        </w:rPr>
        <w:t>ador</w:t>
      </w:r>
      <w:r w:rsidR="00CE257E" w:rsidRPr="00F85253">
        <w:rPr>
          <w:rFonts w:ascii="Arial" w:hAnsi="Arial" w:cs="Arial"/>
          <w:spacing w:val="-1"/>
          <w:sz w:val="22"/>
          <w:szCs w:val="22"/>
          <w:lang w:val="es-ES_tradnl"/>
        </w:rPr>
        <w:t>, considerando los servidores públicos,</w:t>
      </w:r>
      <w:r w:rsidR="00A21C0F" w:rsidRPr="00F85253">
        <w:rPr>
          <w:rFonts w:ascii="Arial" w:hAnsi="Arial" w:cs="Arial"/>
          <w:spacing w:val="-1"/>
          <w:sz w:val="22"/>
          <w:szCs w:val="22"/>
          <w:lang w:val="es-ES_tradnl"/>
        </w:rPr>
        <w:t xml:space="preserve"> se presentan en el cuadro </w:t>
      </w:r>
      <w:r w:rsidR="00BF0236" w:rsidRPr="00F85253">
        <w:rPr>
          <w:rFonts w:ascii="Arial" w:hAnsi="Arial" w:cs="Arial"/>
          <w:spacing w:val="-1"/>
          <w:sz w:val="22"/>
          <w:szCs w:val="22"/>
          <w:lang w:val="es-ES_tradnl"/>
        </w:rPr>
        <w:t>4</w:t>
      </w:r>
      <w:r w:rsidR="00CE257E" w:rsidRPr="00F85253">
        <w:rPr>
          <w:rFonts w:ascii="Arial" w:hAnsi="Arial" w:cs="Arial"/>
          <w:spacing w:val="-1"/>
          <w:sz w:val="22"/>
          <w:szCs w:val="22"/>
          <w:lang w:val="es-ES_tradnl"/>
        </w:rPr>
        <w:t xml:space="preserve">; y, para los empleados privados, en el cuadro </w:t>
      </w:r>
      <w:r w:rsidR="00BF0236" w:rsidRPr="00F85253">
        <w:rPr>
          <w:rFonts w:ascii="Arial" w:hAnsi="Arial" w:cs="Arial"/>
          <w:spacing w:val="-1"/>
          <w:sz w:val="22"/>
          <w:szCs w:val="22"/>
          <w:lang w:val="es-ES_tradnl"/>
        </w:rPr>
        <w:t>5</w:t>
      </w:r>
      <w:r w:rsidR="00CE257E" w:rsidRPr="00F85253">
        <w:rPr>
          <w:rFonts w:ascii="Arial" w:hAnsi="Arial" w:cs="Arial"/>
          <w:spacing w:val="-1"/>
          <w:sz w:val="22"/>
          <w:szCs w:val="22"/>
          <w:lang w:val="es-ES_tradnl"/>
        </w:rPr>
        <w:t>. L</w:t>
      </w:r>
      <w:r w:rsidRPr="00F85253">
        <w:rPr>
          <w:rFonts w:ascii="Arial" w:hAnsi="Arial" w:cs="Arial"/>
          <w:spacing w:val="-1"/>
          <w:sz w:val="22"/>
          <w:szCs w:val="22"/>
          <w:lang w:val="es-ES_tradnl"/>
        </w:rPr>
        <w:t xml:space="preserve">a estimación utiliza la siguiente expresión. </w:t>
      </w:r>
    </w:p>
    <w:p w14:paraId="163DC54D" w14:textId="77777777" w:rsidR="00991826" w:rsidRPr="00F85253" w:rsidRDefault="00991826" w:rsidP="00991826">
      <w:pPr>
        <w:pStyle w:val="Paragraph"/>
        <w:spacing w:before="0" w:after="0" w:line="276" w:lineRule="auto"/>
        <w:ind w:left="900"/>
        <w:outlineLvl w:val="9"/>
        <w:rPr>
          <w:rFonts w:ascii="Arial" w:hAnsi="Arial" w:cs="Arial"/>
          <w:spacing w:val="-1"/>
          <w:sz w:val="22"/>
          <w:szCs w:val="22"/>
          <w:lang w:val="es-ES_tradnl"/>
        </w:rPr>
      </w:pPr>
    </w:p>
    <w:p w14:paraId="0E704283" w14:textId="77777777" w:rsidR="008A7412" w:rsidRPr="00F85253" w:rsidRDefault="00CE257E" w:rsidP="000C12A9">
      <w:pPr>
        <w:pStyle w:val="Paragraph"/>
        <w:spacing w:before="0" w:after="0" w:line="276" w:lineRule="auto"/>
        <w:ind w:left="900"/>
        <w:outlineLvl w:val="9"/>
        <w:rPr>
          <w:rFonts w:ascii="Arial" w:hAnsi="Arial" w:cs="Arial"/>
          <w:i/>
          <w:spacing w:val="-1"/>
          <w:sz w:val="22"/>
          <w:szCs w:val="22"/>
          <w:lang w:val="es-ES_tradnl"/>
        </w:rPr>
      </w:pPr>
      <w:r w:rsidRPr="00F85253">
        <w:rPr>
          <w:rFonts w:ascii="Arial" w:hAnsi="Arial" w:cs="Arial"/>
          <w:i/>
          <w:spacing w:val="-1"/>
          <w:sz w:val="22"/>
          <w:szCs w:val="22"/>
          <w:lang w:val="es-ES_tradnl"/>
        </w:rPr>
        <w:t>Servidores Públicos:</w:t>
      </w:r>
    </w:p>
    <w:p w14:paraId="03B4621A" w14:textId="77777777" w:rsidR="000C12A9" w:rsidRPr="00F85253" w:rsidRDefault="000C12A9" w:rsidP="000C12A9">
      <w:pPr>
        <w:pStyle w:val="Paragraph"/>
        <w:spacing w:before="0" w:after="0" w:line="276" w:lineRule="auto"/>
        <w:ind w:left="900"/>
        <w:outlineLvl w:val="9"/>
        <w:rPr>
          <w:rFonts w:ascii="Arial" w:hAnsi="Arial" w:cs="Arial"/>
          <w:spacing w:val="-1"/>
          <w:sz w:val="22"/>
          <w:szCs w:val="22"/>
          <w:lang w:val="es-ES_tradnl"/>
        </w:rPr>
      </w:pPr>
      <m:oMathPara>
        <m:oMath>
          <m:r>
            <w:rPr>
              <w:rFonts w:ascii="Cambria Math" w:hAnsi="Cambria Math" w:cs="Arial"/>
              <w:spacing w:val="-1"/>
              <w:sz w:val="22"/>
              <w:szCs w:val="22"/>
              <w:lang w:val="es-ES_tradnl"/>
            </w:rPr>
            <m:t>FCMOS=</m:t>
          </m:r>
          <m:f>
            <m:fPr>
              <m:ctrlPr>
                <w:rPr>
                  <w:rFonts w:ascii="Cambria Math" w:hAnsi="Cambria Math" w:cs="Arial"/>
                  <w:i/>
                  <w:spacing w:val="-1"/>
                  <w:sz w:val="22"/>
                  <w:szCs w:val="22"/>
                  <w:lang w:val="es-ES_tradnl"/>
                </w:rPr>
              </m:ctrlPr>
            </m:fPr>
            <m:num>
              <m:r>
                <w:rPr>
                  <w:rFonts w:ascii="Cambria Math" w:hAnsi="Cambria Math" w:cs="Arial"/>
                  <w:spacing w:val="-1"/>
                  <w:sz w:val="22"/>
                  <w:szCs w:val="22"/>
                  <w:lang w:val="es-ES_tradnl"/>
                </w:rPr>
                <m:t>1</m:t>
              </m:r>
            </m:num>
            <m:den>
              <m:r>
                <w:rPr>
                  <w:rFonts w:ascii="Cambria Math" w:hAnsi="Cambria Math" w:cs="Arial"/>
                  <w:spacing w:val="-1"/>
                  <w:sz w:val="22"/>
                  <w:szCs w:val="22"/>
                  <w:lang w:val="es-ES_tradnl"/>
                </w:rPr>
                <m:t>1*SS</m:t>
              </m:r>
            </m:den>
          </m:f>
          <m:r>
            <w:rPr>
              <w:rFonts w:ascii="Cambria Math" w:hAnsi="Cambria Math" w:cs="Arial"/>
              <w:spacing w:val="-1"/>
              <w:sz w:val="22"/>
              <w:szCs w:val="22"/>
              <w:lang w:val="es-ES_tradnl"/>
            </w:rPr>
            <m:t>=</m:t>
          </m:r>
          <m:f>
            <m:fPr>
              <m:ctrlPr>
                <w:rPr>
                  <w:rFonts w:ascii="Cambria Math" w:hAnsi="Cambria Math" w:cs="Arial"/>
                  <w:i/>
                  <w:spacing w:val="-1"/>
                  <w:sz w:val="22"/>
                  <w:szCs w:val="22"/>
                  <w:lang w:val="es-ES_tradnl"/>
                </w:rPr>
              </m:ctrlPr>
            </m:fPr>
            <m:num>
              <m:r>
                <w:rPr>
                  <w:rFonts w:ascii="Cambria Math" w:hAnsi="Cambria Math" w:cs="Arial"/>
                  <w:spacing w:val="-1"/>
                  <w:sz w:val="22"/>
                  <w:szCs w:val="22"/>
                  <w:lang w:val="es-ES_tradnl"/>
                </w:rPr>
                <m:t>1</m:t>
              </m:r>
            </m:num>
            <m:den>
              <m:r>
                <w:rPr>
                  <w:rFonts w:ascii="Cambria Math" w:hAnsi="Cambria Math" w:cs="Arial"/>
                  <w:spacing w:val="-1"/>
                  <w:sz w:val="22"/>
                  <w:szCs w:val="22"/>
                  <w:lang w:val="es-ES_tradnl"/>
                </w:rPr>
                <m:t>1*0.1145</m:t>
              </m:r>
            </m:den>
          </m:f>
          <m:r>
            <w:rPr>
              <w:rFonts w:ascii="Cambria Math" w:hAnsi="Cambria Math" w:cs="Arial"/>
              <w:spacing w:val="-1"/>
              <w:sz w:val="22"/>
              <w:szCs w:val="22"/>
              <w:lang w:val="es-ES_tradnl"/>
            </w:rPr>
            <m:t>=</m:t>
          </m:r>
          <m:r>
            <m:rPr>
              <m:sty m:val="bi"/>
            </m:rPr>
            <w:rPr>
              <w:rFonts w:ascii="Cambria Math" w:hAnsi="Cambria Math" w:cs="Arial"/>
              <w:spacing w:val="-1"/>
              <w:sz w:val="22"/>
              <w:szCs w:val="22"/>
              <w:lang w:val="es-ES_tradnl"/>
            </w:rPr>
            <m:t>0.897</m:t>
          </m:r>
        </m:oMath>
      </m:oMathPara>
    </w:p>
    <w:p w14:paraId="6BFA2F7C" w14:textId="77777777" w:rsidR="008D1244" w:rsidRPr="00F85253" w:rsidRDefault="008D1244" w:rsidP="00CE257E">
      <w:pPr>
        <w:pStyle w:val="Paragraph"/>
        <w:spacing w:before="0" w:after="0" w:line="276" w:lineRule="auto"/>
        <w:ind w:left="900"/>
        <w:outlineLvl w:val="9"/>
        <w:rPr>
          <w:rFonts w:ascii="Arial" w:hAnsi="Arial" w:cs="Arial"/>
          <w:i/>
          <w:spacing w:val="-1"/>
          <w:sz w:val="22"/>
          <w:szCs w:val="22"/>
          <w:lang w:val="es-ES_tradnl"/>
        </w:rPr>
      </w:pPr>
    </w:p>
    <w:p w14:paraId="3A243000" w14:textId="77777777" w:rsidR="008A7412" w:rsidRPr="00F85253" w:rsidRDefault="00CE257E" w:rsidP="00CE257E">
      <w:pPr>
        <w:pStyle w:val="Paragraph"/>
        <w:spacing w:before="0" w:after="0" w:line="276" w:lineRule="auto"/>
        <w:ind w:left="900"/>
        <w:outlineLvl w:val="9"/>
        <w:rPr>
          <w:rFonts w:ascii="Arial" w:hAnsi="Arial" w:cs="Arial"/>
          <w:i/>
          <w:spacing w:val="-1"/>
          <w:sz w:val="22"/>
          <w:szCs w:val="22"/>
          <w:lang w:val="es-ES_tradnl"/>
        </w:rPr>
      </w:pPr>
      <w:r w:rsidRPr="00F85253">
        <w:rPr>
          <w:rFonts w:ascii="Arial" w:hAnsi="Arial" w:cs="Arial"/>
          <w:i/>
          <w:spacing w:val="-1"/>
          <w:sz w:val="22"/>
          <w:szCs w:val="22"/>
          <w:lang w:val="es-ES_tradnl"/>
        </w:rPr>
        <w:t>Trabadores Privados:</w:t>
      </w:r>
    </w:p>
    <w:p w14:paraId="19523E74" w14:textId="77777777" w:rsidR="00CE257E" w:rsidRPr="00F85253" w:rsidRDefault="00CE257E" w:rsidP="00CE257E">
      <w:pPr>
        <w:pStyle w:val="Paragraph"/>
        <w:spacing w:before="0" w:after="0" w:line="276" w:lineRule="auto"/>
        <w:ind w:left="900"/>
        <w:outlineLvl w:val="9"/>
        <w:rPr>
          <w:rFonts w:ascii="Arial" w:hAnsi="Arial" w:cs="Arial"/>
          <w:spacing w:val="-1"/>
          <w:sz w:val="22"/>
          <w:szCs w:val="22"/>
          <w:lang w:val="es-ES_tradnl"/>
        </w:rPr>
      </w:pPr>
      <m:oMathPara>
        <m:oMath>
          <m:r>
            <w:rPr>
              <w:rFonts w:ascii="Cambria Math" w:hAnsi="Cambria Math" w:cs="Arial"/>
              <w:spacing w:val="-1"/>
              <w:sz w:val="22"/>
              <w:szCs w:val="22"/>
              <w:lang w:val="es-ES_tradnl"/>
            </w:rPr>
            <m:t>FCMOS=</m:t>
          </m:r>
          <m:f>
            <m:fPr>
              <m:ctrlPr>
                <w:rPr>
                  <w:rFonts w:ascii="Cambria Math" w:hAnsi="Cambria Math" w:cs="Arial"/>
                  <w:i/>
                  <w:spacing w:val="-1"/>
                  <w:sz w:val="22"/>
                  <w:szCs w:val="22"/>
                  <w:lang w:val="es-ES_tradnl"/>
                </w:rPr>
              </m:ctrlPr>
            </m:fPr>
            <m:num>
              <m:r>
                <w:rPr>
                  <w:rFonts w:ascii="Cambria Math" w:hAnsi="Cambria Math" w:cs="Arial"/>
                  <w:spacing w:val="-1"/>
                  <w:sz w:val="22"/>
                  <w:szCs w:val="22"/>
                  <w:lang w:val="es-ES_tradnl"/>
                </w:rPr>
                <m:t>1</m:t>
              </m:r>
            </m:num>
            <m:den>
              <m:r>
                <w:rPr>
                  <w:rFonts w:ascii="Cambria Math" w:hAnsi="Cambria Math" w:cs="Arial"/>
                  <w:spacing w:val="-1"/>
                  <w:sz w:val="22"/>
                  <w:szCs w:val="22"/>
                  <w:lang w:val="es-ES_tradnl"/>
                </w:rPr>
                <m:t>1*SS</m:t>
              </m:r>
            </m:den>
          </m:f>
          <m:r>
            <w:rPr>
              <w:rFonts w:ascii="Cambria Math" w:hAnsi="Cambria Math" w:cs="Arial"/>
              <w:spacing w:val="-1"/>
              <w:sz w:val="22"/>
              <w:szCs w:val="22"/>
              <w:lang w:val="es-ES_tradnl"/>
            </w:rPr>
            <m:t>=</m:t>
          </m:r>
          <m:f>
            <m:fPr>
              <m:ctrlPr>
                <w:rPr>
                  <w:rFonts w:ascii="Cambria Math" w:hAnsi="Cambria Math" w:cs="Arial"/>
                  <w:i/>
                  <w:spacing w:val="-1"/>
                  <w:sz w:val="22"/>
                  <w:szCs w:val="22"/>
                  <w:lang w:val="es-ES_tradnl"/>
                </w:rPr>
              </m:ctrlPr>
            </m:fPr>
            <m:num>
              <m:r>
                <w:rPr>
                  <w:rFonts w:ascii="Cambria Math" w:hAnsi="Cambria Math" w:cs="Arial"/>
                  <w:spacing w:val="-1"/>
                  <w:sz w:val="22"/>
                  <w:szCs w:val="22"/>
                  <w:lang w:val="es-ES_tradnl"/>
                </w:rPr>
                <m:t>1</m:t>
              </m:r>
            </m:num>
            <m:den>
              <m:r>
                <w:rPr>
                  <w:rFonts w:ascii="Cambria Math" w:hAnsi="Cambria Math" w:cs="Arial"/>
                  <w:spacing w:val="-1"/>
                  <w:sz w:val="22"/>
                  <w:szCs w:val="22"/>
                  <w:lang w:val="es-ES_tradnl"/>
                </w:rPr>
                <m:t>1*0.0945</m:t>
              </m:r>
            </m:den>
          </m:f>
          <m:r>
            <w:rPr>
              <w:rFonts w:ascii="Cambria Math" w:hAnsi="Cambria Math" w:cs="Arial"/>
              <w:spacing w:val="-1"/>
              <w:sz w:val="22"/>
              <w:szCs w:val="22"/>
              <w:lang w:val="es-ES_tradnl"/>
            </w:rPr>
            <m:t>=</m:t>
          </m:r>
          <m:r>
            <m:rPr>
              <m:sty m:val="bi"/>
            </m:rPr>
            <w:rPr>
              <w:rFonts w:ascii="Cambria Math" w:hAnsi="Cambria Math" w:cs="Arial"/>
              <w:spacing w:val="-1"/>
              <w:sz w:val="22"/>
              <w:szCs w:val="22"/>
              <w:lang w:val="es-ES_tradnl"/>
            </w:rPr>
            <m:t>0.914</m:t>
          </m:r>
        </m:oMath>
      </m:oMathPara>
    </w:p>
    <w:p w14:paraId="77FC9643" w14:textId="77777777" w:rsidR="008D1244" w:rsidRPr="00F85253" w:rsidRDefault="008D1244" w:rsidP="000C12A9">
      <w:pPr>
        <w:pStyle w:val="Paragraph"/>
        <w:spacing w:before="0" w:after="0" w:line="276" w:lineRule="auto"/>
        <w:ind w:left="900"/>
        <w:outlineLvl w:val="9"/>
        <w:rPr>
          <w:rFonts w:ascii="Arial" w:hAnsi="Arial" w:cs="Arial"/>
          <w:spacing w:val="-1"/>
          <w:sz w:val="22"/>
          <w:szCs w:val="22"/>
          <w:lang w:val="es-ES_tradnl"/>
        </w:rPr>
      </w:pPr>
    </w:p>
    <w:p w14:paraId="0332A270" w14:textId="77777777" w:rsidR="000C12A9" w:rsidRPr="00F85253" w:rsidRDefault="000C12A9" w:rsidP="000C12A9">
      <w:pPr>
        <w:pStyle w:val="Paragraph"/>
        <w:spacing w:before="0" w:after="0" w:line="276" w:lineRule="auto"/>
        <w:ind w:left="900"/>
        <w:outlineLvl w:val="9"/>
        <w:rPr>
          <w:rFonts w:ascii="Arial" w:hAnsi="Arial" w:cs="Arial"/>
          <w:spacing w:val="-1"/>
          <w:sz w:val="22"/>
          <w:szCs w:val="22"/>
          <w:lang w:val="es-ES_tradnl"/>
        </w:rPr>
      </w:pPr>
      <w:r w:rsidRPr="00F85253">
        <w:rPr>
          <w:rFonts w:ascii="Arial" w:hAnsi="Arial" w:cs="Arial"/>
          <w:spacing w:val="-1"/>
          <w:sz w:val="22"/>
          <w:szCs w:val="22"/>
          <w:lang w:val="es-ES_tradnl"/>
        </w:rPr>
        <w:t>Donde:</w:t>
      </w:r>
    </w:p>
    <w:p w14:paraId="488E624D" w14:textId="77777777" w:rsidR="000C12A9" w:rsidRPr="00F85253" w:rsidRDefault="000C12A9" w:rsidP="000C12A9">
      <w:pPr>
        <w:pStyle w:val="Paragraph"/>
        <w:spacing w:before="0" w:after="0" w:line="276" w:lineRule="auto"/>
        <w:ind w:left="180" w:firstLine="720"/>
        <w:outlineLvl w:val="9"/>
        <w:rPr>
          <w:rFonts w:ascii="Arial" w:hAnsi="Arial" w:cs="Arial"/>
          <w:sz w:val="22"/>
          <w:szCs w:val="22"/>
          <w:lang w:val="es-ES_tradnl"/>
        </w:rPr>
      </w:pPr>
      <m:oMath>
        <m:r>
          <w:rPr>
            <w:rFonts w:ascii="Cambria Math" w:hAnsi="Cambria Math" w:cs="Arial"/>
            <w:spacing w:val="-1"/>
            <w:sz w:val="22"/>
            <w:szCs w:val="22"/>
            <w:lang w:val="es-ES_tradnl"/>
          </w:rPr>
          <m:t xml:space="preserve">FCMOS:Factor de conversión de mano de obra estándar </m:t>
        </m:r>
      </m:oMath>
      <w:r w:rsidRPr="00F85253">
        <w:rPr>
          <w:rFonts w:ascii="Arial" w:hAnsi="Arial" w:cs="Arial"/>
          <w:spacing w:val="-1"/>
          <w:sz w:val="22"/>
          <w:szCs w:val="22"/>
          <w:lang w:val="es-ES_tradnl"/>
        </w:rPr>
        <w:t xml:space="preserve"> </w:t>
      </w:r>
    </w:p>
    <w:p w14:paraId="195E05FC" w14:textId="77777777" w:rsidR="000C12A9" w:rsidRPr="00F85253" w:rsidRDefault="000C12A9" w:rsidP="000C12A9">
      <w:pPr>
        <w:pStyle w:val="Paragraph"/>
        <w:spacing w:before="0" w:after="0" w:line="276" w:lineRule="auto"/>
        <w:ind w:left="180" w:firstLine="720"/>
        <w:outlineLvl w:val="9"/>
        <w:rPr>
          <w:rFonts w:ascii="Arial" w:hAnsi="Arial" w:cs="Arial"/>
          <w:sz w:val="22"/>
          <w:szCs w:val="22"/>
          <w:lang w:val="es-ES_tradnl"/>
        </w:rPr>
      </w:pPr>
      <m:oMath>
        <m:r>
          <w:rPr>
            <w:rFonts w:ascii="Cambria Math" w:hAnsi="Cambria Math" w:cs="Arial"/>
            <w:sz w:val="22"/>
            <w:szCs w:val="22"/>
            <w:lang w:val="es-ES_tradnl"/>
          </w:rPr>
          <m:t>SS:  Descuento por compensaciones sociales (público o privado)</m:t>
        </m:r>
      </m:oMath>
      <w:r w:rsidR="002346AC" w:rsidRPr="00F85253">
        <w:rPr>
          <w:rFonts w:ascii="Arial" w:hAnsi="Arial" w:cs="Arial"/>
          <w:sz w:val="22"/>
          <w:szCs w:val="22"/>
          <w:lang w:val="es-ES_tradnl"/>
        </w:rPr>
        <w:t xml:space="preserve"> </w:t>
      </w:r>
      <w:r w:rsidRPr="00F85253">
        <w:rPr>
          <w:rFonts w:ascii="Arial" w:hAnsi="Arial" w:cs="Arial"/>
          <w:sz w:val="22"/>
          <w:szCs w:val="22"/>
          <w:lang w:val="es-ES_tradnl"/>
        </w:rPr>
        <w:t xml:space="preserve"> </w:t>
      </w:r>
    </w:p>
    <w:p w14:paraId="47184F24" w14:textId="77777777" w:rsidR="000C12A9" w:rsidRPr="00F85253" w:rsidRDefault="000C12A9" w:rsidP="000C12A9">
      <w:pPr>
        <w:pStyle w:val="Paragraph"/>
        <w:spacing w:before="0" w:after="0" w:line="276" w:lineRule="auto"/>
        <w:ind w:left="900"/>
        <w:outlineLvl w:val="9"/>
        <w:rPr>
          <w:rFonts w:ascii="Arial" w:hAnsi="Arial" w:cs="Arial"/>
          <w:spacing w:val="-1"/>
          <w:sz w:val="22"/>
          <w:szCs w:val="22"/>
          <w:lang w:val="es-ES_tradnl"/>
        </w:rPr>
      </w:pPr>
    </w:p>
    <w:tbl>
      <w:tblPr>
        <w:tblW w:w="8001" w:type="dxa"/>
        <w:tblInd w:w="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2"/>
        <w:gridCol w:w="889"/>
      </w:tblGrid>
      <w:tr w:rsidR="000C12A9" w:rsidRPr="00F85253" w14:paraId="102F16FC" w14:textId="77777777" w:rsidTr="00E61FA5">
        <w:trPr>
          <w:trHeight w:val="257"/>
        </w:trPr>
        <w:tc>
          <w:tcPr>
            <w:tcW w:w="8001" w:type="dxa"/>
            <w:gridSpan w:val="2"/>
            <w:tcBorders>
              <w:bottom w:val="single" w:sz="4" w:space="0" w:color="auto"/>
            </w:tcBorders>
            <w:shd w:val="clear" w:color="auto" w:fill="F2F2F2" w:themeFill="background1" w:themeFillShade="F2"/>
            <w:noWrap/>
            <w:vAlign w:val="bottom"/>
            <w:hideMark/>
          </w:tcPr>
          <w:p w14:paraId="0AA0F392" w14:textId="77777777" w:rsidR="000C12A9" w:rsidRPr="00F85253" w:rsidRDefault="000C12A9" w:rsidP="003009EA">
            <w:pPr>
              <w:spacing w:after="0"/>
              <w:jc w:val="both"/>
              <w:rPr>
                <w:rFonts w:ascii="Arial" w:hAnsi="Arial" w:cs="Arial"/>
                <w:b/>
                <w:color w:val="000000"/>
                <w:sz w:val="20"/>
                <w:szCs w:val="20"/>
                <w:lang w:val="es-ES_tradnl"/>
              </w:rPr>
            </w:pPr>
            <w:r w:rsidRPr="00F85253">
              <w:rPr>
                <w:rFonts w:ascii="Arial" w:hAnsi="Arial" w:cs="Arial"/>
                <w:b/>
                <w:color w:val="000000"/>
                <w:sz w:val="20"/>
                <w:szCs w:val="20"/>
                <w:lang w:val="es-ES_tradnl"/>
              </w:rPr>
              <w:t xml:space="preserve">Cuadro </w:t>
            </w:r>
            <w:r w:rsidR="00BF0236" w:rsidRPr="00F85253">
              <w:rPr>
                <w:rFonts w:ascii="Arial" w:hAnsi="Arial" w:cs="Arial"/>
                <w:b/>
                <w:color w:val="000000"/>
                <w:sz w:val="20"/>
                <w:szCs w:val="20"/>
                <w:lang w:val="es-ES_tradnl"/>
              </w:rPr>
              <w:t>4</w:t>
            </w:r>
            <w:r w:rsidR="00A7730C" w:rsidRPr="00F85253">
              <w:rPr>
                <w:rFonts w:ascii="Arial" w:hAnsi="Arial" w:cs="Arial"/>
                <w:b/>
                <w:color w:val="000000"/>
                <w:sz w:val="20"/>
                <w:szCs w:val="20"/>
                <w:lang w:val="es-ES_tradnl"/>
              </w:rPr>
              <w:t>- Cargas s</w:t>
            </w:r>
            <w:r w:rsidRPr="00F85253">
              <w:rPr>
                <w:rFonts w:ascii="Arial" w:hAnsi="Arial" w:cs="Arial"/>
                <w:b/>
                <w:color w:val="000000"/>
                <w:sz w:val="20"/>
                <w:szCs w:val="20"/>
                <w:lang w:val="es-ES_tradnl"/>
              </w:rPr>
              <w:t>alariales sobre el Empleado (2018)</w:t>
            </w:r>
          </w:p>
          <w:p w14:paraId="5BACD332" w14:textId="77777777" w:rsidR="00E61FA5" w:rsidRPr="00F85253" w:rsidRDefault="008A7412" w:rsidP="003009EA">
            <w:pPr>
              <w:spacing w:after="0"/>
              <w:jc w:val="both"/>
              <w:rPr>
                <w:rFonts w:ascii="Arial" w:hAnsi="Arial" w:cs="Arial"/>
                <w:b/>
                <w:color w:val="000000"/>
                <w:sz w:val="20"/>
                <w:szCs w:val="20"/>
                <w:lang w:val="es-ES_tradnl"/>
              </w:rPr>
            </w:pPr>
            <w:r w:rsidRPr="00F85253">
              <w:rPr>
                <w:rFonts w:ascii="Arial" w:hAnsi="Arial" w:cs="Arial"/>
                <w:b/>
                <w:color w:val="000000"/>
                <w:sz w:val="20"/>
                <w:szCs w:val="20"/>
                <w:lang w:val="es-ES_tradnl"/>
              </w:rPr>
              <w:t>Servidores públicos</w:t>
            </w:r>
          </w:p>
        </w:tc>
      </w:tr>
      <w:tr w:rsidR="000C12A9" w:rsidRPr="00F85253" w14:paraId="37883F95" w14:textId="77777777" w:rsidTr="003009EA">
        <w:trPr>
          <w:trHeight w:val="243"/>
        </w:trPr>
        <w:tc>
          <w:tcPr>
            <w:tcW w:w="7112" w:type="dxa"/>
            <w:tcBorders>
              <w:top w:val="single" w:sz="4" w:space="0" w:color="auto"/>
              <w:left w:val="single" w:sz="4" w:space="0" w:color="auto"/>
              <w:bottom w:val="nil"/>
              <w:right w:val="single" w:sz="4" w:space="0" w:color="auto"/>
            </w:tcBorders>
            <w:shd w:val="clear" w:color="auto" w:fill="auto"/>
            <w:noWrap/>
            <w:vAlign w:val="bottom"/>
            <w:hideMark/>
          </w:tcPr>
          <w:p w14:paraId="799171A6" w14:textId="77777777" w:rsidR="000C12A9" w:rsidRPr="00F85253" w:rsidRDefault="000C12A9" w:rsidP="003009EA">
            <w:pPr>
              <w:spacing w:after="0"/>
              <w:jc w:val="both"/>
              <w:rPr>
                <w:rFonts w:ascii="Arial" w:hAnsi="Arial" w:cs="Arial"/>
                <w:color w:val="000000"/>
                <w:sz w:val="20"/>
                <w:szCs w:val="20"/>
                <w:lang w:val="es-ES_tradnl"/>
              </w:rPr>
            </w:pPr>
            <w:r w:rsidRPr="00F85253">
              <w:rPr>
                <w:rFonts w:ascii="Arial" w:hAnsi="Arial" w:cs="Arial"/>
                <w:color w:val="000000"/>
                <w:sz w:val="20"/>
                <w:szCs w:val="20"/>
                <w:lang w:val="es-ES_tradnl"/>
              </w:rPr>
              <w:t>Seguro General de Pensiones</w:t>
            </w:r>
          </w:p>
        </w:tc>
        <w:tc>
          <w:tcPr>
            <w:tcW w:w="889" w:type="dxa"/>
            <w:tcBorders>
              <w:top w:val="single" w:sz="4" w:space="0" w:color="auto"/>
              <w:left w:val="single" w:sz="4" w:space="0" w:color="auto"/>
              <w:bottom w:val="nil"/>
              <w:right w:val="single" w:sz="4" w:space="0" w:color="auto"/>
            </w:tcBorders>
            <w:shd w:val="clear" w:color="auto" w:fill="auto"/>
            <w:noWrap/>
            <w:vAlign w:val="bottom"/>
            <w:hideMark/>
          </w:tcPr>
          <w:p w14:paraId="5BC1DEAB" w14:textId="77777777" w:rsidR="000C12A9" w:rsidRPr="00F85253" w:rsidRDefault="000C12A9" w:rsidP="003009EA">
            <w:pPr>
              <w:spacing w:after="0"/>
              <w:jc w:val="both"/>
              <w:rPr>
                <w:rFonts w:ascii="Arial" w:hAnsi="Arial" w:cs="Arial"/>
                <w:color w:val="000000"/>
                <w:sz w:val="20"/>
                <w:szCs w:val="20"/>
                <w:lang w:val="es-ES_tradnl"/>
              </w:rPr>
            </w:pPr>
            <w:r w:rsidRPr="00F85253">
              <w:rPr>
                <w:rFonts w:ascii="Arial" w:hAnsi="Arial" w:cs="Arial"/>
                <w:color w:val="000000"/>
                <w:sz w:val="20"/>
                <w:szCs w:val="20"/>
                <w:lang w:val="es-ES_tradnl"/>
              </w:rPr>
              <w:t>0.0576</w:t>
            </w:r>
          </w:p>
        </w:tc>
      </w:tr>
      <w:tr w:rsidR="000C12A9" w:rsidRPr="00F85253" w14:paraId="145C40FA" w14:textId="77777777" w:rsidTr="003009EA">
        <w:trPr>
          <w:trHeight w:val="243"/>
        </w:trPr>
        <w:tc>
          <w:tcPr>
            <w:tcW w:w="7112" w:type="dxa"/>
            <w:tcBorders>
              <w:top w:val="nil"/>
              <w:left w:val="single" w:sz="4" w:space="0" w:color="auto"/>
              <w:bottom w:val="nil"/>
              <w:right w:val="single" w:sz="4" w:space="0" w:color="auto"/>
            </w:tcBorders>
            <w:shd w:val="clear" w:color="auto" w:fill="auto"/>
            <w:noWrap/>
            <w:vAlign w:val="bottom"/>
            <w:hideMark/>
          </w:tcPr>
          <w:p w14:paraId="00FBFB78" w14:textId="77777777" w:rsidR="000C12A9" w:rsidRPr="00F85253" w:rsidRDefault="000C12A9" w:rsidP="003009EA">
            <w:pPr>
              <w:spacing w:after="0"/>
              <w:jc w:val="both"/>
              <w:rPr>
                <w:rFonts w:ascii="Arial" w:hAnsi="Arial" w:cs="Arial"/>
                <w:color w:val="000000"/>
                <w:sz w:val="20"/>
                <w:szCs w:val="20"/>
                <w:lang w:val="es-ES_tradnl"/>
              </w:rPr>
            </w:pPr>
            <w:r w:rsidRPr="00F85253">
              <w:rPr>
                <w:rFonts w:ascii="Arial" w:hAnsi="Arial" w:cs="Arial"/>
                <w:color w:val="000000"/>
                <w:sz w:val="20"/>
                <w:szCs w:val="20"/>
                <w:lang w:val="es-ES_tradnl"/>
              </w:rPr>
              <w:t>Ley Orgánica de Discapacidades</w:t>
            </w:r>
          </w:p>
        </w:tc>
        <w:tc>
          <w:tcPr>
            <w:tcW w:w="889" w:type="dxa"/>
            <w:tcBorders>
              <w:top w:val="nil"/>
              <w:left w:val="single" w:sz="4" w:space="0" w:color="auto"/>
              <w:bottom w:val="nil"/>
              <w:right w:val="single" w:sz="4" w:space="0" w:color="auto"/>
            </w:tcBorders>
            <w:shd w:val="clear" w:color="auto" w:fill="auto"/>
            <w:noWrap/>
            <w:vAlign w:val="bottom"/>
            <w:hideMark/>
          </w:tcPr>
          <w:p w14:paraId="5DEAD0E1" w14:textId="77777777" w:rsidR="000C12A9" w:rsidRPr="00F85253" w:rsidRDefault="000C12A9" w:rsidP="003009EA">
            <w:pPr>
              <w:spacing w:after="0"/>
              <w:jc w:val="both"/>
              <w:rPr>
                <w:rFonts w:ascii="Arial" w:hAnsi="Arial" w:cs="Arial"/>
                <w:color w:val="000000"/>
                <w:sz w:val="20"/>
                <w:szCs w:val="20"/>
                <w:lang w:val="es-ES_tradnl"/>
              </w:rPr>
            </w:pPr>
            <w:r w:rsidRPr="00F85253">
              <w:rPr>
                <w:rFonts w:ascii="Arial" w:hAnsi="Arial" w:cs="Arial"/>
                <w:color w:val="000000"/>
                <w:sz w:val="20"/>
                <w:szCs w:val="20"/>
                <w:lang w:val="es-ES_tradnl"/>
              </w:rPr>
              <w:t>0.0010</w:t>
            </w:r>
          </w:p>
        </w:tc>
      </w:tr>
      <w:tr w:rsidR="000C12A9" w:rsidRPr="00F85253" w14:paraId="212E11B9" w14:textId="77777777" w:rsidTr="003009EA">
        <w:trPr>
          <w:trHeight w:val="243"/>
        </w:trPr>
        <w:tc>
          <w:tcPr>
            <w:tcW w:w="7112" w:type="dxa"/>
            <w:tcBorders>
              <w:top w:val="nil"/>
              <w:left w:val="single" w:sz="4" w:space="0" w:color="auto"/>
              <w:bottom w:val="nil"/>
              <w:right w:val="single" w:sz="4" w:space="0" w:color="auto"/>
            </w:tcBorders>
            <w:shd w:val="clear" w:color="auto" w:fill="auto"/>
            <w:noWrap/>
            <w:vAlign w:val="bottom"/>
            <w:hideMark/>
          </w:tcPr>
          <w:p w14:paraId="323571B7" w14:textId="77777777" w:rsidR="000C12A9" w:rsidRPr="00F85253" w:rsidRDefault="000C12A9" w:rsidP="003009EA">
            <w:pPr>
              <w:spacing w:after="0"/>
              <w:jc w:val="both"/>
              <w:rPr>
                <w:rFonts w:ascii="Arial" w:hAnsi="Arial" w:cs="Arial"/>
                <w:color w:val="000000"/>
                <w:sz w:val="20"/>
                <w:szCs w:val="20"/>
                <w:lang w:val="es-ES_tradnl"/>
              </w:rPr>
            </w:pPr>
            <w:r w:rsidRPr="00F85253">
              <w:rPr>
                <w:rFonts w:ascii="Arial" w:hAnsi="Arial" w:cs="Arial"/>
                <w:color w:val="000000"/>
                <w:sz w:val="20"/>
                <w:szCs w:val="20"/>
                <w:lang w:val="es-ES_tradnl"/>
              </w:rPr>
              <w:t>Salud</w:t>
            </w:r>
          </w:p>
        </w:tc>
        <w:tc>
          <w:tcPr>
            <w:tcW w:w="889" w:type="dxa"/>
            <w:tcBorders>
              <w:top w:val="nil"/>
              <w:left w:val="single" w:sz="4" w:space="0" w:color="auto"/>
              <w:bottom w:val="nil"/>
              <w:right w:val="single" w:sz="4" w:space="0" w:color="auto"/>
            </w:tcBorders>
            <w:shd w:val="clear" w:color="auto" w:fill="auto"/>
            <w:noWrap/>
            <w:vAlign w:val="bottom"/>
            <w:hideMark/>
          </w:tcPr>
          <w:p w14:paraId="47584A7A" w14:textId="77777777" w:rsidR="000C12A9" w:rsidRPr="00F85253" w:rsidRDefault="000C12A9" w:rsidP="003009EA">
            <w:pPr>
              <w:spacing w:after="0"/>
              <w:jc w:val="both"/>
              <w:rPr>
                <w:rFonts w:ascii="Arial" w:hAnsi="Arial" w:cs="Arial"/>
                <w:color w:val="000000"/>
                <w:sz w:val="20"/>
                <w:szCs w:val="20"/>
                <w:lang w:val="es-ES_tradnl"/>
              </w:rPr>
            </w:pPr>
            <w:r w:rsidRPr="00F85253">
              <w:rPr>
                <w:rFonts w:ascii="Arial" w:hAnsi="Arial" w:cs="Arial"/>
                <w:color w:val="000000"/>
                <w:sz w:val="20"/>
                <w:szCs w:val="20"/>
                <w:lang w:val="es-ES_tradnl"/>
              </w:rPr>
              <w:t>0.0288</w:t>
            </w:r>
          </w:p>
        </w:tc>
      </w:tr>
      <w:tr w:rsidR="000C12A9" w:rsidRPr="00F85253" w14:paraId="1E130D41" w14:textId="77777777" w:rsidTr="003009EA">
        <w:trPr>
          <w:trHeight w:val="243"/>
        </w:trPr>
        <w:tc>
          <w:tcPr>
            <w:tcW w:w="7112" w:type="dxa"/>
            <w:tcBorders>
              <w:top w:val="nil"/>
              <w:left w:val="single" w:sz="4" w:space="0" w:color="auto"/>
              <w:bottom w:val="nil"/>
              <w:right w:val="single" w:sz="4" w:space="0" w:color="auto"/>
            </w:tcBorders>
            <w:shd w:val="clear" w:color="auto" w:fill="auto"/>
            <w:noWrap/>
            <w:vAlign w:val="bottom"/>
          </w:tcPr>
          <w:p w14:paraId="7F6AB328" w14:textId="77777777" w:rsidR="000C12A9" w:rsidRPr="00F85253" w:rsidRDefault="000C12A9" w:rsidP="003009EA">
            <w:pPr>
              <w:spacing w:after="0"/>
              <w:jc w:val="both"/>
              <w:rPr>
                <w:rFonts w:ascii="Arial" w:hAnsi="Arial" w:cs="Arial"/>
                <w:color w:val="000000"/>
                <w:sz w:val="20"/>
                <w:szCs w:val="20"/>
                <w:lang w:val="es-ES_tradnl"/>
              </w:rPr>
            </w:pPr>
            <w:r w:rsidRPr="00F85253">
              <w:rPr>
                <w:rFonts w:ascii="Arial" w:hAnsi="Arial" w:cs="Arial"/>
                <w:color w:val="000000"/>
                <w:sz w:val="20"/>
                <w:szCs w:val="20"/>
                <w:lang w:val="es-ES_tradnl"/>
              </w:rPr>
              <w:t>Riesgos de Trabajo</w:t>
            </w:r>
          </w:p>
        </w:tc>
        <w:tc>
          <w:tcPr>
            <w:tcW w:w="889" w:type="dxa"/>
            <w:tcBorders>
              <w:top w:val="nil"/>
              <w:left w:val="single" w:sz="4" w:space="0" w:color="auto"/>
              <w:bottom w:val="nil"/>
              <w:right w:val="single" w:sz="4" w:space="0" w:color="auto"/>
            </w:tcBorders>
            <w:shd w:val="clear" w:color="auto" w:fill="auto"/>
            <w:noWrap/>
            <w:vAlign w:val="bottom"/>
          </w:tcPr>
          <w:p w14:paraId="3B67F447" w14:textId="77777777" w:rsidR="000C12A9" w:rsidRPr="00F85253" w:rsidRDefault="000C12A9" w:rsidP="003009EA">
            <w:pPr>
              <w:spacing w:after="0"/>
              <w:jc w:val="both"/>
              <w:rPr>
                <w:rFonts w:ascii="Arial" w:hAnsi="Arial" w:cs="Arial"/>
                <w:color w:val="000000"/>
                <w:sz w:val="20"/>
                <w:szCs w:val="20"/>
                <w:lang w:val="es-ES_tradnl"/>
              </w:rPr>
            </w:pPr>
            <w:r w:rsidRPr="00F85253">
              <w:rPr>
                <w:rFonts w:ascii="Arial" w:hAnsi="Arial" w:cs="Arial"/>
                <w:color w:val="000000"/>
                <w:sz w:val="20"/>
                <w:szCs w:val="20"/>
                <w:lang w:val="es-ES_tradnl"/>
              </w:rPr>
              <w:t>0.0000</w:t>
            </w:r>
          </w:p>
        </w:tc>
      </w:tr>
      <w:tr w:rsidR="000C12A9" w:rsidRPr="00F85253" w14:paraId="2E443C9D" w14:textId="77777777" w:rsidTr="003009EA">
        <w:trPr>
          <w:trHeight w:val="243"/>
        </w:trPr>
        <w:tc>
          <w:tcPr>
            <w:tcW w:w="7112" w:type="dxa"/>
            <w:tcBorders>
              <w:top w:val="nil"/>
              <w:left w:val="single" w:sz="4" w:space="0" w:color="auto"/>
              <w:bottom w:val="nil"/>
              <w:right w:val="single" w:sz="4" w:space="0" w:color="auto"/>
            </w:tcBorders>
            <w:shd w:val="clear" w:color="auto" w:fill="auto"/>
            <w:noWrap/>
            <w:vAlign w:val="bottom"/>
          </w:tcPr>
          <w:p w14:paraId="5BF038B3" w14:textId="77777777" w:rsidR="000C12A9" w:rsidRPr="00F85253" w:rsidRDefault="000C12A9" w:rsidP="003009EA">
            <w:pPr>
              <w:spacing w:after="0"/>
              <w:jc w:val="both"/>
              <w:rPr>
                <w:rFonts w:ascii="Arial" w:hAnsi="Arial" w:cs="Arial"/>
                <w:color w:val="000000"/>
                <w:sz w:val="20"/>
                <w:szCs w:val="20"/>
                <w:lang w:val="es-ES_tradnl"/>
              </w:rPr>
            </w:pPr>
            <w:r w:rsidRPr="00F85253">
              <w:rPr>
                <w:rFonts w:ascii="Arial" w:hAnsi="Arial" w:cs="Arial"/>
                <w:color w:val="000000"/>
                <w:sz w:val="20"/>
                <w:szCs w:val="20"/>
                <w:lang w:val="es-ES_tradnl"/>
              </w:rPr>
              <w:t>Seguro de Cesantía</w:t>
            </w:r>
          </w:p>
        </w:tc>
        <w:tc>
          <w:tcPr>
            <w:tcW w:w="889" w:type="dxa"/>
            <w:tcBorders>
              <w:top w:val="nil"/>
              <w:left w:val="single" w:sz="4" w:space="0" w:color="auto"/>
              <w:bottom w:val="nil"/>
              <w:right w:val="single" w:sz="4" w:space="0" w:color="auto"/>
            </w:tcBorders>
            <w:shd w:val="clear" w:color="auto" w:fill="auto"/>
            <w:noWrap/>
            <w:vAlign w:val="bottom"/>
          </w:tcPr>
          <w:p w14:paraId="29BC0CCF" w14:textId="77777777" w:rsidR="000C12A9" w:rsidRPr="00F85253" w:rsidRDefault="000C12A9" w:rsidP="003009EA">
            <w:pPr>
              <w:spacing w:after="0"/>
              <w:jc w:val="both"/>
              <w:rPr>
                <w:rFonts w:ascii="Arial" w:hAnsi="Arial" w:cs="Arial"/>
                <w:color w:val="000000"/>
                <w:sz w:val="20"/>
                <w:szCs w:val="20"/>
                <w:lang w:val="es-ES_tradnl"/>
              </w:rPr>
            </w:pPr>
            <w:r w:rsidRPr="00F85253">
              <w:rPr>
                <w:rFonts w:ascii="Arial" w:hAnsi="Arial" w:cs="Arial"/>
                <w:color w:val="000000"/>
                <w:sz w:val="20"/>
                <w:szCs w:val="20"/>
                <w:lang w:val="es-ES_tradnl"/>
              </w:rPr>
              <w:t>0.0200</w:t>
            </w:r>
          </w:p>
        </w:tc>
      </w:tr>
      <w:tr w:rsidR="000C12A9" w:rsidRPr="00F85253" w14:paraId="7222C70D" w14:textId="77777777" w:rsidTr="003009EA">
        <w:trPr>
          <w:trHeight w:val="243"/>
        </w:trPr>
        <w:tc>
          <w:tcPr>
            <w:tcW w:w="7112" w:type="dxa"/>
            <w:tcBorders>
              <w:top w:val="nil"/>
              <w:left w:val="single" w:sz="4" w:space="0" w:color="auto"/>
              <w:bottom w:val="nil"/>
              <w:right w:val="single" w:sz="4" w:space="0" w:color="auto"/>
            </w:tcBorders>
            <w:shd w:val="clear" w:color="auto" w:fill="auto"/>
            <w:noWrap/>
            <w:vAlign w:val="bottom"/>
          </w:tcPr>
          <w:p w14:paraId="0AD61D98" w14:textId="77777777" w:rsidR="000C12A9" w:rsidRPr="00F85253" w:rsidRDefault="000C12A9" w:rsidP="003009EA">
            <w:pPr>
              <w:spacing w:after="0"/>
              <w:jc w:val="both"/>
              <w:rPr>
                <w:rFonts w:ascii="Arial" w:hAnsi="Arial" w:cs="Arial"/>
                <w:color w:val="000000"/>
                <w:sz w:val="20"/>
                <w:szCs w:val="20"/>
                <w:lang w:val="es-ES_tradnl"/>
              </w:rPr>
            </w:pPr>
            <w:r w:rsidRPr="00F85253">
              <w:rPr>
                <w:rFonts w:ascii="Arial" w:hAnsi="Arial" w:cs="Arial"/>
                <w:color w:val="000000"/>
                <w:sz w:val="20"/>
                <w:szCs w:val="20"/>
                <w:lang w:val="es-ES_tradnl"/>
              </w:rPr>
              <w:t>Seguro Social Campesino</w:t>
            </w:r>
          </w:p>
        </w:tc>
        <w:tc>
          <w:tcPr>
            <w:tcW w:w="889" w:type="dxa"/>
            <w:tcBorders>
              <w:top w:val="nil"/>
              <w:left w:val="single" w:sz="4" w:space="0" w:color="auto"/>
              <w:bottom w:val="nil"/>
              <w:right w:val="single" w:sz="4" w:space="0" w:color="auto"/>
            </w:tcBorders>
            <w:shd w:val="clear" w:color="auto" w:fill="auto"/>
            <w:noWrap/>
            <w:vAlign w:val="bottom"/>
          </w:tcPr>
          <w:p w14:paraId="5339F96E" w14:textId="77777777" w:rsidR="000C12A9" w:rsidRPr="00F85253" w:rsidRDefault="000C12A9" w:rsidP="003009EA">
            <w:pPr>
              <w:spacing w:after="0"/>
              <w:jc w:val="both"/>
              <w:rPr>
                <w:rFonts w:ascii="Arial" w:hAnsi="Arial" w:cs="Arial"/>
                <w:color w:val="000000"/>
                <w:sz w:val="20"/>
                <w:szCs w:val="20"/>
                <w:lang w:val="es-ES_tradnl"/>
              </w:rPr>
            </w:pPr>
            <w:r w:rsidRPr="00F85253">
              <w:rPr>
                <w:rFonts w:ascii="Arial" w:hAnsi="Arial" w:cs="Arial"/>
                <w:color w:val="000000"/>
                <w:sz w:val="20"/>
                <w:szCs w:val="20"/>
                <w:lang w:val="es-ES_tradnl"/>
              </w:rPr>
              <w:t>0.0035</w:t>
            </w:r>
          </w:p>
        </w:tc>
      </w:tr>
      <w:tr w:rsidR="000C12A9" w:rsidRPr="00F85253" w14:paraId="5D5AAF77" w14:textId="77777777" w:rsidTr="003009EA">
        <w:trPr>
          <w:trHeight w:val="243"/>
        </w:trPr>
        <w:tc>
          <w:tcPr>
            <w:tcW w:w="7112" w:type="dxa"/>
            <w:tcBorders>
              <w:top w:val="nil"/>
              <w:left w:val="single" w:sz="4" w:space="0" w:color="auto"/>
              <w:bottom w:val="nil"/>
              <w:right w:val="single" w:sz="4" w:space="0" w:color="auto"/>
            </w:tcBorders>
            <w:shd w:val="clear" w:color="auto" w:fill="auto"/>
            <w:noWrap/>
            <w:vAlign w:val="bottom"/>
          </w:tcPr>
          <w:p w14:paraId="3B3B329D" w14:textId="77777777" w:rsidR="000C12A9" w:rsidRPr="00F85253" w:rsidRDefault="000C12A9" w:rsidP="003009EA">
            <w:pPr>
              <w:spacing w:after="0"/>
              <w:jc w:val="both"/>
              <w:rPr>
                <w:rFonts w:ascii="Arial" w:hAnsi="Arial" w:cs="Arial"/>
                <w:color w:val="000000"/>
                <w:sz w:val="20"/>
                <w:szCs w:val="20"/>
                <w:lang w:val="es-ES_tradnl"/>
              </w:rPr>
            </w:pPr>
            <w:r w:rsidRPr="00F85253">
              <w:rPr>
                <w:rFonts w:ascii="Arial" w:hAnsi="Arial" w:cs="Arial"/>
                <w:color w:val="000000"/>
                <w:sz w:val="20"/>
                <w:szCs w:val="20"/>
                <w:lang w:val="es-ES_tradnl"/>
              </w:rPr>
              <w:t>Gastos de Administración</w:t>
            </w:r>
          </w:p>
        </w:tc>
        <w:tc>
          <w:tcPr>
            <w:tcW w:w="889" w:type="dxa"/>
            <w:tcBorders>
              <w:top w:val="nil"/>
              <w:left w:val="single" w:sz="4" w:space="0" w:color="auto"/>
              <w:bottom w:val="nil"/>
              <w:right w:val="single" w:sz="4" w:space="0" w:color="auto"/>
            </w:tcBorders>
            <w:shd w:val="clear" w:color="auto" w:fill="auto"/>
            <w:noWrap/>
            <w:vAlign w:val="bottom"/>
          </w:tcPr>
          <w:p w14:paraId="6911724C" w14:textId="77777777" w:rsidR="000C12A9" w:rsidRPr="00F85253" w:rsidRDefault="000C12A9" w:rsidP="003009EA">
            <w:pPr>
              <w:spacing w:after="0"/>
              <w:jc w:val="both"/>
              <w:rPr>
                <w:rFonts w:ascii="Arial" w:hAnsi="Arial" w:cs="Arial"/>
                <w:color w:val="000000"/>
                <w:sz w:val="20"/>
                <w:szCs w:val="20"/>
                <w:lang w:val="es-ES_tradnl"/>
              </w:rPr>
            </w:pPr>
            <w:r w:rsidRPr="00F85253">
              <w:rPr>
                <w:rFonts w:ascii="Arial" w:hAnsi="Arial" w:cs="Arial"/>
                <w:color w:val="000000"/>
                <w:sz w:val="20"/>
                <w:szCs w:val="20"/>
                <w:lang w:val="es-ES_tradnl"/>
              </w:rPr>
              <w:t>0.0036</w:t>
            </w:r>
          </w:p>
        </w:tc>
      </w:tr>
      <w:tr w:rsidR="000C12A9" w:rsidRPr="00F85253" w14:paraId="4472DE8B" w14:textId="77777777" w:rsidTr="003009EA">
        <w:trPr>
          <w:trHeight w:val="251"/>
        </w:trPr>
        <w:tc>
          <w:tcPr>
            <w:tcW w:w="7112" w:type="dxa"/>
            <w:tcBorders>
              <w:top w:val="nil"/>
              <w:left w:val="single" w:sz="4" w:space="0" w:color="auto"/>
              <w:bottom w:val="single" w:sz="4" w:space="0" w:color="auto"/>
              <w:right w:val="single" w:sz="4" w:space="0" w:color="auto"/>
            </w:tcBorders>
            <w:shd w:val="clear" w:color="auto" w:fill="auto"/>
            <w:noWrap/>
            <w:vAlign w:val="bottom"/>
            <w:hideMark/>
          </w:tcPr>
          <w:p w14:paraId="7B0A4A9C" w14:textId="77777777" w:rsidR="000C12A9" w:rsidRPr="00F85253" w:rsidRDefault="000C12A9" w:rsidP="003009EA">
            <w:pPr>
              <w:spacing w:after="0"/>
              <w:jc w:val="both"/>
              <w:rPr>
                <w:rFonts w:ascii="Arial" w:hAnsi="Arial" w:cs="Arial"/>
                <w:b/>
                <w:color w:val="000000"/>
                <w:sz w:val="20"/>
                <w:szCs w:val="20"/>
                <w:lang w:val="es-ES_tradnl"/>
              </w:rPr>
            </w:pPr>
            <w:r w:rsidRPr="00F85253">
              <w:rPr>
                <w:rFonts w:ascii="Arial" w:hAnsi="Arial" w:cs="Arial"/>
                <w:b/>
                <w:color w:val="000000"/>
                <w:sz w:val="20"/>
                <w:szCs w:val="20"/>
                <w:lang w:val="es-ES_tradnl"/>
              </w:rPr>
              <w:t>Total</w:t>
            </w:r>
          </w:p>
        </w:tc>
        <w:tc>
          <w:tcPr>
            <w:tcW w:w="889" w:type="dxa"/>
            <w:tcBorders>
              <w:top w:val="nil"/>
              <w:left w:val="single" w:sz="4" w:space="0" w:color="auto"/>
              <w:bottom w:val="single" w:sz="4" w:space="0" w:color="auto"/>
              <w:right w:val="single" w:sz="4" w:space="0" w:color="auto"/>
            </w:tcBorders>
            <w:shd w:val="clear" w:color="auto" w:fill="auto"/>
            <w:noWrap/>
            <w:vAlign w:val="bottom"/>
            <w:hideMark/>
          </w:tcPr>
          <w:p w14:paraId="54DD2F78" w14:textId="77777777" w:rsidR="000C12A9" w:rsidRPr="00F85253" w:rsidRDefault="000C12A9" w:rsidP="003009EA">
            <w:pPr>
              <w:spacing w:after="0"/>
              <w:jc w:val="both"/>
              <w:rPr>
                <w:rFonts w:ascii="Arial" w:hAnsi="Arial" w:cs="Arial"/>
                <w:b/>
                <w:color w:val="000000"/>
                <w:sz w:val="20"/>
                <w:szCs w:val="20"/>
                <w:lang w:val="es-ES_tradnl"/>
              </w:rPr>
            </w:pPr>
            <w:r w:rsidRPr="00F85253">
              <w:rPr>
                <w:rFonts w:ascii="Arial" w:hAnsi="Arial" w:cs="Arial"/>
                <w:b/>
                <w:color w:val="000000"/>
                <w:sz w:val="20"/>
                <w:szCs w:val="20"/>
                <w:lang w:val="es-ES_tradnl"/>
              </w:rPr>
              <w:t>0.1145</w:t>
            </w:r>
          </w:p>
        </w:tc>
      </w:tr>
      <w:tr w:rsidR="000C12A9" w:rsidRPr="00F85253" w14:paraId="06262302" w14:textId="77777777" w:rsidTr="003009EA">
        <w:trPr>
          <w:trHeight w:val="257"/>
        </w:trPr>
        <w:tc>
          <w:tcPr>
            <w:tcW w:w="7112" w:type="dxa"/>
            <w:tcBorders>
              <w:top w:val="single" w:sz="4" w:space="0" w:color="auto"/>
            </w:tcBorders>
            <w:shd w:val="clear" w:color="auto" w:fill="F2F2F2" w:themeFill="background1" w:themeFillShade="F2"/>
            <w:noWrap/>
            <w:vAlign w:val="bottom"/>
            <w:hideMark/>
          </w:tcPr>
          <w:p w14:paraId="05D04D12" w14:textId="77777777" w:rsidR="000C12A9" w:rsidRPr="00F85253" w:rsidRDefault="000C12A9" w:rsidP="003009EA">
            <w:pPr>
              <w:spacing w:after="0"/>
              <w:jc w:val="both"/>
              <w:rPr>
                <w:rFonts w:ascii="Arial" w:hAnsi="Arial" w:cs="Arial"/>
                <w:color w:val="000000"/>
                <w:sz w:val="20"/>
                <w:szCs w:val="20"/>
                <w:lang w:val="es-ES_tradnl"/>
              </w:rPr>
            </w:pPr>
            <w:r w:rsidRPr="00F85253">
              <w:rPr>
                <w:rFonts w:ascii="Arial" w:hAnsi="Arial" w:cs="Arial"/>
                <w:color w:val="000000"/>
                <w:sz w:val="20"/>
                <w:szCs w:val="20"/>
                <w:lang w:val="es-ES_tradnl"/>
              </w:rPr>
              <w:t>Factor de Conversión Mano de Obra Estándar (FCMOS)</w:t>
            </w:r>
          </w:p>
        </w:tc>
        <w:tc>
          <w:tcPr>
            <w:tcW w:w="889" w:type="dxa"/>
            <w:tcBorders>
              <w:top w:val="single" w:sz="4" w:space="0" w:color="auto"/>
            </w:tcBorders>
            <w:shd w:val="clear" w:color="auto" w:fill="F2F2F2" w:themeFill="background1" w:themeFillShade="F2"/>
            <w:noWrap/>
            <w:vAlign w:val="bottom"/>
            <w:hideMark/>
          </w:tcPr>
          <w:p w14:paraId="23296576" w14:textId="77777777" w:rsidR="000C12A9" w:rsidRPr="00F85253" w:rsidRDefault="000C12A9" w:rsidP="003009EA">
            <w:pPr>
              <w:spacing w:after="0"/>
              <w:jc w:val="both"/>
              <w:rPr>
                <w:rFonts w:ascii="Arial" w:hAnsi="Arial" w:cs="Arial"/>
                <w:b/>
                <w:color w:val="000000"/>
                <w:sz w:val="20"/>
                <w:szCs w:val="20"/>
                <w:lang w:val="es-ES_tradnl"/>
              </w:rPr>
            </w:pPr>
            <w:r w:rsidRPr="00F85253">
              <w:rPr>
                <w:rFonts w:ascii="Arial" w:hAnsi="Arial" w:cs="Arial"/>
                <w:b/>
                <w:color w:val="000000"/>
                <w:sz w:val="20"/>
                <w:szCs w:val="20"/>
                <w:lang w:val="es-ES_tradnl"/>
              </w:rPr>
              <w:t>0.897</w:t>
            </w:r>
          </w:p>
        </w:tc>
      </w:tr>
      <w:tr w:rsidR="000C12A9" w:rsidRPr="00571123" w14:paraId="76DDD6B2" w14:textId="77777777" w:rsidTr="003009EA">
        <w:trPr>
          <w:trHeight w:val="279"/>
        </w:trPr>
        <w:tc>
          <w:tcPr>
            <w:tcW w:w="8001" w:type="dxa"/>
            <w:gridSpan w:val="2"/>
            <w:shd w:val="clear" w:color="auto" w:fill="auto"/>
            <w:noWrap/>
            <w:vAlign w:val="bottom"/>
            <w:hideMark/>
          </w:tcPr>
          <w:p w14:paraId="0019AD9E" w14:textId="77777777" w:rsidR="000C12A9" w:rsidRPr="00F85253" w:rsidRDefault="000C12A9" w:rsidP="003009EA">
            <w:pPr>
              <w:spacing w:after="0"/>
              <w:jc w:val="both"/>
              <w:rPr>
                <w:rFonts w:ascii="Arial" w:hAnsi="Arial" w:cs="Arial"/>
                <w:i/>
                <w:color w:val="000000"/>
                <w:sz w:val="20"/>
                <w:szCs w:val="20"/>
                <w:lang w:val="es-ES_tradnl"/>
              </w:rPr>
            </w:pPr>
            <w:r w:rsidRPr="00F85253">
              <w:rPr>
                <w:rFonts w:ascii="Arial" w:hAnsi="Arial" w:cs="Arial"/>
                <w:i/>
                <w:color w:val="000000"/>
                <w:sz w:val="20"/>
                <w:szCs w:val="20"/>
                <w:lang w:val="es-ES_tradnl"/>
              </w:rPr>
              <w:t>Fuente: Resolución No. C.D. 501 del Instituto Ecuatoriano de Seguridad Social (IESS)</w:t>
            </w:r>
          </w:p>
          <w:p w14:paraId="7426281D" w14:textId="77777777" w:rsidR="000C12A9" w:rsidRPr="00F85253" w:rsidRDefault="000C12A9" w:rsidP="003009EA">
            <w:pPr>
              <w:spacing w:after="0"/>
              <w:jc w:val="both"/>
              <w:rPr>
                <w:rFonts w:ascii="Arial" w:hAnsi="Arial" w:cs="Arial"/>
                <w:i/>
                <w:color w:val="0563C1"/>
                <w:sz w:val="20"/>
                <w:szCs w:val="20"/>
                <w:u w:val="single"/>
                <w:lang w:val="es-ES_tradnl"/>
              </w:rPr>
            </w:pPr>
            <w:r w:rsidRPr="00F85253">
              <w:rPr>
                <w:rFonts w:ascii="Arial" w:hAnsi="Arial" w:cs="Arial"/>
                <w:i/>
                <w:color w:val="000000"/>
                <w:sz w:val="20"/>
                <w:szCs w:val="20"/>
                <w:lang w:val="es-ES_tradnl"/>
              </w:rPr>
              <w:t>Nota: Se utilizó la información de las tablas de distribución de las tasas de aportación Personal de los servidores públicos definidos en la Ley Orgánica del Servicio Público, incluido el magisterio y los servidores, funcionarios y empleados de la Función Judicial u otras dependencias que presten servicios públicos incluido notarios públicos, mediante remuneración variable, en forma de aranceles o similares.</w:t>
            </w:r>
            <w:r w:rsidRPr="00F85253">
              <w:rPr>
                <w:rFonts w:ascii="Arial" w:hAnsi="Arial" w:cs="Arial"/>
                <w:i/>
                <w:color w:val="0563C1"/>
                <w:sz w:val="20"/>
                <w:szCs w:val="20"/>
                <w:u w:val="single"/>
                <w:lang w:val="es-ES_tradnl"/>
              </w:rPr>
              <w:t xml:space="preserve">  </w:t>
            </w:r>
          </w:p>
        </w:tc>
      </w:tr>
    </w:tbl>
    <w:p w14:paraId="37826360" w14:textId="77777777" w:rsidR="00E81259" w:rsidRPr="00F85253" w:rsidRDefault="00E81259" w:rsidP="008A7412">
      <w:pPr>
        <w:pStyle w:val="Paragraph"/>
        <w:spacing w:before="0" w:after="0" w:line="276" w:lineRule="auto"/>
        <w:outlineLvl w:val="9"/>
        <w:rPr>
          <w:rFonts w:ascii="Arial" w:hAnsi="Arial" w:cs="Arial"/>
          <w:spacing w:val="-1"/>
          <w:sz w:val="22"/>
          <w:szCs w:val="22"/>
          <w:lang w:val="es-ES_tradnl"/>
        </w:rPr>
      </w:pPr>
    </w:p>
    <w:p w14:paraId="202B2554" w14:textId="77777777" w:rsidR="00100885" w:rsidRPr="00F85253" w:rsidRDefault="00100885" w:rsidP="008A7412">
      <w:pPr>
        <w:pStyle w:val="Paragraph"/>
        <w:spacing w:before="0" w:after="0" w:line="276" w:lineRule="auto"/>
        <w:outlineLvl w:val="9"/>
        <w:rPr>
          <w:rFonts w:ascii="Arial" w:hAnsi="Arial" w:cs="Arial"/>
          <w:spacing w:val="-1"/>
          <w:sz w:val="22"/>
          <w:szCs w:val="22"/>
          <w:lang w:val="es-ES_tradnl"/>
        </w:rPr>
      </w:pPr>
    </w:p>
    <w:tbl>
      <w:tblPr>
        <w:tblW w:w="8001" w:type="dxa"/>
        <w:tblInd w:w="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2"/>
        <w:gridCol w:w="889"/>
      </w:tblGrid>
      <w:tr w:rsidR="008A7412" w:rsidRPr="00F85253" w14:paraId="72050F3E" w14:textId="77777777" w:rsidTr="002536B0">
        <w:trPr>
          <w:trHeight w:val="257"/>
        </w:trPr>
        <w:tc>
          <w:tcPr>
            <w:tcW w:w="8001" w:type="dxa"/>
            <w:gridSpan w:val="2"/>
            <w:tcBorders>
              <w:bottom w:val="single" w:sz="4" w:space="0" w:color="auto"/>
            </w:tcBorders>
            <w:shd w:val="clear" w:color="auto" w:fill="F2F2F2" w:themeFill="background1" w:themeFillShade="F2"/>
            <w:noWrap/>
            <w:vAlign w:val="bottom"/>
            <w:hideMark/>
          </w:tcPr>
          <w:p w14:paraId="3243DDFC" w14:textId="77777777" w:rsidR="008A7412" w:rsidRPr="00F85253" w:rsidRDefault="008A7412" w:rsidP="002536B0">
            <w:pPr>
              <w:spacing w:after="0"/>
              <w:jc w:val="both"/>
              <w:rPr>
                <w:rFonts w:ascii="Arial" w:hAnsi="Arial" w:cs="Arial"/>
                <w:b/>
                <w:color w:val="000000"/>
                <w:sz w:val="20"/>
                <w:szCs w:val="20"/>
                <w:lang w:val="es-ES_tradnl"/>
              </w:rPr>
            </w:pPr>
            <w:r w:rsidRPr="00F85253">
              <w:rPr>
                <w:rFonts w:ascii="Arial" w:hAnsi="Arial" w:cs="Arial"/>
                <w:b/>
                <w:color w:val="000000"/>
                <w:sz w:val="20"/>
                <w:szCs w:val="20"/>
                <w:lang w:val="es-ES_tradnl"/>
              </w:rPr>
              <w:t xml:space="preserve">Cuadro </w:t>
            </w:r>
            <w:r w:rsidR="00BF0236" w:rsidRPr="00F85253">
              <w:rPr>
                <w:rFonts w:ascii="Arial" w:hAnsi="Arial" w:cs="Arial"/>
                <w:b/>
                <w:color w:val="000000"/>
                <w:sz w:val="20"/>
                <w:szCs w:val="20"/>
                <w:lang w:val="es-ES_tradnl"/>
              </w:rPr>
              <w:t>5</w:t>
            </w:r>
            <w:r w:rsidRPr="00F85253">
              <w:rPr>
                <w:rFonts w:ascii="Arial" w:hAnsi="Arial" w:cs="Arial"/>
                <w:b/>
                <w:color w:val="000000"/>
                <w:sz w:val="20"/>
                <w:szCs w:val="20"/>
                <w:lang w:val="es-ES_tradnl"/>
              </w:rPr>
              <w:t xml:space="preserve">- Cargas </w:t>
            </w:r>
            <w:r w:rsidR="00A7730C" w:rsidRPr="00F85253">
              <w:rPr>
                <w:rFonts w:ascii="Arial" w:hAnsi="Arial" w:cs="Arial"/>
                <w:b/>
                <w:color w:val="000000"/>
                <w:sz w:val="20"/>
                <w:szCs w:val="20"/>
                <w:lang w:val="es-ES_tradnl"/>
              </w:rPr>
              <w:t>s</w:t>
            </w:r>
            <w:r w:rsidRPr="00F85253">
              <w:rPr>
                <w:rFonts w:ascii="Arial" w:hAnsi="Arial" w:cs="Arial"/>
                <w:b/>
                <w:color w:val="000000"/>
                <w:sz w:val="20"/>
                <w:szCs w:val="20"/>
                <w:lang w:val="es-ES_tradnl"/>
              </w:rPr>
              <w:t>alariales sobre el Empleado (2018)</w:t>
            </w:r>
          </w:p>
          <w:p w14:paraId="70A7D78C" w14:textId="77777777" w:rsidR="008A7412" w:rsidRPr="00F85253" w:rsidRDefault="008A7412" w:rsidP="002536B0">
            <w:pPr>
              <w:spacing w:after="0"/>
              <w:jc w:val="both"/>
              <w:rPr>
                <w:rFonts w:ascii="Arial" w:hAnsi="Arial" w:cs="Arial"/>
                <w:b/>
                <w:color w:val="000000"/>
                <w:sz w:val="20"/>
                <w:szCs w:val="20"/>
                <w:lang w:val="es-ES_tradnl"/>
              </w:rPr>
            </w:pPr>
            <w:r w:rsidRPr="00F85253">
              <w:rPr>
                <w:rFonts w:ascii="Arial" w:hAnsi="Arial" w:cs="Arial"/>
                <w:b/>
                <w:color w:val="000000"/>
                <w:sz w:val="20"/>
                <w:szCs w:val="20"/>
                <w:lang w:val="es-ES_tradnl"/>
              </w:rPr>
              <w:t>Trabajadores privados</w:t>
            </w:r>
          </w:p>
        </w:tc>
      </w:tr>
      <w:tr w:rsidR="002346AC" w:rsidRPr="00F85253" w14:paraId="4C958755" w14:textId="77777777" w:rsidTr="002536B0">
        <w:trPr>
          <w:trHeight w:val="243"/>
        </w:trPr>
        <w:tc>
          <w:tcPr>
            <w:tcW w:w="7112" w:type="dxa"/>
            <w:tcBorders>
              <w:top w:val="single" w:sz="4" w:space="0" w:color="auto"/>
              <w:left w:val="single" w:sz="4" w:space="0" w:color="auto"/>
              <w:bottom w:val="nil"/>
              <w:right w:val="single" w:sz="4" w:space="0" w:color="auto"/>
            </w:tcBorders>
            <w:shd w:val="clear" w:color="auto" w:fill="auto"/>
            <w:noWrap/>
            <w:vAlign w:val="bottom"/>
            <w:hideMark/>
          </w:tcPr>
          <w:p w14:paraId="4726A141" w14:textId="77777777" w:rsidR="002346AC" w:rsidRPr="00F85253" w:rsidRDefault="002346AC" w:rsidP="002536B0">
            <w:pPr>
              <w:spacing w:after="0"/>
              <w:jc w:val="both"/>
              <w:rPr>
                <w:rFonts w:ascii="Arial" w:hAnsi="Arial" w:cs="Arial"/>
                <w:color w:val="000000"/>
                <w:sz w:val="20"/>
                <w:szCs w:val="20"/>
                <w:lang w:val="es-ES_tradnl"/>
              </w:rPr>
            </w:pPr>
            <w:r w:rsidRPr="00F85253">
              <w:rPr>
                <w:rFonts w:ascii="Arial" w:hAnsi="Arial" w:cs="Arial"/>
                <w:color w:val="000000"/>
                <w:sz w:val="20"/>
                <w:szCs w:val="20"/>
                <w:lang w:val="es-ES_tradnl"/>
              </w:rPr>
              <w:t>Seguro General de Pensiones</w:t>
            </w:r>
          </w:p>
        </w:tc>
        <w:tc>
          <w:tcPr>
            <w:tcW w:w="889" w:type="dxa"/>
            <w:tcBorders>
              <w:top w:val="single" w:sz="4" w:space="0" w:color="auto"/>
              <w:left w:val="single" w:sz="4" w:space="0" w:color="auto"/>
              <w:bottom w:val="nil"/>
              <w:right w:val="single" w:sz="4" w:space="0" w:color="auto"/>
            </w:tcBorders>
            <w:shd w:val="clear" w:color="auto" w:fill="auto"/>
            <w:noWrap/>
            <w:vAlign w:val="bottom"/>
            <w:hideMark/>
          </w:tcPr>
          <w:p w14:paraId="30050B76" w14:textId="77777777" w:rsidR="002346AC" w:rsidRPr="00F85253" w:rsidRDefault="002346AC" w:rsidP="002536B0">
            <w:pPr>
              <w:spacing w:after="0"/>
              <w:jc w:val="both"/>
              <w:rPr>
                <w:rFonts w:ascii="Arial" w:hAnsi="Arial" w:cs="Arial"/>
                <w:color w:val="000000"/>
                <w:sz w:val="20"/>
                <w:szCs w:val="20"/>
                <w:lang w:val="es-ES_tradnl"/>
              </w:rPr>
            </w:pPr>
            <w:r w:rsidRPr="00F85253">
              <w:rPr>
                <w:rFonts w:ascii="Arial" w:hAnsi="Arial" w:cs="Arial"/>
                <w:color w:val="000000"/>
                <w:sz w:val="20"/>
                <w:szCs w:val="20"/>
                <w:lang w:val="es-ES_tradnl"/>
              </w:rPr>
              <w:t>0.0576</w:t>
            </w:r>
          </w:p>
        </w:tc>
      </w:tr>
      <w:tr w:rsidR="002346AC" w:rsidRPr="00F85253" w14:paraId="6CCFB91E" w14:textId="77777777" w:rsidTr="002536B0">
        <w:trPr>
          <w:trHeight w:val="243"/>
        </w:trPr>
        <w:tc>
          <w:tcPr>
            <w:tcW w:w="7112" w:type="dxa"/>
            <w:tcBorders>
              <w:top w:val="nil"/>
              <w:left w:val="single" w:sz="4" w:space="0" w:color="auto"/>
              <w:bottom w:val="nil"/>
              <w:right w:val="single" w:sz="4" w:space="0" w:color="auto"/>
            </w:tcBorders>
            <w:shd w:val="clear" w:color="auto" w:fill="auto"/>
            <w:noWrap/>
            <w:vAlign w:val="bottom"/>
            <w:hideMark/>
          </w:tcPr>
          <w:p w14:paraId="1F759D13" w14:textId="77777777" w:rsidR="002346AC" w:rsidRPr="00F85253" w:rsidRDefault="002346AC" w:rsidP="002536B0">
            <w:pPr>
              <w:spacing w:after="0"/>
              <w:jc w:val="both"/>
              <w:rPr>
                <w:rFonts w:ascii="Arial" w:hAnsi="Arial" w:cs="Arial"/>
                <w:color w:val="000000"/>
                <w:sz w:val="20"/>
                <w:szCs w:val="20"/>
                <w:lang w:val="es-ES_tradnl"/>
              </w:rPr>
            </w:pPr>
            <w:r w:rsidRPr="00F85253">
              <w:rPr>
                <w:rFonts w:ascii="Arial" w:hAnsi="Arial" w:cs="Arial"/>
                <w:color w:val="000000"/>
                <w:sz w:val="20"/>
                <w:szCs w:val="20"/>
                <w:lang w:val="es-ES_tradnl"/>
              </w:rPr>
              <w:t>Ley Orgánica de Discapacidades</w:t>
            </w:r>
          </w:p>
        </w:tc>
        <w:tc>
          <w:tcPr>
            <w:tcW w:w="889" w:type="dxa"/>
            <w:tcBorders>
              <w:top w:val="nil"/>
              <w:left w:val="single" w:sz="4" w:space="0" w:color="auto"/>
              <w:bottom w:val="nil"/>
              <w:right w:val="single" w:sz="4" w:space="0" w:color="auto"/>
            </w:tcBorders>
            <w:shd w:val="clear" w:color="auto" w:fill="auto"/>
            <w:noWrap/>
            <w:vAlign w:val="bottom"/>
            <w:hideMark/>
          </w:tcPr>
          <w:p w14:paraId="7E17A988" w14:textId="77777777" w:rsidR="002346AC" w:rsidRPr="00F85253" w:rsidRDefault="002346AC" w:rsidP="002536B0">
            <w:pPr>
              <w:spacing w:after="0"/>
              <w:jc w:val="both"/>
              <w:rPr>
                <w:rFonts w:ascii="Arial" w:hAnsi="Arial" w:cs="Arial"/>
                <w:color w:val="000000"/>
                <w:sz w:val="20"/>
                <w:szCs w:val="20"/>
                <w:lang w:val="es-ES_tradnl"/>
              </w:rPr>
            </w:pPr>
            <w:r w:rsidRPr="00F85253">
              <w:rPr>
                <w:rFonts w:ascii="Arial" w:hAnsi="Arial" w:cs="Arial"/>
                <w:color w:val="000000"/>
                <w:sz w:val="20"/>
                <w:szCs w:val="20"/>
                <w:lang w:val="es-ES_tradnl"/>
              </w:rPr>
              <w:t>0.0010</w:t>
            </w:r>
          </w:p>
        </w:tc>
      </w:tr>
      <w:tr w:rsidR="002346AC" w:rsidRPr="00F85253" w14:paraId="689AE1FC" w14:textId="77777777" w:rsidTr="002536B0">
        <w:trPr>
          <w:trHeight w:val="243"/>
        </w:trPr>
        <w:tc>
          <w:tcPr>
            <w:tcW w:w="7112" w:type="dxa"/>
            <w:tcBorders>
              <w:top w:val="nil"/>
              <w:left w:val="single" w:sz="4" w:space="0" w:color="auto"/>
              <w:bottom w:val="nil"/>
              <w:right w:val="single" w:sz="4" w:space="0" w:color="auto"/>
            </w:tcBorders>
            <w:shd w:val="clear" w:color="auto" w:fill="auto"/>
            <w:noWrap/>
            <w:vAlign w:val="bottom"/>
            <w:hideMark/>
          </w:tcPr>
          <w:p w14:paraId="77FDB7B2" w14:textId="77777777" w:rsidR="002346AC" w:rsidRPr="00F85253" w:rsidRDefault="002346AC" w:rsidP="002536B0">
            <w:pPr>
              <w:spacing w:after="0"/>
              <w:jc w:val="both"/>
              <w:rPr>
                <w:rFonts w:ascii="Arial" w:hAnsi="Arial" w:cs="Arial"/>
                <w:color w:val="000000"/>
                <w:sz w:val="20"/>
                <w:szCs w:val="20"/>
                <w:lang w:val="es-ES_tradnl"/>
              </w:rPr>
            </w:pPr>
            <w:r w:rsidRPr="00F85253">
              <w:rPr>
                <w:rFonts w:ascii="Arial" w:hAnsi="Arial" w:cs="Arial"/>
                <w:color w:val="000000"/>
                <w:sz w:val="20"/>
                <w:szCs w:val="20"/>
                <w:lang w:val="es-ES_tradnl"/>
              </w:rPr>
              <w:t>Salud</w:t>
            </w:r>
          </w:p>
        </w:tc>
        <w:tc>
          <w:tcPr>
            <w:tcW w:w="889" w:type="dxa"/>
            <w:tcBorders>
              <w:top w:val="nil"/>
              <w:left w:val="single" w:sz="4" w:space="0" w:color="auto"/>
              <w:bottom w:val="nil"/>
              <w:right w:val="single" w:sz="4" w:space="0" w:color="auto"/>
            </w:tcBorders>
            <w:shd w:val="clear" w:color="auto" w:fill="auto"/>
            <w:noWrap/>
            <w:vAlign w:val="bottom"/>
            <w:hideMark/>
          </w:tcPr>
          <w:p w14:paraId="5B7D14FC" w14:textId="77777777" w:rsidR="002346AC" w:rsidRPr="00F85253" w:rsidRDefault="002346AC" w:rsidP="002536B0">
            <w:pPr>
              <w:spacing w:after="0"/>
              <w:jc w:val="both"/>
              <w:rPr>
                <w:rFonts w:ascii="Arial" w:hAnsi="Arial" w:cs="Arial"/>
                <w:color w:val="000000"/>
                <w:sz w:val="20"/>
                <w:szCs w:val="20"/>
                <w:lang w:val="es-ES_tradnl"/>
              </w:rPr>
            </w:pPr>
            <w:r w:rsidRPr="00F85253">
              <w:rPr>
                <w:rFonts w:ascii="Arial" w:hAnsi="Arial" w:cs="Arial"/>
                <w:color w:val="000000"/>
                <w:sz w:val="20"/>
                <w:szCs w:val="20"/>
                <w:lang w:val="es-ES_tradnl"/>
              </w:rPr>
              <w:t>0.0088</w:t>
            </w:r>
          </w:p>
        </w:tc>
      </w:tr>
      <w:tr w:rsidR="002346AC" w:rsidRPr="00F85253" w14:paraId="64447C27" w14:textId="77777777" w:rsidTr="002536B0">
        <w:trPr>
          <w:trHeight w:val="243"/>
        </w:trPr>
        <w:tc>
          <w:tcPr>
            <w:tcW w:w="7112" w:type="dxa"/>
            <w:tcBorders>
              <w:top w:val="nil"/>
              <w:left w:val="single" w:sz="4" w:space="0" w:color="auto"/>
              <w:bottom w:val="nil"/>
              <w:right w:val="single" w:sz="4" w:space="0" w:color="auto"/>
            </w:tcBorders>
            <w:shd w:val="clear" w:color="auto" w:fill="auto"/>
            <w:noWrap/>
            <w:vAlign w:val="bottom"/>
          </w:tcPr>
          <w:p w14:paraId="18DC639B" w14:textId="77777777" w:rsidR="002346AC" w:rsidRPr="00F85253" w:rsidRDefault="002346AC" w:rsidP="002536B0">
            <w:pPr>
              <w:spacing w:after="0"/>
              <w:jc w:val="both"/>
              <w:rPr>
                <w:rFonts w:ascii="Arial" w:hAnsi="Arial" w:cs="Arial"/>
                <w:color w:val="000000"/>
                <w:sz w:val="20"/>
                <w:szCs w:val="20"/>
                <w:lang w:val="es-ES_tradnl"/>
              </w:rPr>
            </w:pPr>
            <w:r w:rsidRPr="00F85253">
              <w:rPr>
                <w:rFonts w:ascii="Arial" w:hAnsi="Arial" w:cs="Arial"/>
                <w:color w:val="000000"/>
                <w:sz w:val="20"/>
                <w:szCs w:val="20"/>
                <w:lang w:val="es-ES_tradnl"/>
              </w:rPr>
              <w:t>Riesgos de Trabajo</w:t>
            </w:r>
          </w:p>
        </w:tc>
        <w:tc>
          <w:tcPr>
            <w:tcW w:w="889" w:type="dxa"/>
            <w:tcBorders>
              <w:top w:val="nil"/>
              <w:left w:val="single" w:sz="4" w:space="0" w:color="auto"/>
              <w:bottom w:val="nil"/>
              <w:right w:val="single" w:sz="4" w:space="0" w:color="auto"/>
            </w:tcBorders>
            <w:shd w:val="clear" w:color="auto" w:fill="auto"/>
            <w:noWrap/>
            <w:vAlign w:val="bottom"/>
          </w:tcPr>
          <w:p w14:paraId="59E5E9BA" w14:textId="77777777" w:rsidR="002346AC" w:rsidRPr="00F85253" w:rsidRDefault="002346AC" w:rsidP="002536B0">
            <w:pPr>
              <w:spacing w:after="0"/>
              <w:jc w:val="both"/>
              <w:rPr>
                <w:rFonts w:ascii="Arial" w:hAnsi="Arial" w:cs="Arial"/>
                <w:color w:val="000000"/>
                <w:sz w:val="20"/>
                <w:szCs w:val="20"/>
                <w:lang w:val="es-ES_tradnl"/>
              </w:rPr>
            </w:pPr>
            <w:r w:rsidRPr="00F85253">
              <w:rPr>
                <w:rFonts w:ascii="Arial" w:hAnsi="Arial" w:cs="Arial"/>
                <w:color w:val="000000"/>
                <w:sz w:val="20"/>
                <w:szCs w:val="20"/>
                <w:lang w:val="es-ES_tradnl"/>
              </w:rPr>
              <w:t>0.0000</w:t>
            </w:r>
          </w:p>
        </w:tc>
      </w:tr>
      <w:tr w:rsidR="002346AC" w:rsidRPr="00F85253" w14:paraId="0F287C27" w14:textId="77777777" w:rsidTr="002536B0">
        <w:trPr>
          <w:trHeight w:val="243"/>
        </w:trPr>
        <w:tc>
          <w:tcPr>
            <w:tcW w:w="7112" w:type="dxa"/>
            <w:tcBorders>
              <w:top w:val="nil"/>
              <w:left w:val="single" w:sz="4" w:space="0" w:color="auto"/>
              <w:bottom w:val="nil"/>
              <w:right w:val="single" w:sz="4" w:space="0" w:color="auto"/>
            </w:tcBorders>
            <w:shd w:val="clear" w:color="auto" w:fill="auto"/>
            <w:noWrap/>
            <w:vAlign w:val="bottom"/>
          </w:tcPr>
          <w:p w14:paraId="325BE07A" w14:textId="77777777" w:rsidR="002346AC" w:rsidRPr="00F85253" w:rsidRDefault="002346AC" w:rsidP="002536B0">
            <w:pPr>
              <w:spacing w:after="0"/>
              <w:jc w:val="both"/>
              <w:rPr>
                <w:rFonts w:ascii="Arial" w:hAnsi="Arial" w:cs="Arial"/>
                <w:color w:val="000000"/>
                <w:sz w:val="20"/>
                <w:szCs w:val="20"/>
                <w:lang w:val="es-ES_tradnl"/>
              </w:rPr>
            </w:pPr>
            <w:r w:rsidRPr="00F85253">
              <w:rPr>
                <w:rFonts w:ascii="Arial" w:hAnsi="Arial" w:cs="Arial"/>
                <w:color w:val="000000"/>
                <w:sz w:val="20"/>
                <w:szCs w:val="20"/>
                <w:lang w:val="es-ES_tradnl"/>
              </w:rPr>
              <w:t>Seguro de Cesantía</w:t>
            </w:r>
          </w:p>
        </w:tc>
        <w:tc>
          <w:tcPr>
            <w:tcW w:w="889" w:type="dxa"/>
            <w:tcBorders>
              <w:top w:val="nil"/>
              <w:left w:val="single" w:sz="4" w:space="0" w:color="auto"/>
              <w:bottom w:val="nil"/>
              <w:right w:val="single" w:sz="4" w:space="0" w:color="auto"/>
            </w:tcBorders>
            <w:shd w:val="clear" w:color="auto" w:fill="auto"/>
            <w:noWrap/>
            <w:vAlign w:val="bottom"/>
          </w:tcPr>
          <w:p w14:paraId="09BF68EA" w14:textId="77777777" w:rsidR="002346AC" w:rsidRPr="00F85253" w:rsidRDefault="002346AC" w:rsidP="002536B0">
            <w:pPr>
              <w:spacing w:after="0"/>
              <w:jc w:val="both"/>
              <w:rPr>
                <w:rFonts w:ascii="Arial" w:hAnsi="Arial" w:cs="Arial"/>
                <w:color w:val="000000"/>
                <w:sz w:val="20"/>
                <w:szCs w:val="20"/>
                <w:lang w:val="es-ES_tradnl"/>
              </w:rPr>
            </w:pPr>
            <w:r w:rsidRPr="00F85253">
              <w:rPr>
                <w:rFonts w:ascii="Arial" w:hAnsi="Arial" w:cs="Arial"/>
                <w:color w:val="000000"/>
                <w:sz w:val="20"/>
                <w:szCs w:val="20"/>
                <w:lang w:val="es-ES_tradnl"/>
              </w:rPr>
              <w:t>0.0200</w:t>
            </w:r>
          </w:p>
        </w:tc>
      </w:tr>
      <w:tr w:rsidR="002346AC" w:rsidRPr="00F85253" w14:paraId="1AF08DD2" w14:textId="77777777" w:rsidTr="002536B0">
        <w:trPr>
          <w:trHeight w:val="243"/>
        </w:trPr>
        <w:tc>
          <w:tcPr>
            <w:tcW w:w="7112" w:type="dxa"/>
            <w:tcBorders>
              <w:top w:val="nil"/>
              <w:left w:val="single" w:sz="4" w:space="0" w:color="auto"/>
              <w:bottom w:val="nil"/>
              <w:right w:val="single" w:sz="4" w:space="0" w:color="auto"/>
            </w:tcBorders>
            <w:shd w:val="clear" w:color="auto" w:fill="auto"/>
            <w:noWrap/>
            <w:vAlign w:val="bottom"/>
          </w:tcPr>
          <w:p w14:paraId="1F2F9EEA" w14:textId="77777777" w:rsidR="002346AC" w:rsidRPr="00F85253" w:rsidRDefault="002346AC" w:rsidP="002536B0">
            <w:pPr>
              <w:spacing w:after="0"/>
              <w:jc w:val="both"/>
              <w:rPr>
                <w:rFonts w:ascii="Arial" w:hAnsi="Arial" w:cs="Arial"/>
                <w:color w:val="000000"/>
                <w:sz w:val="20"/>
                <w:szCs w:val="20"/>
                <w:lang w:val="es-ES_tradnl"/>
              </w:rPr>
            </w:pPr>
            <w:r w:rsidRPr="00F85253">
              <w:rPr>
                <w:rFonts w:ascii="Arial" w:hAnsi="Arial" w:cs="Arial"/>
                <w:color w:val="000000"/>
                <w:sz w:val="20"/>
                <w:szCs w:val="20"/>
                <w:lang w:val="es-ES_tradnl"/>
              </w:rPr>
              <w:t>Seguro Social Campesino</w:t>
            </w:r>
          </w:p>
        </w:tc>
        <w:tc>
          <w:tcPr>
            <w:tcW w:w="889" w:type="dxa"/>
            <w:tcBorders>
              <w:top w:val="nil"/>
              <w:left w:val="single" w:sz="4" w:space="0" w:color="auto"/>
              <w:bottom w:val="nil"/>
              <w:right w:val="single" w:sz="4" w:space="0" w:color="auto"/>
            </w:tcBorders>
            <w:shd w:val="clear" w:color="auto" w:fill="auto"/>
            <w:noWrap/>
            <w:vAlign w:val="bottom"/>
          </w:tcPr>
          <w:p w14:paraId="00F03A13" w14:textId="77777777" w:rsidR="002346AC" w:rsidRPr="00F85253" w:rsidRDefault="002346AC" w:rsidP="002536B0">
            <w:pPr>
              <w:spacing w:after="0"/>
              <w:jc w:val="both"/>
              <w:rPr>
                <w:rFonts w:ascii="Arial" w:hAnsi="Arial" w:cs="Arial"/>
                <w:color w:val="000000"/>
                <w:sz w:val="20"/>
                <w:szCs w:val="20"/>
                <w:lang w:val="es-ES_tradnl"/>
              </w:rPr>
            </w:pPr>
            <w:r w:rsidRPr="00F85253">
              <w:rPr>
                <w:rFonts w:ascii="Arial" w:hAnsi="Arial" w:cs="Arial"/>
                <w:color w:val="000000"/>
                <w:sz w:val="20"/>
                <w:szCs w:val="20"/>
                <w:lang w:val="es-ES_tradnl"/>
              </w:rPr>
              <w:t>0.0035</w:t>
            </w:r>
          </w:p>
        </w:tc>
      </w:tr>
      <w:tr w:rsidR="002346AC" w:rsidRPr="00F85253" w14:paraId="17671AD6" w14:textId="77777777" w:rsidTr="002536B0">
        <w:trPr>
          <w:trHeight w:val="243"/>
        </w:trPr>
        <w:tc>
          <w:tcPr>
            <w:tcW w:w="7112" w:type="dxa"/>
            <w:tcBorders>
              <w:top w:val="nil"/>
              <w:left w:val="single" w:sz="4" w:space="0" w:color="auto"/>
              <w:bottom w:val="nil"/>
              <w:right w:val="single" w:sz="4" w:space="0" w:color="auto"/>
            </w:tcBorders>
            <w:shd w:val="clear" w:color="auto" w:fill="auto"/>
            <w:noWrap/>
            <w:vAlign w:val="bottom"/>
          </w:tcPr>
          <w:p w14:paraId="197D7D7F" w14:textId="77777777" w:rsidR="002346AC" w:rsidRPr="00F85253" w:rsidRDefault="002346AC" w:rsidP="002536B0">
            <w:pPr>
              <w:spacing w:after="0"/>
              <w:jc w:val="both"/>
              <w:rPr>
                <w:rFonts w:ascii="Arial" w:hAnsi="Arial" w:cs="Arial"/>
                <w:color w:val="000000"/>
                <w:sz w:val="20"/>
                <w:szCs w:val="20"/>
                <w:lang w:val="es-ES_tradnl"/>
              </w:rPr>
            </w:pPr>
            <w:r w:rsidRPr="00F85253">
              <w:rPr>
                <w:rFonts w:ascii="Arial" w:hAnsi="Arial" w:cs="Arial"/>
                <w:color w:val="000000"/>
                <w:sz w:val="20"/>
                <w:szCs w:val="20"/>
                <w:lang w:val="es-ES_tradnl"/>
              </w:rPr>
              <w:t>Gastos de Administración</w:t>
            </w:r>
          </w:p>
        </w:tc>
        <w:tc>
          <w:tcPr>
            <w:tcW w:w="889" w:type="dxa"/>
            <w:tcBorders>
              <w:top w:val="nil"/>
              <w:left w:val="single" w:sz="4" w:space="0" w:color="auto"/>
              <w:bottom w:val="nil"/>
              <w:right w:val="single" w:sz="4" w:space="0" w:color="auto"/>
            </w:tcBorders>
            <w:shd w:val="clear" w:color="auto" w:fill="auto"/>
            <w:noWrap/>
            <w:vAlign w:val="bottom"/>
          </w:tcPr>
          <w:p w14:paraId="7E4425B2" w14:textId="77777777" w:rsidR="002346AC" w:rsidRPr="00F85253" w:rsidRDefault="002346AC" w:rsidP="002536B0">
            <w:pPr>
              <w:spacing w:after="0"/>
              <w:jc w:val="both"/>
              <w:rPr>
                <w:rFonts w:ascii="Arial" w:hAnsi="Arial" w:cs="Arial"/>
                <w:color w:val="000000"/>
                <w:sz w:val="20"/>
                <w:szCs w:val="20"/>
                <w:lang w:val="es-ES_tradnl"/>
              </w:rPr>
            </w:pPr>
            <w:r w:rsidRPr="00F85253">
              <w:rPr>
                <w:rFonts w:ascii="Arial" w:hAnsi="Arial" w:cs="Arial"/>
                <w:color w:val="000000"/>
                <w:sz w:val="20"/>
                <w:szCs w:val="20"/>
                <w:lang w:val="es-ES_tradnl"/>
              </w:rPr>
              <w:t>0.0036</w:t>
            </w:r>
          </w:p>
        </w:tc>
      </w:tr>
      <w:tr w:rsidR="002346AC" w:rsidRPr="00F85253" w14:paraId="40572F8F" w14:textId="77777777" w:rsidTr="002536B0">
        <w:trPr>
          <w:trHeight w:val="251"/>
        </w:trPr>
        <w:tc>
          <w:tcPr>
            <w:tcW w:w="7112" w:type="dxa"/>
            <w:tcBorders>
              <w:top w:val="nil"/>
              <w:left w:val="single" w:sz="4" w:space="0" w:color="auto"/>
              <w:bottom w:val="single" w:sz="4" w:space="0" w:color="auto"/>
              <w:right w:val="single" w:sz="4" w:space="0" w:color="auto"/>
            </w:tcBorders>
            <w:shd w:val="clear" w:color="auto" w:fill="auto"/>
            <w:noWrap/>
            <w:vAlign w:val="bottom"/>
            <w:hideMark/>
          </w:tcPr>
          <w:p w14:paraId="697D34AB" w14:textId="77777777" w:rsidR="002346AC" w:rsidRPr="00F85253" w:rsidRDefault="002346AC" w:rsidP="002536B0">
            <w:pPr>
              <w:spacing w:after="0"/>
              <w:jc w:val="both"/>
              <w:rPr>
                <w:rFonts w:ascii="Arial" w:hAnsi="Arial" w:cs="Arial"/>
                <w:b/>
                <w:color w:val="000000"/>
                <w:sz w:val="20"/>
                <w:szCs w:val="20"/>
                <w:lang w:val="es-ES_tradnl"/>
              </w:rPr>
            </w:pPr>
            <w:r w:rsidRPr="00F85253">
              <w:rPr>
                <w:rFonts w:ascii="Arial" w:hAnsi="Arial" w:cs="Arial"/>
                <w:b/>
                <w:color w:val="000000"/>
                <w:sz w:val="20"/>
                <w:szCs w:val="20"/>
                <w:lang w:val="es-ES_tradnl"/>
              </w:rPr>
              <w:t>Total</w:t>
            </w:r>
          </w:p>
        </w:tc>
        <w:tc>
          <w:tcPr>
            <w:tcW w:w="889" w:type="dxa"/>
            <w:tcBorders>
              <w:top w:val="nil"/>
              <w:left w:val="single" w:sz="4" w:space="0" w:color="auto"/>
              <w:bottom w:val="single" w:sz="4" w:space="0" w:color="auto"/>
              <w:right w:val="single" w:sz="4" w:space="0" w:color="auto"/>
            </w:tcBorders>
            <w:shd w:val="clear" w:color="auto" w:fill="auto"/>
            <w:noWrap/>
            <w:vAlign w:val="bottom"/>
            <w:hideMark/>
          </w:tcPr>
          <w:p w14:paraId="035A756B" w14:textId="77777777" w:rsidR="002346AC" w:rsidRPr="00F85253" w:rsidRDefault="002346AC" w:rsidP="002536B0">
            <w:pPr>
              <w:spacing w:after="0"/>
              <w:jc w:val="both"/>
              <w:rPr>
                <w:rFonts w:ascii="Arial" w:hAnsi="Arial" w:cs="Arial"/>
                <w:b/>
                <w:color w:val="000000"/>
                <w:sz w:val="20"/>
                <w:szCs w:val="20"/>
                <w:lang w:val="es-ES_tradnl"/>
              </w:rPr>
            </w:pPr>
            <w:r w:rsidRPr="00F85253">
              <w:rPr>
                <w:rFonts w:ascii="Arial" w:hAnsi="Arial" w:cs="Arial"/>
                <w:b/>
                <w:color w:val="000000"/>
                <w:sz w:val="20"/>
                <w:szCs w:val="20"/>
                <w:lang w:val="es-ES_tradnl"/>
              </w:rPr>
              <w:t>0.0945</w:t>
            </w:r>
          </w:p>
        </w:tc>
      </w:tr>
      <w:tr w:rsidR="008A7412" w:rsidRPr="00F85253" w14:paraId="1D50511B" w14:textId="77777777" w:rsidTr="002536B0">
        <w:trPr>
          <w:trHeight w:val="257"/>
        </w:trPr>
        <w:tc>
          <w:tcPr>
            <w:tcW w:w="7112" w:type="dxa"/>
            <w:tcBorders>
              <w:top w:val="single" w:sz="4" w:space="0" w:color="auto"/>
            </w:tcBorders>
            <w:shd w:val="clear" w:color="auto" w:fill="F2F2F2" w:themeFill="background1" w:themeFillShade="F2"/>
            <w:noWrap/>
            <w:vAlign w:val="bottom"/>
            <w:hideMark/>
          </w:tcPr>
          <w:p w14:paraId="6BC868CC" w14:textId="77777777" w:rsidR="008A7412" w:rsidRPr="00F85253" w:rsidRDefault="002346AC" w:rsidP="002536B0">
            <w:pPr>
              <w:spacing w:after="0"/>
              <w:jc w:val="both"/>
              <w:rPr>
                <w:rFonts w:ascii="Arial" w:hAnsi="Arial" w:cs="Arial"/>
                <w:color w:val="000000"/>
                <w:sz w:val="20"/>
                <w:szCs w:val="20"/>
                <w:lang w:val="es-ES_tradnl"/>
              </w:rPr>
            </w:pPr>
            <w:r w:rsidRPr="00F85253">
              <w:rPr>
                <w:rFonts w:ascii="Arial" w:hAnsi="Arial" w:cs="Arial"/>
                <w:color w:val="000000"/>
                <w:sz w:val="20"/>
                <w:szCs w:val="20"/>
                <w:lang w:val="es-ES_tradnl"/>
              </w:rPr>
              <w:t>Factor de Conversión Mano de Obra Estándar (FCMOS)</w:t>
            </w:r>
          </w:p>
        </w:tc>
        <w:tc>
          <w:tcPr>
            <w:tcW w:w="889" w:type="dxa"/>
            <w:tcBorders>
              <w:top w:val="single" w:sz="4" w:space="0" w:color="auto"/>
            </w:tcBorders>
            <w:shd w:val="clear" w:color="auto" w:fill="F2F2F2" w:themeFill="background1" w:themeFillShade="F2"/>
            <w:noWrap/>
            <w:vAlign w:val="bottom"/>
            <w:hideMark/>
          </w:tcPr>
          <w:p w14:paraId="026950E0" w14:textId="77777777" w:rsidR="008A7412" w:rsidRPr="00F85253" w:rsidRDefault="002346AC" w:rsidP="002536B0">
            <w:pPr>
              <w:spacing w:after="0"/>
              <w:jc w:val="both"/>
              <w:rPr>
                <w:rFonts w:ascii="Arial" w:hAnsi="Arial" w:cs="Arial"/>
                <w:b/>
                <w:color w:val="000000"/>
                <w:sz w:val="20"/>
                <w:szCs w:val="20"/>
                <w:lang w:val="es-ES_tradnl"/>
              </w:rPr>
            </w:pPr>
            <w:r w:rsidRPr="00F85253">
              <w:rPr>
                <w:rFonts w:ascii="Arial" w:hAnsi="Arial" w:cs="Arial"/>
                <w:b/>
                <w:color w:val="000000"/>
                <w:sz w:val="20"/>
                <w:szCs w:val="20"/>
                <w:lang w:val="es-ES_tradnl"/>
              </w:rPr>
              <w:t>0.914</w:t>
            </w:r>
          </w:p>
        </w:tc>
      </w:tr>
      <w:tr w:rsidR="008A7412" w:rsidRPr="00571123" w14:paraId="31420205" w14:textId="77777777" w:rsidTr="002536B0">
        <w:trPr>
          <w:trHeight w:val="279"/>
        </w:trPr>
        <w:tc>
          <w:tcPr>
            <w:tcW w:w="8001" w:type="dxa"/>
            <w:gridSpan w:val="2"/>
            <w:shd w:val="clear" w:color="auto" w:fill="auto"/>
            <w:noWrap/>
            <w:vAlign w:val="bottom"/>
            <w:hideMark/>
          </w:tcPr>
          <w:p w14:paraId="2D444756" w14:textId="77777777" w:rsidR="002346AC" w:rsidRPr="00F85253" w:rsidRDefault="002346AC" w:rsidP="002346AC">
            <w:pPr>
              <w:spacing w:after="0"/>
              <w:jc w:val="both"/>
              <w:rPr>
                <w:rFonts w:ascii="Arial" w:hAnsi="Arial" w:cs="Arial"/>
                <w:color w:val="000000"/>
                <w:sz w:val="20"/>
                <w:szCs w:val="20"/>
                <w:lang w:val="es-ES_tradnl"/>
              </w:rPr>
            </w:pPr>
            <w:r w:rsidRPr="00F85253">
              <w:rPr>
                <w:rFonts w:ascii="Arial" w:hAnsi="Arial" w:cs="Arial"/>
                <w:color w:val="000000"/>
                <w:sz w:val="20"/>
                <w:szCs w:val="20"/>
                <w:lang w:val="es-ES_tradnl"/>
              </w:rPr>
              <w:t>Fuente: Resolución No. C.D. 501 del Instituto Ecuatoriano de Seguridad Social (IESS)</w:t>
            </w:r>
          </w:p>
          <w:p w14:paraId="2F718682" w14:textId="77777777" w:rsidR="008A7412" w:rsidRPr="00F85253" w:rsidRDefault="002346AC" w:rsidP="002346AC">
            <w:pPr>
              <w:spacing w:after="0"/>
              <w:jc w:val="both"/>
              <w:rPr>
                <w:rFonts w:ascii="Arial" w:hAnsi="Arial" w:cs="Arial"/>
                <w:color w:val="0563C1"/>
                <w:sz w:val="20"/>
                <w:szCs w:val="20"/>
                <w:u w:val="single"/>
                <w:lang w:val="es-ES_tradnl"/>
              </w:rPr>
            </w:pPr>
            <w:r w:rsidRPr="00F85253">
              <w:rPr>
                <w:rFonts w:ascii="Arial" w:hAnsi="Arial" w:cs="Arial"/>
                <w:color w:val="000000"/>
                <w:sz w:val="20"/>
                <w:szCs w:val="20"/>
                <w:lang w:val="es-ES_tradnl"/>
              </w:rPr>
              <w:t>Nota: Se utilizó la información de las tablas de distribución de las tasas de aportación Personal de los trabajadores del sector privado bajo relación de dependencia, así como los miembros del clero secular.</w:t>
            </w:r>
            <w:r w:rsidRPr="00F85253">
              <w:rPr>
                <w:rFonts w:ascii="Arial" w:hAnsi="Arial" w:cs="Arial"/>
                <w:color w:val="0563C1"/>
                <w:sz w:val="20"/>
                <w:szCs w:val="20"/>
                <w:u w:val="single"/>
                <w:lang w:val="es-ES_tradnl"/>
              </w:rPr>
              <w:t xml:space="preserve">  </w:t>
            </w:r>
          </w:p>
        </w:tc>
      </w:tr>
    </w:tbl>
    <w:p w14:paraId="4C5436A8" w14:textId="77777777" w:rsidR="008A7412" w:rsidRPr="00F85253" w:rsidRDefault="008A7412" w:rsidP="008A7412">
      <w:pPr>
        <w:pStyle w:val="Paragraph"/>
        <w:spacing w:before="0" w:after="0" w:line="276" w:lineRule="auto"/>
        <w:outlineLvl w:val="9"/>
        <w:rPr>
          <w:rFonts w:ascii="Arial" w:hAnsi="Arial" w:cs="Arial"/>
          <w:spacing w:val="-1"/>
          <w:sz w:val="22"/>
          <w:szCs w:val="22"/>
          <w:lang w:val="es-EC"/>
        </w:rPr>
      </w:pPr>
    </w:p>
    <w:p w14:paraId="55C1B7C0" w14:textId="77777777" w:rsidR="008A7412" w:rsidRPr="00F85253" w:rsidRDefault="000C12A9" w:rsidP="008A7412">
      <w:pPr>
        <w:pStyle w:val="Paragraph"/>
        <w:numPr>
          <w:ilvl w:val="0"/>
          <w:numId w:val="4"/>
        </w:numPr>
        <w:spacing w:before="0" w:after="0" w:line="276" w:lineRule="auto"/>
        <w:ind w:left="900"/>
        <w:outlineLvl w:val="9"/>
        <w:rPr>
          <w:rFonts w:ascii="Arial" w:hAnsi="Arial" w:cs="Arial"/>
          <w:spacing w:val="-1"/>
          <w:sz w:val="22"/>
          <w:szCs w:val="22"/>
          <w:lang w:val="es-ES_tradnl"/>
        </w:rPr>
      </w:pPr>
      <w:r w:rsidRPr="00F85253">
        <w:rPr>
          <w:rFonts w:ascii="Arial" w:hAnsi="Arial" w:cs="Arial"/>
          <w:spacing w:val="-1"/>
          <w:sz w:val="22"/>
          <w:szCs w:val="22"/>
          <w:u w:val="single"/>
          <w:lang w:val="es-ES_tradnl"/>
        </w:rPr>
        <w:t>Factor de conversión de mano de obra calificada (FCMOC)</w:t>
      </w:r>
      <w:r w:rsidRPr="00F85253">
        <w:rPr>
          <w:rFonts w:ascii="Arial" w:hAnsi="Arial" w:cs="Arial"/>
          <w:spacing w:val="-1"/>
          <w:sz w:val="22"/>
          <w:szCs w:val="22"/>
          <w:lang w:val="es-ES_tradnl"/>
        </w:rPr>
        <w:t>: se obtiene mediante el producto del factor de conversión estándar por el factor de conversión de mano de obra estándar.</w:t>
      </w:r>
      <w:r w:rsidR="008A7412" w:rsidRPr="00F85253">
        <w:rPr>
          <w:rFonts w:ascii="Arial" w:hAnsi="Arial" w:cs="Arial"/>
          <w:spacing w:val="-1"/>
          <w:sz w:val="22"/>
          <w:szCs w:val="22"/>
          <w:lang w:val="es-ES_tradnl"/>
        </w:rPr>
        <w:t xml:space="preserve"> Se considera la estimación para los servidores públicos y trabajadores privados.</w:t>
      </w:r>
    </w:p>
    <w:p w14:paraId="036D2491" w14:textId="77777777" w:rsidR="00991826" w:rsidRPr="00F85253" w:rsidRDefault="00991826" w:rsidP="00991826">
      <w:pPr>
        <w:pStyle w:val="Paragraph"/>
        <w:spacing w:before="0" w:after="0" w:line="276" w:lineRule="auto"/>
        <w:ind w:left="900"/>
        <w:outlineLvl w:val="9"/>
        <w:rPr>
          <w:rFonts w:ascii="Arial" w:hAnsi="Arial" w:cs="Arial"/>
          <w:spacing w:val="-1"/>
          <w:sz w:val="22"/>
          <w:szCs w:val="22"/>
          <w:lang w:val="es-ES_tradnl"/>
        </w:rPr>
      </w:pPr>
    </w:p>
    <w:p w14:paraId="03B33019" w14:textId="77777777" w:rsidR="008A7412" w:rsidRPr="00F85253" w:rsidRDefault="008A7412" w:rsidP="008A7412">
      <w:pPr>
        <w:pStyle w:val="Paragraph"/>
        <w:spacing w:before="0" w:after="0" w:line="276" w:lineRule="auto"/>
        <w:ind w:left="900"/>
        <w:outlineLvl w:val="9"/>
        <w:rPr>
          <w:rFonts w:ascii="Arial" w:hAnsi="Arial" w:cs="Arial"/>
          <w:spacing w:val="-1"/>
          <w:sz w:val="22"/>
          <w:szCs w:val="22"/>
          <w:lang w:val="es-ES_tradnl"/>
        </w:rPr>
      </w:pPr>
      <w:r w:rsidRPr="00F85253">
        <w:rPr>
          <w:rFonts w:ascii="Arial" w:hAnsi="Arial" w:cs="Arial"/>
          <w:i/>
          <w:spacing w:val="-1"/>
          <w:sz w:val="22"/>
          <w:szCs w:val="22"/>
          <w:lang w:val="es-ES_tradnl"/>
        </w:rPr>
        <w:t>Servidores Públicos:</w:t>
      </w:r>
    </w:p>
    <w:p w14:paraId="0C48DF6A" w14:textId="77777777" w:rsidR="000C12A9" w:rsidRPr="00F85253" w:rsidRDefault="000C12A9" w:rsidP="000C12A9">
      <w:pPr>
        <w:pStyle w:val="Paragraph"/>
        <w:keepNext/>
        <w:spacing w:before="0" w:after="0" w:line="276" w:lineRule="auto"/>
        <w:outlineLvl w:val="9"/>
        <w:rPr>
          <w:rFonts w:ascii="Arial" w:hAnsi="Arial" w:cs="Arial"/>
          <w:spacing w:val="-1"/>
          <w:sz w:val="22"/>
          <w:szCs w:val="22"/>
          <w:lang w:val="es-ES_tradnl"/>
        </w:rPr>
      </w:pPr>
      <m:oMathPara>
        <m:oMath>
          <m:r>
            <w:rPr>
              <w:rFonts w:ascii="Cambria Math" w:hAnsi="Cambria Math" w:cs="Arial"/>
              <w:spacing w:val="-1"/>
              <w:sz w:val="22"/>
              <w:szCs w:val="22"/>
              <w:lang w:val="es-ES_tradnl"/>
            </w:rPr>
            <m:t>FCMOC=FCMOS*FCE=0.897*0.918=</m:t>
          </m:r>
          <m:r>
            <m:rPr>
              <m:sty m:val="bi"/>
            </m:rPr>
            <w:rPr>
              <w:rFonts w:ascii="Cambria Math" w:hAnsi="Cambria Math" w:cs="Arial"/>
              <w:spacing w:val="-1"/>
              <w:sz w:val="22"/>
              <w:szCs w:val="22"/>
              <w:lang w:val="es-ES_tradnl"/>
            </w:rPr>
            <m:t>0.823</m:t>
          </m:r>
        </m:oMath>
      </m:oMathPara>
    </w:p>
    <w:p w14:paraId="62AF9F0D" w14:textId="77777777" w:rsidR="008A7412" w:rsidRPr="00F85253" w:rsidRDefault="008A7412" w:rsidP="008A7412">
      <w:pPr>
        <w:pStyle w:val="Paragraph"/>
        <w:spacing w:before="0" w:after="0" w:line="276" w:lineRule="auto"/>
        <w:ind w:left="900"/>
        <w:outlineLvl w:val="9"/>
        <w:rPr>
          <w:rFonts w:ascii="Arial" w:hAnsi="Arial" w:cs="Arial"/>
          <w:i/>
          <w:spacing w:val="-1"/>
          <w:sz w:val="22"/>
          <w:szCs w:val="22"/>
          <w:lang w:val="es-ES_tradnl"/>
        </w:rPr>
      </w:pPr>
      <w:r w:rsidRPr="00F85253">
        <w:rPr>
          <w:rFonts w:ascii="Arial" w:hAnsi="Arial" w:cs="Arial"/>
          <w:i/>
          <w:spacing w:val="-1"/>
          <w:sz w:val="22"/>
          <w:szCs w:val="22"/>
          <w:lang w:val="es-ES_tradnl"/>
        </w:rPr>
        <w:t>Trabadores Privados:</w:t>
      </w:r>
    </w:p>
    <w:p w14:paraId="0675A2BF" w14:textId="77777777" w:rsidR="00E81259" w:rsidRPr="00F85253" w:rsidRDefault="008A7412" w:rsidP="00E81259">
      <w:pPr>
        <w:pStyle w:val="Paragraph"/>
        <w:spacing w:before="0" w:after="0" w:line="276" w:lineRule="auto"/>
        <w:ind w:left="900"/>
        <w:outlineLvl w:val="9"/>
        <w:rPr>
          <w:rFonts w:ascii="Arial" w:hAnsi="Arial" w:cs="Arial"/>
          <w:b/>
          <w:spacing w:val="-1"/>
          <w:sz w:val="22"/>
          <w:szCs w:val="22"/>
          <w:lang w:val="es-ES_tradnl"/>
        </w:rPr>
      </w:pPr>
      <m:oMathPara>
        <m:oMath>
          <m:r>
            <w:rPr>
              <w:rFonts w:ascii="Cambria Math" w:hAnsi="Cambria Math" w:cs="Arial"/>
              <w:spacing w:val="-1"/>
              <w:sz w:val="22"/>
              <w:szCs w:val="22"/>
              <w:lang w:val="es-ES_tradnl"/>
            </w:rPr>
            <m:t>FCMOC=FCMOS*FCE=0.914*0.918=</m:t>
          </m:r>
          <m:r>
            <m:rPr>
              <m:sty m:val="bi"/>
            </m:rPr>
            <w:rPr>
              <w:rFonts w:ascii="Cambria Math" w:hAnsi="Cambria Math" w:cs="Arial"/>
              <w:spacing w:val="-1"/>
              <w:sz w:val="22"/>
              <w:szCs w:val="22"/>
              <w:lang w:val="es-ES_tradnl"/>
            </w:rPr>
            <m:t>0.838</m:t>
          </m:r>
        </m:oMath>
      </m:oMathPara>
    </w:p>
    <w:p w14:paraId="69F137E0" w14:textId="77777777" w:rsidR="008A7412" w:rsidRPr="00F85253" w:rsidRDefault="008A7412" w:rsidP="00E81259">
      <w:pPr>
        <w:pStyle w:val="Paragraph"/>
        <w:spacing w:before="0" w:after="0" w:line="276" w:lineRule="auto"/>
        <w:ind w:left="900"/>
        <w:outlineLvl w:val="9"/>
        <w:rPr>
          <w:rFonts w:ascii="Arial" w:hAnsi="Arial" w:cs="Arial"/>
          <w:spacing w:val="-1"/>
          <w:sz w:val="22"/>
          <w:szCs w:val="22"/>
          <w:lang w:val="es-ES_tradnl"/>
        </w:rPr>
      </w:pPr>
    </w:p>
    <w:p w14:paraId="65F978F2" w14:textId="77777777" w:rsidR="00E57F4D" w:rsidRPr="00F85253" w:rsidRDefault="000C12A9" w:rsidP="00E57F4D">
      <w:pPr>
        <w:pStyle w:val="Paragraph"/>
        <w:numPr>
          <w:ilvl w:val="0"/>
          <w:numId w:val="4"/>
        </w:numPr>
        <w:spacing w:before="0" w:after="0" w:line="276" w:lineRule="auto"/>
        <w:ind w:left="900"/>
        <w:outlineLvl w:val="9"/>
        <w:rPr>
          <w:rFonts w:ascii="Arial" w:hAnsi="Arial" w:cs="Arial"/>
          <w:spacing w:val="-1"/>
          <w:sz w:val="22"/>
          <w:szCs w:val="22"/>
          <w:lang w:val="es-ES_tradnl"/>
        </w:rPr>
      </w:pPr>
      <w:r w:rsidRPr="00F85253">
        <w:rPr>
          <w:rFonts w:ascii="Arial" w:hAnsi="Arial" w:cs="Arial"/>
          <w:spacing w:val="-1"/>
          <w:sz w:val="22"/>
          <w:szCs w:val="22"/>
          <w:u w:val="single"/>
          <w:lang w:val="es-ES_tradnl"/>
        </w:rPr>
        <w:t>Factor de conversión de mano de obra no calificada (FCMONC)</w:t>
      </w:r>
      <w:r w:rsidRPr="00F85253">
        <w:rPr>
          <w:rFonts w:ascii="Arial" w:hAnsi="Arial" w:cs="Arial"/>
          <w:spacing w:val="-1"/>
          <w:sz w:val="22"/>
          <w:szCs w:val="22"/>
          <w:lang w:val="es-ES_tradnl"/>
        </w:rPr>
        <w:t>:</w:t>
      </w:r>
      <w:r w:rsidRPr="00F85253">
        <w:rPr>
          <w:rFonts w:ascii="Arial" w:hAnsi="Arial" w:cs="Arial"/>
          <w:sz w:val="22"/>
          <w:szCs w:val="22"/>
          <w:lang w:val="es-ES_tradnl"/>
        </w:rPr>
        <w:t xml:space="preserve"> para este factor, se </w:t>
      </w:r>
      <w:r w:rsidRPr="00F85253">
        <w:rPr>
          <w:rFonts w:ascii="Arial" w:hAnsi="Arial" w:cs="Arial"/>
          <w:spacing w:val="-1"/>
          <w:sz w:val="22"/>
          <w:szCs w:val="22"/>
          <w:u w:color="000000"/>
          <w:lang w:val="es-ES_tradnl"/>
        </w:rPr>
        <w:t xml:space="preserve">utiliza el mismo criterio que en el caso de mano de obra calificada, al excluirse aquellos conceptos de las remuneraciones que son efectivamente transferencias. </w:t>
      </w:r>
      <w:r w:rsidRPr="00F85253">
        <w:rPr>
          <w:rFonts w:ascii="Arial" w:hAnsi="Arial" w:cs="Arial"/>
          <w:spacing w:val="-1"/>
          <w:sz w:val="22"/>
          <w:szCs w:val="22"/>
          <w:u w:color="000000"/>
          <w:lang w:val="es-ES_tradnl"/>
        </w:rPr>
        <w:lastRenderedPageBreak/>
        <w:t>Adicionalmente, se descuenta un factor asociado a la tasa de desempleo de este tipo de mano de obra, según la</w:t>
      </w:r>
      <w:r w:rsidR="00A7730C" w:rsidRPr="00F85253">
        <w:rPr>
          <w:rFonts w:ascii="Arial" w:hAnsi="Arial" w:cs="Arial"/>
          <w:spacing w:val="-1"/>
          <w:sz w:val="22"/>
          <w:szCs w:val="22"/>
          <w:u w:color="000000"/>
          <w:lang w:val="es-ES_tradnl"/>
        </w:rPr>
        <w:t>s</w:t>
      </w:r>
      <w:r w:rsidRPr="00F85253">
        <w:rPr>
          <w:rFonts w:ascii="Arial" w:hAnsi="Arial" w:cs="Arial"/>
          <w:spacing w:val="-1"/>
          <w:sz w:val="22"/>
          <w:szCs w:val="22"/>
          <w:u w:color="000000"/>
          <w:lang w:val="es-ES_tradnl"/>
        </w:rPr>
        <w:t xml:space="preserve"> siguiente</w:t>
      </w:r>
      <w:r w:rsidR="00A7730C" w:rsidRPr="00F85253">
        <w:rPr>
          <w:rFonts w:ascii="Arial" w:hAnsi="Arial" w:cs="Arial"/>
          <w:spacing w:val="-1"/>
          <w:sz w:val="22"/>
          <w:szCs w:val="22"/>
          <w:u w:color="000000"/>
          <w:lang w:val="es-ES_tradnl"/>
        </w:rPr>
        <w:t>s</w:t>
      </w:r>
      <w:r w:rsidRPr="00F85253">
        <w:rPr>
          <w:rFonts w:ascii="Arial" w:hAnsi="Arial" w:cs="Arial"/>
          <w:spacing w:val="-1"/>
          <w:sz w:val="22"/>
          <w:szCs w:val="22"/>
          <w:u w:color="000000"/>
          <w:lang w:val="es-ES_tradnl"/>
        </w:rPr>
        <w:t xml:space="preserve"> expresi</w:t>
      </w:r>
      <w:r w:rsidR="00A7730C" w:rsidRPr="00F85253">
        <w:rPr>
          <w:rFonts w:ascii="Arial" w:hAnsi="Arial" w:cs="Arial"/>
          <w:spacing w:val="-1"/>
          <w:sz w:val="22"/>
          <w:szCs w:val="22"/>
          <w:u w:color="000000"/>
          <w:lang w:val="es-ES_tradnl"/>
        </w:rPr>
        <w:t>o</w:t>
      </w:r>
      <w:r w:rsidRPr="00F85253">
        <w:rPr>
          <w:rFonts w:ascii="Arial" w:hAnsi="Arial" w:cs="Arial"/>
          <w:spacing w:val="-1"/>
          <w:sz w:val="22"/>
          <w:szCs w:val="22"/>
          <w:u w:color="000000"/>
          <w:lang w:val="es-ES_tradnl"/>
        </w:rPr>
        <w:t>n</w:t>
      </w:r>
      <w:r w:rsidR="00A7730C" w:rsidRPr="00F85253">
        <w:rPr>
          <w:rFonts w:ascii="Arial" w:hAnsi="Arial" w:cs="Arial"/>
          <w:spacing w:val="-1"/>
          <w:sz w:val="22"/>
          <w:szCs w:val="22"/>
          <w:u w:color="000000"/>
          <w:lang w:val="es-ES_tradnl"/>
        </w:rPr>
        <w:t>es</w:t>
      </w:r>
      <w:r w:rsidRPr="00F85253">
        <w:rPr>
          <w:rStyle w:val="FootnoteReference"/>
          <w:rFonts w:ascii="Arial" w:hAnsi="Arial" w:cs="Arial"/>
          <w:spacing w:val="-1"/>
          <w:sz w:val="22"/>
          <w:szCs w:val="22"/>
          <w:u w:color="000000"/>
          <w:lang w:val="es-ES_tradnl"/>
        </w:rPr>
        <w:footnoteReference w:id="55"/>
      </w:r>
      <w:r w:rsidRPr="00F85253">
        <w:rPr>
          <w:rFonts w:ascii="Arial" w:hAnsi="Arial" w:cs="Arial"/>
          <w:spacing w:val="-1"/>
          <w:sz w:val="22"/>
          <w:szCs w:val="22"/>
          <w:u w:color="000000"/>
          <w:lang w:val="es-ES_tradnl"/>
        </w:rPr>
        <w:t xml:space="preserve">. </w:t>
      </w:r>
    </w:p>
    <w:p w14:paraId="0D208C7F" w14:textId="77777777" w:rsidR="00991826" w:rsidRPr="00F85253" w:rsidRDefault="00991826" w:rsidP="00991826">
      <w:pPr>
        <w:pStyle w:val="Paragraph"/>
        <w:spacing w:before="0" w:after="0" w:line="276" w:lineRule="auto"/>
        <w:ind w:left="900"/>
        <w:outlineLvl w:val="9"/>
        <w:rPr>
          <w:rFonts w:ascii="Arial" w:hAnsi="Arial" w:cs="Arial"/>
          <w:spacing w:val="-1"/>
          <w:sz w:val="22"/>
          <w:szCs w:val="22"/>
          <w:lang w:val="es-ES_tradnl"/>
        </w:rPr>
      </w:pPr>
    </w:p>
    <w:p w14:paraId="2EA1BD52" w14:textId="77777777" w:rsidR="00E57F4D" w:rsidRPr="00F85253" w:rsidRDefault="00E57F4D" w:rsidP="00E57F4D">
      <w:pPr>
        <w:pStyle w:val="Paragraph"/>
        <w:spacing w:before="0" w:after="0" w:line="276" w:lineRule="auto"/>
        <w:ind w:left="900"/>
        <w:outlineLvl w:val="9"/>
        <w:rPr>
          <w:rFonts w:ascii="Arial" w:hAnsi="Arial" w:cs="Arial"/>
          <w:spacing w:val="-1"/>
          <w:sz w:val="22"/>
          <w:szCs w:val="22"/>
          <w:lang w:val="es-ES_tradnl"/>
        </w:rPr>
      </w:pPr>
      <w:r w:rsidRPr="00F85253">
        <w:rPr>
          <w:rFonts w:ascii="Arial" w:hAnsi="Arial" w:cs="Arial"/>
          <w:i/>
          <w:spacing w:val="-1"/>
          <w:sz w:val="22"/>
          <w:szCs w:val="22"/>
          <w:lang w:val="es-ES_tradnl"/>
        </w:rPr>
        <w:t>Servidores Públicos:</w:t>
      </w:r>
    </w:p>
    <w:p w14:paraId="0DE8D1BA" w14:textId="77777777" w:rsidR="000C12A9" w:rsidRPr="00F85253" w:rsidRDefault="000C12A9" w:rsidP="000C12A9">
      <w:pPr>
        <w:pStyle w:val="Paragraph"/>
        <w:spacing w:before="0" w:after="0" w:line="276" w:lineRule="auto"/>
        <w:outlineLvl w:val="9"/>
        <w:rPr>
          <w:rFonts w:ascii="Arial" w:hAnsi="Arial" w:cs="Arial"/>
          <w:spacing w:val="-1"/>
          <w:sz w:val="22"/>
          <w:szCs w:val="22"/>
          <w:u w:color="000000"/>
          <w:lang w:val="es-ES_tradnl"/>
        </w:rPr>
      </w:pPr>
      <m:oMathPara>
        <m:oMath>
          <m:r>
            <w:rPr>
              <w:rFonts w:ascii="Cambria Math" w:hAnsi="Cambria Math" w:cs="Arial"/>
              <w:spacing w:val="-1"/>
              <w:sz w:val="22"/>
              <w:szCs w:val="22"/>
              <w:u w:color="000000"/>
              <w:lang w:val="es-ES_tradnl"/>
            </w:rPr>
            <m:t>FCMONC=W*FCMOC*</m:t>
          </m:r>
          <m:d>
            <m:dPr>
              <m:ctrlPr>
                <w:rPr>
                  <w:rFonts w:ascii="Cambria Math" w:hAnsi="Cambria Math" w:cs="Arial"/>
                  <w:i/>
                  <w:spacing w:val="-1"/>
                  <w:sz w:val="22"/>
                  <w:szCs w:val="22"/>
                  <w:u w:color="000000"/>
                  <w:lang w:val="es-ES_tradnl"/>
                </w:rPr>
              </m:ctrlPr>
            </m:dPr>
            <m:e>
              <m:r>
                <w:rPr>
                  <w:rFonts w:ascii="Cambria Math" w:hAnsi="Cambria Math" w:cs="Arial"/>
                  <w:spacing w:val="-1"/>
                  <w:sz w:val="22"/>
                  <w:szCs w:val="22"/>
                  <w:u w:color="000000"/>
                  <w:lang w:val="es-ES_tradnl"/>
                </w:rPr>
                <m:t>1-</m:t>
              </m:r>
              <m:sSub>
                <m:sSubPr>
                  <m:ctrlPr>
                    <w:rPr>
                      <w:rFonts w:ascii="Cambria Math" w:hAnsi="Cambria Math" w:cs="Arial"/>
                      <w:i/>
                      <w:spacing w:val="-1"/>
                      <w:sz w:val="22"/>
                      <w:szCs w:val="22"/>
                      <w:u w:color="000000"/>
                      <w:lang w:val="es-ES_tradnl"/>
                    </w:rPr>
                  </m:ctrlPr>
                </m:sSubPr>
                <m:e>
                  <m:r>
                    <w:rPr>
                      <w:rFonts w:ascii="Cambria Math" w:hAnsi="Cambria Math" w:cs="Arial"/>
                      <w:spacing w:val="-1"/>
                      <w:sz w:val="22"/>
                      <w:szCs w:val="22"/>
                      <w:u w:color="000000"/>
                      <w:lang w:val="es-ES_tradnl"/>
                    </w:rPr>
                    <m:t>U</m:t>
                  </m:r>
                </m:e>
                <m:sub>
                  <m:r>
                    <w:rPr>
                      <w:rFonts w:ascii="Cambria Math" w:hAnsi="Cambria Math" w:cs="Arial"/>
                      <w:spacing w:val="-1"/>
                      <w:sz w:val="22"/>
                      <w:szCs w:val="22"/>
                      <w:u w:color="000000"/>
                      <w:lang w:val="es-ES_tradnl"/>
                    </w:rPr>
                    <m:t>nc</m:t>
                  </m:r>
                </m:sub>
              </m:sSub>
            </m:e>
          </m:d>
          <m:r>
            <w:rPr>
              <w:rFonts w:ascii="Cambria Math" w:hAnsi="Cambria Math" w:cs="Arial"/>
              <w:spacing w:val="-1"/>
              <w:sz w:val="22"/>
              <w:szCs w:val="22"/>
              <w:u w:color="000000"/>
              <w:lang w:val="es-ES_tradnl"/>
            </w:rPr>
            <m:t>=</m:t>
          </m:r>
        </m:oMath>
      </m:oMathPara>
    </w:p>
    <w:p w14:paraId="37C2855E" w14:textId="77777777" w:rsidR="000C12A9" w:rsidRPr="00F85253" w:rsidRDefault="000C12A9" w:rsidP="000C12A9">
      <w:pPr>
        <w:pStyle w:val="Paragraph"/>
        <w:spacing w:before="0" w:after="0" w:line="276" w:lineRule="auto"/>
        <w:outlineLvl w:val="9"/>
        <w:rPr>
          <w:rFonts w:ascii="Arial" w:hAnsi="Arial" w:cs="Arial"/>
          <w:spacing w:val="-1"/>
          <w:sz w:val="22"/>
          <w:szCs w:val="22"/>
          <w:u w:color="000000"/>
          <w:lang w:val="es-ES_tradnl"/>
        </w:rPr>
      </w:pPr>
      <m:oMathPara>
        <m:oMath>
          <m:r>
            <w:rPr>
              <w:rFonts w:ascii="Cambria Math" w:hAnsi="Cambria Math" w:cs="Arial"/>
              <w:spacing w:val="-1"/>
              <w:sz w:val="22"/>
              <w:szCs w:val="22"/>
              <w:u w:color="000000"/>
              <w:lang w:val="es-ES_tradnl"/>
            </w:rPr>
            <m:t>1.0*0.823*</m:t>
          </m:r>
          <m:d>
            <m:dPr>
              <m:ctrlPr>
                <w:rPr>
                  <w:rFonts w:ascii="Cambria Math" w:hAnsi="Cambria Math" w:cs="Arial"/>
                  <w:i/>
                  <w:spacing w:val="-1"/>
                  <w:sz w:val="22"/>
                  <w:szCs w:val="22"/>
                  <w:u w:color="000000"/>
                  <w:lang w:val="es-ES_tradnl"/>
                </w:rPr>
              </m:ctrlPr>
            </m:dPr>
            <m:e>
              <m:r>
                <w:rPr>
                  <w:rFonts w:ascii="Cambria Math" w:hAnsi="Cambria Math" w:cs="Arial"/>
                  <w:spacing w:val="-1"/>
                  <w:sz w:val="22"/>
                  <w:szCs w:val="22"/>
                  <w:u w:color="000000"/>
                  <w:lang w:val="es-ES_tradnl"/>
                </w:rPr>
                <m:t>1-</m:t>
              </m:r>
              <m:r>
                <m:rPr>
                  <m:sty m:val="p"/>
                </m:rPr>
                <w:rPr>
                  <w:rFonts w:ascii="Cambria Math" w:hAnsi="Cambria Math" w:cs="Arial"/>
                  <w:color w:val="000000"/>
                  <w:lang w:val="es-ES_tradnl"/>
                </w:rPr>
                <m:t>0.0349</m:t>
              </m:r>
            </m:e>
          </m:d>
          <m:r>
            <w:rPr>
              <w:rFonts w:ascii="Cambria Math" w:hAnsi="Cambria Math" w:cs="Arial"/>
              <w:spacing w:val="-1"/>
              <w:sz w:val="22"/>
              <w:szCs w:val="22"/>
              <w:u w:color="000000"/>
              <w:lang w:val="es-ES_tradnl"/>
            </w:rPr>
            <m:t>=</m:t>
          </m:r>
          <m:r>
            <m:rPr>
              <m:sty m:val="b"/>
            </m:rPr>
            <w:rPr>
              <w:rFonts w:ascii="Cambria Math" w:hAnsi="Cambria Math" w:cs="Arial"/>
              <w:color w:val="000000"/>
              <w:lang w:val="es-ES_tradnl"/>
            </w:rPr>
            <m:t>0.795</m:t>
          </m:r>
        </m:oMath>
      </m:oMathPara>
    </w:p>
    <w:p w14:paraId="3C8334DA" w14:textId="77777777" w:rsidR="00E57F4D" w:rsidRPr="00F85253" w:rsidRDefault="00E57F4D" w:rsidP="00E57F4D">
      <w:pPr>
        <w:pStyle w:val="Paragraph"/>
        <w:spacing w:before="0" w:after="0" w:line="276" w:lineRule="auto"/>
        <w:ind w:left="900"/>
        <w:outlineLvl w:val="9"/>
        <w:rPr>
          <w:rFonts w:ascii="Arial" w:hAnsi="Arial" w:cs="Arial"/>
          <w:i/>
          <w:spacing w:val="-1"/>
          <w:sz w:val="22"/>
          <w:szCs w:val="22"/>
          <w:lang w:val="es-ES_tradnl"/>
        </w:rPr>
      </w:pPr>
      <w:r w:rsidRPr="00F85253">
        <w:rPr>
          <w:rFonts w:ascii="Arial" w:hAnsi="Arial" w:cs="Arial"/>
          <w:i/>
          <w:spacing w:val="-1"/>
          <w:sz w:val="22"/>
          <w:szCs w:val="22"/>
          <w:lang w:val="es-ES_tradnl"/>
        </w:rPr>
        <w:t>Trabadores Privados:</w:t>
      </w:r>
    </w:p>
    <w:p w14:paraId="108F5089" w14:textId="77777777" w:rsidR="00E57F4D" w:rsidRPr="00F85253" w:rsidRDefault="00E57F4D" w:rsidP="00E57F4D">
      <w:pPr>
        <w:pStyle w:val="Paragraph"/>
        <w:spacing w:before="0" w:after="0" w:line="276" w:lineRule="auto"/>
        <w:outlineLvl w:val="9"/>
        <w:rPr>
          <w:rFonts w:ascii="Arial" w:hAnsi="Arial" w:cs="Arial"/>
          <w:spacing w:val="-1"/>
          <w:sz w:val="22"/>
          <w:szCs w:val="22"/>
          <w:u w:color="000000"/>
          <w:lang w:val="es-ES_tradnl"/>
        </w:rPr>
      </w:pPr>
      <m:oMathPara>
        <m:oMath>
          <m:r>
            <w:rPr>
              <w:rFonts w:ascii="Cambria Math" w:hAnsi="Cambria Math" w:cs="Arial"/>
              <w:spacing w:val="-1"/>
              <w:sz w:val="22"/>
              <w:szCs w:val="22"/>
              <w:u w:color="000000"/>
              <w:lang w:val="es-ES_tradnl"/>
            </w:rPr>
            <m:t>FCMONC=W*FCMOC*</m:t>
          </m:r>
          <m:d>
            <m:dPr>
              <m:ctrlPr>
                <w:rPr>
                  <w:rFonts w:ascii="Cambria Math" w:hAnsi="Cambria Math" w:cs="Arial"/>
                  <w:i/>
                  <w:spacing w:val="-1"/>
                  <w:sz w:val="22"/>
                  <w:szCs w:val="22"/>
                  <w:u w:color="000000"/>
                  <w:lang w:val="es-ES_tradnl"/>
                </w:rPr>
              </m:ctrlPr>
            </m:dPr>
            <m:e>
              <m:r>
                <w:rPr>
                  <w:rFonts w:ascii="Cambria Math" w:hAnsi="Cambria Math" w:cs="Arial"/>
                  <w:spacing w:val="-1"/>
                  <w:sz w:val="22"/>
                  <w:szCs w:val="22"/>
                  <w:u w:color="000000"/>
                  <w:lang w:val="es-ES_tradnl"/>
                </w:rPr>
                <m:t>1-</m:t>
              </m:r>
              <m:sSub>
                <m:sSubPr>
                  <m:ctrlPr>
                    <w:rPr>
                      <w:rFonts w:ascii="Cambria Math" w:hAnsi="Cambria Math" w:cs="Arial"/>
                      <w:i/>
                      <w:spacing w:val="-1"/>
                      <w:sz w:val="22"/>
                      <w:szCs w:val="22"/>
                      <w:u w:color="000000"/>
                      <w:lang w:val="es-ES_tradnl"/>
                    </w:rPr>
                  </m:ctrlPr>
                </m:sSubPr>
                <m:e>
                  <m:r>
                    <w:rPr>
                      <w:rFonts w:ascii="Cambria Math" w:hAnsi="Cambria Math" w:cs="Arial"/>
                      <w:spacing w:val="-1"/>
                      <w:sz w:val="22"/>
                      <w:szCs w:val="22"/>
                      <w:u w:color="000000"/>
                      <w:lang w:val="es-ES_tradnl"/>
                    </w:rPr>
                    <m:t>U</m:t>
                  </m:r>
                </m:e>
                <m:sub>
                  <m:r>
                    <w:rPr>
                      <w:rFonts w:ascii="Cambria Math" w:hAnsi="Cambria Math" w:cs="Arial"/>
                      <w:spacing w:val="-1"/>
                      <w:sz w:val="22"/>
                      <w:szCs w:val="22"/>
                      <w:u w:color="000000"/>
                      <w:lang w:val="es-ES_tradnl"/>
                    </w:rPr>
                    <m:t>nc</m:t>
                  </m:r>
                </m:sub>
              </m:sSub>
            </m:e>
          </m:d>
          <m:r>
            <w:rPr>
              <w:rFonts w:ascii="Cambria Math" w:hAnsi="Cambria Math" w:cs="Arial"/>
              <w:spacing w:val="-1"/>
              <w:sz w:val="22"/>
              <w:szCs w:val="22"/>
              <w:u w:color="000000"/>
              <w:lang w:val="es-ES_tradnl"/>
            </w:rPr>
            <m:t>=</m:t>
          </m:r>
        </m:oMath>
      </m:oMathPara>
    </w:p>
    <w:p w14:paraId="65115A3B" w14:textId="77777777" w:rsidR="00E57F4D" w:rsidRPr="00F85253" w:rsidRDefault="00E57F4D" w:rsidP="00E57F4D">
      <w:pPr>
        <w:pStyle w:val="Paragraph"/>
        <w:spacing w:before="0" w:after="0" w:line="276" w:lineRule="auto"/>
        <w:outlineLvl w:val="9"/>
        <w:rPr>
          <w:rFonts w:ascii="Arial" w:hAnsi="Arial" w:cs="Arial"/>
          <w:spacing w:val="-1"/>
          <w:sz w:val="22"/>
          <w:szCs w:val="22"/>
          <w:u w:color="000000"/>
          <w:lang w:val="es-ES_tradnl"/>
        </w:rPr>
      </w:pPr>
      <m:oMathPara>
        <m:oMath>
          <m:r>
            <w:rPr>
              <w:rFonts w:ascii="Cambria Math" w:hAnsi="Cambria Math" w:cs="Arial"/>
              <w:spacing w:val="-1"/>
              <w:sz w:val="22"/>
              <w:szCs w:val="22"/>
              <w:u w:color="000000"/>
              <w:lang w:val="es-ES_tradnl"/>
            </w:rPr>
            <m:t>1.0*XX*</m:t>
          </m:r>
          <m:d>
            <m:dPr>
              <m:ctrlPr>
                <w:rPr>
                  <w:rFonts w:ascii="Cambria Math" w:hAnsi="Cambria Math" w:cs="Arial"/>
                  <w:i/>
                  <w:spacing w:val="-1"/>
                  <w:sz w:val="22"/>
                  <w:szCs w:val="22"/>
                  <w:u w:color="000000"/>
                  <w:lang w:val="es-ES_tradnl"/>
                </w:rPr>
              </m:ctrlPr>
            </m:dPr>
            <m:e>
              <m:r>
                <w:rPr>
                  <w:rFonts w:ascii="Cambria Math" w:hAnsi="Cambria Math" w:cs="Arial"/>
                  <w:spacing w:val="-1"/>
                  <w:sz w:val="22"/>
                  <w:szCs w:val="22"/>
                  <w:u w:color="000000"/>
                  <w:lang w:val="es-ES_tradnl"/>
                </w:rPr>
                <m:t>1-0.0349</m:t>
              </m:r>
            </m:e>
          </m:d>
          <m:r>
            <w:rPr>
              <w:rFonts w:ascii="Cambria Math" w:hAnsi="Cambria Math" w:cs="Arial"/>
              <w:spacing w:val="-1"/>
              <w:sz w:val="22"/>
              <w:szCs w:val="22"/>
              <w:u w:color="000000"/>
              <w:lang w:val="es-ES_tradnl"/>
            </w:rPr>
            <m:t>=</m:t>
          </m:r>
          <m:r>
            <m:rPr>
              <m:sty m:val="b"/>
            </m:rPr>
            <w:rPr>
              <w:rFonts w:ascii="Cambria Math" w:hAnsi="Cambria Math" w:cs="Arial"/>
              <w:color w:val="000000"/>
              <w:sz w:val="22"/>
              <w:szCs w:val="22"/>
              <w:lang w:val="es-ES_tradnl"/>
            </w:rPr>
            <m:t>0.809</m:t>
          </m:r>
        </m:oMath>
      </m:oMathPara>
    </w:p>
    <w:p w14:paraId="65BF67B1" w14:textId="77777777" w:rsidR="000C12A9" w:rsidRPr="00F85253" w:rsidRDefault="000C12A9" w:rsidP="000C12A9">
      <w:pPr>
        <w:pStyle w:val="Paragraph"/>
        <w:spacing w:before="0" w:after="0" w:line="276" w:lineRule="auto"/>
        <w:ind w:left="180" w:firstLine="720"/>
        <w:outlineLvl w:val="9"/>
        <w:rPr>
          <w:rFonts w:ascii="Arial" w:hAnsi="Arial" w:cs="Arial"/>
          <w:spacing w:val="-1"/>
          <w:sz w:val="22"/>
          <w:szCs w:val="22"/>
          <w:u w:color="000000"/>
          <w:lang w:val="es-ES_tradnl"/>
        </w:rPr>
      </w:pPr>
      <w:r w:rsidRPr="00F85253">
        <w:rPr>
          <w:rFonts w:ascii="Arial" w:hAnsi="Arial" w:cs="Arial"/>
          <w:spacing w:val="-1"/>
          <w:sz w:val="22"/>
          <w:szCs w:val="22"/>
          <w:u w:color="000000"/>
          <w:lang w:val="es-ES_tradnl"/>
        </w:rPr>
        <w:t>Donde:</w:t>
      </w:r>
    </w:p>
    <w:p w14:paraId="7AF9DE78" w14:textId="77777777" w:rsidR="000C12A9" w:rsidRPr="00F85253" w:rsidRDefault="000C12A9" w:rsidP="000C12A9">
      <w:pPr>
        <w:pStyle w:val="Paragraph"/>
        <w:spacing w:before="0" w:after="0" w:line="276" w:lineRule="auto"/>
        <w:ind w:left="180" w:firstLine="720"/>
        <w:outlineLvl w:val="9"/>
        <w:rPr>
          <w:rFonts w:ascii="Arial" w:hAnsi="Arial" w:cs="Arial"/>
          <w:sz w:val="22"/>
          <w:szCs w:val="22"/>
          <w:lang w:val="es-ES_tradnl"/>
        </w:rPr>
      </w:pPr>
      <m:oMath>
        <m:r>
          <w:rPr>
            <w:rFonts w:ascii="Cambria Math" w:hAnsi="Cambria Math" w:cs="Arial"/>
            <w:sz w:val="22"/>
            <w:szCs w:val="22"/>
            <w:lang w:val="es-ES_tradnl"/>
          </w:rPr>
          <m:t>FCMONC: factor de conversión de la mano de obra no calificada</m:t>
        </m:r>
      </m:oMath>
      <w:r w:rsidRPr="00F85253">
        <w:rPr>
          <w:rFonts w:ascii="Arial" w:hAnsi="Arial" w:cs="Arial"/>
          <w:sz w:val="22"/>
          <w:szCs w:val="22"/>
          <w:lang w:val="es-ES_tradnl"/>
        </w:rPr>
        <w:t xml:space="preserve"> </w:t>
      </w:r>
    </w:p>
    <w:p w14:paraId="5ED89462" w14:textId="77777777" w:rsidR="000C12A9" w:rsidRPr="00F85253" w:rsidRDefault="000C12A9" w:rsidP="000C12A9">
      <w:pPr>
        <w:pStyle w:val="Paragraph"/>
        <w:spacing w:before="0" w:after="0" w:line="276" w:lineRule="auto"/>
        <w:ind w:left="180" w:firstLine="720"/>
        <w:outlineLvl w:val="9"/>
        <w:rPr>
          <w:rFonts w:ascii="Arial" w:hAnsi="Arial" w:cs="Arial"/>
          <w:sz w:val="22"/>
          <w:szCs w:val="22"/>
          <w:lang w:val="es-ES_tradnl"/>
        </w:rPr>
      </w:pPr>
      <m:oMath>
        <m:r>
          <w:rPr>
            <w:rFonts w:ascii="Cambria Math" w:hAnsi="Cambria Math" w:cs="Arial"/>
            <w:sz w:val="22"/>
            <w:szCs w:val="22"/>
            <w:lang w:val="es-ES_tradnl"/>
          </w:rPr>
          <m:t>W: salario costo empresa (índice 1.0)</m:t>
        </m:r>
      </m:oMath>
      <w:r w:rsidRPr="00F85253">
        <w:rPr>
          <w:rFonts w:ascii="Arial" w:hAnsi="Arial" w:cs="Arial"/>
          <w:sz w:val="22"/>
          <w:szCs w:val="22"/>
          <w:lang w:val="es-ES_tradnl"/>
        </w:rPr>
        <w:t xml:space="preserve"> </w:t>
      </w:r>
    </w:p>
    <w:p w14:paraId="35C157EE" w14:textId="77777777" w:rsidR="000C12A9" w:rsidRPr="00F85253" w:rsidRDefault="000C12A9" w:rsidP="000C12A9">
      <w:pPr>
        <w:pStyle w:val="Paragraph"/>
        <w:spacing w:before="0" w:after="0" w:line="276" w:lineRule="auto"/>
        <w:ind w:left="180" w:firstLine="720"/>
        <w:outlineLvl w:val="9"/>
        <w:rPr>
          <w:rFonts w:ascii="Arial" w:hAnsi="Arial" w:cs="Arial"/>
          <w:sz w:val="22"/>
          <w:szCs w:val="22"/>
          <w:lang w:val="es-ES_tradnl"/>
        </w:rPr>
      </w:pPr>
      <m:oMath>
        <m:r>
          <w:rPr>
            <w:rFonts w:ascii="Cambria Math" w:hAnsi="Cambria Math" w:cs="Arial"/>
            <w:sz w:val="22"/>
            <w:szCs w:val="22"/>
            <w:lang w:val="es-ES_tradnl"/>
          </w:rPr>
          <m:t>FCMOC: factor de conversión de la mano de obra calificada</m:t>
        </m:r>
      </m:oMath>
      <w:r w:rsidRPr="00F85253">
        <w:rPr>
          <w:rFonts w:ascii="Arial" w:hAnsi="Arial" w:cs="Arial"/>
          <w:sz w:val="22"/>
          <w:szCs w:val="22"/>
          <w:lang w:val="es-ES_tradnl"/>
        </w:rPr>
        <w:t xml:space="preserve"> </w:t>
      </w:r>
    </w:p>
    <w:p w14:paraId="5557279E" w14:textId="77777777" w:rsidR="000C12A9" w:rsidRPr="00F85253" w:rsidRDefault="008E5945" w:rsidP="000C12A9">
      <w:pPr>
        <w:pStyle w:val="Paragraph"/>
        <w:spacing w:before="0" w:after="0" w:line="276" w:lineRule="auto"/>
        <w:ind w:left="180" w:firstLine="720"/>
        <w:outlineLvl w:val="9"/>
        <w:rPr>
          <w:rFonts w:ascii="Arial" w:hAnsi="Arial" w:cs="Arial"/>
          <w:sz w:val="22"/>
          <w:szCs w:val="22"/>
          <w:lang w:val="es-ES_tradnl"/>
        </w:rPr>
      </w:pPr>
      <m:oMath>
        <m:sSub>
          <m:sSubPr>
            <m:ctrlPr>
              <w:rPr>
                <w:rFonts w:ascii="Cambria Math" w:hAnsi="Cambria Math" w:cs="Arial"/>
                <w:i/>
                <w:sz w:val="22"/>
                <w:szCs w:val="22"/>
                <w:lang w:val="es-ES_tradnl"/>
              </w:rPr>
            </m:ctrlPr>
          </m:sSubPr>
          <m:e>
            <m:r>
              <w:rPr>
                <w:rFonts w:ascii="Cambria Math" w:hAnsi="Cambria Math" w:cs="Arial"/>
                <w:sz w:val="22"/>
                <w:szCs w:val="22"/>
                <w:lang w:val="es-ES_tradnl"/>
              </w:rPr>
              <m:t>U</m:t>
            </m:r>
          </m:e>
          <m:sub>
            <m:r>
              <w:rPr>
                <w:rFonts w:ascii="Cambria Math" w:hAnsi="Cambria Math" w:cs="Arial"/>
                <w:sz w:val="22"/>
                <w:szCs w:val="22"/>
                <w:lang w:val="es-ES_tradnl"/>
              </w:rPr>
              <m:t>nc</m:t>
            </m:r>
          </m:sub>
        </m:sSub>
        <m:r>
          <w:rPr>
            <w:rFonts w:ascii="Cambria Math" w:hAnsi="Cambria Math" w:cs="Arial"/>
            <w:sz w:val="22"/>
            <w:szCs w:val="22"/>
            <w:lang w:val="es-ES_tradnl"/>
          </w:rPr>
          <m:t>: tasa de desempleo de la mano de obra no calificada</m:t>
        </m:r>
        <m:r>
          <w:rPr>
            <w:rStyle w:val="FootnoteReference"/>
            <w:rFonts w:ascii="Cambria Math" w:hAnsi="Cambria Math" w:cs="Arial"/>
            <w:i/>
            <w:sz w:val="22"/>
            <w:szCs w:val="22"/>
            <w:lang w:val="es-ES_tradnl"/>
          </w:rPr>
          <w:footnoteReference w:id="56"/>
        </m:r>
      </m:oMath>
      <w:r w:rsidR="000C12A9" w:rsidRPr="00F85253">
        <w:rPr>
          <w:rFonts w:ascii="Arial" w:hAnsi="Arial" w:cs="Arial"/>
          <w:sz w:val="22"/>
          <w:szCs w:val="22"/>
          <w:lang w:val="es-ES_tradnl"/>
        </w:rPr>
        <w:t xml:space="preserve"> </w:t>
      </w:r>
    </w:p>
    <w:p w14:paraId="67E2C69C" w14:textId="77777777" w:rsidR="00BF0236" w:rsidRPr="00F85253" w:rsidRDefault="00BF0236" w:rsidP="000C12A9">
      <w:pPr>
        <w:pStyle w:val="Paragraph"/>
        <w:spacing w:before="0" w:after="0" w:line="276" w:lineRule="auto"/>
        <w:outlineLvl w:val="9"/>
        <w:rPr>
          <w:rFonts w:ascii="Arial" w:hAnsi="Arial" w:cs="Arial"/>
          <w:sz w:val="22"/>
          <w:szCs w:val="22"/>
          <w:lang w:val="es-ES_tradnl"/>
        </w:rPr>
      </w:pPr>
    </w:p>
    <w:p w14:paraId="01EA3986" w14:textId="45567B24" w:rsidR="00681685" w:rsidRPr="00F85253" w:rsidRDefault="00BF0236" w:rsidP="00A76B57">
      <w:pPr>
        <w:pStyle w:val="Paragraph"/>
        <w:numPr>
          <w:ilvl w:val="1"/>
          <w:numId w:val="3"/>
        </w:numPr>
        <w:spacing w:before="0" w:after="0" w:line="276" w:lineRule="auto"/>
        <w:ind w:left="540" w:hanging="540"/>
        <w:outlineLvl w:val="9"/>
        <w:rPr>
          <w:rFonts w:ascii="Arial" w:hAnsi="Arial" w:cs="Arial"/>
          <w:sz w:val="22"/>
          <w:szCs w:val="22"/>
          <w:lang w:val="es-ES_tradnl"/>
        </w:rPr>
      </w:pPr>
      <w:r w:rsidRPr="00F85253">
        <w:rPr>
          <w:rFonts w:ascii="Arial" w:hAnsi="Arial" w:cs="Arial"/>
          <w:sz w:val="22"/>
          <w:szCs w:val="22"/>
          <w:lang w:val="es-ES_tradnl"/>
        </w:rPr>
        <w:t xml:space="preserve">En los montos dirigidos a la fusión de las </w:t>
      </w:r>
      <w:r w:rsidR="0023565F" w:rsidRPr="00F85253">
        <w:rPr>
          <w:rFonts w:ascii="Arial" w:hAnsi="Arial" w:cs="Arial"/>
          <w:sz w:val="22"/>
          <w:szCs w:val="22"/>
          <w:lang w:val="es-ES_tradnl"/>
        </w:rPr>
        <w:t>EEPP</w:t>
      </w:r>
      <w:r w:rsidRPr="00F85253">
        <w:rPr>
          <w:rFonts w:ascii="Arial" w:hAnsi="Arial" w:cs="Arial"/>
          <w:sz w:val="22"/>
          <w:szCs w:val="22"/>
          <w:lang w:val="es-ES_tradnl"/>
        </w:rPr>
        <w:t xml:space="preserve"> petroleras, a la optimización de CELEC, CNEL, consultorías para TAME, estrategias de comunicación, fortalecimiento del Marco de Gobernanza Corporativa; y, la administración del programa</w:t>
      </w:r>
      <w:r w:rsidR="00602D9A" w:rsidRPr="00F85253">
        <w:rPr>
          <w:rFonts w:ascii="Arial" w:hAnsi="Arial" w:cs="Arial"/>
          <w:sz w:val="22"/>
          <w:szCs w:val="22"/>
          <w:lang w:val="es-ES_tradnl"/>
        </w:rPr>
        <w:t xml:space="preserve">, se utilizó el factor de conversión de mano de obra calificada (privado), para obtener los precios de eficiencia. En </w:t>
      </w:r>
      <w:r w:rsidRPr="00F85253">
        <w:rPr>
          <w:rFonts w:ascii="Arial" w:hAnsi="Arial" w:cs="Arial"/>
          <w:sz w:val="22"/>
          <w:szCs w:val="22"/>
          <w:lang w:val="es-ES_tradnl"/>
        </w:rPr>
        <w:t>el monto dirigido a las desvinculaciones, se utilizó el factor de conversión de mano de obra calificada y no cali</w:t>
      </w:r>
      <w:r w:rsidR="00991826" w:rsidRPr="00F85253">
        <w:rPr>
          <w:rFonts w:ascii="Arial" w:hAnsi="Arial" w:cs="Arial"/>
          <w:sz w:val="22"/>
          <w:szCs w:val="22"/>
          <w:lang w:val="es-ES_tradnl"/>
        </w:rPr>
        <w:t>ficada (público</w:t>
      </w:r>
      <w:r w:rsidRPr="00F85253">
        <w:rPr>
          <w:rFonts w:ascii="Arial" w:hAnsi="Arial" w:cs="Arial"/>
          <w:sz w:val="22"/>
          <w:szCs w:val="22"/>
          <w:lang w:val="es-ES_tradnl"/>
        </w:rPr>
        <w:t>). S</w:t>
      </w:r>
      <w:r w:rsidR="00602D9A" w:rsidRPr="00F85253">
        <w:rPr>
          <w:rFonts w:ascii="Arial" w:hAnsi="Arial" w:cs="Arial"/>
          <w:sz w:val="22"/>
          <w:szCs w:val="22"/>
          <w:lang w:val="es-ES_tradnl"/>
        </w:rPr>
        <w:t xml:space="preserve">e asume que un </w:t>
      </w:r>
      <w:r w:rsidR="00ED3ADF" w:rsidRPr="00F85253">
        <w:rPr>
          <w:rFonts w:ascii="Arial" w:hAnsi="Arial" w:cs="Arial"/>
          <w:sz w:val="22"/>
          <w:szCs w:val="22"/>
          <w:lang w:val="es-ES_tradnl"/>
        </w:rPr>
        <w:t>61</w:t>
      </w:r>
      <w:r w:rsidR="00602D9A" w:rsidRPr="00F85253">
        <w:rPr>
          <w:rFonts w:ascii="Arial" w:hAnsi="Arial" w:cs="Arial"/>
          <w:sz w:val="22"/>
          <w:szCs w:val="22"/>
          <w:lang w:val="es-ES_tradnl"/>
        </w:rPr>
        <w:t xml:space="preserve">% del personal desvinculado posee mano de obra calificada, y un </w:t>
      </w:r>
      <w:r w:rsidR="00ED3ADF" w:rsidRPr="00F85253">
        <w:rPr>
          <w:rFonts w:ascii="Arial" w:hAnsi="Arial" w:cs="Arial"/>
          <w:sz w:val="22"/>
          <w:szCs w:val="22"/>
          <w:lang w:val="es-ES_tradnl"/>
        </w:rPr>
        <w:t>39</w:t>
      </w:r>
      <w:r w:rsidR="00602D9A" w:rsidRPr="00F85253">
        <w:rPr>
          <w:rFonts w:ascii="Arial" w:hAnsi="Arial" w:cs="Arial"/>
          <w:sz w:val="22"/>
          <w:szCs w:val="22"/>
          <w:lang w:val="es-ES_tradnl"/>
        </w:rPr>
        <w:t xml:space="preserve">% mano de obra no calificada. </w:t>
      </w:r>
      <w:r w:rsidR="00A76B57" w:rsidRPr="00F85253">
        <w:rPr>
          <w:rFonts w:ascii="Arial" w:hAnsi="Arial" w:cs="Arial"/>
          <w:sz w:val="22"/>
          <w:szCs w:val="22"/>
          <w:lang w:val="es-ES_tradnl"/>
        </w:rPr>
        <w:t>L</w:t>
      </w:r>
      <w:r w:rsidR="000F2F72" w:rsidRPr="00F85253">
        <w:rPr>
          <w:rFonts w:ascii="Arial" w:hAnsi="Arial" w:cs="Arial"/>
          <w:sz w:val="22"/>
          <w:szCs w:val="22"/>
          <w:lang w:val="es-ES_tradnl"/>
        </w:rPr>
        <w:t xml:space="preserve">os porcentajes mencionados, </w:t>
      </w:r>
      <w:r w:rsidR="00A76B57" w:rsidRPr="00F85253">
        <w:rPr>
          <w:rFonts w:ascii="Arial" w:hAnsi="Arial" w:cs="Arial"/>
          <w:sz w:val="22"/>
          <w:szCs w:val="22"/>
          <w:lang w:val="es-ES_tradnl"/>
        </w:rPr>
        <w:t>se basan en la información de la Encuesta Nacional de Empleo, Desempleo y Subempleo (ENEMDU) a diciembre de 2018, la cual indica que de 627 mil personas que trabajan en el sector público</w:t>
      </w:r>
      <w:r w:rsidR="00A76B57" w:rsidRPr="00F85253">
        <w:rPr>
          <w:rStyle w:val="FootnoteReference"/>
          <w:rFonts w:ascii="Arial" w:hAnsi="Arial" w:cs="Arial"/>
          <w:sz w:val="22"/>
          <w:szCs w:val="22"/>
          <w:lang w:val="es-ES_tradnl"/>
        </w:rPr>
        <w:footnoteReference w:id="57"/>
      </w:r>
      <w:r w:rsidR="00A76B57" w:rsidRPr="00F85253">
        <w:rPr>
          <w:rFonts w:ascii="Arial" w:hAnsi="Arial" w:cs="Arial"/>
          <w:sz w:val="22"/>
          <w:szCs w:val="22"/>
          <w:lang w:val="es-ES_tradnl"/>
        </w:rPr>
        <w:t xml:space="preserve">, 380 mil personas poseen mano de obra calificada y 247 mil mano de obra no calificada. </w:t>
      </w:r>
      <w:r w:rsidR="00D479B0" w:rsidRPr="00F85253">
        <w:rPr>
          <w:rFonts w:ascii="Arial" w:hAnsi="Arial" w:cs="Arial"/>
          <w:sz w:val="22"/>
          <w:szCs w:val="22"/>
          <w:lang w:val="es-ES_tradnl"/>
        </w:rPr>
        <w:t xml:space="preserve">Se evidencia en el cuadro </w:t>
      </w:r>
      <w:r w:rsidRPr="00F85253">
        <w:rPr>
          <w:rFonts w:ascii="Arial" w:hAnsi="Arial" w:cs="Arial"/>
          <w:sz w:val="22"/>
          <w:szCs w:val="22"/>
          <w:lang w:val="es-ES_tradnl"/>
        </w:rPr>
        <w:t>6</w:t>
      </w:r>
      <w:r w:rsidR="00991826" w:rsidRPr="00F85253">
        <w:rPr>
          <w:rFonts w:ascii="Arial" w:hAnsi="Arial" w:cs="Arial"/>
          <w:sz w:val="22"/>
          <w:szCs w:val="22"/>
          <w:lang w:val="es-ES_tradnl"/>
        </w:rPr>
        <w:t xml:space="preserve"> y 7</w:t>
      </w:r>
      <w:r w:rsidR="00D479B0" w:rsidRPr="00F85253">
        <w:rPr>
          <w:rFonts w:ascii="Arial" w:hAnsi="Arial" w:cs="Arial"/>
          <w:sz w:val="22"/>
          <w:szCs w:val="22"/>
          <w:lang w:val="es-ES_tradnl"/>
        </w:rPr>
        <w:t xml:space="preserve">, que </w:t>
      </w:r>
      <w:r w:rsidR="00863861" w:rsidRPr="00F85253">
        <w:rPr>
          <w:rFonts w:ascii="Arial" w:hAnsi="Arial" w:cs="Arial"/>
          <w:sz w:val="22"/>
          <w:szCs w:val="22"/>
          <w:lang w:val="es-ES_tradnl"/>
        </w:rPr>
        <w:t xml:space="preserve">la inversión total alcanza un </w:t>
      </w:r>
      <w:r w:rsidR="00830CFC" w:rsidRPr="00F85253">
        <w:rPr>
          <w:rFonts w:ascii="Arial" w:hAnsi="Arial" w:cs="Arial"/>
          <w:sz w:val="22"/>
          <w:szCs w:val="22"/>
          <w:lang w:val="es-ES_tradnl"/>
        </w:rPr>
        <w:t>82</w:t>
      </w:r>
      <w:r w:rsidR="00863861" w:rsidRPr="00F85253">
        <w:rPr>
          <w:rFonts w:ascii="Arial" w:hAnsi="Arial" w:cs="Arial"/>
          <w:sz w:val="22"/>
          <w:szCs w:val="22"/>
          <w:lang w:val="es-ES_tradnl"/>
        </w:rPr>
        <w:t>%</w:t>
      </w:r>
      <w:r w:rsidRPr="00F85253">
        <w:rPr>
          <w:rFonts w:ascii="Arial" w:hAnsi="Arial" w:cs="Arial"/>
          <w:sz w:val="22"/>
          <w:szCs w:val="22"/>
          <w:lang w:val="es-ES_tradnl"/>
        </w:rPr>
        <w:t xml:space="preserve"> </w:t>
      </w:r>
      <w:r w:rsidR="00863861" w:rsidRPr="00F85253">
        <w:rPr>
          <w:rFonts w:ascii="Arial" w:hAnsi="Arial" w:cs="Arial"/>
          <w:sz w:val="22"/>
          <w:szCs w:val="22"/>
          <w:lang w:val="es-ES_tradnl"/>
        </w:rPr>
        <w:t>del valor a precios de mercado</w:t>
      </w:r>
      <w:r w:rsidR="00D4518C" w:rsidRPr="00F85253">
        <w:rPr>
          <w:rFonts w:ascii="Arial" w:hAnsi="Arial" w:cs="Arial"/>
          <w:sz w:val="22"/>
          <w:szCs w:val="22"/>
          <w:lang w:val="es-ES_tradnl"/>
        </w:rPr>
        <w:t>, con un monto de USD 6</w:t>
      </w:r>
      <w:r w:rsidR="00991826" w:rsidRPr="00F85253">
        <w:rPr>
          <w:rFonts w:ascii="Arial" w:hAnsi="Arial" w:cs="Arial"/>
          <w:sz w:val="22"/>
          <w:szCs w:val="22"/>
          <w:lang w:val="es-ES_tradnl"/>
        </w:rPr>
        <w:t>1.75</w:t>
      </w:r>
      <w:r w:rsidR="00D4518C" w:rsidRPr="00F85253">
        <w:rPr>
          <w:rFonts w:ascii="Arial" w:hAnsi="Arial" w:cs="Arial"/>
          <w:sz w:val="22"/>
          <w:szCs w:val="22"/>
          <w:lang w:val="es-ES_tradnl"/>
        </w:rPr>
        <w:t xml:space="preserve"> millones</w:t>
      </w:r>
      <w:r w:rsidR="00863861" w:rsidRPr="00F85253">
        <w:rPr>
          <w:rFonts w:ascii="Arial" w:hAnsi="Arial" w:cs="Arial"/>
          <w:sz w:val="22"/>
          <w:szCs w:val="22"/>
          <w:lang w:val="es-ES_tradnl"/>
        </w:rPr>
        <w:t xml:space="preserve">. </w:t>
      </w:r>
      <w:bookmarkStart w:id="35" w:name="_Toc518739338"/>
    </w:p>
    <w:p w14:paraId="11AD7DE8" w14:textId="77777777" w:rsidR="00681685" w:rsidRPr="00F85253" w:rsidRDefault="00681685" w:rsidP="00681685">
      <w:pPr>
        <w:pStyle w:val="Paragraph"/>
        <w:spacing w:before="0" w:after="0" w:line="276" w:lineRule="auto"/>
        <w:ind w:left="540"/>
        <w:outlineLvl w:val="9"/>
        <w:rPr>
          <w:rFonts w:ascii="Arial" w:hAnsi="Arial" w:cs="Arial"/>
          <w:sz w:val="22"/>
          <w:szCs w:val="22"/>
          <w:lang w:val="es-ES_tradnl"/>
        </w:rPr>
      </w:pPr>
    </w:p>
    <w:tbl>
      <w:tblPr>
        <w:tblW w:w="9781" w:type="dxa"/>
        <w:tblInd w:w="-72" w:type="dxa"/>
        <w:tblLayout w:type="fixed"/>
        <w:tblCellMar>
          <w:left w:w="70" w:type="dxa"/>
          <w:right w:w="70" w:type="dxa"/>
        </w:tblCellMar>
        <w:tblLook w:val="04A0" w:firstRow="1" w:lastRow="0" w:firstColumn="1" w:lastColumn="0" w:noHBand="0" w:noVBand="1"/>
      </w:tblPr>
      <w:tblGrid>
        <w:gridCol w:w="1008"/>
        <w:gridCol w:w="5088"/>
        <w:gridCol w:w="1276"/>
        <w:gridCol w:w="1275"/>
        <w:gridCol w:w="1134"/>
      </w:tblGrid>
      <w:tr w:rsidR="00613940" w:rsidRPr="00F85253" w14:paraId="447EF449" w14:textId="77777777" w:rsidTr="00771061">
        <w:trPr>
          <w:trHeight w:val="315"/>
        </w:trPr>
        <w:tc>
          <w:tcPr>
            <w:tcW w:w="9781" w:type="dxa"/>
            <w:gridSpan w:val="5"/>
            <w:tcBorders>
              <w:top w:val="single" w:sz="4" w:space="0" w:color="auto"/>
              <w:left w:val="single" w:sz="4" w:space="0" w:color="auto"/>
              <w:bottom w:val="single" w:sz="4" w:space="0" w:color="auto"/>
              <w:right w:val="single" w:sz="4" w:space="0" w:color="000000"/>
            </w:tcBorders>
            <w:shd w:val="clear" w:color="000000" w:fill="F2F2F2"/>
            <w:noWrap/>
            <w:vAlign w:val="center"/>
            <w:hideMark/>
          </w:tcPr>
          <w:p w14:paraId="023CBC7A" w14:textId="77777777" w:rsidR="009B5D7E" w:rsidRPr="00F85253" w:rsidRDefault="00613940" w:rsidP="009B5D7E">
            <w:pPr>
              <w:spacing w:after="0" w:line="240" w:lineRule="auto"/>
              <w:rPr>
                <w:rFonts w:ascii="Arial" w:eastAsia="Times New Roman" w:hAnsi="Arial" w:cs="Arial"/>
                <w:b/>
                <w:bCs/>
                <w:color w:val="000000"/>
                <w:sz w:val="20"/>
                <w:szCs w:val="20"/>
                <w:lang w:val="es-EC" w:eastAsia="es-EC"/>
              </w:rPr>
            </w:pPr>
            <w:r w:rsidRPr="00F85253">
              <w:rPr>
                <w:rFonts w:ascii="Arial" w:eastAsia="Times New Roman" w:hAnsi="Arial" w:cs="Arial"/>
                <w:b/>
                <w:bCs/>
                <w:color w:val="000000"/>
                <w:sz w:val="20"/>
                <w:szCs w:val="20"/>
                <w:lang w:val="es-EC" w:eastAsia="es-EC"/>
              </w:rPr>
              <w:t xml:space="preserve">Cuadro 6 : Costos económicos del proyecto en precios de eficiencia </w:t>
            </w:r>
          </w:p>
          <w:p w14:paraId="0519A942" w14:textId="6F17331D" w:rsidR="00613940" w:rsidRPr="00F85253" w:rsidRDefault="00613940" w:rsidP="009B5D7E">
            <w:pPr>
              <w:spacing w:after="0" w:line="240" w:lineRule="auto"/>
              <w:rPr>
                <w:rFonts w:ascii="Arial" w:eastAsia="Times New Roman" w:hAnsi="Arial" w:cs="Arial"/>
                <w:b/>
                <w:bCs/>
                <w:color w:val="000000"/>
                <w:sz w:val="20"/>
                <w:szCs w:val="20"/>
                <w:lang w:val="es-EC" w:eastAsia="es-EC"/>
              </w:rPr>
            </w:pPr>
            <w:r w:rsidRPr="00F85253">
              <w:rPr>
                <w:rFonts w:ascii="Arial" w:eastAsia="Times New Roman" w:hAnsi="Arial" w:cs="Arial"/>
                <w:b/>
                <w:bCs/>
                <w:color w:val="000000"/>
                <w:sz w:val="20"/>
                <w:szCs w:val="20"/>
                <w:lang w:val="es-EC" w:eastAsia="es-EC"/>
              </w:rPr>
              <w:t>(en millones de dólares)</w:t>
            </w:r>
          </w:p>
        </w:tc>
      </w:tr>
      <w:tr w:rsidR="009B5D7E" w:rsidRPr="00F85253" w14:paraId="39CBDE8E" w14:textId="77777777" w:rsidTr="00771061">
        <w:trPr>
          <w:trHeight w:val="510"/>
        </w:trPr>
        <w:tc>
          <w:tcPr>
            <w:tcW w:w="1008" w:type="dxa"/>
            <w:tcBorders>
              <w:top w:val="nil"/>
              <w:left w:val="single" w:sz="4" w:space="0" w:color="auto"/>
              <w:bottom w:val="single" w:sz="4" w:space="0" w:color="auto"/>
              <w:right w:val="single" w:sz="4" w:space="0" w:color="auto"/>
            </w:tcBorders>
            <w:shd w:val="clear" w:color="000000" w:fill="F2F2F2"/>
            <w:vAlign w:val="center"/>
            <w:hideMark/>
          </w:tcPr>
          <w:p w14:paraId="556E6DE8" w14:textId="2BB46C63" w:rsidR="00613940" w:rsidRPr="00F85253" w:rsidRDefault="00613940" w:rsidP="00FC494A">
            <w:pPr>
              <w:spacing w:after="0" w:line="240" w:lineRule="auto"/>
              <w:rPr>
                <w:rFonts w:ascii="Arial" w:eastAsia="Times New Roman" w:hAnsi="Arial" w:cs="Arial"/>
                <w:b/>
                <w:bCs/>
                <w:color w:val="000000"/>
                <w:sz w:val="20"/>
                <w:szCs w:val="20"/>
                <w:lang w:val="es-EC" w:eastAsia="es-EC"/>
              </w:rPr>
            </w:pPr>
            <w:r w:rsidRPr="00F85253">
              <w:rPr>
                <w:rFonts w:ascii="Arial" w:eastAsia="Times New Roman" w:hAnsi="Arial" w:cs="Arial"/>
                <w:b/>
                <w:bCs/>
                <w:color w:val="000000"/>
                <w:sz w:val="20"/>
                <w:szCs w:val="20"/>
                <w:lang w:val="es-EC" w:eastAsia="es-EC"/>
              </w:rPr>
              <w:t>Comp.</w:t>
            </w:r>
          </w:p>
        </w:tc>
        <w:tc>
          <w:tcPr>
            <w:tcW w:w="5088" w:type="dxa"/>
            <w:tcBorders>
              <w:top w:val="nil"/>
              <w:left w:val="nil"/>
              <w:bottom w:val="single" w:sz="4" w:space="0" w:color="auto"/>
              <w:right w:val="single" w:sz="4" w:space="0" w:color="auto"/>
            </w:tcBorders>
            <w:shd w:val="clear" w:color="000000" w:fill="F2F2F2"/>
            <w:vAlign w:val="center"/>
            <w:hideMark/>
          </w:tcPr>
          <w:p w14:paraId="087B51E0" w14:textId="77777777" w:rsidR="00613940" w:rsidRPr="00F85253" w:rsidRDefault="00613940" w:rsidP="00613940">
            <w:pPr>
              <w:spacing w:after="0" w:line="240" w:lineRule="auto"/>
              <w:jc w:val="center"/>
              <w:rPr>
                <w:rFonts w:ascii="Arial" w:eastAsia="Times New Roman" w:hAnsi="Arial" w:cs="Arial"/>
                <w:b/>
                <w:bCs/>
                <w:color w:val="000000"/>
                <w:sz w:val="20"/>
                <w:szCs w:val="20"/>
                <w:lang w:val="es-EC" w:eastAsia="es-EC"/>
              </w:rPr>
            </w:pPr>
            <w:r w:rsidRPr="00F85253">
              <w:rPr>
                <w:rFonts w:ascii="Arial" w:eastAsia="Times New Roman" w:hAnsi="Arial" w:cs="Arial"/>
                <w:b/>
                <w:bCs/>
                <w:color w:val="000000"/>
                <w:sz w:val="20"/>
                <w:szCs w:val="20"/>
                <w:lang w:val="es-EC" w:eastAsia="es-EC"/>
              </w:rPr>
              <w:t>Categoría</w:t>
            </w:r>
          </w:p>
        </w:tc>
        <w:tc>
          <w:tcPr>
            <w:tcW w:w="1276" w:type="dxa"/>
            <w:tcBorders>
              <w:top w:val="nil"/>
              <w:left w:val="nil"/>
              <w:bottom w:val="single" w:sz="4" w:space="0" w:color="auto"/>
              <w:right w:val="single" w:sz="4" w:space="0" w:color="auto"/>
            </w:tcBorders>
            <w:shd w:val="clear" w:color="000000" w:fill="F2F2F2"/>
            <w:vAlign w:val="center"/>
            <w:hideMark/>
          </w:tcPr>
          <w:p w14:paraId="7E00A3C3" w14:textId="77777777" w:rsidR="00613940" w:rsidRPr="00F85253" w:rsidRDefault="00613940" w:rsidP="00613940">
            <w:pPr>
              <w:spacing w:after="0" w:line="240" w:lineRule="auto"/>
              <w:jc w:val="center"/>
              <w:rPr>
                <w:rFonts w:ascii="Arial" w:eastAsia="Times New Roman" w:hAnsi="Arial" w:cs="Arial"/>
                <w:b/>
                <w:bCs/>
                <w:color w:val="000000"/>
                <w:sz w:val="20"/>
                <w:szCs w:val="20"/>
                <w:lang w:val="es-EC" w:eastAsia="es-EC"/>
              </w:rPr>
            </w:pPr>
            <w:r w:rsidRPr="00F85253">
              <w:rPr>
                <w:rFonts w:ascii="Arial" w:eastAsia="Times New Roman" w:hAnsi="Arial" w:cs="Arial"/>
                <w:b/>
                <w:bCs/>
                <w:color w:val="000000"/>
                <w:sz w:val="20"/>
                <w:szCs w:val="20"/>
                <w:lang w:val="es-EC" w:eastAsia="es-EC"/>
              </w:rPr>
              <w:t>Precio de mercado</w:t>
            </w:r>
          </w:p>
        </w:tc>
        <w:tc>
          <w:tcPr>
            <w:tcW w:w="1275" w:type="dxa"/>
            <w:tcBorders>
              <w:top w:val="nil"/>
              <w:left w:val="nil"/>
              <w:bottom w:val="single" w:sz="4" w:space="0" w:color="auto"/>
              <w:right w:val="single" w:sz="4" w:space="0" w:color="auto"/>
            </w:tcBorders>
            <w:shd w:val="clear" w:color="000000" w:fill="F2F2F2"/>
            <w:vAlign w:val="center"/>
            <w:hideMark/>
          </w:tcPr>
          <w:p w14:paraId="7997622D" w14:textId="77777777" w:rsidR="00613940" w:rsidRPr="00F85253" w:rsidRDefault="00613940" w:rsidP="00613940">
            <w:pPr>
              <w:spacing w:after="0" w:line="240" w:lineRule="auto"/>
              <w:jc w:val="center"/>
              <w:rPr>
                <w:rFonts w:ascii="Arial" w:eastAsia="Times New Roman" w:hAnsi="Arial" w:cs="Arial"/>
                <w:b/>
                <w:bCs/>
                <w:color w:val="000000"/>
                <w:sz w:val="20"/>
                <w:szCs w:val="20"/>
                <w:lang w:val="es-EC" w:eastAsia="es-EC"/>
              </w:rPr>
            </w:pPr>
            <w:r w:rsidRPr="00F85253">
              <w:rPr>
                <w:rFonts w:ascii="Arial" w:eastAsia="Times New Roman" w:hAnsi="Arial" w:cs="Arial"/>
                <w:b/>
                <w:bCs/>
                <w:color w:val="000000"/>
                <w:sz w:val="20"/>
                <w:szCs w:val="20"/>
                <w:lang w:val="es-EC" w:eastAsia="es-EC"/>
              </w:rPr>
              <w:t>Factor de Conversión</w:t>
            </w:r>
          </w:p>
        </w:tc>
        <w:tc>
          <w:tcPr>
            <w:tcW w:w="1134" w:type="dxa"/>
            <w:tcBorders>
              <w:top w:val="nil"/>
              <w:left w:val="nil"/>
              <w:bottom w:val="single" w:sz="4" w:space="0" w:color="auto"/>
              <w:right w:val="single" w:sz="4" w:space="0" w:color="auto"/>
            </w:tcBorders>
            <w:shd w:val="clear" w:color="000000" w:fill="F2F2F2"/>
            <w:vAlign w:val="center"/>
            <w:hideMark/>
          </w:tcPr>
          <w:p w14:paraId="3F9E5FBE" w14:textId="77777777" w:rsidR="00613940" w:rsidRPr="00F85253" w:rsidRDefault="00613940" w:rsidP="00613940">
            <w:pPr>
              <w:spacing w:after="0" w:line="240" w:lineRule="auto"/>
              <w:jc w:val="center"/>
              <w:rPr>
                <w:rFonts w:ascii="Arial" w:eastAsia="Times New Roman" w:hAnsi="Arial" w:cs="Arial"/>
                <w:b/>
                <w:bCs/>
                <w:color w:val="000000"/>
                <w:sz w:val="20"/>
                <w:szCs w:val="20"/>
                <w:lang w:val="es-EC" w:eastAsia="es-EC"/>
              </w:rPr>
            </w:pPr>
            <w:r w:rsidRPr="00F85253">
              <w:rPr>
                <w:rFonts w:ascii="Arial" w:eastAsia="Times New Roman" w:hAnsi="Arial" w:cs="Arial"/>
                <w:b/>
                <w:bCs/>
                <w:color w:val="000000"/>
                <w:sz w:val="20"/>
                <w:szCs w:val="20"/>
                <w:lang w:val="es-EC" w:eastAsia="es-EC"/>
              </w:rPr>
              <w:t>Precio de eficiencia</w:t>
            </w:r>
          </w:p>
        </w:tc>
      </w:tr>
      <w:tr w:rsidR="009B5D7E" w:rsidRPr="00F85253" w14:paraId="6BB68CBE" w14:textId="77777777" w:rsidTr="00771061">
        <w:trPr>
          <w:trHeight w:val="226"/>
        </w:trPr>
        <w:tc>
          <w:tcPr>
            <w:tcW w:w="1008"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5D25C1F4" w14:textId="77777777" w:rsidR="00613940" w:rsidRPr="00F85253" w:rsidRDefault="00613940" w:rsidP="00FC494A">
            <w:pPr>
              <w:spacing w:after="0" w:line="240" w:lineRule="auto"/>
              <w:rPr>
                <w:rFonts w:ascii="Arial" w:eastAsia="Times New Roman" w:hAnsi="Arial" w:cs="Arial"/>
                <w:b/>
                <w:bCs/>
                <w:color w:val="000000"/>
                <w:sz w:val="20"/>
                <w:szCs w:val="20"/>
                <w:lang w:val="es-EC" w:eastAsia="es-EC"/>
              </w:rPr>
            </w:pPr>
            <w:r w:rsidRPr="00F85253">
              <w:rPr>
                <w:rFonts w:ascii="Arial" w:eastAsia="Times New Roman" w:hAnsi="Arial" w:cs="Arial"/>
                <w:b/>
                <w:bCs/>
                <w:color w:val="000000"/>
                <w:sz w:val="20"/>
                <w:szCs w:val="20"/>
                <w:lang w:val="es-EC" w:eastAsia="es-EC"/>
              </w:rPr>
              <w:t>Comp. 2</w:t>
            </w:r>
          </w:p>
        </w:tc>
        <w:tc>
          <w:tcPr>
            <w:tcW w:w="5088" w:type="dxa"/>
            <w:tcBorders>
              <w:top w:val="nil"/>
              <w:left w:val="single" w:sz="4" w:space="0" w:color="auto"/>
              <w:bottom w:val="single" w:sz="4" w:space="0" w:color="auto"/>
              <w:right w:val="single" w:sz="4" w:space="0" w:color="auto"/>
            </w:tcBorders>
            <w:shd w:val="clear" w:color="000000" w:fill="FFFFFF"/>
            <w:vAlign w:val="bottom"/>
            <w:hideMark/>
          </w:tcPr>
          <w:p w14:paraId="0C8E9BB7" w14:textId="0061A79D" w:rsidR="00613940" w:rsidRPr="00F85253" w:rsidRDefault="00613940" w:rsidP="00A77281">
            <w:pPr>
              <w:spacing w:after="0" w:line="240" w:lineRule="auto"/>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Optimización cartera EEPP (excepto desvinculaciones*)</w:t>
            </w:r>
          </w:p>
        </w:tc>
        <w:tc>
          <w:tcPr>
            <w:tcW w:w="1276" w:type="dxa"/>
            <w:tcBorders>
              <w:top w:val="nil"/>
              <w:left w:val="nil"/>
              <w:bottom w:val="single" w:sz="4" w:space="0" w:color="auto"/>
              <w:right w:val="single" w:sz="4" w:space="0" w:color="auto"/>
            </w:tcBorders>
            <w:shd w:val="clear" w:color="000000" w:fill="FFFFFF"/>
            <w:noWrap/>
            <w:vAlign w:val="bottom"/>
            <w:hideMark/>
          </w:tcPr>
          <w:p w14:paraId="55F86870" w14:textId="77777777" w:rsidR="00613940" w:rsidRPr="00F85253" w:rsidRDefault="00613940" w:rsidP="009B5D7E">
            <w:pPr>
              <w:spacing w:after="0" w:line="240" w:lineRule="auto"/>
              <w:jc w:val="right"/>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 xml:space="preserve">         24.82 </w:t>
            </w:r>
          </w:p>
        </w:tc>
        <w:tc>
          <w:tcPr>
            <w:tcW w:w="1275" w:type="dxa"/>
            <w:tcBorders>
              <w:top w:val="nil"/>
              <w:left w:val="nil"/>
              <w:bottom w:val="single" w:sz="4" w:space="0" w:color="auto"/>
              <w:right w:val="single" w:sz="4" w:space="0" w:color="auto"/>
            </w:tcBorders>
            <w:shd w:val="clear" w:color="000000" w:fill="FFFFFF"/>
            <w:noWrap/>
            <w:vAlign w:val="bottom"/>
            <w:hideMark/>
          </w:tcPr>
          <w:p w14:paraId="35CB69EE" w14:textId="77777777" w:rsidR="00613940" w:rsidRPr="00F85253" w:rsidRDefault="00613940" w:rsidP="009B5D7E">
            <w:pPr>
              <w:spacing w:after="0" w:line="240" w:lineRule="auto"/>
              <w:jc w:val="right"/>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 xml:space="preserve">       0.838 </w:t>
            </w:r>
          </w:p>
        </w:tc>
        <w:tc>
          <w:tcPr>
            <w:tcW w:w="1134" w:type="dxa"/>
            <w:tcBorders>
              <w:top w:val="nil"/>
              <w:left w:val="nil"/>
              <w:bottom w:val="single" w:sz="4" w:space="0" w:color="auto"/>
              <w:right w:val="single" w:sz="4" w:space="0" w:color="auto"/>
            </w:tcBorders>
            <w:shd w:val="clear" w:color="000000" w:fill="FFFFFF"/>
            <w:noWrap/>
            <w:vAlign w:val="bottom"/>
            <w:hideMark/>
          </w:tcPr>
          <w:p w14:paraId="57AB8FC0" w14:textId="77777777" w:rsidR="00613940" w:rsidRPr="00F85253" w:rsidRDefault="00613940" w:rsidP="009B5D7E">
            <w:pPr>
              <w:spacing w:after="0" w:line="240" w:lineRule="auto"/>
              <w:jc w:val="right"/>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 xml:space="preserve">       20.81 </w:t>
            </w:r>
          </w:p>
        </w:tc>
      </w:tr>
      <w:tr w:rsidR="009B5D7E" w:rsidRPr="00F85253" w14:paraId="03E55CD2" w14:textId="77777777" w:rsidTr="00771061">
        <w:trPr>
          <w:trHeight w:val="525"/>
        </w:trPr>
        <w:tc>
          <w:tcPr>
            <w:tcW w:w="1008" w:type="dxa"/>
            <w:vMerge/>
            <w:tcBorders>
              <w:top w:val="single" w:sz="4" w:space="0" w:color="auto"/>
              <w:left w:val="single" w:sz="4" w:space="0" w:color="auto"/>
              <w:bottom w:val="single" w:sz="4" w:space="0" w:color="000000"/>
              <w:right w:val="single" w:sz="4" w:space="0" w:color="auto"/>
            </w:tcBorders>
            <w:vAlign w:val="center"/>
            <w:hideMark/>
          </w:tcPr>
          <w:p w14:paraId="5542469D" w14:textId="77777777" w:rsidR="00613940" w:rsidRPr="00F85253" w:rsidRDefault="00613940" w:rsidP="00FC494A">
            <w:pPr>
              <w:spacing w:after="0" w:line="240" w:lineRule="auto"/>
              <w:rPr>
                <w:rFonts w:ascii="Arial" w:eastAsia="Times New Roman" w:hAnsi="Arial" w:cs="Arial"/>
                <w:b/>
                <w:bCs/>
                <w:color w:val="000000"/>
                <w:sz w:val="20"/>
                <w:szCs w:val="20"/>
                <w:lang w:val="es-EC" w:eastAsia="es-EC"/>
              </w:rPr>
            </w:pPr>
          </w:p>
        </w:tc>
        <w:tc>
          <w:tcPr>
            <w:tcW w:w="5088" w:type="dxa"/>
            <w:tcBorders>
              <w:top w:val="single" w:sz="4" w:space="0" w:color="auto"/>
              <w:left w:val="nil"/>
              <w:bottom w:val="nil"/>
              <w:right w:val="single" w:sz="4" w:space="0" w:color="auto"/>
            </w:tcBorders>
            <w:shd w:val="clear" w:color="000000" w:fill="FFFFFF"/>
            <w:vAlign w:val="bottom"/>
            <w:hideMark/>
          </w:tcPr>
          <w:p w14:paraId="6A9BDCF5" w14:textId="5732B4DF" w:rsidR="00613940" w:rsidRPr="00F85253" w:rsidRDefault="00613940" w:rsidP="00A77281">
            <w:pPr>
              <w:spacing w:after="0" w:line="240" w:lineRule="auto"/>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 xml:space="preserve">Optimización cartera EEPP (desvinculaciones) </w:t>
            </w:r>
            <w:r w:rsidRPr="00F85253">
              <w:rPr>
                <w:rFonts w:ascii="Arial" w:eastAsia="Times New Roman" w:hAnsi="Arial" w:cs="Arial"/>
                <w:b/>
                <w:i/>
                <w:color w:val="000000"/>
                <w:sz w:val="20"/>
                <w:szCs w:val="20"/>
                <w:lang w:val="es-EC" w:eastAsia="es-EC"/>
              </w:rPr>
              <w:t>Mano Obra Calificada</w:t>
            </w:r>
          </w:p>
        </w:tc>
        <w:tc>
          <w:tcPr>
            <w:tcW w:w="1276" w:type="dxa"/>
            <w:tcBorders>
              <w:top w:val="nil"/>
              <w:left w:val="single" w:sz="4" w:space="0" w:color="auto"/>
              <w:bottom w:val="single" w:sz="4" w:space="0" w:color="auto"/>
              <w:right w:val="single" w:sz="4" w:space="0" w:color="auto"/>
            </w:tcBorders>
            <w:shd w:val="clear" w:color="000000" w:fill="FFFFFF"/>
            <w:noWrap/>
            <w:vAlign w:val="bottom"/>
            <w:hideMark/>
          </w:tcPr>
          <w:p w14:paraId="7878A0BB" w14:textId="77777777" w:rsidR="00613940" w:rsidRPr="00F85253" w:rsidRDefault="00613940" w:rsidP="009B5D7E">
            <w:pPr>
              <w:spacing w:after="0" w:line="240" w:lineRule="auto"/>
              <w:jc w:val="right"/>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 xml:space="preserve">         26.05 </w:t>
            </w:r>
          </w:p>
        </w:tc>
        <w:tc>
          <w:tcPr>
            <w:tcW w:w="1275" w:type="dxa"/>
            <w:tcBorders>
              <w:top w:val="nil"/>
              <w:left w:val="nil"/>
              <w:bottom w:val="single" w:sz="4" w:space="0" w:color="auto"/>
              <w:right w:val="single" w:sz="4" w:space="0" w:color="auto"/>
            </w:tcBorders>
            <w:shd w:val="clear" w:color="000000" w:fill="FFFFFF"/>
            <w:noWrap/>
            <w:vAlign w:val="bottom"/>
            <w:hideMark/>
          </w:tcPr>
          <w:p w14:paraId="46BB1E32" w14:textId="77777777" w:rsidR="00613940" w:rsidRPr="00F85253" w:rsidRDefault="00613940" w:rsidP="009B5D7E">
            <w:pPr>
              <w:spacing w:after="0" w:line="240" w:lineRule="auto"/>
              <w:jc w:val="right"/>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 xml:space="preserve">       0.823 </w:t>
            </w:r>
          </w:p>
        </w:tc>
        <w:tc>
          <w:tcPr>
            <w:tcW w:w="1134" w:type="dxa"/>
            <w:tcBorders>
              <w:top w:val="nil"/>
              <w:left w:val="nil"/>
              <w:bottom w:val="single" w:sz="4" w:space="0" w:color="auto"/>
              <w:right w:val="single" w:sz="4" w:space="0" w:color="auto"/>
            </w:tcBorders>
            <w:shd w:val="clear" w:color="000000" w:fill="FFFFFF"/>
            <w:noWrap/>
            <w:vAlign w:val="bottom"/>
            <w:hideMark/>
          </w:tcPr>
          <w:p w14:paraId="13822C2C" w14:textId="77777777" w:rsidR="00613940" w:rsidRPr="00F85253" w:rsidRDefault="00613940" w:rsidP="009B5D7E">
            <w:pPr>
              <w:spacing w:after="0" w:line="240" w:lineRule="auto"/>
              <w:jc w:val="right"/>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 xml:space="preserve">       21.45 </w:t>
            </w:r>
          </w:p>
        </w:tc>
      </w:tr>
      <w:tr w:rsidR="009B5D7E" w:rsidRPr="00F85253" w14:paraId="05AECECB" w14:textId="77777777" w:rsidTr="00771061">
        <w:trPr>
          <w:trHeight w:val="525"/>
        </w:trPr>
        <w:tc>
          <w:tcPr>
            <w:tcW w:w="1008" w:type="dxa"/>
            <w:vMerge/>
            <w:tcBorders>
              <w:top w:val="single" w:sz="4" w:space="0" w:color="auto"/>
              <w:left w:val="single" w:sz="4" w:space="0" w:color="auto"/>
              <w:bottom w:val="single" w:sz="4" w:space="0" w:color="000000"/>
              <w:right w:val="single" w:sz="4" w:space="0" w:color="auto"/>
            </w:tcBorders>
            <w:vAlign w:val="center"/>
            <w:hideMark/>
          </w:tcPr>
          <w:p w14:paraId="112686AF" w14:textId="77777777" w:rsidR="00613940" w:rsidRPr="00F85253" w:rsidRDefault="00613940" w:rsidP="00FC494A">
            <w:pPr>
              <w:spacing w:after="0" w:line="240" w:lineRule="auto"/>
              <w:rPr>
                <w:rFonts w:ascii="Arial" w:eastAsia="Times New Roman" w:hAnsi="Arial" w:cs="Arial"/>
                <w:b/>
                <w:bCs/>
                <w:color w:val="000000"/>
                <w:sz w:val="20"/>
                <w:szCs w:val="20"/>
                <w:lang w:val="es-EC" w:eastAsia="es-EC"/>
              </w:rPr>
            </w:pPr>
          </w:p>
        </w:tc>
        <w:tc>
          <w:tcPr>
            <w:tcW w:w="5088" w:type="dxa"/>
            <w:tcBorders>
              <w:top w:val="single" w:sz="4" w:space="0" w:color="auto"/>
              <w:left w:val="nil"/>
              <w:bottom w:val="nil"/>
              <w:right w:val="single" w:sz="4" w:space="0" w:color="auto"/>
            </w:tcBorders>
            <w:shd w:val="clear" w:color="000000" w:fill="FFFFFF"/>
            <w:vAlign w:val="bottom"/>
            <w:hideMark/>
          </w:tcPr>
          <w:p w14:paraId="0E09A95D" w14:textId="0E1D3E76" w:rsidR="00613940" w:rsidRPr="00F85253" w:rsidRDefault="00613940" w:rsidP="00A77281">
            <w:pPr>
              <w:spacing w:after="0" w:line="240" w:lineRule="auto"/>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 xml:space="preserve">Optimización cartera EEPP (desvinculaciones)  </w:t>
            </w:r>
            <w:r w:rsidRPr="00F85253">
              <w:rPr>
                <w:rFonts w:ascii="Arial" w:eastAsia="Times New Roman" w:hAnsi="Arial" w:cs="Arial"/>
                <w:b/>
                <w:i/>
                <w:color w:val="000000"/>
                <w:sz w:val="20"/>
                <w:szCs w:val="20"/>
                <w:lang w:val="es-EC" w:eastAsia="es-EC"/>
              </w:rPr>
              <w:t>Mano Obra N</w:t>
            </w:r>
            <w:r w:rsidR="009B5D7E" w:rsidRPr="00F85253">
              <w:rPr>
                <w:rFonts w:ascii="Arial" w:eastAsia="Times New Roman" w:hAnsi="Arial" w:cs="Arial"/>
                <w:b/>
                <w:i/>
                <w:color w:val="000000"/>
                <w:sz w:val="20"/>
                <w:szCs w:val="20"/>
                <w:lang w:val="es-EC" w:eastAsia="es-EC"/>
              </w:rPr>
              <w:t>o</w:t>
            </w:r>
            <w:r w:rsidRPr="00F85253">
              <w:rPr>
                <w:rFonts w:ascii="Arial" w:eastAsia="Times New Roman" w:hAnsi="Arial" w:cs="Arial"/>
                <w:b/>
                <w:i/>
                <w:color w:val="000000"/>
                <w:sz w:val="20"/>
                <w:szCs w:val="20"/>
                <w:lang w:val="es-EC" w:eastAsia="es-EC"/>
              </w:rPr>
              <w:t xml:space="preserve"> Calificada</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14:paraId="23B31AB2" w14:textId="77777777" w:rsidR="00613940" w:rsidRPr="00F85253" w:rsidRDefault="00613940" w:rsidP="009B5D7E">
            <w:pPr>
              <w:spacing w:after="0" w:line="240" w:lineRule="auto"/>
              <w:jc w:val="right"/>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 xml:space="preserve">         16.95 </w:t>
            </w:r>
          </w:p>
        </w:tc>
        <w:tc>
          <w:tcPr>
            <w:tcW w:w="1275" w:type="dxa"/>
            <w:tcBorders>
              <w:top w:val="nil"/>
              <w:left w:val="nil"/>
              <w:bottom w:val="single" w:sz="4" w:space="0" w:color="auto"/>
              <w:right w:val="single" w:sz="4" w:space="0" w:color="auto"/>
            </w:tcBorders>
            <w:shd w:val="clear" w:color="auto" w:fill="auto"/>
            <w:noWrap/>
            <w:vAlign w:val="bottom"/>
            <w:hideMark/>
          </w:tcPr>
          <w:p w14:paraId="2913E433" w14:textId="77777777" w:rsidR="00613940" w:rsidRPr="00F85253" w:rsidRDefault="00613940" w:rsidP="009B5D7E">
            <w:pPr>
              <w:spacing w:after="0" w:line="240" w:lineRule="auto"/>
              <w:jc w:val="right"/>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 xml:space="preserve">       0.795 </w:t>
            </w:r>
          </w:p>
        </w:tc>
        <w:tc>
          <w:tcPr>
            <w:tcW w:w="1134" w:type="dxa"/>
            <w:tcBorders>
              <w:top w:val="nil"/>
              <w:left w:val="nil"/>
              <w:bottom w:val="single" w:sz="4" w:space="0" w:color="auto"/>
              <w:right w:val="single" w:sz="4" w:space="0" w:color="auto"/>
            </w:tcBorders>
            <w:shd w:val="clear" w:color="auto" w:fill="auto"/>
            <w:noWrap/>
            <w:vAlign w:val="bottom"/>
            <w:hideMark/>
          </w:tcPr>
          <w:p w14:paraId="7B264194" w14:textId="77777777" w:rsidR="00613940" w:rsidRPr="00F85253" w:rsidRDefault="00613940" w:rsidP="009B5D7E">
            <w:pPr>
              <w:spacing w:after="0" w:line="240" w:lineRule="auto"/>
              <w:jc w:val="right"/>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 xml:space="preserve">       13.47 </w:t>
            </w:r>
          </w:p>
        </w:tc>
      </w:tr>
      <w:tr w:rsidR="009B5D7E" w:rsidRPr="00F85253" w14:paraId="67952827" w14:textId="77777777" w:rsidTr="00771061">
        <w:trPr>
          <w:trHeight w:val="300"/>
        </w:trPr>
        <w:tc>
          <w:tcPr>
            <w:tcW w:w="100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E3FF752" w14:textId="77777777" w:rsidR="00613940" w:rsidRPr="00F85253" w:rsidRDefault="00613940" w:rsidP="00FC494A">
            <w:pPr>
              <w:spacing w:after="0" w:line="240" w:lineRule="auto"/>
              <w:rPr>
                <w:rFonts w:ascii="Arial" w:eastAsia="Times New Roman" w:hAnsi="Arial" w:cs="Arial"/>
                <w:b/>
                <w:bCs/>
                <w:color w:val="000000"/>
                <w:sz w:val="20"/>
                <w:szCs w:val="20"/>
                <w:lang w:val="es-EC" w:eastAsia="es-EC"/>
              </w:rPr>
            </w:pPr>
            <w:r w:rsidRPr="00F85253">
              <w:rPr>
                <w:rFonts w:ascii="Arial" w:eastAsia="Times New Roman" w:hAnsi="Arial" w:cs="Arial"/>
                <w:b/>
                <w:bCs/>
                <w:color w:val="000000"/>
                <w:sz w:val="20"/>
                <w:szCs w:val="20"/>
                <w:lang w:val="es-EC" w:eastAsia="es-EC"/>
              </w:rPr>
              <w:t>Comp. 1</w:t>
            </w:r>
          </w:p>
        </w:tc>
        <w:tc>
          <w:tcPr>
            <w:tcW w:w="5088" w:type="dxa"/>
            <w:tcBorders>
              <w:top w:val="single" w:sz="4" w:space="0" w:color="auto"/>
              <w:left w:val="nil"/>
              <w:bottom w:val="single" w:sz="4" w:space="0" w:color="auto"/>
              <w:right w:val="single" w:sz="4" w:space="0" w:color="auto"/>
            </w:tcBorders>
            <w:shd w:val="clear" w:color="000000" w:fill="FFFFFF"/>
            <w:vAlign w:val="bottom"/>
            <w:hideMark/>
          </w:tcPr>
          <w:p w14:paraId="16FFD9C3" w14:textId="77777777" w:rsidR="00613940" w:rsidRPr="00F85253" w:rsidRDefault="00613940" w:rsidP="009B5D7E">
            <w:pPr>
              <w:spacing w:after="0" w:line="240" w:lineRule="auto"/>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Fortalecimiento del Marco de Gobernanza Corporativa</w:t>
            </w:r>
          </w:p>
        </w:tc>
        <w:tc>
          <w:tcPr>
            <w:tcW w:w="1276" w:type="dxa"/>
            <w:tcBorders>
              <w:top w:val="nil"/>
              <w:left w:val="nil"/>
              <w:bottom w:val="single" w:sz="4" w:space="0" w:color="auto"/>
              <w:right w:val="single" w:sz="4" w:space="0" w:color="auto"/>
            </w:tcBorders>
            <w:shd w:val="clear" w:color="000000" w:fill="FFFFFF"/>
            <w:noWrap/>
            <w:vAlign w:val="bottom"/>
            <w:hideMark/>
          </w:tcPr>
          <w:p w14:paraId="7051C090" w14:textId="77777777" w:rsidR="00613940" w:rsidRPr="00F85253" w:rsidRDefault="00613940" w:rsidP="009B5D7E">
            <w:pPr>
              <w:spacing w:after="0" w:line="240" w:lineRule="auto"/>
              <w:jc w:val="right"/>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 xml:space="preserve">           4.11 </w:t>
            </w:r>
          </w:p>
        </w:tc>
        <w:tc>
          <w:tcPr>
            <w:tcW w:w="1275" w:type="dxa"/>
            <w:tcBorders>
              <w:top w:val="nil"/>
              <w:left w:val="nil"/>
              <w:bottom w:val="single" w:sz="4" w:space="0" w:color="auto"/>
              <w:right w:val="single" w:sz="4" w:space="0" w:color="auto"/>
            </w:tcBorders>
            <w:shd w:val="clear" w:color="000000" w:fill="FFFFFF"/>
            <w:noWrap/>
            <w:vAlign w:val="bottom"/>
            <w:hideMark/>
          </w:tcPr>
          <w:p w14:paraId="0B555365" w14:textId="77777777" w:rsidR="00613940" w:rsidRPr="00F85253" w:rsidRDefault="00613940" w:rsidP="009B5D7E">
            <w:pPr>
              <w:spacing w:after="0" w:line="240" w:lineRule="auto"/>
              <w:jc w:val="right"/>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 xml:space="preserve">       0.838 </w:t>
            </w:r>
          </w:p>
        </w:tc>
        <w:tc>
          <w:tcPr>
            <w:tcW w:w="1134" w:type="dxa"/>
            <w:tcBorders>
              <w:top w:val="nil"/>
              <w:left w:val="nil"/>
              <w:bottom w:val="single" w:sz="4" w:space="0" w:color="auto"/>
              <w:right w:val="single" w:sz="4" w:space="0" w:color="auto"/>
            </w:tcBorders>
            <w:shd w:val="clear" w:color="000000" w:fill="FFFFFF"/>
            <w:noWrap/>
            <w:vAlign w:val="bottom"/>
            <w:hideMark/>
          </w:tcPr>
          <w:p w14:paraId="636CFF90" w14:textId="77777777" w:rsidR="00613940" w:rsidRPr="00F85253" w:rsidRDefault="00613940" w:rsidP="009B5D7E">
            <w:pPr>
              <w:spacing w:after="0" w:line="240" w:lineRule="auto"/>
              <w:jc w:val="right"/>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 xml:space="preserve">         3.45 </w:t>
            </w:r>
          </w:p>
        </w:tc>
      </w:tr>
      <w:tr w:rsidR="009B5D7E" w:rsidRPr="00F85253" w14:paraId="7E76D48B" w14:textId="77777777" w:rsidTr="00771061">
        <w:trPr>
          <w:trHeight w:val="300"/>
        </w:trPr>
        <w:tc>
          <w:tcPr>
            <w:tcW w:w="1008" w:type="dxa"/>
            <w:tcBorders>
              <w:top w:val="nil"/>
              <w:left w:val="single" w:sz="4" w:space="0" w:color="auto"/>
              <w:bottom w:val="single" w:sz="4" w:space="0" w:color="auto"/>
              <w:right w:val="single" w:sz="4" w:space="0" w:color="auto"/>
            </w:tcBorders>
            <w:shd w:val="clear" w:color="000000" w:fill="FFFFFF"/>
            <w:vAlign w:val="center"/>
            <w:hideMark/>
          </w:tcPr>
          <w:p w14:paraId="60324F23" w14:textId="6E1A2145" w:rsidR="00613940" w:rsidRPr="00F85253" w:rsidRDefault="00613940" w:rsidP="00FC494A">
            <w:pPr>
              <w:spacing w:after="0" w:line="240" w:lineRule="auto"/>
              <w:rPr>
                <w:rFonts w:ascii="Arial" w:eastAsia="Times New Roman" w:hAnsi="Arial" w:cs="Arial"/>
                <w:b/>
                <w:bCs/>
                <w:color w:val="000000"/>
                <w:sz w:val="20"/>
                <w:szCs w:val="20"/>
                <w:lang w:val="es-EC" w:eastAsia="es-EC"/>
              </w:rPr>
            </w:pPr>
            <w:r w:rsidRPr="00F85253">
              <w:rPr>
                <w:rFonts w:ascii="Arial" w:eastAsia="Times New Roman" w:hAnsi="Arial" w:cs="Arial"/>
                <w:b/>
                <w:bCs/>
                <w:color w:val="000000"/>
                <w:sz w:val="20"/>
                <w:szCs w:val="20"/>
                <w:lang w:val="es-EC" w:eastAsia="es-EC"/>
              </w:rPr>
              <w:t>Adm</w:t>
            </w:r>
            <w:r w:rsidR="00FC494A" w:rsidRPr="00F85253">
              <w:rPr>
                <w:rFonts w:ascii="Arial" w:eastAsia="Times New Roman" w:hAnsi="Arial" w:cs="Arial"/>
                <w:b/>
                <w:bCs/>
                <w:color w:val="000000"/>
                <w:sz w:val="20"/>
                <w:szCs w:val="20"/>
                <w:lang w:val="es-EC" w:eastAsia="es-EC"/>
              </w:rPr>
              <w:t>.</w:t>
            </w:r>
          </w:p>
        </w:tc>
        <w:tc>
          <w:tcPr>
            <w:tcW w:w="5088" w:type="dxa"/>
            <w:tcBorders>
              <w:top w:val="nil"/>
              <w:left w:val="nil"/>
              <w:bottom w:val="single" w:sz="4" w:space="0" w:color="auto"/>
              <w:right w:val="single" w:sz="4" w:space="0" w:color="auto"/>
            </w:tcBorders>
            <w:shd w:val="clear" w:color="000000" w:fill="FFFFFF"/>
            <w:vAlign w:val="bottom"/>
            <w:hideMark/>
          </w:tcPr>
          <w:p w14:paraId="0512CBEF" w14:textId="77777777" w:rsidR="00613940" w:rsidRPr="00F85253" w:rsidRDefault="00613940" w:rsidP="009B5D7E">
            <w:pPr>
              <w:spacing w:after="0" w:line="240" w:lineRule="auto"/>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Administración del programa</w:t>
            </w:r>
          </w:p>
        </w:tc>
        <w:tc>
          <w:tcPr>
            <w:tcW w:w="1276" w:type="dxa"/>
            <w:tcBorders>
              <w:top w:val="nil"/>
              <w:left w:val="nil"/>
              <w:bottom w:val="single" w:sz="4" w:space="0" w:color="auto"/>
              <w:right w:val="single" w:sz="4" w:space="0" w:color="auto"/>
            </w:tcBorders>
            <w:shd w:val="clear" w:color="000000" w:fill="FFFFFF"/>
            <w:noWrap/>
            <w:vAlign w:val="bottom"/>
            <w:hideMark/>
          </w:tcPr>
          <w:p w14:paraId="3D26379D" w14:textId="77777777" w:rsidR="00613940" w:rsidRPr="00F85253" w:rsidRDefault="00613940" w:rsidP="009B5D7E">
            <w:pPr>
              <w:spacing w:after="0" w:line="240" w:lineRule="auto"/>
              <w:jc w:val="right"/>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 xml:space="preserve">           3.07 </w:t>
            </w:r>
          </w:p>
        </w:tc>
        <w:tc>
          <w:tcPr>
            <w:tcW w:w="1275" w:type="dxa"/>
            <w:tcBorders>
              <w:top w:val="nil"/>
              <w:left w:val="nil"/>
              <w:bottom w:val="single" w:sz="4" w:space="0" w:color="auto"/>
              <w:right w:val="single" w:sz="4" w:space="0" w:color="auto"/>
            </w:tcBorders>
            <w:shd w:val="clear" w:color="000000" w:fill="FFFFFF"/>
            <w:noWrap/>
            <w:vAlign w:val="bottom"/>
            <w:hideMark/>
          </w:tcPr>
          <w:p w14:paraId="7E3046D1" w14:textId="77777777" w:rsidR="00613940" w:rsidRPr="00F85253" w:rsidRDefault="00613940" w:rsidP="009B5D7E">
            <w:pPr>
              <w:spacing w:after="0" w:line="240" w:lineRule="auto"/>
              <w:jc w:val="right"/>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 xml:space="preserve">       0.838 </w:t>
            </w:r>
          </w:p>
        </w:tc>
        <w:tc>
          <w:tcPr>
            <w:tcW w:w="1134" w:type="dxa"/>
            <w:tcBorders>
              <w:top w:val="nil"/>
              <w:left w:val="nil"/>
              <w:bottom w:val="single" w:sz="4" w:space="0" w:color="auto"/>
              <w:right w:val="single" w:sz="4" w:space="0" w:color="auto"/>
            </w:tcBorders>
            <w:shd w:val="clear" w:color="000000" w:fill="FFFFFF"/>
            <w:noWrap/>
            <w:vAlign w:val="bottom"/>
            <w:hideMark/>
          </w:tcPr>
          <w:p w14:paraId="1D19B664" w14:textId="77777777" w:rsidR="00613940" w:rsidRPr="00F85253" w:rsidRDefault="00613940" w:rsidP="009B5D7E">
            <w:pPr>
              <w:spacing w:after="0" w:line="240" w:lineRule="auto"/>
              <w:jc w:val="right"/>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 xml:space="preserve">         2.58 </w:t>
            </w:r>
          </w:p>
        </w:tc>
      </w:tr>
      <w:tr w:rsidR="009B5D7E" w:rsidRPr="00F85253" w14:paraId="54734A4B" w14:textId="77777777" w:rsidTr="00771061">
        <w:trPr>
          <w:trHeight w:val="315"/>
        </w:trPr>
        <w:tc>
          <w:tcPr>
            <w:tcW w:w="6096" w:type="dxa"/>
            <w:gridSpan w:val="2"/>
            <w:tcBorders>
              <w:top w:val="single" w:sz="4" w:space="0" w:color="auto"/>
              <w:left w:val="single" w:sz="4" w:space="0" w:color="auto"/>
              <w:bottom w:val="single" w:sz="4" w:space="0" w:color="auto"/>
              <w:right w:val="single" w:sz="4" w:space="0" w:color="000000"/>
            </w:tcBorders>
            <w:shd w:val="clear" w:color="000000" w:fill="F2F2F2"/>
            <w:noWrap/>
            <w:vAlign w:val="bottom"/>
            <w:hideMark/>
          </w:tcPr>
          <w:p w14:paraId="2FC4DDDF" w14:textId="77777777" w:rsidR="00613940" w:rsidRPr="00F85253" w:rsidRDefault="00613940" w:rsidP="00613940">
            <w:pPr>
              <w:spacing w:after="0" w:line="240" w:lineRule="auto"/>
              <w:rPr>
                <w:rFonts w:ascii="Arial" w:eastAsia="Times New Roman" w:hAnsi="Arial" w:cs="Arial"/>
                <w:b/>
                <w:color w:val="000000"/>
                <w:sz w:val="20"/>
                <w:szCs w:val="20"/>
                <w:lang w:val="es-EC" w:eastAsia="es-EC"/>
              </w:rPr>
            </w:pPr>
            <w:r w:rsidRPr="00F85253">
              <w:rPr>
                <w:rFonts w:ascii="Arial" w:eastAsia="Times New Roman" w:hAnsi="Arial" w:cs="Arial"/>
                <w:b/>
                <w:color w:val="000000"/>
                <w:sz w:val="20"/>
                <w:szCs w:val="20"/>
                <w:lang w:val="es-EC" w:eastAsia="es-EC"/>
              </w:rPr>
              <w:t>Total</w:t>
            </w:r>
          </w:p>
        </w:tc>
        <w:tc>
          <w:tcPr>
            <w:tcW w:w="1276" w:type="dxa"/>
            <w:tcBorders>
              <w:top w:val="nil"/>
              <w:left w:val="nil"/>
              <w:bottom w:val="single" w:sz="4" w:space="0" w:color="auto"/>
              <w:right w:val="single" w:sz="4" w:space="0" w:color="auto"/>
            </w:tcBorders>
            <w:shd w:val="clear" w:color="000000" w:fill="F2F2F2"/>
            <w:noWrap/>
            <w:vAlign w:val="bottom"/>
            <w:hideMark/>
          </w:tcPr>
          <w:p w14:paraId="2E8073C7" w14:textId="77777777" w:rsidR="00613940" w:rsidRPr="00F85253" w:rsidRDefault="00613940" w:rsidP="009B5D7E">
            <w:pPr>
              <w:spacing w:after="0" w:line="240" w:lineRule="auto"/>
              <w:jc w:val="right"/>
              <w:rPr>
                <w:rFonts w:ascii="Arial" w:eastAsia="Times New Roman" w:hAnsi="Arial" w:cs="Arial"/>
                <w:b/>
                <w:color w:val="000000"/>
                <w:sz w:val="20"/>
                <w:szCs w:val="20"/>
                <w:lang w:val="es-EC" w:eastAsia="es-EC"/>
              </w:rPr>
            </w:pPr>
            <w:r w:rsidRPr="00F85253">
              <w:rPr>
                <w:rFonts w:ascii="Arial" w:eastAsia="Times New Roman" w:hAnsi="Arial" w:cs="Arial"/>
                <w:b/>
                <w:color w:val="000000"/>
                <w:sz w:val="20"/>
                <w:szCs w:val="20"/>
                <w:lang w:val="es-EC" w:eastAsia="es-EC"/>
              </w:rPr>
              <w:t xml:space="preserve">         75.00 </w:t>
            </w:r>
          </w:p>
        </w:tc>
        <w:tc>
          <w:tcPr>
            <w:tcW w:w="1275" w:type="dxa"/>
            <w:tcBorders>
              <w:top w:val="nil"/>
              <w:left w:val="nil"/>
              <w:bottom w:val="single" w:sz="4" w:space="0" w:color="auto"/>
              <w:right w:val="single" w:sz="4" w:space="0" w:color="auto"/>
            </w:tcBorders>
            <w:shd w:val="clear" w:color="000000" w:fill="F2F2F2"/>
            <w:noWrap/>
            <w:vAlign w:val="bottom"/>
            <w:hideMark/>
          </w:tcPr>
          <w:p w14:paraId="10E662E0" w14:textId="77777777" w:rsidR="00613940" w:rsidRPr="00F85253" w:rsidRDefault="00613940" w:rsidP="009B5D7E">
            <w:pPr>
              <w:spacing w:after="0" w:line="240" w:lineRule="auto"/>
              <w:jc w:val="right"/>
              <w:rPr>
                <w:rFonts w:ascii="Arial" w:eastAsia="Times New Roman" w:hAnsi="Arial" w:cs="Arial"/>
                <w:b/>
                <w:color w:val="000000"/>
                <w:sz w:val="20"/>
                <w:szCs w:val="20"/>
                <w:lang w:val="es-EC" w:eastAsia="es-EC"/>
              </w:rPr>
            </w:pPr>
            <w:r w:rsidRPr="00F85253">
              <w:rPr>
                <w:rFonts w:ascii="Arial" w:eastAsia="Times New Roman" w:hAnsi="Arial" w:cs="Arial"/>
                <w:b/>
                <w:color w:val="000000"/>
                <w:sz w:val="20"/>
                <w:szCs w:val="20"/>
                <w:lang w:val="es-EC" w:eastAsia="es-EC"/>
              </w:rPr>
              <w:t> </w:t>
            </w:r>
          </w:p>
        </w:tc>
        <w:tc>
          <w:tcPr>
            <w:tcW w:w="1134" w:type="dxa"/>
            <w:tcBorders>
              <w:top w:val="nil"/>
              <w:left w:val="nil"/>
              <w:bottom w:val="single" w:sz="4" w:space="0" w:color="auto"/>
              <w:right w:val="single" w:sz="4" w:space="0" w:color="auto"/>
            </w:tcBorders>
            <w:shd w:val="clear" w:color="000000" w:fill="F2F2F2"/>
            <w:noWrap/>
            <w:vAlign w:val="bottom"/>
            <w:hideMark/>
          </w:tcPr>
          <w:p w14:paraId="716BED16" w14:textId="77777777" w:rsidR="00613940" w:rsidRPr="00F85253" w:rsidRDefault="00613940" w:rsidP="009B5D7E">
            <w:pPr>
              <w:spacing w:after="0" w:line="240" w:lineRule="auto"/>
              <w:jc w:val="right"/>
              <w:rPr>
                <w:rFonts w:ascii="Arial" w:eastAsia="Times New Roman" w:hAnsi="Arial" w:cs="Arial"/>
                <w:b/>
                <w:color w:val="000000"/>
                <w:sz w:val="20"/>
                <w:szCs w:val="20"/>
                <w:lang w:val="es-EC" w:eastAsia="es-EC"/>
              </w:rPr>
            </w:pPr>
            <w:r w:rsidRPr="00F85253">
              <w:rPr>
                <w:rFonts w:ascii="Arial" w:eastAsia="Times New Roman" w:hAnsi="Arial" w:cs="Arial"/>
                <w:b/>
                <w:color w:val="000000"/>
                <w:sz w:val="20"/>
                <w:szCs w:val="20"/>
                <w:lang w:val="es-EC" w:eastAsia="es-EC"/>
              </w:rPr>
              <w:t xml:space="preserve">       61.75 </w:t>
            </w:r>
          </w:p>
        </w:tc>
      </w:tr>
    </w:tbl>
    <w:p w14:paraId="0ECF7ECA" w14:textId="77777777" w:rsidR="00FC494A" w:rsidRPr="00F85253" w:rsidRDefault="00FC494A" w:rsidP="00681685">
      <w:pPr>
        <w:pStyle w:val="Paragraph"/>
        <w:spacing w:before="0" w:after="0" w:line="276" w:lineRule="auto"/>
        <w:outlineLvl w:val="9"/>
        <w:rPr>
          <w:rFonts w:ascii="Arial" w:hAnsi="Arial" w:cs="Arial"/>
          <w:sz w:val="22"/>
          <w:szCs w:val="22"/>
          <w:lang w:val="es-ES_tradnl"/>
        </w:rPr>
      </w:pPr>
    </w:p>
    <w:tbl>
      <w:tblPr>
        <w:tblW w:w="9781" w:type="dxa"/>
        <w:tblInd w:w="-72" w:type="dxa"/>
        <w:tblCellMar>
          <w:left w:w="70" w:type="dxa"/>
          <w:right w:w="70" w:type="dxa"/>
        </w:tblCellMar>
        <w:tblLook w:val="04A0" w:firstRow="1" w:lastRow="0" w:firstColumn="1" w:lastColumn="0" w:noHBand="0" w:noVBand="1"/>
      </w:tblPr>
      <w:tblGrid>
        <w:gridCol w:w="946"/>
        <w:gridCol w:w="6426"/>
        <w:gridCol w:w="1275"/>
        <w:gridCol w:w="1134"/>
      </w:tblGrid>
      <w:tr w:rsidR="00FC494A" w:rsidRPr="00F85253" w14:paraId="75FBB4EB" w14:textId="77777777" w:rsidTr="00FC494A">
        <w:trPr>
          <w:trHeight w:val="300"/>
        </w:trPr>
        <w:tc>
          <w:tcPr>
            <w:tcW w:w="9781" w:type="dxa"/>
            <w:gridSpan w:val="4"/>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73E57222" w14:textId="493FC8F9" w:rsidR="00FC494A" w:rsidRPr="00F85253" w:rsidRDefault="00FC494A" w:rsidP="00FC494A">
            <w:pPr>
              <w:spacing w:after="0" w:line="240" w:lineRule="auto"/>
              <w:rPr>
                <w:rFonts w:ascii="Arial" w:eastAsia="Times New Roman" w:hAnsi="Arial" w:cs="Arial"/>
                <w:b/>
                <w:bCs/>
                <w:color w:val="000000"/>
                <w:sz w:val="20"/>
                <w:szCs w:val="20"/>
                <w:lang w:val="es-EC" w:eastAsia="es-EC"/>
              </w:rPr>
            </w:pPr>
            <w:r w:rsidRPr="00F85253">
              <w:rPr>
                <w:rFonts w:ascii="Arial" w:eastAsia="Times New Roman" w:hAnsi="Arial" w:cs="Arial"/>
                <w:b/>
                <w:bCs/>
                <w:color w:val="000000"/>
                <w:sz w:val="20"/>
                <w:szCs w:val="20"/>
                <w:lang w:val="es-EC" w:eastAsia="es-EC"/>
              </w:rPr>
              <w:t xml:space="preserve">Cuadro 7: Costos económicos del proyecto en precios de eficiencia </w:t>
            </w:r>
          </w:p>
          <w:p w14:paraId="4475CB0E" w14:textId="44586961" w:rsidR="00FC494A" w:rsidRPr="00F85253" w:rsidRDefault="00FC494A" w:rsidP="00FC494A">
            <w:pPr>
              <w:spacing w:after="0" w:line="240" w:lineRule="auto"/>
              <w:rPr>
                <w:rFonts w:ascii="Arial" w:eastAsia="Times New Roman" w:hAnsi="Arial" w:cs="Arial"/>
                <w:b/>
                <w:bCs/>
                <w:color w:val="000000"/>
                <w:sz w:val="20"/>
                <w:szCs w:val="20"/>
                <w:lang w:val="es-EC" w:eastAsia="es-EC"/>
              </w:rPr>
            </w:pPr>
            <w:r w:rsidRPr="00F85253">
              <w:rPr>
                <w:rFonts w:ascii="Arial" w:eastAsia="Times New Roman" w:hAnsi="Arial" w:cs="Arial"/>
                <w:b/>
                <w:bCs/>
                <w:color w:val="000000"/>
                <w:sz w:val="20"/>
                <w:szCs w:val="20"/>
                <w:lang w:val="es-EC" w:eastAsia="es-EC"/>
              </w:rPr>
              <w:t>(en millones de dólares)</w:t>
            </w:r>
          </w:p>
        </w:tc>
      </w:tr>
      <w:tr w:rsidR="00FC494A" w:rsidRPr="00F85253" w14:paraId="60B2CE14" w14:textId="77777777" w:rsidTr="00FC494A">
        <w:trPr>
          <w:trHeight w:val="300"/>
        </w:trPr>
        <w:tc>
          <w:tcPr>
            <w:tcW w:w="946" w:type="dxa"/>
            <w:tcBorders>
              <w:top w:val="nil"/>
              <w:left w:val="single" w:sz="4" w:space="0" w:color="auto"/>
              <w:bottom w:val="single" w:sz="4" w:space="0" w:color="auto"/>
              <w:right w:val="single" w:sz="4" w:space="0" w:color="auto"/>
            </w:tcBorders>
            <w:shd w:val="clear" w:color="000000" w:fill="F2F2F2"/>
            <w:vAlign w:val="center"/>
            <w:hideMark/>
          </w:tcPr>
          <w:p w14:paraId="54589D98" w14:textId="77777777" w:rsidR="00FC494A" w:rsidRPr="00F85253" w:rsidRDefault="00FC494A" w:rsidP="00FC494A">
            <w:pPr>
              <w:spacing w:after="0" w:line="240" w:lineRule="auto"/>
              <w:rPr>
                <w:rFonts w:ascii="Arial" w:eastAsia="Times New Roman" w:hAnsi="Arial" w:cs="Arial"/>
                <w:b/>
                <w:bCs/>
                <w:color w:val="000000"/>
                <w:sz w:val="20"/>
                <w:szCs w:val="20"/>
                <w:lang w:val="es-EC" w:eastAsia="es-EC"/>
              </w:rPr>
            </w:pPr>
            <w:r w:rsidRPr="00F85253">
              <w:rPr>
                <w:rFonts w:ascii="Arial" w:eastAsia="Times New Roman" w:hAnsi="Arial" w:cs="Arial"/>
                <w:b/>
                <w:bCs/>
                <w:color w:val="000000"/>
                <w:sz w:val="20"/>
                <w:szCs w:val="20"/>
                <w:lang w:val="es-EC" w:eastAsia="es-EC"/>
              </w:rPr>
              <w:t>Comp.</w:t>
            </w:r>
          </w:p>
        </w:tc>
        <w:tc>
          <w:tcPr>
            <w:tcW w:w="6426" w:type="dxa"/>
            <w:tcBorders>
              <w:top w:val="nil"/>
              <w:left w:val="nil"/>
              <w:bottom w:val="single" w:sz="4" w:space="0" w:color="auto"/>
              <w:right w:val="single" w:sz="4" w:space="0" w:color="auto"/>
            </w:tcBorders>
            <w:shd w:val="clear" w:color="000000" w:fill="F2F2F2"/>
            <w:noWrap/>
            <w:vAlign w:val="center"/>
            <w:hideMark/>
          </w:tcPr>
          <w:p w14:paraId="66A2C4BB" w14:textId="77777777" w:rsidR="00FC494A" w:rsidRPr="00F85253" w:rsidRDefault="00FC494A" w:rsidP="00FC494A">
            <w:pPr>
              <w:spacing w:after="0" w:line="240" w:lineRule="auto"/>
              <w:jc w:val="center"/>
              <w:rPr>
                <w:rFonts w:ascii="Arial" w:eastAsia="Times New Roman" w:hAnsi="Arial" w:cs="Arial"/>
                <w:b/>
                <w:bCs/>
                <w:color w:val="000000"/>
                <w:sz w:val="20"/>
                <w:szCs w:val="20"/>
                <w:lang w:val="es-EC" w:eastAsia="es-EC"/>
              </w:rPr>
            </w:pPr>
            <w:r w:rsidRPr="00F85253">
              <w:rPr>
                <w:rFonts w:ascii="Arial" w:eastAsia="Times New Roman" w:hAnsi="Arial" w:cs="Arial"/>
                <w:b/>
                <w:bCs/>
                <w:color w:val="000000"/>
                <w:sz w:val="20"/>
                <w:szCs w:val="20"/>
                <w:lang w:val="es-EC" w:eastAsia="es-EC"/>
              </w:rPr>
              <w:t>Categoría</w:t>
            </w:r>
          </w:p>
        </w:tc>
        <w:tc>
          <w:tcPr>
            <w:tcW w:w="1275" w:type="dxa"/>
            <w:tcBorders>
              <w:top w:val="nil"/>
              <w:left w:val="nil"/>
              <w:bottom w:val="single" w:sz="4" w:space="0" w:color="auto"/>
              <w:right w:val="single" w:sz="4" w:space="0" w:color="auto"/>
            </w:tcBorders>
            <w:shd w:val="clear" w:color="000000" w:fill="F2F2F2"/>
            <w:noWrap/>
            <w:vAlign w:val="center"/>
            <w:hideMark/>
          </w:tcPr>
          <w:p w14:paraId="0D622516" w14:textId="77777777" w:rsidR="00FC494A" w:rsidRPr="00F85253" w:rsidRDefault="00FC494A" w:rsidP="00FC494A">
            <w:pPr>
              <w:spacing w:after="0" w:line="240" w:lineRule="auto"/>
              <w:jc w:val="center"/>
              <w:rPr>
                <w:rFonts w:ascii="Arial" w:eastAsia="Times New Roman" w:hAnsi="Arial" w:cs="Arial"/>
                <w:b/>
                <w:bCs/>
                <w:color w:val="000000"/>
                <w:sz w:val="20"/>
                <w:szCs w:val="20"/>
                <w:lang w:val="es-EC" w:eastAsia="es-EC"/>
              </w:rPr>
            </w:pPr>
            <w:r w:rsidRPr="00F85253">
              <w:rPr>
                <w:rFonts w:ascii="Arial" w:eastAsia="Times New Roman" w:hAnsi="Arial" w:cs="Arial"/>
                <w:b/>
                <w:bCs/>
                <w:color w:val="000000"/>
                <w:sz w:val="20"/>
                <w:szCs w:val="20"/>
                <w:lang w:val="es-EC" w:eastAsia="es-EC"/>
              </w:rPr>
              <w:t>Precio de mercado</w:t>
            </w:r>
          </w:p>
        </w:tc>
        <w:tc>
          <w:tcPr>
            <w:tcW w:w="1134" w:type="dxa"/>
            <w:tcBorders>
              <w:top w:val="nil"/>
              <w:left w:val="nil"/>
              <w:bottom w:val="single" w:sz="4" w:space="0" w:color="auto"/>
              <w:right w:val="single" w:sz="4" w:space="0" w:color="auto"/>
            </w:tcBorders>
            <w:shd w:val="clear" w:color="000000" w:fill="F2F2F2"/>
            <w:noWrap/>
            <w:vAlign w:val="center"/>
            <w:hideMark/>
          </w:tcPr>
          <w:p w14:paraId="093566BB" w14:textId="77777777" w:rsidR="00FC494A" w:rsidRPr="00F85253" w:rsidRDefault="00FC494A" w:rsidP="00FC494A">
            <w:pPr>
              <w:spacing w:after="0" w:line="240" w:lineRule="auto"/>
              <w:jc w:val="center"/>
              <w:rPr>
                <w:rFonts w:ascii="Arial" w:eastAsia="Times New Roman" w:hAnsi="Arial" w:cs="Arial"/>
                <w:b/>
                <w:bCs/>
                <w:color w:val="000000"/>
                <w:sz w:val="20"/>
                <w:szCs w:val="20"/>
                <w:lang w:val="es-EC" w:eastAsia="es-EC"/>
              </w:rPr>
            </w:pPr>
            <w:r w:rsidRPr="00F85253">
              <w:rPr>
                <w:rFonts w:ascii="Arial" w:eastAsia="Times New Roman" w:hAnsi="Arial" w:cs="Arial"/>
                <w:b/>
                <w:bCs/>
                <w:color w:val="000000"/>
                <w:sz w:val="20"/>
                <w:szCs w:val="20"/>
                <w:lang w:val="es-EC" w:eastAsia="es-EC"/>
              </w:rPr>
              <w:t>Precio de Eficiencia</w:t>
            </w:r>
          </w:p>
        </w:tc>
      </w:tr>
      <w:tr w:rsidR="00FC494A" w:rsidRPr="00F85253" w14:paraId="0B3AEFE3" w14:textId="77777777" w:rsidTr="00FC494A">
        <w:trPr>
          <w:trHeight w:val="300"/>
        </w:trPr>
        <w:tc>
          <w:tcPr>
            <w:tcW w:w="94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698AD4E" w14:textId="77777777" w:rsidR="00FC494A" w:rsidRPr="00F85253" w:rsidRDefault="00FC494A" w:rsidP="00FC494A">
            <w:pPr>
              <w:spacing w:after="0" w:line="240" w:lineRule="auto"/>
              <w:rPr>
                <w:rFonts w:ascii="Arial" w:eastAsia="Times New Roman" w:hAnsi="Arial" w:cs="Arial"/>
                <w:b/>
                <w:bCs/>
                <w:color w:val="000000"/>
                <w:sz w:val="20"/>
                <w:szCs w:val="20"/>
                <w:lang w:val="es-EC" w:eastAsia="es-EC"/>
              </w:rPr>
            </w:pPr>
            <w:r w:rsidRPr="00F85253">
              <w:rPr>
                <w:rFonts w:ascii="Arial" w:eastAsia="Times New Roman" w:hAnsi="Arial" w:cs="Arial"/>
                <w:b/>
                <w:bCs/>
                <w:color w:val="000000"/>
                <w:sz w:val="20"/>
                <w:szCs w:val="20"/>
                <w:lang w:val="es-EC" w:eastAsia="es-EC"/>
              </w:rPr>
              <w:t>Comp. 2</w:t>
            </w:r>
          </w:p>
        </w:tc>
        <w:tc>
          <w:tcPr>
            <w:tcW w:w="6426" w:type="dxa"/>
            <w:tcBorders>
              <w:top w:val="nil"/>
              <w:left w:val="nil"/>
              <w:bottom w:val="single" w:sz="4" w:space="0" w:color="auto"/>
              <w:right w:val="single" w:sz="4" w:space="0" w:color="auto"/>
            </w:tcBorders>
            <w:shd w:val="clear" w:color="000000" w:fill="FFFFFF"/>
            <w:noWrap/>
            <w:vAlign w:val="bottom"/>
            <w:hideMark/>
          </w:tcPr>
          <w:p w14:paraId="6A3D7395" w14:textId="65E6E414" w:rsidR="00FC494A" w:rsidRPr="00F85253" w:rsidRDefault="00FC494A" w:rsidP="00A77281">
            <w:pPr>
              <w:spacing w:after="0" w:line="240" w:lineRule="auto"/>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Optimización cartera EEPP (excepto desvinculaciones*)</w:t>
            </w:r>
          </w:p>
        </w:tc>
        <w:tc>
          <w:tcPr>
            <w:tcW w:w="1275" w:type="dxa"/>
            <w:tcBorders>
              <w:top w:val="nil"/>
              <w:left w:val="nil"/>
              <w:bottom w:val="single" w:sz="4" w:space="0" w:color="auto"/>
              <w:right w:val="single" w:sz="4" w:space="0" w:color="auto"/>
            </w:tcBorders>
            <w:shd w:val="clear" w:color="000000" w:fill="FFFFFF"/>
            <w:noWrap/>
            <w:vAlign w:val="bottom"/>
            <w:hideMark/>
          </w:tcPr>
          <w:p w14:paraId="52880AB2" w14:textId="77777777" w:rsidR="00FC494A" w:rsidRPr="00F85253" w:rsidRDefault="00FC494A" w:rsidP="00FC494A">
            <w:pPr>
              <w:spacing w:after="0" w:line="240" w:lineRule="auto"/>
              <w:jc w:val="right"/>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 xml:space="preserve">         24.82 </w:t>
            </w:r>
          </w:p>
        </w:tc>
        <w:tc>
          <w:tcPr>
            <w:tcW w:w="1134" w:type="dxa"/>
            <w:tcBorders>
              <w:top w:val="nil"/>
              <w:left w:val="nil"/>
              <w:bottom w:val="single" w:sz="4" w:space="0" w:color="auto"/>
              <w:right w:val="single" w:sz="4" w:space="0" w:color="auto"/>
            </w:tcBorders>
            <w:shd w:val="clear" w:color="000000" w:fill="FFFFFF"/>
            <w:noWrap/>
            <w:vAlign w:val="bottom"/>
            <w:hideMark/>
          </w:tcPr>
          <w:p w14:paraId="480F3A43" w14:textId="77777777" w:rsidR="00FC494A" w:rsidRPr="00F85253" w:rsidRDefault="00FC494A" w:rsidP="00FC494A">
            <w:pPr>
              <w:spacing w:after="0" w:line="240" w:lineRule="auto"/>
              <w:jc w:val="right"/>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 xml:space="preserve">       20.81 </w:t>
            </w:r>
          </w:p>
        </w:tc>
      </w:tr>
      <w:tr w:rsidR="00FC494A" w:rsidRPr="00F85253" w14:paraId="3DB81B57" w14:textId="77777777" w:rsidTr="00FC494A">
        <w:trPr>
          <w:trHeight w:val="300"/>
        </w:trPr>
        <w:tc>
          <w:tcPr>
            <w:tcW w:w="946" w:type="dxa"/>
            <w:vMerge/>
            <w:tcBorders>
              <w:top w:val="nil"/>
              <w:left w:val="single" w:sz="4" w:space="0" w:color="auto"/>
              <w:bottom w:val="single" w:sz="4" w:space="0" w:color="auto"/>
              <w:right w:val="single" w:sz="4" w:space="0" w:color="auto"/>
            </w:tcBorders>
            <w:vAlign w:val="center"/>
            <w:hideMark/>
          </w:tcPr>
          <w:p w14:paraId="6F119F3E" w14:textId="77777777" w:rsidR="00FC494A" w:rsidRPr="00F85253" w:rsidRDefault="00FC494A" w:rsidP="00FC494A">
            <w:pPr>
              <w:spacing w:after="0" w:line="240" w:lineRule="auto"/>
              <w:rPr>
                <w:rFonts w:ascii="Arial" w:eastAsia="Times New Roman" w:hAnsi="Arial" w:cs="Arial"/>
                <w:b/>
                <w:bCs/>
                <w:color w:val="000000"/>
                <w:sz w:val="20"/>
                <w:szCs w:val="20"/>
                <w:lang w:val="es-EC" w:eastAsia="es-EC"/>
              </w:rPr>
            </w:pPr>
          </w:p>
        </w:tc>
        <w:tc>
          <w:tcPr>
            <w:tcW w:w="6426" w:type="dxa"/>
            <w:tcBorders>
              <w:top w:val="nil"/>
              <w:left w:val="nil"/>
              <w:bottom w:val="single" w:sz="4" w:space="0" w:color="auto"/>
              <w:right w:val="single" w:sz="4" w:space="0" w:color="auto"/>
            </w:tcBorders>
            <w:shd w:val="clear" w:color="000000" w:fill="FFFFFF"/>
            <w:noWrap/>
            <w:vAlign w:val="bottom"/>
            <w:hideMark/>
          </w:tcPr>
          <w:p w14:paraId="12170E2E" w14:textId="60C4FE09" w:rsidR="00FC494A" w:rsidRPr="00F85253" w:rsidRDefault="00FC494A" w:rsidP="00A77281">
            <w:pPr>
              <w:spacing w:after="0" w:line="240" w:lineRule="auto"/>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Optimización cartera EEPP (desvinculaciones)</w:t>
            </w:r>
          </w:p>
        </w:tc>
        <w:tc>
          <w:tcPr>
            <w:tcW w:w="1275" w:type="dxa"/>
            <w:tcBorders>
              <w:top w:val="nil"/>
              <w:left w:val="nil"/>
              <w:bottom w:val="single" w:sz="4" w:space="0" w:color="auto"/>
              <w:right w:val="single" w:sz="4" w:space="0" w:color="auto"/>
            </w:tcBorders>
            <w:shd w:val="clear" w:color="000000" w:fill="FFFFFF"/>
            <w:noWrap/>
            <w:vAlign w:val="bottom"/>
            <w:hideMark/>
          </w:tcPr>
          <w:p w14:paraId="1987A98B" w14:textId="77777777" w:rsidR="00FC494A" w:rsidRPr="00F85253" w:rsidRDefault="00FC494A" w:rsidP="00FC494A">
            <w:pPr>
              <w:spacing w:after="0" w:line="240" w:lineRule="auto"/>
              <w:jc w:val="right"/>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 xml:space="preserve">         43.00 </w:t>
            </w:r>
          </w:p>
        </w:tc>
        <w:tc>
          <w:tcPr>
            <w:tcW w:w="1134" w:type="dxa"/>
            <w:tcBorders>
              <w:top w:val="nil"/>
              <w:left w:val="nil"/>
              <w:bottom w:val="single" w:sz="4" w:space="0" w:color="auto"/>
              <w:right w:val="single" w:sz="4" w:space="0" w:color="auto"/>
            </w:tcBorders>
            <w:shd w:val="clear" w:color="000000" w:fill="FFFFFF"/>
            <w:noWrap/>
            <w:vAlign w:val="bottom"/>
            <w:hideMark/>
          </w:tcPr>
          <w:p w14:paraId="04800122" w14:textId="77777777" w:rsidR="00FC494A" w:rsidRPr="00F85253" w:rsidRDefault="00FC494A" w:rsidP="00FC494A">
            <w:pPr>
              <w:spacing w:after="0" w:line="240" w:lineRule="auto"/>
              <w:jc w:val="right"/>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 xml:space="preserve">       34.92 </w:t>
            </w:r>
          </w:p>
        </w:tc>
      </w:tr>
      <w:tr w:rsidR="00FC494A" w:rsidRPr="00F85253" w14:paraId="6B06661C" w14:textId="77777777" w:rsidTr="00FC494A">
        <w:trPr>
          <w:trHeight w:val="300"/>
        </w:trPr>
        <w:tc>
          <w:tcPr>
            <w:tcW w:w="946" w:type="dxa"/>
            <w:tcBorders>
              <w:top w:val="nil"/>
              <w:left w:val="single" w:sz="4" w:space="0" w:color="auto"/>
              <w:bottom w:val="single" w:sz="4" w:space="0" w:color="auto"/>
              <w:right w:val="single" w:sz="4" w:space="0" w:color="auto"/>
            </w:tcBorders>
            <w:shd w:val="clear" w:color="auto" w:fill="auto"/>
            <w:noWrap/>
            <w:vAlign w:val="center"/>
            <w:hideMark/>
          </w:tcPr>
          <w:p w14:paraId="5AFDB5F7" w14:textId="77777777" w:rsidR="00FC494A" w:rsidRPr="00F85253" w:rsidRDefault="00FC494A" w:rsidP="00FC494A">
            <w:pPr>
              <w:spacing w:after="0" w:line="240" w:lineRule="auto"/>
              <w:rPr>
                <w:rFonts w:ascii="Arial" w:eastAsia="Times New Roman" w:hAnsi="Arial" w:cs="Arial"/>
                <w:b/>
                <w:bCs/>
                <w:color w:val="000000"/>
                <w:sz w:val="20"/>
                <w:szCs w:val="20"/>
                <w:lang w:val="es-EC" w:eastAsia="es-EC"/>
              </w:rPr>
            </w:pPr>
            <w:r w:rsidRPr="00F85253">
              <w:rPr>
                <w:rFonts w:ascii="Arial" w:eastAsia="Times New Roman" w:hAnsi="Arial" w:cs="Arial"/>
                <w:b/>
                <w:bCs/>
                <w:color w:val="000000"/>
                <w:sz w:val="20"/>
                <w:szCs w:val="20"/>
                <w:lang w:val="es-EC" w:eastAsia="es-EC"/>
              </w:rPr>
              <w:t>Comp. 1</w:t>
            </w:r>
          </w:p>
        </w:tc>
        <w:tc>
          <w:tcPr>
            <w:tcW w:w="6426" w:type="dxa"/>
            <w:tcBorders>
              <w:top w:val="nil"/>
              <w:left w:val="nil"/>
              <w:bottom w:val="single" w:sz="4" w:space="0" w:color="auto"/>
              <w:right w:val="single" w:sz="4" w:space="0" w:color="auto"/>
            </w:tcBorders>
            <w:shd w:val="clear" w:color="000000" w:fill="FFFFFF"/>
            <w:noWrap/>
            <w:vAlign w:val="bottom"/>
            <w:hideMark/>
          </w:tcPr>
          <w:p w14:paraId="523AAB02" w14:textId="77777777" w:rsidR="00FC494A" w:rsidRPr="00F85253" w:rsidRDefault="00FC494A" w:rsidP="00FC494A">
            <w:pPr>
              <w:spacing w:after="0" w:line="240" w:lineRule="auto"/>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Fortalecimiento del Marco de Gobernanza Corporativa</w:t>
            </w:r>
          </w:p>
        </w:tc>
        <w:tc>
          <w:tcPr>
            <w:tcW w:w="1275" w:type="dxa"/>
            <w:tcBorders>
              <w:top w:val="nil"/>
              <w:left w:val="nil"/>
              <w:bottom w:val="single" w:sz="4" w:space="0" w:color="auto"/>
              <w:right w:val="single" w:sz="4" w:space="0" w:color="auto"/>
            </w:tcBorders>
            <w:shd w:val="clear" w:color="000000" w:fill="FFFFFF"/>
            <w:noWrap/>
            <w:vAlign w:val="bottom"/>
            <w:hideMark/>
          </w:tcPr>
          <w:p w14:paraId="2FBF433E" w14:textId="77777777" w:rsidR="00FC494A" w:rsidRPr="00F85253" w:rsidRDefault="00FC494A" w:rsidP="00FC494A">
            <w:pPr>
              <w:spacing w:after="0" w:line="240" w:lineRule="auto"/>
              <w:jc w:val="right"/>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 xml:space="preserve">           4.11 </w:t>
            </w:r>
          </w:p>
        </w:tc>
        <w:tc>
          <w:tcPr>
            <w:tcW w:w="1134" w:type="dxa"/>
            <w:tcBorders>
              <w:top w:val="nil"/>
              <w:left w:val="nil"/>
              <w:bottom w:val="single" w:sz="4" w:space="0" w:color="auto"/>
              <w:right w:val="single" w:sz="4" w:space="0" w:color="auto"/>
            </w:tcBorders>
            <w:shd w:val="clear" w:color="000000" w:fill="FFFFFF"/>
            <w:noWrap/>
            <w:vAlign w:val="bottom"/>
            <w:hideMark/>
          </w:tcPr>
          <w:p w14:paraId="5783815B" w14:textId="77777777" w:rsidR="00FC494A" w:rsidRPr="00F85253" w:rsidRDefault="00FC494A" w:rsidP="00FC494A">
            <w:pPr>
              <w:spacing w:after="0" w:line="240" w:lineRule="auto"/>
              <w:jc w:val="right"/>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 xml:space="preserve">         3.45 </w:t>
            </w:r>
          </w:p>
        </w:tc>
      </w:tr>
      <w:tr w:rsidR="00FC494A" w:rsidRPr="00F85253" w14:paraId="27456AC8" w14:textId="77777777" w:rsidTr="00FC494A">
        <w:trPr>
          <w:trHeight w:val="300"/>
        </w:trPr>
        <w:tc>
          <w:tcPr>
            <w:tcW w:w="946" w:type="dxa"/>
            <w:tcBorders>
              <w:top w:val="nil"/>
              <w:left w:val="single" w:sz="4" w:space="0" w:color="auto"/>
              <w:bottom w:val="single" w:sz="4" w:space="0" w:color="auto"/>
              <w:right w:val="single" w:sz="4" w:space="0" w:color="auto"/>
            </w:tcBorders>
            <w:shd w:val="clear" w:color="auto" w:fill="auto"/>
            <w:noWrap/>
            <w:vAlign w:val="center"/>
            <w:hideMark/>
          </w:tcPr>
          <w:p w14:paraId="6F882925" w14:textId="7B7B371E" w:rsidR="00FC494A" w:rsidRPr="00F85253" w:rsidRDefault="00FC494A" w:rsidP="00FC494A">
            <w:pPr>
              <w:spacing w:after="0" w:line="240" w:lineRule="auto"/>
              <w:rPr>
                <w:rFonts w:ascii="Arial" w:eastAsia="Times New Roman" w:hAnsi="Arial" w:cs="Arial"/>
                <w:b/>
                <w:bCs/>
                <w:color w:val="000000"/>
                <w:sz w:val="20"/>
                <w:szCs w:val="20"/>
                <w:lang w:val="es-EC" w:eastAsia="es-EC"/>
              </w:rPr>
            </w:pPr>
            <w:r w:rsidRPr="00F85253">
              <w:rPr>
                <w:rFonts w:ascii="Arial" w:eastAsia="Times New Roman" w:hAnsi="Arial" w:cs="Arial"/>
                <w:b/>
                <w:bCs/>
                <w:color w:val="000000"/>
                <w:sz w:val="20"/>
                <w:szCs w:val="20"/>
                <w:lang w:val="es-EC" w:eastAsia="es-EC"/>
              </w:rPr>
              <w:t>Adm.</w:t>
            </w:r>
          </w:p>
        </w:tc>
        <w:tc>
          <w:tcPr>
            <w:tcW w:w="6426" w:type="dxa"/>
            <w:tcBorders>
              <w:top w:val="nil"/>
              <w:left w:val="nil"/>
              <w:bottom w:val="single" w:sz="4" w:space="0" w:color="auto"/>
              <w:right w:val="single" w:sz="4" w:space="0" w:color="auto"/>
            </w:tcBorders>
            <w:shd w:val="clear" w:color="000000" w:fill="FFFFFF"/>
            <w:noWrap/>
            <w:vAlign w:val="bottom"/>
            <w:hideMark/>
          </w:tcPr>
          <w:p w14:paraId="559F5CB6" w14:textId="420FAAD9" w:rsidR="00FC494A" w:rsidRPr="00F85253" w:rsidRDefault="00FC494A" w:rsidP="00FC494A">
            <w:pPr>
              <w:spacing w:after="0" w:line="240" w:lineRule="auto"/>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Administración del programa</w:t>
            </w:r>
          </w:p>
        </w:tc>
        <w:tc>
          <w:tcPr>
            <w:tcW w:w="1275" w:type="dxa"/>
            <w:tcBorders>
              <w:top w:val="nil"/>
              <w:left w:val="nil"/>
              <w:bottom w:val="single" w:sz="4" w:space="0" w:color="auto"/>
              <w:right w:val="single" w:sz="4" w:space="0" w:color="auto"/>
            </w:tcBorders>
            <w:shd w:val="clear" w:color="000000" w:fill="FFFFFF"/>
            <w:noWrap/>
            <w:vAlign w:val="bottom"/>
            <w:hideMark/>
          </w:tcPr>
          <w:p w14:paraId="5DB49E16" w14:textId="77777777" w:rsidR="00FC494A" w:rsidRPr="00F85253" w:rsidRDefault="00FC494A" w:rsidP="00FC494A">
            <w:pPr>
              <w:spacing w:after="0" w:line="240" w:lineRule="auto"/>
              <w:jc w:val="right"/>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 xml:space="preserve">           3.07 </w:t>
            </w:r>
          </w:p>
        </w:tc>
        <w:tc>
          <w:tcPr>
            <w:tcW w:w="1134" w:type="dxa"/>
            <w:tcBorders>
              <w:top w:val="nil"/>
              <w:left w:val="nil"/>
              <w:bottom w:val="single" w:sz="4" w:space="0" w:color="auto"/>
              <w:right w:val="single" w:sz="4" w:space="0" w:color="auto"/>
            </w:tcBorders>
            <w:shd w:val="clear" w:color="000000" w:fill="FFFFFF"/>
            <w:noWrap/>
            <w:vAlign w:val="bottom"/>
            <w:hideMark/>
          </w:tcPr>
          <w:p w14:paraId="7521A860" w14:textId="77777777" w:rsidR="00FC494A" w:rsidRPr="00F85253" w:rsidRDefault="00FC494A" w:rsidP="00FC494A">
            <w:pPr>
              <w:spacing w:after="0" w:line="240" w:lineRule="auto"/>
              <w:jc w:val="right"/>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 xml:space="preserve">         2.58 </w:t>
            </w:r>
          </w:p>
        </w:tc>
      </w:tr>
      <w:tr w:rsidR="00FC494A" w:rsidRPr="00F85253" w14:paraId="535EB8D4" w14:textId="77777777" w:rsidTr="00FC494A">
        <w:trPr>
          <w:trHeight w:val="300"/>
        </w:trPr>
        <w:tc>
          <w:tcPr>
            <w:tcW w:w="7372" w:type="dxa"/>
            <w:gridSpan w:val="2"/>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2D1E3088" w14:textId="77777777" w:rsidR="00FC494A" w:rsidRPr="00F85253" w:rsidRDefault="00FC494A" w:rsidP="00FC494A">
            <w:pPr>
              <w:spacing w:after="0" w:line="240" w:lineRule="auto"/>
              <w:jc w:val="center"/>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Total</w:t>
            </w:r>
          </w:p>
        </w:tc>
        <w:tc>
          <w:tcPr>
            <w:tcW w:w="1275" w:type="dxa"/>
            <w:tcBorders>
              <w:top w:val="nil"/>
              <w:left w:val="nil"/>
              <w:bottom w:val="single" w:sz="4" w:space="0" w:color="auto"/>
              <w:right w:val="single" w:sz="4" w:space="0" w:color="auto"/>
            </w:tcBorders>
            <w:shd w:val="clear" w:color="000000" w:fill="F2F2F2"/>
            <w:noWrap/>
            <w:vAlign w:val="bottom"/>
            <w:hideMark/>
          </w:tcPr>
          <w:p w14:paraId="7A389BE2" w14:textId="77777777" w:rsidR="00FC494A" w:rsidRPr="00F85253" w:rsidRDefault="00FC494A" w:rsidP="00FC494A">
            <w:pPr>
              <w:spacing w:after="0" w:line="240" w:lineRule="auto"/>
              <w:jc w:val="right"/>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 xml:space="preserve">         75.00 </w:t>
            </w:r>
          </w:p>
        </w:tc>
        <w:tc>
          <w:tcPr>
            <w:tcW w:w="1134" w:type="dxa"/>
            <w:tcBorders>
              <w:top w:val="nil"/>
              <w:left w:val="nil"/>
              <w:bottom w:val="single" w:sz="4" w:space="0" w:color="auto"/>
              <w:right w:val="single" w:sz="4" w:space="0" w:color="auto"/>
            </w:tcBorders>
            <w:shd w:val="clear" w:color="000000" w:fill="F2F2F2"/>
            <w:noWrap/>
            <w:vAlign w:val="bottom"/>
            <w:hideMark/>
          </w:tcPr>
          <w:p w14:paraId="68C11C11" w14:textId="77777777" w:rsidR="00FC494A" w:rsidRPr="00F85253" w:rsidRDefault="00FC494A" w:rsidP="00FC494A">
            <w:pPr>
              <w:spacing w:after="0" w:line="240" w:lineRule="auto"/>
              <w:jc w:val="right"/>
              <w:rPr>
                <w:rFonts w:ascii="Arial" w:eastAsia="Times New Roman" w:hAnsi="Arial" w:cs="Arial"/>
                <w:color w:val="000000"/>
                <w:sz w:val="20"/>
                <w:szCs w:val="20"/>
                <w:lang w:val="es-EC" w:eastAsia="es-EC"/>
              </w:rPr>
            </w:pPr>
            <w:r w:rsidRPr="00F85253">
              <w:rPr>
                <w:rFonts w:ascii="Arial" w:eastAsia="Times New Roman" w:hAnsi="Arial" w:cs="Arial"/>
                <w:color w:val="000000"/>
                <w:sz w:val="20"/>
                <w:szCs w:val="20"/>
                <w:lang w:val="es-EC" w:eastAsia="es-EC"/>
              </w:rPr>
              <w:t xml:space="preserve">       61.75 </w:t>
            </w:r>
          </w:p>
        </w:tc>
      </w:tr>
    </w:tbl>
    <w:p w14:paraId="792B814F" w14:textId="77777777" w:rsidR="008D1244" w:rsidRPr="00F85253" w:rsidRDefault="008D1244" w:rsidP="00436A93">
      <w:pPr>
        <w:pStyle w:val="Heading1"/>
        <w:spacing w:before="0" w:after="0" w:line="276" w:lineRule="auto"/>
        <w:jc w:val="both"/>
        <w:rPr>
          <w:rFonts w:cs="Arial"/>
          <w:sz w:val="22"/>
          <w:szCs w:val="22"/>
          <w:lang w:val="es-ES_tradnl"/>
        </w:rPr>
      </w:pPr>
    </w:p>
    <w:p w14:paraId="20143CA2" w14:textId="77777777" w:rsidR="008D1244" w:rsidRPr="00F85253" w:rsidRDefault="008D1244">
      <w:pPr>
        <w:rPr>
          <w:rFonts w:ascii="Arial" w:eastAsia="Times New Roman" w:hAnsi="Arial" w:cs="Arial"/>
          <w:b/>
          <w:kern w:val="28"/>
          <w:lang w:val="es-ES_tradnl"/>
        </w:rPr>
      </w:pPr>
      <w:r w:rsidRPr="00F85253">
        <w:rPr>
          <w:rFonts w:cs="Arial"/>
          <w:lang w:val="es-ES_tradnl"/>
        </w:rPr>
        <w:br w:type="page"/>
      </w:r>
    </w:p>
    <w:p w14:paraId="07AA0F0D" w14:textId="150C9DF3" w:rsidR="00436A93" w:rsidRPr="00F85253" w:rsidRDefault="00891AC2" w:rsidP="00436A93">
      <w:pPr>
        <w:pStyle w:val="Heading1"/>
        <w:spacing w:before="0" w:after="0" w:line="276" w:lineRule="auto"/>
        <w:jc w:val="both"/>
        <w:rPr>
          <w:rFonts w:cs="Arial"/>
          <w:sz w:val="22"/>
          <w:szCs w:val="22"/>
          <w:lang w:val="es-ES_tradnl"/>
        </w:rPr>
      </w:pPr>
      <w:r w:rsidRPr="00F85253">
        <w:rPr>
          <w:rFonts w:cs="Arial"/>
          <w:sz w:val="22"/>
          <w:szCs w:val="22"/>
          <w:lang w:val="es-ES_tradnl"/>
        </w:rPr>
        <w:lastRenderedPageBreak/>
        <w:t xml:space="preserve">ANEXO II – </w:t>
      </w:r>
      <w:r w:rsidR="00436A93" w:rsidRPr="00F85253">
        <w:rPr>
          <w:rFonts w:cs="Arial"/>
          <w:sz w:val="22"/>
          <w:szCs w:val="22"/>
          <w:lang w:val="es-ES_tradnl"/>
        </w:rPr>
        <w:t xml:space="preserve">Estimación de los Beneficios netos, como resultado del fortalecimiento del Marco de Gobernanza Corporativa y fiscal de las </w:t>
      </w:r>
      <w:r w:rsidR="0023565F" w:rsidRPr="00F85253">
        <w:rPr>
          <w:rFonts w:cs="Arial"/>
          <w:sz w:val="22"/>
          <w:szCs w:val="22"/>
          <w:lang w:val="es-ES_tradnl"/>
        </w:rPr>
        <w:t>EEPP</w:t>
      </w:r>
      <w:r w:rsidR="00436A93" w:rsidRPr="00F85253">
        <w:rPr>
          <w:rFonts w:cs="Arial"/>
          <w:sz w:val="22"/>
          <w:szCs w:val="22"/>
          <w:lang w:val="es-ES_tradnl"/>
        </w:rPr>
        <w:t xml:space="preserve"> y de la optimización de la cartera de </w:t>
      </w:r>
      <w:r w:rsidR="0023565F" w:rsidRPr="00F85253">
        <w:rPr>
          <w:rFonts w:cs="Arial"/>
          <w:sz w:val="22"/>
          <w:szCs w:val="22"/>
          <w:lang w:val="es-ES_tradnl"/>
        </w:rPr>
        <w:t>EEPP</w:t>
      </w:r>
      <w:r w:rsidR="00436A93" w:rsidRPr="00F85253">
        <w:rPr>
          <w:rFonts w:cs="Arial"/>
          <w:sz w:val="22"/>
          <w:szCs w:val="22"/>
          <w:lang w:val="es-ES_tradnl"/>
        </w:rPr>
        <w:t xml:space="preserve"> </w:t>
      </w:r>
    </w:p>
    <w:p w14:paraId="221024BD" w14:textId="77777777" w:rsidR="00D665D8" w:rsidRPr="00F85253" w:rsidRDefault="00D665D8" w:rsidP="000B2BC8">
      <w:pPr>
        <w:pStyle w:val="Paragraph"/>
        <w:spacing w:before="0" w:after="0" w:line="276" w:lineRule="auto"/>
        <w:ind w:left="709"/>
        <w:outlineLvl w:val="9"/>
        <w:rPr>
          <w:rFonts w:ascii="Arial" w:hAnsi="Arial" w:cs="Arial"/>
          <w:sz w:val="22"/>
          <w:szCs w:val="22"/>
          <w:lang w:val="es-ES_tradnl"/>
        </w:rPr>
      </w:pPr>
    </w:p>
    <w:p w14:paraId="605E3748" w14:textId="4B8EA48B" w:rsidR="00B35F4E" w:rsidRPr="00F85253" w:rsidRDefault="00272B89" w:rsidP="00B35F4E">
      <w:pPr>
        <w:pStyle w:val="Paragraph"/>
        <w:numPr>
          <w:ilvl w:val="1"/>
          <w:numId w:val="31"/>
        </w:numPr>
        <w:tabs>
          <w:tab w:val="num" w:pos="1800"/>
          <w:tab w:val="num" w:pos="2196"/>
        </w:tabs>
        <w:spacing w:before="0" w:after="0" w:line="276" w:lineRule="auto"/>
        <w:ind w:left="709" w:hanging="709"/>
        <w:outlineLvl w:val="9"/>
        <w:rPr>
          <w:rFonts w:ascii="Arial" w:hAnsi="Arial" w:cs="Arial"/>
          <w:sz w:val="22"/>
          <w:szCs w:val="22"/>
          <w:lang w:val="es-ES_tradnl"/>
        </w:rPr>
      </w:pPr>
      <w:r w:rsidRPr="00F85253">
        <w:rPr>
          <w:rFonts w:ascii="Arial" w:hAnsi="Arial" w:cs="Arial"/>
          <w:b/>
          <w:sz w:val="22"/>
          <w:szCs w:val="22"/>
          <w:lang w:val="es-ES_tradnl"/>
        </w:rPr>
        <w:t>El e</w:t>
      </w:r>
      <w:r w:rsidR="00891AC2" w:rsidRPr="00F85253">
        <w:rPr>
          <w:rFonts w:ascii="Arial" w:hAnsi="Arial" w:cs="Arial"/>
          <w:b/>
          <w:sz w:val="22"/>
          <w:szCs w:val="22"/>
          <w:lang w:val="es-ES_tradnl"/>
        </w:rPr>
        <w:t>scenario</w:t>
      </w:r>
      <w:r w:rsidR="00753CF1" w:rsidRPr="00F85253">
        <w:rPr>
          <w:rFonts w:ascii="Arial" w:hAnsi="Arial" w:cs="Arial"/>
          <w:b/>
          <w:sz w:val="22"/>
          <w:szCs w:val="22"/>
          <w:lang w:val="es-ES_tradnl"/>
        </w:rPr>
        <w:t xml:space="preserve"> </w:t>
      </w:r>
      <w:r w:rsidR="0038426D" w:rsidRPr="00F85253">
        <w:rPr>
          <w:rFonts w:ascii="Arial" w:hAnsi="Arial" w:cs="Arial"/>
          <w:b/>
          <w:sz w:val="22"/>
          <w:szCs w:val="22"/>
          <w:lang w:val="es-ES_tradnl"/>
        </w:rPr>
        <w:t>incluye el monto de</w:t>
      </w:r>
      <w:r w:rsidR="00753CF1" w:rsidRPr="00F85253">
        <w:rPr>
          <w:rFonts w:ascii="Arial" w:hAnsi="Arial" w:cs="Arial"/>
          <w:b/>
          <w:sz w:val="22"/>
          <w:szCs w:val="22"/>
          <w:lang w:val="es-ES_tradnl"/>
        </w:rPr>
        <w:t xml:space="preserve"> inversión</w:t>
      </w:r>
      <w:r w:rsidR="0038426D" w:rsidRPr="00F85253">
        <w:rPr>
          <w:rFonts w:ascii="Arial" w:hAnsi="Arial" w:cs="Arial"/>
          <w:b/>
          <w:sz w:val="22"/>
          <w:szCs w:val="22"/>
          <w:lang w:val="es-ES_tradnl"/>
        </w:rPr>
        <w:t xml:space="preserve"> realizado por</w:t>
      </w:r>
      <w:r w:rsidR="00753CF1" w:rsidRPr="00F85253">
        <w:rPr>
          <w:rFonts w:ascii="Arial" w:hAnsi="Arial" w:cs="Arial"/>
          <w:b/>
          <w:sz w:val="22"/>
          <w:szCs w:val="22"/>
          <w:lang w:val="es-ES_tradnl"/>
        </w:rPr>
        <w:t xml:space="preserve"> MEF</w:t>
      </w:r>
      <w:r w:rsidR="00753CF1" w:rsidRPr="00F85253">
        <w:rPr>
          <w:rStyle w:val="FootnoteReference"/>
          <w:rFonts w:ascii="Arial" w:hAnsi="Arial" w:cs="Arial"/>
          <w:b/>
          <w:sz w:val="22"/>
          <w:szCs w:val="22"/>
          <w:lang w:val="es-ES_tradnl"/>
        </w:rPr>
        <w:footnoteReference w:id="58"/>
      </w:r>
      <w:r w:rsidRPr="00F85253">
        <w:rPr>
          <w:rFonts w:ascii="Arial" w:hAnsi="Arial" w:cs="Arial"/>
          <w:b/>
          <w:sz w:val="22"/>
          <w:szCs w:val="22"/>
          <w:lang w:val="es-ES_tradnl"/>
        </w:rPr>
        <w:t xml:space="preserve"> en el eje de desvinculaciones</w:t>
      </w:r>
      <w:r w:rsidR="00891AC2" w:rsidRPr="00F85253">
        <w:rPr>
          <w:rFonts w:ascii="Arial" w:hAnsi="Arial" w:cs="Arial"/>
          <w:sz w:val="22"/>
          <w:szCs w:val="22"/>
          <w:lang w:val="es-ES_tradnl"/>
        </w:rPr>
        <w:t xml:space="preserve">: </w:t>
      </w:r>
      <w:r w:rsidR="00753CF1" w:rsidRPr="00F85253">
        <w:rPr>
          <w:rFonts w:ascii="Arial" w:hAnsi="Arial" w:cs="Arial"/>
          <w:sz w:val="22"/>
          <w:szCs w:val="22"/>
          <w:lang w:val="es-ES_tradnl"/>
        </w:rPr>
        <w:t xml:space="preserve">Este escenario considera, además de los valores asociados al préstamo del BID, el monto, en la implementación del programa, cubierto por el Ministerio de Economía y Finanzas. </w:t>
      </w:r>
    </w:p>
    <w:p w14:paraId="197BB015" w14:textId="77777777" w:rsidR="00D665D8" w:rsidRPr="00F85253" w:rsidRDefault="00D665D8" w:rsidP="000B2BC8">
      <w:pPr>
        <w:pStyle w:val="Paragraph"/>
        <w:spacing w:before="0" w:after="0" w:line="276" w:lineRule="auto"/>
        <w:ind w:left="709"/>
        <w:outlineLvl w:val="9"/>
        <w:rPr>
          <w:rFonts w:ascii="Arial" w:hAnsi="Arial" w:cs="Arial"/>
          <w:sz w:val="22"/>
          <w:szCs w:val="22"/>
          <w:lang w:val="es-ES_tradnl"/>
        </w:rPr>
      </w:pPr>
    </w:p>
    <w:p w14:paraId="391ED0D3" w14:textId="67C4DBBA" w:rsidR="00B35F4E" w:rsidRPr="00F85253" w:rsidRDefault="00891AC2" w:rsidP="00B35F4E">
      <w:pPr>
        <w:pStyle w:val="Paragraph"/>
        <w:numPr>
          <w:ilvl w:val="1"/>
          <w:numId w:val="31"/>
        </w:numPr>
        <w:tabs>
          <w:tab w:val="num" w:pos="1800"/>
          <w:tab w:val="num" w:pos="2196"/>
        </w:tabs>
        <w:spacing w:before="0" w:after="0" w:line="276" w:lineRule="auto"/>
        <w:ind w:left="709" w:hanging="709"/>
        <w:outlineLvl w:val="9"/>
        <w:rPr>
          <w:rFonts w:ascii="Arial" w:hAnsi="Arial" w:cs="Arial"/>
          <w:sz w:val="22"/>
          <w:szCs w:val="22"/>
          <w:lang w:val="es-ES_tradnl"/>
        </w:rPr>
      </w:pPr>
      <w:r w:rsidRPr="00F85253">
        <w:rPr>
          <w:rFonts w:ascii="Arial" w:hAnsi="Arial" w:cs="Arial"/>
          <w:sz w:val="22"/>
          <w:szCs w:val="22"/>
          <w:lang w:val="es-ES_tradnl"/>
        </w:rPr>
        <w:t xml:space="preserve">En la tabla </w:t>
      </w:r>
      <w:r w:rsidR="00991826" w:rsidRPr="00F85253">
        <w:rPr>
          <w:rFonts w:ascii="Arial" w:hAnsi="Arial" w:cs="Arial"/>
          <w:sz w:val="22"/>
          <w:szCs w:val="22"/>
          <w:lang w:val="es-ES_tradnl"/>
        </w:rPr>
        <w:t>6</w:t>
      </w:r>
      <w:r w:rsidRPr="00F85253">
        <w:rPr>
          <w:rFonts w:ascii="Arial" w:hAnsi="Arial" w:cs="Arial"/>
          <w:sz w:val="22"/>
          <w:szCs w:val="22"/>
          <w:lang w:val="es-ES_tradnl"/>
        </w:rPr>
        <w:t>, l</w:t>
      </w:r>
      <w:r w:rsidRPr="00F85253">
        <w:rPr>
          <w:rFonts w:ascii="Arial" w:hAnsi="Arial" w:cs="Arial"/>
          <w:color w:val="000000"/>
          <w:sz w:val="22"/>
          <w:szCs w:val="22"/>
          <w:lang w:val="es-ES_tradnl"/>
        </w:rPr>
        <w:t xml:space="preserve">a columna 1 presenta la descripción de los ítems a ser tomados en cuenta, tanto en los beneficios como costos económicos del programa. La columna 2 presenta los montos o valores respectivos de cada ítem. </w:t>
      </w:r>
      <w:r w:rsidRPr="00F85253">
        <w:rPr>
          <w:rFonts w:ascii="Arial" w:hAnsi="Arial" w:cs="Arial"/>
          <w:sz w:val="22"/>
          <w:szCs w:val="22"/>
          <w:lang w:val="es-ES_tradnl"/>
        </w:rPr>
        <w:t xml:space="preserve">Las demás columnas representan un período de 10 años, en los cuales los montos del programa son distribuidos, en función de los plazos definidos para la ejecución del programa y los beneficios esperados. </w:t>
      </w:r>
    </w:p>
    <w:p w14:paraId="6E3DF528" w14:textId="77777777" w:rsidR="00D665D8" w:rsidRPr="00F85253" w:rsidRDefault="00D665D8" w:rsidP="000B2BC8">
      <w:pPr>
        <w:pStyle w:val="Paragraph"/>
        <w:spacing w:before="0" w:after="0" w:line="276" w:lineRule="auto"/>
        <w:ind w:left="709"/>
        <w:outlineLvl w:val="9"/>
        <w:rPr>
          <w:rFonts w:ascii="Arial" w:hAnsi="Arial" w:cs="Arial"/>
          <w:sz w:val="22"/>
          <w:szCs w:val="22"/>
          <w:lang w:val="es-ES_tradnl"/>
        </w:rPr>
      </w:pPr>
    </w:p>
    <w:p w14:paraId="59F2FCCF" w14:textId="3EB97BB3" w:rsidR="00B35F4E" w:rsidRPr="00F85253" w:rsidRDefault="00891AC2" w:rsidP="00070CAD">
      <w:pPr>
        <w:pStyle w:val="Paragraph"/>
        <w:numPr>
          <w:ilvl w:val="1"/>
          <w:numId w:val="31"/>
        </w:numPr>
        <w:tabs>
          <w:tab w:val="num" w:pos="1800"/>
          <w:tab w:val="num" w:pos="2196"/>
        </w:tabs>
        <w:spacing w:before="0" w:after="0" w:line="276" w:lineRule="auto"/>
        <w:ind w:left="709" w:hanging="709"/>
        <w:outlineLvl w:val="9"/>
        <w:rPr>
          <w:rFonts w:ascii="Arial" w:hAnsi="Arial" w:cs="Arial"/>
          <w:sz w:val="22"/>
          <w:szCs w:val="22"/>
          <w:lang w:val="es-ES_tradnl"/>
        </w:rPr>
      </w:pPr>
      <w:r w:rsidRPr="00F85253">
        <w:rPr>
          <w:rFonts w:ascii="Arial" w:hAnsi="Arial" w:cs="Arial"/>
          <w:sz w:val="22"/>
          <w:szCs w:val="22"/>
          <w:lang w:val="es-ES_tradnl"/>
        </w:rPr>
        <w:t xml:space="preserve">Los beneficios económicos consideran los ahorros generados por eficiencia en la fusión de las petroleras, mayor transparencia en las </w:t>
      </w:r>
      <w:r w:rsidR="0023565F" w:rsidRPr="00F85253">
        <w:rPr>
          <w:rFonts w:ascii="Arial" w:hAnsi="Arial" w:cs="Arial"/>
          <w:sz w:val="22"/>
          <w:szCs w:val="22"/>
          <w:lang w:val="es-ES_tradnl"/>
        </w:rPr>
        <w:t>EEPP</w:t>
      </w:r>
      <w:r w:rsidRPr="00F85253">
        <w:rPr>
          <w:rFonts w:ascii="Arial" w:hAnsi="Arial" w:cs="Arial"/>
          <w:sz w:val="22"/>
          <w:szCs w:val="22"/>
          <w:lang w:val="es-ES_tradnl"/>
        </w:rPr>
        <w:t xml:space="preserve"> y el ahorro por las desvinculaciones. En este escenario, </w:t>
      </w:r>
      <w:r w:rsidRPr="00F85253">
        <w:rPr>
          <w:rFonts w:ascii="Arial" w:hAnsi="Arial" w:cs="Arial"/>
          <w:sz w:val="22"/>
          <w:szCs w:val="22"/>
          <w:u w:val="single"/>
          <w:lang w:val="es-ES_tradnl"/>
        </w:rPr>
        <w:t>el beneficio por las desvinculaciones considera el monto total del ahorro</w:t>
      </w:r>
      <w:r w:rsidRPr="00F85253">
        <w:rPr>
          <w:rFonts w:ascii="Arial" w:hAnsi="Arial" w:cs="Arial"/>
          <w:sz w:val="22"/>
          <w:szCs w:val="22"/>
          <w:lang w:val="es-ES_tradnl"/>
        </w:rPr>
        <w:t xml:space="preserve">, estimado por el Ministerio de Economía y Finanzas. Los costos económicos del proyecto incluyen la inversión, en precios de eficiencia, </w:t>
      </w:r>
      <w:r w:rsidR="00070CAD" w:rsidRPr="00F85253">
        <w:rPr>
          <w:rFonts w:ascii="Arial" w:hAnsi="Arial" w:cs="Arial"/>
          <w:sz w:val="22"/>
          <w:szCs w:val="22"/>
          <w:lang w:val="es-ES_tradnl"/>
        </w:rPr>
        <w:t>en</w:t>
      </w:r>
      <w:r w:rsidR="00EA3DBD" w:rsidRPr="00F85253">
        <w:rPr>
          <w:rFonts w:ascii="Arial" w:hAnsi="Arial" w:cs="Arial"/>
          <w:sz w:val="22"/>
          <w:szCs w:val="22"/>
          <w:lang w:val="es-ES_tradnl"/>
        </w:rPr>
        <w:t>: a)</w:t>
      </w:r>
      <w:r w:rsidR="00070CAD" w:rsidRPr="00F85253">
        <w:rPr>
          <w:rFonts w:ascii="Arial" w:hAnsi="Arial" w:cs="Arial"/>
          <w:sz w:val="22"/>
          <w:szCs w:val="22"/>
          <w:lang w:val="es-ES_tradnl"/>
        </w:rPr>
        <w:t xml:space="preserve"> la optimización de la cartera de </w:t>
      </w:r>
      <w:r w:rsidR="0023565F" w:rsidRPr="00F85253">
        <w:rPr>
          <w:rFonts w:ascii="Arial" w:hAnsi="Arial" w:cs="Arial"/>
          <w:sz w:val="22"/>
          <w:szCs w:val="22"/>
          <w:lang w:val="es-ES_tradnl"/>
        </w:rPr>
        <w:t>EEPP</w:t>
      </w:r>
      <w:r w:rsidR="00070CAD" w:rsidRPr="00F85253">
        <w:rPr>
          <w:rFonts w:ascii="Arial" w:hAnsi="Arial" w:cs="Arial"/>
          <w:sz w:val="22"/>
          <w:szCs w:val="22"/>
          <w:lang w:val="es-ES_tradnl"/>
        </w:rPr>
        <w:t>, el cual abarca la fusión de las petroleras, la optimización de CELEC, CNEL, consultorías para TAME y estrategias de comunicación; ade</w:t>
      </w:r>
      <w:r w:rsidR="00C00F52" w:rsidRPr="00F85253">
        <w:rPr>
          <w:rFonts w:ascii="Arial" w:hAnsi="Arial" w:cs="Arial"/>
          <w:sz w:val="22"/>
          <w:szCs w:val="22"/>
          <w:lang w:val="es-ES_tradnl"/>
        </w:rPr>
        <w:t>más, toma en cuenta el costo de</w:t>
      </w:r>
      <w:r w:rsidR="00070CAD" w:rsidRPr="00F85253">
        <w:rPr>
          <w:rFonts w:ascii="Arial" w:hAnsi="Arial" w:cs="Arial"/>
          <w:sz w:val="22"/>
          <w:szCs w:val="22"/>
          <w:lang w:val="es-ES_tradnl"/>
        </w:rPr>
        <w:t xml:space="preserve"> las desvinculaciones del personal de </w:t>
      </w:r>
      <w:r w:rsidR="008A5C1A" w:rsidRPr="00F85253">
        <w:rPr>
          <w:rFonts w:ascii="Arial" w:hAnsi="Arial" w:cs="Arial"/>
          <w:sz w:val="22"/>
          <w:szCs w:val="22"/>
          <w:lang w:val="es-ES_tradnl"/>
        </w:rPr>
        <w:t>EEPP</w:t>
      </w:r>
      <w:r w:rsidR="00070CAD" w:rsidRPr="00F85253">
        <w:rPr>
          <w:rFonts w:ascii="Arial" w:hAnsi="Arial" w:cs="Arial"/>
          <w:sz w:val="22"/>
          <w:szCs w:val="22"/>
          <w:lang w:val="es-ES_tradnl"/>
        </w:rPr>
        <w:t xml:space="preserve">; </w:t>
      </w:r>
      <w:r w:rsidR="00EA3DBD" w:rsidRPr="00F85253">
        <w:rPr>
          <w:rFonts w:ascii="Arial" w:hAnsi="Arial" w:cs="Arial"/>
          <w:sz w:val="22"/>
          <w:szCs w:val="22"/>
          <w:lang w:val="es-ES_tradnl"/>
        </w:rPr>
        <w:t xml:space="preserve">b) </w:t>
      </w:r>
      <w:r w:rsidR="00070CAD" w:rsidRPr="00F85253">
        <w:rPr>
          <w:rFonts w:ascii="Arial" w:hAnsi="Arial" w:cs="Arial"/>
          <w:sz w:val="22"/>
          <w:szCs w:val="22"/>
          <w:lang w:val="es-ES_tradnl"/>
        </w:rPr>
        <w:t>las actividades para el fortalecimiento del Marco de Gobernanza Corporativa; y,</w:t>
      </w:r>
      <w:r w:rsidR="00EA3DBD" w:rsidRPr="00F85253">
        <w:rPr>
          <w:rFonts w:ascii="Arial" w:hAnsi="Arial" w:cs="Arial"/>
          <w:sz w:val="22"/>
          <w:szCs w:val="22"/>
          <w:lang w:val="es-ES_tradnl"/>
        </w:rPr>
        <w:t xml:space="preserve"> c)</w:t>
      </w:r>
      <w:r w:rsidR="00070CAD" w:rsidRPr="00F85253">
        <w:rPr>
          <w:rFonts w:ascii="Arial" w:hAnsi="Arial" w:cs="Arial"/>
          <w:sz w:val="22"/>
          <w:szCs w:val="22"/>
          <w:lang w:val="es-ES_tradnl"/>
        </w:rPr>
        <w:t xml:space="preserve"> la administración del programa.</w:t>
      </w:r>
      <w:r w:rsidR="00EA3DBD" w:rsidRPr="00F85253">
        <w:rPr>
          <w:rFonts w:ascii="Arial" w:hAnsi="Arial" w:cs="Arial"/>
          <w:sz w:val="22"/>
          <w:szCs w:val="22"/>
          <w:lang w:val="es-ES_tradnl"/>
        </w:rPr>
        <w:t xml:space="preserve"> Así mismo, d) el costo de operación</w:t>
      </w:r>
      <w:r w:rsidR="00AD3721" w:rsidRPr="00F85253">
        <w:rPr>
          <w:rFonts w:ascii="Arial" w:hAnsi="Arial" w:cs="Arial"/>
          <w:sz w:val="22"/>
          <w:szCs w:val="22"/>
          <w:lang w:val="es-ES_tradnl"/>
        </w:rPr>
        <w:t xml:space="preserve"> y mantenimiento -Opex</w:t>
      </w:r>
      <w:r w:rsidR="00EA3DBD" w:rsidRPr="00F85253">
        <w:rPr>
          <w:rFonts w:ascii="Arial" w:hAnsi="Arial" w:cs="Arial"/>
          <w:sz w:val="22"/>
          <w:szCs w:val="22"/>
          <w:lang w:val="es-ES_tradnl"/>
        </w:rPr>
        <w:t>.</w:t>
      </w:r>
      <w:r w:rsidRPr="00F85253">
        <w:rPr>
          <w:rFonts w:ascii="Arial" w:hAnsi="Arial" w:cs="Arial"/>
          <w:sz w:val="22"/>
          <w:szCs w:val="22"/>
          <w:lang w:val="es-ES_tradnl"/>
        </w:rPr>
        <w:t xml:space="preserve"> Este escenario </w:t>
      </w:r>
      <w:r w:rsidRPr="00F85253">
        <w:rPr>
          <w:rFonts w:ascii="Arial" w:hAnsi="Arial" w:cs="Arial"/>
          <w:sz w:val="22"/>
          <w:szCs w:val="22"/>
          <w:u w:val="single"/>
          <w:lang w:val="es-ES_tradnl"/>
        </w:rPr>
        <w:t>toma en cuenta, además de los costos de las compensaciones (cubiertos por el BID), los costos de las liquidaciones</w:t>
      </w:r>
      <w:r w:rsidRPr="00F85253">
        <w:rPr>
          <w:rFonts w:ascii="Arial" w:hAnsi="Arial" w:cs="Arial"/>
          <w:sz w:val="22"/>
          <w:szCs w:val="22"/>
          <w:lang w:val="es-ES_tradnl"/>
        </w:rPr>
        <w:t xml:space="preserve"> (cubiertos por el MEF), de la desvinculación del personal. </w:t>
      </w:r>
    </w:p>
    <w:p w14:paraId="59D98603" w14:textId="77777777" w:rsidR="00D665D8" w:rsidRPr="00F85253" w:rsidRDefault="00D665D8" w:rsidP="000B2BC8">
      <w:pPr>
        <w:pStyle w:val="Paragraph"/>
        <w:spacing w:before="0" w:after="0" w:line="276" w:lineRule="auto"/>
        <w:ind w:left="709"/>
        <w:outlineLvl w:val="9"/>
        <w:rPr>
          <w:rFonts w:ascii="Arial" w:hAnsi="Arial" w:cs="Arial"/>
          <w:sz w:val="22"/>
          <w:szCs w:val="22"/>
          <w:lang w:val="es-ES_tradnl"/>
        </w:rPr>
      </w:pPr>
    </w:p>
    <w:p w14:paraId="08F701C0" w14:textId="360FEB1E" w:rsidR="00B35F4E" w:rsidRPr="00F85253" w:rsidRDefault="00891AC2" w:rsidP="00B35F4E">
      <w:pPr>
        <w:pStyle w:val="Paragraph"/>
        <w:numPr>
          <w:ilvl w:val="1"/>
          <w:numId w:val="31"/>
        </w:numPr>
        <w:tabs>
          <w:tab w:val="num" w:pos="1800"/>
          <w:tab w:val="num" w:pos="2196"/>
        </w:tabs>
        <w:spacing w:before="0" w:after="0" w:line="276" w:lineRule="auto"/>
        <w:ind w:left="709" w:hanging="709"/>
        <w:outlineLvl w:val="9"/>
        <w:rPr>
          <w:rFonts w:ascii="Arial" w:hAnsi="Arial" w:cs="Arial"/>
          <w:sz w:val="22"/>
          <w:szCs w:val="22"/>
          <w:lang w:val="es-ES_tradnl"/>
        </w:rPr>
      </w:pPr>
      <w:r w:rsidRPr="00F85253">
        <w:rPr>
          <w:rFonts w:ascii="Arial" w:hAnsi="Arial" w:cs="Arial"/>
          <w:b/>
          <w:sz w:val="22"/>
          <w:szCs w:val="22"/>
          <w:lang w:val="es-ES_tradnl"/>
        </w:rPr>
        <w:t>Los beneficios</w:t>
      </w:r>
      <w:r w:rsidRPr="00F85253">
        <w:rPr>
          <w:rFonts w:ascii="Arial" w:hAnsi="Arial" w:cs="Arial"/>
          <w:sz w:val="22"/>
          <w:szCs w:val="22"/>
          <w:lang w:val="es-ES_tradnl"/>
        </w:rPr>
        <w:t xml:space="preserve"> del programa se definen como los ahorros, por costos evitados. Al igual que en el escenario</w:t>
      </w:r>
      <w:r w:rsidR="00847B7B" w:rsidRPr="00F85253">
        <w:rPr>
          <w:rFonts w:ascii="Arial" w:hAnsi="Arial" w:cs="Arial"/>
          <w:sz w:val="22"/>
          <w:szCs w:val="22"/>
          <w:lang w:val="es-ES_tradnl"/>
        </w:rPr>
        <w:t xml:space="preserve"> presentado en el tabla 1</w:t>
      </w:r>
      <w:r w:rsidRPr="00F85253">
        <w:rPr>
          <w:rFonts w:ascii="Arial" w:hAnsi="Arial" w:cs="Arial"/>
          <w:sz w:val="22"/>
          <w:szCs w:val="22"/>
          <w:lang w:val="es-ES_tradnl"/>
        </w:rPr>
        <w:t xml:space="preserve">, las cuentas proyectadas de egresos operacionales de sueldos (incluido el aporte del IESS), compra de bienes y servicios; y, egresos de capital, del BCE, al 2028 son utilizadas para estimar los beneficios en los ámbitos mencionados. En el presente escenario, el valor del ahorro por </w:t>
      </w:r>
      <w:proofErr w:type="gramStart"/>
      <w:r w:rsidRPr="00F85253">
        <w:rPr>
          <w:rFonts w:ascii="Arial" w:hAnsi="Arial" w:cs="Arial"/>
          <w:sz w:val="22"/>
          <w:szCs w:val="22"/>
          <w:lang w:val="es-ES_tradnl"/>
        </w:rPr>
        <w:t>desvinculaciones,</w:t>
      </w:r>
      <w:proofErr w:type="gramEnd"/>
      <w:r w:rsidRPr="00F85253">
        <w:rPr>
          <w:rFonts w:ascii="Arial" w:hAnsi="Arial" w:cs="Arial"/>
          <w:sz w:val="22"/>
          <w:szCs w:val="22"/>
          <w:lang w:val="es-ES_tradnl"/>
        </w:rPr>
        <w:t xml:space="preserve"> alcanza USD </w:t>
      </w:r>
      <w:r w:rsidR="006073E4" w:rsidRPr="00F85253">
        <w:rPr>
          <w:rFonts w:ascii="Arial" w:hAnsi="Arial" w:cs="Arial"/>
          <w:sz w:val="22"/>
          <w:szCs w:val="22"/>
          <w:lang w:val="es-ES_tradnl"/>
        </w:rPr>
        <w:t xml:space="preserve">108 </w:t>
      </w:r>
      <w:r w:rsidRPr="00F85253">
        <w:rPr>
          <w:rFonts w:ascii="Arial" w:hAnsi="Arial" w:cs="Arial"/>
          <w:sz w:val="22"/>
          <w:szCs w:val="22"/>
          <w:lang w:val="es-ES_tradnl"/>
        </w:rPr>
        <w:t xml:space="preserve">millones anuales, estimado por el MEF. Los beneficios de la fusión de </w:t>
      </w:r>
      <w:r w:rsidR="0023565F" w:rsidRPr="00F85253">
        <w:rPr>
          <w:rFonts w:ascii="Arial" w:hAnsi="Arial" w:cs="Arial"/>
          <w:sz w:val="22"/>
          <w:szCs w:val="22"/>
          <w:lang w:val="es-ES_tradnl"/>
        </w:rPr>
        <w:t>EEPP</w:t>
      </w:r>
      <w:r w:rsidRPr="00F85253">
        <w:rPr>
          <w:rFonts w:ascii="Arial" w:hAnsi="Arial" w:cs="Arial"/>
          <w:sz w:val="22"/>
          <w:szCs w:val="22"/>
          <w:lang w:val="es-ES_tradnl"/>
        </w:rPr>
        <w:t xml:space="preserve"> petroleras, y de la mejora en transparencia se mantienen iguales al escenario</w:t>
      </w:r>
      <w:r w:rsidR="00847B7B" w:rsidRPr="00F85253">
        <w:rPr>
          <w:rFonts w:ascii="Arial" w:hAnsi="Arial" w:cs="Arial"/>
          <w:sz w:val="22"/>
          <w:szCs w:val="22"/>
          <w:lang w:val="es-ES_tradnl"/>
        </w:rPr>
        <w:t xml:space="preserve"> presentado en el cuerpo del documento</w:t>
      </w:r>
      <w:r w:rsidR="006073E4" w:rsidRPr="00F85253">
        <w:rPr>
          <w:rFonts w:ascii="Arial" w:hAnsi="Arial" w:cs="Arial"/>
          <w:sz w:val="22"/>
          <w:szCs w:val="22"/>
          <w:lang w:val="es-ES_tradnl"/>
        </w:rPr>
        <w:t xml:space="preserve"> (tabla 1)</w:t>
      </w:r>
      <w:r w:rsidRPr="00F85253">
        <w:rPr>
          <w:rFonts w:ascii="Arial" w:hAnsi="Arial" w:cs="Arial"/>
          <w:sz w:val="22"/>
          <w:szCs w:val="22"/>
          <w:lang w:val="es-ES_tradnl"/>
        </w:rPr>
        <w:t xml:space="preserve">. </w:t>
      </w:r>
    </w:p>
    <w:p w14:paraId="070AE25E" w14:textId="77777777" w:rsidR="00D665D8" w:rsidRPr="00F85253" w:rsidRDefault="00D665D8" w:rsidP="000B2BC8">
      <w:pPr>
        <w:pStyle w:val="Paragraph"/>
        <w:spacing w:before="0" w:after="0" w:line="276" w:lineRule="auto"/>
        <w:ind w:left="709"/>
        <w:outlineLvl w:val="9"/>
        <w:rPr>
          <w:rFonts w:ascii="Arial" w:hAnsi="Arial" w:cs="Arial"/>
          <w:sz w:val="22"/>
          <w:szCs w:val="22"/>
          <w:lang w:val="es-ES_tradnl"/>
        </w:rPr>
      </w:pPr>
    </w:p>
    <w:p w14:paraId="479AEBCB" w14:textId="0551B8BA" w:rsidR="00B35F4E" w:rsidRPr="00F85253" w:rsidRDefault="00891AC2" w:rsidP="008136F6">
      <w:pPr>
        <w:pStyle w:val="Paragraph"/>
        <w:numPr>
          <w:ilvl w:val="1"/>
          <w:numId w:val="31"/>
        </w:numPr>
        <w:tabs>
          <w:tab w:val="num" w:pos="1800"/>
          <w:tab w:val="num" w:pos="2196"/>
        </w:tabs>
        <w:spacing w:before="0" w:after="0" w:line="276" w:lineRule="auto"/>
        <w:ind w:left="709" w:hanging="709"/>
        <w:outlineLvl w:val="9"/>
        <w:rPr>
          <w:rFonts w:ascii="Arial" w:hAnsi="Arial" w:cs="Arial"/>
          <w:sz w:val="22"/>
          <w:szCs w:val="22"/>
          <w:lang w:val="es-ES_tradnl"/>
        </w:rPr>
      </w:pPr>
      <w:r w:rsidRPr="00F85253">
        <w:rPr>
          <w:rFonts w:ascii="Arial" w:hAnsi="Arial" w:cs="Arial"/>
          <w:b/>
          <w:sz w:val="22"/>
          <w:szCs w:val="22"/>
          <w:lang w:val="es-ES_tradnl"/>
        </w:rPr>
        <w:lastRenderedPageBreak/>
        <w:t xml:space="preserve">Los costos </w:t>
      </w:r>
      <w:r w:rsidRPr="00F85253">
        <w:rPr>
          <w:rFonts w:ascii="Arial" w:hAnsi="Arial" w:cs="Arial"/>
          <w:sz w:val="22"/>
          <w:szCs w:val="22"/>
          <w:lang w:val="es-ES_tradnl"/>
        </w:rPr>
        <w:t xml:space="preserve">económicos toman en cuenta el gasto en capital -Capex y los gastos de operación -Opex del programa, en precios de eficiencia. Para el </w:t>
      </w:r>
      <w:r w:rsidR="00F462C5" w:rsidRPr="00F85253">
        <w:rPr>
          <w:rFonts w:ascii="Arial" w:hAnsi="Arial" w:cs="Arial"/>
          <w:sz w:val="22"/>
          <w:szCs w:val="22"/>
          <w:lang w:val="es-ES_tradnl"/>
        </w:rPr>
        <w:t>presente</w:t>
      </w:r>
      <w:r w:rsidRPr="00F85253">
        <w:rPr>
          <w:rFonts w:ascii="Arial" w:hAnsi="Arial" w:cs="Arial"/>
          <w:sz w:val="22"/>
          <w:szCs w:val="22"/>
          <w:lang w:val="es-ES_tradnl"/>
        </w:rPr>
        <w:t xml:space="preserve"> escenario, el costo </w:t>
      </w:r>
      <w:r w:rsidR="00AD3721" w:rsidRPr="00F85253">
        <w:rPr>
          <w:rFonts w:ascii="Arial" w:hAnsi="Arial" w:cs="Arial"/>
          <w:sz w:val="22"/>
          <w:szCs w:val="22"/>
          <w:lang w:val="es-ES_tradnl"/>
        </w:rPr>
        <w:t>de las desvinculaciones alcanza</w:t>
      </w:r>
      <w:r w:rsidRPr="00F85253">
        <w:rPr>
          <w:rFonts w:ascii="Arial" w:hAnsi="Arial" w:cs="Arial"/>
          <w:b/>
          <w:sz w:val="22"/>
          <w:szCs w:val="22"/>
          <w:lang w:val="es-ES_tradnl"/>
        </w:rPr>
        <w:t xml:space="preserve"> USD </w:t>
      </w:r>
      <w:r w:rsidR="00A7197F" w:rsidRPr="00F85253">
        <w:rPr>
          <w:rFonts w:ascii="Arial" w:hAnsi="Arial" w:cs="Arial"/>
          <w:b/>
          <w:sz w:val="22"/>
          <w:szCs w:val="22"/>
          <w:lang w:val="es-ES_tradnl"/>
        </w:rPr>
        <w:t xml:space="preserve">170 </w:t>
      </w:r>
      <w:r w:rsidRPr="00F85253">
        <w:rPr>
          <w:rFonts w:ascii="Arial" w:hAnsi="Arial" w:cs="Arial"/>
          <w:b/>
          <w:sz w:val="22"/>
          <w:szCs w:val="22"/>
          <w:lang w:val="es-ES_tradnl"/>
        </w:rPr>
        <w:t xml:space="preserve">millones </w:t>
      </w:r>
      <w:r w:rsidRPr="00F85253">
        <w:rPr>
          <w:rFonts w:ascii="Arial" w:hAnsi="Arial" w:cs="Arial"/>
          <w:sz w:val="22"/>
          <w:szCs w:val="22"/>
          <w:lang w:val="es-ES_tradnl"/>
        </w:rPr>
        <w:t xml:space="preserve">(USD </w:t>
      </w:r>
      <w:r w:rsidR="00A7197F" w:rsidRPr="00F85253">
        <w:rPr>
          <w:rFonts w:ascii="Arial" w:hAnsi="Arial" w:cs="Arial"/>
          <w:sz w:val="22"/>
          <w:szCs w:val="22"/>
          <w:lang w:val="es-ES_tradnl"/>
        </w:rPr>
        <w:t xml:space="preserve">138 </w:t>
      </w:r>
      <w:r w:rsidRPr="00F85253">
        <w:rPr>
          <w:rFonts w:ascii="Arial" w:hAnsi="Arial" w:cs="Arial"/>
          <w:sz w:val="22"/>
          <w:szCs w:val="22"/>
          <w:lang w:val="es-ES_tradnl"/>
        </w:rPr>
        <w:t>millones) e inc</w:t>
      </w:r>
      <w:r w:rsidR="00D80DF4" w:rsidRPr="00F85253">
        <w:rPr>
          <w:rFonts w:ascii="Arial" w:hAnsi="Arial" w:cs="Arial"/>
          <w:sz w:val="22"/>
          <w:szCs w:val="22"/>
          <w:lang w:val="es-ES_tradnl"/>
        </w:rPr>
        <w:t>luye el valor de compensaciones y</w:t>
      </w:r>
      <w:r w:rsidRPr="00F85253">
        <w:rPr>
          <w:rFonts w:ascii="Arial" w:hAnsi="Arial" w:cs="Arial"/>
          <w:sz w:val="22"/>
          <w:szCs w:val="22"/>
          <w:lang w:val="es-ES_tradnl"/>
        </w:rPr>
        <w:t xml:space="preserve"> liquidaciones, en </w:t>
      </w:r>
      <w:r w:rsidRPr="00F85253">
        <w:rPr>
          <w:rFonts w:ascii="Arial" w:hAnsi="Arial" w:cs="Arial"/>
          <w:b/>
          <w:sz w:val="22"/>
          <w:szCs w:val="22"/>
          <w:lang w:val="es-ES_tradnl"/>
        </w:rPr>
        <w:t>precios de mercado</w:t>
      </w:r>
      <w:r w:rsidRPr="00F85253">
        <w:rPr>
          <w:rFonts w:ascii="Arial" w:hAnsi="Arial" w:cs="Arial"/>
          <w:sz w:val="22"/>
          <w:szCs w:val="22"/>
          <w:lang w:val="es-ES_tradnl"/>
        </w:rPr>
        <w:t xml:space="preserve"> (eficiencia). </w:t>
      </w:r>
      <w:r w:rsidR="00D80DF4" w:rsidRPr="00F85253">
        <w:rPr>
          <w:rFonts w:ascii="Arial" w:hAnsi="Arial" w:cs="Arial"/>
          <w:sz w:val="22"/>
          <w:szCs w:val="22"/>
          <w:lang w:val="es-ES_tradnl"/>
        </w:rPr>
        <w:t xml:space="preserve">Se asume que de los USD </w:t>
      </w:r>
      <w:r w:rsidR="00A7197F" w:rsidRPr="00F85253">
        <w:rPr>
          <w:rFonts w:ascii="Arial" w:hAnsi="Arial" w:cs="Arial"/>
          <w:sz w:val="22"/>
          <w:szCs w:val="22"/>
          <w:lang w:val="es-ES_tradnl"/>
        </w:rPr>
        <w:t xml:space="preserve">170 </w:t>
      </w:r>
      <w:r w:rsidR="00D80DF4" w:rsidRPr="00F85253">
        <w:rPr>
          <w:rFonts w:ascii="Arial" w:hAnsi="Arial" w:cs="Arial"/>
          <w:sz w:val="22"/>
          <w:szCs w:val="22"/>
          <w:lang w:val="es-ES_tradnl"/>
        </w:rPr>
        <w:t xml:space="preserve">millones, el BID financiará USD 43 millones, y los restantes USD </w:t>
      </w:r>
      <w:r w:rsidR="00A7197F" w:rsidRPr="00F85253">
        <w:rPr>
          <w:rFonts w:ascii="Arial" w:hAnsi="Arial" w:cs="Arial"/>
          <w:sz w:val="22"/>
          <w:szCs w:val="22"/>
          <w:lang w:val="es-ES_tradnl"/>
        </w:rPr>
        <w:t xml:space="preserve">127 </w:t>
      </w:r>
      <w:r w:rsidR="00D80DF4" w:rsidRPr="00F85253">
        <w:rPr>
          <w:rFonts w:ascii="Arial" w:hAnsi="Arial" w:cs="Arial"/>
          <w:sz w:val="22"/>
          <w:szCs w:val="22"/>
          <w:lang w:val="es-ES_tradnl"/>
        </w:rPr>
        <w:t xml:space="preserve">millones, serán financiados por MEF. </w:t>
      </w:r>
      <w:r w:rsidRPr="00F85253">
        <w:rPr>
          <w:rFonts w:ascii="Arial" w:hAnsi="Arial" w:cs="Arial"/>
          <w:sz w:val="22"/>
          <w:szCs w:val="22"/>
          <w:lang w:val="es-ES_tradnl"/>
        </w:rPr>
        <w:t xml:space="preserve">Los costos por </w:t>
      </w:r>
      <w:r w:rsidR="00D80DF4" w:rsidRPr="00F85253">
        <w:rPr>
          <w:rFonts w:ascii="Arial" w:hAnsi="Arial" w:cs="Arial"/>
          <w:sz w:val="22"/>
          <w:szCs w:val="22"/>
          <w:lang w:val="es-ES_tradnl"/>
        </w:rPr>
        <w:t>la fusión de las petroleras, la optimización de CELEC, CNEL, consultorías</w:t>
      </w:r>
      <w:r w:rsidR="008136F6" w:rsidRPr="00F85253">
        <w:rPr>
          <w:rFonts w:ascii="Arial" w:hAnsi="Arial" w:cs="Arial"/>
          <w:sz w:val="22"/>
          <w:szCs w:val="22"/>
          <w:lang w:val="es-ES_tradnl"/>
        </w:rPr>
        <w:t xml:space="preserve"> para</w:t>
      </w:r>
      <w:r w:rsidR="00D80DF4" w:rsidRPr="00F85253">
        <w:rPr>
          <w:rFonts w:ascii="Arial" w:hAnsi="Arial" w:cs="Arial"/>
          <w:sz w:val="22"/>
          <w:szCs w:val="22"/>
          <w:lang w:val="es-ES_tradnl"/>
        </w:rPr>
        <w:t xml:space="preserve"> TA</w:t>
      </w:r>
      <w:r w:rsidR="008136F6" w:rsidRPr="00F85253">
        <w:rPr>
          <w:rFonts w:ascii="Arial" w:hAnsi="Arial" w:cs="Arial"/>
          <w:sz w:val="22"/>
          <w:szCs w:val="22"/>
          <w:lang w:val="es-ES_tradnl"/>
        </w:rPr>
        <w:t>M</w:t>
      </w:r>
      <w:r w:rsidR="00D80DF4" w:rsidRPr="00F85253">
        <w:rPr>
          <w:rFonts w:ascii="Arial" w:hAnsi="Arial" w:cs="Arial"/>
          <w:sz w:val="22"/>
          <w:szCs w:val="22"/>
          <w:lang w:val="es-ES_tradnl"/>
        </w:rPr>
        <w:t>E</w:t>
      </w:r>
      <w:r w:rsidR="008136F6" w:rsidRPr="00F85253">
        <w:rPr>
          <w:rFonts w:ascii="Arial" w:hAnsi="Arial" w:cs="Arial"/>
          <w:sz w:val="22"/>
          <w:szCs w:val="22"/>
          <w:lang w:val="es-ES_tradnl"/>
        </w:rPr>
        <w:t xml:space="preserve">; </w:t>
      </w:r>
      <w:r w:rsidR="00D80DF4" w:rsidRPr="00F85253">
        <w:rPr>
          <w:rFonts w:ascii="Arial" w:hAnsi="Arial" w:cs="Arial"/>
          <w:sz w:val="22"/>
          <w:szCs w:val="22"/>
          <w:lang w:val="es-ES_tradnl"/>
        </w:rPr>
        <w:t>estrategias de comunicación</w:t>
      </w:r>
      <w:r w:rsidR="008136F6" w:rsidRPr="00F85253">
        <w:rPr>
          <w:rFonts w:ascii="Arial" w:hAnsi="Arial" w:cs="Arial"/>
          <w:sz w:val="22"/>
          <w:szCs w:val="22"/>
          <w:lang w:val="es-ES_tradnl"/>
        </w:rPr>
        <w:t xml:space="preserve">; </w:t>
      </w:r>
      <w:r w:rsidR="00D80DF4" w:rsidRPr="00F85253">
        <w:rPr>
          <w:rFonts w:ascii="Arial" w:hAnsi="Arial" w:cs="Arial"/>
          <w:sz w:val="22"/>
          <w:szCs w:val="22"/>
          <w:lang w:val="es-ES_tradnl"/>
        </w:rPr>
        <w:t xml:space="preserve">actividades para el fortalecimiento del Marco de Gobernanza Corporativa; y, </w:t>
      </w:r>
      <w:proofErr w:type="gramStart"/>
      <w:r w:rsidR="00D80DF4" w:rsidRPr="00F85253">
        <w:rPr>
          <w:rFonts w:ascii="Arial" w:hAnsi="Arial" w:cs="Arial"/>
          <w:sz w:val="22"/>
          <w:szCs w:val="22"/>
          <w:lang w:val="es-ES_tradnl"/>
        </w:rPr>
        <w:t>la administración del programa</w:t>
      </w:r>
      <w:r w:rsidR="008136F6" w:rsidRPr="00F85253">
        <w:rPr>
          <w:rFonts w:ascii="Arial" w:hAnsi="Arial" w:cs="Arial"/>
          <w:sz w:val="22"/>
          <w:szCs w:val="22"/>
          <w:lang w:val="es-ES_tradnl"/>
        </w:rPr>
        <w:t xml:space="preserve"> </w:t>
      </w:r>
      <w:r w:rsidRPr="00F85253">
        <w:rPr>
          <w:rFonts w:ascii="Arial" w:hAnsi="Arial" w:cs="Arial"/>
          <w:sz w:val="22"/>
          <w:szCs w:val="22"/>
          <w:lang w:val="es-ES_tradnl"/>
        </w:rPr>
        <w:t>se mantienen</w:t>
      </w:r>
      <w:proofErr w:type="gramEnd"/>
      <w:r w:rsidRPr="00F85253">
        <w:rPr>
          <w:rFonts w:ascii="Arial" w:hAnsi="Arial" w:cs="Arial"/>
          <w:sz w:val="22"/>
          <w:szCs w:val="22"/>
          <w:lang w:val="es-ES_tradnl"/>
        </w:rPr>
        <w:t xml:space="preserve"> iguales al escenario</w:t>
      </w:r>
      <w:r w:rsidR="008136F6" w:rsidRPr="00F85253">
        <w:rPr>
          <w:rFonts w:ascii="Arial" w:hAnsi="Arial" w:cs="Arial"/>
          <w:sz w:val="22"/>
          <w:szCs w:val="22"/>
          <w:lang w:val="es-ES_tradnl"/>
        </w:rPr>
        <w:t xml:space="preserve"> presentado en la tabla 1 del documento</w:t>
      </w:r>
      <w:r w:rsidRPr="00F85253">
        <w:rPr>
          <w:rFonts w:ascii="Arial" w:hAnsi="Arial" w:cs="Arial"/>
          <w:sz w:val="22"/>
          <w:szCs w:val="22"/>
          <w:lang w:val="es-ES_tradnl"/>
        </w:rPr>
        <w:t xml:space="preserve">; al igual que, los factores de conversión utilizados.  </w:t>
      </w:r>
    </w:p>
    <w:p w14:paraId="1D5494B4" w14:textId="77777777" w:rsidR="00D665D8" w:rsidRPr="00F85253" w:rsidRDefault="00D665D8" w:rsidP="000B2BC8">
      <w:pPr>
        <w:pStyle w:val="Paragraph"/>
        <w:spacing w:before="0" w:after="0" w:line="276" w:lineRule="auto"/>
        <w:ind w:left="709"/>
        <w:outlineLvl w:val="9"/>
        <w:rPr>
          <w:rFonts w:ascii="Arial" w:hAnsi="Arial" w:cs="Arial"/>
          <w:sz w:val="22"/>
          <w:szCs w:val="22"/>
          <w:lang w:val="es-ES_tradnl"/>
        </w:rPr>
      </w:pPr>
    </w:p>
    <w:p w14:paraId="50D97B95" w14:textId="400D63A6" w:rsidR="0064740C" w:rsidRPr="00F85253" w:rsidRDefault="00891AC2" w:rsidP="0064740C">
      <w:pPr>
        <w:pStyle w:val="Paragraph"/>
        <w:numPr>
          <w:ilvl w:val="1"/>
          <w:numId w:val="31"/>
        </w:numPr>
        <w:tabs>
          <w:tab w:val="num" w:pos="1800"/>
          <w:tab w:val="num" w:pos="2196"/>
        </w:tabs>
        <w:spacing w:before="0" w:after="0" w:line="276" w:lineRule="auto"/>
        <w:ind w:left="709" w:hanging="709"/>
        <w:outlineLvl w:val="9"/>
        <w:rPr>
          <w:rFonts w:ascii="Arial" w:hAnsi="Arial" w:cs="Arial"/>
          <w:sz w:val="22"/>
          <w:szCs w:val="22"/>
          <w:lang w:val="es-ES_tradnl"/>
        </w:rPr>
      </w:pPr>
      <w:r w:rsidRPr="00F85253">
        <w:rPr>
          <w:rFonts w:ascii="Arial" w:hAnsi="Arial" w:cs="Arial"/>
          <w:sz w:val="22"/>
          <w:szCs w:val="22"/>
          <w:lang w:val="es-ES_tradnl"/>
        </w:rPr>
        <w:t>Las líneas de beneficio económico estiman</w:t>
      </w:r>
      <w:r w:rsidR="00AD3721" w:rsidRPr="00F85253">
        <w:rPr>
          <w:rFonts w:ascii="Arial" w:hAnsi="Arial" w:cs="Arial"/>
          <w:sz w:val="22"/>
          <w:szCs w:val="22"/>
          <w:lang w:val="es-ES_tradnl"/>
        </w:rPr>
        <w:t xml:space="preserve"> que,</w:t>
      </w:r>
      <w:r w:rsidRPr="00F85253">
        <w:rPr>
          <w:rFonts w:ascii="Arial" w:hAnsi="Arial" w:cs="Arial"/>
          <w:sz w:val="22"/>
          <w:szCs w:val="22"/>
          <w:lang w:val="es-ES_tradnl"/>
        </w:rPr>
        <w:t xml:space="preserve"> e</w:t>
      </w:r>
      <w:r w:rsidR="00AD3721" w:rsidRPr="00F85253">
        <w:rPr>
          <w:rFonts w:ascii="Arial" w:hAnsi="Arial" w:cs="Arial"/>
          <w:sz w:val="22"/>
          <w:szCs w:val="22"/>
          <w:lang w:val="es-ES_tradnl"/>
        </w:rPr>
        <w:t>l ahorro por costos evitados de desvinculaciones alcanza los</w:t>
      </w:r>
      <w:r w:rsidRPr="00F85253">
        <w:rPr>
          <w:rFonts w:ascii="Arial" w:hAnsi="Arial" w:cs="Arial"/>
          <w:sz w:val="22"/>
          <w:szCs w:val="22"/>
          <w:lang w:val="es-ES_tradnl"/>
        </w:rPr>
        <w:t xml:space="preserve"> USD </w:t>
      </w:r>
      <w:r w:rsidR="00A7197F" w:rsidRPr="00F85253">
        <w:rPr>
          <w:rFonts w:ascii="Arial" w:hAnsi="Arial" w:cs="Arial"/>
          <w:sz w:val="22"/>
          <w:szCs w:val="22"/>
          <w:lang w:val="es-ES_tradnl"/>
        </w:rPr>
        <w:t>864</w:t>
      </w:r>
      <w:r w:rsidR="00AD3721" w:rsidRPr="00F85253">
        <w:rPr>
          <w:rFonts w:ascii="Arial" w:hAnsi="Arial" w:cs="Arial"/>
          <w:sz w:val="22"/>
          <w:szCs w:val="22"/>
          <w:lang w:val="es-ES_tradnl"/>
        </w:rPr>
        <w:t>.00</w:t>
      </w:r>
      <w:r w:rsidR="00A7197F" w:rsidRPr="00F85253">
        <w:rPr>
          <w:rFonts w:ascii="Arial" w:hAnsi="Arial" w:cs="Arial"/>
          <w:sz w:val="22"/>
          <w:szCs w:val="22"/>
          <w:lang w:val="es-ES_tradnl"/>
        </w:rPr>
        <w:t xml:space="preserve"> </w:t>
      </w:r>
      <w:r w:rsidRPr="00F85253">
        <w:rPr>
          <w:rFonts w:ascii="Arial" w:hAnsi="Arial" w:cs="Arial"/>
          <w:sz w:val="22"/>
          <w:szCs w:val="22"/>
          <w:lang w:val="es-ES_tradnl"/>
        </w:rPr>
        <w:t xml:space="preserve">millones, por mejora de transparencia de USD </w:t>
      </w:r>
      <w:r w:rsidR="00AD3721" w:rsidRPr="00F85253">
        <w:rPr>
          <w:rFonts w:ascii="Arial" w:hAnsi="Arial" w:cs="Arial"/>
          <w:sz w:val="22"/>
          <w:szCs w:val="22"/>
          <w:lang w:val="es-ES_tradnl"/>
        </w:rPr>
        <w:t>9.01</w:t>
      </w:r>
      <w:r w:rsidR="00A7197F" w:rsidRPr="00F85253">
        <w:rPr>
          <w:rFonts w:ascii="Arial" w:hAnsi="Arial" w:cs="Arial"/>
          <w:sz w:val="22"/>
          <w:szCs w:val="22"/>
          <w:lang w:val="es-ES_tradnl"/>
        </w:rPr>
        <w:t xml:space="preserve"> </w:t>
      </w:r>
      <w:r w:rsidRPr="00F85253">
        <w:rPr>
          <w:rFonts w:ascii="Arial" w:hAnsi="Arial" w:cs="Arial"/>
          <w:sz w:val="22"/>
          <w:szCs w:val="22"/>
          <w:lang w:val="es-ES_tradnl"/>
        </w:rPr>
        <w:t xml:space="preserve">millones, y por eficiencia en la fusión de las </w:t>
      </w:r>
      <w:r w:rsidR="0023565F" w:rsidRPr="00F85253">
        <w:rPr>
          <w:rFonts w:ascii="Arial" w:hAnsi="Arial" w:cs="Arial"/>
          <w:sz w:val="22"/>
          <w:szCs w:val="22"/>
          <w:lang w:val="es-ES_tradnl"/>
        </w:rPr>
        <w:t>EEPP</w:t>
      </w:r>
      <w:r w:rsidRPr="00F85253">
        <w:rPr>
          <w:rFonts w:ascii="Arial" w:hAnsi="Arial" w:cs="Arial"/>
          <w:sz w:val="22"/>
          <w:szCs w:val="22"/>
          <w:lang w:val="es-ES_tradnl"/>
        </w:rPr>
        <w:t xml:space="preserve"> petroleras de USD </w:t>
      </w:r>
      <w:r w:rsidR="00935404" w:rsidRPr="00F85253">
        <w:rPr>
          <w:rFonts w:ascii="Arial" w:hAnsi="Arial" w:cs="Arial"/>
          <w:sz w:val="22"/>
          <w:szCs w:val="22"/>
          <w:lang w:val="es-ES_tradnl"/>
        </w:rPr>
        <w:t>63.91</w:t>
      </w:r>
      <w:r w:rsidR="00A7197F" w:rsidRPr="00F85253">
        <w:rPr>
          <w:rFonts w:ascii="Arial" w:hAnsi="Arial" w:cs="Arial"/>
          <w:sz w:val="22"/>
          <w:szCs w:val="22"/>
          <w:lang w:val="es-ES_tradnl"/>
        </w:rPr>
        <w:t xml:space="preserve"> </w:t>
      </w:r>
      <w:r w:rsidRPr="00F85253">
        <w:rPr>
          <w:rFonts w:ascii="Arial" w:hAnsi="Arial" w:cs="Arial"/>
          <w:sz w:val="22"/>
          <w:szCs w:val="22"/>
          <w:lang w:val="es-ES_tradnl"/>
        </w:rPr>
        <w:t xml:space="preserve">millones. El total de los beneficios, en los 10 años, suma los ahorros generados por el programa, con un valor total de USD </w:t>
      </w:r>
      <w:r w:rsidR="00A7197F" w:rsidRPr="00F85253">
        <w:rPr>
          <w:rFonts w:ascii="Arial" w:hAnsi="Arial" w:cs="Arial"/>
          <w:sz w:val="22"/>
          <w:szCs w:val="22"/>
          <w:lang w:val="es-ES_tradnl"/>
        </w:rPr>
        <w:t>9</w:t>
      </w:r>
      <w:r w:rsidR="00935404" w:rsidRPr="00F85253">
        <w:rPr>
          <w:rFonts w:ascii="Arial" w:hAnsi="Arial" w:cs="Arial"/>
          <w:sz w:val="22"/>
          <w:szCs w:val="22"/>
          <w:lang w:val="es-ES_tradnl"/>
        </w:rPr>
        <w:t>36.92</w:t>
      </w:r>
      <w:r w:rsidR="00A7197F" w:rsidRPr="00F85253">
        <w:rPr>
          <w:rFonts w:ascii="Arial" w:hAnsi="Arial" w:cs="Arial"/>
          <w:sz w:val="22"/>
          <w:szCs w:val="22"/>
          <w:lang w:val="es-ES_tradnl"/>
        </w:rPr>
        <w:t xml:space="preserve"> </w:t>
      </w:r>
      <w:r w:rsidRPr="00F85253">
        <w:rPr>
          <w:rFonts w:ascii="Arial" w:hAnsi="Arial" w:cs="Arial"/>
          <w:sz w:val="22"/>
          <w:szCs w:val="22"/>
          <w:lang w:val="es-ES_tradnl"/>
        </w:rPr>
        <w:t xml:space="preserve">millones. </w:t>
      </w:r>
    </w:p>
    <w:p w14:paraId="4266D3D4" w14:textId="77777777" w:rsidR="00D665D8" w:rsidRPr="00F85253" w:rsidRDefault="00D665D8" w:rsidP="000B2BC8">
      <w:pPr>
        <w:pStyle w:val="Paragraph"/>
        <w:spacing w:before="0" w:after="0" w:line="276" w:lineRule="auto"/>
        <w:ind w:left="709"/>
        <w:outlineLvl w:val="9"/>
        <w:rPr>
          <w:rFonts w:ascii="Arial" w:hAnsi="Arial" w:cs="Arial"/>
          <w:sz w:val="22"/>
          <w:szCs w:val="22"/>
          <w:lang w:val="es-ES_tradnl"/>
        </w:rPr>
      </w:pPr>
    </w:p>
    <w:p w14:paraId="7DD9378A" w14:textId="7B041CF1" w:rsidR="001265F5" w:rsidRPr="00F85253" w:rsidRDefault="00891AC2" w:rsidP="001265F5">
      <w:pPr>
        <w:pStyle w:val="Paragraph"/>
        <w:numPr>
          <w:ilvl w:val="1"/>
          <w:numId w:val="31"/>
        </w:numPr>
        <w:tabs>
          <w:tab w:val="num" w:pos="1800"/>
          <w:tab w:val="num" w:pos="2196"/>
        </w:tabs>
        <w:spacing w:before="0" w:after="0" w:line="276" w:lineRule="auto"/>
        <w:ind w:left="709" w:hanging="709"/>
        <w:outlineLvl w:val="9"/>
        <w:rPr>
          <w:rFonts w:ascii="Arial" w:hAnsi="Arial" w:cs="Arial"/>
          <w:sz w:val="22"/>
          <w:szCs w:val="22"/>
          <w:lang w:val="es-ES_tradnl"/>
        </w:rPr>
      </w:pPr>
      <w:r w:rsidRPr="00F85253">
        <w:rPr>
          <w:rFonts w:ascii="Arial" w:hAnsi="Arial" w:cs="Arial"/>
          <w:sz w:val="22"/>
          <w:szCs w:val="22"/>
          <w:lang w:val="es-ES_tradnl"/>
        </w:rPr>
        <w:t xml:space="preserve">Respecto a los costos, en </w:t>
      </w:r>
      <w:r w:rsidR="0064740C" w:rsidRPr="00F85253">
        <w:rPr>
          <w:rFonts w:ascii="Arial" w:hAnsi="Arial" w:cs="Arial"/>
          <w:sz w:val="22"/>
          <w:szCs w:val="22"/>
          <w:lang w:val="es-ES_tradnl"/>
        </w:rPr>
        <w:t xml:space="preserve">precios de mercado, los valores asociados a la optimización de la cartera de </w:t>
      </w:r>
      <w:r w:rsidR="0023565F" w:rsidRPr="00F85253">
        <w:rPr>
          <w:rFonts w:ascii="Arial" w:hAnsi="Arial" w:cs="Arial"/>
          <w:sz w:val="22"/>
          <w:szCs w:val="22"/>
          <w:lang w:val="es-ES_tradnl"/>
        </w:rPr>
        <w:t>EEPP</w:t>
      </w:r>
      <w:r w:rsidR="0064740C" w:rsidRPr="00F85253">
        <w:rPr>
          <w:rFonts w:ascii="Arial" w:hAnsi="Arial" w:cs="Arial"/>
          <w:sz w:val="22"/>
          <w:szCs w:val="22"/>
          <w:lang w:val="es-ES_tradnl"/>
        </w:rPr>
        <w:t xml:space="preserve"> (excepto las desvinculaciones)</w:t>
      </w:r>
      <w:r w:rsidR="0064740C" w:rsidRPr="00F85253">
        <w:rPr>
          <w:rStyle w:val="FootnoteReference"/>
          <w:rFonts w:ascii="Arial" w:hAnsi="Arial" w:cs="Arial"/>
          <w:sz w:val="22"/>
          <w:szCs w:val="22"/>
          <w:lang w:val="es-ES_tradnl"/>
        </w:rPr>
        <w:footnoteReference w:id="59"/>
      </w:r>
      <w:r w:rsidR="00935404" w:rsidRPr="00F85253">
        <w:rPr>
          <w:rFonts w:ascii="Arial" w:hAnsi="Arial" w:cs="Arial"/>
          <w:sz w:val="22"/>
          <w:szCs w:val="22"/>
          <w:lang w:val="es-ES_tradnl"/>
        </w:rPr>
        <w:t xml:space="preserve"> son</w:t>
      </w:r>
      <w:r w:rsidR="0064740C" w:rsidRPr="00F85253">
        <w:rPr>
          <w:rFonts w:ascii="Arial" w:hAnsi="Arial" w:cs="Arial"/>
          <w:sz w:val="22"/>
          <w:szCs w:val="22"/>
          <w:lang w:val="es-ES_tradnl"/>
        </w:rPr>
        <w:t xml:space="preserve"> de USD 25 millones, a las desvinculaciones de USD </w:t>
      </w:r>
      <w:r w:rsidR="00A7197F" w:rsidRPr="00F85253">
        <w:rPr>
          <w:rFonts w:ascii="Arial" w:hAnsi="Arial" w:cs="Arial"/>
          <w:sz w:val="22"/>
          <w:szCs w:val="22"/>
          <w:lang w:val="es-ES_tradnl"/>
        </w:rPr>
        <w:t xml:space="preserve">170 </w:t>
      </w:r>
      <w:r w:rsidR="0064740C" w:rsidRPr="00F85253">
        <w:rPr>
          <w:rFonts w:ascii="Arial" w:hAnsi="Arial" w:cs="Arial"/>
          <w:sz w:val="22"/>
          <w:szCs w:val="22"/>
          <w:lang w:val="es-ES_tradnl"/>
        </w:rPr>
        <w:t xml:space="preserve">millones, al fortalecimiento del Marco de Gobernanza Corporativa de USD 4 millones; y, la administración del programa de USD 3 millones. </w:t>
      </w:r>
    </w:p>
    <w:p w14:paraId="1134ACEF" w14:textId="77777777" w:rsidR="00D665D8" w:rsidRPr="00F85253" w:rsidRDefault="00D665D8" w:rsidP="000B2BC8">
      <w:pPr>
        <w:pStyle w:val="Paragraph"/>
        <w:spacing w:before="0" w:after="0" w:line="276" w:lineRule="auto"/>
        <w:ind w:left="709"/>
        <w:outlineLvl w:val="9"/>
        <w:rPr>
          <w:rFonts w:ascii="Arial" w:hAnsi="Arial" w:cs="Arial"/>
          <w:sz w:val="22"/>
          <w:szCs w:val="22"/>
          <w:lang w:val="es-ES_tradnl"/>
        </w:rPr>
      </w:pPr>
    </w:p>
    <w:p w14:paraId="2CDB13C8" w14:textId="1AA0346B" w:rsidR="00B35F4E" w:rsidRPr="00F85253" w:rsidRDefault="0064740C" w:rsidP="001265F5">
      <w:pPr>
        <w:pStyle w:val="Paragraph"/>
        <w:numPr>
          <w:ilvl w:val="1"/>
          <w:numId w:val="31"/>
        </w:numPr>
        <w:tabs>
          <w:tab w:val="num" w:pos="1800"/>
          <w:tab w:val="num" w:pos="2196"/>
        </w:tabs>
        <w:spacing w:before="0" w:after="0" w:line="276" w:lineRule="auto"/>
        <w:ind w:left="709" w:hanging="709"/>
        <w:outlineLvl w:val="9"/>
        <w:rPr>
          <w:rFonts w:ascii="Arial" w:hAnsi="Arial" w:cs="Arial"/>
          <w:sz w:val="22"/>
          <w:szCs w:val="22"/>
          <w:lang w:val="es-ES_tradnl"/>
        </w:rPr>
      </w:pPr>
      <w:r w:rsidRPr="00F85253">
        <w:rPr>
          <w:rFonts w:ascii="Arial" w:hAnsi="Arial" w:cs="Arial"/>
          <w:sz w:val="22"/>
          <w:szCs w:val="22"/>
          <w:lang w:val="es-ES_tradnl"/>
        </w:rPr>
        <w:t>En precios de mercado, el valor total invertido por parte del BID es de USD 75 millones</w:t>
      </w:r>
      <w:r w:rsidR="001265F5" w:rsidRPr="00F85253">
        <w:rPr>
          <w:rFonts w:ascii="Arial" w:hAnsi="Arial" w:cs="Arial"/>
          <w:sz w:val="22"/>
          <w:szCs w:val="22"/>
          <w:lang w:val="es-ES_tradnl"/>
        </w:rPr>
        <w:t xml:space="preserve">; y, el monto invertido por MEF es de USD </w:t>
      </w:r>
      <w:r w:rsidR="00A7197F" w:rsidRPr="00F85253">
        <w:rPr>
          <w:rFonts w:ascii="Arial" w:hAnsi="Arial" w:cs="Arial"/>
          <w:sz w:val="22"/>
          <w:szCs w:val="22"/>
          <w:lang w:val="es-ES_tradnl"/>
        </w:rPr>
        <w:t xml:space="preserve">127 </w:t>
      </w:r>
      <w:r w:rsidR="001265F5" w:rsidRPr="00F85253">
        <w:rPr>
          <w:rFonts w:ascii="Arial" w:hAnsi="Arial" w:cs="Arial"/>
          <w:sz w:val="22"/>
          <w:szCs w:val="22"/>
          <w:lang w:val="es-ES_tradnl"/>
        </w:rPr>
        <w:t xml:space="preserve">millones  (USD </w:t>
      </w:r>
      <w:r w:rsidR="00A7197F" w:rsidRPr="00F85253">
        <w:rPr>
          <w:rFonts w:ascii="Arial" w:hAnsi="Arial" w:cs="Arial"/>
          <w:sz w:val="22"/>
          <w:szCs w:val="22"/>
          <w:lang w:val="es-ES_tradnl"/>
        </w:rPr>
        <w:t xml:space="preserve">202 </w:t>
      </w:r>
      <w:r w:rsidR="001265F5" w:rsidRPr="00F85253">
        <w:rPr>
          <w:rFonts w:ascii="Arial" w:hAnsi="Arial" w:cs="Arial"/>
          <w:sz w:val="22"/>
          <w:szCs w:val="22"/>
          <w:lang w:val="es-ES_tradnl"/>
        </w:rPr>
        <w:t>millones en total)</w:t>
      </w:r>
      <w:r w:rsidRPr="00F85253">
        <w:rPr>
          <w:rFonts w:ascii="Arial" w:hAnsi="Arial" w:cs="Arial"/>
          <w:sz w:val="22"/>
          <w:szCs w:val="22"/>
          <w:lang w:val="es-ES_tradnl"/>
        </w:rPr>
        <w:t xml:space="preserve">. Tomando en cuenta los factores de conversión antes mencionados, el costo total del proyecto (Capex y Opex) es de USD </w:t>
      </w:r>
      <w:r w:rsidR="00A7197F" w:rsidRPr="00F85253">
        <w:rPr>
          <w:rFonts w:ascii="Arial" w:hAnsi="Arial" w:cs="Arial"/>
          <w:sz w:val="22"/>
          <w:szCs w:val="22"/>
          <w:lang w:val="es-ES_tradnl"/>
        </w:rPr>
        <w:t>340</w:t>
      </w:r>
      <w:r w:rsidR="00B73BA5" w:rsidRPr="00F85253">
        <w:rPr>
          <w:rFonts w:ascii="Arial" w:hAnsi="Arial" w:cs="Arial"/>
          <w:sz w:val="22"/>
          <w:szCs w:val="22"/>
          <w:lang w:val="es-ES_tradnl"/>
        </w:rPr>
        <w:t>.57</w:t>
      </w:r>
      <w:r w:rsidR="00A7197F" w:rsidRPr="00F85253">
        <w:rPr>
          <w:rFonts w:ascii="Arial" w:hAnsi="Arial" w:cs="Arial"/>
          <w:sz w:val="22"/>
          <w:szCs w:val="22"/>
          <w:lang w:val="es-ES_tradnl"/>
        </w:rPr>
        <w:t xml:space="preserve"> </w:t>
      </w:r>
      <w:r w:rsidRPr="00F85253">
        <w:rPr>
          <w:rFonts w:ascii="Arial" w:hAnsi="Arial" w:cs="Arial"/>
          <w:sz w:val="22"/>
          <w:szCs w:val="22"/>
          <w:lang w:val="es-ES_tradnl"/>
        </w:rPr>
        <w:t xml:space="preserve">millones, en precios de eficiencia, de los cuales USD </w:t>
      </w:r>
      <w:r w:rsidR="00B73BA5" w:rsidRPr="00F85253">
        <w:rPr>
          <w:rFonts w:ascii="Arial" w:hAnsi="Arial" w:cs="Arial"/>
          <w:sz w:val="22"/>
          <w:szCs w:val="22"/>
          <w:lang w:val="es-ES_tradnl"/>
        </w:rPr>
        <w:t>164.88</w:t>
      </w:r>
      <w:r w:rsidR="007C4570" w:rsidRPr="00F85253">
        <w:rPr>
          <w:rFonts w:ascii="Arial" w:hAnsi="Arial" w:cs="Arial"/>
          <w:sz w:val="22"/>
          <w:szCs w:val="22"/>
          <w:lang w:val="es-ES_tradnl"/>
        </w:rPr>
        <w:t xml:space="preserve"> </w:t>
      </w:r>
      <w:r w:rsidRPr="00F85253">
        <w:rPr>
          <w:rFonts w:ascii="Arial" w:hAnsi="Arial" w:cs="Arial"/>
          <w:sz w:val="22"/>
          <w:szCs w:val="22"/>
          <w:lang w:val="es-ES_tradnl"/>
        </w:rPr>
        <w:t xml:space="preserve">millones corresponde a gastos de capital -Capex y USD </w:t>
      </w:r>
      <w:r w:rsidR="007C4570" w:rsidRPr="00F85253">
        <w:rPr>
          <w:rFonts w:ascii="Arial" w:hAnsi="Arial" w:cs="Arial"/>
          <w:sz w:val="22"/>
          <w:szCs w:val="22"/>
          <w:lang w:val="es-ES_tradnl"/>
        </w:rPr>
        <w:t>175</w:t>
      </w:r>
      <w:r w:rsidR="00B73BA5" w:rsidRPr="00F85253">
        <w:rPr>
          <w:rFonts w:ascii="Arial" w:hAnsi="Arial" w:cs="Arial"/>
          <w:sz w:val="22"/>
          <w:szCs w:val="22"/>
          <w:lang w:val="es-ES_tradnl"/>
        </w:rPr>
        <w:t>.68</w:t>
      </w:r>
      <w:r w:rsidR="007C4570" w:rsidRPr="00F85253">
        <w:rPr>
          <w:rFonts w:ascii="Arial" w:hAnsi="Arial" w:cs="Arial"/>
          <w:sz w:val="22"/>
          <w:szCs w:val="22"/>
          <w:lang w:val="es-ES_tradnl"/>
        </w:rPr>
        <w:t xml:space="preserve"> </w:t>
      </w:r>
      <w:r w:rsidRPr="00F85253">
        <w:rPr>
          <w:rFonts w:ascii="Arial" w:hAnsi="Arial" w:cs="Arial"/>
          <w:sz w:val="22"/>
          <w:szCs w:val="22"/>
          <w:lang w:val="es-ES_tradnl"/>
        </w:rPr>
        <w:t>millones a gastos de operación -Opex.</w:t>
      </w:r>
    </w:p>
    <w:p w14:paraId="6B92BA04" w14:textId="77777777" w:rsidR="00D665D8" w:rsidRPr="00F85253" w:rsidRDefault="00D665D8" w:rsidP="000B2BC8">
      <w:pPr>
        <w:pStyle w:val="Paragraph"/>
        <w:spacing w:before="0" w:after="0" w:line="276" w:lineRule="auto"/>
        <w:ind w:left="709"/>
        <w:outlineLvl w:val="9"/>
        <w:rPr>
          <w:rFonts w:ascii="Arial" w:hAnsi="Arial" w:cs="Arial"/>
          <w:sz w:val="22"/>
          <w:szCs w:val="22"/>
          <w:lang w:val="es-ES_tradnl"/>
        </w:rPr>
      </w:pPr>
    </w:p>
    <w:p w14:paraId="76F72DE6" w14:textId="6FBD4D59" w:rsidR="00B35F4E" w:rsidRPr="00F85253" w:rsidRDefault="00891AC2" w:rsidP="00B35F4E">
      <w:pPr>
        <w:pStyle w:val="Paragraph"/>
        <w:numPr>
          <w:ilvl w:val="1"/>
          <w:numId w:val="31"/>
        </w:numPr>
        <w:tabs>
          <w:tab w:val="num" w:pos="1800"/>
          <w:tab w:val="num" w:pos="2196"/>
        </w:tabs>
        <w:spacing w:before="0" w:after="0" w:line="276" w:lineRule="auto"/>
        <w:ind w:left="709" w:hanging="709"/>
        <w:outlineLvl w:val="9"/>
        <w:rPr>
          <w:rFonts w:ascii="Arial" w:hAnsi="Arial" w:cs="Arial"/>
          <w:sz w:val="22"/>
          <w:szCs w:val="22"/>
          <w:lang w:val="es-ES_tradnl"/>
        </w:rPr>
      </w:pPr>
      <w:r w:rsidRPr="00F85253">
        <w:rPr>
          <w:rFonts w:ascii="Arial" w:hAnsi="Arial" w:cs="Arial"/>
          <w:b/>
          <w:sz w:val="22"/>
          <w:szCs w:val="22"/>
          <w:lang w:val="es-ES_tradnl"/>
        </w:rPr>
        <w:t xml:space="preserve">Resultados financieros: </w:t>
      </w:r>
      <w:r w:rsidRPr="00F85253">
        <w:rPr>
          <w:rFonts w:ascii="Arial" w:hAnsi="Arial" w:cs="Arial"/>
          <w:sz w:val="22"/>
          <w:szCs w:val="22"/>
          <w:lang w:val="es-ES_tradnl"/>
        </w:rPr>
        <w:t xml:space="preserve">El flujo neto generado por el programa en el plazo de 2019-2028 es de USD </w:t>
      </w:r>
      <w:r w:rsidR="00C5258E" w:rsidRPr="00F85253">
        <w:rPr>
          <w:rFonts w:ascii="Arial" w:hAnsi="Arial" w:cs="Arial"/>
          <w:sz w:val="22"/>
          <w:szCs w:val="22"/>
          <w:lang w:val="es-ES_tradnl"/>
        </w:rPr>
        <w:t>596.36</w:t>
      </w:r>
      <w:r w:rsidR="007C4570" w:rsidRPr="00F85253">
        <w:rPr>
          <w:rFonts w:ascii="Arial" w:hAnsi="Arial" w:cs="Arial"/>
          <w:sz w:val="22"/>
          <w:szCs w:val="22"/>
          <w:lang w:val="es-ES_tradnl"/>
        </w:rPr>
        <w:t xml:space="preserve"> </w:t>
      </w:r>
      <w:r w:rsidRPr="00F85253">
        <w:rPr>
          <w:rFonts w:ascii="Arial" w:hAnsi="Arial" w:cs="Arial"/>
          <w:sz w:val="22"/>
          <w:szCs w:val="22"/>
          <w:lang w:val="es-ES_tradnl"/>
        </w:rPr>
        <w:t xml:space="preserve">millones. El valor presente neto (VPN) alcanza los USD </w:t>
      </w:r>
      <w:r w:rsidR="007C4570" w:rsidRPr="00F85253">
        <w:rPr>
          <w:rFonts w:ascii="Arial" w:hAnsi="Arial" w:cs="Arial"/>
          <w:sz w:val="22"/>
          <w:szCs w:val="22"/>
          <w:lang w:val="es-ES_tradnl"/>
        </w:rPr>
        <w:t>26</w:t>
      </w:r>
      <w:r w:rsidR="00C5258E" w:rsidRPr="00F85253">
        <w:rPr>
          <w:rFonts w:ascii="Arial" w:hAnsi="Arial" w:cs="Arial"/>
          <w:sz w:val="22"/>
          <w:szCs w:val="22"/>
          <w:lang w:val="es-ES_tradnl"/>
        </w:rPr>
        <w:t>0</w:t>
      </w:r>
      <w:r w:rsidR="007C4570" w:rsidRPr="00F85253">
        <w:rPr>
          <w:rFonts w:ascii="Arial" w:hAnsi="Arial" w:cs="Arial"/>
          <w:sz w:val="22"/>
          <w:szCs w:val="22"/>
          <w:lang w:val="es-ES_tradnl"/>
        </w:rPr>
        <w:t xml:space="preserve"> </w:t>
      </w:r>
      <w:r w:rsidRPr="00F85253">
        <w:rPr>
          <w:rFonts w:ascii="Arial" w:hAnsi="Arial" w:cs="Arial"/>
          <w:sz w:val="22"/>
          <w:szCs w:val="22"/>
          <w:lang w:val="es-ES_tradnl"/>
        </w:rPr>
        <w:t>millones; y, la tasa i</w:t>
      </w:r>
      <w:r w:rsidR="00C95BF9" w:rsidRPr="00F85253">
        <w:rPr>
          <w:rFonts w:ascii="Arial" w:hAnsi="Arial" w:cs="Arial"/>
          <w:sz w:val="22"/>
          <w:szCs w:val="22"/>
          <w:lang w:val="es-ES_tradnl"/>
        </w:rPr>
        <w:t xml:space="preserve">nterna de retorno (TIR) es de </w:t>
      </w:r>
      <w:r w:rsidR="007C4570" w:rsidRPr="00F85253">
        <w:rPr>
          <w:rFonts w:ascii="Arial" w:hAnsi="Arial" w:cs="Arial"/>
          <w:sz w:val="22"/>
          <w:szCs w:val="22"/>
          <w:lang w:val="es-ES_tradnl"/>
        </w:rPr>
        <w:t>4</w:t>
      </w:r>
      <w:r w:rsidR="00DC5734" w:rsidRPr="00F85253">
        <w:rPr>
          <w:rFonts w:ascii="Arial" w:hAnsi="Arial" w:cs="Arial"/>
          <w:sz w:val="22"/>
          <w:szCs w:val="22"/>
          <w:lang w:val="es-ES_tradnl"/>
        </w:rPr>
        <w:t>9</w:t>
      </w:r>
      <w:r w:rsidRPr="00F85253">
        <w:rPr>
          <w:rFonts w:ascii="Arial" w:hAnsi="Arial" w:cs="Arial"/>
          <w:sz w:val="22"/>
          <w:szCs w:val="22"/>
          <w:lang w:val="es-ES_tradnl"/>
        </w:rPr>
        <w:t xml:space="preserve">%. Se evidencia un ratio beneficio/costo de </w:t>
      </w:r>
      <w:r w:rsidR="007C4570" w:rsidRPr="00F85253">
        <w:rPr>
          <w:rFonts w:ascii="Arial" w:hAnsi="Arial" w:cs="Arial"/>
          <w:sz w:val="22"/>
          <w:szCs w:val="22"/>
          <w:lang w:val="es-ES_tradnl"/>
        </w:rPr>
        <w:t>2.</w:t>
      </w:r>
      <w:r w:rsidR="00C5258E" w:rsidRPr="00F85253">
        <w:rPr>
          <w:rFonts w:ascii="Arial" w:hAnsi="Arial" w:cs="Arial"/>
          <w:sz w:val="22"/>
          <w:szCs w:val="22"/>
          <w:lang w:val="es-ES_tradnl"/>
        </w:rPr>
        <w:t>0</w:t>
      </w:r>
      <w:r w:rsidRPr="00F85253">
        <w:rPr>
          <w:rFonts w:ascii="Arial" w:hAnsi="Arial" w:cs="Arial"/>
          <w:sz w:val="22"/>
          <w:szCs w:val="22"/>
          <w:lang w:val="es-ES_tradnl"/>
        </w:rPr>
        <w:t xml:space="preserve">. </w:t>
      </w:r>
    </w:p>
    <w:p w14:paraId="03A8D9E7" w14:textId="77777777" w:rsidR="00D665D8" w:rsidRPr="00F85253" w:rsidRDefault="00D665D8" w:rsidP="000B2BC8">
      <w:pPr>
        <w:pStyle w:val="Paragraph"/>
        <w:spacing w:before="0" w:after="0" w:line="276" w:lineRule="auto"/>
        <w:ind w:left="709"/>
        <w:outlineLvl w:val="9"/>
        <w:rPr>
          <w:rFonts w:ascii="Arial" w:hAnsi="Arial" w:cs="Arial"/>
          <w:sz w:val="22"/>
          <w:szCs w:val="22"/>
          <w:lang w:val="es-ES_tradnl"/>
        </w:rPr>
      </w:pPr>
    </w:p>
    <w:p w14:paraId="5E57BE60" w14:textId="31E1568E" w:rsidR="00891AC2" w:rsidRPr="00F85253" w:rsidRDefault="00891AC2" w:rsidP="00891AC2">
      <w:pPr>
        <w:pStyle w:val="Paragraph"/>
        <w:numPr>
          <w:ilvl w:val="1"/>
          <w:numId w:val="31"/>
        </w:numPr>
        <w:tabs>
          <w:tab w:val="num" w:pos="1800"/>
          <w:tab w:val="num" w:pos="2196"/>
        </w:tabs>
        <w:spacing w:before="0" w:after="0" w:line="276" w:lineRule="auto"/>
        <w:ind w:left="709" w:hanging="709"/>
        <w:outlineLvl w:val="9"/>
        <w:rPr>
          <w:rFonts w:ascii="Arial" w:hAnsi="Arial" w:cs="Arial"/>
          <w:lang w:val="es-ES_tradnl"/>
        </w:rPr>
      </w:pPr>
      <w:r w:rsidRPr="00F85253">
        <w:rPr>
          <w:rFonts w:ascii="Arial" w:hAnsi="Arial" w:cs="Arial"/>
          <w:b/>
          <w:color w:val="000000" w:themeColor="text1"/>
          <w:sz w:val="22"/>
          <w:szCs w:val="22"/>
          <w:lang w:val="es-ES_tradnl"/>
        </w:rPr>
        <w:t>Conclusión.</w:t>
      </w:r>
      <w:r w:rsidRPr="00F85253">
        <w:rPr>
          <w:rFonts w:ascii="Arial" w:hAnsi="Arial" w:cs="Arial"/>
          <w:color w:val="000000" w:themeColor="text1"/>
          <w:sz w:val="22"/>
          <w:szCs w:val="22"/>
          <w:lang w:val="es-ES_tradnl"/>
        </w:rPr>
        <w:t xml:space="preserve"> El </w:t>
      </w:r>
      <w:r w:rsidR="00C95BF9" w:rsidRPr="00F85253">
        <w:rPr>
          <w:rFonts w:ascii="Arial" w:hAnsi="Arial" w:cs="Arial"/>
          <w:color w:val="000000" w:themeColor="text1"/>
          <w:sz w:val="22"/>
          <w:szCs w:val="22"/>
          <w:lang w:val="es-ES_tradnl"/>
        </w:rPr>
        <w:t>presente</w:t>
      </w:r>
      <w:r w:rsidRPr="00F85253">
        <w:rPr>
          <w:rFonts w:ascii="Arial" w:hAnsi="Arial" w:cs="Arial"/>
          <w:color w:val="000000" w:themeColor="text1"/>
          <w:sz w:val="22"/>
          <w:szCs w:val="22"/>
          <w:lang w:val="es-ES_tradnl"/>
        </w:rPr>
        <w:t xml:space="preserve"> escenario presenta una TIR elevada, impulsada principalmente por el ahorro total en las desvinculaciones de personal de las </w:t>
      </w:r>
      <w:r w:rsidR="0023565F" w:rsidRPr="00F85253">
        <w:rPr>
          <w:rFonts w:ascii="Arial" w:hAnsi="Arial" w:cs="Arial"/>
          <w:color w:val="000000" w:themeColor="text1"/>
          <w:sz w:val="22"/>
          <w:szCs w:val="22"/>
          <w:lang w:val="es-ES_tradnl"/>
        </w:rPr>
        <w:t>EEPP</w:t>
      </w:r>
      <w:r w:rsidR="00DC5734" w:rsidRPr="00F85253">
        <w:rPr>
          <w:rFonts w:ascii="Arial" w:hAnsi="Arial" w:cs="Arial"/>
          <w:color w:val="000000" w:themeColor="text1"/>
          <w:sz w:val="22"/>
          <w:szCs w:val="22"/>
          <w:lang w:val="es-ES_tradnl"/>
        </w:rPr>
        <w:t>.</w:t>
      </w:r>
      <w:r w:rsidRPr="00F85253">
        <w:rPr>
          <w:rFonts w:ascii="Arial" w:hAnsi="Arial" w:cs="Arial"/>
          <w:color w:val="000000" w:themeColor="text1"/>
          <w:sz w:val="22"/>
          <w:szCs w:val="22"/>
          <w:lang w:val="es-ES_tradnl"/>
        </w:rPr>
        <w:t xml:space="preserve"> En el escenario</w:t>
      </w:r>
      <w:r w:rsidR="00C95BF9" w:rsidRPr="00F85253">
        <w:rPr>
          <w:rFonts w:ascii="Arial" w:hAnsi="Arial" w:cs="Arial"/>
          <w:color w:val="000000" w:themeColor="text1"/>
          <w:sz w:val="22"/>
          <w:szCs w:val="22"/>
          <w:lang w:val="es-ES_tradnl"/>
        </w:rPr>
        <w:t xml:space="preserve"> presentado en la tabla 1</w:t>
      </w:r>
      <w:r w:rsidRPr="00F85253">
        <w:rPr>
          <w:rFonts w:ascii="Arial" w:hAnsi="Arial" w:cs="Arial"/>
          <w:color w:val="000000" w:themeColor="text1"/>
          <w:sz w:val="22"/>
          <w:szCs w:val="22"/>
          <w:lang w:val="es-ES_tradnl"/>
        </w:rPr>
        <w:t xml:space="preserve">, se toma en cuenta solo al valor proporcional de ese ahorro, asociado a la inversión del BID. </w:t>
      </w:r>
      <w:r w:rsidR="00C95BF9" w:rsidRPr="00F85253">
        <w:rPr>
          <w:rFonts w:ascii="Arial" w:hAnsi="Arial" w:cs="Arial"/>
          <w:color w:val="000000" w:themeColor="text1"/>
          <w:sz w:val="22"/>
          <w:szCs w:val="22"/>
          <w:lang w:val="es-ES_tradnl"/>
        </w:rPr>
        <w:t>En el presente</w:t>
      </w:r>
      <w:r w:rsidRPr="00F85253">
        <w:rPr>
          <w:rFonts w:ascii="Arial" w:hAnsi="Arial" w:cs="Arial"/>
          <w:color w:val="000000" w:themeColor="text1"/>
          <w:sz w:val="22"/>
          <w:szCs w:val="22"/>
          <w:lang w:val="es-ES_tradnl"/>
        </w:rPr>
        <w:t xml:space="preserve"> escenario, el Programa de Apoyo a la Reforma de Empresas Públicas genera mayores beneficios en transparencia, eficiencia por la fusión de las </w:t>
      </w:r>
      <w:r w:rsidR="0023565F" w:rsidRPr="00F85253">
        <w:rPr>
          <w:rFonts w:ascii="Arial" w:hAnsi="Arial" w:cs="Arial"/>
          <w:color w:val="000000" w:themeColor="text1"/>
          <w:sz w:val="22"/>
          <w:szCs w:val="22"/>
          <w:lang w:val="es-ES_tradnl"/>
        </w:rPr>
        <w:t>EEPP</w:t>
      </w:r>
      <w:r w:rsidRPr="00F85253">
        <w:rPr>
          <w:rFonts w:ascii="Arial" w:hAnsi="Arial" w:cs="Arial"/>
          <w:color w:val="000000" w:themeColor="text1"/>
          <w:sz w:val="22"/>
          <w:szCs w:val="22"/>
          <w:lang w:val="es-ES_tradnl"/>
        </w:rPr>
        <w:t xml:space="preserve"> petroleras y ahorro por la desvinculación del personal, respecto al escenario</w:t>
      </w:r>
      <w:r w:rsidR="00C95BF9" w:rsidRPr="00F85253">
        <w:rPr>
          <w:rFonts w:ascii="Arial" w:hAnsi="Arial" w:cs="Arial"/>
          <w:color w:val="000000" w:themeColor="text1"/>
          <w:sz w:val="22"/>
          <w:szCs w:val="22"/>
          <w:lang w:val="es-ES_tradnl"/>
        </w:rPr>
        <w:t xml:space="preserve"> presentado en la tabla 1</w:t>
      </w:r>
      <w:r w:rsidRPr="00F85253">
        <w:rPr>
          <w:rFonts w:ascii="Arial" w:hAnsi="Arial" w:cs="Arial"/>
          <w:color w:val="000000" w:themeColor="text1"/>
          <w:sz w:val="22"/>
          <w:szCs w:val="22"/>
          <w:lang w:val="es-ES_tradnl"/>
        </w:rPr>
        <w:t>. Se evidencia que al final del año 2028, en el presente escenario, las inversiones del programa registran un V</w:t>
      </w:r>
      <w:r w:rsidR="00DC5734" w:rsidRPr="00F85253">
        <w:rPr>
          <w:rFonts w:ascii="Arial" w:hAnsi="Arial" w:cs="Arial"/>
          <w:color w:val="000000" w:themeColor="text1"/>
          <w:sz w:val="22"/>
          <w:szCs w:val="22"/>
          <w:lang w:val="es-ES_tradnl"/>
        </w:rPr>
        <w:t>AN</w:t>
      </w:r>
      <w:r w:rsidRPr="00F85253">
        <w:rPr>
          <w:rFonts w:ascii="Arial" w:hAnsi="Arial" w:cs="Arial"/>
          <w:color w:val="000000" w:themeColor="text1"/>
          <w:sz w:val="22"/>
          <w:szCs w:val="22"/>
          <w:lang w:val="es-ES_tradnl"/>
        </w:rPr>
        <w:t xml:space="preserve"> mayor, con una TIR mayor, al escenario previo, </w:t>
      </w:r>
      <w:r w:rsidRPr="00F85253">
        <w:rPr>
          <w:rFonts w:ascii="Arial" w:hAnsi="Arial" w:cs="Arial"/>
          <w:color w:val="000000" w:themeColor="text1"/>
          <w:sz w:val="22"/>
          <w:szCs w:val="22"/>
          <w:lang w:val="es-ES_tradnl"/>
        </w:rPr>
        <w:lastRenderedPageBreak/>
        <w:t xml:space="preserve">evidenciando que el ahorro por desvinculaciones afecta en gran proporción a la rentabilidad del programa. </w:t>
      </w:r>
      <w:r w:rsidRPr="00F85253">
        <w:rPr>
          <w:rFonts w:ascii="Arial" w:hAnsi="Arial" w:cs="Arial"/>
          <w:lang w:val="es-ES_tradnl"/>
        </w:rPr>
        <w:br w:type="page"/>
      </w:r>
    </w:p>
    <w:p w14:paraId="672F4A81" w14:textId="77777777" w:rsidR="00891AC2" w:rsidRPr="00F85253" w:rsidRDefault="00891AC2" w:rsidP="00891AC2">
      <w:pPr>
        <w:pStyle w:val="Paragraph"/>
        <w:tabs>
          <w:tab w:val="num" w:pos="2196"/>
        </w:tabs>
        <w:spacing w:before="0" w:after="0" w:line="276" w:lineRule="auto"/>
        <w:outlineLvl w:val="9"/>
        <w:rPr>
          <w:rFonts w:ascii="Arial" w:hAnsi="Arial" w:cs="Arial"/>
          <w:sz w:val="22"/>
          <w:szCs w:val="22"/>
          <w:lang w:val="es-ES_tradnl"/>
        </w:rPr>
        <w:sectPr w:rsidR="00891AC2" w:rsidRPr="00F85253">
          <w:pgSz w:w="11906" w:h="16838"/>
          <w:pgMar w:top="994" w:right="1440" w:bottom="1166" w:left="1354" w:header="720" w:footer="720" w:gutter="0"/>
          <w:cols w:space="720"/>
          <w:docGrid w:linePitch="360"/>
        </w:sectPr>
      </w:pPr>
    </w:p>
    <w:p w14:paraId="1C4A2AB4" w14:textId="4B6DE447" w:rsidR="00891AC2" w:rsidRPr="00F85253" w:rsidRDefault="00891AC2" w:rsidP="00891AC2">
      <w:pPr>
        <w:pStyle w:val="Caption"/>
        <w:keepNext/>
        <w:spacing w:line="276" w:lineRule="auto"/>
        <w:jc w:val="both"/>
        <w:rPr>
          <w:rFonts w:ascii="Arial" w:hAnsi="Arial" w:cs="Arial"/>
        </w:rPr>
      </w:pPr>
      <w:r w:rsidRPr="00F85253">
        <w:rPr>
          <w:rFonts w:ascii="Arial" w:hAnsi="Arial" w:cs="Arial"/>
        </w:rPr>
        <w:lastRenderedPageBreak/>
        <w:t>Tabla</w:t>
      </w:r>
      <w:r w:rsidR="0038426D" w:rsidRPr="00F85253">
        <w:rPr>
          <w:rFonts w:ascii="Arial" w:hAnsi="Arial" w:cs="Arial"/>
        </w:rPr>
        <w:t xml:space="preserve"> </w:t>
      </w:r>
      <w:r w:rsidR="00066619" w:rsidRPr="00F85253">
        <w:rPr>
          <w:rFonts w:ascii="Arial" w:hAnsi="Arial" w:cs="Arial"/>
        </w:rPr>
        <w:t>6</w:t>
      </w:r>
      <w:r w:rsidR="00FD4DC8" w:rsidRPr="00F85253">
        <w:rPr>
          <w:rFonts w:ascii="Arial" w:hAnsi="Arial" w:cs="Arial"/>
        </w:rPr>
        <w:t xml:space="preserve"> </w:t>
      </w:r>
      <w:r w:rsidRPr="00F85253">
        <w:rPr>
          <w:rFonts w:ascii="Arial" w:hAnsi="Arial" w:cs="Arial"/>
        </w:rPr>
        <w:t xml:space="preserve">Análisis Económico - </w:t>
      </w:r>
      <w:r w:rsidR="00E6186B" w:rsidRPr="00F85253">
        <w:rPr>
          <w:rFonts w:ascii="Arial" w:hAnsi="Arial" w:cs="Arial"/>
        </w:rPr>
        <w:t>Escenario que incluye el monto de inversión realizado por MEF</w:t>
      </w:r>
    </w:p>
    <w:p w14:paraId="64550E2F" w14:textId="77777777" w:rsidR="00891AC2" w:rsidRPr="00F85253" w:rsidRDefault="00891AC2" w:rsidP="00891AC2">
      <w:pPr>
        <w:pStyle w:val="Caption"/>
        <w:keepNext/>
        <w:spacing w:line="276" w:lineRule="auto"/>
        <w:jc w:val="both"/>
        <w:rPr>
          <w:rFonts w:ascii="Arial" w:hAnsi="Arial" w:cs="Arial"/>
        </w:rPr>
      </w:pPr>
      <w:r w:rsidRPr="00F85253">
        <w:rPr>
          <w:rFonts w:ascii="Arial" w:hAnsi="Arial" w:cs="Arial"/>
        </w:rPr>
        <w:t>Millones de dólares constantes de 2018 (tasa de descuento 12%)</w:t>
      </w:r>
    </w:p>
    <w:p w14:paraId="2E0E1643" w14:textId="77777777" w:rsidR="00891AC2" w:rsidRPr="00F85253" w:rsidRDefault="00891AC2" w:rsidP="00891AC2">
      <w:pPr>
        <w:pStyle w:val="Paragraph"/>
        <w:tabs>
          <w:tab w:val="num" w:pos="2196"/>
        </w:tabs>
        <w:spacing w:before="0" w:after="0" w:line="276" w:lineRule="auto"/>
        <w:ind w:left="720"/>
        <w:outlineLvl w:val="9"/>
        <w:rPr>
          <w:rFonts w:ascii="Arial" w:hAnsi="Arial" w:cs="Arial"/>
          <w:sz w:val="22"/>
          <w:szCs w:val="22"/>
          <w:lang w:val="es-ES_tradnl"/>
        </w:rPr>
      </w:pPr>
    </w:p>
    <w:p w14:paraId="6D78E579" w14:textId="77777777" w:rsidR="00891AC2" w:rsidRPr="00F85253" w:rsidRDefault="00891AC2" w:rsidP="00891AC2">
      <w:pPr>
        <w:pStyle w:val="Paragraph"/>
        <w:tabs>
          <w:tab w:val="num" w:pos="2196"/>
        </w:tabs>
        <w:spacing w:before="0" w:after="0" w:line="276" w:lineRule="auto"/>
        <w:ind w:left="720"/>
        <w:outlineLvl w:val="9"/>
        <w:rPr>
          <w:rFonts w:ascii="Arial" w:hAnsi="Arial" w:cs="Arial"/>
          <w:sz w:val="22"/>
          <w:szCs w:val="22"/>
          <w:lang w:val="es-ES_tradnl"/>
        </w:rPr>
      </w:pPr>
    </w:p>
    <w:tbl>
      <w:tblPr>
        <w:tblW w:w="15253" w:type="dxa"/>
        <w:tblInd w:w="55" w:type="dxa"/>
        <w:tblCellMar>
          <w:left w:w="70" w:type="dxa"/>
          <w:right w:w="70" w:type="dxa"/>
        </w:tblCellMar>
        <w:tblLook w:val="04A0" w:firstRow="1" w:lastRow="0" w:firstColumn="1" w:lastColumn="0" w:noHBand="0" w:noVBand="1"/>
      </w:tblPr>
      <w:tblGrid>
        <w:gridCol w:w="4268"/>
        <w:gridCol w:w="1134"/>
        <w:gridCol w:w="992"/>
        <w:gridCol w:w="1134"/>
        <w:gridCol w:w="1134"/>
        <w:gridCol w:w="1005"/>
        <w:gridCol w:w="1186"/>
        <w:gridCol w:w="880"/>
        <w:gridCol w:w="880"/>
        <w:gridCol w:w="880"/>
        <w:gridCol w:w="880"/>
        <w:gridCol w:w="880"/>
      </w:tblGrid>
      <w:tr w:rsidR="00F570BB" w:rsidRPr="00F85253" w14:paraId="4A818977" w14:textId="77777777" w:rsidTr="00F85253">
        <w:trPr>
          <w:trHeight w:val="270"/>
        </w:trPr>
        <w:tc>
          <w:tcPr>
            <w:tcW w:w="4268" w:type="dxa"/>
            <w:tcBorders>
              <w:top w:val="single" w:sz="8" w:space="0" w:color="auto"/>
              <w:left w:val="single" w:sz="8" w:space="0" w:color="auto"/>
              <w:bottom w:val="single" w:sz="8" w:space="0" w:color="auto"/>
              <w:right w:val="nil"/>
            </w:tcBorders>
            <w:shd w:val="clear" w:color="000000" w:fill="FFFFFF"/>
            <w:noWrap/>
            <w:vAlign w:val="bottom"/>
            <w:hideMark/>
          </w:tcPr>
          <w:p w14:paraId="621C9AF6" w14:textId="77777777" w:rsidR="00F570BB" w:rsidRPr="00F85253" w:rsidRDefault="00F570BB" w:rsidP="00F570BB">
            <w:pPr>
              <w:spacing w:after="0" w:line="240" w:lineRule="auto"/>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ITEM</w:t>
            </w:r>
          </w:p>
        </w:tc>
        <w:tc>
          <w:tcPr>
            <w:tcW w:w="1134" w:type="dxa"/>
            <w:tcBorders>
              <w:top w:val="single" w:sz="8" w:space="0" w:color="auto"/>
              <w:left w:val="nil"/>
              <w:bottom w:val="single" w:sz="8" w:space="0" w:color="auto"/>
              <w:right w:val="nil"/>
            </w:tcBorders>
            <w:shd w:val="clear" w:color="000000" w:fill="FFFFFF"/>
            <w:noWrap/>
            <w:vAlign w:val="bottom"/>
            <w:hideMark/>
          </w:tcPr>
          <w:p w14:paraId="7E71AB00" w14:textId="77777777" w:rsidR="00F570BB" w:rsidRPr="00F85253" w:rsidRDefault="00F570BB" w:rsidP="00F570BB">
            <w:pPr>
              <w:spacing w:after="0" w:line="240" w:lineRule="auto"/>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Subtotal </w:t>
            </w:r>
          </w:p>
        </w:tc>
        <w:tc>
          <w:tcPr>
            <w:tcW w:w="992" w:type="dxa"/>
            <w:tcBorders>
              <w:top w:val="single" w:sz="8" w:space="0" w:color="auto"/>
              <w:left w:val="single" w:sz="8" w:space="0" w:color="auto"/>
              <w:bottom w:val="single" w:sz="8" w:space="0" w:color="auto"/>
              <w:right w:val="nil"/>
            </w:tcBorders>
            <w:shd w:val="clear" w:color="000000" w:fill="FFFFFF"/>
            <w:noWrap/>
            <w:vAlign w:val="bottom"/>
            <w:hideMark/>
          </w:tcPr>
          <w:p w14:paraId="69BA24D2" w14:textId="77777777" w:rsidR="00F570BB" w:rsidRPr="00F85253" w:rsidRDefault="00F570BB" w:rsidP="00F570BB">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2019</w:t>
            </w:r>
          </w:p>
        </w:tc>
        <w:tc>
          <w:tcPr>
            <w:tcW w:w="1134" w:type="dxa"/>
            <w:tcBorders>
              <w:top w:val="single" w:sz="8" w:space="0" w:color="auto"/>
              <w:left w:val="nil"/>
              <w:bottom w:val="single" w:sz="8" w:space="0" w:color="auto"/>
              <w:right w:val="nil"/>
            </w:tcBorders>
            <w:shd w:val="clear" w:color="000000" w:fill="FFFFFF"/>
            <w:noWrap/>
            <w:vAlign w:val="bottom"/>
            <w:hideMark/>
          </w:tcPr>
          <w:p w14:paraId="25237604" w14:textId="77777777" w:rsidR="00F570BB" w:rsidRPr="00F85253" w:rsidRDefault="00F570BB" w:rsidP="00F570BB">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2020</w:t>
            </w:r>
          </w:p>
        </w:tc>
        <w:tc>
          <w:tcPr>
            <w:tcW w:w="1134" w:type="dxa"/>
            <w:tcBorders>
              <w:top w:val="single" w:sz="8" w:space="0" w:color="auto"/>
              <w:left w:val="nil"/>
              <w:bottom w:val="single" w:sz="8" w:space="0" w:color="auto"/>
              <w:right w:val="nil"/>
            </w:tcBorders>
            <w:shd w:val="clear" w:color="000000" w:fill="FFFFFF"/>
            <w:noWrap/>
            <w:vAlign w:val="bottom"/>
            <w:hideMark/>
          </w:tcPr>
          <w:p w14:paraId="5C73363E" w14:textId="77777777" w:rsidR="00F570BB" w:rsidRPr="00F85253" w:rsidRDefault="00F570BB" w:rsidP="00F570BB">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2021</w:t>
            </w:r>
          </w:p>
        </w:tc>
        <w:tc>
          <w:tcPr>
            <w:tcW w:w="1005" w:type="dxa"/>
            <w:tcBorders>
              <w:top w:val="single" w:sz="8" w:space="0" w:color="auto"/>
              <w:left w:val="nil"/>
              <w:bottom w:val="single" w:sz="8" w:space="0" w:color="auto"/>
              <w:right w:val="single" w:sz="8" w:space="0" w:color="auto"/>
            </w:tcBorders>
            <w:shd w:val="clear" w:color="000000" w:fill="FFFFFF"/>
            <w:noWrap/>
            <w:vAlign w:val="bottom"/>
            <w:hideMark/>
          </w:tcPr>
          <w:p w14:paraId="4AF4CA9B" w14:textId="77777777" w:rsidR="00F570BB" w:rsidRPr="00F85253" w:rsidRDefault="00F570BB" w:rsidP="00F570BB">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2022</w:t>
            </w:r>
          </w:p>
        </w:tc>
        <w:tc>
          <w:tcPr>
            <w:tcW w:w="1186" w:type="dxa"/>
            <w:tcBorders>
              <w:top w:val="single" w:sz="8" w:space="0" w:color="auto"/>
              <w:left w:val="nil"/>
              <w:bottom w:val="single" w:sz="8" w:space="0" w:color="auto"/>
              <w:right w:val="nil"/>
            </w:tcBorders>
            <w:shd w:val="clear" w:color="000000" w:fill="FFFFFF"/>
            <w:noWrap/>
            <w:vAlign w:val="bottom"/>
            <w:hideMark/>
          </w:tcPr>
          <w:p w14:paraId="2C0D6D3C" w14:textId="77777777" w:rsidR="00F570BB" w:rsidRPr="00F85253" w:rsidRDefault="00F570BB" w:rsidP="00F570BB">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2023</w:t>
            </w:r>
          </w:p>
        </w:tc>
        <w:tc>
          <w:tcPr>
            <w:tcW w:w="880" w:type="dxa"/>
            <w:tcBorders>
              <w:top w:val="single" w:sz="8" w:space="0" w:color="auto"/>
              <w:left w:val="nil"/>
              <w:bottom w:val="single" w:sz="8" w:space="0" w:color="auto"/>
              <w:right w:val="nil"/>
            </w:tcBorders>
            <w:shd w:val="clear" w:color="000000" w:fill="FFFFFF"/>
            <w:noWrap/>
            <w:vAlign w:val="bottom"/>
            <w:hideMark/>
          </w:tcPr>
          <w:p w14:paraId="1A2450DE" w14:textId="77777777" w:rsidR="00F570BB" w:rsidRPr="00F85253" w:rsidRDefault="00F570BB" w:rsidP="00F570BB">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2024</w:t>
            </w:r>
          </w:p>
        </w:tc>
        <w:tc>
          <w:tcPr>
            <w:tcW w:w="880" w:type="dxa"/>
            <w:tcBorders>
              <w:top w:val="single" w:sz="8" w:space="0" w:color="auto"/>
              <w:left w:val="nil"/>
              <w:bottom w:val="single" w:sz="8" w:space="0" w:color="auto"/>
              <w:right w:val="nil"/>
            </w:tcBorders>
            <w:shd w:val="clear" w:color="000000" w:fill="FFFFFF"/>
            <w:noWrap/>
            <w:vAlign w:val="bottom"/>
            <w:hideMark/>
          </w:tcPr>
          <w:p w14:paraId="7E3F25B8" w14:textId="77777777" w:rsidR="00F570BB" w:rsidRPr="00F85253" w:rsidRDefault="00F570BB" w:rsidP="00F570BB">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2025</w:t>
            </w:r>
          </w:p>
        </w:tc>
        <w:tc>
          <w:tcPr>
            <w:tcW w:w="880" w:type="dxa"/>
            <w:tcBorders>
              <w:top w:val="single" w:sz="8" w:space="0" w:color="auto"/>
              <w:left w:val="nil"/>
              <w:bottom w:val="single" w:sz="8" w:space="0" w:color="auto"/>
              <w:right w:val="nil"/>
            </w:tcBorders>
            <w:shd w:val="clear" w:color="000000" w:fill="FFFFFF"/>
            <w:noWrap/>
            <w:vAlign w:val="bottom"/>
            <w:hideMark/>
          </w:tcPr>
          <w:p w14:paraId="5796F236" w14:textId="77777777" w:rsidR="00F570BB" w:rsidRPr="00F85253" w:rsidRDefault="00F570BB" w:rsidP="00F570BB">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2026</w:t>
            </w:r>
          </w:p>
        </w:tc>
        <w:tc>
          <w:tcPr>
            <w:tcW w:w="880" w:type="dxa"/>
            <w:tcBorders>
              <w:top w:val="single" w:sz="8" w:space="0" w:color="auto"/>
              <w:left w:val="nil"/>
              <w:bottom w:val="single" w:sz="8" w:space="0" w:color="auto"/>
              <w:right w:val="nil"/>
            </w:tcBorders>
            <w:shd w:val="clear" w:color="000000" w:fill="FFFFFF"/>
            <w:noWrap/>
            <w:vAlign w:val="bottom"/>
            <w:hideMark/>
          </w:tcPr>
          <w:p w14:paraId="54D6F0E2" w14:textId="77777777" w:rsidR="00F570BB" w:rsidRPr="00F85253" w:rsidRDefault="00F570BB" w:rsidP="00F570BB">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2027</w:t>
            </w:r>
          </w:p>
        </w:tc>
        <w:tc>
          <w:tcPr>
            <w:tcW w:w="880" w:type="dxa"/>
            <w:tcBorders>
              <w:top w:val="single" w:sz="8" w:space="0" w:color="auto"/>
              <w:left w:val="nil"/>
              <w:bottom w:val="single" w:sz="8" w:space="0" w:color="auto"/>
              <w:right w:val="single" w:sz="8" w:space="0" w:color="auto"/>
            </w:tcBorders>
            <w:shd w:val="clear" w:color="000000" w:fill="FFFFFF"/>
            <w:noWrap/>
            <w:vAlign w:val="bottom"/>
            <w:hideMark/>
          </w:tcPr>
          <w:p w14:paraId="54E40430" w14:textId="77777777" w:rsidR="00F570BB" w:rsidRPr="00F85253" w:rsidRDefault="00F570BB" w:rsidP="00F570BB">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2028</w:t>
            </w:r>
          </w:p>
        </w:tc>
      </w:tr>
      <w:tr w:rsidR="00F570BB" w:rsidRPr="00F85253" w14:paraId="23F8A31C" w14:textId="77777777" w:rsidTr="00F85253">
        <w:trPr>
          <w:trHeight w:val="255"/>
        </w:trPr>
        <w:tc>
          <w:tcPr>
            <w:tcW w:w="4268" w:type="dxa"/>
            <w:tcBorders>
              <w:top w:val="nil"/>
              <w:left w:val="single" w:sz="8" w:space="0" w:color="auto"/>
              <w:bottom w:val="nil"/>
              <w:right w:val="nil"/>
            </w:tcBorders>
            <w:shd w:val="clear" w:color="000000" w:fill="FFFFFF"/>
            <w:noWrap/>
            <w:vAlign w:val="bottom"/>
            <w:hideMark/>
          </w:tcPr>
          <w:p w14:paraId="668386E0" w14:textId="77777777" w:rsidR="00F570BB" w:rsidRPr="00F85253" w:rsidRDefault="00F570BB" w:rsidP="00F570BB">
            <w:pPr>
              <w:spacing w:after="0" w:line="240" w:lineRule="auto"/>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Beneficios Económicos</w:t>
            </w:r>
          </w:p>
        </w:tc>
        <w:tc>
          <w:tcPr>
            <w:tcW w:w="1134" w:type="dxa"/>
            <w:tcBorders>
              <w:top w:val="nil"/>
              <w:left w:val="nil"/>
              <w:bottom w:val="nil"/>
              <w:right w:val="nil"/>
            </w:tcBorders>
            <w:shd w:val="clear" w:color="000000" w:fill="FFFFFF"/>
            <w:noWrap/>
            <w:vAlign w:val="bottom"/>
            <w:hideMark/>
          </w:tcPr>
          <w:p w14:paraId="5EDA27C0" w14:textId="77777777" w:rsidR="00F570BB" w:rsidRPr="00F85253" w:rsidRDefault="00F570BB" w:rsidP="00F570BB">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w:t>
            </w:r>
          </w:p>
        </w:tc>
        <w:tc>
          <w:tcPr>
            <w:tcW w:w="992" w:type="dxa"/>
            <w:tcBorders>
              <w:top w:val="nil"/>
              <w:left w:val="single" w:sz="8" w:space="0" w:color="auto"/>
              <w:bottom w:val="nil"/>
              <w:right w:val="nil"/>
            </w:tcBorders>
            <w:shd w:val="clear" w:color="000000" w:fill="FFFFFF"/>
            <w:noWrap/>
            <w:vAlign w:val="bottom"/>
            <w:hideMark/>
          </w:tcPr>
          <w:p w14:paraId="7233CB8F" w14:textId="77777777" w:rsidR="00F570BB" w:rsidRPr="00F85253" w:rsidRDefault="00F570BB" w:rsidP="00F570BB">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w:t>
            </w:r>
          </w:p>
        </w:tc>
        <w:tc>
          <w:tcPr>
            <w:tcW w:w="1134" w:type="dxa"/>
            <w:tcBorders>
              <w:top w:val="nil"/>
              <w:left w:val="nil"/>
              <w:bottom w:val="nil"/>
              <w:right w:val="nil"/>
            </w:tcBorders>
            <w:shd w:val="clear" w:color="000000" w:fill="FFFFFF"/>
            <w:noWrap/>
            <w:vAlign w:val="bottom"/>
            <w:hideMark/>
          </w:tcPr>
          <w:p w14:paraId="481532D9"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1134" w:type="dxa"/>
            <w:tcBorders>
              <w:top w:val="nil"/>
              <w:left w:val="nil"/>
              <w:bottom w:val="nil"/>
              <w:right w:val="nil"/>
            </w:tcBorders>
            <w:shd w:val="clear" w:color="000000" w:fill="FFFFFF"/>
            <w:noWrap/>
            <w:vAlign w:val="bottom"/>
            <w:hideMark/>
          </w:tcPr>
          <w:p w14:paraId="704C7915"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1005" w:type="dxa"/>
            <w:tcBorders>
              <w:top w:val="nil"/>
              <w:left w:val="nil"/>
              <w:bottom w:val="nil"/>
              <w:right w:val="single" w:sz="8" w:space="0" w:color="auto"/>
            </w:tcBorders>
            <w:shd w:val="clear" w:color="000000" w:fill="FFFFFF"/>
            <w:noWrap/>
            <w:vAlign w:val="bottom"/>
            <w:hideMark/>
          </w:tcPr>
          <w:p w14:paraId="40CE1B0E"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1186" w:type="dxa"/>
            <w:tcBorders>
              <w:top w:val="nil"/>
              <w:left w:val="nil"/>
              <w:bottom w:val="nil"/>
              <w:right w:val="nil"/>
            </w:tcBorders>
            <w:shd w:val="clear" w:color="000000" w:fill="FFFFFF"/>
            <w:noWrap/>
            <w:vAlign w:val="bottom"/>
            <w:hideMark/>
          </w:tcPr>
          <w:p w14:paraId="3DF0CED0"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880" w:type="dxa"/>
            <w:tcBorders>
              <w:top w:val="nil"/>
              <w:left w:val="nil"/>
              <w:bottom w:val="nil"/>
              <w:right w:val="nil"/>
            </w:tcBorders>
            <w:shd w:val="clear" w:color="000000" w:fill="FFFFFF"/>
            <w:noWrap/>
            <w:vAlign w:val="bottom"/>
            <w:hideMark/>
          </w:tcPr>
          <w:p w14:paraId="5A3ADC86"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880" w:type="dxa"/>
            <w:tcBorders>
              <w:top w:val="nil"/>
              <w:left w:val="nil"/>
              <w:bottom w:val="nil"/>
              <w:right w:val="nil"/>
            </w:tcBorders>
            <w:shd w:val="clear" w:color="000000" w:fill="FFFFFF"/>
            <w:noWrap/>
            <w:vAlign w:val="bottom"/>
            <w:hideMark/>
          </w:tcPr>
          <w:p w14:paraId="1F2AEE27"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880" w:type="dxa"/>
            <w:tcBorders>
              <w:top w:val="nil"/>
              <w:left w:val="nil"/>
              <w:bottom w:val="nil"/>
              <w:right w:val="nil"/>
            </w:tcBorders>
            <w:shd w:val="clear" w:color="000000" w:fill="FFFFFF"/>
            <w:noWrap/>
            <w:vAlign w:val="bottom"/>
            <w:hideMark/>
          </w:tcPr>
          <w:p w14:paraId="4CFF101B"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880" w:type="dxa"/>
            <w:tcBorders>
              <w:top w:val="nil"/>
              <w:left w:val="nil"/>
              <w:bottom w:val="nil"/>
              <w:right w:val="nil"/>
            </w:tcBorders>
            <w:shd w:val="clear" w:color="000000" w:fill="FFFFFF"/>
            <w:noWrap/>
            <w:vAlign w:val="bottom"/>
            <w:hideMark/>
          </w:tcPr>
          <w:p w14:paraId="7019AFA7"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880" w:type="dxa"/>
            <w:tcBorders>
              <w:top w:val="nil"/>
              <w:left w:val="nil"/>
              <w:bottom w:val="nil"/>
              <w:right w:val="single" w:sz="8" w:space="0" w:color="auto"/>
            </w:tcBorders>
            <w:shd w:val="clear" w:color="000000" w:fill="FFFFFF"/>
            <w:noWrap/>
            <w:vAlign w:val="bottom"/>
            <w:hideMark/>
          </w:tcPr>
          <w:p w14:paraId="24747D53"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r>
      <w:tr w:rsidR="00F570BB" w:rsidRPr="00F85253" w14:paraId="3CD4E48E" w14:textId="77777777" w:rsidTr="00F85253">
        <w:trPr>
          <w:trHeight w:val="255"/>
        </w:trPr>
        <w:tc>
          <w:tcPr>
            <w:tcW w:w="4268" w:type="dxa"/>
            <w:tcBorders>
              <w:top w:val="nil"/>
              <w:left w:val="single" w:sz="8" w:space="0" w:color="auto"/>
              <w:bottom w:val="nil"/>
              <w:right w:val="nil"/>
            </w:tcBorders>
            <w:shd w:val="clear" w:color="000000" w:fill="FFFFFF"/>
            <w:noWrap/>
            <w:vAlign w:val="bottom"/>
            <w:hideMark/>
          </w:tcPr>
          <w:p w14:paraId="1496275E" w14:textId="77777777" w:rsidR="00F570BB" w:rsidRPr="00F85253" w:rsidRDefault="00F570BB" w:rsidP="00F570BB">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C. Evitados por Desvinculación</w:t>
            </w:r>
          </w:p>
        </w:tc>
        <w:tc>
          <w:tcPr>
            <w:tcW w:w="1134" w:type="dxa"/>
            <w:tcBorders>
              <w:top w:val="nil"/>
              <w:left w:val="nil"/>
              <w:bottom w:val="nil"/>
              <w:right w:val="nil"/>
            </w:tcBorders>
            <w:shd w:val="clear" w:color="000000" w:fill="FFFFFF"/>
            <w:noWrap/>
            <w:vAlign w:val="bottom"/>
            <w:hideMark/>
          </w:tcPr>
          <w:p w14:paraId="5F70EB7B" w14:textId="77777777" w:rsidR="00F570BB" w:rsidRPr="00F85253" w:rsidRDefault="00F570BB" w:rsidP="00F570BB">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w:t>
            </w:r>
            <w:proofErr w:type="gramStart"/>
            <w:r w:rsidRPr="00F85253">
              <w:rPr>
                <w:rFonts w:ascii="Arial" w:eastAsia="Times New Roman" w:hAnsi="Arial" w:cs="Arial"/>
                <w:b/>
                <w:bCs/>
                <w:sz w:val="20"/>
                <w:szCs w:val="20"/>
                <w:lang w:val="es-EC" w:eastAsia="es-EC"/>
              </w:rPr>
              <w:t>$  864.00</w:t>
            </w:r>
            <w:proofErr w:type="gramEnd"/>
            <w:r w:rsidRPr="00F85253">
              <w:rPr>
                <w:rFonts w:ascii="Arial" w:eastAsia="Times New Roman" w:hAnsi="Arial" w:cs="Arial"/>
                <w:b/>
                <w:bCs/>
                <w:sz w:val="20"/>
                <w:szCs w:val="20"/>
                <w:lang w:val="es-EC" w:eastAsia="es-EC"/>
              </w:rPr>
              <w:t xml:space="preserve"> </w:t>
            </w:r>
          </w:p>
        </w:tc>
        <w:tc>
          <w:tcPr>
            <w:tcW w:w="992" w:type="dxa"/>
            <w:tcBorders>
              <w:top w:val="nil"/>
              <w:left w:val="single" w:sz="8" w:space="0" w:color="auto"/>
              <w:bottom w:val="nil"/>
              <w:right w:val="nil"/>
            </w:tcBorders>
            <w:shd w:val="clear" w:color="000000" w:fill="FFFFFF"/>
            <w:noWrap/>
            <w:vAlign w:val="bottom"/>
            <w:hideMark/>
          </w:tcPr>
          <w:p w14:paraId="0A06BF94"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1134" w:type="dxa"/>
            <w:tcBorders>
              <w:top w:val="nil"/>
              <w:left w:val="nil"/>
              <w:bottom w:val="nil"/>
              <w:right w:val="nil"/>
            </w:tcBorders>
            <w:shd w:val="clear" w:color="000000" w:fill="FFFFFF"/>
            <w:noWrap/>
            <w:vAlign w:val="bottom"/>
            <w:hideMark/>
          </w:tcPr>
          <w:p w14:paraId="3FF047D7"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1134" w:type="dxa"/>
            <w:tcBorders>
              <w:top w:val="nil"/>
              <w:left w:val="nil"/>
              <w:bottom w:val="nil"/>
              <w:right w:val="nil"/>
            </w:tcBorders>
            <w:shd w:val="clear" w:color="000000" w:fill="FFFFFF"/>
            <w:noWrap/>
            <w:vAlign w:val="bottom"/>
            <w:hideMark/>
          </w:tcPr>
          <w:p w14:paraId="0000C9FE"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108.00 </w:t>
            </w:r>
          </w:p>
        </w:tc>
        <w:tc>
          <w:tcPr>
            <w:tcW w:w="1005" w:type="dxa"/>
            <w:tcBorders>
              <w:top w:val="nil"/>
              <w:left w:val="nil"/>
              <w:bottom w:val="nil"/>
              <w:right w:val="single" w:sz="8" w:space="0" w:color="auto"/>
            </w:tcBorders>
            <w:shd w:val="clear" w:color="000000" w:fill="FFFFFF"/>
            <w:noWrap/>
            <w:vAlign w:val="bottom"/>
            <w:hideMark/>
          </w:tcPr>
          <w:p w14:paraId="3951C24E"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$108.00 </w:t>
            </w:r>
          </w:p>
        </w:tc>
        <w:tc>
          <w:tcPr>
            <w:tcW w:w="1186" w:type="dxa"/>
            <w:tcBorders>
              <w:top w:val="nil"/>
              <w:left w:val="nil"/>
              <w:bottom w:val="nil"/>
              <w:right w:val="nil"/>
            </w:tcBorders>
            <w:shd w:val="clear" w:color="000000" w:fill="FFFFFF"/>
            <w:noWrap/>
            <w:vAlign w:val="bottom"/>
            <w:hideMark/>
          </w:tcPr>
          <w:p w14:paraId="10980A8C"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$ 108.00 </w:t>
            </w:r>
          </w:p>
        </w:tc>
        <w:tc>
          <w:tcPr>
            <w:tcW w:w="880" w:type="dxa"/>
            <w:tcBorders>
              <w:top w:val="nil"/>
              <w:left w:val="nil"/>
              <w:bottom w:val="nil"/>
              <w:right w:val="nil"/>
            </w:tcBorders>
            <w:shd w:val="clear" w:color="000000" w:fill="FFFFFF"/>
            <w:noWrap/>
            <w:vAlign w:val="bottom"/>
            <w:hideMark/>
          </w:tcPr>
          <w:p w14:paraId="33D966D1"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$108.00 </w:t>
            </w:r>
          </w:p>
        </w:tc>
        <w:tc>
          <w:tcPr>
            <w:tcW w:w="880" w:type="dxa"/>
            <w:tcBorders>
              <w:top w:val="nil"/>
              <w:left w:val="nil"/>
              <w:bottom w:val="nil"/>
              <w:right w:val="nil"/>
            </w:tcBorders>
            <w:shd w:val="clear" w:color="000000" w:fill="FFFFFF"/>
            <w:noWrap/>
            <w:vAlign w:val="bottom"/>
            <w:hideMark/>
          </w:tcPr>
          <w:p w14:paraId="364A1E1E"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$108.00 </w:t>
            </w:r>
          </w:p>
        </w:tc>
        <w:tc>
          <w:tcPr>
            <w:tcW w:w="880" w:type="dxa"/>
            <w:tcBorders>
              <w:top w:val="nil"/>
              <w:left w:val="nil"/>
              <w:bottom w:val="nil"/>
              <w:right w:val="nil"/>
            </w:tcBorders>
            <w:shd w:val="clear" w:color="000000" w:fill="FFFFFF"/>
            <w:noWrap/>
            <w:vAlign w:val="bottom"/>
            <w:hideMark/>
          </w:tcPr>
          <w:p w14:paraId="54723598"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$108.00 </w:t>
            </w:r>
          </w:p>
        </w:tc>
        <w:tc>
          <w:tcPr>
            <w:tcW w:w="880" w:type="dxa"/>
            <w:tcBorders>
              <w:top w:val="nil"/>
              <w:left w:val="nil"/>
              <w:bottom w:val="nil"/>
              <w:right w:val="nil"/>
            </w:tcBorders>
            <w:shd w:val="clear" w:color="000000" w:fill="FFFFFF"/>
            <w:noWrap/>
            <w:vAlign w:val="bottom"/>
            <w:hideMark/>
          </w:tcPr>
          <w:p w14:paraId="3C7EFA1C"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$108.00 </w:t>
            </w:r>
          </w:p>
        </w:tc>
        <w:tc>
          <w:tcPr>
            <w:tcW w:w="880" w:type="dxa"/>
            <w:tcBorders>
              <w:top w:val="nil"/>
              <w:left w:val="nil"/>
              <w:bottom w:val="nil"/>
              <w:right w:val="single" w:sz="8" w:space="0" w:color="auto"/>
            </w:tcBorders>
            <w:shd w:val="clear" w:color="000000" w:fill="FFFFFF"/>
            <w:noWrap/>
            <w:vAlign w:val="bottom"/>
            <w:hideMark/>
          </w:tcPr>
          <w:p w14:paraId="6E4DE19B"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$108.00 </w:t>
            </w:r>
          </w:p>
        </w:tc>
      </w:tr>
      <w:tr w:rsidR="00F570BB" w:rsidRPr="00F85253" w14:paraId="706CC5E4" w14:textId="77777777" w:rsidTr="00F85253">
        <w:trPr>
          <w:trHeight w:val="255"/>
        </w:trPr>
        <w:tc>
          <w:tcPr>
            <w:tcW w:w="4268" w:type="dxa"/>
            <w:tcBorders>
              <w:top w:val="nil"/>
              <w:left w:val="single" w:sz="8" w:space="0" w:color="auto"/>
              <w:bottom w:val="nil"/>
              <w:right w:val="nil"/>
            </w:tcBorders>
            <w:shd w:val="clear" w:color="000000" w:fill="FFFFFF"/>
            <w:noWrap/>
            <w:vAlign w:val="bottom"/>
            <w:hideMark/>
          </w:tcPr>
          <w:p w14:paraId="4E50EF21" w14:textId="77777777" w:rsidR="00F570BB" w:rsidRPr="00F85253" w:rsidRDefault="00F570BB" w:rsidP="00F570BB">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C. Evitados por mejor transparencia</w:t>
            </w:r>
          </w:p>
        </w:tc>
        <w:tc>
          <w:tcPr>
            <w:tcW w:w="1134" w:type="dxa"/>
            <w:tcBorders>
              <w:top w:val="nil"/>
              <w:left w:val="nil"/>
              <w:bottom w:val="nil"/>
              <w:right w:val="nil"/>
            </w:tcBorders>
            <w:shd w:val="clear" w:color="000000" w:fill="FFFFFF"/>
            <w:noWrap/>
            <w:vAlign w:val="bottom"/>
            <w:hideMark/>
          </w:tcPr>
          <w:p w14:paraId="11F2B323" w14:textId="77777777" w:rsidR="00F570BB" w:rsidRPr="00F85253" w:rsidRDefault="00F570BB" w:rsidP="00F570BB">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9.01 </w:t>
            </w:r>
          </w:p>
        </w:tc>
        <w:tc>
          <w:tcPr>
            <w:tcW w:w="992" w:type="dxa"/>
            <w:tcBorders>
              <w:top w:val="nil"/>
              <w:left w:val="single" w:sz="8" w:space="0" w:color="auto"/>
              <w:bottom w:val="nil"/>
              <w:right w:val="nil"/>
            </w:tcBorders>
            <w:shd w:val="clear" w:color="000000" w:fill="FFFFFF"/>
            <w:noWrap/>
            <w:vAlign w:val="bottom"/>
            <w:hideMark/>
          </w:tcPr>
          <w:p w14:paraId="26CEF9A4"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1134" w:type="dxa"/>
            <w:tcBorders>
              <w:top w:val="nil"/>
              <w:left w:val="nil"/>
              <w:bottom w:val="nil"/>
              <w:right w:val="nil"/>
            </w:tcBorders>
            <w:shd w:val="clear" w:color="000000" w:fill="FFFFFF"/>
            <w:noWrap/>
            <w:vAlign w:val="bottom"/>
            <w:hideMark/>
          </w:tcPr>
          <w:p w14:paraId="6D4BDDB2"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1134" w:type="dxa"/>
            <w:tcBorders>
              <w:top w:val="nil"/>
              <w:left w:val="nil"/>
              <w:bottom w:val="nil"/>
              <w:right w:val="nil"/>
            </w:tcBorders>
            <w:shd w:val="clear" w:color="000000" w:fill="FFFFFF"/>
            <w:noWrap/>
            <w:vAlign w:val="bottom"/>
            <w:hideMark/>
          </w:tcPr>
          <w:p w14:paraId="1284DCB2"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1005" w:type="dxa"/>
            <w:tcBorders>
              <w:top w:val="nil"/>
              <w:left w:val="nil"/>
              <w:bottom w:val="nil"/>
              <w:right w:val="single" w:sz="8" w:space="0" w:color="auto"/>
            </w:tcBorders>
            <w:shd w:val="clear" w:color="000000" w:fill="FFFFFF"/>
            <w:noWrap/>
            <w:vAlign w:val="bottom"/>
            <w:hideMark/>
          </w:tcPr>
          <w:p w14:paraId="0E1342DA"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1186" w:type="dxa"/>
            <w:tcBorders>
              <w:top w:val="nil"/>
              <w:left w:val="nil"/>
              <w:bottom w:val="nil"/>
              <w:right w:val="nil"/>
            </w:tcBorders>
            <w:shd w:val="clear" w:color="000000" w:fill="FFFFFF"/>
            <w:noWrap/>
            <w:vAlign w:val="bottom"/>
            <w:hideMark/>
          </w:tcPr>
          <w:p w14:paraId="13F862CA"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0.24 </w:t>
            </w:r>
          </w:p>
        </w:tc>
        <w:tc>
          <w:tcPr>
            <w:tcW w:w="880" w:type="dxa"/>
            <w:tcBorders>
              <w:top w:val="nil"/>
              <w:left w:val="nil"/>
              <w:bottom w:val="nil"/>
              <w:right w:val="nil"/>
            </w:tcBorders>
            <w:shd w:val="clear" w:color="000000" w:fill="FFFFFF"/>
            <w:noWrap/>
            <w:vAlign w:val="bottom"/>
            <w:hideMark/>
          </w:tcPr>
          <w:p w14:paraId="3AF29EB3"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0.42 </w:t>
            </w:r>
          </w:p>
        </w:tc>
        <w:tc>
          <w:tcPr>
            <w:tcW w:w="880" w:type="dxa"/>
            <w:tcBorders>
              <w:top w:val="nil"/>
              <w:left w:val="nil"/>
              <w:bottom w:val="nil"/>
              <w:right w:val="nil"/>
            </w:tcBorders>
            <w:shd w:val="clear" w:color="000000" w:fill="FFFFFF"/>
            <w:noWrap/>
            <w:vAlign w:val="bottom"/>
            <w:hideMark/>
          </w:tcPr>
          <w:p w14:paraId="08BEFF2A"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0.74 </w:t>
            </w:r>
          </w:p>
        </w:tc>
        <w:tc>
          <w:tcPr>
            <w:tcW w:w="880" w:type="dxa"/>
            <w:tcBorders>
              <w:top w:val="nil"/>
              <w:left w:val="nil"/>
              <w:bottom w:val="nil"/>
              <w:right w:val="nil"/>
            </w:tcBorders>
            <w:shd w:val="clear" w:color="000000" w:fill="FFFFFF"/>
            <w:noWrap/>
            <w:vAlign w:val="bottom"/>
            <w:hideMark/>
          </w:tcPr>
          <w:p w14:paraId="224FA256"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1.31 </w:t>
            </w:r>
          </w:p>
        </w:tc>
        <w:tc>
          <w:tcPr>
            <w:tcW w:w="880" w:type="dxa"/>
            <w:tcBorders>
              <w:top w:val="nil"/>
              <w:left w:val="nil"/>
              <w:bottom w:val="nil"/>
              <w:right w:val="nil"/>
            </w:tcBorders>
            <w:shd w:val="clear" w:color="000000" w:fill="FFFFFF"/>
            <w:noWrap/>
            <w:vAlign w:val="bottom"/>
            <w:hideMark/>
          </w:tcPr>
          <w:p w14:paraId="641379EF"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2.29 </w:t>
            </w:r>
          </w:p>
        </w:tc>
        <w:tc>
          <w:tcPr>
            <w:tcW w:w="880" w:type="dxa"/>
            <w:tcBorders>
              <w:top w:val="nil"/>
              <w:left w:val="nil"/>
              <w:bottom w:val="nil"/>
              <w:right w:val="single" w:sz="8" w:space="0" w:color="auto"/>
            </w:tcBorders>
            <w:shd w:val="clear" w:color="000000" w:fill="FFFFFF"/>
            <w:noWrap/>
            <w:vAlign w:val="bottom"/>
            <w:hideMark/>
          </w:tcPr>
          <w:p w14:paraId="5A39A49B"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4.01 </w:t>
            </w:r>
          </w:p>
        </w:tc>
      </w:tr>
      <w:tr w:rsidR="00F570BB" w:rsidRPr="00F85253" w14:paraId="031F4194" w14:textId="77777777" w:rsidTr="00F85253">
        <w:trPr>
          <w:trHeight w:val="255"/>
        </w:trPr>
        <w:tc>
          <w:tcPr>
            <w:tcW w:w="4268" w:type="dxa"/>
            <w:tcBorders>
              <w:top w:val="nil"/>
              <w:left w:val="single" w:sz="8" w:space="0" w:color="auto"/>
              <w:bottom w:val="nil"/>
              <w:right w:val="nil"/>
            </w:tcBorders>
            <w:shd w:val="clear" w:color="000000" w:fill="FFFFFF"/>
            <w:noWrap/>
            <w:vAlign w:val="bottom"/>
            <w:hideMark/>
          </w:tcPr>
          <w:p w14:paraId="17F0B823" w14:textId="77777777" w:rsidR="00F570BB" w:rsidRPr="00F85253" w:rsidRDefault="00F570BB" w:rsidP="00F570BB">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C. Evitados por mejor Eficiencia por fusión</w:t>
            </w:r>
          </w:p>
        </w:tc>
        <w:tc>
          <w:tcPr>
            <w:tcW w:w="1134" w:type="dxa"/>
            <w:tcBorders>
              <w:top w:val="nil"/>
              <w:left w:val="nil"/>
              <w:bottom w:val="nil"/>
              <w:right w:val="nil"/>
            </w:tcBorders>
            <w:shd w:val="clear" w:color="000000" w:fill="FFFFFF"/>
            <w:noWrap/>
            <w:vAlign w:val="bottom"/>
            <w:hideMark/>
          </w:tcPr>
          <w:p w14:paraId="08D4D762" w14:textId="77777777" w:rsidR="00F570BB" w:rsidRPr="00F85253" w:rsidRDefault="00F570BB" w:rsidP="00F570BB">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63.91 </w:t>
            </w:r>
          </w:p>
        </w:tc>
        <w:tc>
          <w:tcPr>
            <w:tcW w:w="992" w:type="dxa"/>
            <w:tcBorders>
              <w:top w:val="nil"/>
              <w:left w:val="single" w:sz="8" w:space="0" w:color="auto"/>
              <w:bottom w:val="nil"/>
              <w:right w:val="nil"/>
            </w:tcBorders>
            <w:shd w:val="clear" w:color="000000" w:fill="FFFFFF"/>
            <w:noWrap/>
            <w:vAlign w:val="bottom"/>
            <w:hideMark/>
          </w:tcPr>
          <w:p w14:paraId="685774B6"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1134" w:type="dxa"/>
            <w:tcBorders>
              <w:top w:val="nil"/>
              <w:left w:val="nil"/>
              <w:bottom w:val="nil"/>
              <w:right w:val="nil"/>
            </w:tcBorders>
            <w:shd w:val="clear" w:color="000000" w:fill="FFFFFF"/>
            <w:noWrap/>
            <w:vAlign w:val="bottom"/>
            <w:hideMark/>
          </w:tcPr>
          <w:p w14:paraId="7E25471A"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1134" w:type="dxa"/>
            <w:tcBorders>
              <w:top w:val="nil"/>
              <w:left w:val="nil"/>
              <w:bottom w:val="nil"/>
              <w:right w:val="nil"/>
            </w:tcBorders>
            <w:shd w:val="clear" w:color="000000" w:fill="FFFFFF"/>
            <w:noWrap/>
            <w:vAlign w:val="bottom"/>
            <w:hideMark/>
          </w:tcPr>
          <w:p w14:paraId="77259A3E"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1005" w:type="dxa"/>
            <w:tcBorders>
              <w:top w:val="nil"/>
              <w:left w:val="nil"/>
              <w:bottom w:val="nil"/>
              <w:right w:val="single" w:sz="8" w:space="0" w:color="auto"/>
            </w:tcBorders>
            <w:shd w:val="clear" w:color="000000" w:fill="FFFFFF"/>
            <w:noWrap/>
            <w:vAlign w:val="bottom"/>
            <w:hideMark/>
          </w:tcPr>
          <w:p w14:paraId="789B28A4"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1186" w:type="dxa"/>
            <w:tcBorders>
              <w:top w:val="nil"/>
              <w:left w:val="nil"/>
              <w:bottom w:val="nil"/>
              <w:right w:val="nil"/>
            </w:tcBorders>
            <w:shd w:val="clear" w:color="000000" w:fill="FFFFFF"/>
            <w:noWrap/>
            <w:vAlign w:val="bottom"/>
            <w:hideMark/>
          </w:tcPr>
          <w:p w14:paraId="73731FF9"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2.28 </w:t>
            </w:r>
          </w:p>
        </w:tc>
        <w:tc>
          <w:tcPr>
            <w:tcW w:w="880" w:type="dxa"/>
            <w:tcBorders>
              <w:top w:val="nil"/>
              <w:left w:val="nil"/>
              <w:bottom w:val="nil"/>
              <w:right w:val="nil"/>
            </w:tcBorders>
            <w:shd w:val="clear" w:color="000000" w:fill="FFFFFF"/>
            <w:noWrap/>
            <w:vAlign w:val="bottom"/>
            <w:hideMark/>
          </w:tcPr>
          <w:p w14:paraId="229E922A"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3.73 </w:t>
            </w:r>
          </w:p>
        </w:tc>
        <w:tc>
          <w:tcPr>
            <w:tcW w:w="880" w:type="dxa"/>
            <w:tcBorders>
              <w:top w:val="nil"/>
              <w:left w:val="nil"/>
              <w:bottom w:val="nil"/>
              <w:right w:val="nil"/>
            </w:tcBorders>
            <w:shd w:val="clear" w:color="000000" w:fill="FFFFFF"/>
            <w:noWrap/>
            <w:vAlign w:val="bottom"/>
            <w:hideMark/>
          </w:tcPr>
          <w:p w14:paraId="385A0EBB"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6.08 </w:t>
            </w:r>
          </w:p>
        </w:tc>
        <w:tc>
          <w:tcPr>
            <w:tcW w:w="880" w:type="dxa"/>
            <w:tcBorders>
              <w:top w:val="nil"/>
              <w:left w:val="nil"/>
              <w:bottom w:val="nil"/>
              <w:right w:val="nil"/>
            </w:tcBorders>
            <w:shd w:val="clear" w:color="000000" w:fill="FFFFFF"/>
            <w:noWrap/>
            <w:vAlign w:val="bottom"/>
            <w:hideMark/>
          </w:tcPr>
          <w:p w14:paraId="71F3DB9F"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9.89 </w:t>
            </w:r>
          </w:p>
        </w:tc>
        <w:tc>
          <w:tcPr>
            <w:tcW w:w="880" w:type="dxa"/>
            <w:tcBorders>
              <w:top w:val="nil"/>
              <w:left w:val="nil"/>
              <w:bottom w:val="nil"/>
              <w:right w:val="nil"/>
            </w:tcBorders>
            <w:shd w:val="clear" w:color="000000" w:fill="FFFFFF"/>
            <w:noWrap/>
            <w:vAlign w:val="bottom"/>
            <w:hideMark/>
          </w:tcPr>
          <w:p w14:paraId="333D4BBD"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$ 16.02 </w:t>
            </w:r>
          </w:p>
        </w:tc>
        <w:tc>
          <w:tcPr>
            <w:tcW w:w="880" w:type="dxa"/>
            <w:tcBorders>
              <w:top w:val="nil"/>
              <w:left w:val="nil"/>
              <w:bottom w:val="nil"/>
              <w:right w:val="single" w:sz="8" w:space="0" w:color="auto"/>
            </w:tcBorders>
            <w:shd w:val="clear" w:color="000000" w:fill="FFFFFF"/>
            <w:noWrap/>
            <w:vAlign w:val="bottom"/>
            <w:hideMark/>
          </w:tcPr>
          <w:p w14:paraId="518F5791"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$ 25.90 </w:t>
            </w:r>
          </w:p>
        </w:tc>
      </w:tr>
      <w:tr w:rsidR="00F570BB" w:rsidRPr="00F85253" w14:paraId="75B9759E" w14:textId="77777777" w:rsidTr="00F85253">
        <w:trPr>
          <w:trHeight w:val="255"/>
        </w:trPr>
        <w:tc>
          <w:tcPr>
            <w:tcW w:w="4268" w:type="dxa"/>
            <w:tcBorders>
              <w:top w:val="nil"/>
              <w:left w:val="single" w:sz="8" w:space="0" w:color="auto"/>
              <w:bottom w:val="nil"/>
              <w:right w:val="nil"/>
            </w:tcBorders>
            <w:shd w:val="clear" w:color="000000" w:fill="FFFFFF"/>
            <w:noWrap/>
            <w:vAlign w:val="bottom"/>
            <w:hideMark/>
          </w:tcPr>
          <w:p w14:paraId="61236D75" w14:textId="77777777" w:rsidR="00F570BB" w:rsidRPr="00F85253" w:rsidRDefault="00F570BB" w:rsidP="00F570BB">
            <w:pPr>
              <w:spacing w:after="0" w:line="240" w:lineRule="auto"/>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Subtotal Beneficios</w:t>
            </w:r>
          </w:p>
        </w:tc>
        <w:tc>
          <w:tcPr>
            <w:tcW w:w="1134" w:type="dxa"/>
            <w:tcBorders>
              <w:top w:val="nil"/>
              <w:left w:val="nil"/>
              <w:bottom w:val="nil"/>
              <w:right w:val="nil"/>
            </w:tcBorders>
            <w:shd w:val="clear" w:color="000000" w:fill="FFFFFF"/>
            <w:noWrap/>
            <w:vAlign w:val="bottom"/>
            <w:hideMark/>
          </w:tcPr>
          <w:p w14:paraId="272AFF2B" w14:textId="77777777" w:rsidR="00F570BB" w:rsidRPr="00F85253" w:rsidRDefault="00F570BB" w:rsidP="00F570BB">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w:t>
            </w:r>
            <w:proofErr w:type="gramStart"/>
            <w:r w:rsidRPr="00F85253">
              <w:rPr>
                <w:rFonts w:ascii="Arial" w:eastAsia="Times New Roman" w:hAnsi="Arial" w:cs="Arial"/>
                <w:b/>
                <w:bCs/>
                <w:sz w:val="20"/>
                <w:szCs w:val="20"/>
                <w:lang w:val="es-EC" w:eastAsia="es-EC"/>
              </w:rPr>
              <w:t>$  936.92</w:t>
            </w:r>
            <w:proofErr w:type="gramEnd"/>
            <w:r w:rsidRPr="00F85253">
              <w:rPr>
                <w:rFonts w:ascii="Arial" w:eastAsia="Times New Roman" w:hAnsi="Arial" w:cs="Arial"/>
                <w:b/>
                <w:bCs/>
                <w:sz w:val="20"/>
                <w:szCs w:val="20"/>
                <w:lang w:val="es-EC" w:eastAsia="es-EC"/>
              </w:rPr>
              <w:t xml:space="preserve"> </w:t>
            </w:r>
          </w:p>
        </w:tc>
        <w:tc>
          <w:tcPr>
            <w:tcW w:w="992" w:type="dxa"/>
            <w:tcBorders>
              <w:top w:val="nil"/>
              <w:left w:val="single" w:sz="8" w:space="0" w:color="auto"/>
              <w:bottom w:val="nil"/>
              <w:right w:val="nil"/>
            </w:tcBorders>
            <w:shd w:val="clear" w:color="000000" w:fill="FFFFFF"/>
            <w:noWrap/>
            <w:vAlign w:val="bottom"/>
            <w:hideMark/>
          </w:tcPr>
          <w:p w14:paraId="378BE10C" w14:textId="77777777" w:rsidR="00F570BB" w:rsidRPr="00F85253" w:rsidRDefault="00F570BB" w:rsidP="00F570BB">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   </w:t>
            </w:r>
          </w:p>
        </w:tc>
        <w:tc>
          <w:tcPr>
            <w:tcW w:w="1134" w:type="dxa"/>
            <w:tcBorders>
              <w:top w:val="nil"/>
              <w:left w:val="nil"/>
              <w:bottom w:val="nil"/>
              <w:right w:val="nil"/>
            </w:tcBorders>
            <w:shd w:val="clear" w:color="000000" w:fill="FFFFFF"/>
            <w:noWrap/>
            <w:vAlign w:val="bottom"/>
            <w:hideMark/>
          </w:tcPr>
          <w:p w14:paraId="0C456DB1" w14:textId="77777777" w:rsidR="00F570BB" w:rsidRPr="00F85253" w:rsidRDefault="00F570BB" w:rsidP="00F570BB">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   </w:t>
            </w:r>
          </w:p>
        </w:tc>
        <w:tc>
          <w:tcPr>
            <w:tcW w:w="1134" w:type="dxa"/>
            <w:tcBorders>
              <w:top w:val="nil"/>
              <w:left w:val="nil"/>
              <w:bottom w:val="nil"/>
              <w:right w:val="nil"/>
            </w:tcBorders>
            <w:shd w:val="clear" w:color="000000" w:fill="FFFFFF"/>
            <w:noWrap/>
            <w:vAlign w:val="bottom"/>
            <w:hideMark/>
          </w:tcPr>
          <w:p w14:paraId="5E8DDB18" w14:textId="77777777" w:rsidR="00F570BB" w:rsidRPr="00F85253" w:rsidRDefault="00F570BB" w:rsidP="00F570BB">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108.00 </w:t>
            </w:r>
          </w:p>
        </w:tc>
        <w:tc>
          <w:tcPr>
            <w:tcW w:w="1005" w:type="dxa"/>
            <w:tcBorders>
              <w:top w:val="nil"/>
              <w:left w:val="nil"/>
              <w:bottom w:val="nil"/>
              <w:right w:val="single" w:sz="8" w:space="0" w:color="auto"/>
            </w:tcBorders>
            <w:shd w:val="clear" w:color="000000" w:fill="FFFFFF"/>
            <w:noWrap/>
            <w:vAlign w:val="bottom"/>
            <w:hideMark/>
          </w:tcPr>
          <w:p w14:paraId="031AFF9D" w14:textId="77777777" w:rsidR="00F570BB" w:rsidRPr="00F85253" w:rsidRDefault="00F570BB" w:rsidP="00F570BB">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$108.00 </w:t>
            </w:r>
          </w:p>
        </w:tc>
        <w:tc>
          <w:tcPr>
            <w:tcW w:w="1186" w:type="dxa"/>
            <w:tcBorders>
              <w:top w:val="nil"/>
              <w:left w:val="nil"/>
              <w:bottom w:val="nil"/>
              <w:right w:val="nil"/>
            </w:tcBorders>
            <w:shd w:val="clear" w:color="000000" w:fill="FFFFFF"/>
            <w:noWrap/>
            <w:vAlign w:val="bottom"/>
            <w:hideMark/>
          </w:tcPr>
          <w:p w14:paraId="3DCCDFFC" w14:textId="77777777" w:rsidR="00F570BB" w:rsidRPr="00F85253" w:rsidRDefault="00F570BB" w:rsidP="00F570BB">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$ 110.52 </w:t>
            </w:r>
          </w:p>
        </w:tc>
        <w:tc>
          <w:tcPr>
            <w:tcW w:w="880" w:type="dxa"/>
            <w:tcBorders>
              <w:top w:val="nil"/>
              <w:left w:val="nil"/>
              <w:bottom w:val="nil"/>
              <w:right w:val="nil"/>
            </w:tcBorders>
            <w:shd w:val="clear" w:color="000000" w:fill="FFFFFF"/>
            <w:noWrap/>
            <w:vAlign w:val="bottom"/>
            <w:hideMark/>
          </w:tcPr>
          <w:p w14:paraId="77B997FE" w14:textId="77777777" w:rsidR="00F570BB" w:rsidRPr="00F85253" w:rsidRDefault="00F570BB" w:rsidP="00F570BB">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$112.15 </w:t>
            </w:r>
          </w:p>
        </w:tc>
        <w:tc>
          <w:tcPr>
            <w:tcW w:w="880" w:type="dxa"/>
            <w:tcBorders>
              <w:top w:val="nil"/>
              <w:left w:val="nil"/>
              <w:bottom w:val="nil"/>
              <w:right w:val="nil"/>
            </w:tcBorders>
            <w:shd w:val="clear" w:color="000000" w:fill="FFFFFF"/>
            <w:noWrap/>
            <w:vAlign w:val="bottom"/>
            <w:hideMark/>
          </w:tcPr>
          <w:p w14:paraId="2608ED20" w14:textId="77777777" w:rsidR="00F570BB" w:rsidRPr="00F85253" w:rsidRDefault="00F570BB" w:rsidP="00F570BB">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$114.83 </w:t>
            </w:r>
          </w:p>
        </w:tc>
        <w:tc>
          <w:tcPr>
            <w:tcW w:w="880" w:type="dxa"/>
            <w:tcBorders>
              <w:top w:val="nil"/>
              <w:left w:val="nil"/>
              <w:bottom w:val="nil"/>
              <w:right w:val="nil"/>
            </w:tcBorders>
            <w:shd w:val="clear" w:color="000000" w:fill="FFFFFF"/>
            <w:noWrap/>
            <w:vAlign w:val="bottom"/>
            <w:hideMark/>
          </w:tcPr>
          <w:p w14:paraId="3F7DB639" w14:textId="77777777" w:rsidR="00F570BB" w:rsidRPr="00F85253" w:rsidRDefault="00F570BB" w:rsidP="00F570BB">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$119.19 </w:t>
            </w:r>
          </w:p>
        </w:tc>
        <w:tc>
          <w:tcPr>
            <w:tcW w:w="880" w:type="dxa"/>
            <w:tcBorders>
              <w:top w:val="nil"/>
              <w:left w:val="nil"/>
              <w:bottom w:val="nil"/>
              <w:right w:val="nil"/>
            </w:tcBorders>
            <w:shd w:val="clear" w:color="000000" w:fill="FFFFFF"/>
            <w:noWrap/>
            <w:vAlign w:val="bottom"/>
            <w:hideMark/>
          </w:tcPr>
          <w:p w14:paraId="54C47B21" w14:textId="77777777" w:rsidR="00F570BB" w:rsidRPr="00F85253" w:rsidRDefault="00F570BB" w:rsidP="00F570BB">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$126.31 </w:t>
            </w:r>
          </w:p>
        </w:tc>
        <w:tc>
          <w:tcPr>
            <w:tcW w:w="880" w:type="dxa"/>
            <w:tcBorders>
              <w:top w:val="nil"/>
              <w:left w:val="nil"/>
              <w:bottom w:val="nil"/>
              <w:right w:val="single" w:sz="8" w:space="0" w:color="auto"/>
            </w:tcBorders>
            <w:shd w:val="clear" w:color="000000" w:fill="FFFFFF"/>
            <w:noWrap/>
            <w:vAlign w:val="bottom"/>
            <w:hideMark/>
          </w:tcPr>
          <w:p w14:paraId="10B47356" w14:textId="77777777" w:rsidR="00F570BB" w:rsidRPr="00F85253" w:rsidRDefault="00F570BB" w:rsidP="00F570BB">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$137.91 </w:t>
            </w:r>
          </w:p>
        </w:tc>
      </w:tr>
      <w:tr w:rsidR="00F570BB" w:rsidRPr="00F85253" w14:paraId="585E21D1" w14:textId="77777777" w:rsidTr="00F85253">
        <w:trPr>
          <w:trHeight w:val="255"/>
        </w:trPr>
        <w:tc>
          <w:tcPr>
            <w:tcW w:w="4268" w:type="dxa"/>
            <w:tcBorders>
              <w:top w:val="nil"/>
              <w:left w:val="single" w:sz="8" w:space="0" w:color="auto"/>
              <w:bottom w:val="nil"/>
              <w:right w:val="nil"/>
            </w:tcBorders>
            <w:shd w:val="clear" w:color="000000" w:fill="FFFFFF"/>
            <w:noWrap/>
            <w:vAlign w:val="bottom"/>
            <w:hideMark/>
          </w:tcPr>
          <w:p w14:paraId="66E22442" w14:textId="77777777" w:rsidR="00F570BB" w:rsidRPr="00F85253" w:rsidRDefault="00F570BB" w:rsidP="00F570BB">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1134" w:type="dxa"/>
            <w:tcBorders>
              <w:top w:val="nil"/>
              <w:left w:val="nil"/>
              <w:bottom w:val="nil"/>
              <w:right w:val="nil"/>
            </w:tcBorders>
            <w:shd w:val="clear" w:color="000000" w:fill="FFFFFF"/>
            <w:noWrap/>
            <w:vAlign w:val="bottom"/>
            <w:hideMark/>
          </w:tcPr>
          <w:p w14:paraId="0C95ED8B" w14:textId="77777777" w:rsidR="00F570BB" w:rsidRPr="00F85253" w:rsidRDefault="00F570BB" w:rsidP="00F570BB">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w:t>
            </w:r>
          </w:p>
        </w:tc>
        <w:tc>
          <w:tcPr>
            <w:tcW w:w="992" w:type="dxa"/>
            <w:tcBorders>
              <w:top w:val="nil"/>
              <w:left w:val="single" w:sz="8" w:space="0" w:color="auto"/>
              <w:bottom w:val="nil"/>
              <w:right w:val="nil"/>
            </w:tcBorders>
            <w:shd w:val="clear" w:color="000000" w:fill="FFFFFF"/>
            <w:noWrap/>
            <w:vAlign w:val="bottom"/>
            <w:hideMark/>
          </w:tcPr>
          <w:p w14:paraId="6EC6A0BF" w14:textId="77777777" w:rsidR="00F570BB" w:rsidRPr="00F85253" w:rsidRDefault="00F570BB" w:rsidP="00F570BB">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w:t>
            </w:r>
          </w:p>
        </w:tc>
        <w:tc>
          <w:tcPr>
            <w:tcW w:w="1134" w:type="dxa"/>
            <w:tcBorders>
              <w:top w:val="nil"/>
              <w:left w:val="nil"/>
              <w:bottom w:val="nil"/>
              <w:right w:val="nil"/>
            </w:tcBorders>
            <w:shd w:val="clear" w:color="000000" w:fill="FFFFFF"/>
            <w:noWrap/>
            <w:vAlign w:val="bottom"/>
            <w:hideMark/>
          </w:tcPr>
          <w:p w14:paraId="5511A284"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1134" w:type="dxa"/>
            <w:tcBorders>
              <w:top w:val="nil"/>
              <w:left w:val="nil"/>
              <w:bottom w:val="nil"/>
              <w:right w:val="nil"/>
            </w:tcBorders>
            <w:shd w:val="clear" w:color="000000" w:fill="FFFFFF"/>
            <w:noWrap/>
            <w:vAlign w:val="bottom"/>
            <w:hideMark/>
          </w:tcPr>
          <w:p w14:paraId="209487C8"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1005" w:type="dxa"/>
            <w:tcBorders>
              <w:top w:val="nil"/>
              <w:left w:val="nil"/>
              <w:bottom w:val="nil"/>
              <w:right w:val="single" w:sz="8" w:space="0" w:color="auto"/>
            </w:tcBorders>
            <w:shd w:val="clear" w:color="000000" w:fill="FFFFFF"/>
            <w:noWrap/>
            <w:vAlign w:val="bottom"/>
            <w:hideMark/>
          </w:tcPr>
          <w:p w14:paraId="7D29D7B9"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1186" w:type="dxa"/>
            <w:tcBorders>
              <w:top w:val="nil"/>
              <w:left w:val="nil"/>
              <w:bottom w:val="nil"/>
              <w:right w:val="nil"/>
            </w:tcBorders>
            <w:shd w:val="clear" w:color="000000" w:fill="FFFFFF"/>
            <w:noWrap/>
            <w:vAlign w:val="bottom"/>
            <w:hideMark/>
          </w:tcPr>
          <w:p w14:paraId="4945CCC4"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880" w:type="dxa"/>
            <w:tcBorders>
              <w:top w:val="nil"/>
              <w:left w:val="nil"/>
              <w:bottom w:val="nil"/>
              <w:right w:val="nil"/>
            </w:tcBorders>
            <w:shd w:val="clear" w:color="000000" w:fill="FFFFFF"/>
            <w:noWrap/>
            <w:vAlign w:val="bottom"/>
            <w:hideMark/>
          </w:tcPr>
          <w:p w14:paraId="15CD5F16"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880" w:type="dxa"/>
            <w:tcBorders>
              <w:top w:val="nil"/>
              <w:left w:val="nil"/>
              <w:bottom w:val="nil"/>
              <w:right w:val="nil"/>
            </w:tcBorders>
            <w:shd w:val="clear" w:color="000000" w:fill="FFFFFF"/>
            <w:noWrap/>
            <w:vAlign w:val="bottom"/>
            <w:hideMark/>
          </w:tcPr>
          <w:p w14:paraId="02C58758"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880" w:type="dxa"/>
            <w:tcBorders>
              <w:top w:val="nil"/>
              <w:left w:val="nil"/>
              <w:bottom w:val="nil"/>
              <w:right w:val="nil"/>
            </w:tcBorders>
            <w:shd w:val="clear" w:color="000000" w:fill="FFFFFF"/>
            <w:noWrap/>
            <w:vAlign w:val="bottom"/>
            <w:hideMark/>
          </w:tcPr>
          <w:p w14:paraId="6EE5DEDB"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880" w:type="dxa"/>
            <w:tcBorders>
              <w:top w:val="nil"/>
              <w:left w:val="nil"/>
              <w:bottom w:val="nil"/>
              <w:right w:val="nil"/>
            </w:tcBorders>
            <w:shd w:val="clear" w:color="000000" w:fill="FFFFFF"/>
            <w:noWrap/>
            <w:vAlign w:val="bottom"/>
            <w:hideMark/>
          </w:tcPr>
          <w:p w14:paraId="03A377FE"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880" w:type="dxa"/>
            <w:tcBorders>
              <w:top w:val="nil"/>
              <w:left w:val="nil"/>
              <w:bottom w:val="nil"/>
              <w:right w:val="single" w:sz="8" w:space="0" w:color="auto"/>
            </w:tcBorders>
            <w:shd w:val="clear" w:color="000000" w:fill="FFFFFF"/>
            <w:noWrap/>
            <w:vAlign w:val="bottom"/>
            <w:hideMark/>
          </w:tcPr>
          <w:p w14:paraId="313EFC34"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r>
      <w:tr w:rsidR="00F570BB" w:rsidRPr="00F85253" w14:paraId="17CD7C3A" w14:textId="77777777" w:rsidTr="00F85253">
        <w:trPr>
          <w:trHeight w:val="255"/>
        </w:trPr>
        <w:tc>
          <w:tcPr>
            <w:tcW w:w="4268" w:type="dxa"/>
            <w:tcBorders>
              <w:top w:val="nil"/>
              <w:left w:val="single" w:sz="8" w:space="0" w:color="auto"/>
              <w:bottom w:val="nil"/>
              <w:right w:val="nil"/>
            </w:tcBorders>
            <w:shd w:val="clear" w:color="000000" w:fill="FFFFFF"/>
            <w:noWrap/>
            <w:vAlign w:val="bottom"/>
            <w:hideMark/>
          </w:tcPr>
          <w:p w14:paraId="2E444158" w14:textId="77777777" w:rsidR="00F570BB" w:rsidRPr="00F85253" w:rsidRDefault="00F570BB" w:rsidP="00F570BB">
            <w:pPr>
              <w:spacing w:after="0" w:line="240" w:lineRule="auto"/>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Costes Económicos</w:t>
            </w:r>
          </w:p>
        </w:tc>
        <w:tc>
          <w:tcPr>
            <w:tcW w:w="1134" w:type="dxa"/>
            <w:tcBorders>
              <w:top w:val="nil"/>
              <w:left w:val="nil"/>
              <w:bottom w:val="nil"/>
              <w:right w:val="nil"/>
            </w:tcBorders>
            <w:shd w:val="clear" w:color="000000" w:fill="FFFFFF"/>
            <w:noWrap/>
            <w:vAlign w:val="bottom"/>
            <w:hideMark/>
          </w:tcPr>
          <w:p w14:paraId="0B8B8E76" w14:textId="77777777" w:rsidR="00F570BB" w:rsidRPr="00F85253" w:rsidRDefault="00F570BB" w:rsidP="00F570BB">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w:t>
            </w:r>
          </w:p>
        </w:tc>
        <w:tc>
          <w:tcPr>
            <w:tcW w:w="992" w:type="dxa"/>
            <w:tcBorders>
              <w:top w:val="nil"/>
              <w:left w:val="single" w:sz="8" w:space="0" w:color="auto"/>
              <w:bottom w:val="nil"/>
              <w:right w:val="nil"/>
            </w:tcBorders>
            <w:shd w:val="clear" w:color="000000" w:fill="FFFFFF"/>
            <w:noWrap/>
            <w:vAlign w:val="bottom"/>
            <w:hideMark/>
          </w:tcPr>
          <w:p w14:paraId="03E4EEE8" w14:textId="77777777" w:rsidR="00F570BB" w:rsidRPr="00F85253" w:rsidRDefault="00F570BB" w:rsidP="00F570BB">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w:t>
            </w:r>
          </w:p>
        </w:tc>
        <w:tc>
          <w:tcPr>
            <w:tcW w:w="1134" w:type="dxa"/>
            <w:tcBorders>
              <w:top w:val="nil"/>
              <w:left w:val="nil"/>
              <w:bottom w:val="nil"/>
              <w:right w:val="nil"/>
            </w:tcBorders>
            <w:shd w:val="clear" w:color="000000" w:fill="FFFFFF"/>
            <w:noWrap/>
            <w:vAlign w:val="bottom"/>
            <w:hideMark/>
          </w:tcPr>
          <w:p w14:paraId="00ADE9F1"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1134" w:type="dxa"/>
            <w:tcBorders>
              <w:top w:val="nil"/>
              <w:left w:val="nil"/>
              <w:bottom w:val="nil"/>
              <w:right w:val="nil"/>
            </w:tcBorders>
            <w:shd w:val="clear" w:color="000000" w:fill="FFFFFF"/>
            <w:noWrap/>
            <w:vAlign w:val="bottom"/>
            <w:hideMark/>
          </w:tcPr>
          <w:p w14:paraId="2AF463BF"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1005" w:type="dxa"/>
            <w:tcBorders>
              <w:top w:val="nil"/>
              <w:left w:val="nil"/>
              <w:bottom w:val="nil"/>
              <w:right w:val="single" w:sz="8" w:space="0" w:color="auto"/>
            </w:tcBorders>
            <w:shd w:val="clear" w:color="000000" w:fill="FFFFFF"/>
            <w:noWrap/>
            <w:vAlign w:val="bottom"/>
            <w:hideMark/>
          </w:tcPr>
          <w:p w14:paraId="7CA35BC5"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1186" w:type="dxa"/>
            <w:tcBorders>
              <w:top w:val="nil"/>
              <w:left w:val="nil"/>
              <w:bottom w:val="nil"/>
              <w:right w:val="nil"/>
            </w:tcBorders>
            <w:shd w:val="clear" w:color="000000" w:fill="FFFFFF"/>
            <w:noWrap/>
            <w:vAlign w:val="bottom"/>
            <w:hideMark/>
          </w:tcPr>
          <w:p w14:paraId="2204818D"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880" w:type="dxa"/>
            <w:tcBorders>
              <w:top w:val="nil"/>
              <w:left w:val="nil"/>
              <w:bottom w:val="nil"/>
              <w:right w:val="nil"/>
            </w:tcBorders>
            <w:shd w:val="clear" w:color="000000" w:fill="FFFFFF"/>
            <w:noWrap/>
            <w:vAlign w:val="bottom"/>
            <w:hideMark/>
          </w:tcPr>
          <w:p w14:paraId="21EACC86"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880" w:type="dxa"/>
            <w:tcBorders>
              <w:top w:val="nil"/>
              <w:left w:val="nil"/>
              <w:bottom w:val="nil"/>
              <w:right w:val="nil"/>
            </w:tcBorders>
            <w:shd w:val="clear" w:color="000000" w:fill="FFFFFF"/>
            <w:noWrap/>
            <w:vAlign w:val="bottom"/>
            <w:hideMark/>
          </w:tcPr>
          <w:p w14:paraId="47B50366"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880" w:type="dxa"/>
            <w:tcBorders>
              <w:top w:val="nil"/>
              <w:left w:val="nil"/>
              <w:bottom w:val="nil"/>
              <w:right w:val="nil"/>
            </w:tcBorders>
            <w:shd w:val="clear" w:color="000000" w:fill="FFFFFF"/>
            <w:noWrap/>
            <w:vAlign w:val="bottom"/>
            <w:hideMark/>
          </w:tcPr>
          <w:p w14:paraId="06504E47"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880" w:type="dxa"/>
            <w:tcBorders>
              <w:top w:val="nil"/>
              <w:left w:val="nil"/>
              <w:bottom w:val="nil"/>
              <w:right w:val="nil"/>
            </w:tcBorders>
            <w:shd w:val="clear" w:color="000000" w:fill="FFFFFF"/>
            <w:noWrap/>
            <w:vAlign w:val="bottom"/>
            <w:hideMark/>
          </w:tcPr>
          <w:p w14:paraId="51D7B4B0"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880" w:type="dxa"/>
            <w:tcBorders>
              <w:top w:val="nil"/>
              <w:left w:val="nil"/>
              <w:bottom w:val="nil"/>
              <w:right w:val="single" w:sz="8" w:space="0" w:color="auto"/>
            </w:tcBorders>
            <w:shd w:val="clear" w:color="000000" w:fill="FFFFFF"/>
            <w:noWrap/>
            <w:vAlign w:val="bottom"/>
            <w:hideMark/>
          </w:tcPr>
          <w:p w14:paraId="5B3B94EF"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r>
      <w:tr w:rsidR="00F570BB" w:rsidRPr="00F85253" w14:paraId="2EF321C8" w14:textId="77777777" w:rsidTr="00F85253">
        <w:trPr>
          <w:trHeight w:val="255"/>
        </w:trPr>
        <w:tc>
          <w:tcPr>
            <w:tcW w:w="4268" w:type="dxa"/>
            <w:tcBorders>
              <w:top w:val="nil"/>
              <w:left w:val="single" w:sz="8" w:space="0" w:color="auto"/>
              <w:bottom w:val="nil"/>
              <w:right w:val="nil"/>
            </w:tcBorders>
            <w:shd w:val="clear" w:color="000000" w:fill="FFFFFF"/>
            <w:noWrap/>
            <w:vAlign w:val="bottom"/>
            <w:hideMark/>
          </w:tcPr>
          <w:p w14:paraId="41238A06" w14:textId="77777777" w:rsidR="00F570BB" w:rsidRPr="00F85253" w:rsidRDefault="00F570BB" w:rsidP="00F570BB">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CAPEX</w:t>
            </w:r>
          </w:p>
        </w:tc>
        <w:tc>
          <w:tcPr>
            <w:tcW w:w="1134" w:type="dxa"/>
            <w:tcBorders>
              <w:top w:val="nil"/>
              <w:left w:val="nil"/>
              <w:bottom w:val="nil"/>
              <w:right w:val="nil"/>
            </w:tcBorders>
            <w:shd w:val="clear" w:color="000000" w:fill="FFFFFF"/>
            <w:noWrap/>
            <w:vAlign w:val="bottom"/>
            <w:hideMark/>
          </w:tcPr>
          <w:p w14:paraId="0B72D090" w14:textId="77777777" w:rsidR="00F570BB" w:rsidRPr="00F85253" w:rsidRDefault="00F570BB" w:rsidP="00F570BB">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w:t>
            </w:r>
            <w:proofErr w:type="gramStart"/>
            <w:r w:rsidRPr="00F85253">
              <w:rPr>
                <w:rFonts w:ascii="Arial" w:eastAsia="Times New Roman" w:hAnsi="Arial" w:cs="Arial"/>
                <w:b/>
                <w:bCs/>
                <w:sz w:val="20"/>
                <w:szCs w:val="20"/>
                <w:lang w:val="es-EC" w:eastAsia="es-EC"/>
              </w:rPr>
              <w:t>$  164.88</w:t>
            </w:r>
            <w:proofErr w:type="gramEnd"/>
            <w:r w:rsidRPr="00F85253">
              <w:rPr>
                <w:rFonts w:ascii="Arial" w:eastAsia="Times New Roman" w:hAnsi="Arial" w:cs="Arial"/>
                <w:b/>
                <w:bCs/>
                <w:sz w:val="20"/>
                <w:szCs w:val="20"/>
                <w:lang w:val="es-EC" w:eastAsia="es-EC"/>
              </w:rPr>
              <w:t xml:space="preserve"> </w:t>
            </w:r>
          </w:p>
        </w:tc>
        <w:tc>
          <w:tcPr>
            <w:tcW w:w="992" w:type="dxa"/>
            <w:tcBorders>
              <w:top w:val="nil"/>
              <w:left w:val="single" w:sz="8" w:space="0" w:color="auto"/>
              <w:bottom w:val="nil"/>
              <w:right w:val="nil"/>
            </w:tcBorders>
            <w:shd w:val="clear" w:color="000000" w:fill="FFFFFF"/>
            <w:noWrap/>
            <w:vAlign w:val="bottom"/>
            <w:hideMark/>
          </w:tcPr>
          <w:p w14:paraId="4EB7E99F"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2.32 </w:t>
            </w:r>
          </w:p>
        </w:tc>
        <w:tc>
          <w:tcPr>
            <w:tcW w:w="1134" w:type="dxa"/>
            <w:tcBorders>
              <w:top w:val="nil"/>
              <w:left w:val="nil"/>
              <w:bottom w:val="nil"/>
              <w:right w:val="nil"/>
            </w:tcBorders>
            <w:shd w:val="clear" w:color="000000" w:fill="FFFFFF"/>
            <w:noWrap/>
            <w:vAlign w:val="bottom"/>
            <w:hideMark/>
          </w:tcPr>
          <w:p w14:paraId="008A5347"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150.80 </w:t>
            </w:r>
          </w:p>
        </w:tc>
        <w:tc>
          <w:tcPr>
            <w:tcW w:w="1134" w:type="dxa"/>
            <w:tcBorders>
              <w:top w:val="nil"/>
              <w:left w:val="nil"/>
              <w:bottom w:val="nil"/>
              <w:right w:val="nil"/>
            </w:tcBorders>
            <w:shd w:val="clear" w:color="000000" w:fill="FFFFFF"/>
            <w:noWrap/>
            <w:vAlign w:val="bottom"/>
            <w:hideMark/>
          </w:tcPr>
          <w:p w14:paraId="55A98E74"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9.53 </w:t>
            </w:r>
          </w:p>
        </w:tc>
        <w:tc>
          <w:tcPr>
            <w:tcW w:w="1005" w:type="dxa"/>
            <w:tcBorders>
              <w:top w:val="nil"/>
              <w:left w:val="nil"/>
              <w:bottom w:val="nil"/>
              <w:right w:val="single" w:sz="8" w:space="0" w:color="auto"/>
            </w:tcBorders>
            <w:shd w:val="clear" w:color="000000" w:fill="FFFFFF"/>
            <w:noWrap/>
            <w:vAlign w:val="bottom"/>
            <w:hideMark/>
          </w:tcPr>
          <w:p w14:paraId="64CAD2CE"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2.23 </w:t>
            </w:r>
          </w:p>
        </w:tc>
        <w:tc>
          <w:tcPr>
            <w:tcW w:w="1186" w:type="dxa"/>
            <w:tcBorders>
              <w:top w:val="nil"/>
              <w:left w:val="nil"/>
              <w:bottom w:val="nil"/>
              <w:right w:val="nil"/>
            </w:tcBorders>
            <w:shd w:val="clear" w:color="000000" w:fill="FFFFFF"/>
            <w:noWrap/>
            <w:vAlign w:val="bottom"/>
            <w:hideMark/>
          </w:tcPr>
          <w:p w14:paraId="540605E5"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880" w:type="dxa"/>
            <w:tcBorders>
              <w:top w:val="nil"/>
              <w:left w:val="nil"/>
              <w:bottom w:val="nil"/>
              <w:right w:val="nil"/>
            </w:tcBorders>
            <w:shd w:val="clear" w:color="000000" w:fill="FFFFFF"/>
            <w:noWrap/>
            <w:vAlign w:val="bottom"/>
            <w:hideMark/>
          </w:tcPr>
          <w:p w14:paraId="061D12F6"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880" w:type="dxa"/>
            <w:tcBorders>
              <w:top w:val="nil"/>
              <w:left w:val="nil"/>
              <w:bottom w:val="nil"/>
              <w:right w:val="nil"/>
            </w:tcBorders>
            <w:shd w:val="clear" w:color="000000" w:fill="FFFFFF"/>
            <w:noWrap/>
            <w:vAlign w:val="bottom"/>
            <w:hideMark/>
          </w:tcPr>
          <w:p w14:paraId="246D2902"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880" w:type="dxa"/>
            <w:tcBorders>
              <w:top w:val="nil"/>
              <w:left w:val="nil"/>
              <w:bottom w:val="nil"/>
              <w:right w:val="nil"/>
            </w:tcBorders>
            <w:shd w:val="clear" w:color="000000" w:fill="FFFFFF"/>
            <w:noWrap/>
            <w:vAlign w:val="bottom"/>
            <w:hideMark/>
          </w:tcPr>
          <w:p w14:paraId="0ACAE9B4"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880" w:type="dxa"/>
            <w:tcBorders>
              <w:top w:val="nil"/>
              <w:left w:val="nil"/>
              <w:bottom w:val="nil"/>
              <w:right w:val="nil"/>
            </w:tcBorders>
            <w:shd w:val="clear" w:color="000000" w:fill="FFFFFF"/>
            <w:noWrap/>
            <w:vAlign w:val="bottom"/>
            <w:hideMark/>
          </w:tcPr>
          <w:p w14:paraId="257445CE"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c>
          <w:tcPr>
            <w:tcW w:w="880" w:type="dxa"/>
            <w:tcBorders>
              <w:top w:val="nil"/>
              <w:left w:val="nil"/>
              <w:bottom w:val="nil"/>
              <w:right w:val="single" w:sz="8" w:space="0" w:color="auto"/>
            </w:tcBorders>
            <w:shd w:val="clear" w:color="000000" w:fill="FFFFFF"/>
            <w:noWrap/>
            <w:vAlign w:val="bottom"/>
            <w:hideMark/>
          </w:tcPr>
          <w:p w14:paraId="78A6B823"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   </w:t>
            </w:r>
          </w:p>
        </w:tc>
      </w:tr>
      <w:tr w:rsidR="00F570BB" w:rsidRPr="00F85253" w14:paraId="133C2309" w14:textId="77777777" w:rsidTr="00F85253">
        <w:trPr>
          <w:trHeight w:val="255"/>
        </w:trPr>
        <w:tc>
          <w:tcPr>
            <w:tcW w:w="4268" w:type="dxa"/>
            <w:tcBorders>
              <w:top w:val="nil"/>
              <w:left w:val="single" w:sz="8" w:space="0" w:color="auto"/>
              <w:bottom w:val="nil"/>
              <w:right w:val="nil"/>
            </w:tcBorders>
            <w:shd w:val="clear" w:color="000000" w:fill="FFFFFF"/>
            <w:noWrap/>
            <w:vAlign w:val="bottom"/>
            <w:hideMark/>
          </w:tcPr>
          <w:p w14:paraId="4063D44A" w14:textId="77777777" w:rsidR="00F570BB" w:rsidRPr="00F85253" w:rsidRDefault="00F570BB" w:rsidP="00F570BB">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OPEX</w:t>
            </w:r>
          </w:p>
        </w:tc>
        <w:tc>
          <w:tcPr>
            <w:tcW w:w="1134" w:type="dxa"/>
            <w:tcBorders>
              <w:top w:val="nil"/>
              <w:left w:val="nil"/>
              <w:bottom w:val="nil"/>
              <w:right w:val="nil"/>
            </w:tcBorders>
            <w:shd w:val="clear" w:color="000000" w:fill="FFFFFF"/>
            <w:noWrap/>
            <w:vAlign w:val="bottom"/>
            <w:hideMark/>
          </w:tcPr>
          <w:p w14:paraId="50D40488" w14:textId="77777777" w:rsidR="00F570BB" w:rsidRPr="00F85253" w:rsidRDefault="00F570BB" w:rsidP="00F570BB">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w:t>
            </w:r>
            <w:proofErr w:type="gramStart"/>
            <w:r w:rsidRPr="00F85253">
              <w:rPr>
                <w:rFonts w:ascii="Arial" w:eastAsia="Times New Roman" w:hAnsi="Arial" w:cs="Arial"/>
                <w:b/>
                <w:bCs/>
                <w:sz w:val="20"/>
                <w:szCs w:val="20"/>
                <w:lang w:val="es-EC" w:eastAsia="es-EC"/>
              </w:rPr>
              <w:t>$  175.68</w:t>
            </w:r>
            <w:proofErr w:type="gramEnd"/>
            <w:r w:rsidRPr="00F85253">
              <w:rPr>
                <w:rFonts w:ascii="Arial" w:eastAsia="Times New Roman" w:hAnsi="Arial" w:cs="Arial"/>
                <w:b/>
                <w:bCs/>
                <w:sz w:val="20"/>
                <w:szCs w:val="20"/>
                <w:lang w:val="es-EC" w:eastAsia="es-EC"/>
              </w:rPr>
              <w:t xml:space="preserve"> </w:t>
            </w:r>
          </w:p>
        </w:tc>
        <w:tc>
          <w:tcPr>
            <w:tcW w:w="992" w:type="dxa"/>
            <w:tcBorders>
              <w:top w:val="nil"/>
              <w:left w:val="single" w:sz="8" w:space="0" w:color="auto"/>
              <w:bottom w:val="nil"/>
              <w:right w:val="nil"/>
            </w:tcBorders>
            <w:shd w:val="clear" w:color="000000" w:fill="FFFFFF"/>
            <w:noWrap/>
            <w:vAlign w:val="bottom"/>
            <w:hideMark/>
          </w:tcPr>
          <w:p w14:paraId="70BEB397"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0.27 </w:t>
            </w:r>
          </w:p>
        </w:tc>
        <w:tc>
          <w:tcPr>
            <w:tcW w:w="1134" w:type="dxa"/>
            <w:tcBorders>
              <w:top w:val="nil"/>
              <w:left w:val="nil"/>
              <w:bottom w:val="nil"/>
              <w:right w:val="nil"/>
            </w:tcBorders>
            <w:shd w:val="clear" w:color="000000" w:fill="FFFFFF"/>
            <w:noWrap/>
            <w:vAlign w:val="bottom"/>
            <w:hideMark/>
          </w:tcPr>
          <w:p w14:paraId="5EFC8E0E"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18.33 </w:t>
            </w:r>
          </w:p>
        </w:tc>
        <w:tc>
          <w:tcPr>
            <w:tcW w:w="1134" w:type="dxa"/>
            <w:tcBorders>
              <w:top w:val="nil"/>
              <w:left w:val="nil"/>
              <w:bottom w:val="nil"/>
              <w:right w:val="nil"/>
            </w:tcBorders>
            <w:shd w:val="clear" w:color="000000" w:fill="FFFFFF"/>
            <w:noWrap/>
            <w:vAlign w:val="bottom"/>
            <w:hideMark/>
          </w:tcPr>
          <w:p w14:paraId="19E2A600"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19.43 </w:t>
            </w:r>
          </w:p>
        </w:tc>
        <w:tc>
          <w:tcPr>
            <w:tcW w:w="1005" w:type="dxa"/>
            <w:tcBorders>
              <w:top w:val="nil"/>
              <w:left w:val="nil"/>
              <w:bottom w:val="nil"/>
              <w:right w:val="single" w:sz="8" w:space="0" w:color="auto"/>
            </w:tcBorders>
            <w:shd w:val="clear" w:color="000000" w:fill="FFFFFF"/>
            <w:noWrap/>
            <w:vAlign w:val="bottom"/>
            <w:hideMark/>
          </w:tcPr>
          <w:p w14:paraId="27070B98"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w:t>
            </w:r>
            <w:proofErr w:type="gramStart"/>
            <w:r w:rsidRPr="00F85253">
              <w:rPr>
                <w:rFonts w:ascii="Arial" w:eastAsia="Times New Roman" w:hAnsi="Arial" w:cs="Arial"/>
                <w:sz w:val="20"/>
                <w:szCs w:val="20"/>
                <w:lang w:val="es-EC" w:eastAsia="es-EC"/>
              </w:rPr>
              <w:t>$  19.66</w:t>
            </w:r>
            <w:proofErr w:type="gramEnd"/>
            <w:r w:rsidRPr="00F85253">
              <w:rPr>
                <w:rFonts w:ascii="Arial" w:eastAsia="Times New Roman" w:hAnsi="Arial" w:cs="Arial"/>
                <w:sz w:val="20"/>
                <w:szCs w:val="20"/>
                <w:lang w:val="es-EC" w:eastAsia="es-EC"/>
              </w:rPr>
              <w:t xml:space="preserve"> </w:t>
            </w:r>
          </w:p>
        </w:tc>
        <w:tc>
          <w:tcPr>
            <w:tcW w:w="1186" w:type="dxa"/>
            <w:tcBorders>
              <w:top w:val="nil"/>
              <w:left w:val="nil"/>
              <w:bottom w:val="nil"/>
              <w:right w:val="nil"/>
            </w:tcBorders>
            <w:shd w:val="clear" w:color="000000" w:fill="FFFFFF"/>
            <w:noWrap/>
            <w:vAlign w:val="bottom"/>
            <w:hideMark/>
          </w:tcPr>
          <w:p w14:paraId="54548588"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w:t>
            </w:r>
            <w:proofErr w:type="gramStart"/>
            <w:r w:rsidRPr="00F85253">
              <w:rPr>
                <w:rFonts w:ascii="Arial" w:eastAsia="Times New Roman" w:hAnsi="Arial" w:cs="Arial"/>
                <w:sz w:val="20"/>
                <w:szCs w:val="20"/>
                <w:lang w:val="es-EC" w:eastAsia="es-EC"/>
              </w:rPr>
              <w:t>$  19.66</w:t>
            </w:r>
            <w:proofErr w:type="gramEnd"/>
            <w:r w:rsidRPr="00F85253">
              <w:rPr>
                <w:rFonts w:ascii="Arial" w:eastAsia="Times New Roman" w:hAnsi="Arial" w:cs="Arial"/>
                <w:sz w:val="20"/>
                <w:szCs w:val="20"/>
                <w:lang w:val="es-EC" w:eastAsia="es-EC"/>
              </w:rPr>
              <w:t xml:space="preserve"> </w:t>
            </w:r>
          </w:p>
        </w:tc>
        <w:tc>
          <w:tcPr>
            <w:tcW w:w="880" w:type="dxa"/>
            <w:tcBorders>
              <w:top w:val="nil"/>
              <w:left w:val="nil"/>
              <w:bottom w:val="nil"/>
              <w:right w:val="nil"/>
            </w:tcBorders>
            <w:shd w:val="clear" w:color="000000" w:fill="FFFFFF"/>
            <w:noWrap/>
            <w:vAlign w:val="bottom"/>
            <w:hideMark/>
          </w:tcPr>
          <w:p w14:paraId="49939EE7"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$ 19.66 </w:t>
            </w:r>
          </w:p>
        </w:tc>
        <w:tc>
          <w:tcPr>
            <w:tcW w:w="880" w:type="dxa"/>
            <w:tcBorders>
              <w:top w:val="nil"/>
              <w:left w:val="nil"/>
              <w:bottom w:val="nil"/>
              <w:right w:val="nil"/>
            </w:tcBorders>
            <w:shd w:val="clear" w:color="000000" w:fill="FFFFFF"/>
            <w:noWrap/>
            <w:vAlign w:val="bottom"/>
            <w:hideMark/>
          </w:tcPr>
          <w:p w14:paraId="3F43DE5B"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$ 19.66 </w:t>
            </w:r>
          </w:p>
        </w:tc>
        <w:tc>
          <w:tcPr>
            <w:tcW w:w="880" w:type="dxa"/>
            <w:tcBorders>
              <w:top w:val="nil"/>
              <w:left w:val="nil"/>
              <w:bottom w:val="nil"/>
              <w:right w:val="nil"/>
            </w:tcBorders>
            <w:shd w:val="clear" w:color="000000" w:fill="FFFFFF"/>
            <w:noWrap/>
            <w:vAlign w:val="bottom"/>
            <w:hideMark/>
          </w:tcPr>
          <w:p w14:paraId="29B62C1E"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$ 19.66 </w:t>
            </w:r>
          </w:p>
        </w:tc>
        <w:tc>
          <w:tcPr>
            <w:tcW w:w="880" w:type="dxa"/>
            <w:tcBorders>
              <w:top w:val="nil"/>
              <w:left w:val="nil"/>
              <w:bottom w:val="nil"/>
              <w:right w:val="nil"/>
            </w:tcBorders>
            <w:shd w:val="clear" w:color="000000" w:fill="FFFFFF"/>
            <w:noWrap/>
            <w:vAlign w:val="bottom"/>
            <w:hideMark/>
          </w:tcPr>
          <w:p w14:paraId="4CC73352"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$ 19.66 </w:t>
            </w:r>
          </w:p>
        </w:tc>
        <w:tc>
          <w:tcPr>
            <w:tcW w:w="880" w:type="dxa"/>
            <w:tcBorders>
              <w:top w:val="nil"/>
              <w:left w:val="nil"/>
              <w:bottom w:val="nil"/>
              <w:right w:val="single" w:sz="8" w:space="0" w:color="auto"/>
            </w:tcBorders>
            <w:shd w:val="clear" w:color="000000" w:fill="FFFFFF"/>
            <w:noWrap/>
            <w:vAlign w:val="bottom"/>
            <w:hideMark/>
          </w:tcPr>
          <w:p w14:paraId="1108A204"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xml:space="preserve"> $ 19.66 </w:t>
            </w:r>
          </w:p>
        </w:tc>
      </w:tr>
      <w:tr w:rsidR="00F570BB" w:rsidRPr="00F85253" w14:paraId="010B7E60" w14:textId="77777777" w:rsidTr="00F85253">
        <w:trPr>
          <w:trHeight w:val="255"/>
        </w:trPr>
        <w:tc>
          <w:tcPr>
            <w:tcW w:w="4268" w:type="dxa"/>
            <w:tcBorders>
              <w:top w:val="nil"/>
              <w:left w:val="single" w:sz="8" w:space="0" w:color="auto"/>
              <w:bottom w:val="nil"/>
              <w:right w:val="nil"/>
            </w:tcBorders>
            <w:shd w:val="clear" w:color="000000" w:fill="FFFFFF"/>
            <w:noWrap/>
            <w:vAlign w:val="bottom"/>
            <w:hideMark/>
          </w:tcPr>
          <w:p w14:paraId="0518D0DD" w14:textId="77777777" w:rsidR="00F570BB" w:rsidRPr="00F85253" w:rsidRDefault="00F570BB" w:rsidP="00F570BB">
            <w:pPr>
              <w:spacing w:after="0" w:line="240" w:lineRule="auto"/>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Subtotal OPEX y CAPEX</w:t>
            </w:r>
          </w:p>
        </w:tc>
        <w:tc>
          <w:tcPr>
            <w:tcW w:w="1134" w:type="dxa"/>
            <w:tcBorders>
              <w:top w:val="nil"/>
              <w:left w:val="nil"/>
              <w:bottom w:val="nil"/>
              <w:right w:val="nil"/>
            </w:tcBorders>
            <w:shd w:val="clear" w:color="000000" w:fill="FFFFFF"/>
            <w:noWrap/>
            <w:vAlign w:val="bottom"/>
            <w:hideMark/>
          </w:tcPr>
          <w:p w14:paraId="2411516E" w14:textId="77777777" w:rsidR="00F570BB" w:rsidRPr="00F85253" w:rsidRDefault="00F570BB" w:rsidP="00F570BB">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w:t>
            </w:r>
            <w:proofErr w:type="gramStart"/>
            <w:r w:rsidRPr="00F85253">
              <w:rPr>
                <w:rFonts w:ascii="Arial" w:eastAsia="Times New Roman" w:hAnsi="Arial" w:cs="Arial"/>
                <w:b/>
                <w:bCs/>
                <w:sz w:val="20"/>
                <w:szCs w:val="20"/>
                <w:lang w:val="es-EC" w:eastAsia="es-EC"/>
              </w:rPr>
              <w:t>$  340.57</w:t>
            </w:r>
            <w:proofErr w:type="gramEnd"/>
            <w:r w:rsidRPr="00F85253">
              <w:rPr>
                <w:rFonts w:ascii="Arial" w:eastAsia="Times New Roman" w:hAnsi="Arial" w:cs="Arial"/>
                <w:b/>
                <w:bCs/>
                <w:sz w:val="20"/>
                <w:szCs w:val="20"/>
                <w:lang w:val="es-EC" w:eastAsia="es-EC"/>
              </w:rPr>
              <w:t xml:space="preserve"> </w:t>
            </w:r>
          </w:p>
        </w:tc>
        <w:tc>
          <w:tcPr>
            <w:tcW w:w="992" w:type="dxa"/>
            <w:tcBorders>
              <w:top w:val="nil"/>
              <w:left w:val="single" w:sz="8" w:space="0" w:color="auto"/>
              <w:bottom w:val="nil"/>
              <w:right w:val="nil"/>
            </w:tcBorders>
            <w:shd w:val="clear" w:color="000000" w:fill="FFFFFF"/>
            <w:noWrap/>
            <w:vAlign w:val="bottom"/>
            <w:hideMark/>
          </w:tcPr>
          <w:p w14:paraId="476DA3B4" w14:textId="77777777" w:rsidR="00F570BB" w:rsidRPr="00F85253" w:rsidRDefault="00F570BB" w:rsidP="00F570BB">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2.59 </w:t>
            </w:r>
          </w:p>
        </w:tc>
        <w:tc>
          <w:tcPr>
            <w:tcW w:w="1134" w:type="dxa"/>
            <w:tcBorders>
              <w:top w:val="nil"/>
              <w:left w:val="nil"/>
              <w:bottom w:val="nil"/>
              <w:right w:val="nil"/>
            </w:tcBorders>
            <w:shd w:val="clear" w:color="000000" w:fill="FFFFFF"/>
            <w:noWrap/>
            <w:vAlign w:val="bottom"/>
            <w:hideMark/>
          </w:tcPr>
          <w:p w14:paraId="542E19D0" w14:textId="77777777" w:rsidR="00F570BB" w:rsidRPr="00F85253" w:rsidRDefault="00F570BB" w:rsidP="00F570BB">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169.12 </w:t>
            </w:r>
          </w:p>
        </w:tc>
        <w:tc>
          <w:tcPr>
            <w:tcW w:w="1134" w:type="dxa"/>
            <w:tcBorders>
              <w:top w:val="nil"/>
              <w:left w:val="nil"/>
              <w:bottom w:val="nil"/>
              <w:right w:val="nil"/>
            </w:tcBorders>
            <w:shd w:val="clear" w:color="000000" w:fill="FFFFFF"/>
            <w:noWrap/>
            <w:vAlign w:val="bottom"/>
            <w:hideMark/>
          </w:tcPr>
          <w:p w14:paraId="07A13036" w14:textId="77777777" w:rsidR="00F570BB" w:rsidRPr="00F85253" w:rsidRDefault="00F570BB" w:rsidP="00F570BB">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28.97 </w:t>
            </w:r>
          </w:p>
        </w:tc>
        <w:tc>
          <w:tcPr>
            <w:tcW w:w="1005" w:type="dxa"/>
            <w:tcBorders>
              <w:top w:val="nil"/>
              <w:left w:val="nil"/>
              <w:bottom w:val="nil"/>
              <w:right w:val="single" w:sz="8" w:space="0" w:color="auto"/>
            </w:tcBorders>
            <w:shd w:val="clear" w:color="000000" w:fill="FFFFFF"/>
            <w:noWrap/>
            <w:vAlign w:val="bottom"/>
            <w:hideMark/>
          </w:tcPr>
          <w:p w14:paraId="4DC32D75" w14:textId="77777777" w:rsidR="00F570BB" w:rsidRPr="00F85253" w:rsidRDefault="00F570BB" w:rsidP="00F570BB">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w:t>
            </w:r>
            <w:proofErr w:type="gramStart"/>
            <w:r w:rsidRPr="00F85253">
              <w:rPr>
                <w:rFonts w:ascii="Arial" w:eastAsia="Times New Roman" w:hAnsi="Arial" w:cs="Arial"/>
                <w:b/>
                <w:bCs/>
                <w:sz w:val="20"/>
                <w:szCs w:val="20"/>
                <w:lang w:val="es-EC" w:eastAsia="es-EC"/>
              </w:rPr>
              <w:t>$  21.89</w:t>
            </w:r>
            <w:proofErr w:type="gramEnd"/>
            <w:r w:rsidRPr="00F85253">
              <w:rPr>
                <w:rFonts w:ascii="Arial" w:eastAsia="Times New Roman" w:hAnsi="Arial" w:cs="Arial"/>
                <w:b/>
                <w:bCs/>
                <w:sz w:val="20"/>
                <w:szCs w:val="20"/>
                <w:lang w:val="es-EC" w:eastAsia="es-EC"/>
              </w:rPr>
              <w:t xml:space="preserve"> </w:t>
            </w:r>
          </w:p>
        </w:tc>
        <w:tc>
          <w:tcPr>
            <w:tcW w:w="1186" w:type="dxa"/>
            <w:tcBorders>
              <w:top w:val="nil"/>
              <w:left w:val="nil"/>
              <w:bottom w:val="nil"/>
              <w:right w:val="nil"/>
            </w:tcBorders>
            <w:shd w:val="clear" w:color="000000" w:fill="FFFFFF"/>
            <w:noWrap/>
            <w:vAlign w:val="bottom"/>
            <w:hideMark/>
          </w:tcPr>
          <w:p w14:paraId="53B3B0ED" w14:textId="77777777" w:rsidR="00F570BB" w:rsidRPr="00F85253" w:rsidRDefault="00F570BB" w:rsidP="00F570BB">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w:t>
            </w:r>
            <w:proofErr w:type="gramStart"/>
            <w:r w:rsidRPr="00F85253">
              <w:rPr>
                <w:rFonts w:ascii="Arial" w:eastAsia="Times New Roman" w:hAnsi="Arial" w:cs="Arial"/>
                <w:b/>
                <w:bCs/>
                <w:sz w:val="20"/>
                <w:szCs w:val="20"/>
                <w:lang w:val="es-EC" w:eastAsia="es-EC"/>
              </w:rPr>
              <w:t>$  19.66</w:t>
            </w:r>
            <w:proofErr w:type="gramEnd"/>
            <w:r w:rsidRPr="00F85253">
              <w:rPr>
                <w:rFonts w:ascii="Arial" w:eastAsia="Times New Roman" w:hAnsi="Arial" w:cs="Arial"/>
                <w:b/>
                <w:bCs/>
                <w:sz w:val="20"/>
                <w:szCs w:val="20"/>
                <w:lang w:val="es-EC" w:eastAsia="es-EC"/>
              </w:rPr>
              <w:t xml:space="preserve"> </w:t>
            </w:r>
          </w:p>
        </w:tc>
        <w:tc>
          <w:tcPr>
            <w:tcW w:w="880" w:type="dxa"/>
            <w:tcBorders>
              <w:top w:val="nil"/>
              <w:left w:val="nil"/>
              <w:bottom w:val="nil"/>
              <w:right w:val="nil"/>
            </w:tcBorders>
            <w:shd w:val="clear" w:color="000000" w:fill="FFFFFF"/>
            <w:noWrap/>
            <w:vAlign w:val="bottom"/>
            <w:hideMark/>
          </w:tcPr>
          <w:p w14:paraId="2F97629E" w14:textId="77777777" w:rsidR="00F570BB" w:rsidRPr="00F85253" w:rsidRDefault="00F570BB" w:rsidP="00F570BB">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$ 19.66 </w:t>
            </w:r>
          </w:p>
        </w:tc>
        <w:tc>
          <w:tcPr>
            <w:tcW w:w="880" w:type="dxa"/>
            <w:tcBorders>
              <w:top w:val="nil"/>
              <w:left w:val="nil"/>
              <w:bottom w:val="nil"/>
              <w:right w:val="nil"/>
            </w:tcBorders>
            <w:shd w:val="clear" w:color="000000" w:fill="FFFFFF"/>
            <w:noWrap/>
            <w:vAlign w:val="bottom"/>
            <w:hideMark/>
          </w:tcPr>
          <w:p w14:paraId="5DAF1E2A" w14:textId="77777777" w:rsidR="00F570BB" w:rsidRPr="00F85253" w:rsidRDefault="00F570BB" w:rsidP="00F570BB">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$ 19.66 </w:t>
            </w:r>
          </w:p>
        </w:tc>
        <w:tc>
          <w:tcPr>
            <w:tcW w:w="880" w:type="dxa"/>
            <w:tcBorders>
              <w:top w:val="nil"/>
              <w:left w:val="nil"/>
              <w:bottom w:val="nil"/>
              <w:right w:val="nil"/>
            </w:tcBorders>
            <w:shd w:val="clear" w:color="000000" w:fill="FFFFFF"/>
            <w:noWrap/>
            <w:vAlign w:val="bottom"/>
            <w:hideMark/>
          </w:tcPr>
          <w:p w14:paraId="22251823" w14:textId="77777777" w:rsidR="00F570BB" w:rsidRPr="00F85253" w:rsidRDefault="00F570BB" w:rsidP="00F570BB">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$ 19.66 </w:t>
            </w:r>
          </w:p>
        </w:tc>
        <w:tc>
          <w:tcPr>
            <w:tcW w:w="880" w:type="dxa"/>
            <w:tcBorders>
              <w:top w:val="nil"/>
              <w:left w:val="nil"/>
              <w:bottom w:val="nil"/>
              <w:right w:val="nil"/>
            </w:tcBorders>
            <w:shd w:val="clear" w:color="000000" w:fill="FFFFFF"/>
            <w:noWrap/>
            <w:vAlign w:val="bottom"/>
            <w:hideMark/>
          </w:tcPr>
          <w:p w14:paraId="041BB941" w14:textId="77777777" w:rsidR="00F570BB" w:rsidRPr="00F85253" w:rsidRDefault="00F570BB" w:rsidP="00F570BB">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$ 19.66 </w:t>
            </w:r>
          </w:p>
        </w:tc>
        <w:tc>
          <w:tcPr>
            <w:tcW w:w="880" w:type="dxa"/>
            <w:tcBorders>
              <w:top w:val="nil"/>
              <w:left w:val="nil"/>
              <w:bottom w:val="nil"/>
              <w:right w:val="single" w:sz="8" w:space="0" w:color="auto"/>
            </w:tcBorders>
            <w:shd w:val="clear" w:color="000000" w:fill="FFFFFF"/>
            <w:noWrap/>
            <w:vAlign w:val="bottom"/>
            <w:hideMark/>
          </w:tcPr>
          <w:p w14:paraId="369EB17B" w14:textId="77777777" w:rsidR="00F570BB" w:rsidRPr="00F85253" w:rsidRDefault="00F570BB" w:rsidP="00F570BB">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$ 19.66 </w:t>
            </w:r>
          </w:p>
        </w:tc>
      </w:tr>
      <w:tr w:rsidR="00F570BB" w:rsidRPr="00F85253" w14:paraId="61C85185" w14:textId="77777777" w:rsidTr="00F85253">
        <w:trPr>
          <w:trHeight w:val="255"/>
        </w:trPr>
        <w:tc>
          <w:tcPr>
            <w:tcW w:w="4268" w:type="dxa"/>
            <w:tcBorders>
              <w:top w:val="nil"/>
              <w:left w:val="single" w:sz="8" w:space="0" w:color="auto"/>
              <w:bottom w:val="nil"/>
              <w:right w:val="nil"/>
            </w:tcBorders>
            <w:shd w:val="clear" w:color="000000" w:fill="FFFFFF"/>
            <w:noWrap/>
            <w:vAlign w:val="bottom"/>
            <w:hideMark/>
          </w:tcPr>
          <w:p w14:paraId="30FBCF51" w14:textId="77777777" w:rsidR="00F570BB" w:rsidRPr="00F85253" w:rsidRDefault="00F570BB" w:rsidP="00F570BB">
            <w:pPr>
              <w:spacing w:after="0" w:line="240" w:lineRule="auto"/>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w:t>
            </w:r>
          </w:p>
        </w:tc>
        <w:tc>
          <w:tcPr>
            <w:tcW w:w="1134" w:type="dxa"/>
            <w:tcBorders>
              <w:top w:val="nil"/>
              <w:left w:val="nil"/>
              <w:bottom w:val="nil"/>
              <w:right w:val="nil"/>
            </w:tcBorders>
            <w:shd w:val="clear" w:color="000000" w:fill="FFFFFF"/>
            <w:noWrap/>
            <w:vAlign w:val="bottom"/>
            <w:hideMark/>
          </w:tcPr>
          <w:p w14:paraId="474D10DF" w14:textId="77777777" w:rsidR="00F570BB" w:rsidRPr="00F85253" w:rsidRDefault="00F570BB" w:rsidP="00F570BB">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w:t>
            </w:r>
          </w:p>
        </w:tc>
        <w:tc>
          <w:tcPr>
            <w:tcW w:w="992" w:type="dxa"/>
            <w:tcBorders>
              <w:top w:val="nil"/>
              <w:left w:val="single" w:sz="8" w:space="0" w:color="auto"/>
              <w:bottom w:val="nil"/>
              <w:right w:val="nil"/>
            </w:tcBorders>
            <w:shd w:val="clear" w:color="000000" w:fill="FFFFFF"/>
            <w:noWrap/>
            <w:vAlign w:val="bottom"/>
            <w:hideMark/>
          </w:tcPr>
          <w:p w14:paraId="728D1410" w14:textId="77777777" w:rsidR="00F570BB" w:rsidRPr="00F85253" w:rsidRDefault="00F570BB" w:rsidP="00F570BB">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w:t>
            </w:r>
          </w:p>
        </w:tc>
        <w:tc>
          <w:tcPr>
            <w:tcW w:w="1134" w:type="dxa"/>
            <w:tcBorders>
              <w:top w:val="nil"/>
              <w:left w:val="nil"/>
              <w:bottom w:val="nil"/>
              <w:right w:val="nil"/>
            </w:tcBorders>
            <w:shd w:val="clear" w:color="000000" w:fill="FFFFFF"/>
            <w:noWrap/>
            <w:vAlign w:val="bottom"/>
            <w:hideMark/>
          </w:tcPr>
          <w:p w14:paraId="29479244"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1134" w:type="dxa"/>
            <w:tcBorders>
              <w:top w:val="nil"/>
              <w:left w:val="nil"/>
              <w:bottom w:val="nil"/>
              <w:right w:val="nil"/>
            </w:tcBorders>
            <w:shd w:val="clear" w:color="000000" w:fill="FFFFFF"/>
            <w:noWrap/>
            <w:vAlign w:val="bottom"/>
            <w:hideMark/>
          </w:tcPr>
          <w:p w14:paraId="39C2F646"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1005" w:type="dxa"/>
            <w:tcBorders>
              <w:top w:val="nil"/>
              <w:left w:val="nil"/>
              <w:bottom w:val="nil"/>
              <w:right w:val="single" w:sz="8" w:space="0" w:color="auto"/>
            </w:tcBorders>
            <w:shd w:val="clear" w:color="000000" w:fill="FFFFFF"/>
            <w:noWrap/>
            <w:vAlign w:val="bottom"/>
            <w:hideMark/>
          </w:tcPr>
          <w:p w14:paraId="076E9E6B"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1186" w:type="dxa"/>
            <w:tcBorders>
              <w:top w:val="nil"/>
              <w:left w:val="nil"/>
              <w:bottom w:val="nil"/>
              <w:right w:val="nil"/>
            </w:tcBorders>
            <w:shd w:val="clear" w:color="000000" w:fill="FFFFFF"/>
            <w:noWrap/>
            <w:vAlign w:val="bottom"/>
            <w:hideMark/>
          </w:tcPr>
          <w:p w14:paraId="39C0312F"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880" w:type="dxa"/>
            <w:tcBorders>
              <w:top w:val="nil"/>
              <w:left w:val="nil"/>
              <w:bottom w:val="nil"/>
              <w:right w:val="nil"/>
            </w:tcBorders>
            <w:shd w:val="clear" w:color="000000" w:fill="FFFFFF"/>
            <w:noWrap/>
            <w:vAlign w:val="bottom"/>
            <w:hideMark/>
          </w:tcPr>
          <w:p w14:paraId="1D2BA866"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880" w:type="dxa"/>
            <w:tcBorders>
              <w:top w:val="nil"/>
              <w:left w:val="nil"/>
              <w:bottom w:val="nil"/>
              <w:right w:val="nil"/>
            </w:tcBorders>
            <w:shd w:val="clear" w:color="000000" w:fill="FFFFFF"/>
            <w:noWrap/>
            <w:vAlign w:val="bottom"/>
            <w:hideMark/>
          </w:tcPr>
          <w:p w14:paraId="2EE8201B"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880" w:type="dxa"/>
            <w:tcBorders>
              <w:top w:val="nil"/>
              <w:left w:val="nil"/>
              <w:bottom w:val="nil"/>
              <w:right w:val="nil"/>
            </w:tcBorders>
            <w:shd w:val="clear" w:color="000000" w:fill="FFFFFF"/>
            <w:noWrap/>
            <w:vAlign w:val="bottom"/>
            <w:hideMark/>
          </w:tcPr>
          <w:p w14:paraId="1A24777D"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880" w:type="dxa"/>
            <w:tcBorders>
              <w:top w:val="nil"/>
              <w:left w:val="nil"/>
              <w:bottom w:val="nil"/>
              <w:right w:val="nil"/>
            </w:tcBorders>
            <w:shd w:val="clear" w:color="000000" w:fill="FFFFFF"/>
            <w:noWrap/>
            <w:vAlign w:val="bottom"/>
            <w:hideMark/>
          </w:tcPr>
          <w:p w14:paraId="0408BB6C"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880" w:type="dxa"/>
            <w:tcBorders>
              <w:top w:val="nil"/>
              <w:left w:val="nil"/>
              <w:bottom w:val="nil"/>
              <w:right w:val="single" w:sz="8" w:space="0" w:color="auto"/>
            </w:tcBorders>
            <w:shd w:val="clear" w:color="000000" w:fill="FFFFFF"/>
            <w:noWrap/>
            <w:vAlign w:val="bottom"/>
            <w:hideMark/>
          </w:tcPr>
          <w:p w14:paraId="5E0ADCDF" w14:textId="77777777" w:rsidR="00F570BB" w:rsidRPr="00F85253" w:rsidRDefault="00F570BB" w:rsidP="00F570BB">
            <w:pPr>
              <w:spacing w:after="0" w:line="240" w:lineRule="auto"/>
              <w:jc w:val="right"/>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r>
      <w:tr w:rsidR="00F570BB" w:rsidRPr="00F85253" w14:paraId="4AB31B8A" w14:textId="77777777" w:rsidTr="00F85253">
        <w:trPr>
          <w:trHeight w:val="270"/>
        </w:trPr>
        <w:tc>
          <w:tcPr>
            <w:tcW w:w="4268" w:type="dxa"/>
            <w:tcBorders>
              <w:top w:val="nil"/>
              <w:left w:val="single" w:sz="8" w:space="0" w:color="auto"/>
              <w:bottom w:val="single" w:sz="8" w:space="0" w:color="auto"/>
              <w:right w:val="nil"/>
            </w:tcBorders>
            <w:shd w:val="clear" w:color="000000" w:fill="FFFFFF"/>
            <w:noWrap/>
            <w:vAlign w:val="bottom"/>
            <w:hideMark/>
          </w:tcPr>
          <w:p w14:paraId="5CEC347B" w14:textId="77777777" w:rsidR="00F570BB" w:rsidRPr="00F85253" w:rsidRDefault="00F570BB" w:rsidP="00F570BB">
            <w:pPr>
              <w:spacing w:after="0" w:line="240" w:lineRule="auto"/>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Flujo Neto Generado</w:t>
            </w:r>
          </w:p>
        </w:tc>
        <w:tc>
          <w:tcPr>
            <w:tcW w:w="1134" w:type="dxa"/>
            <w:tcBorders>
              <w:top w:val="nil"/>
              <w:left w:val="nil"/>
              <w:bottom w:val="single" w:sz="8" w:space="0" w:color="auto"/>
              <w:right w:val="nil"/>
            </w:tcBorders>
            <w:shd w:val="clear" w:color="000000" w:fill="FFFFFF"/>
            <w:noWrap/>
            <w:vAlign w:val="bottom"/>
            <w:hideMark/>
          </w:tcPr>
          <w:p w14:paraId="6CA6325D" w14:textId="77777777" w:rsidR="00F570BB" w:rsidRPr="00F85253" w:rsidRDefault="00F570BB" w:rsidP="00F570BB">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w:t>
            </w:r>
            <w:proofErr w:type="gramStart"/>
            <w:r w:rsidRPr="00F85253">
              <w:rPr>
                <w:rFonts w:ascii="Arial" w:eastAsia="Times New Roman" w:hAnsi="Arial" w:cs="Arial"/>
                <w:b/>
                <w:bCs/>
                <w:sz w:val="20"/>
                <w:szCs w:val="20"/>
                <w:lang w:val="es-EC" w:eastAsia="es-EC"/>
              </w:rPr>
              <w:t>$  596.36</w:t>
            </w:r>
            <w:proofErr w:type="gramEnd"/>
            <w:r w:rsidRPr="00F85253">
              <w:rPr>
                <w:rFonts w:ascii="Arial" w:eastAsia="Times New Roman" w:hAnsi="Arial" w:cs="Arial"/>
                <w:b/>
                <w:bCs/>
                <w:sz w:val="20"/>
                <w:szCs w:val="20"/>
                <w:lang w:val="es-EC" w:eastAsia="es-EC"/>
              </w:rPr>
              <w:t xml:space="preserve"> </w:t>
            </w:r>
          </w:p>
        </w:tc>
        <w:tc>
          <w:tcPr>
            <w:tcW w:w="992" w:type="dxa"/>
            <w:tcBorders>
              <w:top w:val="nil"/>
              <w:left w:val="single" w:sz="8" w:space="0" w:color="auto"/>
              <w:bottom w:val="single" w:sz="8" w:space="0" w:color="auto"/>
              <w:right w:val="nil"/>
            </w:tcBorders>
            <w:shd w:val="clear" w:color="000000" w:fill="FFFFFF"/>
            <w:noWrap/>
            <w:vAlign w:val="bottom"/>
            <w:hideMark/>
          </w:tcPr>
          <w:p w14:paraId="3EE71844" w14:textId="77777777" w:rsidR="00F570BB" w:rsidRPr="00F85253" w:rsidRDefault="00F570BB" w:rsidP="00F570BB">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w:t>
            </w:r>
            <w:proofErr w:type="gramStart"/>
            <w:r w:rsidRPr="00F85253">
              <w:rPr>
                <w:rFonts w:ascii="Arial" w:eastAsia="Times New Roman" w:hAnsi="Arial" w:cs="Arial"/>
                <w:b/>
                <w:bCs/>
                <w:sz w:val="20"/>
                <w:szCs w:val="20"/>
                <w:lang w:val="es-EC" w:eastAsia="es-EC"/>
              </w:rPr>
              <w:t>$  -</w:t>
            </w:r>
            <w:proofErr w:type="gramEnd"/>
            <w:r w:rsidRPr="00F85253">
              <w:rPr>
                <w:rFonts w:ascii="Arial" w:eastAsia="Times New Roman" w:hAnsi="Arial" w:cs="Arial"/>
                <w:b/>
                <w:bCs/>
                <w:sz w:val="20"/>
                <w:szCs w:val="20"/>
                <w:lang w:val="es-EC" w:eastAsia="es-EC"/>
              </w:rPr>
              <w:t xml:space="preserve">2.59 </w:t>
            </w:r>
          </w:p>
        </w:tc>
        <w:tc>
          <w:tcPr>
            <w:tcW w:w="1134" w:type="dxa"/>
            <w:tcBorders>
              <w:top w:val="nil"/>
              <w:left w:val="nil"/>
              <w:bottom w:val="single" w:sz="8" w:space="0" w:color="auto"/>
              <w:right w:val="nil"/>
            </w:tcBorders>
            <w:shd w:val="clear" w:color="000000" w:fill="FFFFFF"/>
            <w:noWrap/>
            <w:vAlign w:val="bottom"/>
            <w:hideMark/>
          </w:tcPr>
          <w:p w14:paraId="429AB38F" w14:textId="77777777" w:rsidR="00F570BB" w:rsidRPr="00F85253" w:rsidRDefault="00F570BB" w:rsidP="00F570BB">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w:t>
            </w:r>
            <w:proofErr w:type="gramStart"/>
            <w:r w:rsidRPr="00F85253">
              <w:rPr>
                <w:rFonts w:ascii="Arial" w:eastAsia="Times New Roman" w:hAnsi="Arial" w:cs="Arial"/>
                <w:b/>
                <w:bCs/>
                <w:sz w:val="20"/>
                <w:szCs w:val="20"/>
                <w:lang w:val="es-EC" w:eastAsia="es-EC"/>
              </w:rPr>
              <w:t>$  -</w:t>
            </w:r>
            <w:proofErr w:type="gramEnd"/>
            <w:r w:rsidRPr="00F85253">
              <w:rPr>
                <w:rFonts w:ascii="Arial" w:eastAsia="Times New Roman" w:hAnsi="Arial" w:cs="Arial"/>
                <w:b/>
                <w:bCs/>
                <w:sz w:val="20"/>
                <w:szCs w:val="20"/>
                <w:lang w:val="es-EC" w:eastAsia="es-EC"/>
              </w:rPr>
              <w:t xml:space="preserve">169.12 </w:t>
            </w:r>
          </w:p>
        </w:tc>
        <w:tc>
          <w:tcPr>
            <w:tcW w:w="1134" w:type="dxa"/>
            <w:tcBorders>
              <w:top w:val="nil"/>
              <w:left w:val="nil"/>
              <w:bottom w:val="single" w:sz="8" w:space="0" w:color="auto"/>
              <w:right w:val="nil"/>
            </w:tcBorders>
            <w:shd w:val="clear" w:color="000000" w:fill="FFFFFF"/>
            <w:noWrap/>
            <w:vAlign w:val="bottom"/>
            <w:hideMark/>
          </w:tcPr>
          <w:p w14:paraId="43E73A08" w14:textId="77777777" w:rsidR="00F570BB" w:rsidRPr="00F85253" w:rsidRDefault="00F570BB" w:rsidP="00F570BB">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79.03 </w:t>
            </w:r>
          </w:p>
        </w:tc>
        <w:tc>
          <w:tcPr>
            <w:tcW w:w="1005" w:type="dxa"/>
            <w:tcBorders>
              <w:top w:val="nil"/>
              <w:left w:val="nil"/>
              <w:bottom w:val="single" w:sz="8" w:space="0" w:color="auto"/>
              <w:right w:val="single" w:sz="8" w:space="0" w:color="auto"/>
            </w:tcBorders>
            <w:shd w:val="clear" w:color="000000" w:fill="FFFFFF"/>
            <w:noWrap/>
            <w:vAlign w:val="bottom"/>
            <w:hideMark/>
          </w:tcPr>
          <w:p w14:paraId="18AA30E1" w14:textId="77777777" w:rsidR="00F570BB" w:rsidRPr="00F85253" w:rsidRDefault="00F570BB" w:rsidP="00F570BB">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w:t>
            </w:r>
            <w:proofErr w:type="gramStart"/>
            <w:r w:rsidRPr="00F85253">
              <w:rPr>
                <w:rFonts w:ascii="Arial" w:eastAsia="Times New Roman" w:hAnsi="Arial" w:cs="Arial"/>
                <w:b/>
                <w:bCs/>
                <w:sz w:val="20"/>
                <w:szCs w:val="20"/>
                <w:lang w:val="es-EC" w:eastAsia="es-EC"/>
              </w:rPr>
              <w:t>$  86.11</w:t>
            </w:r>
            <w:proofErr w:type="gramEnd"/>
            <w:r w:rsidRPr="00F85253">
              <w:rPr>
                <w:rFonts w:ascii="Arial" w:eastAsia="Times New Roman" w:hAnsi="Arial" w:cs="Arial"/>
                <w:b/>
                <w:bCs/>
                <w:sz w:val="20"/>
                <w:szCs w:val="20"/>
                <w:lang w:val="es-EC" w:eastAsia="es-EC"/>
              </w:rPr>
              <w:t xml:space="preserve"> </w:t>
            </w:r>
          </w:p>
        </w:tc>
        <w:tc>
          <w:tcPr>
            <w:tcW w:w="1186" w:type="dxa"/>
            <w:tcBorders>
              <w:top w:val="nil"/>
              <w:left w:val="nil"/>
              <w:bottom w:val="single" w:sz="8" w:space="0" w:color="auto"/>
              <w:right w:val="nil"/>
            </w:tcBorders>
            <w:shd w:val="clear" w:color="000000" w:fill="FFFFFF"/>
            <w:noWrap/>
            <w:vAlign w:val="bottom"/>
            <w:hideMark/>
          </w:tcPr>
          <w:p w14:paraId="5421F7C3" w14:textId="77777777" w:rsidR="00F570BB" w:rsidRPr="00F85253" w:rsidRDefault="00F570BB" w:rsidP="00F570BB">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w:t>
            </w:r>
            <w:proofErr w:type="gramStart"/>
            <w:r w:rsidRPr="00F85253">
              <w:rPr>
                <w:rFonts w:ascii="Arial" w:eastAsia="Times New Roman" w:hAnsi="Arial" w:cs="Arial"/>
                <w:b/>
                <w:bCs/>
                <w:sz w:val="20"/>
                <w:szCs w:val="20"/>
                <w:lang w:val="es-EC" w:eastAsia="es-EC"/>
              </w:rPr>
              <w:t>$  90.86</w:t>
            </w:r>
            <w:proofErr w:type="gramEnd"/>
            <w:r w:rsidRPr="00F85253">
              <w:rPr>
                <w:rFonts w:ascii="Arial" w:eastAsia="Times New Roman" w:hAnsi="Arial" w:cs="Arial"/>
                <w:b/>
                <w:bCs/>
                <w:sz w:val="20"/>
                <w:szCs w:val="20"/>
                <w:lang w:val="es-EC" w:eastAsia="es-EC"/>
              </w:rPr>
              <w:t xml:space="preserve"> </w:t>
            </w:r>
          </w:p>
        </w:tc>
        <w:tc>
          <w:tcPr>
            <w:tcW w:w="880" w:type="dxa"/>
            <w:tcBorders>
              <w:top w:val="nil"/>
              <w:left w:val="nil"/>
              <w:bottom w:val="single" w:sz="8" w:space="0" w:color="auto"/>
              <w:right w:val="nil"/>
            </w:tcBorders>
            <w:shd w:val="clear" w:color="000000" w:fill="FFFFFF"/>
            <w:noWrap/>
            <w:vAlign w:val="bottom"/>
            <w:hideMark/>
          </w:tcPr>
          <w:p w14:paraId="362ACD61" w14:textId="77777777" w:rsidR="00F570BB" w:rsidRPr="00F85253" w:rsidRDefault="00F570BB" w:rsidP="00F570BB">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$ 92.49 </w:t>
            </w:r>
          </w:p>
        </w:tc>
        <w:tc>
          <w:tcPr>
            <w:tcW w:w="880" w:type="dxa"/>
            <w:tcBorders>
              <w:top w:val="nil"/>
              <w:left w:val="nil"/>
              <w:bottom w:val="single" w:sz="8" w:space="0" w:color="auto"/>
              <w:right w:val="nil"/>
            </w:tcBorders>
            <w:shd w:val="clear" w:color="000000" w:fill="FFFFFF"/>
            <w:noWrap/>
            <w:vAlign w:val="bottom"/>
            <w:hideMark/>
          </w:tcPr>
          <w:p w14:paraId="2315DE67" w14:textId="77777777" w:rsidR="00F570BB" w:rsidRPr="00F85253" w:rsidRDefault="00F570BB" w:rsidP="00F570BB">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$ 95.16 </w:t>
            </w:r>
          </w:p>
        </w:tc>
        <w:tc>
          <w:tcPr>
            <w:tcW w:w="880" w:type="dxa"/>
            <w:tcBorders>
              <w:top w:val="nil"/>
              <w:left w:val="nil"/>
              <w:bottom w:val="single" w:sz="8" w:space="0" w:color="auto"/>
              <w:right w:val="nil"/>
            </w:tcBorders>
            <w:shd w:val="clear" w:color="000000" w:fill="FFFFFF"/>
            <w:noWrap/>
            <w:vAlign w:val="bottom"/>
            <w:hideMark/>
          </w:tcPr>
          <w:p w14:paraId="1901D8EE" w14:textId="77777777" w:rsidR="00F570BB" w:rsidRPr="00F85253" w:rsidRDefault="00F570BB" w:rsidP="00F570BB">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$ 99.53 </w:t>
            </w:r>
          </w:p>
        </w:tc>
        <w:tc>
          <w:tcPr>
            <w:tcW w:w="880" w:type="dxa"/>
            <w:tcBorders>
              <w:top w:val="nil"/>
              <w:left w:val="nil"/>
              <w:bottom w:val="single" w:sz="8" w:space="0" w:color="auto"/>
              <w:right w:val="nil"/>
            </w:tcBorders>
            <w:shd w:val="clear" w:color="000000" w:fill="FFFFFF"/>
            <w:noWrap/>
            <w:vAlign w:val="bottom"/>
            <w:hideMark/>
          </w:tcPr>
          <w:p w14:paraId="76EBEF2F" w14:textId="77777777" w:rsidR="00F570BB" w:rsidRPr="00F85253" w:rsidRDefault="00F570BB" w:rsidP="00F570BB">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$106.65 </w:t>
            </w:r>
          </w:p>
        </w:tc>
        <w:tc>
          <w:tcPr>
            <w:tcW w:w="880" w:type="dxa"/>
            <w:tcBorders>
              <w:top w:val="nil"/>
              <w:left w:val="nil"/>
              <w:bottom w:val="single" w:sz="8" w:space="0" w:color="auto"/>
              <w:right w:val="single" w:sz="8" w:space="0" w:color="auto"/>
            </w:tcBorders>
            <w:shd w:val="clear" w:color="000000" w:fill="FFFFFF"/>
            <w:noWrap/>
            <w:vAlign w:val="bottom"/>
            <w:hideMark/>
          </w:tcPr>
          <w:p w14:paraId="5443DE47" w14:textId="77777777" w:rsidR="00F570BB" w:rsidRPr="00F85253" w:rsidRDefault="00F570BB" w:rsidP="00F570BB">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xml:space="preserve"> $118.24 </w:t>
            </w:r>
          </w:p>
        </w:tc>
      </w:tr>
      <w:tr w:rsidR="00F570BB" w:rsidRPr="00F85253" w14:paraId="45A3A06A" w14:textId="77777777" w:rsidTr="00F85253">
        <w:trPr>
          <w:trHeight w:val="270"/>
        </w:trPr>
        <w:tc>
          <w:tcPr>
            <w:tcW w:w="4268" w:type="dxa"/>
            <w:tcBorders>
              <w:top w:val="nil"/>
              <w:left w:val="nil"/>
              <w:bottom w:val="nil"/>
              <w:right w:val="nil"/>
            </w:tcBorders>
            <w:shd w:val="clear" w:color="000000" w:fill="FFFFFF"/>
            <w:noWrap/>
            <w:vAlign w:val="bottom"/>
            <w:hideMark/>
          </w:tcPr>
          <w:p w14:paraId="54345D7D" w14:textId="77777777" w:rsidR="00F570BB" w:rsidRPr="00F85253" w:rsidRDefault="00F570BB" w:rsidP="00F570BB">
            <w:pPr>
              <w:spacing w:after="0" w:line="240" w:lineRule="auto"/>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w:t>
            </w:r>
          </w:p>
        </w:tc>
        <w:tc>
          <w:tcPr>
            <w:tcW w:w="1134" w:type="dxa"/>
            <w:tcBorders>
              <w:top w:val="nil"/>
              <w:left w:val="nil"/>
              <w:bottom w:val="nil"/>
              <w:right w:val="nil"/>
            </w:tcBorders>
            <w:shd w:val="clear" w:color="000000" w:fill="FFFFFF"/>
            <w:noWrap/>
            <w:vAlign w:val="bottom"/>
            <w:hideMark/>
          </w:tcPr>
          <w:p w14:paraId="77F374E0" w14:textId="77777777" w:rsidR="00F570BB" w:rsidRPr="00F85253" w:rsidRDefault="00F570BB" w:rsidP="00F570BB">
            <w:pPr>
              <w:spacing w:after="0" w:line="240" w:lineRule="auto"/>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w:t>
            </w:r>
          </w:p>
        </w:tc>
        <w:tc>
          <w:tcPr>
            <w:tcW w:w="992" w:type="dxa"/>
            <w:tcBorders>
              <w:top w:val="nil"/>
              <w:left w:val="single" w:sz="8" w:space="0" w:color="auto"/>
              <w:bottom w:val="single" w:sz="8" w:space="0" w:color="auto"/>
              <w:right w:val="nil"/>
            </w:tcBorders>
            <w:shd w:val="clear" w:color="000000" w:fill="FFFFFF"/>
            <w:noWrap/>
            <w:vAlign w:val="bottom"/>
            <w:hideMark/>
          </w:tcPr>
          <w:p w14:paraId="51D7A7DD" w14:textId="77777777" w:rsidR="00F570BB" w:rsidRPr="00F85253" w:rsidRDefault="00F570BB" w:rsidP="00F570BB">
            <w:pPr>
              <w:spacing w:after="0" w:line="240" w:lineRule="auto"/>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w:t>
            </w:r>
          </w:p>
        </w:tc>
        <w:tc>
          <w:tcPr>
            <w:tcW w:w="1134" w:type="dxa"/>
            <w:tcBorders>
              <w:top w:val="nil"/>
              <w:left w:val="nil"/>
              <w:bottom w:val="single" w:sz="8" w:space="0" w:color="auto"/>
              <w:right w:val="nil"/>
            </w:tcBorders>
            <w:shd w:val="clear" w:color="000000" w:fill="FFFFFF"/>
            <w:noWrap/>
            <w:vAlign w:val="bottom"/>
            <w:hideMark/>
          </w:tcPr>
          <w:p w14:paraId="594FB81A" w14:textId="77777777" w:rsidR="00F570BB" w:rsidRPr="00F85253" w:rsidRDefault="00F570BB" w:rsidP="00F570BB">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1134" w:type="dxa"/>
            <w:tcBorders>
              <w:top w:val="nil"/>
              <w:left w:val="nil"/>
              <w:bottom w:val="single" w:sz="8" w:space="0" w:color="auto"/>
              <w:right w:val="nil"/>
            </w:tcBorders>
            <w:shd w:val="clear" w:color="000000" w:fill="FFFFFF"/>
            <w:noWrap/>
            <w:vAlign w:val="bottom"/>
            <w:hideMark/>
          </w:tcPr>
          <w:p w14:paraId="6256B015" w14:textId="77777777" w:rsidR="00F570BB" w:rsidRPr="00F85253" w:rsidRDefault="00F570BB" w:rsidP="00F570BB">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1005" w:type="dxa"/>
            <w:tcBorders>
              <w:top w:val="nil"/>
              <w:left w:val="nil"/>
              <w:bottom w:val="single" w:sz="8" w:space="0" w:color="auto"/>
              <w:right w:val="single" w:sz="8" w:space="0" w:color="auto"/>
            </w:tcBorders>
            <w:shd w:val="clear" w:color="000000" w:fill="FFFFFF"/>
            <w:noWrap/>
            <w:vAlign w:val="bottom"/>
            <w:hideMark/>
          </w:tcPr>
          <w:p w14:paraId="32AE1263" w14:textId="77777777" w:rsidR="00F570BB" w:rsidRPr="00F85253" w:rsidRDefault="00F570BB" w:rsidP="00F570BB">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1186" w:type="dxa"/>
            <w:tcBorders>
              <w:top w:val="nil"/>
              <w:left w:val="nil"/>
              <w:bottom w:val="nil"/>
              <w:right w:val="nil"/>
            </w:tcBorders>
            <w:shd w:val="clear" w:color="000000" w:fill="FFFFFF"/>
            <w:noWrap/>
            <w:vAlign w:val="bottom"/>
            <w:hideMark/>
          </w:tcPr>
          <w:p w14:paraId="5B042400" w14:textId="77777777" w:rsidR="00F570BB" w:rsidRPr="00F85253" w:rsidRDefault="00F570BB" w:rsidP="00F570BB">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880" w:type="dxa"/>
            <w:tcBorders>
              <w:top w:val="nil"/>
              <w:left w:val="nil"/>
              <w:bottom w:val="nil"/>
              <w:right w:val="nil"/>
            </w:tcBorders>
            <w:shd w:val="clear" w:color="000000" w:fill="FFFFFF"/>
            <w:noWrap/>
            <w:vAlign w:val="bottom"/>
            <w:hideMark/>
          </w:tcPr>
          <w:p w14:paraId="48E5EB24" w14:textId="77777777" w:rsidR="00F570BB" w:rsidRPr="00F85253" w:rsidRDefault="00F570BB" w:rsidP="00F570BB">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880" w:type="dxa"/>
            <w:tcBorders>
              <w:top w:val="nil"/>
              <w:left w:val="nil"/>
              <w:bottom w:val="nil"/>
              <w:right w:val="nil"/>
            </w:tcBorders>
            <w:shd w:val="clear" w:color="000000" w:fill="FFFFFF"/>
            <w:noWrap/>
            <w:vAlign w:val="bottom"/>
            <w:hideMark/>
          </w:tcPr>
          <w:p w14:paraId="377AA76F" w14:textId="77777777" w:rsidR="00F570BB" w:rsidRPr="00F85253" w:rsidRDefault="00F570BB" w:rsidP="00F570BB">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880" w:type="dxa"/>
            <w:tcBorders>
              <w:top w:val="nil"/>
              <w:left w:val="nil"/>
              <w:bottom w:val="nil"/>
              <w:right w:val="nil"/>
            </w:tcBorders>
            <w:shd w:val="clear" w:color="000000" w:fill="FFFFFF"/>
            <w:noWrap/>
            <w:vAlign w:val="bottom"/>
            <w:hideMark/>
          </w:tcPr>
          <w:p w14:paraId="7776219E" w14:textId="77777777" w:rsidR="00F570BB" w:rsidRPr="00F85253" w:rsidRDefault="00F570BB" w:rsidP="00F570BB">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880" w:type="dxa"/>
            <w:tcBorders>
              <w:top w:val="nil"/>
              <w:left w:val="nil"/>
              <w:bottom w:val="nil"/>
              <w:right w:val="nil"/>
            </w:tcBorders>
            <w:shd w:val="clear" w:color="000000" w:fill="FFFFFF"/>
            <w:noWrap/>
            <w:vAlign w:val="bottom"/>
            <w:hideMark/>
          </w:tcPr>
          <w:p w14:paraId="09F49181" w14:textId="77777777" w:rsidR="00F570BB" w:rsidRPr="00F85253" w:rsidRDefault="00F570BB" w:rsidP="00F570BB">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c>
          <w:tcPr>
            <w:tcW w:w="880" w:type="dxa"/>
            <w:tcBorders>
              <w:top w:val="nil"/>
              <w:left w:val="nil"/>
              <w:bottom w:val="nil"/>
              <w:right w:val="nil"/>
            </w:tcBorders>
            <w:shd w:val="clear" w:color="000000" w:fill="FFFFFF"/>
            <w:noWrap/>
            <w:vAlign w:val="bottom"/>
            <w:hideMark/>
          </w:tcPr>
          <w:p w14:paraId="067EB2F2" w14:textId="77777777" w:rsidR="00F570BB" w:rsidRPr="00F85253" w:rsidRDefault="00F570BB" w:rsidP="00F570BB">
            <w:pPr>
              <w:spacing w:after="0" w:line="240" w:lineRule="auto"/>
              <w:rPr>
                <w:rFonts w:ascii="Arial" w:eastAsia="Times New Roman" w:hAnsi="Arial" w:cs="Arial"/>
                <w:sz w:val="20"/>
                <w:szCs w:val="20"/>
                <w:lang w:val="es-EC" w:eastAsia="es-EC"/>
              </w:rPr>
            </w:pPr>
            <w:r w:rsidRPr="00F85253">
              <w:rPr>
                <w:rFonts w:ascii="Arial" w:eastAsia="Times New Roman" w:hAnsi="Arial" w:cs="Arial"/>
                <w:sz w:val="20"/>
                <w:szCs w:val="20"/>
                <w:lang w:val="es-EC" w:eastAsia="es-EC"/>
              </w:rPr>
              <w:t> </w:t>
            </w:r>
          </w:p>
        </w:tc>
      </w:tr>
      <w:tr w:rsidR="00F570BB" w:rsidRPr="00F85253" w14:paraId="506BEB78" w14:textId="77777777" w:rsidTr="00F85253">
        <w:trPr>
          <w:trHeight w:val="255"/>
        </w:trPr>
        <w:tc>
          <w:tcPr>
            <w:tcW w:w="4268" w:type="dxa"/>
            <w:tcBorders>
              <w:top w:val="single" w:sz="8" w:space="0" w:color="auto"/>
              <w:left w:val="single" w:sz="8" w:space="0" w:color="auto"/>
              <w:bottom w:val="nil"/>
              <w:right w:val="nil"/>
            </w:tcBorders>
            <w:shd w:val="clear" w:color="000000" w:fill="FFFFFF"/>
            <w:noWrap/>
            <w:vAlign w:val="bottom"/>
            <w:hideMark/>
          </w:tcPr>
          <w:p w14:paraId="314DECAF" w14:textId="77777777" w:rsidR="00F570BB" w:rsidRPr="00F85253" w:rsidRDefault="00F570BB" w:rsidP="00F570BB">
            <w:pPr>
              <w:spacing w:after="0" w:line="240" w:lineRule="auto"/>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TIR</w:t>
            </w:r>
          </w:p>
        </w:tc>
        <w:tc>
          <w:tcPr>
            <w:tcW w:w="1134" w:type="dxa"/>
            <w:tcBorders>
              <w:top w:val="single" w:sz="8" w:space="0" w:color="auto"/>
              <w:left w:val="nil"/>
              <w:bottom w:val="nil"/>
              <w:right w:val="nil"/>
            </w:tcBorders>
            <w:shd w:val="clear" w:color="000000" w:fill="FFFFFF"/>
            <w:noWrap/>
            <w:vAlign w:val="bottom"/>
            <w:hideMark/>
          </w:tcPr>
          <w:p w14:paraId="157DB7D0" w14:textId="77777777" w:rsidR="00F570BB" w:rsidRPr="00F85253" w:rsidRDefault="00F570BB" w:rsidP="00F570BB">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w:t>
            </w:r>
          </w:p>
        </w:tc>
        <w:tc>
          <w:tcPr>
            <w:tcW w:w="992" w:type="dxa"/>
            <w:tcBorders>
              <w:top w:val="nil"/>
              <w:left w:val="single" w:sz="8" w:space="0" w:color="auto"/>
              <w:bottom w:val="nil"/>
              <w:right w:val="nil"/>
            </w:tcBorders>
            <w:shd w:val="clear" w:color="000000" w:fill="FFFFFF"/>
            <w:noWrap/>
            <w:vAlign w:val="bottom"/>
          </w:tcPr>
          <w:p w14:paraId="13016FEC" w14:textId="535101DD" w:rsidR="00F570BB" w:rsidRPr="00F85253" w:rsidRDefault="00F570BB" w:rsidP="00F570BB">
            <w:pPr>
              <w:spacing w:after="0" w:line="240" w:lineRule="auto"/>
              <w:jc w:val="right"/>
              <w:rPr>
                <w:rFonts w:ascii="Arial" w:eastAsia="Times New Roman" w:hAnsi="Arial" w:cs="Arial"/>
                <w:color w:val="FFFFFF"/>
                <w:sz w:val="20"/>
                <w:szCs w:val="20"/>
                <w:lang w:val="es-EC" w:eastAsia="es-EC"/>
              </w:rPr>
            </w:pPr>
          </w:p>
        </w:tc>
        <w:tc>
          <w:tcPr>
            <w:tcW w:w="1134" w:type="dxa"/>
            <w:tcBorders>
              <w:top w:val="nil"/>
              <w:left w:val="nil"/>
              <w:bottom w:val="nil"/>
              <w:right w:val="nil"/>
            </w:tcBorders>
            <w:shd w:val="clear" w:color="000000" w:fill="FFFFFF"/>
            <w:noWrap/>
            <w:vAlign w:val="bottom"/>
          </w:tcPr>
          <w:p w14:paraId="392F5D8B" w14:textId="59E5789D" w:rsidR="00F570BB" w:rsidRPr="00F85253" w:rsidRDefault="00F570BB" w:rsidP="00F570BB">
            <w:pPr>
              <w:spacing w:after="0" w:line="240" w:lineRule="auto"/>
              <w:jc w:val="right"/>
              <w:rPr>
                <w:rFonts w:ascii="Arial" w:eastAsia="Times New Roman" w:hAnsi="Arial" w:cs="Arial"/>
                <w:color w:val="FFFFFF"/>
                <w:sz w:val="20"/>
                <w:szCs w:val="20"/>
                <w:lang w:val="es-EC" w:eastAsia="es-EC"/>
              </w:rPr>
            </w:pPr>
          </w:p>
        </w:tc>
        <w:tc>
          <w:tcPr>
            <w:tcW w:w="1134" w:type="dxa"/>
            <w:tcBorders>
              <w:top w:val="nil"/>
              <w:left w:val="nil"/>
              <w:bottom w:val="nil"/>
              <w:right w:val="nil"/>
            </w:tcBorders>
            <w:shd w:val="clear" w:color="000000" w:fill="FFFFFF"/>
            <w:noWrap/>
            <w:vAlign w:val="bottom"/>
          </w:tcPr>
          <w:p w14:paraId="692468CC" w14:textId="58EB6744" w:rsidR="00F570BB" w:rsidRPr="00F85253" w:rsidRDefault="00F570BB" w:rsidP="00F570BB">
            <w:pPr>
              <w:spacing w:after="0" w:line="240" w:lineRule="auto"/>
              <w:jc w:val="right"/>
              <w:rPr>
                <w:rFonts w:ascii="Arial" w:eastAsia="Times New Roman" w:hAnsi="Arial" w:cs="Arial"/>
                <w:color w:val="FFFFFF"/>
                <w:sz w:val="20"/>
                <w:szCs w:val="20"/>
                <w:lang w:val="es-EC" w:eastAsia="es-EC"/>
              </w:rPr>
            </w:pPr>
          </w:p>
        </w:tc>
        <w:tc>
          <w:tcPr>
            <w:tcW w:w="1005" w:type="dxa"/>
            <w:tcBorders>
              <w:top w:val="nil"/>
              <w:left w:val="nil"/>
              <w:bottom w:val="nil"/>
              <w:right w:val="single" w:sz="8" w:space="0" w:color="auto"/>
            </w:tcBorders>
            <w:shd w:val="clear" w:color="000000" w:fill="FFFFFF"/>
            <w:noWrap/>
            <w:vAlign w:val="bottom"/>
          </w:tcPr>
          <w:p w14:paraId="34D54901" w14:textId="14749E59" w:rsidR="00F570BB" w:rsidRPr="00F85253" w:rsidRDefault="00F570BB" w:rsidP="00F570BB">
            <w:pPr>
              <w:spacing w:after="0" w:line="240" w:lineRule="auto"/>
              <w:jc w:val="right"/>
              <w:rPr>
                <w:rFonts w:ascii="Arial" w:eastAsia="Times New Roman" w:hAnsi="Arial" w:cs="Arial"/>
                <w:color w:val="FFFFFF"/>
                <w:sz w:val="20"/>
                <w:szCs w:val="20"/>
                <w:lang w:val="es-EC" w:eastAsia="es-EC"/>
              </w:rPr>
            </w:pPr>
          </w:p>
        </w:tc>
        <w:tc>
          <w:tcPr>
            <w:tcW w:w="1186" w:type="dxa"/>
            <w:tcBorders>
              <w:top w:val="single" w:sz="8" w:space="0" w:color="auto"/>
              <w:left w:val="nil"/>
              <w:bottom w:val="nil"/>
              <w:right w:val="nil"/>
            </w:tcBorders>
            <w:shd w:val="clear" w:color="000000" w:fill="FFFFFF"/>
            <w:noWrap/>
            <w:vAlign w:val="bottom"/>
          </w:tcPr>
          <w:p w14:paraId="755E7E9B" w14:textId="1D81B7CB" w:rsidR="00F570BB" w:rsidRPr="00F85253" w:rsidRDefault="00F570BB" w:rsidP="00F570BB">
            <w:pPr>
              <w:spacing w:after="0" w:line="240" w:lineRule="auto"/>
              <w:jc w:val="right"/>
              <w:rPr>
                <w:rFonts w:ascii="Arial" w:eastAsia="Times New Roman" w:hAnsi="Arial" w:cs="Arial"/>
                <w:color w:val="FFFFFF"/>
                <w:sz w:val="20"/>
                <w:szCs w:val="20"/>
                <w:lang w:val="es-EC" w:eastAsia="es-EC"/>
              </w:rPr>
            </w:pPr>
          </w:p>
        </w:tc>
        <w:tc>
          <w:tcPr>
            <w:tcW w:w="880" w:type="dxa"/>
            <w:tcBorders>
              <w:top w:val="single" w:sz="8" w:space="0" w:color="auto"/>
              <w:left w:val="nil"/>
              <w:bottom w:val="nil"/>
              <w:right w:val="nil"/>
            </w:tcBorders>
            <w:shd w:val="clear" w:color="000000" w:fill="FFFFFF"/>
            <w:noWrap/>
            <w:vAlign w:val="bottom"/>
          </w:tcPr>
          <w:p w14:paraId="452BF8F1" w14:textId="1FE489A8" w:rsidR="00F570BB" w:rsidRPr="00F85253" w:rsidRDefault="00F570BB" w:rsidP="00F570BB">
            <w:pPr>
              <w:spacing w:after="0" w:line="240" w:lineRule="auto"/>
              <w:jc w:val="right"/>
              <w:rPr>
                <w:rFonts w:ascii="Arial" w:eastAsia="Times New Roman" w:hAnsi="Arial" w:cs="Arial"/>
                <w:color w:val="FFFFFF"/>
                <w:sz w:val="20"/>
                <w:szCs w:val="20"/>
                <w:lang w:val="es-EC" w:eastAsia="es-EC"/>
              </w:rPr>
            </w:pPr>
          </w:p>
        </w:tc>
        <w:tc>
          <w:tcPr>
            <w:tcW w:w="880" w:type="dxa"/>
            <w:tcBorders>
              <w:top w:val="single" w:sz="8" w:space="0" w:color="auto"/>
              <w:left w:val="nil"/>
              <w:bottom w:val="nil"/>
              <w:right w:val="nil"/>
            </w:tcBorders>
            <w:shd w:val="clear" w:color="000000" w:fill="FFFFFF"/>
            <w:noWrap/>
            <w:vAlign w:val="bottom"/>
          </w:tcPr>
          <w:p w14:paraId="42FA2079" w14:textId="47D70B97" w:rsidR="00F570BB" w:rsidRPr="00F85253" w:rsidRDefault="00F570BB" w:rsidP="00F570BB">
            <w:pPr>
              <w:spacing w:after="0" w:line="240" w:lineRule="auto"/>
              <w:jc w:val="right"/>
              <w:rPr>
                <w:rFonts w:ascii="Arial" w:eastAsia="Times New Roman" w:hAnsi="Arial" w:cs="Arial"/>
                <w:color w:val="FFFFFF"/>
                <w:sz w:val="20"/>
                <w:szCs w:val="20"/>
                <w:lang w:val="es-EC" w:eastAsia="es-EC"/>
              </w:rPr>
            </w:pPr>
          </w:p>
        </w:tc>
        <w:tc>
          <w:tcPr>
            <w:tcW w:w="880" w:type="dxa"/>
            <w:tcBorders>
              <w:top w:val="single" w:sz="8" w:space="0" w:color="auto"/>
              <w:left w:val="nil"/>
              <w:bottom w:val="nil"/>
              <w:right w:val="nil"/>
            </w:tcBorders>
            <w:shd w:val="clear" w:color="000000" w:fill="FFFFFF"/>
            <w:noWrap/>
            <w:vAlign w:val="bottom"/>
          </w:tcPr>
          <w:p w14:paraId="10BCA384" w14:textId="1EF56958" w:rsidR="00F570BB" w:rsidRPr="00F85253" w:rsidRDefault="00F570BB" w:rsidP="00F570BB">
            <w:pPr>
              <w:spacing w:after="0" w:line="240" w:lineRule="auto"/>
              <w:jc w:val="right"/>
              <w:rPr>
                <w:rFonts w:ascii="Arial" w:eastAsia="Times New Roman" w:hAnsi="Arial" w:cs="Arial"/>
                <w:color w:val="FFFFFF"/>
                <w:sz w:val="20"/>
                <w:szCs w:val="20"/>
                <w:lang w:val="es-EC" w:eastAsia="es-EC"/>
              </w:rPr>
            </w:pPr>
          </w:p>
        </w:tc>
        <w:tc>
          <w:tcPr>
            <w:tcW w:w="880" w:type="dxa"/>
            <w:tcBorders>
              <w:top w:val="single" w:sz="8" w:space="0" w:color="auto"/>
              <w:left w:val="nil"/>
              <w:bottom w:val="nil"/>
              <w:right w:val="nil"/>
            </w:tcBorders>
            <w:shd w:val="clear" w:color="000000" w:fill="FFFFFF"/>
            <w:noWrap/>
            <w:vAlign w:val="bottom"/>
          </w:tcPr>
          <w:p w14:paraId="2FD9C576" w14:textId="5EAFF275" w:rsidR="00F570BB" w:rsidRPr="00F85253" w:rsidRDefault="00F570BB" w:rsidP="00F570BB">
            <w:pPr>
              <w:spacing w:after="0" w:line="240" w:lineRule="auto"/>
              <w:jc w:val="right"/>
              <w:rPr>
                <w:rFonts w:ascii="Arial" w:eastAsia="Times New Roman" w:hAnsi="Arial" w:cs="Arial"/>
                <w:color w:val="FFFFFF"/>
                <w:sz w:val="20"/>
                <w:szCs w:val="20"/>
                <w:lang w:val="es-EC" w:eastAsia="es-EC"/>
              </w:rPr>
            </w:pPr>
          </w:p>
        </w:tc>
        <w:tc>
          <w:tcPr>
            <w:tcW w:w="880" w:type="dxa"/>
            <w:tcBorders>
              <w:top w:val="single" w:sz="8" w:space="0" w:color="auto"/>
              <w:left w:val="nil"/>
              <w:bottom w:val="nil"/>
              <w:right w:val="single" w:sz="8" w:space="0" w:color="auto"/>
            </w:tcBorders>
            <w:shd w:val="clear" w:color="000000" w:fill="FFFFFF"/>
            <w:noWrap/>
            <w:vAlign w:val="bottom"/>
            <w:hideMark/>
          </w:tcPr>
          <w:p w14:paraId="507916C9" w14:textId="77777777" w:rsidR="00F570BB" w:rsidRPr="00F85253" w:rsidRDefault="00F570BB" w:rsidP="00F570BB">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49%</w:t>
            </w:r>
          </w:p>
        </w:tc>
      </w:tr>
      <w:tr w:rsidR="00F570BB" w:rsidRPr="00F85253" w14:paraId="2F5BDAF7" w14:textId="77777777" w:rsidTr="00F85253">
        <w:trPr>
          <w:trHeight w:val="270"/>
        </w:trPr>
        <w:tc>
          <w:tcPr>
            <w:tcW w:w="4268" w:type="dxa"/>
            <w:tcBorders>
              <w:top w:val="nil"/>
              <w:left w:val="single" w:sz="8" w:space="0" w:color="auto"/>
              <w:bottom w:val="single" w:sz="8" w:space="0" w:color="auto"/>
              <w:right w:val="nil"/>
            </w:tcBorders>
            <w:shd w:val="clear" w:color="000000" w:fill="FFFFFF"/>
            <w:noWrap/>
            <w:vAlign w:val="bottom"/>
            <w:hideMark/>
          </w:tcPr>
          <w:p w14:paraId="57353B40" w14:textId="77777777" w:rsidR="00F570BB" w:rsidRPr="00F85253" w:rsidRDefault="00F570BB" w:rsidP="00F570BB">
            <w:pPr>
              <w:spacing w:after="0" w:line="240" w:lineRule="auto"/>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VAN</w:t>
            </w:r>
          </w:p>
        </w:tc>
        <w:tc>
          <w:tcPr>
            <w:tcW w:w="1134" w:type="dxa"/>
            <w:tcBorders>
              <w:top w:val="nil"/>
              <w:left w:val="nil"/>
              <w:bottom w:val="single" w:sz="8" w:space="0" w:color="auto"/>
              <w:right w:val="nil"/>
            </w:tcBorders>
            <w:shd w:val="clear" w:color="000000" w:fill="FFFFFF"/>
            <w:noWrap/>
            <w:vAlign w:val="bottom"/>
            <w:hideMark/>
          </w:tcPr>
          <w:p w14:paraId="302EEC3B" w14:textId="77777777" w:rsidR="00F570BB" w:rsidRPr="00F85253" w:rsidRDefault="00F570BB" w:rsidP="00F570BB">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 </w:t>
            </w:r>
          </w:p>
        </w:tc>
        <w:tc>
          <w:tcPr>
            <w:tcW w:w="992" w:type="dxa"/>
            <w:tcBorders>
              <w:top w:val="nil"/>
              <w:left w:val="single" w:sz="8" w:space="0" w:color="auto"/>
              <w:bottom w:val="single" w:sz="8" w:space="0" w:color="auto"/>
              <w:right w:val="nil"/>
            </w:tcBorders>
            <w:shd w:val="clear" w:color="000000" w:fill="FFFFFF"/>
            <w:noWrap/>
            <w:vAlign w:val="bottom"/>
          </w:tcPr>
          <w:p w14:paraId="13294F14" w14:textId="675B1CFD" w:rsidR="00F570BB" w:rsidRPr="00F85253" w:rsidRDefault="00F570BB" w:rsidP="00F570BB">
            <w:pPr>
              <w:spacing w:after="0" w:line="240" w:lineRule="auto"/>
              <w:jc w:val="right"/>
              <w:rPr>
                <w:rFonts w:ascii="Arial" w:eastAsia="Times New Roman" w:hAnsi="Arial" w:cs="Arial"/>
                <w:color w:val="FFFFFF"/>
                <w:sz w:val="20"/>
                <w:szCs w:val="20"/>
                <w:lang w:val="es-EC" w:eastAsia="es-EC"/>
              </w:rPr>
            </w:pPr>
          </w:p>
        </w:tc>
        <w:tc>
          <w:tcPr>
            <w:tcW w:w="1134" w:type="dxa"/>
            <w:tcBorders>
              <w:top w:val="nil"/>
              <w:left w:val="nil"/>
              <w:bottom w:val="single" w:sz="8" w:space="0" w:color="auto"/>
              <w:right w:val="nil"/>
            </w:tcBorders>
            <w:shd w:val="clear" w:color="000000" w:fill="FFFFFF"/>
            <w:noWrap/>
            <w:vAlign w:val="bottom"/>
          </w:tcPr>
          <w:p w14:paraId="32CB7C39" w14:textId="3762E0E9" w:rsidR="00F570BB" w:rsidRPr="00F85253" w:rsidRDefault="00F570BB" w:rsidP="00F570BB">
            <w:pPr>
              <w:spacing w:after="0" w:line="240" w:lineRule="auto"/>
              <w:jc w:val="right"/>
              <w:rPr>
                <w:rFonts w:ascii="Arial" w:eastAsia="Times New Roman" w:hAnsi="Arial" w:cs="Arial"/>
                <w:color w:val="FFFFFF"/>
                <w:sz w:val="20"/>
                <w:szCs w:val="20"/>
                <w:lang w:val="es-EC" w:eastAsia="es-EC"/>
              </w:rPr>
            </w:pPr>
          </w:p>
        </w:tc>
        <w:tc>
          <w:tcPr>
            <w:tcW w:w="1134" w:type="dxa"/>
            <w:tcBorders>
              <w:top w:val="nil"/>
              <w:left w:val="nil"/>
              <w:bottom w:val="single" w:sz="8" w:space="0" w:color="auto"/>
              <w:right w:val="nil"/>
            </w:tcBorders>
            <w:shd w:val="clear" w:color="000000" w:fill="FFFFFF"/>
            <w:noWrap/>
            <w:vAlign w:val="bottom"/>
          </w:tcPr>
          <w:p w14:paraId="436954E6" w14:textId="2BBAC6A1" w:rsidR="00F570BB" w:rsidRPr="00F85253" w:rsidRDefault="00F570BB" w:rsidP="00F570BB">
            <w:pPr>
              <w:spacing w:after="0" w:line="240" w:lineRule="auto"/>
              <w:jc w:val="right"/>
              <w:rPr>
                <w:rFonts w:ascii="Arial" w:eastAsia="Times New Roman" w:hAnsi="Arial" w:cs="Arial"/>
                <w:color w:val="FFFFFF"/>
                <w:sz w:val="20"/>
                <w:szCs w:val="20"/>
                <w:lang w:val="es-EC" w:eastAsia="es-EC"/>
              </w:rPr>
            </w:pPr>
          </w:p>
        </w:tc>
        <w:tc>
          <w:tcPr>
            <w:tcW w:w="1005" w:type="dxa"/>
            <w:tcBorders>
              <w:top w:val="nil"/>
              <w:left w:val="nil"/>
              <w:bottom w:val="single" w:sz="8" w:space="0" w:color="auto"/>
              <w:right w:val="single" w:sz="8" w:space="0" w:color="auto"/>
            </w:tcBorders>
            <w:shd w:val="clear" w:color="000000" w:fill="FFFFFF"/>
            <w:noWrap/>
            <w:vAlign w:val="bottom"/>
          </w:tcPr>
          <w:p w14:paraId="3AEACC41" w14:textId="170B68A9" w:rsidR="00F570BB" w:rsidRPr="00F85253" w:rsidRDefault="00F570BB" w:rsidP="00F570BB">
            <w:pPr>
              <w:spacing w:after="0" w:line="240" w:lineRule="auto"/>
              <w:jc w:val="right"/>
              <w:rPr>
                <w:rFonts w:ascii="Arial" w:eastAsia="Times New Roman" w:hAnsi="Arial" w:cs="Arial"/>
                <w:color w:val="FFFFFF"/>
                <w:sz w:val="20"/>
                <w:szCs w:val="20"/>
                <w:lang w:val="es-EC" w:eastAsia="es-EC"/>
              </w:rPr>
            </w:pPr>
          </w:p>
        </w:tc>
        <w:tc>
          <w:tcPr>
            <w:tcW w:w="1186" w:type="dxa"/>
            <w:tcBorders>
              <w:top w:val="nil"/>
              <w:left w:val="nil"/>
              <w:bottom w:val="single" w:sz="8" w:space="0" w:color="auto"/>
              <w:right w:val="nil"/>
            </w:tcBorders>
            <w:shd w:val="clear" w:color="000000" w:fill="FFFFFF"/>
            <w:noWrap/>
            <w:vAlign w:val="bottom"/>
          </w:tcPr>
          <w:p w14:paraId="5CAAA524" w14:textId="6E463926" w:rsidR="00F570BB" w:rsidRPr="00F85253" w:rsidRDefault="00F570BB" w:rsidP="00F570BB">
            <w:pPr>
              <w:spacing w:after="0" w:line="240" w:lineRule="auto"/>
              <w:jc w:val="right"/>
              <w:rPr>
                <w:rFonts w:ascii="Arial" w:eastAsia="Times New Roman" w:hAnsi="Arial" w:cs="Arial"/>
                <w:color w:val="FFFFFF"/>
                <w:sz w:val="20"/>
                <w:szCs w:val="20"/>
                <w:lang w:val="es-EC" w:eastAsia="es-EC"/>
              </w:rPr>
            </w:pPr>
          </w:p>
        </w:tc>
        <w:tc>
          <w:tcPr>
            <w:tcW w:w="880" w:type="dxa"/>
            <w:tcBorders>
              <w:top w:val="nil"/>
              <w:left w:val="nil"/>
              <w:bottom w:val="single" w:sz="8" w:space="0" w:color="auto"/>
              <w:right w:val="nil"/>
            </w:tcBorders>
            <w:shd w:val="clear" w:color="000000" w:fill="FFFFFF"/>
            <w:noWrap/>
            <w:vAlign w:val="bottom"/>
          </w:tcPr>
          <w:p w14:paraId="198E3384" w14:textId="60F691DA" w:rsidR="00F570BB" w:rsidRPr="00F85253" w:rsidRDefault="00F570BB" w:rsidP="00F570BB">
            <w:pPr>
              <w:spacing w:after="0" w:line="240" w:lineRule="auto"/>
              <w:jc w:val="right"/>
              <w:rPr>
                <w:rFonts w:ascii="Arial" w:eastAsia="Times New Roman" w:hAnsi="Arial" w:cs="Arial"/>
                <w:color w:val="FFFFFF"/>
                <w:sz w:val="20"/>
                <w:szCs w:val="20"/>
                <w:lang w:val="es-EC" w:eastAsia="es-EC"/>
              </w:rPr>
            </w:pPr>
          </w:p>
        </w:tc>
        <w:tc>
          <w:tcPr>
            <w:tcW w:w="880" w:type="dxa"/>
            <w:tcBorders>
              <w:top w:val="nil"/>
              <w:left w:val="nil"/>
              <w:bottom w:val="single" w:sz="8" w:space="0" w:color="auto"/>
              <w:right w:val="nil"/>
            </w:tcBorders>
            <w:shd w:val="clear" w:color="000000" w:fill="FFFFFF"/>
            <w:noWrap/>
            <w:vAlign w:val="bottom"/>
          </w:tcPr>
          <w:p w14:paraId="7F5B15D5" w14:textId="6596B04E" w:rsidR="00F570BB" w:rsidRPr="00F85253" w:rsidRDefault="00F570BB" w:rsidP="00F570BB">
            <w:pPr>
              <w:spacing w:after="0" w:line="240" w:lineRule="auto"/>
              <w:jc w:val="right"/>
              <w:rPr>
                <w:rFonts w:ascii="Arial" w:eastAsia="Times New Roman" w:hAnsi="Arial" w:cs="Arial"/>
                <w:color w:val="FFFFFF"/>
                <w:sz w:val="20"/>
                <w:szCs w:val="20"/>
                <w:lang w:val="es-EC" w:eastAsia="es-EC"/>
              </w:rPr>
            </w:pPr>
          </w:p>
        </w:tc>
        <w:tc>
          <w:tcPr>
            <w:tcW w:w="880" w:type="dxa"/>
            <w:tcBorders>
              <w:top w:val="nil"/>
              <w:left w:val="nil"/>
              <w:bottom w:val="single" w:sz="8" w:space="0" w:color="auto"/>
              <w:right w:val="nil"/>
            </w:tcBorders>
            <w:shd w:val="clear" w:color="000000" w:fill="FFFFFF"/>
            <w:noWrap/>
            <w:vAlign w:val="bottom"/>
          </w:tcPr>
          <w:p w14:paraId="64618623" w14:textId="4846F7A1" w:rsidR="00F570BB" w:rsidRPr="00F85253" w:rsidRDefault="00F570BB" w:rsidP="00F570BB">
            <w:pPr>
              <w:spacing w:after="0" w:line="240" w:lineRule="auto"/>
              <w:jc w:val="right"/>
              <w:rPr>
                <w:rFonts w:ascii="Arial" w:eastAsia="Times New Roman" w:hAnsi="Arial" w:cs="Arial"/>
                <w:color w:val="FFFFFF"/>
                <w:sz w:val="20"/>
                <w:szCs w:val="20"/>
                <w:lang w:val="es-EC" w:eastAsia="es-EC"/>
              </w:rPr>
            </w:pPr>
          </w:p>
        </w:tc>
        <w:tc>
          <w:tcPr>
            <w:tcW w:w="880" w:type="dxa"/>
            <w:tcBorders>
              <w:top w:val="nil"/>
              <w:left w:val="nil"/>
              <w:bottom w:val="single" w:sz="8" w:space="0" w:color="auto"/>
              <w:right w:val="nil"/>
            </w:tcBorders>
            <w:shd w:val="clear" w:color="000000" w:fill="FFFFFF"/>
            <w:noWrap/>
            <w:vAlign w:val="bottom"/>
          </w:tcPr>
          <w:p w14:paraId="0C63CD00" w14:textId="65C16B87" w:rsidR="00F570BB" w:rsidRPr="00F85253" w:rsidRDefault="00F570BB" w:rsidP="00F570BB">
            <w:pPr>
              <w:spacing w:after="0" w:line="240" w:lineRule="auto"/>
              <w:jc w:val="right"/>
              <w:rPr>
                <w:rFonts w:ascii="Arial" w:eastAsia="Times New Roman" w:hAnsi="Arial" w:cs="Arial"/>
                <w:color w:val="FFFFFF"/>
                <w:sz w:val="20"/>
                <w:szCs w:val="20"/>
                <w:lang w:val="es-EC" w:eastAsia="es-EC"/>
              </w:rPr>
            </w:pPr>
          </w:p>
        </w:tc>
        <w:tc>
          <w:tcPr>
            <w:tcW w:w="880" w:type="dxa"/>
            <w:tcBorders>
              <w:top w:val="nil"/>
              <w:left w:val="nil"/>
              <w:bottom w:val="single" w:sz="8" w:space="0" w:color="auto"/>
              <w:right w:val="single" w:sz="8" w:space="0" w:color="auto"/>
            </w:tcBorders>
            <w:shd w:val="clear" w:color="000000" w:fill="FFFFFF"/>
            <w:noWrap/>
            <w:vAlign w:val="bottom"/>
            <w:hideMark/>
          </w:tcPr>
          <w:p w14:paraId="6BBC3C22" w14:textId="77777777" w:rsidR="00F570BB" w:rsidRPr="00F85253" w:rsidRDefault="00F570BB" w:rsidP="00F570BB">
            <w:pPr>
              <w:spacing w:after="0" w:line="240" w:lineRule="auto"/>
              <w:jc w:val="right"/>
              <w:rPr>
                <w:rFonts w:ascii="Arial" w:eastAsia="Times New Roman" w:hAnsi="Arial" w:cs="Arial"/>
                <w:b/>
                <w:bCs/>
                <w:sz w:val="20"/>
                <w:szCs w:val="20"/>
                <w:lang w:val="es-EC" w:eastAsia="es-EC"/>
              </w:rPr>
            </w:pPr>
            <w:r w:rsidRPr="00F85253">
              <w:rPr>
                <w:rFonts w:ascii="Arial" w:eastAsia="Times New Roman" w:hAnsi="Arial" w:cs="Arial"/>
                <w:b/>
                <w:bCs/>
                <w:sz w:val="20"/>
                <w:szCs w:val="20"/>
                <w:lang w:val="es-EC" w:eastAsia="es-EC"/>
              </w:rPr>
              <w:t>$260</w:t>
            </w:r>
          </w:p>
        </w:tc>
      </w:tr>
    </w:tbl>
    <w:p w14:paraId="42541F67" w14:textId="77777777" w:rsidR="00891AC2" w:rsidRPr="00F85253" w:rsidRDefault="00891AC2" w:rsidP="00891AC2">
      <w:pPr>
        <w:pStyle w:val="Paragraph"/>
        <w:tabs>
          <w:tab w:val="num" w:pos="2196"/>
        </w:tabs>
        <w:spacing w:before="0" w:after="0" w:line="276" w:lineRule="auto"/>
        <w:ind w:left="720"/>
        <w:outlineLvl w:val="9"/>
        <w:rPr>
          <w:rFonts w:ascii="Arial" w:hAnsi="Arial" w:cs="Arial"/>
          <w:sz w:val="22"/>
          <w:szCs w:val="22"/>
          <w:lang w:val="es-ES_tradnl"/>
        </w:rPr>
      </w:pPr>
    </w:p>
    <w:p w14:paraId="3045910E" w14:textId="77777777" w:rsidR="00891AC2" w:rsidRPr="00F85253" w:rsidRDefault="00891AC2" w:rsidP="00891AC2">
      <w:pPr>
        <w:pStyle w:val="Paragraph"/>
        <w:tabs>
          <w:tab w:val="num" w:pos="2196"/>
        </w:tabs>
        <w:spacing w:before="0" w:after="0" w:line="276" w:lineRule="auto"/>
        <w:ind w:left="720"/>
        <w:outlineLvl w:val="9"/>
        <w:rPr>
          <w:rFonts w:ascii="Arial" w:hAnsi="Arial" w:cs="Arial"/>
          <w:sz w:val="22"/>
          <w:szCs w:val="22"/>
          <w:lang w:val="es-ES_tradnl"/>
        </w:rPr>
      </w:pPr>
    </w:p>
    <w:p w14:paraId="77DA895E" w14:textId="77777777" w:rsidR="00891AC2" w:rsidRPr="00F85253" w:rsidRDefault="00891AC2" w:rsidP="00891AC2">
      <w:pPr>
        <w:pStyle w:val="Paragraph"/>
        <w:tabs>
          <w:tab w:val="num" w:pos="2196"/>
        </w:tabs>
        <w:spacing w:before="0" w:after="0" w:line="276" w:lineRule="auto"/>
        <w:ind w:left="720"/>
        <w:outlineLvl w:val="9"/>
        <w:rPr>
          <w:rFonts w:ascii="Arial" w:hAnsi="Arial" w:cs="Arial"/>
          <w:sz w:val="22"/>
          <w:szCs w:val="22"/>
          <w:lang w:val="es-ES_tradnl"/>
        </w:rPr>
      </w:pPr>
    </w:p>
    <w:p w14:paraId="15D4DFB3" w14:textId="77777777" w:rsidR="00891AC2" w:rsidRPr="00F85253" w:rsidRDefault="00891AC2" w:rsidP="00891AC2">
      <w:pPr>
        <w:pStyle w:val="Paragraph"/>
        <w:tabs>
          <w:tab w:val="num" w:pos="2196"/>
        </w:tabs>
        <w:spacing w:before="0" w:after="0" w:line="276" w:lineRule="auto"/>
        <w:ind w:left="720"/>
        <w:outlineLvl w:val="9"/>
        <w:rPr>
          <w:rFonts w:ascii="Arial" w:hAnsi="Arial" w:cs="Arial"/>
          <w:sz w:val="22"/>
          <w:szCs w:val="22"/>
          <w:lang w:val="es-ES_tradnl"/>
        </w:rPr>
      </w:pPr>
    </w:p>
    <w:p w14:paraId="229695F1" w14:textId="77777777" w:rsidR="00891AC2" w:rsidRPr="00F85253" w:rsidRDefault="00891AC2" w:rsidP="00891AC2">
      <w:pPr>
        <w:pStyle w:val="Paragraph"/>
        <w:tabs>
          <w:tab w:val="num" w:pos="2196"/>
        </w:tabs>
        <w:spacing w:before="0" w:after="0" w:line="276" w:lineRule="auto"/>
        <w:ind w:left="720"/>
        <w:outlineLvl w:val="9"/>
        <w:rPr>
          <w:rFonts w:ascii="Arial" w:hAnsi="Arial" w:cs="Arial"/>
          <w:sz w:val="22"/>
          <w:szCs w:val="22"/>
          <w:lang w:val="es-ES_tradnl"/>
        </w:rPr>
      </w:pPr>
    </w:p>
    <w:p w14:paraId="46356D0E" w14:textId="77777777" w:rsidR="001E2EB3" w:rsidRPr="00F85253" w:rsidRDefault="001E2EB3" w:rsidP="00891AC2">
      <w:pPr>
        <w:pStyle w:val="Paragraph"/>
        <w:tabs>
          <w:tab w:val="num" w:pos="2196"/>
        </w:tabs>
        <w:spacing w:before="0" w:after="0" w:line="276" w:lineRule="auto"/>
        <w:ind w:left="720"/>
        <w:outlineLvl w:val="9"/>
        <w:rPr>
          <w:rFonts w:ascii="Arial" w:hAnsi="Arial" w:cs="Arial"/>
          <w:sz w:val="22"/>
          <w:szCs w:val="22"/>
          <w:lang w:val="es-ES_tradnl"/>
        </w:rPr>
      </w:pPr>
    </w:p>
    <w:p w14:paraId="0AA59B4A" w14:textId="77777777" w:rsidR="001E2EB3" w:rsidRPr="00F85253" w:rsidRDefault="001E2EB3" w:rsidP="00891AC2">
      <w:pPr>
        <w:pStyle w:val="Paragraph"/>
        <w:tabs>
          <w:tab w:val="num" w:pos="2196"/>
        </w:tabs>
        <w:spacing w:before="0" w:after="0" w:line="276" w:lineRule="auto"/>
        <w:ind w:left="720"/>
        <w:outlineLvl w:val="9"/>
        <w:rPr>
          <w:rFonts w:ascii="Arial" w:hAnsi="Arial" w:cs="Arial"/>
          <w:sz w:val="22"/>
          <w:szCs w:val="22"/>
          <w:lang w:val="es-ES_tradnl"/>
        </w:rPr>
      </w:pPr>
    </w:p>
    <w:p w14:paraId="0E431A43" w14:textId="77777777" w:rsidR="001E2EB3" w:rsidRPr="00F85253" w:rsidRDefault="001E2EB3" w:rsidP="00891AC2">
      <w:pPr>
        <w:pStyle w:val="Paragraph"/>
        <w:tabs>
          <w:tab w:val="num" w:pos="2196"/>
        </w:tabs>
        <w:spacing w:before="0" w:after="0" w:line="276" w:lineRule="auto"/>
        <w:ind w:left="720"/>
        <w:outlineLvl w:val="9"/>
        <w:rPr>
          <w:rFonts w:ascii="Arial" w:hAnsi="Arial" w:cs="Arial"/>
          <w:sz w:val="22"/>
          <w:szCs w:val="22"/>
          <w:lang w:val="es-ES_tradnl"/>
        </w:rPr>
      </w:pPr>
    </w:p>
    <w:p w14:paraId="0D5A1F3D" w14:textId="68DFA29A" w:rsidR="001E2EB3" w:rsidRPr="00F85253" w:rsidRDefault="001E2EB3" w:rsidP="001E2EB3">
      <w:pPr>
        <w:pStyle w:val="Caption"/>
        <w:keepNext/>
        <w:spacing w:line="276" w:lineRule="auto"/>
        <w:jc w:val="both"/>
        <w:rPr>
          <w:rFonts w:ascii="Arial" w:hAnsi="Arial" w:cs="Arial"/>
        </w:rPr>
      </w:pPr>
      <w:r w:rsidRPr="00F85253">
        <w:rPr>
          <w:rFonts w:ascii="Arial" w:hAnsi="Arial" w:cs="Arial"/>
        </w:rPr>
        <w:lastRenderedPageBreak/>
        <w:t xml:space="preserve">Tabla </w:t>
      </w:r>
      <w:r w:rsidR="00066619" w:rsidRPr="00F85253">
        <w:rPr>
          <w:rFonts w:ascii="Arial" w:hAnsi="Arial" w:cs="Arial"/>
        </w:rPr>
        <w:t>7</w:t>
      </w:r>
      <w:r w:rsidRPr="00F85253">
        <w:rPr>
          <w:rFonts w:ascii="Arial" w:hAnsi="Arial" w:cs="Arial"/>
        </w:rPr>
        <w:t xml:space="preserve"> Análisis Económico - Escenario que incluye el monto de inversión realizado por MEF</w:t>
      </w:r>
    </w:p>
    <w:p w14:paraId="27A0157B" w14:textId="77777777" w:rsidR="001E2EB3" w:rsidRPr="00F85253" w:rsidRDefault="001E2EB3" w:rsidP="001E2EB3">
      <w:pPr>
        <w:pStyle w:val="Caption"/>
        <w:keepNext/>
        <w:spacing w:line="276" w:lineRule="auto"/>
        <w:jc w:val="both"/>
        <w:rPr>
          <w:rFonts w:ascii="Arial" w:hAnsi="Arial" w:cs="Arial"/>
        </w:rPr>
      </w:pPr>
      <w:r w:rsidRPr="00F85253">
        <w:rPr>
          <w:rFonts w:ascii="Arial" w:hAnsi="Arial" w:cs="Arial"/>
        </w:rPr>
        <w:t>Millones de dólares constantes de 2018 (tasa de descuento 12%)</w:t>
      </w:r>
    </w:p>
    <w:p w14:paraId="556D220E" w14:textId="765C002F" w:rsidR="001E2EB3" w:rsidRPr="00F85253" w:rsidRDefault="001E2EB3" w:rsidP="001E2EB3">
      <w:pPr>
        <w:pStyle w:val="Caption"/>
        <w:keepNext/>
        <w:spacing w:line="276" w:lineRule="auto"/>
        <w:jc w:val="both"/>
        <w:rPr>
          <w:rFonts w:ascii="Arial" w:hAnsi="Arial" w:cs="Arial"/>
        </w:rPr>
      </w:pPr>
      <w:r w:rsidRPr="00F85253">
        <w:rPr>
          <w:rFonts w:ascii="Arial" w:hAnsi="Arial" w:cs="Arial"/>
        </w:rPr>
        <w:t xml:space="preserve">Eje de desvinculaciones &amp; Eje de Eficiencia y Transparencia  </w:t>
      </w:r>
    </w:p>
    <w:p w14:paraId="74905613" w14:textId="091975B7" w:rsidR="001E2EB3" w:rsidRPr="00F85253" w:rsidRDefault="001E2EB3" w:rsidP="002543DC">
      <w:pPr>
        <w:pStyle w:val="Paragraph"/>
        <w:spacing w:before="0" w:after="0" w:line="276" w:lineRule="auto"/>
        <w:ind w:left="-446"/>
        <w:outlineLvl w:val="0"/>
        <w:rPr>
          <w:rFonts w:ascii="Arial" w:hAnsi="Arial" w:cs="Arial"/>
          <w:b/>
          <w:spacing w:val="-2"/>
          <w:sz w:val="22"/>
          <w:szCs w:val="22"/>
        </w:rPr>
      </w:pPr>
    </w:p>
    <w:tbl>
      <w:tblPr>
        <w:tblStyle w:val="TableGrid"/>
        <w:tblW w:w="15354" w:type="dxa"/>
        <w:tblInd w:w="-446" w:type="dxa"/>
        <w:tblLook w:val="04A0" w:firstRow="1" w:lastRow="0" w:firstColumn="1" w:lastColumn="0" w:noHBand="0" w:noVBand="1"/>
      </w:tblPr>
      <w:tblGrid>
        <w:gridCol w:w="15476"/>
        <w:gridCol w:w="222"/>
      </w:tblGrid>
      <w:tr w:rsidR="001E2EB3" w:rsidRPr="00F85253" w14:paraId="48911C9A" w14:textId="77777777" w:rsidTr="00E502F0">
        <w:tc>
          <w:tcPr>
            <w:tcW w:w="15118" w:type="dxa"/>
          </w:tcPr>
          <w:p w14:paraId="2898FC7D" w14:textId="00537311" w:rsidR="001E2EB3" w:rsidRPr="00F85253" w:rsidRDefault="001E2EB3" w:rsidP="002543DC">
            <w:pPr>
              <w:pStyle w:val="Paragraph"/>
              <w:spacing w:before="0" w:after="0" w:line="276" w:lineRule="auto"/>
              <w:outlineLvl w:val="0"/>
              <w:rPr>
                <w:rFonts w:ascii="Arial" w:hAnsi="Arial" w:cs="Arial"/>
                <w:b/>
                <w:spacing w:val="-2"/>
                <w:sz w:val="22"/>
                <w:szCs w:val="22"/>
              </w:rPr>
            </w:pPr>
            <w:r w:rsidRPr="00F85253">
              <w:rPr>
                <w:rFonts w:ascii="Arial" w:hAnsi="Arial" w:cs="Arial"/>
                <w:b/>
                <w:spacing w:val="-2"/>
                <w:sz w:val="22"/>
                <w:szCs w:val="22"/>
              </w:rPr>
              <w:t>Panel A: Eje de desvinculaciones</w:t>
            </w:r>
          </w:p>
          <w:tbl>
            <w:tblPr>
              <w:tblW w:w="15240" w:type="dxa"/>
              <w:tblCellMar>
                <w:left w:w="70" w:type="dxa"/>
                <w:right w:w="70" w:type="dxa"/>
              </w:tblCellMar>
              <w:tblLook w:val="04A0" w:firstRow="1" w:lastRow="0" w:firstColumn="1" w:lastColumn="0" w:noHBand="0" w:noVBand="1"/>
            </w:tblPr>
            <w:tblGrid>
              <w:gridCol w:w="4840"/>
              <w:gridCol w:w="1020"/>
              <w:gridCol w:w="880"/>
              <w:gridCol w:w="1120"/>
              <w:gridCol w:w="1100"/>
              <w:gridCol w:w="940"/>
              <w:gridCol w:w="940"/>
              <w:gridCol w:w="880"/>
              <w:gridCol w:w="880"/>
              <w:gridCol w:w="880"/>
              <w:gridCol w:w="880"/>
              <w:gridCol w:w="880"/>
            </w:tblGrid>
            <w:tr w:rsidR="00E502F0" w:rsidRPr="00F85253" w14:paraId="4591408D" w14:textId="77777777" w:rsidTr="00E502F0">
              <w:trPr>
                <w:trHeight w:val="270"/>
              </w:trPr>
              <w:tc>
                <w:tcPr>
                  <w:tcW w:w="4840" w:type="dxa"/>
                  <w:tcBorders>
                    <w:top w:val="single" w:sz="8" w:space="0" w:color="auto"/>
                    <w:left w:val="single" w:sz="8" w:space="0" w:color="auto"/>
                    <w:bottom w:val="single" w:sz="8" w:space="0" w:color="auto"/>
                    <w:right w:val="nil"/>
                  </w:tcBorders>
                  <w:shd w:val="clear" w:color="000000" w:fill="FFFFFF"/>
                  <w:noWrap/>
                  <w:vAlign w:val="bottom"/>
                  <w:hideMark/>
                </w:tcPr>
                <w:p w14:paraId="13F89415" w14:textId="77777777" w:rsidR="00E502F0" w:rsidRPr="00F85253" w:rsidRDefault="00E502F0" w:rsidP="00E502F0">
                  <w:pPr>
                    <w:spacing w:after="0" w:line="240" w:lineRule="auto"/>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ITEM</w:t>
                  </w:r>
                </w:p>
              </w:tc>
              <w:tc>
                <w:tcPr>
                  <w:tcW w:w="1020" w:type="dxa"/>
                  <w:tcBorders>
                    <w:top w:val="single" w:sz="8" w:space="0" w:color="auto"/>
                    <w:left w:val="nil"/>
                    <w:bottom w:val="single" w:sz="8" w:space="0" w:color="auto"/>
                    <w:right w:val="nil"/>
                  </w:tcBorders>
                  <w:shd w:val="clear" w:color="000000" w:fill="FFFFFF"/>
                  <w:noWrap/>
                  <w:vAlign w:val="bottom"/>
                  <w:hideMark/>
                </w:tcPr>
                <w:p w14:paraId="4255A918" w14:textId="77777777" w:rsidR="00E502F0" w:rsidRPr="00F85253" w:rsidRDefault="00E502F0" w:rsidP="00E502F0">
                  <w:pPr>
                    <w:spacing w:after="0" w:line="240" w:lineRule="auto"/>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Subtotal </w:t>
                  </w:r>
                </w:p>
              </w:tc>
              <w:tc>
                <w:tcPr>
                  <w:tcW w:w="880" w:type="dxa"/>
                  <w:tcBorders>
                    <w:top w:val="single" w:sz="8" w:space="0" w:color="auto"/>
                    <w:left w:val="single" w:sz="8" w:space="0" w:color="auto"/>
                    <w:bottom w:val="single" w:sz="8" w:space="0" w:color="auto"/>
                    <w:right w:val="nil"/>
                  </w:tcBorders>
                  <w:shd w:val="clear" w:color="000000" w:fill="FFFFFF"/>
                  <w:noWrap/>
                  <w:vAlign w:val="bottom"/>
                  <w:hideMark/>
                </w:tcPr>
                <w:p w14:paraId="6B44D1C9" w14:textId="77777777" w:rsidR="00E502F0" w:rsidRPr="00F85253" w:rsidRDefault="00E502F0" w:rsidP="00E502F0">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2019</w:t>
                  </w:r>
                </w:p>
              </w:tc>
              <w:tc>
                <w:tcPr>
                  <w:tcW w:w="1120" w:type="dxa"/>
                  <w:tcBorders>
                    <w:top w:val="single" w:sz="8" w:space="0" w:color="auto"/>
                    <w:left w:val="nil"/>
                    <w:bottom w:val="single" w:sz="8" w:space="0" w:color="auto"/>
                    <w:right w:val="nil"/>
                  </w:tcBorders>
                  <w:shd w:val="clear" w:color="000000" w:fill="FFFFFF"/>
                  <w:noWrap/>
                  <w:vAlign w:val="bottom"/>
                  <w:hideMark/>
                </w:tcPr>
                <w:p w14:paraId="4A310494" w14:textId="77777777" w:rsidR="00E502F0" w:rsidRPr="00F85253" w:rsidRDefault="00E502F0" w:rsidP="00E502F0">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2020</w:t>
                  </w:r>
                </w:p>
              </w:tc>
              <w:tc>
                <w:tcPr>
                  <w:tcW w:w="1100" w:type="dxa"/>
                  <w:tcBorders>
                    <w:top w:val="single" w:sz="8" w:space="0" w:color="auto"/>
                    <w:left w:val="nil"/>
                    <w:bottom w:val="single" w:sz="8" w:space="0" w:color="auto"/>
                    <w:right w:val="nil"/>
                  </w:tcBorders>
                  <w:shd w:val="clear" w:color="000000" w:fill="FFFFFF"/>
                  <w:noWrap/>
                  <w:vAlign w:val="bottom"/>
                  <w:hideMark/>
                </w:tcPr>
                <w:p w14:paraId="558985A5" w14:textId="77777777" w:rsidR="00E502F0" w:rsidRPr="00F85253" w:rsidRDefault="00E502F0" w:rsidP="00E502F0">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2021</w:t>
                  </w:r>
                </w:p>
              </w:tc>
              <w:tc>
                <w:tcPr>
                  <w:tcW w:w="940" w:type="dxa"/>
                  <w:tcBorders>
                    <w:top w:val="single" w:sz="8" w:space="0" w:color="auto"/>
                    <w:left w:val="nil"/>
                    <w:bottom w:val="single" w:sz="8" w:space="0" w:color="auto"/>
                    <w:right w:val="single" w:sz="8" w:space="0" w:color="auto"/>
                  </w:tcBorders>
                  <w:shd w:val="clear" w:color="000000" w:fill="FFFFFF"/>
                  <w:noWrap/>
                  <w:vAlign w:val="bottom"/>
                  <w:hideMark/>
                </w:tcPr>
                <w:p w14:paraId="17D8E9A7" w14:textId="77777777" w:rsidR="00E502F0" w:rsidRPr="00F85253" w:rsidRDefault="00E502F0" w:rsidP="00E502F0">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2022</w:t>
                  </w:r>
                </w:p>
              </w:tc>
              <w:tc>
                <w:tcPr>
                  <w:tcW w:w="940" w:type="dxa"/>
                  <w:tcBorders>
                    <w:top w:val="single" w:sz="8" w:space="0" w:color="auto"/>
                    <w:left w:val="nil"/>
                    <w:bottom w:val="single" w:sz="8" w:space="0" w:color="auto"/>
                    <w:right w:val="nil"/>
                  </w:tcBorders>
                  <w:shd w:val="clear" w:color="000000" w:fill="FFFFFF"/>
                  <w:noWrap/>
                  <w:vAlign w:val="bottom"/>
                  <w:hideMark/>
                </w:tcPr>
                <w:p w14:paraId="778875EB" w14:textId="77777777" w:rsidR="00E502F0" w:rsidRPr="00F85253" w:rsidRDefault="00E502F0" w:rsidP="00E502F0">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2023</w:t>
                  </w:r>
                </w:p>
              </w:tc>
              <w:tc>
                <w:tcPr>
                  <w:tcW w:w="880" w:type="dxa"/>
                  <w:tcBorders>
                    <w:top w:val="single" w:sz="8" w:space="0" w:color="auto"/>
                    <w:left w:val="nil"/>
                    <w:bottom w:val="single" w:sz="8" w:space="0" w:color="auto"/>
                    <w:right w:val="nil"/>
                  </w:tcBorders>
                  <w:shd w:val="clear" w:color="000000" w:fill="FFFFFF"/>
                  <w:noWrap/>
                  <w:vAlign w:val="bottom"/>
                  <w:hideMark/>
                </w:tcPr>
                <w:p w14:paraId="4920B8CC" w14:textId="77777777" w:rsidR="00E502F0" w:rsidRPr="00F85253" w:rsidRDefault="00E502F0" w:rsidP="00E502F0">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2024</w:t>
                  </w:r>
                </w:p>
              </w:tc>
              <w:tc>
                <w:tcPr>
                  <w:tcW w:w="880" w:type="dxa"/>
                  <w:tcBorders>
                    <w:top w:val="single" w:sz="8" w:space="0" w:color="auto"/>
                    <w:left w:val="nil"/>
                    <w:bottom w:val="single" w:sz="8" w:space="0" w:color="auto"/>
                    <w:right w:val="nil"/>
                  </w:tcBorders>
                  <w:shd w:val="clear" w:color="000000" w:fill="FFFFFF"/>
                  <w:noWrap/>
                  <w:vAlign w:val="bottom"/>
                  <w:hideMark/>
                </w:tcPr>
                <w:p w14:paraId="075E50D7" w14:textId="77777777" w:rsidR="00E502F0" w:rsidRPr="00F85253" w:rsidRDefault="00E502F0" w:rsidP="00E502F0">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2025</w:t>
                  </w:r>
                </w:p>
              </w:tc>
              <w:tc>
                <w:tcPr>
                  <w:tcW w:w="880" w:type="dxa"/>
                  <w:tcBorders>
                    <w:top w:val="single" w:sz="8" w:space="0" w:color="auto"/>
                    <w:left w:val="nil"/>
                    <w:bottom w:val="single" w:sz="8" w:space="0" w:color="auto"/>
                    <w:right w:val="nil"/>
                  </w:tcBorders>
                  <w:shd w:val="clear" w:color="000000" w:fill="FFFFFF"/>
                  <w:noWrap/>
                  <w:vAlign w:val="bottom"/>
                  <w:hideMark/>
                </w:tcPr>
                <w:p w14:paraId="484FFCB4" w14:textId="77777777" w:rsidR="00E502F0" w:rsidRPr="00F85253" w:rsidRDefault="00E502F0" w:rsidP="00E502F0">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2026</w:t>
                  </w:r>
                </w:p>
              </w:tc>
              <w:tc>
                <w:tcPr>
                  <w:tcW w:w="880" w:type="dxa"/>
                  <w:tcBorders>
                    <w:top w:val="single" w:sz="8" w:space="0" w:color="auto"/>
                    <w:left w:val="nil"/>
                    <w:bottom w:val="single" w:sz="8" w:space="0" w:color="auto"/>
                    <w:right w:val="nil"/>
                  </w:tcBorders>
                  <w:shd w:val="clear" w:color="000000" w:fill="FFFFFF"/>
                  <w:noWrap/>
                  <w:vAlign w:val="bottom"/>
                  <w:hideMark/>
                </w:tcPr>
                <w:p w14:paraId="3F9E72DC" w14:textId="77777777" w:rsidR="00E502F0" w:rsidRPr="00F85253" w:rsidRDefault="00E502F0" w:rsidP="00E502F0">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2027</w:t>
                  </w:r>
                </w:p>
              </w:tc>
              <w:tc>
                <w:tcPr>
                  <w:tcW w:w="880" w:type="dxa"/>
                  <w:tcBorders>
                    <w:top w:val="single" w:sz="8" w:space="0" w:color="auto"/>
                    <w:left w:val="nil"/>
                    <w:bottom w:val="single" w:sz="8" w:space="0" w:color="auto"/>
                    <w:right w:val="single" w:sz="8" w:space="0" w:color="auto"/>
                  </w:tcBorders>
                  <w:shd w:val="clear" w:color="000000" w:fill="FFFFFF"/>
                  <w:noWrap/>
                  <w:vAlign w:val="bottom"/>
                  <w:hideMark/>
                </w:tcPr>
                <w:p w14:paraId="3CA94A39" w14:textId="77777777" w:rsidR="00E502F0" w:rsidRPr="00F85253" w:rsidRDefault="00E502F0" w:rsidP="00E502F0">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2028</w:t>
                  </w:r>
                </w:p>
              </w:tc>
            </w:tr>
            <w:tr w:rsidR="00E502F0" w:rsidRPr="00F85253" w14:paraId="0BFA7CDB" w14:textId="77777777" w:rsidTr="00E502F0">
              <w:trPr>
                <w:trHeight w:val="255"/>
              </w:trPr>
              <w:tc>
                <w:tcPr>
                  <w:tcW w:w="4840" w:type="dxa"/>
                  <w:tcBorders>
                    <w:top w:val="nil"/>
                    <w:left w:val="single" w:sz="8" w:space="0" w:color="auto"/>
                    <w:bottom w:val="nil"/>
                    <w:right w:val="nil"/>
                  </w:tcBorders>
                  <w:shd w:val="clear" w:color="000000" w:fill="FFFFFF"/>
                  <w:noWrap/>
                  <w:vAlign w:val="bottom"/>
                  <w:hideMark/>
                </w:tcPr>
                <w:p w14:paraId="706644E0" w14:textId="4E93D8D8" w:rsidR="00E502F0" w:rsidRPr="00F85253" w:rsidRDefault="00E502F0" w:rsidP="00E502F0">
                  <w:pPr>
                    <w:spacing w:after="0" w:line="240" w:lineRule="auto"/>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Beneficios Económicos</w:t>
                  </w:r>
                </w:p>
              </w:tc>
              <w:tc>
                <w:tcPr>
                  <w:tcW w:w="1020" w:type="dxa"/>
                  <w:tcBorders>
                    <w:top w:val="nil"/>
                    <w:left w:val="nil"/>
                    <w:bottom w:val="nil"/>
                    <w:right w:val="nil"/>
                  </w:tcBorders>
                  <w:shd w:val="clear" w:color="000000" w:fill="FFFFFF"/>
                  <w:noWrap/>
                  <w:vAlign w:val="bottom"/>
                  <w:hideMark/>
                </w:tcPr>
                <w:p w14:paraId="1E6D358C" w14:textId="77777777" w:rsidR="00E502F0" w:rsidRPr="00F85253" w:rsidRDefault="00E502F0" w:rsidP="00E502F0">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w:t>
                  </w:r>
                </w:p>
              </w:tc>
              <w:tc>
                <w:tcPr>
                  <w:tcW w:w="880" w:type="dxa"/>
                  <w:tcBorders>
                    <w:top w:val="nil"/>
                    <w:left w:val="single" w:sz="8" w:space="0" w:color="auto"/>
                    <w:bottom w:val="nil"/>
                    <w:right w:val="nil"/>
                  </w:tcBorders>
                  <w:shd w:val="clear" w:color="000000" w:fill="FFFFFF"/>
                  <w:noWrap/>
                  <w:vAlign w:val="bottom"/>
                  <w:hideMark/>
                </w:tcPr>
                <w:p w14:paraId="5EABEC30" w14:textId="77777777" w:rsidR="00E502F0" w:rsidRPr="00F85253" w:rsidRDefault="00E502F0" w:rsidP="00E502F0">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w:t>
                  </w:r>
                </w:p>
              </w:tc>
              <w:tc>
                <w:tcPr>
                  <w:tcW w:w="1120" w:type="dxa"/>
                  <w:tcBorders>
                    <w:top w:val="nil"/>
                    <w:left w:val="nil"/>
                    <w:bottom w:val="nil"/>
                    <w:right w:val="nil"/>
                  </w:tcBorders>
                  <w:shd w:val="clear" w:color="000000" w:fill="FFFFFF"/>
                  <w:noWrap/>
                  <w:vAlign w:val="bottom"/>
                  <w:hideMark/>
                </w:tcPr>
                <w:p w14:paraId="0490CD5A"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1100" w:type="dxa"/>
                  <w:tcBorders>
                    <w:top w:val="nil"/>
                    <w:left w:val="nil"/>
                    <w:bottom w:val="nil"/>
                    <w:right w:val="nil"/>
                  </w:tcBorders>
                  <w:shd w:val="clear" w:color="000000" w:fill="FFFFFF"/>
                  <w:noWrap/>
                  <w:vAlign w:val="bottom"/>
                  <w:hideMark/>
                </w:tcPr>
                <w:p w14:paraId="422295FD"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940" w:type="dxa"/>
                  <w:tcBorders>
                    <w:top w:val="nil"/>
                    <w:left w:val="nil"/>
                    <w:bottom w:val="nil"/>
                    <w:right w:val="single" w:sz="8" w:space="0" w:color="auto"/>
                  </w:tcBorders>
                  <w:shd w:val="clear" w:color="000000" w:fill="FFFFFF"/>
                  <w:noWrap/>
                  <w:vAlign w:val="bottom"/>
                  <w:hideMark/>
                </w:tcPr>
                <w:p w14:paraId="43E0EFC4"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940" w:type="dxa"/>
                  <w:tcBorders>
                    <w:top w:val="nil"/>
                    <w:left w:val="nil"/>
                    <w:bottom w:val="nil"/>
                    <w:right w:val="nil"/>
                  </w:tcBorders>
                  <w:shd w:val="clear" w:color="000000" w:fill="FFFFFF"/>
                  <w:noWrap/>
                  <w:vAlign w:val="bottom"/>
                  <w:hideMark/>
                </w:tcPr>
                <w:p w14:paraId="275AF86A"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880" w:type="dxa"/>
                  <w:tcBorders>
                    <w:top w:val="nil"/>
                    <w:left w:val="nil"/>
                    <w:bottom w:val="nil"/>
                    <w:right w:val="nil"/>
                  </w:tcBorders>
                  <w:shd w:val="clear" w:color="000000" w:fill="FFFFFF"/>
                  <w:noWrap/>
                  <w:vAlign w:val="bottom"/>
                  <w:hideMark/>
                </w:tcPr>
                <w:p w14:paraId="67F8B58D"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880" w:type="dxa"/>
                  <w:tcBorders>
                    <w:top w:val="nil"/>
                    <w:left w:val="nil"/>
                    <w:bottom w:val="nil"/>
                    <w:right w:val="nil"/>
                  </w:tcBorders>
                  <w:shd w:val="clear" w:color="000000" w:fill="FFFFFF"/>
                  <w:noWrap/>
                  <w:vAlign w:val="bottom"/>
                  <w:hideMark/>
                </w:tcPr>
                <w:p w14:paraId="4B59C128"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880" w:type="dxa"/>
                  <w:tcBorders>
                    <w:top w:val="nil"/>
                    <w:left w:val="nil"/>
                    <w:bottom w:val="nil"/>
                    <w:right w:val="nil"/>
                  </w:tcBorders>
                  <w:shd w:val="clear" w:color="000000" w:fill="FFFFFF"/>
                  <w:noWrap/>
                  <w:vAlign w:val="bottom"/>
                  <w:hideMark/>
                </w:tcPr>
                <w:p w14:paraId="4D53FAB1"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880" w:type="dxa"/>
                  <w:tcBorders>
                    <w:top w:val="nil"/>
                    <w:left w:val="nil"/>
                    <w:bottom w:val="nil"/>
                    <w:right w:val="nil"/>
                  </w:tcBorders>
                  <w:shd w:val="clear" w:color="000000" w:fill="FFFFFF"/>
                  <w:noWrap/>
                  <w:vAlign w:val="bottom"/>
                  <w:hideMark/>
                </w:tcPr>
                <w:p w14:paraId="29C52601"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880" w:type="dxa"/>
                  <w:tcBorders>
                    <w:top w:val="nil"/>
                    <w:left w:val="nil"/>
                    <w:bottom w:val="nil"/>
                    <w:right w:val="single" w:sz="8" w:space="0" w:color="auto"/>
                  </w:tcBorders>
                  <w:shd w:val="clear" w:color="000000" w:fill="FFFFFF"/>
                  <w:noWrap/>
                  <w:vAlign w:val="bottom"/>
                  <w:hideMark/>
                </w:tcPr>
                <w:p w14:paraId="0B4FB5B4"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r>
            <w:tr w:rsidR="00E502F0" w:rsidRPr="00F85253" w14:paraId="5BC06B49" w14:textId="77777777" w:rsidTr="00E502F0">
              <w:trPr>
                <w:trHeight w:val="255"/>
              </w:trPr>
              <w:tc>
                <w:tcPr>
                  <w:tcW w:w="4840" w:type="dxa"/>
                  <w:tcBorders>
                    <w:top w:val="nil"/>
                    <w:left w:val="single" w:sz="8" w:space="0" w:color="auto"/>
                    <w:bottom w:val="nil"/>
                    <w:right w:val="nil"/>
                  </w:tcBorders>
                  <w:shd w:val="clear" w:color="000000" w:fill="FFFFFF"/>
                  <w:noWrap/>
                  <w:vAlign w:val="bottom"/>
                  <w:hideMark/>
                </w:tcPr>
                <w:p w14:paraId="23949575" w14:textId="31FDD163" w:rsidR="00E502F0" w:rsidRPr="00F85253" w:rsidRDefault="00E502F0" w:rsidP="00E502F0">
                  <w:pPr>
                    <w:spacing w:after="0" w:line="240" w:lineRule="auto"/>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C. Evitados por Desvinculación</w:t>
                  </w:r>
                </w:p>
              </w:tc>
              <w:tc>
                <w:tcPr>
                  <w:tcW w:w="1020" w:type="dxa"/>
                  <w:tcBorders>
                    <w:top w:val="nil"/>
                    <w:left w:val="nil"/>
                    <w:bottom w:val="nil"/>
                    <w:right w:val="nil"/>
                  </w:tcBorders>
                  <w:shd w:val="clear" w:color="000000" w:fill="FFFFFF"/>
                  <w:noWrap/>
                  <w:vAlign w:val="bottom"/>
                  <w:hideMark/>
                </w:tcPr>
                <w:p w14:paraId="16367050" w14:textId="77777777" w:rsidR="00E502F0" w:rsidRPr="00F85253" w:rsidRDefault="00E502F0" w:rsidP="00E502F0">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w:t>
                  </w:r>
                  <w:proofErr w:type="gramStart"/>
                  <w:r w:rsidRPr="00F85253">
                    <w:rPr>
                      <w:rFonts w:ascii="Arial" w:eastAsia="Times New Roman" w:hAnsi="Arial" w:cs="Arial"/>
                      <w:b/>
                      <w:bCs/>
                      <w:sz w:val="18"/>
                      <w:szCs w:val="18"/>
                      <w:lang w:val="es-EC" w:eastAsia="es-EC"/>
                    </w:rPr>
                    <w:t>$  864.00</w:t>
                  </w:r>
                  <w:proofErr w:type="gramEnd"/>
                  <w:r w:rsidRPr="00F85253">
                    <w:rPr>
                      <w:rFonts w:ascii="Arial" w:eastAsia="Times New Roman" w:hAnsi="Arial" w:cs="Arial"/>
                      <w:b/>
                      <w:bCs/>
                      <w:sz w:val="18"/>
                      <w:szCs w:val="18"/>
                      <w:lang w:val="es-EC" w:eastAsia="es-EC"/>
                    </w:rPr>
                    <w:t xml:space="preserve"> </w:t>
                  </w:r>
                </w:p>
              </w:tc>
              <w:tc>
                <w:tcPr>
                  <w:tcW w:w="880" w:type="dxa"/>
                  <w:tcBorders>
                    <w:top w:val="nil"/>
                    <w:left w:val="single" w:sz="8" w:space="0" w:color="auto"/>
                    <w:bottom w:val="nil"/>
                    <w:right w:val="nil"/>
                  </w:tcBorders>
                  <w:shd w:val="clear" w:color="000000" w:fill="FFFFFF"/>
                  <w:noWrap/>
                  <w:vAlign w:val="bottom"/>
                  <w:hideMark/>
                </w:tcPr>
                <w:p w14:paraId="417F797D"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   </w:t>
                  </w:r>
                </w:p>
              </w:tc>
              <w:tc>
                <w:tcPr>
                  <w:tcW w:w="1120" w:type="dxa"/>
                  <w:tcBorders>
                    <w:top w:val="nil"/>
                    <w:left w:val="nil"/>
                    <w:bottom w:val="nil"/>
                    <w:right w:val="nil"/>
                  </w:tcBorders>
                  <w:shd w:val="clear" w:color="000000" w:fill="FFFFFF"/>
                  <w:noWrap/>
                  <w:vAlign w:val="bottom"/>
                  <w:hideMark/>
                </w:tcPr>
                <w:p w14:paraId="526494BD"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   </w:t>
                  </w:r>
                </w:p>
              </w:tc>
              <w:tc>
                <w:tcPr>
                  <w:tcW w:w="1100" w:type="dxa"/>
                  <w:tcBorders>
                    <w:top w:val="nil"/>
                    <w:left w:val="nil"/>
                    <w:bottom w:val="nil"/>
                    <w:right w:val="nil"/>
                  </w:tcBorders>
                  <w:shd w:val="clear" w:color="000000" w:fill="FFFFFF"/>
                  <w:noWrap/>
                  <w:vAlign w:val="bottom"/>
                  <w:hideMark/>
                </w:tcPr>
                <w:p w14:paraId="77AAF8D0"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108.00 </w:t>
                  </w:r>
                </w:p>
              </w:tc>
              <w:tc>
                <w:tcPr>
                  <w:tcW w:w="940" w:type="dxa"/>
                  <w:tcBorders>
                    <w:top w:val="nil"/>
                    <w:left w:val="nil"/>
                    <w:bottom w:val="nil"/>
                    <w:right w:val="single" w:sz="8" w:space="0" w:color="auto"/>
                  </w:tcBorders>
                  <w:shd w:val="clear" w:color="000000" w:fill="FFFFFF"/>
                  <w:noWrap/>
                  <w:vAlign w:val="bottom"/>
                  <w:hideMark/>
                </w:tcPr>
                <w:p w14:paraId="751841D0"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$108.00 </w:t>
                  </w:r>
                </w:p>
              </w:tc>
              <w:tc>
                <w:tcPr>
                  <w:tcW w:w="940" w:type="dxa"/>
                  <w:tcBorders>
                    <w:top w:val="nil"/>
                    <w:left w:val="nil"/>
                    <w:bottom w:val="nil"/>
                    <w:right w:val="nil"/>
                  </w:tcBorders>
                  <w:shd w:val="clear" w:color="000000" w:fill="FFFFFF"/>
                  <w:noWrap/>
                  <w:vAlign w:val="bottom"/>
                  <w:hideMark/>
                </w:tcPr>
                <w:p w14:paraId="3EA1CB50"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$ 108.00 </w:t>
                  </w:r>
                </w:p>
              </w:tc>
              <w:tc>
                <w:tcPr>
                  <w:tcW w:w="880" w:type="dxa"/>
                  <w:tcBorders>
                    <w:top w:val="nil"/>
                    <w:left w:val="nil"/>
                    <w:bottom w:val="nil"/>
                    <w:right w:val="nil"/>
                  </w:tcBorders>
                  <w:shd w:val="clear" w:color="000000" w:fill="FFFFFF"/>
                  <w:noWrap/>
                  <w:vAlign w:val="bottom"/>
                  <w:hideMark/>
                </w:tcPr>
                <w:p w14:paraId="6001948D"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$108.00 </w:t>
                  </w:r>
                </w:p>
              </w:tc>
              <w:tc>
                <w:tcPr>
                  <w:tcW w:w="880" w:type="dxa"/>
                  <w:tcBorders>
                    <w:top w:val="nil"/>
                    <w:left w:val="nil"/>
                    <w:bottom w:val="nil"/>
                    <w:right w:val="nil"/>
                  </w:tcBorders>
                  <w:shd w:val="clear" w:color="000000" w:fill="FFFFFF"/>
                  <w:noWrap/>
                  <w:vAlign w:val="bottom"/>
                  <w:hideMark/>
                </w:tcPr>
                <w:p w14:paraId="37ACD2EB"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$108.00 </w:t>
                  </w:r>
                </w:p>
              </w:tc>
              <w:tc>
                <w:tcPr>
                  <w:tcW w:w="880" w:type="dxa"/>
                  <w:tcBorders>
                    <w:top w:val="nil"/>
                    <w:left w:val="nil"/>
                    <w:bottom w:val="nil"/>
                    <w:right w:val="nil"/>
                  </w:tcBorders>
                  <w:shd w:val="clear" w:color="000000" w:fill="FFFFFF"/>
                  <w:noWrap/>
                  <w:vAlign w:val="bottom"/>
                  <w:hideMark/>
                </w:tcPr>
                <w:p w14:paraId="7C245836"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$108.00 </w:t>
                  </w:r>
                </w:p>
              </w:tc>
              <w:tc>
                <w:tcPr>
                  <w:tcW w:w="880" w:type="dxa"/>
                  <w:tcBorders>
                    <w:top w:val="nil"/>
                    <w:left w:val="nil"/>
                    <w:bottom w:val="nil"/>
                    <w:right w:val="nil"/>
                  </w:tcBorders>
                  <w:shd w:val="clear" w:color="000000" w:fill="FFFFFF"/>
                  <w:noWrap/>
                  <w:vAlign w:val="bottom"/>
                  <w:hideMark/>
                </w:tcPr>
                <w:p w14:paraId="1958FD77"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$108.00 </w:t>
                  </w:r>
                </w:p>
              </w:tc>
              <w:tc>
                <w:tcPr>
                  <w:tcW w:w="880" w:type="dxa"/>
                  <w:tcBorders>
                    <w:top w:val="nil"/>
                    <w:left w:val="nil"/>
                    <w:bottom w:val="nil"/>
                    <w:right w:val="single" w:sz="8" w:space="0" w:color="auto"/>
                  </w:tcBorders>
                  <w:shd w:val="clear" w:color="000000" w:fill="FFFFFF"/>
                  <w:noWrap/>
                  <w:vAlign w:val="bottom"/>
                  <w:hideMark/>
                </w:tcPr>
                <w:p w14:paraId="06007CCD"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$108.00 </w:t>
                  </w:r>
                </w:p>
              </w:tc>
            </w:tr>
            <w:tr w:rsidR="00E502F0" w:rsidRPr="00F85253" w14:paraId="3872E7AA" w14:textId="77777777" w:rsidTr="00E502F0">
              <w:trPr>
                <w:trHeight w:val="255"/>
              </w:trPr>
              <w:tc>
                <w:tcPr>
                  <w:tcW w:w="4840" w:type="dxa"/>
                  <w:tcBorders>
                    <w:top w:val="nil"/>
                    <w:left w:val="single" w:sz="8" w:space="0" w:color="auto"/>
                    <w:bottom w:val="nil"/>
                    <w:right w:val="nil"/>
                  </w:tcBorders>
                  <w:shd w:val="clear" w:color="000000" w:fill="FFFFFF"/>
                  <w:noWrap/>
                  <w:vAlign w:val="bottom"/>
                  <w:hideMark/>
                </w:tcPr>
                <w:p w14:paraId="7FE0ACCD" w14:textId="77777777" w:rsidR="00E502F0" w:rsidRPr="00F85253" w:rsidRDefault="00E502F0" w:rsidP="00E502F0">
                  <w:pPr>
                    <w:spacing w:after="0" w:line="240" w:lineRule="auto"/>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Subtotal Beneficios</w:t>
                  </w:r>
                </w:p>
              </w:tc>
              <w:tc>
                <w:tcPr>
                  <w:tcW w:w="1020" w:type="dxa"/>
                  <w:tcBorders>
                    <w:top w:val="nil"/>
                    <w:left w:val="nil"/>
                    <w:bottom w:val="nil"/>
                    <w:right w:val="nil"/>
                  </w:tcBorders>
                  <w:shd w:val="clear" w:color="000000" w:fill="FFFFFF"/>
                  <w:noWrap/>
                  <w:vAlign w:val="bottom"/>
                  <w:hideMark/>
                </w:tcPr>
                <w:p w14:paraId="69523A24" w14:textId="77777777" w:rsidR="00E502F0" w:rsidRPr="00F85253" w:rsidRDefault="00E502F0" w:rsidP="00E502F0">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w:t>
                  </w:r>
                  <w:proofErr w:type="gramStart"/>
                  <w:r w:rsidRPr="00F85253">
                    <w:rPr>
                      <w:rFonts w:ascii="Arial" w:eastAsia="Times New Roman" w:hAnsi="Arial" w:cs="Arial"/>
                      <w:b/>
                      <w:bCs/>
                      <w:sz w:val="18"/>
                      <w:szCs w:val="18"/>
                      <w:lang w:val="es-EC" w:eastAsia="es-EC"/>
                    </w:rPr>
                    <w:t>$  864.00</w:t>
                  </w:r>
                  <w:proofErr w:type="gramEnd"/>
                  <w:r w:rsidRPr="00F85253">
                    <w:rPr>
                      <w:rFonts w:ascii="Arial" w:eastAsia="Times New Roman" w:hAnsi="Arial" w:cs="Arial"/>
                      <w:b/>
                      <w:bCs/>
                      <w:sz w:val="18"/>
                      <w:szCs w:val="18"/>
                      <w:lang w:val="es-EC" w:eastAsia="es-EC"/>
                    </w:rPr>
                    <w:t xml:space="preserve"> </w:t>
                  </w:r>
                </w:p>
              </w:tc>
              <w:tc>
                <w:tcPr>
                  <w:tcW w:w="880" w:type="dxa"/>
                  <w:tcBorders>
                    <w:top w:val="nil"/>
                    <w:left w:val="single" w:sz="8" w:space="0" w:color="auto"/>
                    <w:bottom w:val="nil"/>
                    <w:right w:val="nil"/>
                  </w:tcBorders>
                  <w:shd w:val="clear" w:color="000000" w:fill="FFFFFF"/>
                  <w:noWrap/>
                  <w:vAlign w:val="bottom"/>
                  <w:hideMark/>
                </w:tcPr>
                <w:p w14:paraId="128D7915"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   </w:t>
                  </w:r>
                </w:p>
              </w:tc>
              <w:tc>
                <w:tcPr>
                  <w:tcW w:w="1120" w:type="dxa"/>
                  <w:tcBorders>
                    <w:top w:val="nil"/>
                    <w:left w:val="nil"/>
                    <w:bottom w:val="nil"/>
                    <w:right w:val="nil"/>
                  </w:tcBorders>
                  <w:shd w:val="clear" w:color="000000" w:fill="FFFFFF"/>
                  <w:noWrap/>
                  <w:vAlign w:val="bottom"/>
                  <w:hideMark/>
                </w:tcPr>
                <w:p w14:paraId="586AD3B9"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   </w:t>
                  </w:r>
                </w:p>
              </w:tc>
              <w:tc>
                <w:tcPr>
                  <w:tcW w:w="1100" w:type="dxa"/>
                  <w:tcBorders>
                    <w:top w:val="nil"/>
                    <w:left w:val="nil"/>
                    <w:bottom w:val="nil"/>
                    <w:right w:val="nil"/>
                  </w:tcBorders>
                  <w:shd w:val="clear" w:color="000000" w:fill="FFFFFF"/>
                  <w:noWrap/>
                  <w:vAlign w:val="bottom"/>
                  <w:hideMark/>
                </w:tcPr>
                <w:p w14:paraId="154949C9"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108.00 </w:t>
                  </w:r>
                </w:p>
              </w:tc>
              <w:tc>
                <w:tcPr>
                  <w:tcW w:w="940" w:type="dxa"/>
                  <w:tcBorders>
                    <w:top w:val="nil"/>
                    <w:left w:val="nil"/>
                    <w:bottom w:val="nil"/>
                    <w:right w:val="single" w:sz="8" w:space="0" w:color="auto"/>
                  </w:tcBorders>
                  <w:shd w:val="clear" w:color="000000" w:fill="FFFFFF"/>
                  <w:noWrap/>
                  <w:vAlign w:val="bottom"/>
                  <w:hideMark/>
                </w:tcPr>
                <w:p w14:paraId="37A054E0"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$108.00 </w:t>
                  </w:r>
                </w:p>
              </w:tc>
              <w:tc>
                <w:tcPr>
                  <w:tcW w:w="940" w:type="dxa"/>
                  <w:tcBorders>
                    <w:top w:val="nil"/>
                    <w:left w:val="nil"/>
                    <w:bottom w:val="nil"/>
                    <w:right w:val="nil"/>
                  </w:tcBorders>
                  <w:shd w:val="clear" w:color="000000" w:fill="FFFFFF"/>
                  <w:noWrap/>
                  <w:vAlign w:val="bottom"/>
                  <w:hideMark/>
                </w:tcPr>
                <w:p w14:paraId="1CE4D956"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$ 108.00 </w:t>
                  </w:r>
                </w:p>
              </w:tc>
              <w:tc>
                <w:tcPr>
                  <w:tcW w:w="880" w:type="dxa"/>
                  <w:tcBorders>
                    <w:top w:val="nil"/>
                    <w:left w:val="nil"/>
                    <w:bottom w:val="nil"/>
                    <w:right w:val="nil"/>
                  </w:tcBorders>
                  <w:shd w:val="clear" w:color="000000" w:fill="FFFFFF"/>
                  <w:noWrap/>
                  <w:vAlign w:val="bottom"/>
                  <w:hideMark/>
                </w:tcPr>
                <w:p w14:paraId="1272886B"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$108.00 </w:t>
                  </w:r>
                </w:p>
              </w:tc>
              <w:tc>
                <w:tcPr>
                  <w:tcW w:w="880" w:type="dxa"/>
                  <w:tcBorders>
                    <w:top w:val="nil"/>
                    <w:left w:val="nil"/>
                    <w:bottom w:val="nil"/>
                    <w:right w:val="nil"/>
                  </w:tcBorders>
                  <w:shd w:val="clear" w:color="000000" w:fill="FFFFFF"/>
                  <w:noWrap/>
                  <w:vAlign w:val="bottom"/>
                  <w:hideMark/>
                </w:tcPr>
                <w:p w14:paraId="4EE831FC"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$108.00 </w:t>
                  </w:r>
                </w:p>
              </w:tc>
              <w:tc>
                <w:tcPr>
                  <w:tcW w:w="880" w:type="dxa"/>
                  <w:tcBorders>
                    <w:top w:val="nil"/>
                    <w:left w:val="nil"/>
                    <w:bottom w:val="nil"/>
                    <w:right w:val="nil"/>
                  </w:tcBorders>
                  <w:shd w:val="clear" w:color="000000" w:fill="FFFFFF"/>
                  <w:noWrap/>
                  <w:vAlign w:val="bottom"/>
                  <w:hideMark/>
                </w:tcPr>
                <w:p w14:paraId="3CD26478"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$108.00 </w:t>
                  </w:r>
                </w:p>
              </w:tc>
              <w:tc>
                <w:tcPr>
                  <w:tcW w:w="880" w:type="dxa"/>
                  <w:tcBorders>
                    <w:top w:val="nil"/>
                    <w:left w:val="nil"/>
                    <w:bottom w:val="nil"/>
                    <w:right w:val="nil"/>
                  </w:tcBorders>
                  <w:shd w:val="clear" w:color="000000" w:fill="FFFFFF"/>
                  <w:noWrap/>
                  <w:vAlign w:val="bottom"/>
                  <w:hideMark/>
                </w:tcPr>
                <w:p w14:paraId="6E6513DA"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$108.00 </w:t>
                  </w:r>
                </w:p>
              </w:tc>
              <w:tc>
                <w:tcPr>
                  <w:tcW w:w="880" w:type="dxa"/>
                  <w:tcBorders>
                    <w:top w:val="nil"/>
                    <w:left w:val="nil"/>
                    <w:bottom w:val="nil"/>
                    <w:right w:val="single" w:sz="8" w:space="0" w:color="auto"/>
                  </w:tcBorders>
                  <w:shd w:val="clear" w:color="000000" w:fill="FFFFFF"/>
                  <w:noWrap/>
                  <w:vAlign w:val="bottom"/>
                  <w:hideMark/>
                </w:tcPr>
                <w:p w14:paraId="36B77E3E"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$108.00 </w:t>
                  </w:r>
                </w:p>
              </w:tc>
            </w:tr>
            <w:tr w:rsidR="00E502F0" w:rsidRPr="00F85253" w14:paraId="576DACE6" w14:textId="77777777" w:rsidTr="00E502F0">
              <w:trPr>
                <w:trHeight w:val="255"/>
              </w:trPr>
              <w:tc>
                <w:tcPr>
                  <w:tcW w:w="4840" w:type="dxa"/>
                  <w:tcBorders>
                    <w:top w:val="nil"/>
                    <w:left w:val="single" w:sz="8" w:space="0" w:color="auto"/>
                    <w:bottom w:val="nil"/>
                    <w:right w:val="nil"/>
                  </w:tcBorders>
                  <w:shd w:val="clear" w:color="000000" w:fill="FFFFFF"/>
                  <w:noWrap/>
                  <w:vAlign w:val="bottom"/>
                  <w:hideMark/>
                </w:tcPr>
                <w:p w14:paraId="2B2E481D" w14:textId="77777777" w:rsidR="00E502F0" w:rsidRPr="00F85253" w:rsidRDefault="00E502F0" w:rsidP="00E502F0">
                  <w:pPr>
                    <w:spacing w:after="0" w:line="240" w:lineRule="auto"/>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1020" w:type="dxa"/>
                  <w:tcBorders>
                    <w:top w:val="nil"/>
                    <w:left w:val="nil"/>
                    <w:bottom w:val="nil"/>
                    <w:right w:val="nil"/>
                  </w:tcBorders>
                  <w:shd w:val="clear" w:color="000000" w:fill="FFFFFF"/>
                  <w:noWrap/>
                  <w:vAlign w:val="bottom"/>
                  <w:hideMark/>
                </w:tcPr>
                <w:p w14:paraId="299154D5" w14:textId="77777777" w:rsidR="00E502F0" w:rsidRPr="00F85253" w:rsidRDefault="00E502F0" w:rsidP="00E502F0">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w:t>
                  </w:r>
                </w:p>
              </w:tc>
              <w:tc>
                <w:tcPr>
                  <w:tcW w:w="880" w:type="dxa"/>
                  <w:tcBorders>
                    <w:top w:val="nil"/>
                    <w:left w:val="single" w:sz="8" w:space="0" w:color="auto"/>
                    <w:bottom w:val="nil"/>
                    <w:right w:val="nil"/>
                  </w:tcBorders>
                  <w:shd w:val="clear" w:color="000000" w:fill="FFFFFF"/>
                  <w:noWrap/>
                  <w:vAlign w:val="bottom"/>
                  <w:hideMark/>
                </w:tcPr>
                <w:p w14:paraId="4770301E"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1120" w:type="dxa"/>
                  <w:tcBorders>
                    <w:top w:val="nil"/>
                    <w:left w:val="nil"/>
                    <w:bottom w:val="nil"/>
                    <w:right w:val="nil"/>
                  </w:tcBorders>
                  <w:shd w:val="clear" w:color="000000" w:fill="FFFFFF"/>
                  <w:noWrap/>
                  <w:vAlign w:val="bottom"/>
                  <w:hideMark/>
                </w:tcPr>
                <w:p w14:paraId="35F2C657"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1100" w:type="dxa"/>
                  <w:tcBorders>
                    <w:top w:val="nil"/>
                    <w:left w:val="nil"/>
                    <w:bottom w:val="nil"/>
                    <w:right w:val="nil"/>
                  </w:tcBorders>
                  <w:shd w:val="clear" w:color="000000" w:fill="FFFFFF"/>
                  <w:noWrap/>
                  <w:vAlign w:val="bottom"/>
                  <w:hideMark/>
                </w:tcPr>
                <w:p w14:paraId="3DAFD079"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940" w:type="dxa"/>
                  <w:tcBorders>
                    <w:top w:val="nil"/>
                    <w:left w:val="nil"/>
                    <w:bottom w:val="nil"/>
                    <w:right w:val="single" w:sz="8" w:space="0" w:color="auto"/>
                  </w:tcBorders>
                  <w:shd w:val="clear" w:color="000000" w:fill="FFFFFF"/>
                  <w:noWrap/>
                  <w:vAlign w:val="bottom"/>
                  <w:hideMark/>
                </w:tcPr>
                <w:p w14:paraId="1CDD75C5"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940" w:type="dxa"/>
                  <w:tcBorders>
                    <w:top w:val="nil"/>
                    <w:left w:val="nil"/>
                    <w:bottom w:val="nil"/>
                    <w:right w:val="nil"/>
                  </w:tcBorders>
                  <w:shd w:val="clear" w:color="000000" w:fill="FFFFFF"/>
                  <w:noWrap/>
                  <w:vAlign w:val="bottom"/>
                  <w:hideMark/>
                </w:tcPr>
                <w:p w14:paraId="76FBC8CD"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880" w:type="dxa"/>
                  <w:tcBorders>
                    <w:top w:val="nil"/>
                    <w:left w:val="nil"/>
                    <w:bottom w:val="nil"/>
                    <w:right w:val="nil"/>
                  </w:tcBorders>
                  <w:shd w:val="clear" w:color="000000" w:fill="FFFFFF"/>
                  <w:noWrap/>
                  <w:vAlign w:val="bottom"/>
                  <w:hideMark/>
                </w:tcPr>
                <w:p w14:paraId="34535031"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880" w:type="dxa"/>
                  <w:tcBorders>
                    <w:top w:val="nil"/>
                    <w:left w:val="nil"/>
                    <w:bottom w:val="nil"/>
                    <w:right w:val="nil"/>
                  </w:tcBorders>
                  <w:shd w:val="clear" w:color="000000" w:fill="FFFFFF"/>
                  <w:noWrap/>
                  <w:vAlign w:val="bottom"/>
                  <w:hideMark/>
                </w:tcPr>
                <w:p w14:paraId="7B383B0B"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880" w:type="dxa"/>
                  <w:tcBorders>
                    <w:top w:val="nil"/>
                    <w:left w:val="nil"/>
                    <w:bottom w:val="nil"/>
                    <w:right w:val="nil"/>
                  </w:tcBorders>
                  <w:shd w:val="clear" w:color="000000" w:fill="FFFFFF"/>
                  <w:noWrap/>
                  <w:vAlign w:val="bottom"/>
                  <w:hideMark/>
                </w:tcPr>
                <w:p w14:paraId="373E0DA2"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880" w:type="dxa"/>
                  <w:tcBorders>
                    <w:top w:val="nil"/>
                    <w:left w:val="nil"/>
                    <w:bottom w:val="nil"/>
                    <w:right w:val="nil"/>
                  </w:tcBorders>
                  <w:shd w:val="clear" w:color="000000" w:fill="FFFFFF"/>
                  <w:noWrap/>
                  <w:vAlign w:val="bottom"/>
                  <w:hideMark/>
                </w:tcPr>
                <w:p w14:paraId="629DC469"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880" w:type="dxa"/>
                  <w:tcBorders>
                    <w:top w:val="nil"/>
                    <w:left w:val="nil"/>
                    <w:bottom w:val="nil"/>
                    <w:right w:val="single" w:sz="8" w:space="0" w:color="auto"/>
                  </w:tcBorders>
                  <w:shd w:val="clear" w:color="000000" w:fill="FFFFFF"/>
                  <w:noWrap/>
                  <w:vAlign w:val="bottom"/>
                  <w:hideMark/>
                </w:tcPr>
                <w:p w14:paraId="5984D1B3"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r>
            <w:tr w:rsidR="00E502F0" w:rsidRPr="00F85253" w14:paraId="125DB6F8" w14:textId="77777777" w:rsidTr="00E502F0">
              <w:trPr>
                <w:trHeight w:val="255"/>
              </w:trPr>
              <w:tc>
                <w:tcPr>
                  <w:tcW w:w="4840" w:type="dxa"/>
                  <w:tcBorders>
                    <w:top w:val="nil"/>
                    <w:left w:val="single" w:sz="8" w:space="0" w:color="auto"/>
                    <w:bottom w:val="nil"/>
                    <w:right w:val="nil"/>
                  </w:tcBorders>
                  <w:shd w:val="clear" w:color="000000" w:fill="FFFFFF"/>
                  <w:noWrap/>
                  <w:vAlign w:val="bottom"/>
                  <w:hideMark/>
                </w:tcPr>
                <w:p w14:paraId="258ECA79" w14:textId="23DE5018" w:rsidR="00E502F0" w:rsidRPr="00F85253" w:rsidRDefault="00E502F0" w:rsidP="00E502F0">
                  <w:pPr>
                    <w:spacing w:after="0" w:line="240" w:lineRule="auto"/>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Costes Económicos</w:t>
                  </w:r>
                </w:p>
              </w:tc>
              <w:tc>
                <w:tcPr>
                  <w:tcW w:w="1020" w:type="dxa"/>
                  <w:tcBorders>
                    <w:top w:val="nil"/>
                    <w:left w:val="nil"/>
                    <w:bottom w:val="nil"/>
                    <w:right w:val="nil"/>
                  </w:tcBorders>
                  <w:shd w:val="clear" w:color="000000" w:fill="FFFFFF"/>
                  <w:noWrap/>
                  <w:vAlign w:val="bottom"/>
                  <w:hideMark/>
                </w:tcPr>
                <w:p w14:paraId="71FA5267" w14:textId="77777777" w:rsidR="00E502F0" w:rsidRPr="00F85253" w:rsidRDefault="00E502F0" w:rsidP="00E502F0">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w:t>
                  </w:r>
                </w:p>
              </w:tc>
              <w:tc>
                <w:tcPr>
                  <w:tcW w:w="880" w:type="dxa"/>
                  <w:tcBorders>
                    <w:top w:val="nil"/>
                    <w:left w:val="single" w:sz="8" w:space="0" w:color="auto"/>
                    <w:bottom w:val="nil"/>
                    <w:right w:val="nil"/>
                  </w:tcBorders>
                  <w:shd w:val="clear" w:color="000000" w:fill="FFFFFF"/>
                  <w:noWrap/>
                  <w:vAlign w:val="bottom"/>
                  <w:hideMark/>
                </w:tcPr>
                <w:p w14:paraId="2B384071"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1120" w:type="dxa"/>
                  <w:tcBorders>
                    <w:top w:val="nil"/>
                    <w:left w:val="nil"/>
                    <w:bottom w:val="nil"/>
                    <w:right w:val="nil"/>
                  </w:tcBorders>
                  <w:shd w:val="clear" w:color="000000" w:fill="FFFFFF"/>
                  <w:noWrap/>
                  <w:vAlign w:val="bottom"/>
                  <w:hideMark/>
                </w:tcPr>
                <w:p w14:paraId="280CEED1"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1100" w:type="dxa"/>
                  <w:tcBorders>
                    <w:top w:val="nil"/>
                    <w:left w:val="nil"/>
                    <w:bottom w:val="nil"/>
                    <w:right w:val="nil"/>
                  </w:tcBorders>
                  <w:shd w:val="clear" w:color="000000" w:fill="FFFFFF"/>
                  <w:noWrap/>
                  <w:vAlign w:val="bottom"/>
                  <w:hideMark/>
                </w:tcPr>
                <w:p w14:paraId="13329182"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940" w:type="dxa"/>
                  <w:tcBorders>
                    <w:top w:val="nil"/>
                    <w:left w:val="nil"/>
                    <w:bottom w:val="nil"/>
                    <w:right w:val="single" w:sz="8" w:space="0" w:color="auto"/>
                  </w:tcBorders>
                  <w:shd w:val="clear" w:color="000000" w:fill="FFFFFF"/>
                  <w:noWrap/>
                  <w:vAlign w:val="bottom"/>
                  <w:hideMark/>
                </w:tcPr>
                <w:p w14:paraId="1604E9F1"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940" w:type="dxa"/>
                  <w:tcBorders>
                    <w:top w:val="nil"/>
                    <w:left w:val="nil"/>
                    <w:bottom w:val="nil"/>
                    <w:right w:val="nil"/>
                  </w:tcBorders>
                  <w:shd w:val="clear" w:color="000000" w:fill="FFFFFF"/>
                  <w:noWrap/>
                  <w:vAlign w:val="bottom"/>
                  <w:hideMark/>
                </w:tcPr>
                <w:p w14:paraId="558F817D"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880" w:type="dxa"/>
                  <w:tcBorders>
                    <w:top w:val="nil"/>
                    <w:left w:val="nil"/>
                    <w:bottom w:val="nil"/>
                    <w:right w:val="nil"/>
                  </w:tcBorders>
                  <w:shd w:val="clear" w:color="000000" w:fill="FFFFFF"/>
                  <w:noWrap/>
                  <w:vAlign w:val="bottom"/>
                  <w:hideMark/>
                </w:tcPr>
                <w:p w14:paraId="7D67886D"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880" w:type="dxa"/>
                  <w:tcBorders>
                    <w:top w:val="nil"/>
                    <w:left w:val="nil"/>
                    <w:bottom w:val="nil"/>
                    <w:right w:val="nil"/>
                  </w:tcBorders>
                  <w:shd w:val="clear" w:color="000000" w:fill="FFFFFF"/>
                  <w:noWrap/>
                  <w:vAlign w:val="bottom"/>
                  <w:hideMark/>
                </w:tcPr>
                <w:p w14:paraId="07E9ACA5"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880" w:type="dxa"/>
                  <w:tcBorders>
                    <w:top w:val="nil"/>
                    <w:left w:val="nil"/>
                    <w:bottom w:val="nil"/>
                    <w:right w:val="nil"/>
                  </w:tcBorders>
                  <w:shd w:val="clear" w:color="000000" w:fill="FFFFFF"/>
                  <w:noWrap/>
                  <w:vAlign w:val="bottom"/>
                  <w:hideMark/>
                </w:tcPr>
                <w:p w14:paraId="2A90F0E9"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880" w:type="dxa"/>
                  <w:tcBorders>
                    <w:top w:val="nil"/>
                    <w:left w:val="nil"/>
                    <w:bottom w:val="nil"/>
                    <w:right w:val="nil"/>
                  </w:tcBorders>
                  <w:shd w:val="clear" w:color="000000" w:fill="FFFFFF"/>
                  <w:noWrap/>
                  <w:vAlign w:val="bottom"/>
                  <w:hideMark/>
                </w:tcPr>
                <w:p w14:paraId="1576F29D"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880" w:type="dxa"/>
                  <w:tcBorders>
                    <w:top w:val="nil"/>
                    <w:left w:val="nil"/>
                    <w:bottom w:val="nil"/>
                    <w:right w:val="single" w:sz="8" w:space="0" w:color="auto"/>
                  </w:tcBorders>
                  <w:shd w:val="clear" w:color="000000" w:fill="FFFFFF"/>
                  <w:noWrap/>
                  <w:vAlign w:val="bottom"/>
                  <w:hideMark/>
                </w:tcPr>
                <w:p w14:paraId="0F462DF5"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r>
            <w:tr w:rsidR="00E502F0" w:rsidRPr="00F85253" w14:paraId="7813364B" w14:textId="77777777" w:rsidTr="00E502F0">
              <w:trPr>
                <w:trHeight w:val="255"/>
              </w:trPr>
              <w:tc>
                <w:tcPr>
                  <w:tcW w:w="4840" w:type="dxa"/>
                  <w:tcBorders>
                    <w:top w:val="nil"/>
                    <w:left w:val="single" w:sz="8" w:space="0" w:color="auto"/>
                    <w:bottom w:val="nil"/>
                    <w:right w:val="nil"/>
                  </w:tcBorders>
                  <w:shd w:val="clear" w:color="000000" w:fill="FFFFFF"/>
                  <w:noWrap/>
                  <w:vAlign w:val="bottom"/>
                  <w:hideMark/>
                </w:tcPr>
                <w:p w14:paraId="30410CF4" w14:textId="77777777" w:rsidR="00E502F0" w:rsidRPr="00F85253" w:rsidRDefault="00E502F0" w:rsidP="00E502F0">
                  <w:pPr>
                    <w:spacing w:after="0" w:line="240" w:lineRule="auto"/>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CAPEX</w:t>
                  </w:r>
                </w:p>
              </w:tc>
              <w:tc>
                <w:tcPr>
                  <w:tcW w:w="1020" w:type="dxa"/>
                  <w:tcBorders>
                    <w:top w:val="nil"/>
                    <w:left w:val="nil"/>
                    <w:bottom w:val="nil"/>
                    <w:right w:val="nil"/>
                  </w:tcBorders>
                  <w:shd w:val="clear" w:color="000000" w:fill="FFFFFF"/>
                  <w:noWrap/>
                  <w:vAlign w:val="bottom"/>
                  <w:hideMark/>
                </w:tcPr>
                <w:p w14:paraId="4A9AC3B5" w14:textId="77777777" w:rsidR="00E502F0" w:rsidRPr="00F85253" w:rsidRDefault="00E502F0" w:rsidP="00E502F0">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w:t>
                  </w:r>
                  <w:proofErr w:type="gramStart"/>
                  <w:r w:rsidRPr="00F85253">
                    <w:rPr>
                      <w:rFonts w:ascii="Arial" w:eastAsia="Times New Roman" w:hAnsi="Arial" w:cs="Arial"/>
                      <w:b/>
                      <w:bCs/>
                      <w:sz w:val="18"/>
                      <w:szCs w:val="18"/>
                      <w:lang w:val="es-EC" w:eastAsia="es-EC"/>
                    </w:rPr>
                    <w:t>$  138.05</w:t>
                  </w:r>
                  <w:proofErr w:type="gramEnd"/>
                  <w:r w:rsidRPr="00F85253">
                    <w:rPr>
                      <w:rFonts w:ascii="Arial" w:eastAsia="Times New Roman" w:hAnsi="Arial" w:cs="Arial"/>
                      <w:b/>
                      <w:bCs/>
                      <w:sz w:val="18"/>
                      <w:szCs w:val="18"/>
                      <w:lang w:val="es-EC" w:eastAsia="es-EC"/>
                    </w:rPr>
                    <w:t xml:space="preserve"> </w:t>
                  </w:r>
                </w:p>
              </w:tc>
              <w:tc>
                <w:tcPr>
                  <w:tcW w:w="880" w:type="dxa"/>
                  <w:tcBorders>
                    <w:top w:val="nil"/>
                    <w:left w:val="single" w:sz="8" w:space="0" w:color="auto"/>
                    <w:bottom w:val="nil"/>
                    <w:right w:val="nil"/>
                  </w:tcBorders>
                  <w:shd w:val="clear" w:color="000000" w:fill="FFFFFF"/>
                  <w:noWrap/>
                  <w:vAlign w:val="bottom"/>
                  <w:hideMark/>
                </w:tcPr>
                <w:p w14:paraId="2E52D324"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   </w:t>
                  </w:r>
                </w:p>
              </w:tc>
              <w:tc>
                <w:tcPr>
                  <w:tcW w:w="1120" w:type="dxa"/>
                  <w:tcBorders>
                    <w:top w:val="nil"/>
                    <w:left w:val="nil"/>
                    <w:bottom w:val="nil"/>
                    <w:right w:val="nil"/>
                  </w:tcBorders>
                  <w:shd w:val="clear" w:color="000000" w:fill="FFFFFF"/>
                  <w:noWrap/>
                  <w:vAlign w:val="bottom"/>
                  <w:hideMark/>
                </w:tcPr>
                <w:p w14:paraId="3A7AE47F"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138.05 </w:t>
                  </w:r>
                </w:p>
              </w:tc>
              <w:tc>
                <w:tcPr>
                  <w:tcW w:w="1100" w:type="dxa"/>
                  <w:tcBorders>
                    <w:top w:val="nil"/>
                    <w:left w:val="nil"/>
                    <w:bottom w:val="nil"/>
                    <w:right w:val="nil"/>
                  </w:tcBorders>
                  <w:shd w:val="clear" w:color="000000" w:fill="FFFFFF"/>
                  <w:noWrap/>
                  <w:vAlign w:val="bottom"/>
                  <w:hideMark/>
                </w:tcPr>
                <w:p w14:paraId="179C9C81"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   </w:t>
                  </w:r>
                </w:p>
              </w:tc>
              <w:tc>
                <w:tcPr>
                  <w:tcW w:w="940" w:type="dxa"/>
                  <w:tcBorders>
                    <w:top w:val="nil"/>
                    <w:left w:val="nil"/>
                    <w:bottom w:val="nil"/>
                    <w:right w:val="single" w:sz="8" w:space="0" w:color="auto"/>
                  </w:tcBorders>
                  <w:shd w:val="clear" w:color="000000" w:fill="FFFFFF"/>
                  <w:noWrap/>
                  <w:vAlign w:val="bottom"/>
                  <w:hideMark/>
                </w:tcPr>
                <w:p w14:paraId="6E2CB576"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   </w:t>
                  </w:r>
                </w:p>
              </w:tc>
              <w:tc>
                <w:tcPr>
                  <w:tcW w:w="940" w:type="dxa"/>
                  <w:tcBorders>
                    <w:top w:val="nil"/>
                    <w:left w:val="nil"/>
                    <w:bottom w:val="nil"/>
                    <w:right w:val="nil"/>
                  </w:tcBorders>
                  <w:shd w:val="clear" w:color="000000" w:fill="FFFFFF"/>
                  <w:noWrap/>
                  <w:vAlign w:val="bottom"/>
                  <w:hideMark/>
                </w:tcPr>
                <w:p w14:paraId="443A5D56"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   </w:t>
                  </w:r>
                </w:p>
              </w:tc>
              <w:tc>
                <w:tcPr>
                  <w:tcW w:w="880" w:type="dxa"/>
                  <w:tcBorders>
                    <w:top w:val="nil"/>
                    <w:left w:val="nil"/>
                    <w:bottom w:val="nil"/>
                    <w:right w:val="nil"/>
                  </w:tcBorders>
                  <w:shd w:val="clear" w:color="000000" w:fill="FFFFFF"/>
                  <w:noWrap/>
                  <w:vAlign w:val="bottom"/>
                  <w:hideMark/>
                </w:tcPr>
                <w:p w14:paraId="0E1B949F"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   </w:t>
                  </w:r>
                </w:p>
              </w:tc>
              <w:tc>
                <w:tcPr>
                  <w:tcW w:w="880" w:type="dxa"/>
                  <w:tcBorders>
                    <w:top w:val="nil"/>
                    <w:left w:val="nil"/>
                    <w:bottom w:val="nil"/>
                    <w:right w:val="nil"/>
                  </w:tcBorders>
                  <w:shd w:val="clear" w:color="000000" w:fill="FFFFFF"/>
                  <w:noWrap/>
                  <w:vAlign w:val="bottom"/>
                  <w:hideMark/>
                </w:tcPr>
                <w:p w14:paraId="53214C36"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   </w:t>
                  </w:r>
                </w:p>
              </w:tc>
              <w:tc>
                <w:tcPr>
                  <w:tcW w:w="880" w:type="dxa"/>
                  <w:tcBorders>
                    <w:top w:val="nil"/>
                    <w:left w:val="nil"/>
                    <w:bottom w:val="nil"/>
                    <w:right w:val="nil"/>
                  </w:tcBorders>
                  <w:shd w:val="clear" w:color="000000" w:fill="FFFFFF"/>
                  <w:noWrap/>
                  <w:vAlign w:val="bottom"/>
                  <w:hideMark/>
                </w:tcPr>
                <w:p w14:paraId="3F759327"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   </w:t>
                  </w:r>
                </w:p>
              </w:tc>
              <w:tc>
                <w:tcPr>
                  <w:tcW w:w="880" w:type="dxa"/>
                  <w:tcBorders>
                    <w:top w:val="nil"/>
                    <w:left w:val="nil"/>
                    <w:bottom w:val="nil"/>
                    <w:right w:val="nil"/>
                  </w:tcBorders>
                  <w:shd w:val="clear" w:color="000000" w:fill="FFFFFF"/>
                  <w:noWrap/>
                  <w:vAlign w:val="bottom"/>
                  <w:hideMark/>
                </w:tcPr>
                <w:p w14:paraId="1C9B0959"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   </w:t>
                  </w:r>
                </w:p>
              </w:tc>
              <w:tc>
                <w:tcPr>
                  <w:tcW w:w="880" w:type="dxa"/>
                  <w:tcBorders>
                    <w:top w:val="nil"/>
                    <w:left w:val="nil"/>
                    <w:bottom w:val="nil"/>
                    <w:right w:val="single" w:sz="8" w:space="0" w:color="auto"/>
                  </w:tcBorders>
                  <w:shd w:val="clear" w:color="000000" w:fill="FFFFFF"/>
                  <w:noWrap/>
                  <w:vAlign w:val="bottom"/>
                  <w:hideMark/>
                </w:tcPr>
                <w:p w14:paraId="02C26E6E"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   </w:t>
                  </w:r>
                </w:p>
              </w:tc>
            </w:tr>
            <w:tr w:rsidR="00E502F0" w:rsidRPr="00F85253" w14:paraId="7416BFE4" w14:textId="77777777" w:rsidTr="00E502F0">
              <w:trPr>
                <w:trHeight w:val="255"/>
              </w:trPr>
              <w:tc>
                <w:tcPr>
                  <w:tcW w:w="4840" w:type="dxa"/>
                  <w:tcBorders>
                    <w:top w:val="nil"/>
                    <w:left w:val="single" w:sz="8" w:space="0" w:color="auto"/>
                    <w:bottom w:val="nil"/>
                    <w:right w:val="nil"/>
                  </w:tcBorders>
                  <w:shd w:val="clear" w:color="000000" w:fill="FFFFFF"/>
                  <w:noWrap/>
                  <w:vAlign w:val="bottom"/>
                  <w:hideMark/>
                </w:tcPr>
                <w:p w14:paraId="1416CE44" w14:textId="77777777" w:rsidR="00E502F0" w:rsidRPr="00F85253" w:rsidRDefault="00E502F0" w:rsidP="00E502F0">
                  <w:pPr>
                    <w:spacing w:after="0" w:line="240" w:lineRule="auto"/>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OPEX</w:t>
                  </w:r>
                </w:p>
              </w:tc>
              <w:tc>
                <w:tcPr>
                  <w:tcW w:w="1020" w:type="dxa"/>
                  <w:tcBorders>
                    <w:top w:val="nil"/>
                    <w:left w:val="nil"/>
                    <w:bottom w:val="nil"/>
                    <w:right w:val="nil"/>
                  </w:tcBorders>
                  <w:shd w:val="clear" w:color="000000" w:fill="FFFFFF"/>
                  <w:noWrap/>
                  <w:vAlign w:val="bottom"/>
                  <w:hideMark/>
                </w:tcPr>
                <w:p w14:paraId="49F3CA37" w14:textId="77777777" w:rsidR="00E502F0" w:rsidRPr="00F85253" w:rsidRDefault="00E502F0" w:rsidP="00E502F0">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w:t>
                  </w:r>
                  <w:proofErr w:type="gramStart"/>
                  <w:r w:rsidRPr="00F85253">
                    <w:rPr>
                      <w:rFonts w:ascii="Arial" w:eastAsia="Times New Roman" w:hAnsi="Arial" w:cs="Arial"/>
                      <w:b/>
                      <w:bCs/>
                      <w:sz w:val="18"/>
                      <w:szCs w:val="18"/>
                      <w:lang w:val="es-EC" w:eastAsia="es-EC"/>
                    </w:rPr>
                    <w:t>$  149.10</w:t>
                  </w:r>
                  <w:proofErr w:type="gramEnd"/>
                  <w:r w:rsidRPr="00F85253">
                    <w:rPr>
                      <w:rFonts w:ascii="Arial" w:eastAsia="Times New Roman" w:hAnsi="Arial" w:cs="Arial"/>
                      <w:b/>
                      <w:bCs/>
                      <w:sz w:val="18"/>
                      <w:szCs w:val="18"/>
                      <w:lang w:val="es-EC" w:eastAsia="es-EC"/>
                    </w:rPr>
                    <w:t xml:space="preserve"> </w:t>
                  </w:r>
                </w:p>
              </w:tc>
              <w:tc>
                <w:tcPr>
                  <w:tcW w:w="880" w:type="dxa"/>
                  <w:tcBorders>
                    <w:top w:val="nil"/>
                    <w:left w:val="single" w:sz="8" w:space="0" w:color="auto"/>
                    <w:bottom w:val="nil"/>
                    <w:right w:val="nil"/>
                  </w:tcBorders>
                  <w:shd w:val="clear" w:color="000000" w:fill="FFFFFF"/>
                  <w:noWrap/>
                  <w:vAlign w:val="bottom"/>
                  <w:hideMark/>
                </w:tcPr>
                <w:p w14:paraId="28A16CB5"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   </w:t>
                  </w:r>
                </w:p>
              </w:tc>
              <w:tc>
                <w:tcPr>
                  <w:tcW w:w="1120" w:type="dxa"/>
                  <w:tcBorders>
                    <w:top w:val="nil"/>
                    <w:left w:val="nil"/>
                    <w:bottom w:val="nil"/>
                    <w:right w:val="nil"/>
                  </w:tcBorders>
                  <w:shd w:val="clear" w:color="000000" w:fill="FFFFFF"/>
                  <w:noWrap/>
                  <w:vAlign w:val="bottom"/>
                  <w:hideMark/>
                </w:tcPr>
                <w:p w14:paraId="53D43598"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16.57 </w:t>
                  </w:r>
                </w:p>
              </w:tc>
              <w:tc>
                <w:tcPr>
                  <w:tcW w:w="1100" w:type="dxa"/>
                  <w:tcBorders>
                    <w:top w:val="nil"/>
                    <w:left w:val="nil"/>
                    <w:bottom w:val="nil"/>
                    <w:right w:val="nil"/>
                  </w:tcBorders>
                  <w:shd w:val="clear" w:color="000000" w:fill="FFFFFF"/>
                  <w:noWrap/>
                  <w:vAlign w:val="bottom"/>
                  <w:hideMark/>
                </w:tcPr>
                <w:p w14:paraId="0F18D9E5"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16.57 </w:t>
                  </w:r>
                </w:p>
              </w:tc>
              <w:tc>
                <w:tcPr>
                  <w:tcW w:w="940" w:type="dxa"/>
                  <w:tcBorders>
                    <w:top w:val="nil"/>
                    <w:left w:val="nil"/>
                    <w:bottom w:val="nil"/>
                    <w:right w:val="single" w:sz="8" w:space="0" w:color="auto"/>
                  </w:tcBorders>
                  <w:shd w:val="clear" w:color="000000" w:fill="FFFFFF"/>
                  <w:noWrap/>
                  <w:vAlign w:val="bottom"/>
                  <w:hideMark/>
                </w:tcPr>
                <w:p w14:paraId="476BD938"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w:t>
                  </w:r>
                  <w:proofErr w:type="gramStart"/>
                  <w:r w:rsidRPr="00F85253">
                    <w:rPr>
                      <w:rFonts w:ascii="Arial" w:eastAsia="Times New Roman" w:hAnsi="Arial" w:cs="Arial"/>
                      <w:sz w:val="18"/>
                      <w:szCs w:val="18"/>
                      <w:lang w:val="es-EC" w:eastAsia="es-EC"/>
                    </w:rPr>
                    <w:t>$  16.57</w:t>
                  </w:r>
                  <w:proofErr w:type="gramEnd"/>
                  <w:r w:rsidRPr="00F85253">
                    <w:rPr>
                      <w:rFonts w:ascii="Arial" w:eastAsia="Times New Roman" w:hAnsi="Arial" w:cs="Arial"/>
                      <w:sz w:val="18"/>
                      <w:szCs w:val="18"/>
                      <w:lang w:val="es-EC" w:eastAsia="es-EC"/>
                    </w:rPr>
                    <w:t xml:space="preserve"> </w:t>
                  </w:r>
                </w:p>
              </w:tc>
              <w:tc>
                <w:tcPr>
                  <w:tcW w:w="940" w:type="dxa"/>
                  <w:tcBorders>
                    <w:top w:val="nil"/>
                    <w:left w:val="nil"/>
                    <w:bottom w:val="nil"/>
                    <w:right w:val="nil"/>
                  </w:tcBorders>
                  <w:shd w:val="clear" w:color="000000" w:fill="FFFFFF"/>
                  <w:noWrap/>
                  <w:vAlign w:val="bottom"/>
                  <w:hideMark/>
                </w:tcPr>
                <w:p w14:paraId="0F790792"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w:t>
                  </w:r>
                  <w:proofErr w:type="gramStart"/>
                  <w:r w:rsidRPr="00F85253">
                    <w:rPr>
                      <w:rFonts w:ascii="Arial" w:eastAsia="Times New Roman" w:hAnsi="Arial" w:cs="Arial"/>
                      <w:sz w:val="18"/>
                      <w:szCs w:val="18"/>
                      <w:lang w:val="es-EC" w:eastAsia="es-EC"/>
                    </w:rPr>
                    <w:t>$  16.57</w:t>
                  </w:r>
                  <w:proofErr w:type="gramEnd"/>
                  <w:r w:rsidRPr="00F85253">
                    <w:rPr>
                      <w:rFonts w:ascii="Arial" w:eastAsia="Times New Roman" w:hAnsi="Arial" w:cs="Arial"/>
                      <w:sz w:val="18"/>
                      <w:szCs w:val="18"/>
                      <w:lang w:val="es-EC" w:eastAsia="es-EC"/>
                    </w:rPr>
                    <w:t xml:space="preserve"> </w:t>
                  </w:r>
                </w:p>
              </w:tc>
              <w:tc>
                <w:tcPr>
                  <w:tcW w:w="880" w:type="dxa"/>
                  <w:tcBorders>
                    <w:top w:val="nil"/>
                    <w:left w:val="nil"/>
                    <w:bottom w:val="nil"/>
                    <w:right w:val="nil"/>
                  </w:tcBorders>
                  <w:shd w:val="clear" w:color="000000" w:fill="FFFFFF"/>
                  <w:noWrap/>
                  <w:vAlign w:val="bottom"/>
                  <w:hideMark/>
                </w:tcPr>
                <w:p w14:paraId="312437CB"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$ 16.57 </w:t>
                  </w:r>
                </w:p>
              </w:tc>
              <w:tc>
                <w:tcPr>
                  <w:tcW w:w="880" w:type="dxa"/>
                  <w:tcBorders>
                    <w:top w:val="nil"/>
                    <w:left w:val="nil"/>
                    <w:bottom w:val="nil"/>
                    <w:right w:val="nil"/>
                  </w:tcBorders>
                  <w:shd w:val="clear" w:color="000000" w:fill="FFFFFF"/>
                  <w:noWrap/>
                  <w:vAlign w:val="bottom"/>
                  <w:hideMark/>
                </w:tcPr>
                <w:p w14:paraId="557D32B9"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$ 16.57 </w:t>
                  </w:r>
                </w:p>
              </w:tc>
              <w:tc>
                <w:tcPr>
                  <w:tcW w:w="880" w:type="dxa"/>
                  <w:tcBorders>
                    <w:top w:val="nil"/>
                    <w:left w:val="nil"/>
                    <w:bottom w:val="nil"/>
                    <w:right w:val="nil"/>
                  </w:tcBorders>
                  <w:shd w:val="clear" w:color="000000" w:fill="FFFFFF"/>
                  <w:noWrap/>
                  <w:vAlign w:val="bottom"/>
                  <w:hideMark/>
                </w:tcPr>
                <w:p w14:paraId="3F0FC417"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$ 16.57 </w:t>
                  </w:r>
                </w:p>
              </w:tc>
              <w:tc>
                <w:tcPr>
                  <w:tcW w:w="880" w:type="dxa"/>
                  <w:tcBorders>
                    <w:top w:val="nil"/>
                    <w:left w:val="nil"/>
                    <w:bottom w:val="nil"/>
                    <w:right w:val="nil"/>
                  </w:tcBorders>
                  <w:shd w:val="clear" w:color="000000" w:fill="FFFFFF"/>
                  <w:noWrap/>
                  <w:vAlign w:val="bottom"/>
                  <w:hideMark/>
                </w:tcPr>
                <w:p w14:paraId="5AE27AE0"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$ 16.57 </w:t>
                  </w:r>
                </w:p>
              </w:tc>
              <w:tc>
                <w:tcPr>
                  <w:tcW w:w="880" w:type="dxa"/>
                  <w:tcBorders>
                    <w:top w:val="nil"/>
                    <w:left w:val="nil"/>
                    <w:bottom w:val="nil"/>
                    <w:right w:val="single" w:sz="8" w:space="0" w:color="auto"/>
                  </w:tcBorders>
                  <w:shd w:val="clear" w:color="000000" w:fill="FFFFFF"/>
                  <w:noWrap/>
                  <w:vAlign w:val="bottom"/>
                  <w:hideMark/>
                </w:tcPr>
                <w:p w14:paraId="3D90B905"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$ 16.57 </w:t>
                  </w:r>
                </w:p>
              </w:tc>
            </w:tr>
            <w:tr w:rsidR="00E502F0" w:rsidRPr="00F85253" w14:paraId="1BB84C90" w14:textId="77777777" w:rsidTr="00E502F0">
              <w:trPr>
                <w:trHeight w:val="255"/>
              </w:trPr>
              <w:tc>
                <w:tcPr>
                  <w:tcW w:w="4840" w:type="dxa"/>
                  <w:tcBorders>
                    <w:top w:val="nil"/>
                    <w:left w:val="single" w:sz="8" w:space="0" w:color="auto"/>
                    <w:bottom w:val="nil"/>
                    <w:right w:val="nil"/>
                  </w:tcBorders>
                  <w:shd w:val="clear" w:color="000000" w:fill="FFFFFF"/>
                  <w:noWrap/>
                  <w:vAlign w:val="bottom"/>
                  <w:hideMark/>
                </w:tcPr>
                <w:p w14:paraId="27CC8E2F" w14:textId="77777777" w:rsidR="00E502F0" w:rsidRPr="00F85253" w:rsidRDefault="00E502F0" w:rsidP="00E502F0">
                  <w:pPr>
                    <w:spacing w:after="0" w:line="240" w:lineRule="auto"/>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Subtotal OPEX y CAPEX</w:t>
                  </w:r>
                </w:p>
              </w:tc>
              <w:tc>
                <w:tcPr>
                  <w:tcW w:w="1020" w:type="dxa"/>
                  <w:tcBorders>
                    <w:top w:val="nil"/>
                    <w:left w:val="nil"/>
                    <w:bottom w:val="nil"/>
                    <w:right w:val="nil"/>
                  </w:tcBorders>
                  <w:shd w:val="clear" w:color="000000" w:fill="FFFFFF"/>
                  <w:noWrap/>
                  <w:vAlign w:val="bottom"/>
                  <w:hideMark/>
                </w:tcPr>
                <w:p w14:paraId="6D775A64" w14:textId="77777777" w:rsidR="00E502F0" w:rsidRPr="00F85253" w:rsidRDefault="00E502F0" w:rsidP="00E502F0">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w:t>
                  </w:r>
                  <w:proofErr w:type="gramStart"/>
                  <w:r w:rsidRPr="00F85253">
                    <w:rPr>
                      <w:rFonts w:ascii="Arial" w:eastAsia="Times New Roman" w:hAnsi="Arial" w:cs="Arial"/>
                      <w:b/>
                      <w:bCs/>
                      <w:sz w:val="18"/>
                      <w:szCs w:val="18"/>
                      <w:lang w:val="es-EC" w:eastAsia="es-EC"/>
                    </w:rPr>
                    <w:t>$  287.15</w:t>
                  </w:r>
                  <w:proofErr w:type="gramEnd"/>
                  <w:r w:rsidRPr="00F85253">
                    <w:rPr>
                      <w:rFonts w:ascii="Arial" w:eastAsia="Times New Roman" w:hAnsi="Arial" w:cs="Arial"/>
                      <w:b/>
                      <w:bCs/>
                      <w:sz w:val="18"/>
                      <w:szCs w:val="18"/>
                      <w:lang w:val="es-EC" w:eastAsia="es-EC"/>
                    </w:rPr>
                    <w:t xml:space="preserve"> </w:t>
                  </w:r>
                </w:p>
              </w:tc>
              <w:tc>
                <w:tcPr>
                  <w:tcW w:w="880" w:type="dxa"/>
                  <w:tcBorders>
                    <w:top w:val="nil"/>
                    <w:left w:val="single" w:sz="8" w:space="0" w:color="auto"/>
                    <w:bottom w:val="nil"/>
                    <w:right w:val="nil"/>
                  </w:tcBorders>
                  <w:shd w:val="clear" w:color="000000" w:fill="FFFFFF"/>
                  <w:noWrap/>
                  <w:vAlign w:val="bottom"/>
                  <w:hideMark/>
                </w:tcPr>
                <w:p w14:paraId="16D3ACCF"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   </w:t>
                  </w:r>
                </w:p>
              </w:tc>
              <w:tc>
                <w:tcPr>
                  <w:tcW w:w="1120" w:type="dxa"/>
                  <w:tcBorders>
                    <w:top w:val="nil"/>
                    <w:left w:val="nil"/>
                    <w:bottom w:val="nil"/>
                    <w:right w:val="nil"/>
                  </w:tcBorders>
                  <w:shd w:val="clear" w:color="000000" w:fill="FFFFFF"/>
                  <w:noWrap/>
                  <w:vAlign w:val="bottom"/>
                  <w:hideMark/>
                </w:tcPr>
                <w:p w14:paraId="51994C0D"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154.62 </w:t>
                  </w:r>
                </w:p>
              </w:tc>
              <w:tc>
                <w:tcPr>
                  <w:tcW w:w="1100" w:type="dxa"/>
                  <w:tcBorders>
                    <w:top w:val="nil"/>
                    <w:left w:val="nil"/>
                    <w:bottom w:val="nil"/>
                    <w:right w:val="nil"/>
                  </w:tcBorders>
                  <w:shd w:val="clear" w:color="000000" w:fill="FFFFFF"/>
                  <w:noWrap/>
                  <w:vAlign w:val="bottom"/>
                  <w:hideMark/>
                </w:tcPr>
                <w:p w14:paraId="01077A2D"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16.57 </w:t>
                  </w:r>
                </w:p>
              </w:tc>
              <w:tc>
                <w:tcPr>
                  <w:tcW w:w="940" w:type="dxa"/>
                  <w:tcBorders>
                    <w:top w:val="nil"/>
                    <w:left w:val="nil"/>
                    <w:bottom w:val="nil"/>
                    <w:right w:val="single" w:sz="8" w:space="0" w:color="auto"/>
                  </w:tcBorders>
                  <w:shd w:val="clear" w:color="000000" w:fill="FFFFFF"/>
                  <w:noWrap/>
                  <w:vAlign w:val="bottom"/>
                  <w:hideMark/>
                </w:tcPr>
                <w:p w14:paraId="16E6AF98"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w:t>
                  </w:r>
                  <w:proofErr w:type="gramStart"/>
                  <w:r w:rsidRPr="00F85253">
                    <w:rPr>
                      <w:rFonts w:ascii="Arial" w:eastAsia="Times New Roman" w:hAnsi="Arial" w:cs="Arial"/>
                      <w:sz w:val="18"/>
                      <w:szCs w:val="18"/>
                      <w:lang w:val="es-EC" w:eastAsia="es-EC"/>
                    </w:rPr>
                    <w:t>$  16.57</w:t>
                  </w:r>
                  <w:proofErr w:type="gramEnd"/>
                  <w:r w:rsidRPr="00F85253">
                    <w:rPr>
                      <w:rFonts w:ascii="Arial" w:eastAsia="Times New Roman" w:hAnsi="Arial" w:cs="Arial"/>
                      <w:sz w:val="18"/>
                      <w:szCs w:val="18"/>
                      <w:lang w:val="es-EC" w:eastAsia="es-EC"/>
                    </w:rPr>
                    <w:t xml:space="preserve"> </w:t>
                  </w:r>
                </w:p>
              </w:tc>
              <w:tc>
                <w:tcPr>
                  <w:tcW w:w="940" w:type="dxa"/>
                  <w:tcBorders>
                    <w:top w:val="nil"/>
                    <w:left w:val="nil"/>
                    <w:bottom w:val="nil"/>
                    <w:right w:val="nil"/>
                  </w:tcBorders>
                  <w:shd w:val="clear" w:color="000000" w:fill="FFFFFF"/>
                  <w:noWrap/>
                  <w:vAlign w:val="bottom"/>
                  <w:hideMark/>
                </w:tcPr>
                <w:p w14:paraId="2AEB2A3F"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w:t>
                  </w:r>
                  <w:proofErr w:type="gramStart"/>
                  <w:r w:rsidRPr="00F85253">
                    <w:rPr>
                      <w:rFonts w:ascii="Arial" w:eastAsia="Times New Roman" w:hAnsi="Arial" w:cs="Arial"/>
                      <w:sz w:val="18"/>
                      <w:szCs w:val="18"/>
                      <w:lang w:val="es-EC" w:eastAsia="es-EC"/>
                    </w:rPr>
                    <w:t>$  16.57</w:t>
                  </w:r>
                  <w:proofErr w:type="gramEnd"/>
                  <w:r w:rsidRPr="00F85253">
                    <w:rPr>
                      <w:rFonts w:ascii="Arial" w:eastAsia="Times New Roman" w:hAnsi="Arial" w:cs="Arial"/>
                      <w:sz w:val="18"/>
                      <w:szCs w:val="18"/>
                      <w:lang w:val="es-EC" w:eastAsia="es-EC"/>
                    </w:rPr>
                    <w:t xml:space="preserve"> </w:t>
                  </w:r>
                </w:p>
              </w:tc>
              <w:tc>
                <w:tcPr>
                  <w:tcW w:w="880" w:type="dxa"/>
                  <w:tcBorders>
                    <w:top w:val="nil"/>
                    <w:left w:val="nil"/>
                    <w:bottom w:val="nil"/>
                    <w:right w:val="nil"/>
                  </w:tcBorders>
                  <w:shd w:val="clear" w:color="000000" w:fill="FFFFFF"/>
                  <w:noWrap/>
                  <w:vAlign w:val="bottom"/>
                  <w:hideMark/>
                </w:tcPr>
                <w:p w14:paraId="1AC07191"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$ 16.57 </w:t>
                  </w:r>
                </w:p>
              </w:tc>
              <w:tc>
                <w:tcPr>
                  <w:tcW w:w="880" w:type="dxa"/>
                  <w:tcBorders>
                    <w:top w:val="nil"/>
                    <w:left w:val="nil"/>
                    <w:bottom w:val="nil"/>
                    <w:right w:val="nil"/>
                  </w:tcBorders>
                  <w:shd w:val="clear" w:color="000000" w:fill="FFFFFF"/>
                  <w:noWrap/>
                  <w:vAlign w:val="bottom"/>
                  <w:hideMark/>
                </w:tcPr>
                <w:p w14:paraId="63D18C1F"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$ 16.57 </w:t>
                  </w:r>
                </w:p>
              </w:tc>
              <w:tc>
                <w:tcPr>
                  <w:tcW w:w="880" w:type="dxa"/>
                  <w:tcBorders>
                    <w:top w:val="nil"/>
                    <w:left w:val="nil"/>
                    <w:bottom w:val="nil"/>
                    <w:right w:val="nil"/>
                  </w:tcBorders>
                  <w:shd w:val="clear" w:color="000000" w:fill="FFFFFF"/>
                  <w:noWrap/>
                  <w:vAlign w:val="bottom"/>
                  <w:hideMark/>
                </w:tcPr>
                <w:p w14:paraId="78F96B8B"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$ 16.57 </w:t>
                  </w:r>
                </w:p>
              </w:tc>
              <w:tc>
                <w:tcPr>
                  <w:tcW w:w="880" w:type="dxa"/>
                  <w:tcBorders>
                    <w:top w:val="nil"/>
                    <w:left w:val="nil"/>
                    <w:bottom w:val="nil"/>
                    <w:right w:val="nil"/>
                  </w:tcBorders>
                  <w:shd w:val="clear" w:color="000000" w:fill="FFFFFF"/>
                  <w:noWrap/>
                  <w:vAlign w:val="bottom"/>
                  <w:hideMark/>
                </w:tcPr>
                <w:p w14:paraId="139FB9C5"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$ 16.57 </w:t>
                  </w:r>
                </w:p>
              </w:tc>
              <w:tc>
                <w:tcPr>
                  <w:tcW w:w="880" w:type="dxa"/>
                  <w:tcBorders>
                    <w:top w:val="nil"/>
                    <w:left w:val="nil"/>
                    <w:bottom w:val="nil"/>
                    <w:right w:val="single" w:sz="8" w:space="0" w:color="auto"/>
                  </w:tcBorders>
                  <w:shd w:val="clear" w:color="000000" w:fill="FFFFFF"/>
                  <w:noWrap/>
                  <w:vAlign w:val="bottom"/>
                  <w:hideMark/>
                </w:tcPr>
                <w:p w14:paraId="71A68139"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$ 16.57 </w:t>
                  </w:r>
                </w:p>
              </w:tc>
            </w:tr>
            <w:tr w:rsidR="00E502F0" w:rsidRPr="00F85253" w14:paraId="687618DE" w14:textId="77777777" w:rsidTr="00E502F0">
              <w:trPr>
                <w:trHeight w:val="255"/>
              </w:trPr>
              <w:tc>
                <w:tcPr>
                  <w:tcW w:w="4840" w:type="dxa"/>
                  <w:tcBorders>
                    <w:top w:val="nil"/>
                    <w:left w:val="single" w:sz="8" w:space="0" w:color="auto"/>
                    <w:bottom w:val="nil"/>
                    <w:right w:val="nil"/>
                  </w:tcBorders>
                  <w:shd w:val="clear" w:color="000000" w:fill="FFFFFF"/>
                  <w:noWrap/>
                  <w:vAlign w:val="bottom"/>
                  <w:hideMark/>
                </w:tcPr>
                <w:p w14:paraId="085DF6AD" w14:textId="77777777" w:rsidR="00E502F0" w:rsidRPr="00F85253" w:rsidRDefault="00E502F0" w:rsidP="00E502F0">
                  <w:pPr>
                    <w:spacing w:after="0" w:line="240" w:lineRule="auto"/>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w:t>
                  </w:r>
                </w:p>
              </w:tc>
              <w:tc>
                <w:tcPr>
                  <w:tcW w:w="1020" w:type="dxa"/>
                  <w:tcBorders>
                    <w:top w:val="nil"/>
                    <w:left w:val="nil"/>
                    <w:bottom w:val="nil"/>
                    <w:right w:val="nil"/>
                  </w:tcBorders>
                  <w:shd w:val="clear" w:color="000000" w:fill="FFFFFF"/>
                  <w:noWrap/>
                  <w:vAlign w:val="bottom"/>
                  <w:hideMark/>
                </w:tcPr>
                <w:p w14:paraId="17CCED78" w14:textId="77777777" w:rsidR="00E502F0" w:rsidRPr="00F85253" w:rsidRDefault="00E502F0" w:rsidP="00E502F0">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w:t>
                  </w:r>
                </w:p>
              </w:tc>
              <w:tc>
                <w:tcPr>
                  <w:tcW w:w="880" w:type="dxa"/>
                  <w:tcBorders>
                    <w:top w:val="nil"/>
                    <w:left w:val="single" w:sz="8" w:space="0" w:color="auto"/>
                    <w:bottom w:val="nil"/>
                    <w:right w:val="nil"/>
                  </w:tcBorders>
                  <w:shd w:val="clear" w:color="000000" w:fill="FFFFFF"/>
                  <w:noWrap/>
                  <w:vAlign w:val="bottom"/>
                  <w:hideMark/>
                </w:tcPr>
                <w:p w14:paraId="2BBEC4ED"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1120" w:type="dxa"/>
                  <w:tcBorders>
                    <w:top w:val="nil"/>
                    <w:left w:val="nil"/>
                    <w:bottom w:val="nil"/>
                    <w:right w:val="nil"/>
                  </w:tcBorders>
                  <w:shd w:val="clear" w:color="000000" w:fill="FFFFFF"/>
                  <w:noWrap/>
                  <w:vAlign w:val="bottom"/>
                  <w:hideMark/>
                </w:tcPr>
                <w:p w14:paraId="509571A4"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1100" w:type="dxa"/>
                  <w:tcBorders>
                    <w:top w:val="nil"/>
                    <w:left w:val="nil"/>
                    <w:bottom w:val="nil"/>
                    <w:right w:val="nil"/>
                  </w:tcBorders>
                  <w:shd w:val="clear" w:color="000000" w:fill="FFFFFF"/>
                  <w:noWrap/>
                  <w:vAlign w:val="bottom"/>
                  <w:hideMark/>
                </w:tcPr>
                <w:p w14:paraId="10358D9A"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940" w:type="dxa"/>
                  <w:tcBorders>
                    <w:top w:val="nil"/>
                    <w:left w:val="nil"/>
                    <w:bottom w:val="nil"/>
                    <w:right w:val="single" w:sz="8" w:space="0" w:color="auto"/>
                  </w:tcBorders>
                  <w:shd w:val="clear" w:color="000000" w:fill="FFFFFF"/>
                  <w:noWrap/>
                  <w:vAlign w:val="bottom"/>
                  <w:hideMark/>
                </w:tcPr>
                <w:p w14:paraId="71860B6F"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940" w:type="dxa"/>
                  <w:tcBorders>
                    <w:top w:val="nil"/>
                    <w:left w:val="nil"/>
                    <w:bottom w:val="nil"/>
                    <w:right w:val="nil"/>
                  </w:tcBorders>
                  <w:shd w:val="clear" w:color="000000" w:fill="FFFFFF"/>
                  <w:noWrap/>
                  <w:vAlign w:val="bottom"/>
                  <w:hideMark/>
                </w:tcPr>
                <w:p w14:paraId="3E718DE5"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880" w:type="dxa"/>
                  <w:tcBorders>
                    <w:top w:val="nil"/>
                    <w:left w:val="nil"/>
                    <w:bottom w:val="nil"/>
                    <w:right w:val="nil"/>
                  </w:tcBorders>
                  <w:shd w:val="clear" w:color="000000" w:fill="FFFFFF"/>
                  <w:noWrap/>
                  <w:vAlign w:val="bottom"/>
                  <w:hideMark/>
                </w:tcPr>
                <w:p w14:paraId="255D6BAD"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880" w:type="dxa"/>
                  <w:tcBorders>
                    <w:top w:val="nil"/>
                    <w:left w:val="nil"/>
                    <w:bottom w:val="nil"/>
                    <w:right w:val="nil"/>
                  </w:tcBorders>
                  <w:shd w:val="clear" w:color="000000" w:fill="FFFFFF"/>
                  <w:noWrap/>
                  <w:vAlign w:val="bottom"/>
                  <w:hideMark/>
                </w:tcPr>
                <w:p w14:paraId="0BF88B64"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880" w:type="dxa"/>
                  <w:tcBorders>
                    <w:top w:val="nil"/>
                    <w:left w:val="nil"/>
                    <w:bottom w:val="nil"/>
                    <w:right w:val="nil"/>
                  </w:tcBorders>
                  <w:shd w:val="clear" w:color="000000" w:fill="FFFFFF"/>
                  <w:noWrap/>
                  <w:vAlign w:val="bottom"/>
                  <w:hideMark/>
                </w:tcPr>
                <w:p w14:paraId="59083000"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880" w:type="dxa"/>
                  <w:tcBorders>
                    <w:top w:val="nil"/>
                    <w:left w:val="nil"/>
                    <w:bottom w:val="nil"/>
                    <w:right w:val="nil"/>
                  </w:tcBorders>
                  <w:shd w:val="clear" w:color="000000" w:fill="FFFFFF"/>
                  <w:noWrap/>
                  <w:vAlign w:val="bottom"/>
                  <w:hideMark/>
                </w:tcPr>
                <w:p w14:paraId="2A266471"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880" w:type="dxa"/>
                  <w:tcBorders>
                    <w:top w:val="nil"/>
                    <w:left w:val="nil"/>
                    <w:bottom w:val="nil"/>
                    <w:right w:val="single" w:sz="8" w:space="0" w:color="auto"/>
                  </w:tcBorders>
                  <w:shd w:val="clear" w:color="000000" w:fill="FFFFFF"/>
                  <w:noWrap/>
                  <w:vAlign w:val="bottom"/>
                  <w:hideMark/>
                </w:tcPr>
                <w:p w14:paraId="1DE800DE"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r>
            <w:tr w:rsidR="00E502F0" w:rsidRPr="00F85253" w14:paraId="7831B37A" w14:textId="77777777" w:rsidTr="00E502F0">
              <w:trPr>
                <w:trHeight w:val="270"/>
              </w:trPr>
              <w:tc>
                <w:tcPr>
                  <w:tcW w:w="4840" w:type="dxa"/>
                  <w:tcBorders>
                    <w:top w:val="nil"/>
                    <w:left w:val="single" w:sz="8" w:space="0" w:color="auto"/>
                    <w:bottom w:val="single" w:sz="8" w:space="0" w:color="auto"/>
                    <w:right w:val="nil"/>
                  </w:tcBorders>
                  <w:shd w:val="clear" w:color="000000" w:fill="FFFFFF"/>
                  <w:noWrap/>
                  <w:vAlign w:val="bottom"/>
                  <w:hideMark/>
                </w:tcPr>
                <w:p w14:paraId="15A4DCC9" w14:textId="77777777" w:rsidR="00E502F0" w:rsidRPr="00F85253" w:rsidRDefault="00E502F0" w:rsidP="00E502F0">
                  <w:pPr>
                    <w:spacing w:after="0" w:line="240" w:lineRule="auto"/>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Flujo Neto Generado</w:t>
                  </w:r>
                </w:p>
              </w:tc>
              <w:tc>
                <w:tcPr>
                  <w:tcW w:w="1020" w:type="dxa"/>
                  <w:tcBorders>
                    <w:top w:val="nil"/>
                    <w:left w:val="nil"/>
                    <w:bottom w:val="single" w:sz="8" w:space="0" w:color="auto"/>
                    <w:right w:val="nil"/>
                  </w:tcBorders>
                  <w:shd w:val="clear" w:color="000000" w:fill="FFFFFF"/>
                  <w:noWrap/>
                  <w:vAlign w:val="bottom"/>
                  <w:hideMark/>
                </w:tcPr>
                <w:p w14:paraId="70B6C037" w14:textId="77777777" w:rsidR="00E502F0" w:rsidRPr="00F85253" w:rsidRDefault="00E502F0" w:rsidP="00E502F0">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w:t>
                  </w:r>
                  <w:proofErr w:type="gramStart"/>
                  <w:r w:rsidRPr="00F85253">
                    <w:rPr>
                      <w:rFonts w:ascii="Arial" w:eastAsia="Times New Roman" w:hAnsi="Arial" w:cs="Arial"/>
                      <w:b/>
                      <w:bCs/>
                      <w:sz w:val="18"/>
                      <w:szCs w:val="18"/>
                      <w:lang w:val="es-EC" w:eastAsia="es-EC"/>
                    </w:rPr>
                    <w:t>$  576.85</w:t>
                  </w:r>
                  <w:proofErr w:type="gramEnd"/>
                  <w:r w:rsidRPr="00F85253">
                    <w:rPr>
                      <w:rFonts w:ascii="Arial" w:eastAsia="Times New Roman" w:hAnsi="Arial" w:cs="Arial"/>
                      <w:b/>
                      <w:bCs/>
                      <w:sz w:val="18"/>
                      <w:szCs w:val="18"/>
                      <w:lang w:val="es-EC" w:eastAsia="es-EC"/>
                    </w:rPr>
                    <w:t xml:space="preserve"> </w:t>
                  </w:r>
                </w:p>
              </w:tc>
              <w:tc>
                <w:tcPr>
                  <w:tcW w:w="880" w:type="dxa"/>
                  <w:tcBorders>
                    <w:top w:val="nil"/>
                    <w:left w:val="single" w:sz="8" w:space="0" w:color="auto"/>
                    <w:bottom w:val="single" w:sz="8" w:space="0" w:color="auto"/>
                    <w:right w:val="nil"/>
                  </w:tcBorders>
                  <w:shd w:val="clear" w:color="000000" w:fill="FFFFFF"/>
                  <w:noWrap/>
                  <w:vAlign w:val="bottom"/>
                  <w:hideMark/>
                </w:tcPr>
                <w:p w14:paraId="2DF8FCD6"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   </w:t>
                  </w:r>
                </w:p>
              </w:tc>
              <w:tc>
                <w:tcPr>
                  <w:tcW w:w="1120" w:type="dxa"/>
                  <w:tcBorders>
                    <w:top w:val="nil"/>
                    <w:left w:val="nil"/>
                    <w:bottom w:val="single" w:sz="8" w:space="0" w:color="auto"/>
                    <w:right w:val="nil"/>
                  </w:tcBorders>
                  <w:shd w:val="clear" w:color="000000" w:fill="FFFFFF"/>
                  <w:noWrap/>
                  <w:vAlign w:val="bottom"/>
                  <w:hideMark/>
                </w:tcPr>
                <w:p w14:paraId="44086526"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w:t>
                  </w:r>
                  <w:proofErr w:type="gramStart"/>
                  <w:r w:rsidRPr="00F85253">
                    <w:rPr>
                      <w:rFonts w:ascii="Arial" w:eastAsia="Times New Roman" w:hAnsi="Arial" w:cs="Arial"/>
                      <w:sz w:val="18"/>
                      <w:szCs w:val="18"/>
                      <w:lang w:val="es-EC" w:eastAsia="es-EC"/>
                    </w:rPr>
                    <w:t>$  -</w:t>
                  </w:r>
                  <w:proofErr w:type="gramEnd"/>
                  <w:r w:rsidRPr="00F85253">
                    <w:rPr>
                      <w:rFonts w:ascii="Arial" w:eastAsia="Times New Roman" w:hAnsi="Arial" w:cs="Arial"/>
                      <w:sz w:val="18"/>
                      <w:szCs w:val="18"/>
                      <w:lang w:val="es-EC" w:eastAsia="es-EC"/>
                    </w:rPr>
                    <w:t xml:space="preserve">154.62 </w:t>
                  </w:r>
                </w:p>
              </w:tc>
              <w:tc>
                <w:tcPr>
                  <w:tcW w:w="1100" w:type="dxa"/>
                  <w:tcBorders>
                    <w:top w:val="nil"/>
                    <w:left w:val="nil"/>
                    <w:bottom w:val="single" w:sz="8" w:space="0" w:color="auto"/>
                    <w:right w:val="nil"/>
                  </w:tcBorders>
                  <w:shd w:val="clear" w:color="000000" w:fill="FFFFFF"/>
                  <w:noWrap/>
                  <w:vAlign w:val="bottom"/>
                  <w:hideMark/>
                </w:tcPr>
                <w:p w14:paraId="111D409E"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91.43 </w:t>
                  </w:r>
                </w:p>
              </w:tc>
              <w:tc>
                <w:tcPr>
                  <w:tcW w:w="940" w:type="dxa"/>
                  <w:tcBorders>
                    <w:top w:val="nil"/>
                    <w:left w:val="nil"/>
                    <w:bottom w:val="single" w:sz="8" w:space="0" w:color="auto"/>
                    <w:right w:val="single" w:sz="8" w:space="0" w:color="auto"/>
                  </w:tcBorders>
                  <w:shd w:val="clear" w:color="000000" w:fill="FFFFFF"/>
                  <w:noWrap/>
                  <w:vAlign w:val="bottom"/>
                  <w:hideMark/>
                </w:tcPr>
                <w:p w14:paraId="2A44B0C3"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w:t>
                  </w:r>
                  <w:proofErr w:type="gramStart"/>
                  <w:r w:rsidRPr="00F85253">
                    <w:rPr>
                      <w:rFonts w:ascii="Arial" w:eastAsia="Times New Roman" w:hAnsi="Arial" w:cs="Arial"/>
                      <w:sz w:val="18"/>
                      <w:szCs w:val="18"/>
                      <w:lang w:val="es-EC" w:eastAsia="es-EC"/>
                    </w:rPr>
                    <w:t>$  91.43</w:t>
                  </w:r>
                  <w:proofErr w:type="gramEnd"/>
                  <w:r w:rsidRPr="00F85253">
                    <w:rPr>
                      <w:rFonts w:ascii="Arial" w:eastAsia="Times New Roman" w:hAnsi="Arial" w:cs="Arial"/>
                      <w:sz w:val="18"/>
                      <w:szCs w:val="18"/>
                      <w:lang w:val="es-EC" w:eastAsia="es-EC"/>
                    </w:rPr>
                    <w:t xml:space="preserve"> </w:t>
                  </w:r>
                </w:p>
              </w:tc>
              <w:tc>
                <w:tcPr>
                  <w:tcW w:w="940" w:type="dxa"/>
                  <w:tcBorders>
                    <w:top w:val="nil"/>
                    <w:left w:val="nil"/>
                    <w:bottom w:val="single" w:sz="8" w:space="0" w:color="auto"/>
                    <w:right w:val="nil"/>
                  </w:tcBorders>
                  <w:shd w:val="clear" w:color="000000" w:fill="FFFFFF"/>
                  <w:noWrap/>
                  <w:vAlign w:val="bottom"/>
                  <w:hideMark/>
                </w:tcPr>
                <w:p w14:paraId="283DE7A2"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w:t>
                  </w:r>
                  <w:proofErr w:type="gramStart"/>
                  <w:r w:rsidRPr="00F85253">
                    <w:rPr>
                      <w:rFonts w:ascii="Arial" w:eastAsia="Times New Roman" w:hAnsi="Arial" w:cs="Arial"/>
                      <w:sz w:val="18"/>
                      <w:szCs w:val="18"/>
                      <w:lang w:val="es-EC" w:eastAsia="es-EC"/>
                    </w:rPr>
                    <w:t>$  91.43</w:t>
                  </w:r>
                  <w:proofErr w:type="gramEnd"/>
                  <w:r w:rsidRPr="00F85253">
                    <w:rPr>
                      <w:rFonts w:ascii="Arial" w:eastAsia="Times New Roman" w:hAnsi="Arial" w:cs="Arial"/>
                      <w:sz w:val="18"/>
                      <w:szCs w:val="18"/>
                      <w:lang w:val="es-EC" w:eastAsia="es-EC"/>
                    </w:rPr>
                    <w:t xml:space="preserve"> </w:t>
                  </w:r>
                </w:p>
              </w:tc>
              <w:tc>
                <w:tcPr>
                  <w:tcW w:w="880" w:type="dxa"/>
                  <w:tcBorders>
                    <w:top w:val="nil"/>
                    <w:left w:val="nil"/>
                    <w:bottom w:val="single" w:sz="8" w:space="0" w:color="auto"/>
                    <w:right w:val="nil"/>
                  </w:tcBorders>
                  <w:shd w:val="clear" w:color="000000" w:fill="FFFFFF"/>
                  <w:noWrap/>
                  <w:vAlign w:val="bottom"/>
                  <w:hideMark/>
                </w:tcPr>
                <w:p w14:paraId="69EBED91"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$ 91.43 </w:t>
                  </w:r>
                </w:p>
              </w:tc>
              <w:tc>
                <w:tcPr>
                  <w:tcW w:w="880" w:type="dxa"/>
                  <w:tcBorders>
                    <w:top w:val="nil"/>
                    <w:left w:val="nil"/>
                    <w:bottom w:val="single" w:sz="8" w:space="0" w:color="auto"/>
                    <w:right w:val="nil"/>
                  </w:tcBorders>
                  <w:shd w:val="clear" w:color="000000" w:fill="FFFFFF"/>
                  <w:noWrap/>
                  <w:vAlign w:val="bottom"/>
                  <w:hideMark/>
                </w:tcPr>
                <w:p w14:paraId="1B05CAF7"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$ 91.43 </w:t>
                  </w:r>
                </w:p>
              </w:tc>
              <w:tc>
                <w:tcPr>
                  <w:tcW w:w="880" w:type="dxa"/>
                  <w:tcBorders>
                    <w:top w:val="nil"/>
                    <w:left w:val="nil"/>
                    <w:bottom w:val="single" w:sz="8" w:space="0" w:color="auto"/>
                    <w:right w:val="nil"/>
                  </w:tcBorders>
                  <w:shd w:val="clear" w:color="000000" w:fill="FFFFFF"/>
                  <w:noWrap/>
                  <w:vAlign w:val="bottom"/>
                  <w:hideMark/>
                </w:tcPr>
                <w:p w14:paraId="48481FCD"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$ 91.43 </w:t>
                  </w:r>
                </w:p>
              </w:tc>
              <w:tc>
                <w:tcPr>
                  <w:tcW w:w="880" w:type="dxa"/>
                  <w:tcBorders>
                    <w:top w:val="nil"/>
                    <w:left w:val="nil"/>
                    <w:bottom w:val="single" w:sz="8" w:space="0" w:color="auto"/>
                    <w:right w:val="nil"/>
                  </w:tcBorders>
                  <w:shd w:val="clear" w:color="000000" w:fill="FFFFFF"/>
                  <w:noWrap/>
                  <w:vAlign w:val="bottom"/>
                  <w:hideMark/>
                </w:tcPr>
                <w:p w14:paraId="11F8CC8C"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$ 91.43 </w:t>
                  </w:r>
                </w:p>
              </w:tc>
              <w:tc>
                <w:tcPr>
                  <w:tcW w:w="880" w:type="dxa"/>
                  <w:tcBorders>
                    <w:top w:val="nil"/>
                    <w:left w:val="nil"/>
                    <w:bottom w:val="single" w:sz="8" w:space="0" w:color="auto"/>
                    <w:right w:val="single" w:sz="8" w:space="0" w:color="auto"/>
                  </w:tcBorders>
                  <w:shd w:val="clear" w:color="000000" w:fill="FFFFFF"/>
                  <w:noWrap/>
                  <w:vAlign w:val="bottom"/>
                  <w:hideMark/>
                </w:tcPr>
                <w:p w14:paraId="10CBDEDE" w14:textId="77777777" w:rsidR="00E502F0" w:rsidRPr="00F85253" w:rsidRDefault="00E502F0" w:rsidP="00E502F0">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$ 91.43 </w:t>
                  </w:r>
                </w:p>
              </w:tc>
            </w:tr>
            <w:tr w:rsidR="00E502F0" w:rsidRPr="00F85253" w14:paraId="07C320BA" w14:textId="77777777" w:rsidTr="00E502F0">
              <w:trPr>
                <w:trHeight w:val="270"/>
              </w:trPr>
              <w:tc>
                <w:tcPr>
                  <w:tcW w:w="4840" w:type="dxa"/>
                  <w:tcBorders>
                    <w:top w:val="nil"/>
                    <w:left w:val="single" w:sz="8" w:space="0" w:color="auto"/>
                    <w:bottom w:val="single" w:sz="8" w:space="0" w:color="auto"/>
                    <w:right w:val="nil"/>
                  </w:tcBorders>
                  <w:shd w:val="clear" w:color="000000" w:fill="FFFFFF"/>
                  <w:noWrap/>
                  <w:vAlign w:val="bottom"/>
                </w:tcPr>
                <w:p w14:paraId="25BF3E71" w14:textId="1F529316" w:rsidR="00E502F0" w:rsidRPr="00F85253" w:rsidRDefault="00E502F0" w:rsidP="00E502F0">
                  <w:pPr>
                    <w:spacing w:after="0" w:line="240" w:lineRule="auto"/>
                    <w:rPr>
                      <w:rFonts w:ascii="Arial" w:eastAsia="Times New Roman" w:hAnsi="Arial" w:cs="Arial"/>
                      <w:b/>
                      <w:bCs/>
                      <w:sz w:val="18"/>
                      <w:szCs w:val="18"/>
                      <w:lang w:val="es-EC" w:eastAsia="es-EC"/>
                    </w:rPr>
                  </w:pPr>
                </w:p>
              </w:tc>
              <w:tc>
                <w:tcPr>
                  <w:tcW w:w="1020" w:type="dxa"/>
                  <w:tcBorders>
                    <w:top w:val="nil"/>
                    <w:left w:val="nil"/>
                    <w:bottom w:val="single" w:sz="8" w:space="0" w:color="auto"/>
                    <w:right w:val="nil"/>
                  </w:tcBorders>
                  <w:shd w:val="clear" w:color="000000" w:fill="FFFFFF"/>
                  <w:noWrap/>
                  <w:vAlign w:val="bottom"/>
                </w:tcPr>
                <w:p w14:paraId="34CB36EA" w14:textId="37D27155" w:rsidR="00E502F0" w:rsidRPr="00F85253" w:rsidRDefault="00E502F0" w:rsidP="00E502F0">
                  <w:pPr>
                    <w:spacing w:after="0" w:line="240" w:lineRule="auto"/>
                    <w:rPr>
                      <w:rFonts w:ascii="Arial" w:eastAsia="Times New Roman" w:hAnsi="Arial" w:cs="Arial"/>
                      <w:b/>
                      <w:bCs/>
                      <w:sz w:val="18"/>
                      <w:szCs w:val="18"/>
                      <w:lang w:val="es-EC" w:eastAsia="es-EC"/>
                    </w:rPr>
                  </w:pPr>
                </w:p>
              </w:tc>
              <w:tc>
                <w:tcPr>
                  <w:tcW w:w="880" w:type="dxa"/>
                  <w:tcBorders>
                    <w:top w:val="nil"/>
                    <w:left w:val="single" w:sz="8" w:space="0" w:color="auto"/>
                    <w:bottom w:val="single" w:sz="8" w:space="0" w:color="auto"/>
                    <w:right w:val="nil"/>
                  </w:tcBorders>
                  <w:shd w:val="clear" w:color="000000" w:fill="FFFFFF"/>
                  <w:noWrap/>
                  <w:vAlign w:val="bottom"/>
                </w:tcPr>
                <w:p w14:paraId="73067BE2" w14:textId="29A602EA" w:rsidR="00E502F0" w:rsidRPr="00F85253" w:rsidRDefault="00E502F0" w:rsidP="00E502F0">
                  <w:pPr>
                    <w:spacing w:after="0" w:line="240" w:lineRule="auto"/>
                    <w:jc w:val="right"/>
                    <w:rPr>
                      <w:rFonts w:ascii="Arial" w:eastAsia="Times New Roman" w:hAnsi="Arial" w:cs="Arial"/>
                      <w:b/>
                      <w:bCs/>
                      <w:sz w:val="18"/>
                      <w:szCs w:val="18"/>
                      <w:lang w:val="es-EC" w:eastAsia="es-EC"/>
                    </w:rPr>
                  </w:pPr>
                </w:p>
              </w:tc>
              <w:tc>
                <w:tcPr>
                  <w:tcW w:w="1120" w:type="dxa"/>
                  <w:tcBorders>
                    <w:top w:val="nil"/>
                    <w:left w:val="nil"/>
                    <w:bottom w:val="single" w:sz="8" w:space="0" w:color="auto"/>
                    <w:right w:val="nil"/>
                  </w:tcBorders>
                  <w:shd w:val="clear" w:color="000000" w:fill="FFFFFF"/>
                  <w:noWrap/>
                  <w:vAlign w:val="bottom"/>
                </w:tcPr>
                <w:p w14:paraId="5ACB74E0" w14:textId="5D51E409" w:rsidR="00E502F0" w:rsidRPr="00F85253" w:rsidRDefault="00E502F0" w:rsidP="00E502F0">
                  <w:pPr>
                    <w:spacing w:after="0" w:line="240" w:lineRule="auto"/>
                    <w:jc w:val="right"/>
                    <w:rPr>
                      <w:rFonts w:ascii="Arial" w:eastAsia="Times New Roman" w:hAnsi="Arial" w:cs="Arial"/>
                      <w:b/>
                      <w:bCs/>
                      <w:color w:val="FFFFFF"/>
                      <w:sz w:val="18"/>
                      <w:szCs w:val="18"/>
                      <w:lang w:val="es-EC" w:eastAsia="es-EC"/>
                    </w:rPr>
                  </w:pPr>
                </w:p>
              </w:tc>
              <w:tc>
                <w:tcPr>
                  <w:tcW w:w="1100" w:type="dxa"/>
                  <w:tcBorders>
                    <w:top w:val="nil"/>
                    <w:left w:val="nil"/>
                    <w:bottom w:val="single" w:sz="8" w:space="0" w:color="auto"/>
                    <w:right w:val="nil"/>
                  </w:tcBorders>
                  <w:shd w:val="clear" w:color="000000" w:fill="FFFFFF"/>
                  <w:noWrap/>
                  <w:vAlign w:val="bottom"/>
                </w:tcPr>
                <w:p w14:paraId="4A4FA53E" w14:textId="7980CD53" w:rsidR="00E502F0" w:rsidRPr="00F85253" w:rsidRDefault="00E502F0" w:rsidP="00E502F0">
                  <w:pPr>
                    <w:spacing w:after="0" w:line="240" w:lineRule="auto"/>
                    <w:jc w:val="right"/>
                    <w:rPr>
                      <w:rFonts w:ascii="Arial" w:eastAsia="Times New Roman" w:hAnsi="Arial" w:cs="Arial"/>
                      <w:b/>
                      <w:bCs/>
                      <w:color w:val="FFFFFF"/>
                      <w:sz w:val="18"/>
                      <w:szCs w:val="18"/>
                      <w:lang w:val="es-EC" w:eastAsia="es-EC"/>
                    </w:rPr>
                  </w:pPr>
                </w:p>
              </w:tc>
              <w:tc>
                <w:tcPr>
                  <w:tcW w:w="940" w:type="dxa"/>
                  <w:tcBorders>
                    <w:top w:val="nil"/>
                    <w:left w:val="nil"/>
                    <w:bottom w:val="single" w:sz="8" w:space="0" w:color="auto"/>
                    <w:right w:val="single" w:sz="8" w:space="0" w:color="auto"/>
                  </w:tcBorders>
                  <w:shd w:val="clear" w:color="000000" w:fill="FFFFFF"/>
                  <w:noWrap/>
                  <w:vAlign w:val="bottom"/>
                </w:tcPr>
                <w:p w14:paraId="6C831CA1" w14:textId="3E41B31A" w:rsidR="00E502F0" w:rsidRPr="00F85253" w:rsidRDefault="00E502F0" w:rsidP="00E502F0">
                  <w:pPr>
                    <w:spacing w:after="0" w:line="240" w:lineRule="auto"/>
                    <w:jc w:val="right"/>
                    <w:rPr>
                      <w:rFonts w:ascii="Arial" w:eastAsia="Times New Roman" w:hAnsi="Arial" w:cs="Arial"/>
                      <w:b/>
                      <w:bCs/>
                      <w:color w:val="FFFFFF"/>
                      <w:sz w:val="18"/>
                      <w:szCs w:val="18"/>
                      <w:lang w:val="es-EC" w:eastAsia="es-EC"/>
                    </w:rPr>
                  </w:pPr>
                </w:p>
              </w:tc>
              <w:tc>
                <w:tcPr>
                  <w:tcW w:w="940" w:type="dxa"/>
                  <w:tcBorders>
                    <w:top w:val="nil"/>
                    <w:left w:val="nil"/>
                    <w:bottom w:val="single" w:sz="8" w:space="0" w:color="auto"/>
                    <w:right w:val="nil"/>
                  </w:tcBorders>
                  <w:shd w:val="clear" w:color="000000" w:fill="FFFFFF"/>
                  <w:noWrap/>
                  <w:vAlign w:val="bottom"/>
                </w:tcPr>
                <w:p w14:paraId="7CEE35E9" w14:textId="73F2772A" w:rsidR="00E502F0" w:rsidRPr="00F85253" w:rsidRDefault="00E502F0" w:rsidP="00E502F0">
                  <w:pPr>
                    <w:spacing w:after="0" w:line="240" w:lineRule="auto"/>
                    <w:jc w:val="right"/>
                    <w:rPr>
                      <w:rFonts w:ascii="Arial" w:eastAsia="Times New Roman" w:hAnsi="Arial" w:cs="Arial"/>
                      <w:b/>
                      <w:bCs/>
                      <w:color w:val="FFFFFF"/>
                      <w:sz w:val="18"/>
                      <w:szCs w:val="18"/>
                      <w:lang w:val="es-EC" w:eastAsia="es-EC"/>
                    </w:rPr>
                  </w:pPr>
                </w:p>
              </w:tc>
              <w:tc>
                <w:tcPr>
                  <w:tcW w:w="880" w:type="dxa"/>
                  <w:tcBorders>
                    <w:top w:val="nil"/>
                    <w:left w:val="nil"/>
                    <w:bottom w:val="single" w:sz="8" w:space="0" w:color="auto"/>
                    <w:right w:val="nil"/>
                  </w:tcBorders>
                  <w:shd w:val="clear" w:color="000000" w:fill="FFFFFF"/>
                  <w:noWrap/>
                  <w:vAlign w:val="bottom"/>
                </w:tcPr>
                <w:p w14:paraId="59971B5D" w14:textId="0C0D43E6" w:rsidR="00E502F0" w:rsidRPr="00F85253" w:rsidRDefault="00E502F0" w:rsidP="00E502F0">
                  <w:pPr>
                    <w:spacing w:after="0" w:line="240" w:lineRule="auto"/>
                    <w:jc w:val="right"/>
                    <w:rPr>
                      <w:rFonts w:ascii="Arial" w:eastAsia="Times New Roman" w:hAnsi="Arial" w:cs="Arial"/>
                      <w:b/>
                      <w:bCs/>
                      <w:color w:val="FFFFFF"/>
                      <w:sz w:val="18"/>
                      <w:szCs w:val="18"/>
                      <w:lang w:val="es-EC" w:eastAsia="es-EC"/>
                    </w:rPr>
                  </w:pPr>
                </w:p>
              </w:tc>
              <w:tc>
                <w:tcPr>
                  <w:tcW w:w="880" w:type="dxa"/>
                  <w:tcBorders>
                    <w:top w:val="nil"/>
                    <w:left w:val="nil"/>
                    <w:bottom w:val="single" w:sz="8" w:space="0" w:color="auto"/>
                    <w:right w:val="nil"/>
                  </w:tcBorders>
                  <w:shd w:val="clear" w:color="000000" w:fill="FFFFFF"/>
                  <w:noWrap/>
                  <w:vAlign w:val="bottom"/>
                </w:tcPr>
                <w:p w14:paraId="15019209" w14:textId="4F5BB3CB" w:rsidR="00E502F0" w:rsidRPr="00F85253" w:rsidRDefault="00E502F0" w:rsidP="00E502F0">
                  <w:pPr>
                    <w:spacing w:after="0" w:line="240" w:lineRule="auto"/>
                    <w:jc w:val="right"/>
                    <w:rPr>
                      <w:rFonts w:ascii="Arial" w:eastAsia="Times New Roman" w:hAnsi="Arial" w:cs="Arial"/>
                      <w:b/>
                      <w:bCs/>
                      <w:color w:val="FFFFFF"/>
                      <w:sz w:val="18"/>
                      <w:szCs w:val="18"/>
                      <w:lang w:val="es-EC" w:eastAsia="es-EC"/>
                    </w:rPr>
                  </w:pPr>
                </w:p>
              </w:tc>
              <w:tc>
                <w:tcPr>
                  <w:tcW w:w="880" w:type="dxa"/>
                  <w:tcBorders>
                    <w:top w:val="nil"/>
                    <w:left w:val="nil"/>
                    <w:bottom w:val="single" w:sz="8" w:space="0" w:color="auto"/>
                    <w:right w:val="nil"/>
                  </w:tcBorders>
                  <w:shd w:val="clear" w:color="000000" w:fill="FFFFFF"/>
                  <w:noWrap/>
                  <w:vAlign w:val="bottom"/>
                </w:tcPr>
                <w:p w14:paraId="784C0F2D" w14:textId="56ECA3FB" w:rsidR="00E502F0" w:rsidRPr="00F85253" w:rsidRDefault="00E502F0" w:rsidP="00E502F0">
                  <w:pPr>
                    <w:spacing w:after="0" w:line="240" w:lineRule="auto"/>
                    <w:jc w:val="right"/>
                    <w:rPr>
                      <w:rFonts w:ascii="Arial" w:eastAsia="Times New Roman" w:hAnsi="Arial" w:cs="Arial"/>
                      <w:b/>
                      <w:bCs/>
                      <w:color w:val="FFFFFF"/>
                      <w:sz w:val="18"/>
                      <w:szCs w:val="18"/>
                      <w:lang w:val="es-EC" w:eastAsia="es-EC"/>
                    </w:rPr>
                  </w:pPr>
                </w:p>
              </w:tc>
              <w:tc>
                <w:tcPr>
                  <w:tcW w:w="880" w:type="dxa"/>
                  <w:tcBorders>
                    <w:top w:val="nil"/>
                    <w:left w:val="nil"/>
                    <w:bottom w:val="single" w:sz="8" w:space="0" w:color="auto"/>
                    <w:right w:val="nil"/>
                  </w:tcBorders>
                  <w:shd w:val="clear" w:color="000000" w:fill="FFFFFF"/>
                  <w:noWrap/>
                  <w:vAlign w:val="bottom"/>
                </w:tcPr>
                <w:p w14:paraId="18EF1C20" w14:textId="60CA9616" w:rsidR="00E502F0" w:rsidRPr="00F85253" w:rsidRDefault="00E502F0" w:rsidP="00E502F0">
                  <w:pPr>
                    <w:spacing w:after="0" w:line="240" w:lineRule="auto"/>
                    <w:jc w:val="right"/>
                    <w:rPr>
                      <w:rFonts w:ascii="Arial" w:eastAsia="Times New Roman" w:hAnsi="Arial" w:cs="Arial"/>
                      <w:b/>
                      <w:bCs/>
                      <w:color w:val="FFFFFF"/>
                      <w:sz w:val="18"/>
                      <w:szCs w:val="18"/>
                      <w:lang w:val="es-EC" w:eastAsia="es-EC"/>
                    </w:rPr>
                  </w:pPr>
                </w:p>
              </w:tc>
              <w:tc>
                <w:tcPr>
                  <w:tcW w:w="880" w:type="dxa"/>
                  <w:tcBorders>
                    <w:top w:val="nil"/>
                    <w:left w:val="nil"/>
                    <w:bottom w:val="single" w:sz="8" w:space="0" w:color="auto"/>
                    <w:right w:val="single" w:sz="8" w:space="0" w:color="auto"/>
                  </w:tcBorders>
                  <w:shd w:val="clear" w:color="000000" w:fill="FFFFFF"/>
                  <w:noWrap/>
                  <w:vAlign w:val="bottom"/>
                  <w:hideMark/>
                </w:tcPr>
                <w:p w14:paraId="2816A4F5" w14:textId="77777777" w:rsidR="00E502F0" w:rsidRPr="00F85253" w:rsidRDefault="00E502F0" w:rsidP="00E502F0">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58%</w:t>
                  </w:r>
                </w:p>
              </w:tc>
            </w:tr>
          </w:tbl>
          <w:p w14:paraId="03C9ADB3" w14:textId="751E5B14" w:rsidR="000A2A69" w:rsidRPr="00F85253" w:rsidRDefault="000A2A69" w:rsidP="00E502F0">
            <w:pPr>
              <w:pStyle w:val="Paragraph"/>
              <w:spacing w:before="0" w:after="0" w:line="276" w:lineRule="auto"/>
              <w:jc w:val="center"/>
              <w:outlineLvl w:val="0"/>
              <w:rPr>
                <w:rFonts w:ascii="Arial" w:hAnsi="Arial" w:cs="Arial"/>
                <w:b/>
                <w:spacing w:val="-2"/>
                <w:sz w:val="22"/>
                <w:szCs w:val="22"/>
              </w:rPr>
            </w:pPr>
          </w:p>
        </w:tc>
        <w:tc>
          <w:tcPr>
            <w:tcW w:w="236" w:type="dxa"/>
          </w:tcPr>
          <w:p w14:paraId="6B1966FE" w14:textId="77777777" w:rsidR="001E2EB3" w:rsidRPr="00F85253" w:rsidRDefault="001E2EB3" w:rsidP="002543DC">
            <w:pPr>
              <w:pStyle w:val="Paragraph"/>
              <w:spacing w:before="0" w:after="0" w:line="276" w:lineRule="auto"/>
              <w:outlineLvl w:val="0"/>
              <w:rPr>
                <w:rFonts w:ascii="Arial" w:hAnsi="Arial" w:cs="Arial"/>
                <w:b/>
                <w:spacing w:val="-2"/>
                <w:sz w:val="22"/>
                <w:szCs w:val="22"/>
              </w:rPr>
            </w:pPr>
          </w:p>
        </w:tc>
      </w:tr>
      <w:tr w:rsidR="001E2EB3" w:rsidRPr="00F85253" w14:paraId="017922B4" w14:textId="77777777" w:rsidTr="00E502F0">
        <w:tc>
          <w:tcPr>
            <w:tcW w:w="15118" w:type="dxa"/>
          </w:tcPr>
          <w:p w14:paraId="03B0092F" w14:textId="77777777" w:rsidR="00E502F0" w:rsidRPr="00F85253" w:rsidRDefault="00E502F0" w:rsidP="002543DC">
            <w:pPr>
              <w:pStyle w:val="Paragraph"/>
              <w:spacing w:before="0" w:after="0" w:line="276" w:lineRule="auto"/>
              <w:outlineLvl w:val="0"/>
              <w:rPr>
                <w:rFonts w:ascii="Arial" w:hAnsi="Arial" w:cs="Arial"/>
                <w:b/>
                <w:spacing w:val="-2"/>
                <w:sz w:val="22"/>
                <w:szCs w:val="22"/>
              </w:rPr>
            </w:pPr>
          </w:p>
          <w:p w14:paraId="0EB0A5CD" w14:textId="77777777" w:rsidR="001E2EB3" w:rsidRPr="00F85253" w:rsidRDefault="001E2EB3" w:rsidP="002543DC">
            <w:pPr>
              <w:pStyle w:val="Paragraph"/>
              <w:spacing w:before="0" w:after="0" w:line="276" w:lineRule="auto"/>
              <w:outlineLvl w:val="0"/>
              <w:rPr>
                <w:rFonts w:ascii="Arial" w:hAnsi="Arial" w:cs="Arial"/>
                <w:b/>
                <w:spacing w:val="-2"/>
                <w:sz w:val="22"/>
                <w:szCs w:val="22"/>
              </w:rPr>
            </w:pPr>
            <w:r w:rsidRPr="00F85253">
              <w:rPr>
                <w:rFonts w:ascii="Arial" w:hAnsi="Arial" w:cs="Arial"/>
                <w:b/>
                <w:spacing w:val="-2"/>
                <w:sz w:val="22"/>
                <w:szCs w:val="22"/>
              </w:rPr>
              <w:t xml:space="preserve">Panel B: Eje de Eficiencia y Transparencia </w:t>
            </w:r>
          </w:p>
          <w:tbl>
            <w:tblPr>
              <w:tblW w:w="15240" w:type="dxa"/>
              <w:tblCellMar>
                <w:left w:w="70" w:type="dxa"/>
                <w:right w:w="70" w:type="dxa"/>
              </w:tblCellMar>
              <w:tblLook w:val="04A0" w:firstRow="1" w:lastRow="0" w:firstColumn="1" w:lastColumn="0" w:noHBand="0" w:noVBand="1"/>
            </w:tblPr>
            <w:tblGrid>
              <w:gridCol w:w="4840"/>
              <w:gridCol w:w="1020"/>
              <w:gridCol w:w="880"/>
              <w:gridCol w:w="1120"/>
              <w:gridCol w:w="1100"/>
              <w:gridCol w:w="940"/>
              <w:gridCol w:w="940"/>
              <w:gridCol w:w="880"/>
              <w:gridCol w:w="880"/>
              <w:gridCol w:w="880"/>
              <w:gridCol w:w="880"/>
              <w:gridCol w:w="880"/>
            </w:tblGrid>
            <w:tr w:rsidR="00C934DA" w:rsidRPr="00F85253" w14:paraId="4AE78953" w14:textId="77777777" w:rsidTr="00C934DA">
              <w:trPr>
                <w:trHeight w:val="270"/>
              </w:trPr>
              <w:tc>
                <w:tcPr>
                  <w:tcW w:w="4840" w:type="dxa"/>
                  <w:tcBorders>
                    <w:top w:val="single" w:sz="8" w:space="0" w:color="auto"/>
                    <w:left w:val="single" w:sz="8" w:space="0" w:color="auto"/>
                    <w:bottom w:val="single" w:sz="8" w:space="0" w:color="auto"/>
                    <w:right w:val="nil"/>
                  </w:tcBorders>
                  <w:shd w:val="clear" w:color="000000" w:fill="FFFFFF"/>
                  <w:noWrap/>
                  <w:vAlign w:val="bottom"/>
                  <w:hideMark/>
                </w:tcPr>
                <w:p w14:paraId="28D8B586" w14:textId="77777777" w:rsidR="00C934DA" w:rsidRPr="00F85253" w:rsidRDefault="00C934DA" w:rsidP="00C934DA">
                  <w:pPr>
                    <w:spacing w:after="0" w:line="240" w:lineRule="auto"/>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ITEM</w:t>
                  </w:r>
                </w:p>
              </w:tc>
              <w:tc>
                <w:tcPr>
                  <w:tcW w:w="1020" w:type="dxa"/>
                  <w:tcBorders>
                    <w:top w:val="single" w:sz="8" w:space="0" w:color="auto"/>
                    <w:left w:val="nil"/>
                    <w:bottom w:val="single" w:sz="8" w:space="0" w:color="auto"/>
                    <w:right w:val="nil"/>
                  </w:tcBorders>
                  <w:shd w:val="clear" w:color="000000" w:fill="FFFFFF"/>
                  <w:noWrap/>
                  <w:vAlign w:val="bottom"/>
                  <w:hideMark/>
                </w:tcPr>
                <w:p w14:paraId="1CB8A123" w14:textId="77777777" w:rsidR="00C934DA" w:rsidRPr="00F85253" w:rsidRDefault="00C934DA" w:rsidP="00C934DA">
                  <w:pPr>
                    <w:spacing w:after="0" w:line="240" w:lineRule="auto"/>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Subtotal </w:t>
                  </w:r>
                </w:p>
              </w:tc>
              <w:tc>
                <w:tcPr>
                  <w:tcW w:w="880" w:type="dxa"/>
                  <w:tcBorders>
                    <w:top w:val="single" w:sz="8" w:space="0" w:color="auto"/>
                    <w:left w:val="single" w:sz="8" w:space="0" w:color="auto"/>
                    <w:bottom w:val="single" w:sz="8" w:space="0" w:color="auto"/>
                    <w:right w:val="nil"/>
                  </w:tcBorders>
                  <w:shd w:val="clear" w:color="000000" w:fill="FFFFFF"/>
                  <w:noWrap/>
                  <w:vAlign w:val="bottom"/>
                  <w:hideMark/>
                </w:tcPr>
                <w:p w14:paraId="720A6BD1" w14:textId="77777777" w:rsidR="00C934DA" w:rsidRPr="00F85253" w:rsidRDefault="00C934DA" w:rsidP="00C934DA">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2019</w:t>
                  </w:r>
                </w:p>
              </w:tc>
              <w:tc>
                <w:tcPr>
                  <w:tcW w:w="1120" w:type="dxa"/>
                  <w:tcBorders>
                    <w:top w:val="single" w:sz="8" w:space="0" w:color="auto"/>
                    <w:left w:val="nil"/>
                    <w:bottom w:val="single" w:sz="8" w:space="0" w:color="auto"/>
                    <w:right w:val="nil"/>
                  </w:tcBorders>
                  <w:shd w:val="clear" w:color="000000" w:fill="FFFFFF"/>
                  <w:noWrap/>
                  <w:vAlign w:val="bottom"/>
                  <w:hideMark/>
                </w:tcPr>
                <w:p w14:paraId="14D7224C" w14:textId="77777777" w:rsidR="00C934DA" w:rsidRPr="00F85253" w:rsidRDefault="00C934DA" w:rsidP="00C934DA">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2020</w:t>
                  </w:r>
                </w:p>
              </w:tc>
              <w:tc>
                <w:tcPr>
                  <w:tcW w:w="1100" w:type="dxa"/>
                  <w:tcBorders>
                    <w:top w:val="single" w:sz="8" w:space="0" w:color="auto"/>
                    <w:left w:val="nil"/>
                    <w:bottom w:val="single" w:sz="8" w:space="0" w:color="auto"/>
                    <w:right w:val="nil"/>
                  </w:tcBorders>
                  <w:shd w:val="clear" w:color="000000" w:fill="FFFFFF"/>
                  <w:noWrap/>
                  <w:vAlign w:val="bottom"/>
                  <w:hideMark/>
                </w:tcPr>
                <w:p w14:paraId="1C4B6A58" w14:textId="77777777" w:rsidR="00C934DA" w:rsidRPr="00F85253" w:rsidRDefault="00C934DA" w:rsidP="00C934DA">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2021</w:t>
                  </w:r>
                </w:p>
              </w:tc>
              <w:tc>
                <w:tcPr>
                  <w:tcW w:w="940" w:type="dxa"/>
                  <w:tcBorders>
                    <w:top w:val="single" w:sz="8" w:space="0" w:color="auto"/>
                    <w:left w:val="nil"/>
                    <w:bottom w:val="single" w:sz="8" w:space="0" w:color="auto"/>
                    <w:right w:val="nil"/>
                  </w:tcBorders>
                  <w:shd w:val="clear" w:color="000000" w:fill="FFFFFF"/>
                  <w:noWrap/>
                  <w:vAlign w:val="bottom"/>
                  <w:hideMark/>
                </w:tcPr>
                <w:p w14:paraId="143B764E" w14:textId="77777777" w:rsidR="00C934DA" w:rsidRPr="00F85253" w:rsidRDefault="00C934DA" w:rsidP="00C934DA">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2022</w:t>
                  </w:r>
                </w:p>
              </w:tc>
              <w:tc>
                <w:tcPr>
                  <w:tcW w:w="940" w:type="dxa"/>
                  <w:tcBorders>
                    <w:top w:val="single" w:sz="8" w:space="0" w:color="auto"/>
                    <w:left w:val="single" w:sz="8" w:space="0" w:color="auto"/>
                    <w:bottom w:val="single" w:sz="8" w:space="0" w:color="auto"/>
                    <w:right w:val="nil"/>
                  </w:tcBorders>
                  <w:shd w:val="clear" w:color="000000" w:fill="FFFFFF"/>
                  <w:noWrap/>
                  <w:vAlign w:val="bottom"/>
                  <w:hideMark/>
                </w:tcPr>
                <w:p w14:paraId="48365AFD" w14:textId="77777777" w:rsidR="00C934DA" w:rsidRPr="00F85253" w:rsidRDefault="00C934DA" w:rsidP="00C934DA">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2023</w:t>
                  </w:r>
                </w:p>
              </w:tc>
              <w:tc>
                <w:tcPr>
                  <w:tcW w:w="880" w:type="dxa"/>
                  <w:tcBorders>
                    <w:top w:val="single" w:sz="8" w:space="0" w:color="auto"/>
                    <w:left w:val="nil"/>
                    <w:bottom w:val="single" w:sz="8" w:space="0" w:color="auto"/>
                    <w:right w:val="nil"/>
                  </w:tcBorders>
                  <w:shd w:val="clear" w:color="000000" w:fill="FFFFFF"/>
                  <w:noWrap/>
                  <w:vAlign w:val="bottom"/>
                  <w:hideMark/>
                </w:tcPr>
                <w:p w14:paraId="684D6EC7" w14:textId="77777777" w:rsidR="00C934DA" w:rsidRPr="00F85253" w:rsidRDefault="00C934DA" w:rsidP="00C934DA">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2024</w:t>
                  </w:r>
                </w:p>
              </w:tc>
              <w:tc>
                <w:tcPr>
                  <w:tcW w:w="880" w:type="dxa"/>
                  <w:tcBorders>
                    <w:top w:val="single" w:sz="8" w:space="0" w:color="auto"/>
                    <w:left w:val="nil"/>
                    <w:bottom w:val="single" w:sz="8" w:space="0" w:color="auto"/>
                    <w:right w:val="nil"/>
                  </w:tcBorders>
                  <w:shd w:val="clear" w:color="000000" w:fill="FFFFFF"/>
                  <w:noWrap/>
                  <w:vAlign w:val="bottom"/>
                  <w:hideMark/>
                </w:tcPr>
                <w:p w14:paraId="7D9FC472" w14:textId="77777777" w:rsidR="00C934DA" w:rsidRPr="00F85253" w:rsidRDefault="00C934DA" w:rsidP="00C934DA">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2025</w:t>
                  </w:r>
                </w:p>
              </w:tc>
              <w:tc>
                <w:tcPr>
                  <w:tcW w:w="880" w:type="dxa"/>
                  <w:tcBorders>
                    <w:top w:val="single" w:sz="8" w:space="0" w:color="auto"/>
                    <w:left w:val="nil"/>
                    <w:bottom w:val="single" w:sz="8" w:space="0" w:color="auto"/>
                    <w:right w:val="nil"/>
                  </w:tcBorders>
                  <w:shd w:val="clear" w:color="000000" w:fill="FFFFFF"/>
                  <w:noWrap/>
                  <w:vAlign w:val="bottom"/>
                  <w:hideMark/>
                </w:tcPr>
                <w:p w14:paraId="754048CA" w14:textId="77777777" w:rsidR="00C934DA" w:rsidRPr="00F85253" w:rsidRDefault="00C934DA" w:rsidP="00C934DA">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2026</w:t>
                  </w:r>
                </w:p>
              </w:tc>
              <w:tc>
                <w:tcPr>
                  <w:tcW w:w="880" w:type="dxa"/>
                  <w:tcBorders>
                    <w:top w:val="single" w:sz="8" w:space="0" w:color="auto"/>
                    <w:left w:val="nil"/>
                    <w:bottom w:val="single" w:sz="8" w:space="0" w:color="auto"/>
                    <w:right w:val="nil"/>
                  </w:tcBorders>
                  <w:shd w:val="clear" w:color="000000" w:fill="FFFFFF"/>
                  <w:noWrap/>
                  <w:vAlign w:val="bottom"/>
                  <w:hideMark/>
                </w:tcPr>
                <w:p w14:paraId="3E35657E" w14:textId="77777777" w:rsidR="00C934DA" w:rsidRPr="00F85253" w:rsidRDefault="00C934DA" w:rsidP="00C934DA">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2027</w:t>
                  </w:r>
                </w:p>
              </w:tc>
              <w:tc>
                <w:tcPr>
                  <w:tcW w:w="880" w:type="dxa"/>
                  <w:tcBorders>
                    <w:top w:val="single" w:sz="8" w:space="0" w:color="auto"/>
                    <w:left w:val="nil"/>
                    <w:bottom w:val="single" w:sz="8" w:space="0" w:color="auto"/>
                    <w:right w:val="single" w:sz="8" w:space="0" w:color="auto"/>
                  </w:tcBorders>
                  <w:shd w:val="clear" w:color="000000" w:fill="FFFFFF"/>
                  <w:noWrap/>
                  <w:vAlign w:val="bottom"/>
                  <w:hideMark/>
                </w:tcPr>
                <w:p w14:paraId="21837335" w14:textId="77777777" w:rsidR="00C934DA" w:rsidRPr="00F85253" w:rsidRDefault="00C934DA" w:rsidP="00C934DA">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2028</w:t>
                  </w:r>
                </w:p>
              </w:tc>
            </w:tr>
            <w:tr w:rsidR="00C934DA" w:rsidRPr="00F85253" w14:paraId="6EB4C0E1" w14:textId="77777777" w:rsidTr="00C934DA">
              <w:trPr>
                <w:trHeight w:val="255"/>
              </w:trPr>
              <w:tc>
                <w:tcPr>
                  <w:tcW w:w="4840" w:type="dxa"/>
                  <w:tcBorders>
                    <w:top w:val="nil"/>
                    <w:left w:val="single" w:sz="8" w:space="0" w:color="auto"/>
                    <w:bottom w:val="nil"/>
                    <w:right w:val="nil"/>
                  </w:tcBorders>
                  <w:shd w:val="clear" w:color="000000" w:fill="FFFFFF"/>
                  <w:noWrap/>
                  <w:vAlign w:val="bottom"/>
                  <w:hideMark/>
                </w:tcPr>
                <w:p w14:paraId="2F8C2386" w14:textId="77777777" w:rsidR="00C934DA" w:rsidRPr="00F85253" w:rsidRDefault="00C934DA" w:rsidP="00C934DA">
                  <w:pPr>
                    <w:spacing w:after="0" w:line="240" w:lineRule="auto"/>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Beneficios Económicos</w:t>
                  </w:r>
                </w:p>
              </w:tc>
              <w:tc>
                <w:tcPr>
                  <w:tcW w:w="1020" w:type="dxa"/>
                  <w:tcBorders>
                    <w:top w:val="nil"/>
                    <w:left w:val="nil"/>
                    <w:bottom w:val="nil"/>
                    <w:right w:val="nil"/>
                  </w:tcBorders>
                  <w:shd w:val="clear" w:color="000000" w:fill="FFFFFF"/>
                  <w:noWrap/>
                  <w:vAlign w:val="bottom"/>
                  <w:hideMark/>
                </w:tcPr>
                <w:p w14:paraId="2E3B9483" w14:textId="77777777" w:rsidR="00C934DA" w:rsidRPr="00F85253" w:rsidRDefault="00C934DA" w:rsidP="00C934DA">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w:t>
                  </w:r>
                </w:p>
              </w:tc>
              <w:tc>
                <w:tcPr>
                  <w:tcW w:w="880" w:type="dxa"/>
                  <w:tcBorders>
                    <w:top w:val="nil"/>
                    <w:left w:val="single" w:sz="8" w:space="0" w:color="auto"/>
                    <w:bottom w:val="nil"/>
                    <w:right w:val="nil"/>
                  </w:tcBorders>
                  <w:shd w:val="clear" w:color="000000" w:fill="FFFFFF"/>
                  <w:noWrap/>
                  <w:vAlign w:val="bottom"/>
                  <w:hideMark/>
                </w:tcPr>
                <w:p w14:paraId="3EBD2E58" w14:textId="77777777" w:rsidR="00C934DA" w:rsidRPr="00F85253" w:rsidRDefault="00C934DA" w:rsidP="00C934DA">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w:t>
                  </w:r>
                </w:p>
              </w:tc>
              <w:tc>
                <w:tcPr>
                  <w:tcW w:w="1120" w:type="dxa"/>
                  <w:tcBorders>
                    <w:top w:val="nil"/>
                    <w:left w:val="nil"/>
                    <w:bottom w:val="nil"/>
                    <w:right w:val="nil"/>
                  </w:tcBorders>
                  <w:shd w:val="clear" w:color="000000" w:fill="FFFFFF"/>
                  <w:noWrap/>
                  <w:vAlign w:val="bottom"/>
                  <w:hideMark/>
                </w:tcPr>
                <w:p w14:paraId="7AA7CE1E"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1100" w:type="dxa"/>
                  <w:tcBorders>
                    <w:top w:val="nil"/>
                    <w:left w:val="nil"/>
                    <w:bottom w:val="nil"/>
                    <w:right w:val="nil"/>
                  </w:tcBorders>
                  <w:shd w:val="clear" w:color="000000" w:fill="FFFFFF"/>
                  <w:noWrap/>
                  <w:vAlign w:val="bottom"/>
                  <w:hideMark/>
                </w:tcPr>
                <w:p w14:paraId="129B412C"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940" w:type="dxa"/>
                  <w:tcBorders>
                    <w:top w:val="nil"/>
                    <w:left w:val="nil"/>
                    <w:bottom w:val="nil"/>
                    <w:right w:val="nil"/>
                  </w:tcBorders>
                  <w:shd w:val="clear" w:color="000000" w:fill="FFFFFF"/>
                  <w:noWrap/>
                  <w:vAlign w:val="bottom"/>
                  <w:hideMark/>
                </w:tcPr>
                <w:p w14:paraId="691FFA97"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940" w:type="dxa"/>
                  <w:tcBorders>
                    <w:top w:val="nil"/>
                    <w:left w:val="single" w:sz="8" w:space="0" w:color="auto"/>
                    <w:bottom w:val="nil"/>
                    <w:right w:val="nil"/>
                  </w:tcBorders>
                  <w:shd w:val="clear" w:color="000000" w:fill="FFFFFF"/>
                  <w:noWrap/>
                  <w:vAlign w:val="bottom"/>
                  <w:hideMark/>
                </w:tcPr>
                <w:p w14:paraId="0ADD693F"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880" w:type="dxa"/>
                  <w:tcBorders>
                    <w:top w:val="nil"/>
                    <w:left w:val="nil"/>
                    <w:bottom w:val="nil"/>
                    <w:right w:val="nil"/>
                  </w:tcBorders>
                  <w:shd w:val="clear" w:color="000000" w:fill="FFFFFF"/>
                  <w:noWrap/>
                  <w:vAlign w:val="bottom"/>
                  <w:hideMark/>
                </w:tcPr>
                <w:p w14:paraId="6B1B490F"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880" w:type="dxa"/>
                  <w:tcBorders>
                    <w:top w:val="nil"/>
                    <w:left w:val="nil"/>
                    <w:bottom w:val="nil"/>
                    <w:right w:val="nil"/>
                  </w:tcBorders>
                  <w:shd w:val="clear" w:color="000000" w:fill="FFFFFF"/>
                  <w:noWrap/>
                  <w:vAlign w:val="bottom"/>
                  <w:hideMark/>
                </w:tcPr>
                <w:p w14:paraId="10CEC6FA"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880" w:type="dxa"/>
                  <w:tcBorders>
                    <w:top w:val="nil"/>
                    <w:left w:val="nil"/>
                    <w:bottom w:val="nil"/>
                    <w:right w:val="nil"/>
                  </w:tcBorders>
                  <w:shd w:val="clear" w:color="000000" w:fill="FFFFFF"/>
                  <w:noWrap/>
                  <w:vAlign w:val="bottom"/>
                  <w:hideMark/>
                </w:tcPr>
                <w:p w14:paraId="67B4287A"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880" w:type="dxa"/>
                  <w:tcBorders>
                    <w:top w:val="nil"/>
                    <w:left w:val="nil"/>
                    <w:bottom w:val="nil"/>
                    <w:right w:val="nil"/>
                  </w:tcBorders>
                  <w:shd w:val="clear" w:color="000000" w:fill="FFFFFF"/>
                  <w:noWrap/>
                  <w:vAlign w:val="bottom"/>
                  <w:hideMark/>
                </w:tcPr>
                <w:p w14:paraId="0581D15A"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880" w:type="dxa"/>
                  <w:tcBorders>
                    <w:top w:val="nil"/>
                    <w:left w:val="nil"/>
                    <w:bottom w:val="nil"/>
                    <w:right w:val="single" w:sz="8" w:space="0" w:color="auto"/>
                  </w:tcBorders>
                  <w:shd w:val="clear" w:color="000000" w:fill="FFFFFF"/>
                  <w:noWrap/>
                  <w:vAlign w:val="bottom"/>
                  <w:hideMark/>
                </w:tcPr>
                <w:p w14:paraId="604914ED"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r>
            <w:tr w:rsidR="00C934DA" w:rsidRPr="00F85253" w14:paraId="564E17A4" w14:textId="77777777" w:rsidTr="00C934DA">
              <w:trPr>
                <w:trHeight w:val="255"/>
              </w:trPr>
              <w:tc>
                <w:tcPr>
                  <w:tcW w:w="4840" w:type="dxa"/>
                  <w:tcBorders>
                    <w:top w:val="nil"/>
                    <w:left w:val="single" w:sz="8" w:space="0" w:color="auto"/>
                    <w:bottom w:val="nil"/>
                    <w:right w:val="nil"/>
                  </w:tcBorders>
                  <w:shd w:val="clear" w:color="000000" w:fill="FFFFFF"/>
                  <w:noWrap/>
                  <w:vAlign w:val="bottom"/>
                  <w:hideMark/>
                </w:tcPr>
                <w:p w14:paraId="27587073" w14:textId="77777777" w:rsidR="00C934DA" w:rsidRPr="00F85253" w:rsidRDefault="00C934DA" w:rsidP="00C934DA">
                  <w:pPr>
                    <w:spacing w:after="0" w:line="240" w:lineRule="auto"/>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C. Evitados por mejor transparencia</w:t>
                  </w:r>
                </w:p>
              </w:tc>
              <w:tc>
                <w:tcPr>
                  <w:tcW w:w="1020" w:type="dxa"/>
                  <w:tcBorders>
                    <w:top w:val="nil"/>
                    <w:left w:val="nil"/>
                    <w:bottom w:val="nil"/>
                    <w:right w:val="nil"/>
                  </w:tcBorders>
                  <w:shd w:val="clear" w:color="000000" w:fill="FFFFFF"/>
                  <w:noWrap/>
                  <w:vAlign w:val="bottom"/>
                  <w:hideMark/>
                </w:tcPr>
                <w:p w14:paraId="06DEB73C" w14:textId="77777777" w:rsidR="00C934DA" w:rsidRPr="00F85253" w:rsidRDefault="00C934DA" w:rsidP="00C934DA">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     9.01 </w:t>
                  </w:r>
                </w:p>
              </w:tc>
              <w:tc>
                <w:tcPr>
                  <w:tcW w:w="880" w:type="dxa"/>
                  <w:tcBorders>
                    <w:top w:val="nil"/>
                    <w:left w:val="single" w:sz="8" w:space="0" w:color="auto"/>
                    <w:bottom w:val="nil"/>
                    <w:right w:val="nil"/>
                  </w:tcBorders>
                  <w:shd w:val="clear" w:color="000000" w:fill="FFFFFF"/>
                  <w:noWrap/>
                  <w:vAlign w:val="bottom"/>
                  <w:hideMark/>
                </w:tcPr>
                <w:p w14:paraId="292828E7"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   </w:t>
                  </w:r>
                </w:p>
              </w:tc>
              <w:tc>
                <w:tcPr>
                  <w:tcW w:w="1120" w:type="dxa"/>
                  <w:tcBorders>
                    <w:top w:val="nil"/>
                    <w:left w:val="nil"/>
                    <w:bottom w:val="nil"/>
                    <w:right w:val="nil"/>
                  </w:tcBorders>
                  <w:shd w:val="clear" w:color="000000" w:fill="FFFFFF"/>
                  <w:noWrap/>
                  <w:vAlign w:val="bottom"/>
                  <w:hideMark/>
                </w:tcPr>
                <w:p w14:paraId="04B5F0ED"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   </w:t>
                  </w:r>
                </w:p>
              </w:tc>
              <w:tc>
                <w:tcPr>
                  <w:tcW w:w="1100" w:type="dxa"/>
                  <w:tcBorders>
                    <w:top w:val="nil"/>
                    <w:left w:val="nil"/>
                    <w:bottom w:val="nil"/>
                    <w:right w:val="nil"/>
                  </w:tcBorders>
                  <w:shd w:val="clear" w:color="000000" w:fill="FFFFFF"/>
                  <w:noWrap/>
                  <w:vAlign w:val="bottom"/>
                  <w:hideMark/>
                </w:tcPr>
                <w:p w14:paraId="52E860C1"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   </w:t>
                  </w:r>
                </w:p>
              </w:tc>
              <w:tc>
                <w:tcPr>
                  <w:tcW w:w="940" w:type="dxa"/>
                  <w:tcBorders>
                    <w:top w:val="nil"/>
                    <w:left w:val="nil"/>
                    <w:bottom w:val="nil"/>
                    <w:right w:val="nil"/>
                  </w:tcBorders>
                  <w:shd w:val="clear" w:color="000000" w:fill="FFFFFF"/>
                  <w:noWrap/>
                  <w:vAlign w:val="bottom"/>
                  <w:hideMark/>
                </w:tcPr>
                <w:p w14:paraId="37D4AFD8"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   </w:t>
                  </w:r>
                </w:p>
              </w:tc>
              <w:tc>
                <w:tcPr>
                  <w:tcW w:w="940" w:type="dxa"/>
                  <w:tcBorders>
                    <w:top w:val="nil"/>
                    <w:left w:val="single" w:sz="8" w:space="0" w:color="auto"/>
                    <w:bottom w:val="nil"/>
                    <w:right w:val="nil"/>
                  </w:tcBorders>
                  <w:shd w:val="clear" w:color="000000" w:fill="FFFFFF"/>
                  <w:noWrap/>
                  <w:vAlign w:val="bottom"/>
                  <w:hideMark/>
                </w:tcPr>
                <w:p w14:paraId="756AC23D"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0.24 </w:t>
                  </w:r>
                </w:p>
              </w:tc>
              <w:tc>
                <w:tcPr>
                  <w:tcW w:w="880" w:type="dxa"/>
                  <w:tcBorders>
                    <w:top w:val="nil"/>
                    <w:left w:val="nil"/>
                    <w:bottom w:val="nil"/>
                    <w:right w:val="nil"/>
                  </w:tcBorders>
                  <w:shd w:val="clear" w:color="000000" w:fill="FFFFFF"/>
                  <w:noWrap/>
                  <w:vAlign w:val="bottom"/>
                  <w:hideMark/>
                </w:tcPr>
                <w:p w14:paraId="1BAA9706"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0.42 </w:t>
                  </w:r>
                </w:p>
              </w:tc>
              <w:tc>
                <w:tcPr>
                  <w:tcW w:w="880" w:type="dxa"/>
                  <w:tcBorders>
                    <w:top w:val="nil"/>
                    <w:left w:val="nil"/>
                    <w:bottom w:val="nil"/>
                    <w:right w:val="nil"/>
                  </w:tcBorders>
                  <w:shd w:val="clear" w:color="000000" w:fill="FFFFFF"/>
                  <w:noWrap/>
                  <w:vAlign w:val="bottom"/>
                  <w:hideMark/>
                </w:tcPr>
                <w:p w14:paraId="7A707434"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0.74 </w:t>
                  </w:r>
                </w:p>
              </w:tc>
              <w:tc>
                <w:tcPr>
                  <w:tcW w:w="880" w:type="dxa"/>
                  <w:tcBorders>
                    <w:top w:val="nil"/>
                    <w:left w:val="nil"/>
                    <w:bottom w:val="nil"/>
                    <w:right w:val="nil"/>
                  </w:tcBorders>
                  <w:shd w:val="clear" w:color="000000" w:fill="FFFFFF"/>
                  <w:noWrap/>
                  <w:vAlign w:val="bottom"/>
                  <w:hideMark/>
                </w:tcPr>
                <w:p w14:paraId="4726E37B"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1.31 </w:t>
                  </w:r>
                </w:p>
              </w:tc>
              <w:tc>
                <w:tcPr>
                  <w:tcW w:w="880" w:type="dxa"/>
                  <w:tcBorders>
                    <w:top w:val="nil"/>
                    <w:left w:val="nil"/>
                    <w:bottom w:val="nil"/>
                    <w:right w:val="nil"/>
                  </w:tcBorders>
                  <w:shd w:val="clear" w:color="000000" w:fill="FFFFFF"/>
                  <w:noWrap/>
                  <w:vAlign w:val="bottom"/>
                  <w:hideMark/>
                </w:tcPr>
                <w:p w14:paraId="39F1B170"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2.29 </w:t>
                  </w:r>
                </w:p>
              </w:tc>
              <w:tc>
                <w:tcPr>
                  <w:tcW w:w="880" w:type="dxa"/>
                  <w:tcBorders>
                    <w:top w:val="nil"/>
                    <w:left w:val="nil"/>
                    <w:bottom w:val="nil"/>
                    <w:right w:val="single" w:sz="8" w:space="0" w:color="auto"/>
                  </w:tcBorders>
                  <w:shd w:val="clear" w:color="000000" w:fill="FFFFFF"/>
                  <w:noWrap/>
                  <w:vAlign w:val="bottom"/>
                  <w:hideMark/>
                </w:tcPr>
                <w:p w14:paraId="0830E1AB"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4.01 </w:t>
                  </w:r>
                </w:p>
              </w:tc>
            </w:tr>
            <w:tr w:rsidR="00C934DA" w:rsidRPr="00F85253" w14:paraId="36AABA83" w14:textId="77777777" w:rsidTr="00C934DA">
              <w:trPr>
                <w:trHeight w:val="255"/>
              </w:trPr>
              <w:tc>
                <w:tcPr>
                  <w:tcW w:w="4840" w:type="dxa"/>
                  <w:tcBorders>
                    <w:top w:val="nil"/>
                    <w:left w:val="single" w:sz="8" w:space="0" w:color="auto"/>
                    <w:bottom w:val="nil"/>
                    <w:right w:val="nil"/>
                  </w:tcBorders>
                  <w:shd w:val="clear" w:color="000000" w:fill="FFFFFF"/>
                  <w:noWrap/>
                  <w:vAlign w:val="bottom"/>
                  <w:hideMark/>
                </w:tcPr>
                <w:p w14:paraId="0CEDC31A" w14:textId="77777777" w:rsidR="00C934DA" w:rsidRPr="00F85253" w:rsidRDefault="00C934DA" w:rsidP="00C934DA">
                  <w:pPr>
                    <w:spacing w:after="0" w:line="240" w:lineRule="auto"/>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C. Evitados por mejor Eficiencia por fusión</w:t>
                  </w:r>
                </w:p>
              </w:tc>
              <w:tc>
                <w:tcPr>
                  <w:tcW w:w="1020" w:type="dxa"/>
                  <w:tcBorders>
                    <w:top w:val="nil"/>
                    <w:left w:val="nil"/>
                    <w:bottom w:val="nil"/>
                    <w:right w:val="nil"/>
                  </w:tcBorders>
                  <w:shd w:val="clear" w:color="000000" w:fill="FFFFFF"/>
                  <w:noWrap/>
                  <w:vAlign w:val="bottom"/>
                  <w:hideMark/>
                </w:tcPr>
                <w:p w14:paraId="18626BBA" w14:textId="77777777" w:rsidR="00C934DA" w:rsidRPr="00F85253" w:rsidRDefault="00C934DA" w:rsidP="00C934DA">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    63.91 </w:t>
                  </w:r>
                </w:p>
              </w:tc>
              <w:tc>
                <w:tcPr>
                  <w:tcW w:w="880" w:type="dxa"/>
                  <w:tcBorders>
                    <w:top w:val="nil"/>
                    <w:left w:val="single" w:sz="8" w:space="0" w:color="auto"/>
                    <w:bottom w:val="nil"/>
                    <w:right w:val="nil"/>
                  </w:tcBorders>
                  <w:shd w:val="clear" w:color="000000" w:fill="FFFFFF"/>
                  <w:noWrap/>
                  <w:vAlign w:val="bottom"/>
                  <w:hideMark/>
                </w:tcPr>
                <w:p w14:paraId="12CB89A7"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   </w:t>
                  </w:r>
                </w:p>
              </w:tc>
              <w:tc>
                <w:tcPr>
                  <w:tcW w:w="1120" w:type="dxa"/>
                  <w:tcBorders>
                    <w:top w:val="nil"/>
                    <w:left w:val="nil"/>
                    <w:bottom w:val="nil"/>
                    <w:right w:val="nil"/>
                  </w:tcBorders>
                  <w:shd w:val="clear" w:color="000000" w:fill="FFFFFF"/>
                  <w:noWrap/>
                  <w:vAlign w:val="bottom"/>
                  <w:hideMark/>
                </w:tcPr>
                <w:p w14:paraId="256C7F4C"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   </w:t>
                  </w:r>
                </w:p>
              </w:tc>
              <w:tc>
                <w:tcPr>
                  <w:tcW w:w="1100" w:type="dxa"/>
                  <w:tcBorders>
                    <w:top w:val="nil"/>
                    <w:left w:val="nil"/>
                    <w:bottom w:val="nil"/>
                    <w:right w:val="nil"/>
                  </w:tcBorders>
                  <w:shd w:val="clear" w:color="000000" w:fill="FFFFFF"/>
                  <w:noWrap/>
                  <w:vAlign w:val="bottom"/>
                  <w:hideMark/>
                </w:tcPr>
                <w:p w14:paraId="4E5C3FDB"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   </w:t>
                  </w:r>
                </w:p>
              </w:tc>
              <w:tc>
                <w:tcPr>
                  <w:tcW w:w="940" w:type="dxa"/>
                  <w:tcBorders>
                    <w:top w:val="nil"/>
                    <w:left w:val="nil"/>
                    <w:bottom w:val="nil"/>
                    <w:right w:val="nil"/>
                  </w:tcBorders>
                  <w:shd w:val="clear" w:color="000000" w:fill="FFFFFF"/>
                  <w:noWrap/>
                  <w:vAlign w:val="bottom"/>
                  <w:hideMark/>
                </w:tcPr>
                <w:p w14:paraId="440A85B5"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   </w:t>
                  </w:r>
                </w:p>
              </w:tc>
              <w:tc>
                <w:tcPr>
                  <w:tcW w:w="940" w:type="dxa"/>
                  <w:tcBorders>
                    <w:top w:val="nil"/>
                    <w:left w:val="single" w:sz="8" w:space="0" w:color="auto"/>
                    <w:bottom w:val="nil"/>
                    <w:right w:val="nil"/>
                  </w:tcBorders>
                  <w:shd w:val="clear" w:color="000000" w:fill="FFFFFF"/>
                  <w:noWrap/>
                  <w:vAlign w:val="bottom"/>
                  <w:hideMark/>
                </w:tcPr>
                <w:p w14:paraId="62B83FBA"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2.28 </w:t>
                  </w:r>
                </w:p>
              </w:tc>
              <w:tc>
                <w:tcPr>
                  <w:tcW w:w="880" w:type="dxa"/>
                  <w:tcBorders>
                    <w:top w:val="nil"/>
                    <w:left w:val="nil"/>
                    <w:bottom w:val="nil"/>
                    <w:right w:val="nil"/>
                  </w:tcBorders>
                  <w:shd w:val="clear" w:color="000000" w:fill="FFFFFF"/>
                  <w:noWrap/>
                  <w:vAlign w:val="bottom"/>
                  <w:hideMark/>
                </w:tcPr>
                <w:p w14:paraId="5171ADA4"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3.73 </w:t>
                  </w:r>
                </w:p>
              </w:tc>
              <w:tc>
                <w:tcPr>
                  <w:tcW w:w="880" w:type="dxa"/>
                  <w:tcBorders>
                    <w:top w:val="nil"/>
                    <w:left w:val="nil"/>
                    <w:bottom w:val="nil"/>
                    <w:right w:val="nil"/>
                  </w:tcBorders>
                  <w:shd w:val="clear" w:color="000000" w:fill="FFFFFF"/>
                  <w:noWrap/>
                  <w:vAlign w:val="bottom"/>
                  <w:hideMark/>
                </w:tcPr>
                <w:p w14:paraId="111F5C13"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6.08 </w:t>
                  </w:r>
                </w:p>
              </w:tc>
              <w:tc>
                <w:tcPr>
                  <w:tcW w:w="880" w:type="dxa"/>
                  <w:tcBorders>
                    <w:top w:val="nil"/>
                    <w:left w:val="nil"/>
                    <w:bottom w:val="nil"/>
                    <w:right w:val="nil"/>
                  </w:tcBorders>
                  <w:shd w:val="clear" w:color="000000" w:fill="FFFFFF"/>
                  <w:noWrap/>
                  <w:vAlign w:val="bottom"/>
                  <w:hideMark/>
                </w:tcPr>
                <w:p w14:paraId="7B1C032A"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9.89 </w:t>
                  </w:r>
                </w:p>
              </w:tc>
              <w:tc>
                <w:tcPr>
                  <w:tcW w:w="880" w:type="dxa"/>
                  <w:tcBorders>
                    <w:top w:val="nil"/>
                    <w:left w:val="nil"/>
                    <w:bottom w:val="nil"/>
                    <w:right w:val="nil"/>
                  </w:tcBorders>
                  <w:shd w:val="clear" w:color="000000" w:fill="FFFFFF"/>
                  <w:noWrap/>
                  <w:vAlign w:val="bottom"/>
                  <w:hideMark/>
                </w:tcPr>
                <w:p w14:paraId="7CB26049"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$ 16.02 </w:t>
                  </w:r>
                </w:p>
              </w:tc>
              <w:tc>
                <w:tcPr>
                  <w:tcW w:w="880" w:type="dxa"/>
                  <w:tcBorders>
                    <w:top w:val="nil"/>
                    <w:left w:val="nil"/>
                    <w:bottom w:val="nil"/>
                    <w:right w:val="single" w:sz="8" w:space="0" w:color="auto"/>
                  </w:tcBorders>
                  <w:shd w:val="clear" w:color="000000" w:fill="FFFFFF"/>
                  <w:noWrap/>
                  <w:vAlign w:val="bottom"/>
                  <w:hideMark/>
                </w:tcPr>
                <w:p w14:paraId="6224BE70"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$ 25.90 </w:t>
                  </w:r>
                </w:p>
              </w:tc>
            </w:tr>
            <w:tr w:rsidR="00C934DA" w:rsidRPr="00F85253" w14:paraId="466501DF" w14:textId="77777777" w:rsidTr="00C934DA">
              <w:trPr>
                <w:trHeight w:val="255"/>
              </w:trPr>
              <w:tc>
                <w:tcPr>
                  <w:tcW w:w="4840" w:type="dxa"/>
                  <w:tcBorders>
                    <w:top w:val="nil"/>
                    <w:left w:val="single" w:sz="8" w:space="0" w:color="auto"/>
                    <w:bottom w:val="nil"/>
                    <w:right w:val="nil"/>
                  </w:tcBorders>
                  <w:shd w:val="clear" w:color="000000" w:fill="FFFFFF"/>
                  <w:noWrap/>
                  <w:vAlign w:val="bottom"/>
                  <w:hideMark/>
                </w:tcPr>
                <w:p w14:paraId="4EC1F5AD" w14:textId="77777777" w:rsidR="00C934DA" w:rsidRPr="00F85253" w:rsidRDefault="00C934DA" w:rsidP="00C934DA">
                  <w:pPr>
                    <w:spacing w:after="0" w:line="240" w:lineRule="auto"/>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Subtotal Beneficios</w:t>
                  </w:r>
                </w:p>
              </w:tc>
              <w:tc>
                <w:tcPr>
                  <w:tcW w:w="1020" w:type="dxa"/>
                  <w:tcBorders>
                    <w:top w:val="nil"/>
                    <w:left w:val="nil"/>
                    <w:bottom w:val="nil"/>
                    <w:right w:val="nil"/>
                  </w:tcBorders>
                  <w:shd w:val="clear" w:color="000000" w:fill="FFFFFF"/>
                  <w:noWrap/>
                  <w:vAlign w:val="bottom"/>
                  <w:hideMark/>
                </w:tcPr>
                <w:p w14:paraId="01FACFA2" w14:textId="77777777" w:rsidR="00C934DA" w:rsidRPr="00F85253" w:rsidRDefault="00C934DA" w:rsidP="00C934DA">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    72.92 </w:t>
                  </w:r>
                </w:p>
              </w:tc>
              <w:tc>
                <w:tcPr>
                  <w:tcW w:w="880" w:type="dxa"/>
                  <w:tcBorders>
                    <w:top w:val="nil"/>
                    <w:left w:val="single" w:sz="8" w:space="0" w:color="auto"/>
                    <w:bottom w:val="nil"/>
                    <w:right w:val="nil"/>
                  </w:tcBorders>
                  <w:shd w:val="clear" w:color="000000" w:fill="FFFFFF"/>
                  <w:noWrap/>
                  <w:vAlign w:val="bottom"/>
                  <w:hideMark/>
                </w:tcPr>
                <w:p w14:paraId="0DFC2EE7" w14:textId="77777777" w:rsidR="00C934DA" w:rsidRPr="00F85253" w:rsidRDefault="00C934DA" w:rsidP="00C934DA">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      -   </w:t>
                  </w:r>
                </w:p>
              </w:tc>
              <w:tc>
                <w:tcPr>
                  <w:tcW w:w="1120" w:type="dxa"/>
                  <w:tcBorders>
                    <w:top w:val="nil"/>
                    <w:left w:val="nil"/>
                    <w:bottom w:val="nil"/>
                    <w:right w:val="nil"/>
                  </w:tcBorders>
                  <w:shd w:val="clear" w:color="000000" w:fill="FFFFFF"/>
                  <w:noWrap/>
                  <w:vAlign w:val="bottom"/>
                  <w:hideMark/>
                </w:tcPr>
                <w:p w14:paraId="1EA01E7A" w14:textId="77777777" w:rsidR="00C934DA" w:rsidRPr="00F85253" w:rsidRDefault="00C934DA" w:rsidP="00C934DA">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          -   </w:t>
                  </w:r>
                </w:p>
              </w:tc>
              <w:tc>
                <w:tcPr>
                  <w:tcW w:w="1100" w:type="dxa"/>
                  <w:tcBorders>
                    <w:top w:val="nil"/>
                    <w:left w:val="nil"/>
                    <w:bottom w:val="nil"/>
                    <w:right w:val="nil"/>
                  </w:tcBorders>
                  <w:shd w:val="clear" w:color="000000" w:fill="FFFFFF"/>
                  <w:noWrap/>
                  <w:vAlign w:val="bottom"/>
                  <w:hideMark/>
                </w:tcPr>
                <w:p w14:paraId="7FBDEE88" w14:textId="77777777" w:rsidR="00C934DA" w:rsidRPr="00F85253" w:rsidRDefault="00C934DA" w:rsidP="00C934DA">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          -   </w:t>
                  </w:r>
                </w:p>
              </w:tc>
              <w:tc>
                <w:tcPr>
                  <w:tcW w:w="940" w:type="dxa"/>
                  <w:tcBorders>
                    <w:top w:val="nil"/>
                    <w:left w:val="nil"/>
                    <w:bottom w:val="nil"/>
                    <w:right w:val="nil"/>
                  </w:tcBorders>
                  <w:shd w:val="clear" w:color="000000" w:fill="FFFFFF"/>
                  <w:noWrap/>
                  <w:vAlign w:val="bottom"/>
                  <w:hideMark/>
                </w:tcPr>
                <w:p w14:paraId="3474CACC" w14:textId="77777777" w:rsidR="00C934DA" w:rsidRPr="00F85253" w:rsidRDefault="00C934DA" w:rsidP="00C934DA">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       -   </w:t>
                  </w:r>
                </w:p>
              </w:tc>
              <w:tc>
                <w:tcPr>
                  <w:tcW w:w="940" w:type="dxa"/>
                  <w:tcBorders>
                    <w:top w:val="nil"/>
                    <w:left w:val="single" w:sz="8" w:space="0" w:color="auto"/>
                    <w:bottom w:val="nil"/>
                    <w:right w:val="nil"/>
                  </w:tcBorders>
                  <w:shd w:val="clear" w:color="000000" w:fill="FFFFFF"/>
                  <w:noWrap/>
                  <w:vAlign w:val="bottom"/>
                  <w:hideMark/>
                </w:tcPr>
                <w:p w14:paraId="7F94C374" w14:textId="77777777" w:rsidR="00C934DA" w:rsidRPr="00F85253" w:rsidRDefault="00C934DA" w:rsidP="00C934DA">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    2.52 </w:t>
                  </w:r>
                </w:p>
              </w:tc>
              <w:tc>
                <w:tcPr>
                  <w:tcW w:w="880" w:type="dxa"/>
                  <w:tcBorders>
                    <w:top w:val="nil"/>
                    <w:left w:val="nil"/>
                    <w:bottom w:val="nil"/>
                    <w:right w:val="nil"/>
                  </w:tcBorders>
                  <w:shd w:val="clear" w:color="000000" w:fill="FFFFFF"/>
                  <w:noWrap/>
                  <w:vAlign w:val="bottom"/>
                  <w:hideMark/>
                </w:tcPr>
                <w:p w14:paraId="091B470F" w14:textId="77777777" w:rsidR="00C934DA" w:rsidRPr="00F85253" w:rsidRDefault="00C934DA" w:rsidP="00C934DA">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   4.15 </w:t>
                  </w:r>
                </w:p>
              </w:tc>
              <w:tc>
                <w:tcPr>
                  <w:tcW w:w="880" w:type="dxa"/>
                  <w:tcBorders>
                    <w:top w:val="nil"/>
                    <w:left w:val="nil"/>
                    <w:bottom w:val="nil"/>
                    <w:right w:val="nil"/>
                  </w:tcBorders>
                  <w:shd w:val="clear" w:color="000000" w:fill="FFFFFF"/>
                  <w:noWrap/>
                  <w:vAlign w:val="bottom"/>
                  <w:hideMark/>
                </w:tcPr>
                <w:p w14:paraId="7681BF1F" w14:textId="77777777" w:rsidR="00C934DA" w:rsidRPr="00F85253" w:rsidRDefault="00C934DA" w:rsidP="00C934DA">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   6.83 </w:t>
                  </w:r>
                </w:p>
              </w:tc>
              <w:tc>
                <w:tcPr>
                  <w:tcW w:w="880" w:type="dxa"/>
                  <w:tcBorders>
                    <w:top w:val="nil"/>
                    <w:left w:val="nil"/>
                    <w:bottom w:val="nil"/>
                    <w:right w:val="nil"/>
                  </w:tcBorders>
                  <w:shd w:val="clear" w:color="000000" w:fill="FFFFFF"/>
                  <w:noWrap/>
                  <w:vAlign w:val="bottom"/>
                  <w:hideMark/>
                </w:tcPr>
                <w:p w14:paraId="6A8DFCB3" w14:textId="77777777" w:rsidR="00C934DA" w:rsidRPr="00F85253" w:rsidRDefault="00C934DA" w:rsidP="00C934DA">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$ 11.19 </w:t>
                  </w:r>
                </w:p>
              </w:tc>
              <w:tc>
                <w:tcPr>
                  <w:tcW w:w="880" w:type="dxa"/>
                  <w:tcBorders>
                    <w:top w:val="nil"/>
                    <w:left w:val="nil"/>
                    <w:bottom w:val="nil"/>
                    <w:right w:val="nil"/>
                  </w:tcBorders>
                  <w:shd w:val="clear" w:color="000000" w:fill="FFFFFF"/>
                  <w:noWrap/>
                  <w:vAlign w:val="bottom"/>
                  <w:hideMark/>
                </w:tcPr>
                <w:p w14:paraId="6424435B" w14:textId="77777777" w:rsidR="00C934DA" w:rsidRPr="00F85253" w:rsidRDefault="00C934DA" w:rsidP="00C934DA">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$ 18.31 </w:t>
                  </w:r>
                </w:p>
              </w:tc>
              <w:tc>
                <w:tcPr>
                  <w:tcW w:w="880" w:type="dxa"/>
                  <w:tcBorders>
                    <w:top w:val="nil"/>
                    <w:left w:val="nil"/>
                    <w:bottom w:val="nil"/>
                    <w:right w:val="single" w:sz="8" w:space="0" w:color="auto"/>
                  </w:tcBorders>
                  <w:shd w:val="clear" w:color="000000" w:fill="FFFFFF"/>
                  <w:noWrap/>
                  <w:vAlign w:val="bottom"/>
                  <w:hideMark/>
                </w:tcPr>
                <w:p w14:paraId="5E38DC37"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$ 29.91 </w:t>
                  </w:r>
                </w:p>
              </w:tc>
            </w:tr>
            <w:tr w:rsidR="00C934DA" w:rsidRPr="00F85253" w14:paraId="4BA9E87A" w14:textId="77777777" w:rsidTr="00C934DA">
              <w:trPr>
                <w:trHeight w:val="255"/>
              </w:trPr>
              <w:tc>
                <w:tcPr>
                  <w:tcW w:w="4840" w:type="dxa"/>
                  <w:tcBorders>
                    <w:top w:val="nil"/>
                    <w:left w:val="single" w:sz="8" w:space="0" w:color="auto"/>
                    <w:bottom w:val="nil"/>
                    <w:right w:val="nil"/>
                  </w:tcBorders>
                  <w:shd w:val="clear" w:color="000000" w:fill="FFFFFF"/>
                  <w:noWrap/>
                  <w:vAlign w:val="bottom"/>
                  <w:hideMark/>
                </w:tcPr>
                <w:p w14:paraId="2C05A453" w14:textId="77777777" w:rsidR="00C934DA" w:rsidRPr="00F85253" w:rsidRDefault="00C934DA" w:rsidP="00C934DA">
                  <w:pPr>
                    <w:spacing w:after="0" w:line="240" w:lineRule="auto"/>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1020" w:type="dxa"/>
                  <w:tcBorders>
                    <w:top w:val="nil"/>
                    <w:left w:val="nil"/>
                    <w:bottom w:val="nil"/>
                    <w:right w:val="nil"/>
                  </w:tcBorders>
                  <w:shd w:val="clear" w:color="000000" w:fill="FFFFFF"/>
                  <w:noWrap/>
                  <w:vAlign w:val="bottom"/>
                  <w:hideMark/>
                </w:tcPr>
                <w:p w14:paraId="6F7DD599" w14:textId="77777777" w:rsidR="00C934DA" w:rsidRPr="00F85253" w:rsidRDefault="00C934DA" w:rsidP="00C934DA">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w:t>
                  </w:r>
                </w:p>
              </w:tc>
              <w:tc>
                <w:tcPr>
                  <w:tcW w:w="880" w:type="dxa"/>
                  <w:tcBorders>
                    <w:top w:val="nil"/>
                    <w:left w:val="single" w:sz="8" w:space="0" w:color="auto"/>
                    <w:bottom w:val="nil"/>
                    <w:right w:val="nil"/>
                  </w:tcBorders>
                  <w:shd w:val="clear" w:color="000000" w:fill="FFFFFF"/>
                  <w:noWrap/>
                  <w:vAlign w:val="bottom"/>
                  <w:hideMark/>
                </w:tcPr>
                <w:p w14:paraId="4978396E"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1120" w:type="dxa"/>
                  <w:tcBorders>
                    <w:top w:val="nil"/>
                    <w:left w:val="nil"/>
                    <w:bottom w:val="nil"/>
                    <w:right w:val="nil"/>
                  </w:tcBorders>
                  <w:shd w:val="clear" w:color="000000" w:fill="FFFFFF"/>
                  <w:noWrap/>
                  <w:vAlign w:val="bottom"/>
                  <w:hideMark/>
                </w:tcPr>
                <w:p w14:paraId="24400BB3"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1100" w:type="dxa"/>
                  <w:tcBorders>
                    <w:top w:val="nil"/>
                    <w:left w:val="nil"/>
                    <w:bottom w:val="nil"/>
                    <w:right w:val="nil"/>
                  </w:tcBorders>
                  <w:shd w:val="clear" w:color="000000" w:fill="FFFFFF"/>
                  <w:noWrap/>
                  <w:vAlign w:val="bottom"/>
                  <w:hideMark/>
                </w:tcPr>
                <w:p w14:paraId="480DAA98"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940" w:type="dxa"/>
                  <w:tcBorders>
                    <w:top w:val="nil"/>
                    <w:left w:val="nil"/>
                    <w:bottom w:val="nil"/>
                    <w:right w:val="nil"/>
                  </w:tcBorders>
                  <w:shd w:val="clear" w:color="000000" w:fill="FFFFFF"/>
                  <w:noWrap/>
                  <w:vAlign w:val="bottom"/>
                  <w:hideMark/>
                </w:tcPr>
                <w:p w14:paraId="4F565785"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940" w:type="dxa"/>
                  <w:tcBorders>
                    <w:top w:val="nil"/>
                    <w:left w:val="single" w:sz="8" w:space="0" w:color="auto"/>
                    <w:bottom w:val="nil"/>
                    <w:right w:val="nil"/>
                  </w:tcBorders>
                  <w:shd w:val="clear" w:color="000000" w:fill="FFFFFF"/>
                  <w:noWrap/>
                  <w:vAlign w:val="bottom"/>
                  <w:hideMark/>
                </w:tcPr>
                <w:p w14:paraId="3E685C0A"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880" w:type="dxa"/>
                  <w:tcBorders>
                    <w:top w:val="nil"/>
                    <w:left w:val="nil"/>
                    <w:bottom w:val="nil"/>
                    <w:right w:val="nil"/>
                  </w:tcBorders>
                  <w:shd w:val="clear" w:color="000000" w:fill="FFFFFF"/>
                  <w:noWrap/>
                  <w:vAlign w:val="bottom"/>
                  <w:hideMark/>
                </w:tcPr>
                <w:p w14:paraId="449FB37D"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880" w:type="dxa"/>
                  <w:tcBorders>
                    <w:top w:val="nil"/>
                    <w:left w:val="nil"/>
                    <w:bottom w:val="nil"/>
                    <w:right w:val="nil"/>
                  </w:tcBorders>
                  <w:shd w:val="clear" w:color="000000" w:fill="FFFFFF"/>
                  <w:noWrap/>
                  <w:vAlign w:val="bottom"/>
                  <w:hideMark/>
                </w:tcPr>
                <w:p w14:paraId="3DB5A3AB"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880" w:type="dxa"/>
                  <w:tcBorders>
                    <w:top w:val="nil"/>
                    <w:left w:val="nil"/>
                    <w:bottom w:val="nil"/>
                    <w:right w:val="nil"/>
                  </w:tcBorders>
                  <w:shd w:val="clear" w:color="000000" w:fill="FFFFFF"/>
                  <w:noWrap/>
                  <w:vAlign w:val="bottom"/>
                  <w:hideMark/>
                </w:tcPr>
                <w:p w14:paraId="7C54A81D"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880" w:type="dxa"/>
                  <w:tcBorders>
                    <w:top w:val="nil"/>
                    <w:left w:val="nil"/>
                    <w:bottom w:val="nil"/>
                    <w:right w:val="nil"/>
                  </w:tcBorders>
                  <w:shd w:val="clear" w:color="000000" w:fill="FFFFFF"/>
                  <w:noWrap/>
                  <w:vAlign w:val="bottom"/>
                  <w:hideMark/>
                </w:tcPr>
                <w:p w14:paraId="56C26E4C"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880" w:type="dxa"/>
                  <w:tcBorders>
                    <w:top w:val="nil"/>
                    <w:left w:val="nil"/>
                    <w:bottom w:val="nil"/>
                    <w:right w:val="single" w:sz="8" w:space="0" w:color="auto"/>
                  </w:tcBorders>
                  <w:shd w:val="clear" w:color="000000" w:fill="FFFFFF"/>
                  <w:noWrap/>
                  <w:vAlign w:val="bottom"/>
                  <w:hideMark/>
                </w:tcPr>
                <w:p w14:paraId="7C0E4CEC"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r>
            <w:tr w:rsidR="00C934DA" w:rsidRPr="00F85253" w14:paraId="4F8CC61B" w14:textId="77777777" w:rsidTr="00C934DA">
              <w:trPr>
                <w:trHeight w:val="255"/>
              </w:trPr>
              <w:tc>
                <w:tcPr>
                  <w:tcW w:w="4840" w:type="dxa"/>
                  <w:tcBorders>
                    <w:top w:val="nil"/>
                    <w:left w:val="single" w:sz="8" w:space="0" w:color="auto"/>
                    <w:bottom w:val="nil"/>
                    <w:right w:val="nil"/>
                  </w:tcBorders>
                  <w:shd w:val="clear" w:color="000000" w:fill="FFFFFF"/>
                  <w:noWrap/>
                  <w:vAlign w:val="bottom"/>
                  <w:hideMark/>
                </w:tcPr>
                <w:p w14:paraId="50487C24" w14:textId="77777777" w:rsidR="00C934DA" w:rsidRPr="00F85253" w:rsidRDefault="00C934DA" w:rsidP="00C934DA">
                  <w:pPr>
                    <w:spacing w:after="0" w:line="240" w:lineRule="auto"/>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Costes Económicos</w:t>
                  </w:r>
                </w:p>
              </w:tc>
              <w:tc>
                <w:tcPr>
                  <w:tcW w:w="1020" w:type="dxa"/>
                  <w:tcBorders>
                    <w:top w:val="nil"/>
                    <w:left w:val="nil"/>
                    <w:bottom w:val="nil"/>
                    <w:right w:val="nil"/>
                  </w:tcBorders>
                  <w:shd w:val="clear" w:color="000000" w:fill="FFFFFF"/>
                  <w:noWrap/>
                  <w:vAlign w:val="bottom"/>
                  <w:hideMark/>
                </w:tcPr>
                <w:p w14:paraId="07CF5988" w14:textId="77777777" w:rsidR="00C934DA" w:rsidRPr="00F85253" w:rsidRDefault="00C934DA" w:rsidP="00C934DA">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w:t>
                  </w:r>
                </w:p>
              </w:tc>
              <w:tc>
                <w:tcPr>
                  <w:tcW w:w="880" w:type="dxa"/>
                  <w:tcBorders>
                    <w:top w:val="nil"/>
                    <w:left w:val="single" w:sz="8" w:space="0" w:color="auto"/>
                    <w:bottom w:val="nil"/>
                    <w:right w:val="nil"/>
                  </w:tcBorders>
                  <w:shd w:val="clear" w:color="000000" w:fill="FFFFFF"/>
                  <w:noWrap/>
                  <w:vAlign w:val="bottom"/>
                  <w:hideMark/>
                </w:tcPr>
                <w:p w14:paraId="38AA71D3"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1120" w:type="dxa"/>
                  <w:tcBorders>
                    <w:top w:val="nil"/>
                    <w:left w:val="nil"/>
                    <w:bottom w:val="nil"/>
                    <w:right w:val="nil"/>
                  </w:tcBorders>
                  <w:shd w:val="clear" w:color="000000" w:fill="FFFFFF"/>
                  <w:noWrap/>
                  <w:vAlign w:val="bottom"/>
                  <w:hideMark/>
                </w:tcPr>
                <w:p w14:paraId="7DDD8710"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1100" w:type="dxa"/>
                  <w:tcBorders>
                    <w:top w:val="nil"/>
                    <w:left w:val="nil"/>
                    <w:bottom w:val="nil"/>
                    <w:right w:val="nil"/>
                  </w:tcBorders>
                  <w:shd w:val="clear" w:color="000000" w:fill="FFFFFF"/>
                  <w:noWrap/>
                  <w:vAlign w:val="bottom"/>
                  <w:hideMark/>
                </w:tcPr>
                <w:p w14:paraId="369361BB"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940" w:type="dxa"/>
                  <w:tcBorders>
                    <w:top w:val="nil"/>
                    <w:left w:val="nil"/>
                    <w:bottom w:val="nil"/>
                    <w:right w:val="nil"/>
                  </w:tcBorders>
                  <w:shd w:val="clear" w:color="000000" w:fill="FFFFFF"/>
                  <w:noWrap/>
                  <w:vAlign w:val="bottom"/>
                  <w:hideMark/>
                </w:tcPr>
                <w:p w14:paraId="4F191295"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940" w:type="dxa"/>
                  <w:tcBorders>
                    <w:top w:val="nil"/>
                    <w:left w:val="single" w:sz="8" w:space="0" w:color="auto"/>
                    <w:bottom w:val="nil"/>
                    <w:right w:val="nil"/>
                  </w:tcBorders>
                  <w:shd w:val="clear" w:color="000000" w:fill="FFFFFF"/>
                  <w:noWrap/>
                  <w:vAlign w:val="bottom"/>
                  <w:hideMark/>
                </w:tcPr>
                <w:p w14:paraId="0FEABB31"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880" w:type="dxa"/>
                  <w:tcBorders>
                    <w:top w:val="nil"/>
                    <w:left w:val="nil"/>
                    <w:bottom w:val="nil"/>
                    <w:right w:val="nil"/>
                  </w:tcBorders>
                  <w:shd w:val="clear" w:color="000000" w:fill="FFFFFF"/>
                  <w:noWrap/>
                  <w:vAlign w:val="bottom"/>
                  <w:hideMark/>
                </w:tcPr>
                <w:p w14:paraId="3B1C1135"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880" w:type="dxa"/>
                  <w:tcBorders>
                    <w:top w:val="nil"/>
                    <w:left w:val="nil"/>
                    <w:bottom w:val="nil"/>
                    <w:right w:val="nil"/>
                  </w:tcBorders>
                  <w:shd w:val="clear" w:color="000000" w:fill="FFFFFF"/>
                  <w:noWrap/>
                  <w:vAlign w:val="bottom"/>
                  <w:hideMark/>
                </w:tcPr>
                <w:p w14:paraId="3ECCDFE4"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880" w:type="dxa"/>
                  <w:tcBorders>
                    <w:top w:val="nil"/>
                    <w:left w:val="nil"/>
                    <w:bottom w:val="nil"/>
                    <w:right w:val="nil"/>
                  </w:tcBorders>
                  <w:shd w:val="clear" w:color="000000" w:fill="FFFFFF"/>
                  <w:noWrap/>
                  <w:vAlign w:val="bottom"/>
                  <w:hideMark/>
                </w:tcPr>
                <w:p w14:paraId="54B60C29"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880" w:type="dxa"/>
                  <w:tcBorders>
                    <w:top w:val="nil"/>
                    <w:left w:val="nil"/>
                    <w:bottom w:val="nil"/>
                    <w:right w:val="nil"/>
                  </w:tcBorders>
                  <w:shd w:val="clear" w:color="000000" w:fill="FFFFFF"/>
                  <w:noWrap/>
                  <w:vAlign w:val="bottom"/>
                  <w:hideMark/>
                </w:tcPr>
                <w:p w14:paraId="66FD7508"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880" w:type="dxa"/>
                  <w:tcBorders>
                    <w:top w:val="nil"/>
                    <w:left w:val="nil"/>
                    <w:bottom w:val="nil"/>
                    <w:right w:val="single" w:sz="8" w:space="0" w:color="auto"/>
                  </w:tcBorders>
                  <w:shd w:val="clear" w:color="000000" w:fill="FFFFFF"/>
                  <w:noWrap/>
                  <w:vAlign w:val="bottom"/>
                  <w:hideMark/>
                </w:tcPr>
                <w:p w14:paraId="247FA294"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r>
            <w:tr w:rsidR="00C934DA" w:rsidRPr="00F85253" w14:paraId="0771A640" w14:textId="77777777" w:rsidTr="00C934DA">
              <w:trPr>
                <w:trHeight w:val="255"/>
              </w:trPr>
              <w:tc>
                <w:tcPr>
                  <w:tcW w:w="4840" w:type="dxa"/>
                  <w:tcBorders>
                    <w:top w:val="nil"/>
                    <w:left w:val="single" w:sz="8" w:space="0" w:color="auto"/>
                    <w:bottom w:val="nil"/>
                    <w:right w:val="nil"/>
                  </w:tcBorders>
                  <w:shd w:val="clear" w:color="000000" w:fill="FFFFFF"/>
                  <w:noWrap/>
                  <w:vAlign w:val="bottom"/>
                  <w:hideMark/>
                </w:tcPr>
                <w:p w14:paraId="6698D871" w14:textId="77777777" w:rsidR="00C934DA" w:rsidRPr="00F85253" w:rsidRDefault="00C934DA" w:rsidP="00C934DA">
                  <w:pPr>
                    <w:spacing w:after="0" w:line="240" w:lineRule="auto"/>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CAPEX</w:t>
                  </w:r>
                </w:p>
              </w:tc>
              <w:tc>
                <w:tcPr>
                  <w:tcW w:w="1020" w:type="dxa"/>
                  <w:tcBorders>
                    <w:top w:val="nil"/>
                    <w:left w:val="nil"/>
                    <w:bottom w:val="nil"/>
                    <w:right w:val="nil"/>
                  </w:tcBorders>
                  <w:shd w:val="clear" w:color="000000" w:fill="FFFFFF"/>
                  <w:noWrap/>
                  <w:vAlign w:val="bottom"/>
                  <w:hideMark/>
                </w:tcPr>
                <w:p w14:paraId="10B450B4" w14:textId="77777777" w:rsidR="00C934DA" w:rsidRPr="00F85253" w:rsidRDefault="00C934DA" w:rsidP="00C934DA">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    26.83 </w:t>
                  </w:r>
                </w:p>
              </w:tc>
              <w:tc>
                <w:tcPr>
                  <w:tcW w:w="880" w:type="dxa"/>
                  <w:tcBorders>
                    <w:top w:val="nil"/>
                    <w:left w:val="single" w:sz="8" w:space="0" w:color="auto"/>
                    <w:bottom w:val="nil"/>
                    <w:right w:val="nil"/>
                  </w:tcBorders>
                  <w:shd w:val="clear" w:color="000000" w:fill="FFFFFF"/>
                  <w:noWrap/>
                  <w:vAlign w:val="bottom"/>
                  <w:hideMark/>
                </w:tcPr>
                <w:p w14:paraId="7088C136"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2.32 </w:t>
                  </w:r>
                </w:p>
              </w:tc>
              <w:tc>
                <w:tcPr>
                  <w:tcW w:w="1120" w:type="dxa"/>
                  <w:tcBorders>
                    <w:top w:val="nil"/>
                    <w:left w:val="nil"/>
                    <w:bottom w:val="nil"/>
                    <w:right w:val="nil"/>
                  </w:tcBorders>
                  <w:shd w:val="clear" w:color="000000" w:fill="FFFFFF"/>
                  <w:noWrap/>
                  <w:vAlign w:val="bottom"/>
                  <w:hideMark/>
                </w:tcPr>
                <w:p w14:paraId="49691AD2"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12.74 </w:t>
                  </w:r>
                </w:p>
              </w:tc>
              <w:tc>
                <w:tcPr>
                  <w:tcW w:w="1100" w:type="dxa"/>
                  <w:tcBorders>
                    <w:top w:val="nil"/>
                    <w:left w:val="nil"/>
                    <w:bottom w:val="nil"/>
                    <w:right w:val="nil"/>
                  </w:tcBorders>
                  <w:shd w:val="clear" w:color="000000" w:fill="FFFFFF"/>
                  <w:noWrap/>
                  <w:vAlign w:val="bottom"/>
                  <w:hideMark/>
                </w:tcPr>
                <w:p w14:paraId="6036BAD6"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9.53 </w:t>
                  </w:r>
                </w:p>
              </w:tc>
              <w:tc>
                <w:tcPr>
                  <w:tcW w:w="940" w:type="dxa"/>
                  <w:tcBorders>
                    <w:top w:val="nil"/>
                    <w:left w:val="nil"/>
                    <w:bottom w:val="nil"/>
                    <w:right w:val="nil"/>
                  </w:tcBorders>
                  <w:shd w:val="clear" w:color="000000" w:fill="FFFFFF"/>
                  <w:noWrap/>
                  <w:vAlign w:val="bottom"/>
                  <w:hideMark/>
                </w:tcPr>
                <w:p w14:paraId="2EAA87B3"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2.23 </w:t>
                  </w:r>
                </w:p>
              </w:tc>
              <w:tc>
                <w:tcPr>
                  <w:tcW w:w="940" w:type="dxa"/>
                  <w:tcBorders>
                    <w:top w:val="nil"/>
                    <w:left w:val="single" w:sz="8" w:space="0" w:color="auto"/>
                    <w:bottom w:val="nil"/>
                    <w:right w:val="nil"/>
                  </w:tcBorders>
                  <w:shd w:val="clear" w:color="000000" w:fill="FFFFFF"/>
                  <w:noWrap/>
                  <w:vAlign w:val="bottom"/>
                  <w:hideMark/>
                </w:tcPr>
                <w:p w14:paraId="5F249D57"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   </w:t>
                  </w:r>
                </w:p>
              </w:tc>
              <w:tc>
                <w:tcPr>
                  <w:tcW w:w="880" w:type="dxa"/>
                  <w:tcBorders>
                    <w:top w:val="nil"/>
                    <w:left w:val="nil"/>
                    <w:bottom w:val="nil"/>
                    <w:right w:val="nil"/>
                  </w:tcBorders>
                  <w:shd w:val="clear" w:color="000000" w:fill="FFFFFF"/>
                  <w:noWrap/>
                  <w:vAlign w:val="bottom"/>
                  <w:hideMark/>
                </w:tcPr>
                <w:p w14:paraId="1AB4FF1B"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   </w:t>
                  </w:r>
                </w:p>
              </w:tc>
              <w:tc>
                <w:tcPr>
                  <w:tcW w:w="880" w:type="dxa"/>
                  <w:tcBorders>
                    <w:top w:val="nil"/>
                    <w:left w:val="nil"/>
                    <w:bottom w:val="nil"/>
                    <w:right w:val="nil"/>
                  </w:tcBorders>
                  <w:shd w:val="clear" w:color="000000" w:fill="FFFFFF"/>
                  <w:noWrap/>
                  <w:vAlign w:val="bottom"/>
                  <w:hideMark/>
                </w:tcPr>
                <w:p w14:paraId="2CAB62E3"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   </w:t>
                  </w:r>
                </w:p>
              </w:tc>
              <w:tc>
                <w:tcPr>
                  <w:tcW w:w="880" w:type="dxa"/>
                  <w:tcBorders>
                    <w:top w:val="nil"/>
                    <w:left w:val="nil"/>
                    <w:bottom w:val="nil"/>
                    <w:right w:val="nil"/>
                  </w:tcBorders>
                  <w:shd w:val="clear" w:color="000000" w:fill="FFFFFF"/>
                  <w:noWrap/>
                  <w:vAlign w:val="bottom"/>
                  <w:hideMark/>
                </w:tcPr>
                <w:p w14:paraId="45FD5B28"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   </w:t>
                  </w:r>
                </w:p>
              </w:tc>
              <w:tc>
                <w:tcPr>
                  <w:tcW w:w="880" w:type="dxa"/>
                  <w:tcBorders>
                    <w:top w:val="nil"/>
                    <w:left w:val="nil"/>
                    <w:bottom w:val="nil"/>
                    <w:right w:val="nil"/>
                  </w:tcBorders>
                  <w:shd w:val="clear" w:color="000000" w:fill="FFFFFF"/>
                  <w:noWrap/>
                  <w:vAlign w:val="bottom"/>
                  <w:hideMark/>
                </w:tcPr>
                <w:p w14:paraId="239EEC51"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   </w:t>
                  </w:r>
                </w:p>
              </w:tc>
              <w:tc>
                <w:tcPr>
                  <w:tcW w:w="880" w:type="dxa"/>
                  <w:tcBorders>
                    <w:top w:val="nil"/>
                    <w:left w:val="nil"/>
                    <w:bottom w:val="nil"/>
                    <w:right w:val="single" w:sz="8" w:space="0" w:color="auto"/>
                  </w:tcBorders>
                  <w:shd w:val="clear" w:color="000000" w:fill="FFFFFF"/>
                  <w:noWrap/>
                  <w:vAlign w:val="bottom"/>
                  <w:hideMark/>
                </w:tcPr>
                <w:p w14:paraId="22DCB0A6"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   </w:t>
                  </w:r>
                </w:p>
              </w:tc>
            </w:tr>
            <w:tr w:rsidR="00C934DA" w:rsidRPr="00F85253" w14:paraId="4DD0572A" w14:textId="77777777" w:rsidTr="00C934DA">
              <w:trPr>
                <w:trHeight w:val="255"/>
              </w:trPr>
              <w:tc>
                <w:tcPr>
                  <w:tcW w:w="4840" w:type="dxa"/>
                  <w:tcBorders>
                    <w:top w:val="nil"/>
                    <w:left w:val="single" w:sz="8" w:space="0" w:color="auto"/>
                    <w:bottom w:val="nil"/>
                    <w:right w:val="nil"/>
                  </w:tcBorders>
                  <w:shd w:val="clear" w:color="000000" w:fill="FFFFFF"/>
                  <w:noWrap/>
                  <w:vAlign w:val="bottom"/>
                  <w:hideMark/>
                </w:tcPr>
                <w:p w14:paraId="2E03A5D7" w14:textId="77777777" w:rsidR="00C934DA" w:rsidRPr="00F85253" w:rsidRDefault="00C934DA" w:rsidP="00C934DA">
                  <w:pPr>
                    <w:spacing w:after="0" w:line="240" w:lineRule="auto"/>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OPEX</w:t>
                  </w:r>
                </w:p>
              </w:tc>
              <w:tc>
                <w:tcPr>
                  <w:tcW w:w="1020" w:type="dxa"/>
                  <w:tcBorders>
                    <w:top w:val="nil"/>
                    <w:left w:val="nil"/>
                    <w:bottom w:val="nil"/>
                    <w:right w:val="nil"/>
                  </w:tcBorders>
                  <w:shd w:val="clear" w:color="000000" w:fill="FFFFFF"/>
                  <w:noWrap/>
                  <w:vAlign w:val="bottom"/>
                  <w:hideMark/>
                </w:tcPr>
                <w:p w14:paraId="5CFDF29C" w14:textId="77777777" w:rsidR="00C934DA" w:rsidRPr="00F85253" w:rsidRDefault="00C934DA" w:rsidP="00C934DA">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    26.58 </w:t>
                  </w:r>
                </w:p>
              </w:tc>
              <w:tc>
                <w:tcPr>
                  <w:tcW w:w="880" w:type="dxa"/>
                  <w:tcBorders>
                    <w:top w:val="nil"/>
                    <w:left w:val="single" w:sz="8" w:space="0" w:color="auto"/>
                    <w:bottom w:val="nil"/>
                    <w:right w:val="nil"/>
                  </w:tcBorders>
                  <w:shd w:val="clear" w:color="000000" w:fill="FFFFFF"/>
                  <w:noWrap/>
                  <w:vAlign w:val="bottom"/>
                  <w:hideMark/>
                </w:tcPr>
                <w:p w14:paraId="15512BC8"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0.27 </w:t>
                  </w:r>
                </w:p>
              </w:tc>
              <w:tc>
                <w:tcPr>
                  <w:tcW w:w="1120" w:type="dxa"/>
                  <w:tcBorders>
                    <w:top w:val="nil"/>
                    <w:left w:val="nil"/>
                    <w:bottom w:val="nil"/>
                    <w:right w:val="nil"/>
                  </w:tcBorders>
                  <w:shd w:val="clear" w:color="000000" w:fill="FFFFFF"/>
                  <w:noWrap/>
                  <w:vAlign w:val="bottom"/>
                  <w:hideMark/>
                </w:tcPr>
                <w:p w14:paraId="66095AB7"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1.76 </w:t>
                  </w:r>
                </w:p>
              </w:tc>
              <w:tc>
                <w:tcPr>
                  <w:tcW w:w="1100" w:type="dxa"/>
                  <w:tcBorders>
                    <w:top w:val="nil"/>
                    <w:left w:val="nil"/>
                    <w:bottom w:val="nil"/>
                    <w:right w:val="nil"/>
                  </w:tcBorders>
                  <w:shd w:val="clear" w:color="000000" w:fill="FFFFFF"/>
                  <w:noWrap/>
                  <w:vAlign w:val="bottom"/>
                  <w:hideMark/>
                </w:tcPr>
                <w:p w14:paraId="0FEA0E20"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2.87 </w:t>
                  </w:r>
                </w:p>
              </w:tc>
              <w:tc>
                <w:tcPr>
                  <w:tcW w:w="940" w:type="dxa"/>
                  <w:tcBorders>
                    <w:top w:val="nil"/>
                    <w:left w:val="nil"/>
                    <w:bottom w:val="nil"/>
                    <w:right w:val="nil"/>
                  </w:tcBorders>
                  <w:shd w:val="clear" w:color="000000" w:fill="FFFFFF"/>
                  <w:noWrap/>
                  <w:vAlign w:val="bottom"/>
                  <w:hideMark/>
                </w:tcPr>
                <w:p w14:paraId="212CADD4"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3.10 </w:t>
                  </w:r>
                </w:p>
              </w:tc>
              <w:tc>
                <w:tcPr>
                  <w:tcW w:w="940" w:type="dxa"/>
                  <w:tcBorders>
                    <w:top w:val="nil"/>
                    <w:left w:val="single" w:sz="8" w:space="0" w:color="auto"/>
                    <w:bottom w:val="nil"/>
                    <w:right w:val="nil"/>
                  </w:tcBorders>
                  <w:shd w:val="clear" w:color="000000" w:fill="FFFFFF"/>
                  <w:noWrap/>
                  <w:vAlign w:val="bottom"/>
                  <w:hideMark/>
                </w:tcPr>
                <w:p w14:paraId="4A156D70"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3.10 </w:t>
                  </w:r>
                </w:p>
              </w:tc>
              <w:tc>
                <w:tcPr>
                  <w:tcW w:w="880" w:type="dxa"/>
                  <w:tcBorders>
                    <w:top w:val="nil"/>
                    <w:left w:val="nil"/>
                    <w:bottom w:val="nil"/>
                    <w:right w:val="nil"/>
                  </w:tcBorders>
                  <w:shd w:val="clear" w:color="000000" w:fill="FFFFFF"/>
                  <w:noWrap/>
                  <w:vAlign w:val="bottom"/>
                  <w:hideMark/>
                </w:tcPr>
                <w:p w14:paraId="33145035"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3.10 </w:t>
                  </w:r>
                </w:p>
              </w:tc>
              <w:tc>
                <w:tcPr>
                  <w:tcW w:w="880" w:type="dxa"/>
                  <w:tcBorders>
                    <w:top w:val="nil"/>
                    <w:left w:val="nil"/>
                    <w:bottom w:val="nil"/>
                    <w:right w:val="nil"/>
                  </w:tcBorders>
                  <w:shd w:val="clear" w:color="000000" w:fill="FFFFFF"/>
                  <w:noWrap/>
                  <w:vAlign w:val="bottom"/>
                  <w:hideMark/>
                </w:tcPr>
                <w:p w14:paraId="2D55D806"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3.10 </w:t>
                  </w:r>
                </w:p>
              </w:tc>
              <w:tc>
                <w:tcPr>
                  <w:tcW w:w="880" w:type="dxa"/>
                  <w:tcBorders>
                    <w:top w:val="nil"/>
                    <w:left w:val="nil"/>
                    <w:bottom w:val="nil"/>
                    <w:right w:val="nil"/>
                  </w:tcBorders>
                  <w:shd w:val="clear" w:color="000000" w:fill="FFFFFF"/>
                  <w:noWrap/>
                  <w:vAlign w:val="bottom"/>
                  <w:hideMark/>
                </w:tcPr>
                <w:p w14:paraId="514D1EB1"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3.10 </w:t>
                  </w:r>
                </w:p>
              </w:tc>
              <w:tc>
                <w:tcPr>
                  <w:tcW w:w="880" w:type="dxa"/>
                  <w:tcBorders>
                    <w:top w:val="nil"/>
                    <w:left w:val="nil"/>
                    <w:bottom w:val="nil"/>
                    <w:right w:val="nil"/>
                  </w:tcBorders>
                  <w:shd w:val="clear" w:color="000000" w:fill="FFFFFF"/>
                  <w:noWrap/>
                  <w:vAlign w:val="bottom"/>
                  <w:hideMark/>
                </w:tcPr>
                <w:p w14:paraId="169F5534"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3.10 </w:t>
                  </w:r>
                </w:p>
              </w:tc>
              <w:tc>
                <w:tcPr>
                  <w:tcW w:w="880" w:type="dxa"/>
                  <w:tcBorders>
                    <w:top w:val="nil"/>
                    <w:left w:val="nil"/>
                    <w:bottom w:val="nil"/>
                    <w:right w:val="single" w:sz="8" w:space="0" w:color="auto"/>
                  </w:tcBorders>
                  <w:shd w:val="clear" w:color="000000" w:fill="FFFFFF"/>
                  <w:noWrap/>
                  <w:vAlign w:val="bottom"/>
                  <w:hideMark/>
                </w:tcPr>
                <w:p w14:paraId="79946AC1"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3.10 </w:t>
                  </w:r>
                </w:p>
              </w:tc>
            </w:tr>
            <w:tr w:rsidR="00C934DA" w:rsidRPr="00F85253" w14:paraId="53F3DAFC" w14:textId="77777777" w:rsidTr="00C934DA">
              <w:trPr>
                <w:trHeight w:val="255"/>
              </w:trPr>
              <w:tc>
                <w:tcPr>
                  <w:tcW w:w="4840" w:type="dxa"/>
                  <w:tcBorders>
                    <w:top w:val="nil"/>
                    <w:left w:val="single" w:sz="8" w:space="0" w:color="auto"/>
                    <w:bottom w:val="nil"/>
                    <w:right w:val="nil"/>
                  </w:tcBorders>
                  <w:shd w:val="clear" w:color="000000" w:fill="FFFFFF"/>
                  <w:noWrap/>
                  <w:vAlign w:val="bottom"/>
                  <w:hideMark/>
                </w:tcPr>
                <w:p w14:paraId="4CACB335" w14:textId="77777777" w:rsidR="00C934DA" w:rsidRPr="00F85253" w:rsidRDefault="00C934DA" w:rsidP="00C934DA">
                  <w:pPr>
                    <w:spacing w:after="0" w:line="240" w:lineRule="auto"/>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Subtotal OPEX y CAPEX</w:t>
                  </w:r>
                </w:p>
              </w:tc>
              <w:tc>
                <w:tcPr>
                  <w:tcW w:w="1020" w:type="dxa"/>
                  <w:tcBorders>
                    <w:top w:val="nil"/>
                    <w:left w:val="nil"/>
                    <w:bottom w:val="nil"/>
                    <w:right w:val="nil"/>
                  </w:tcBorders>
                  <w:shd w:val="clear" w:color="000000" w:fill="FFFFFF"/>
                  <w:noWrap/>
                  <w:vAlign w:val="bottom"/>
                  <w:hideMark/>
                </w:tcPr>
                <w:p w14:paraId="1863E700" w14:textId="77777777" w:rsidR="00C934DA" w:rsidRPr="00F85253" w:rsidRDefault="00C934DA" w:rsidP="00C934DA">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    53.41 </w:t>
                  </w:r>
                </w:p>
              </w:tc>
              <w:tc>
                <w:tcPr>
                  <w:tcW w:w="880" w:type="dxa"/>
                  <w:tcBorders>
                    <w:top w:val="nil"/>
                    <w:left w:val="single" w:sz="8" w:space="0" w:color="auto"/>
                    <w:bottom w:val="nil"/>
                    <w:right w:val="nil"/>
                  </w:tcBorders>
                  <w:shd w:val="clear" w:color="000000" w:fill="FFFFFF"/>
                  <w:noWrap/>
                  <w:vAlign w:val="bottom"/>
                  <w:hideMark/>
                </w:tcPr>
                <w:p w14:paraId="4BA1B04F"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2.59 </w:t>
                  </w:r>
                </w:p>
              </w:tc>
              <w:tc>
                <w:tcPr>
                  <w:tcW w:w="1120" w:type="dxa"/>
                  <w:tcBorders>
                    <w:top w:val="nil"/>
                    <w:left w:val="nil"/>
                    <w:bottom w:val="nil"/>
                    <w:right w:val="nil"/>
                  </w:tcBorders>
                  <w:shd w:val="clear" w:color="000000" w:fill="FFFFFF"/>
                  <w:noWrap/>
                  <w:vAlign w:val="bottom"/>
                  <w:hideMark/>
                </w:tcPr>
                <w:p w14:paraId="14F5A137"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14.50 </w:t>
                  </w:r>
                </w:p>
              </w:tc>
              <w:tc>
                <w:tcPr>
                  <w:tcW w:w="1100" w:type="dxa"/>
                  <w:tcBorders>
                    <w:top w:val="nil"/>
                    <w:left w:val="nil"/>
                    <w:bottom w:val="nil"/>
                    <w:right w:val="nil"/>
                  </w:tcBorders>
                  <w:shd w:val="clear" w:color="000000" w:fill="FFFFFF"/>
                  <w:noWrap/>
                  <w:vAlign w:val="bottom"/>
                  <w:hideMark/>
                </w:tcPr>
                <w:p w14:paraId="2E367EA4"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12.40 </w:t>
                  </w:r>
                </w:p>
              </w:tc>
              <w:tc>
                <w:tcPr>
                  <w:tcW w:w="940" w:type="dxa"/>
                  <w:tcBorders>
                    <w:top w:val="nil"/>
                    <w:left w:val="nil"/>
                    <w:bottom w:val="nil"/>
                    <w:right w:val="nil"/>
                  </w:tcBorders>
                  <w:shd w:val="clear" w:color="000000" w:fill="FFFFFF"/>
                  <w:noWrap/>
                  <w:vAlign w:val="bottom"/>
                  <w:hideMark/>
                </w:tcPr>
                <w:p w14:paraId="7BA5343D"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5.33 </w:t>
                  </w:r>
                </w:p>
              </w:tc>
              <w:tc>
                <w:tcPr>
                  <w:tcW w:w="940" w:type="dxa"/>
                  <w:tcBorders>
                    <w:top w:val="nil"/>
                    <w:left w:val="single" w:sz="8" w:space="0" w:color="auto"/>
                    <w:bottom w:val="nil"/>
                    <w:right w:val="nil"/>
                  </w:tcBorders>
                  <w:shd w:val="clear" w:color="000000" w:fill="FFFFFF"/>
                  <w:noWrap/>
                  <w:vAlign w:val="bottom"/>
                  <w:hideMark/>
                </w:tcPr>
                <w:p w14:paraId="0BD20020"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3.10 </w:t>
                  </w:r>
                </w:p>
              </w:tc>
              <w:tc>
                <w:tcPr>
                  <w:tcW w:w="880" w:type="dxa"/>
                  <w:tcBorders>
                    <w:top w:val="nil"/>
                    <w:left w:val="nil"/>
                    <w:bottom w:val="nil"/>
                    <w:right w:val="nil"/>
                  </w:tcBorders>
                  <w:shd w:val="clear" w:color="000000" w:fill="FFFFFF"/>
                  <w:noWrap/>
                  <w:vAlign w:val="bottom"/>
                  <w:hideMark/>
                </w:tcPr>
                <w:p w14:paraId="125B77C3"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3.10 </w:t>
                  </w:r>
                </w:p>
              </w:tc>
              <w:tc>
                <w:tcPr>
                  <w:tcW w:w="880" w:type="dxa"/>
                  <w:tcBorders>
                    <w:top w:val="nil"/>
                    <w:left w:val="nil"/>
                    <w:bottom w:val="nil"/>
                    <w:right w:val="nil"/>
                  </w:tcBorders>
                  <w:shd w:val="clear" w:color="000000" w:fill="FFFFFF"/>
                  <w:noWrap/>
                  <w:vAlign w:val="bottom"/>
                  <w:hideMark/>
                </w:tcPr>
                <w:p w14:paraId="5A0E26CA"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3.10 </w:t>
                  </w:r>
                </w:p>
              </w:tc>
              <w:tc>
                <w:tcPr>
                  <w:tcW w:w="880" w:type="dxa"/>
                  <w:tcBorders>
                    <w:top w:val="nil"/>
                    <w:left w:val="nil"/>
                    <w:bottom w:val="nil"/>
                    <w:right w:val="nil"/>
                  </w:tcBorders>
                  <w:shd w:val="clear" w:color="000000" w:fill="FFFFFF"/>
                  <w:noWrap/>
                  <w:vAlign w:val="bottom"/>
                  <w:hideMark/>
                </w:tcPr>
                <w:p w14:paraId="6BF30100"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3.10 </w:t>
                  </w:r>
                </w:p>
              </w:tc>
              <w:tc>
                <w:tcPr>
                  <w:tcW w:w="880" w:type="dxa"/>
                  <w:tcBorders>
                    <w:top w:val="nil"/>
                    <w:left w:val="nil"/>
                    <w:bottom w:val="nil"/>
                    <w:right w:val="nil"/>
                  </w:tcBorders>
                  <w:shd w:val="clear" w:color="000000" w:fill="FFFFFF"/>
                  <w:noWrap/>
                  <w:vAlign w:val="bottom"/>
                  <w:hideMark/>
                </w:tcPr>
                <w:p w14:paraId="647A533C"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3.10 </w:t>
                  </w:r>
                </w:p>
              </w:tc>
              <w:tc>
                <w:tcPr>
                  <w:tcW w:w="880" w:type="dxa"/>
                  <w:tcBorders>
                    <w:top w:val="nil"/>
                    <w:left w:val="nil"/>
                    <w:bottom w:val="nil"/>
                    <w:right w:val="single" w:sz="8" w:space="0" w:color="auto"/>
                  </w:tcBorders>
                  <w:shd w:val="clear" w:color="000000" w:fill="FFFFFF"/>
                  <w:noWrap/>
                  <w:vAlign w:val="bottom"/>
                  <w:hideMark/>
                </w:tcPr>
                <w:p w14:paraId="43D816EA"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3.10 </w:t>
                  </w:r>
                </w:p>
              </w:tc>
            </w:tr>
            <w:tr w:rsidR="00C934DA" w:rsidRPr="00F85253" w14:paraId="6F85E3BA" w14:textId="77777777" w:rsidTr="00C934DA">
              <w:trPr>
                <w:trHeight w:val="255"/>
              </w:trPr>
              <w:tc>
                <w:tcPr>
                  <w:tcW w:w="4840" w:type="dxa"/>
                  <w:tcBorders>
                    <w:top w:val="nil"/>
                    <w:left w:val="single" w:sz="8" w:space="0" w:color="auto"/>
                    <w:bottom w:val="nil"/>
                    <w:right w:val="nil"/>
                  </w:tcBorders>
                  <w:shd w:val="clear" w:color="000000" w:fill="FFFFFF"/>
                  <w:noWrap/>
                  <w:vAlign w:val="bottom"/>
                  <w:hideMark/>
                </w:tcPr>
                <w:p w14:paraId="4D24D66E" w14:textId="77777777" w:rsidR="00C934DA" w:rsidRPr="00F85253" w:rsidRDefault="00C934DA" w:rsidP="00C934DA">
                  <w:pPr>
                    <w:spacing w:after="0" w:line="240" w:lineRule="auto"/>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w:t>
                  </w:r>
                </w:p>
              </w:tc>
              <w:tc>
                <w:tcPr>
                  <w:tcW w:w="1020" w:type="dxa"/>
                  <w:tcBorders>
                    <w:top w:val="nil"/>
                    <w:left w:val="nil"/>
                    <w:bottom w:val="nil"/>
                    <w:right w:val="nil"/>
                  </w:tcBorders>
                  <w:shd w:val="clear" w:color="000000" w:fill="FFFFFF"/>
                  <w:noWrap/>
                  <w:vAlign w:val="bottom"/>
                  <w:hideMark/>
                </w:tcPr>
                <w:p w14:paraId="19430E7C" w14:textId="77777777" w:rsidR="00C934DA" w:rsidRPr="00F85253" w:rsidRDefault="00C934DA" w:rsidP="00C934DA">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w:t>
                  </w:r>
                </w:p>
              </w:tc>
              <w:tc>
                <w:tcPr>
                  <w:tcW w:w="880" w:type="dxa"/>
                  <w:tcBorders>
                    <w:top w:val="nil"/>
                    <w:left w:val="single" w:sz="8" w:space="0" w:color="auto"/>
                    <w:bottom w:val="nil"/>
                    <w:right w:val="nil"/>
                  </w:tcBorders>
                  <w:shd w:val="clear" w:color="000000" w:fill="FFFFFF"/>
                  <w:noWrap/>
                  <w:vAlign w:val="bottom"/>
                  <w:hideMark/>
                </w:tcPr>
                <w:p w14:paraId="3C8F5A54"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1120" w:type="dxa"/>
                  <w:tcBorders>
                    <w:top w:val="nil"/>
                    <w:left w:val="nil"/>
                    <w:bottom w:val="nil"/>
                    <w:right w:val="nil"/>
                  </w:tcBorders>
                  <w:shd w:val="clear" w:color="000000" w:fill="FFFFFF"/>
                  <w:noWrap/>
                  <w:vAlign w:val="bottom"/>
                  <w:hideMark/>
                </w:tcPr>
                <w:p w14:paraId="62891398"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1100" w:type="dxa"/>
                  <w:tcBorders>
                    <w:top w:val="nil"/>
                    <w:left w:val="nil"/>
                    <w:bottom w:val="nil"/>
                    <w:right w:val="nil"/>
                  </w:tcBorders>
                  <w:shd w:val="clear" w:color="000000" w:fill="FFFFFF"/>
                  <w:noWrap/>
                  <w:vAlign w:val="bottom"/>
                  <w:hideMark/>
                </w:tcPr>
                <w:p w14:paraId="3FC18835"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940" w:type="dxa"/>
                  <w:tcBorders>
                    <w:top w:val="nil"/>
                    <w:left w:val="nil"/>
                    <w:bottom w:val="nil"/>
                    <w:right w:val="nil"/>
                  </w:tcBorders>
                  <w:shd w:val="clear" w:color="000000" w:fill="FFFFFF"/>
                  <w:noWrap/>
                  <w:vAlign w:val="bottom"/>
                  <w:hideMark/>
                </w:tcPr>
                <w:p w14:paraId="7E9338DC"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940" w:type="dxa"/>
                  <w:tcBorders>
                    <w:top w:val="nil"/>
                    <w:left w:val="single" w:sz="8" w:space="0" w:color="auto"/>
                    <w:bottom w:val="nil"/>
                    <w:right w:val="nil"/>
                  </w:tcBorders>
                  <w:shd w:val="clear" w:color="000000" w:fill="FFFFFF"/>
                  <w:noWrap/>
                  <w:vAlign w:val="bottom"/>
                  <w:hideMark/>
                </w:tcPr>
                <w:p w14:paraId="70F9476E"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880" w:type="dxa"/>
                  <w:tcBorders>
                    <w:top w:val="nil"/>
                    <w:left w:val="nil"/>
                    <w:bottom w:val="nil"/>
                    <w:right w:val="nil"/>
                  </w:tcBorders>
                  <w:shd w:val="clear" w:color="000000" w:fill="FFFFFF"/>
                  <w:noWrap/>
                  <w:vAlign w:val="bottom"/>
                  <w:hideMark/>
                </w:tcPr>
                <w:p w14:paraId="26363C60"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880" w:type="dxa"/>
                  <w:tcBorders>
                    <w:top w:val="nil"/>
                    <w:left w:val="nil"/>
                    <w:bottom w:val="nil"/>
                    <w:right w:val="nil"/>
                  </w:tcBorders>
                  <w:shd w:val="clear" w:color="000000" w:fill="FFFFFF"/>
                  <w:noWrap/>
                  <w:vAlign w:val="bottom"/>
                  <w:hideMark/>
                </w:tcPr>
                <w:p w14:paraId="09B6FAA2"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880" w:type="dxa"/>
                  <w:tcBorders>
                    <w:top w:val="nil"/>
                    <w:left w:val="nil"/>
                    <w:bottom w:val="nil"/>
                    <w:right w:val="nil"/>
                  </w:tcBorders>
                  <w:shd w:val="clear" w:color="000000" w:fill="FFFFFF"/>
                  <w:noWrap/>
                  <w:vAlign w:val="bottom"/>
                  <w:hideMark/>
                </w:tcPr>
                <w:p w14:paraId="4BB9BE77"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880" w:type="dxa"/>
                  <w:tcBorders>
                    <w:top w:val="nil"/>
                    <w:left w:val="nil"/>
                    <w:bottom w:val="nil"/>
                    <w:right w:val="nil"/>
                  </w:tcBorders>
                  <w:shd w:val="clear" w:color="000000" w:fill="FFFFFF"/>
                  <w:noWrap/>
                  <w:vAlign w:val="bottom"/>
                  <w:hideMark/>
                </w:tcPr>
                <w:p w14:paraId="2FCCBC1D"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c>
                <w:tcPr>
                  <w:tcW w:w="880" w:type="dxa"/>
                  <w:tcBorders>
                    <w:top w:val="nil"/>
                    <w:left w:val="nil"/>
                    <w:bottom w:val="nil"/>
                    <w:right w:val="single" w:sz="8" w:space="0" w:color="auto"/>
                  </w:tcBorders>
                  <w:shd w:val="clear" w:color="000000" w:fill="FFFFFF"/>
                  <w:noWrap/>
                  <w:vAlign w:val="bottom"/>
                  <w:hideMark/>
                </w:tcPr>
                <w:p w14:paraId="5C59790E"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w:t>
                  </w:r>
                </w:p>
              </w:tc>
            </w:tr>
            <w:tr w:rsidR="00C934DA" w:rsidRPr="00F85253" w14:paraId="4BC1222C" w14:textId="77777777" w:rsidTr="00C934DA">
              <w:trPr>
                <w:trHeight w:val="270"/>
              </w:trPr>
              <w:tc>
                <w:tcPr>
                  <w:tcW w:w="4840" w:type="dxa"/>
                  <w:tcBorders>
                    <w:top w:val="nil"/>
                    <w:left w:val="single" w:sz="8" w:space="0" w:color="auto"/>
                    <w:bottom w:val="single" w:sz="8" w:space="0" w:color="auto"/>
                    <w:right w:val="nil"/>
                  </w:tcBorders>
                  <w:shd w:val="clear" w:color="000000" w:fill="FFFFFF"/>
                  <w:noWrap/>
                  <w:vAlign w:val="bottom"/>
                  <w:hideMark/>
                </w:tcPr>
                <w:p w14:paraId="7E7E4802" w14:textId="77777777" w:rsidR="00C934DA" w:rsidRPr="00F85253" w:rsidRDefault="00C934DA" w:rsidP="00C934DA">
                  <w:pPr>
                    <w:spacing w:after="0" w:line="240" w:lineRule="auto"/>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Flujo Neto Generado</w:t>
                  </w:r>
                </w:p>
              </w:tc>
              <w:tc>
                <w:tcPr>
                  <w:tcW w:w="1020" w:type="dxa"/>
                  <w:tcBorders>
                    <w:top w:val="nil"/>
                    <w:left w:val="nil"/>
                    <w:bottom w:val="single" w:sz="8" w:space="0" w:color="auto"/>
                    <w:right w:val="nil"/>
                  </w:tcBorders>
                  <w:shd w:val="clear" w:color="000000" w:fill="FFFFFF"/>
                  <w:noWrap/>
                  <w:vAlign w:val="bottom"/>
                  <w:hideMark/>
                </w:tcPr>
                <w:p w14:paraId="4D9D753A" w14:textId="77777777" w:rsidR="00C934DA" w:rsidRPr="00F85253" w:rsidRDefault="00C934DA" w:rsidP="00C934DA">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 xml:space="preserve"> $    19.51 </w:t>
                  </w:r>
                </w:p>
              </w:tc>
              <w:tc>
                <w:tcPr>
                  <w:tcW w:w="880" w:type="dxa"/>
                  <w:tcBorders>
                    <w:top w:val="nil"/>
                    <w:left w:val="single" w:sz="8" w:space="0" w:color="auto"/>
                    <w:bottom w:val="single" w:sz="8" w:space="0" w:color="auto"/>
                    <w:right w:val="nil"/>
                  </w:tcBorders>
                  <w:shd w:val="clear" w:color="000000" w:fill="FFFFFF"/>
                  <w:noWrap/>
                  <w:vAlign w:val="bottom"/>
                  <w:hideMark/>
                </w:tcPr>
                <w:p w14:paraId="2CA71FB1"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w:t>
                  </w:r>
                  <w:proofErr w:type="gramStart"/>
                  <w:r w:rsidRPr="00F85253">
                    <w:rPr>
                      <w:rFonts w:ascii="Arial" w:eastAsia="Times New Roman" w:hAnsi="Arial" w:cs="Arial"/>
                      <w:sz w:val="18"/>
                      <w:szCs w:val="18"/>
                      <w:lang w:val="es-EC" w:eastAsia="es-EC"/>
                    </w:rPr>
                    <w:t>$  -</w:t>
                  </w:r>
                  <w:proofErr w:type="gramEnd"/>
                  <w:r w:rsidRPr="00F85253">
                    <w:rPr>
                      <w:rFonts w:ascii="Arial" w:eastAsia="Times New Roman" w:hAnsi="Arial" w:cs="Arial"/>
                      <w:sz w:val="18"/>
                      <w:szCs w:val="18"/>
                      <w:lang w:val="es-EC" w:eastAsia="es-EC"/>
                    </w:rPr>
                    <w:t xml:space="preserve">2.59 </w:t>
                  </w:r>
                </w:p>
              </w:tc>
              <w:tc>
                <w:tcPr>
                  <w:tcW w:w="1120" w:type="dxa"/>
                  <w:tcBorders>
                    <w:top w:val="nil"/>
                    <w:left w:val="nil"/>
                    <w:bottom w:val="single" w:sz="8" w:space="0" w:color="auto"/>
                    <w:right w:val="nil"/>
                  </w:tcBorders>
                  <w:shd w:val="clear" w:color="000000" w:fill="FFFFFF"/>
                  <w:noWrap/>
                  <w:vAlign w:val="bottom"/>
                  <w:hideMark/>
                </w:tcPr>
                <w:p w14:paraId="2277992D"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-14.50 </w:t>
                  </w:r>
                </w:p>
              </w:tc>
              <w:tc>
                <w:tcPr>
                  <w:tcW w:w="1100" w:type="dxa"/>
                  <w:tcBorders>
                    <w:top w:val="nil"/>
                    <w:left w:val="nil"/>
                    <w:bottom w:val="single" w:sz="8" w:space="0" w:color="auto"/>
                    <w:right w:val="nil"/>
                  </w:tcBorders>
                  <w:shd w:val="clear" w:color="000000" w:fill="FFFFFF"/>
                  <w:noWrap/>
                  <w:vAlign w:val="bottom"/>
                  <w:hideMark/>
                </w:tcPr>
                <w:p w14:paraId="613C1EF3"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-12.40 </w:t>
                  </w:r>
                </w:p>
              </w:tc>
              <w:tc>
                <w:tcPr>
                  <w:tcW w:w="940" w:type="dxa"/>
                  <w:tcBorders>
                    <w:top w:val="nil"/>
                    <w:left w:val="nil"/>
                    <w:bottom w:val="single" w:sz="8" w:space="0" w:color="auto"/>
                    <w:right w:val="nil"/>
                  </w:tcBorders>
                  <w:shd w:val="clear" w:color="000000" w:fill="FFFFFF"/>
                  <w:noWrap/>
                  <w:vAlign w:val="bottom"/>
                  <w:hideMark/>
                </w:tcPr>
                <w:p w14:paraId="5A7C34AE"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-5.33 </w:t>
                  </w:r>
                </w:p>
              </w:tc>
              <w:tc>
                <w:tcPr>
                  <w:tcW w:w="940" w:type="dxa"/>
                  <w:tcBorders>
                    <w:top w:val="nil"/>
                    <w:left w:val="single" w:sz="8" w:space="0" w:color="auto"/>
                    <w:bottom w:val="single" w:sz="8" w:space="0" w:color="auto"/>
                    <w:right w:val="nil"/>
                  </w:tcBorders>
                  <w:shd w:val="clear" w:color="000000" w:fill="FFFFFF"/>
                  <w:noWrap/>
                  <w:vAlign w:val="bottom"/>
                  <w:hideMark/>
                </w:tcPr>
                <w:p w14:paraId="69FDE055"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-0.58 </w:t>
                  </w:r>
                </w:p>
              </w:tc>
              <w:tc>
                <w:tcPr>
                  <w:tcW w:w="880" w:type="dxa"/>
                  <w:tcBorders>
                    <w:top w:val="nil"/>
                    <w:left w:val="nil"/>
                    <w:bottom w:val="single" w:sz="8" w:space="0" w:color="auto"/>
                    <w:right w:val="nil"/>
                  </w:tcBorders>
                  <w:shd w:val="clear" w:color="000000" w:fill="FFFFFF"/>
                  <w:noWrap/>
                  <w:vAlign w:val="bottom"/>
                  <w:hideMark/>
                </w:tcPr>
                <w:p w14:paraId="4B941703"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1.06 </w:t>
                  </w:r>
                </w:p>
              </w:tc>
              <w:tc>
                <w:tcPr>
                  <w:tcW w:w="880" w:type="dxa"/>
                  <w:tcBorders>
                    <w:top w:val="nil"/>
                    <w:left w:val="nil"/>
                    <w:bottom w:val="single" w:sz="8" w:space="0" w:color="auto"/>
                    <w:right w:val="nil"/>
                  </w:tcBorders>
                  <w:shd w:val="clear" w:color="000000" w:fill="FFFFFF"/>
                  <w:noWrap/>
                  <w:vAlign w:val="bottom"/>
                  <w:hideMark/>
                </w:tcPr>
                <w:p w14:paraId="0B43AAC8"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3.73 </w:t>
                  </w:r>
                </w:p>
              </w:tc>
              <w:tc>
                <w:tcPr>
                  <w:tcW w:w="880" w:type="dxa"/>
                  <w:tcBorders>
                    <w:top w:val="nil"/>
                    <w:left w:val="nil"/>
                    <w:bottom w:val="single" w:sz="8" w:space="0" w:color="auto"/>
                    <w:right w:val="nil"/>
                  </w:tcBorders>
                  <w:shd w:val="clear" w:color="000000" w:fill="FFFFFF"/>
                  <w:noWrap/>
                  <w:vAlign w:val="bottom"/>
                  <w:hideMark/>
                </w:tcPr>
                <w:p w14:paraId="3DFB6238"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8.10 </w:t>
                  </w:r>
                </w:p>
              </w:tc>
              <w:tc>
                <w:tcPr>
                  <w:tcW w:w="880" w:type="dxa"/>
                  <w:tcBorders>
                    <w:top w:val="nil"/>
                    <w:left w:val="nil"/>
                    <w:bottom w:val="single" w:sz="8" w:space="0" w:color="auto"/>
                    <w:right w:val="nil"/>
                  </w:tcBorders>
                  <w:shd w:val="clear" w:color="000000" w:fill="FFFFFF"/>
                  <w:noWrap/>
                  <w:vAlign w:val="bottom"/>
                  <w:hideMark/>
                </w:tcPr>
                <w:p w14:paraId="6FF3D495"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$ 15.22 </w:t>
                  </w:r>
                </w:p>
              </w:tc>
              <w:tc>
                <w:tcPr>
                  <w:tcW w:w="880" w:type="dxa"/>
                  <w:tcBorders>
                    <w:top w:val="nil"/>
                    <w:left w:val="nil"/>
                    <w:bottom w:val="single" w:sz="8" w:space="0" w:color="auto"/>
                    <w:right w:val="single" w:sz="8" w:space="0" w:color="auto"/>
                  </w:tcBorders>
                  <w:shd w:val="clear" w:color="000000" w:fill="FFFFFF"/>
                  <w:noWrap/>
                  <w:vAlign w:val="bottom"/>
                  <w:hideMark/>
                </w:tcPr>
                <w:p w14:paraId="782F5AF3" w14:textId="77777777" w:rsidR="00C934DA" w:rsidRPr="00F85253" w:rsidRDefault="00C934DA" w:rsidP="00C934DA">
                  <w:pPr>
                    <w:spacing w:after="0" w:line="240" w:lineRule="auto"/>
                    <w:jc w:val="right"/>
                    <w:rPr>
                      <w:rFonts w:ascii="Arial" w:eastAsia="Times New Roman" w:hAnsi="Arial" w:cs="Arial"/>
                      <w:sz w:val="18"/>
                      <w:szCs w:val="18"/>
                      <w:lang w:val="es-EC" w:eastAsia="es-EC"/>
                    </w:rPr>
                  </w:pPr>
                  <w:r w:rsidRPr="00F85253">
                    <w:rPr>
                      <w:rFonts w:ascii="Arial" w:eastAsia="Times New Roman" w:hAnsi="Arial" w:cs="Arial"/>
                      <w:sz w:val="18"/>
                      <w:szCs w:val="18"/>
                      <w:lang w:val="es-EC" w:eastAsia="es-EC"/>
                    </w:rPr>
                    <w:t xml:space="preserve"> $ 26.81 </w:t>
                  </w:r>
                </w:p>
              </w:tc>
            </w:tr>
            <w:tr w:rsidR="00C934DA" w:rsidRPr="00F85253" w14:paraId="7E246F6D" w14:textId="77777777" w:rsidTr="00C934DA">
              <w:trPr>
                <w:trHeight w:val="270"/>
              </w:trPr>
              <w:tc>
                <w:tcPr>
                  <w:tcW w:w="4840" w:type="dxa"/>
                  <w:tcBorders>
                    <w:top w:val="nil"/>
                    <w:left w:val="single" w:sz="8" w:space="0" w:color="auto"/>
                    <w:bottom w:val="single" w:sz="8" w:space="0" w:color="auto"/>
                    <w:right w:val="nil"/>
                  </w:tcBorders>
                  <w:shd w:val="clear" w:color="000000" w:fill="FFFFFF"/>
                  <w:noWrap/>
                  <w:vAlign w:val="bottom"/>
                </w:tcPr>
                <w:p w14:paraId="4B48E29A" w14:textId="2741B951" w:rsidR="00C934DA" w:rsidRPr="00F85253" w:rsidRDefault="00C934DA" w:rsidP="00C934DA">
                  <w:pPr>
                    <w:spacing w:after="0" w:line="240" w:lineRule="auto"/>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TIR</w:t>
                  </w:r>
                </w:p>
              </w:tc>
              <w:tc>
                <w:tcPr>
                  <w:tcW w:w="1020" w:type="dxa"/>
                  <w:tcBorders>
                    <w:top w:val="nil"/>
                    <w:left w:val="nil"/>
                    <w:bottom w:val="single" w:sz="8" w:space="0" w:color="auto"/>
                    <w:right w:val="nil"/>
                  </w:tcBorders>
                  <w:shd w:val="clear" w:color="000000" w:fill="FFFFFF"/>
                  <w:noWrap/>
                  <w:vAlign w:val="bottom"/>
                </w:tcPr>
                <w:p w14:paraId="462A0802" w14:textId="208C3441" w:rsidR="00C934DA" w:rsidRPr="00F85253" w:rsidRDefault="00C934DA" w:rsidP="00C934DA">
                  <w:pPr>
                    <w:spacing w:after="0" w:line="240" w:lineRule="auto"/>
                    <w:rPr>
                      <w:rFonts w:ascii="Arial" w:eastAsia="Times New Roman" w:hAnsi="Arial" w:cs="Arial"/>
                      <w:b/>
                      <w:bCs/>
                      <w:sz w:val="18"/>
                      <w:szCs w:val="18"/>
                      <w:lang w:val="es-EC" w:eastAsia="es-EC"/>
                    </w:rPr>
                  </w:pPr>
                </w:p>
              </w:tc>
              <w:tc>
                <w:tcPr>
                  <w:tcW w:w="880" w:type="dxa"/>
                  <w:tcBorders>
                    <w:top w:val="nil"/>
                    <w:left w:val="single" w:sz="8" w:space="0" w:color="auto"/>
                    <w:bottom w:val="single" w:sz="8" w:space="0" w:color="auto"/>
                    <w:right w:val="nil"/>
                  </w:tcBorders>
                  <w:shd w:val="clear" w:color="000000" w:fill="FFFFFF"/>
                  <w:noWrap/>
                  <w:vAlign w:val="bottom"/>
                </w:tcPr>
                <w:p w14:paraId="55821B4D" w14:textId="7848EBD5" w:rsidR="00C934DA" w:rsidRPr="00F85253" w:rsidRDefault="00C934DA" w:rsidP="00C934DA">
                  <w:pPr>
                    <w:spacing w:after="0" w:line="240" w:lineRule="auto"/>
                    <w:jc w:val="right"/>
                    <w:rPr>
                      <w:rFonts w:ascii="Arial" w:eastAsia="Times New Roman" w:hAnsi="Arial" w:cs="Arial"/>
                      <w:b/>
                      <w:bCs/>
                      <w:color w:val="FFFFFF"/>
                      <w:sz w:val="18"/>
                      <w:szCs w:val="18"/>
                      <w:lang w:val="es-EC" w:eastAsia="es-EC"/>
                    </w:rPr>
                  </w:pPr>
                </w:p>
              </w:tc>
              <w:tc>
                <w:tcPr>
                  <w:tcW w:w="1120" w:type="dxa"/>
                  <w:tcBorders>
                    <w:top w:val="nil"/>
                    <w:left w:val="nil"/>
                    <w:bottom w:val="single" w:sz="8" w:space="0" w:color="auto"/>
                    <w:right w:val="nil"/>
                  </w:tcBorders>
                  <w:shd w:val="clear" w:color="000000" w:fill="FFFFFF"/>
                  <w:noWrap/>
                  <w:vAlign w:val="bottom"/>
                </w:tcPr>
                <w:p w14:paraId="7B5E4C5C" w14:textId="1E2E7B9D" w:rsidR="00C934DA" w:rsidRPr="00F85253" w:rsidRDefault="00C934DA" w:rsidP="00C934DA">
                  <w:pPr>
                    <w:spacing w:after="0" w:line="240" w:lineRule="auto"/>
                    <w:jc w:val="right"/>
                    <w:rPr>
                      <w:rFonts w:ascii="Arial" w:eastAsia="Times New Roman" w:hAnsi="Arial" w:cs="Arial"/>
                      <w:b/>
                      <w:bCs/>
                      <w:color w:val="FFFFFF"/>
                      <w:sz w:val="18"/>
                      <w:szCs w:val="18"/>
                      <w:lang w:val="es-EC" w:eastAsia="es-EC"/>
                    </w:rPr>
                  </w:pPr>
                </w:p>
              </w:tc>
              <w:tc>
                <w:tcPr>
                  <w:tcW w:w="1100" w:type="dxa"/>
                  <w:tcBorders>
                    <w:top w:val="nil"/>
                    <w:left w:val="nil"/>
                    <w:bottom w:val="single" w:sz="8" w:space="0" w:color="auto"/>
                    <w:right w:val="nil"/>
                  </w:tcBorders>
                  <w:shd w:val="clear" w:color="000000" w:fill="FFFFFF"/>
                  <w:noWrap/>
                  <w:vAlign w:val="bottom"/>
                </w:tcPr>
                <w:p w14:paraId="6BA45B22" w14:textId="4FEBA53A" w:rsidR="00C934DA" w:rsidRPr="00F85253" w:rsidRDefault="00C934DA" w:rsidP="00C934DA">
                  <w:pPr>
                    <w:spacing w:after="0" w:line="240" w:lineRule="auto"/>
                    <w:jc w:val="right"/>
                    <w:rPr>
                      <w:rFonts w:ascii="Arial" w:eastAsia="Times New Roman" w:hAnsi="Arial" w:cs="Arial"/>
                      <w:b/>
                      <w:bCs/>
                      <w:color w:val="FFFFFF"/>
                      <w:sz w:val="18"/>
                      <w:szCs w:val="18"/>
                      <w:lang w:val="es-EC" w:eastAsia="es-EC"/>
                    </w:rPr>
                  </w:pPr>
                </w:p>
              </w:tc>
              <w:tc>
                <w:tcPr>
                  <w:tcW w:w="940" w:type="dxa"/>
                  <w:tcBorders>
                    <w:top w:val="nil"/>
                    <w:left w:val="nil"/>
                    <w:bottom w:val="single" w:sz="8" w:space="0" w:color="auto"/>
                    <w:right w:val="nil"/>
                  </w:tcBorders>
                  <w:shd w:val="clear" w:color="000000" w:fill="FFFFFF"/>
                  <w:noWrap/>
                  <w:vAlign w:val="bottom"/>
                </w:tcPr>
                <w:p w14:paraId="1B490EFB" w14:textId="3603EEC4" w:rsidR="00C934DA" w:rsidRPr="00F85253" w:rsidRDefault="00C934DA" w:rsidP="00C934DA">
                  <w:pPr>
                    <w:spacing w:after="0" w:line="240" w:lineRule="auto"/>
                    <w:jc w:val="right"/>
                    <w:rPr>
                      <w:rFonts w:ascii="Arial" w:eastAsia="Times New Roman" w:hAnsi="Arial" w:cs="Arial"/>
                      <w:b/>
                      <w:bCs/>
                      <w:color w:val="FFFFFF"/>
                      <w:sz w:val="18"/>
                      <w:szCs w:val="18"/>
                      <w:lang w:val="es-EC" w:eastAsia="es-EC"/>
                    </w:rPr>
                  </w:pPr>
                </w:p>
              </w:tc>
              <w:tc>
                <w:tcPr>
                  <w:tcW w:w="940" w:type="dxa"/>
                  <w:tcBorders>
                    <w:top w:val="nil"/>
                    <w:left w:val="nil"/>
                    <w:bottom w:val="single" w:sz="8" w:space="0" w:color="auto"/>
                    <w:right w:val="nil"/>
                  </w:tcBorders>
                  <w:shd w:val="clear" w:color="000000" w:fill="FFFFFF"/>
                  <w:noWrap/>
                  <w:vAlign w:val="bottom"/>
                </w:tcPr>
                <w:p w14:paraId="5CD06EC0" w14:textId="5139EB47" w:rsidR="00C934DA" w:rsidRPr="00F85253" w:rsidRDefault="00C934DA" w:rsidP="00C934DA">
                  <w:pPr>
                    <w:spacing w:after="0" w:line="240" w:lineRule="auto"/>
                    <w:jc w:val="right"/>
                    <w:rPr>
                      <w:rFonts w:ascii="Arial" w:eastAsia="Times New Roman" w:hAnsi="Arial" w:cs="Arial"/>
                      <w:b/>
                      <w:bCs/>
                      <w:color w:val="FFFFFF"/>
                      <w:sz w:val="18"/>
                      <w:szCs w:val="18"/>
                      <w:lang w:val="es-EC" w:eastAsia="es-EC"/>
                    </w:rPr>
                  </w:pPr>
                </w:p>
              </w:tc>
              <w:tc>
                <w:tcPr>
                  <w:tcW w:w="880" w:type="dxa"/>
                  <w:tcBorders>
                    <w:top w:val="nil"/>
                    <w:left w:val="nil"/>
                    <w:bottom w:val="single" w:sz="8" w:space="0" w:color="auto"/>
                    <w:right w:val="nil"/>
                  </w:tcBorders>
                  <w:shd w:val="clear" w:color="000000" w:fill="FFFFFF"/>
                  <w:noWrap/>
                  <w:vAlign w:val="bottom"/>
                </w:tcPr>
                <w:p w14:paraId="4335A519" w14:textId="1B20B7DA" w:rsidR="00C934DA" w:rsidRPr="00F85253" w:rsidRDefault="00C934DA" w:rsidP="00C934DA">
                  <w:pPr>
                    <w:spacing w:after="0" w:line="240" w:lineRule="auto"/>
                    <w:jc w:val="right"/>
                    <w:rPr>
                      <w:rFonts w:ascii="Arial" w:eastAsia="Times New Roman" w:hAnsi="Arial" w:cs="Arial"/>
                      <w:b/>
                      <w:bCs/>
                      <w:color w:val="FFFFFF"/>
                      <w:sz w:val="18"/>
                      <w:szCs w:val="18"/>
                      <w:lang w:val="es-EC" w:eastAsia="es-EC"/>
                    </w:rPr>
                  </w:pPr>
                </w:p>
              </w:tc>
              <w:tc>
                <w:tcPr>
                  <w:tcW w:w="880" w:type="dxa"/>
                  <w:tcBorders>
                    <w:top w:val="nil"/>
                    <w:left w:val="nil"/>
                    <w:bottom w:val="single" w:sz="8" w:space="0" w:color="auto"/>
                    <w:right w:val="nil"/>
                  </w:tcBorders>
                  <w:shd w:val="clear" w:color="000000" w:fill="FFFFFF"/>
                  <w:noWrap/>
                  <w:vAlign w:val="bottom"/>
                </w:tcPr>
                <w:p w14:paraId="7C0B98C1" w14:textId="3FC8F30B" w:rsidR="00C934DA" w:rsidRPr="00F85253" w:rsidRDefault="00C934DA" w:rsidP="00C934DA">
                  <w:pPr>
                    <w:spacing w:after="0" w:line="240" w:lineRule="auto"/>
                    <w:jc w:val="right"/>
                    <w:rPr>
                      <w:rFonts w:ascii="Arial" w:eastAsia="Times New Roman" w:hAnsi="Arial" w:cs="Arial"/>
                      <w:b/>
                      <w:bCs/>
                      <w:color w:val="FFFFFF"/>
                      <w:sz w:val="18"/>
                      <w:szCs w:val="18"/>
                      <w:lang w:val="es-EC" w:eastAsia="es-EC"/>
                    </w:rPr>
                  </w:pPr>
                </w:p>
              </w:tc>
              <w:tc>
                <w:tcPr>
                  <w:tcW w:w="880" w:type="dxa"/>
                  <w:tcBorders>
                    <w:top w:val="nil"/>
                    <w:left w:val="nil"/>
                    <w:bottom w:val="single" w:sz="8" w:space="0" w:color="auto"/>
                    <w:right w:val="nil"/>
                  </w:tcBorders>
                  <w:shd w:val="clear" w:color="000000" w:fill="FFFFFF"/>
                  <w:noWrap/>
                  <w:vAlign w:val="bottom"/>
                </w:tcPr>
                <w:p w14:paraId="63F01ACC" w14:textId="0C915DD2" w:rsidR="00C934DA" w:rsidRPr="00F85253" w:rsidRDefault="00C934DA" w:rsidP="00C934DA">
                  <w:pPr>
                    <w:spacing w:after="0" w:line="240" w:lineRule="auto"/>
                    <w:jc w:val="right"/>
                    <w:rPr>
                      <w:rFonts w:ascii="Arial" w:eastAsia="Times New Roman" w:hAnsi="Arial" w:cs="Arial"/>
                      <w:b/>
                      <w:bCs/>
                      <w:color w:val="FFFFFF"/>
                      <w:sz w:val="18"/>
                      <w:szCs w:val="18"/>
                      <w:lang w:val="es-EC" w:eastAsia="es-EC"/>
                    </w:rPr>
                  </w:pPr>
                </w:p>
              </w:tc>
              <w:tc>
                <w:tcPr>
                  <w:tcW w:w="880" w:type="dxa"/>
                  <w:tcBorders>
                    <w:top w:val="nil"/>
                    <w:left w:val="nil"/>
                    <w:bottom w:val="single" w:sz="8" w:space="0" w:color="auto"/>
                    <w:right w:val="nil"/>
                  </w:tcBorders>
                  <w:shd w:val="clear" w:color="000000" w:fill="FFFFFF"/>
                  <w:noWrap/>
                  <w:vAlign w:val="bottom"/>
                </w:tcPr>
                <w:p w14:paraId="0D40F987" w14:textId="6692108A" w:rsidR="00C934DA" w:rsidRPr="00F85253" w:rsidRDefault="00C934DA" w:rsidP="00C934DA">
                  <w:pPr>
                    <w:spacing w:after="0" w:line="240" w:lineRule="auto"/>
                    <w:jc w:val="right"/>
                    <w:rPr>
                      <w:rFonts w:ascii="Arial" w:eastAsia="Times New Roman" w:hAnsi="Arial" w:cs="Arial"/>
                      <w:b/>
                      <w:bCs/>
                      <w:color w:val="FFFFFF"/>
                      <w:sz w:val="18"/>
                      <w:szCs w:val="18"/>
                      <w:lang w:val="es-EC" w:eastAsia="es-EC"/>
                    </w:rPr>
                  </w:pPr>
                </w:p>
              </w:tc>
              <w:tc>
                <w:tcPr>
                  <w:tcW w:w="880" w:type="dxa"/>
                  <w:tcBorders>
                    <w:top w:val="nil"/>
                    <w:left w:val="nil"/>
                    <w:bottom w:val="single" w:sz="8" w:space="0" w:color="auto"/>
                    <w:right w:val="single" w:sz="8" w:space="0" w:color="auto"/>
                  </w:tcBorders>
                  <w:shd w:val="clear" w:color="000000" w:fill="FFFFFF"/>
                  <w:noWrap/>
                  <w:vAlign w:val="bottom"/>
                  <w:hideMark/>
                </w:tcPr>
                <w:p w14:paraId="10B1555C" w14:textId="77777777" w:rsidR="00C934DA" w:rsidRPr="00F85253" w:rsidRDefault="00C934DA" w:rsidP="00C934DA">
                  <w:pPr>
                    <w:spacing w:after="0" w:line="240" w:lineRule="auto"/>
                    <w:jc w:val="right"/>
                    <w:rPr>
                      <w:rFonts w:ascii="Arial" w:eastAsia="Times New Roman" w:hAnsi="Arial" w:cs="Arial"/>
                      <w:b/>
                      <w:bCs/>
                      <w:sz w:val="18"/>
                      <w:szCs w:val="18"/>
                      <w:lang w:val="es-EC" w:eastAsia="es-EC"/>
                    </w:rPr>
                  </w:pPr>
                  <w:r w:rsidRPr="00F85253">
                    <w:rPr>
                      <w:rFonts w:ascii="Arial" w:eastAsia="Times New Roman" w:hAnsi="Arial" w:cs="Arial"/>
                      <w:b/>
                      <w:bCs/>
                      <w:sz w:val="18"/>
                      <w:szCs w:val="18"/>
                      <w:lang w:val="es-EC" w:eastAsia="es-EC"/>
                    </w:rPr>
                    <w:t>7%</w:t>
                  </w:r>
                </w:p>
              </w:tc>
            </w:tr>
          </w:tbl>
          <w:p w14:paraId="02032361" w14:textId="1C720754" w:rsidR="000A2A69" w:rsidRPr="00F85253" w:rsidRDefault="000A2A69" w:rsidP="002543DC">
            <w:pPr>
              <w:pStyle w:val="Paragraph"/>
              <w:spacing w:before="0" w:after="0" w:line="276" w:lineRule="auto"/>
              <w:outlineLvl w:val="0"/>
              <w:rPr>
                <w:rFonts w:ascii="Arial" w:hAnsi="Arial" w:cs="Arial"/>
                <w:b/>
                <w:spacing w:val="-2"/>
                <w:sz w:val="22"/>
                <w:szCs w:val="22"/>
              </w:rPr>
            </w:pPr>
          </w:p>
        </w:tc>
        <w:tc>
          <w:tcPr>
            <w:tcW w:w="236" w:type="dxa"/>
          </w:tcPr>
          <w:p w14:paraId="4D70F523" w14:textId="77777777" w:rsidR="001E2EB3" w:rsidRPr="00F85253" w:rsidRDefault="001E2EB3" w:rsidP="002543DC">
            <w:pPr>
              <w:pStyle w:val="Paragraph"/>
              <w:spacing w:before="0" w:after="0" w:line="276" w:lineRule="auto"/>
              <w:outlineLvl w:val="0"/>
              <w:rPr>
                <w:rFonts w:ascii="Arial" w:hAnsi="Arial" w:cs="Arial"/>
                <w:b/>
                <w:spacing w:val="-2"/>
                <w:sz w:val="22"/>
                <w:szCs w:val="22"/>
              </w:rPr>
            </w:pPr>
          </w:p>
        </w:tc>
      </w:tr>
    </w:tbl>
    <w:p w14:paraId="42800415" w14:textId="77777777" w:rsidR="001E2EB3" w:rsidRPr="00F85253" w:rsidRDefault="001E2EB3" w:rsidP="002543DC">
      <w:pPr>
        <w:pStyle w:val="Paragraph"/>
        <w:spacing w:before="0" w:after="0" w:line="276" w:lineRule="auto"/>
        <w:ind w:left="-446"/>
        <w:outlineLvl w:val="0"/>
        <w:rPr>
          <w:rFonts w:ascii="Arial" w:hAnsi="Arial" w:cs="Arial"/>
          <w:b/>
          <w:spacing w:val="-2"/>
          <w:sz w:val="22"/>
          <w:szCs w:val="22"/>
        </w:rPr>
        <w:sectPr w:rsidR="001E2EB3" w:rsidRPr="00F85253" w:rsidSect="00BB11A2">
          <w:pgSz w:w="16838" w:h="11906" w:orient="landscape"/>
          <w:pgMar w:top="1355" w:right="992" w:bottom="1440" w:left="1168" w:header="720" w:footer="720" w:gutter="0"/>
          <w:cols w:space="720"/>
          <w:docGrid w:linePitch="360"/>
        </w:sectPr>
      </w:pPr>
    </w:p>
    <w:p w14:paraId="43791F45" w14:textId="77777777" w:rsidR="00891AC2" w:rsidRPr="00F85253" w:rsidRDefault="00891AC2" w:rsidP="002543DC">
      <w:pPr>
        <w:pStyle w:val="Paragraph"/>
        <w:spacing w:before="0" w:after="0" w:line="276" w:lineRule="auto"/>
        <w:ind w:left="-446"/>
        <w:outlineLvl w:val="0"/>
        <w:rPr>
          <w:rFonts w:ascii="Arial" w:hAnsi="Arial" w:cs="Arial"/>
          <w:b/>
          <w:spacing w:val="-2"/>
          <w:sz w:val="22"/>
          <w:szCs w:val="22"/>
          <w:lang w:val="es-ES_tradnl"/>
        </w:rPr>
      </w:pPr>
    </w:p>
    <w:p w14:paraId="18B15FE7" w14:textId="77777777" w:rsidR="00F10D9A" w:rsidRPr="00F85253" w:rsidRDefault="005D5FF0" w:rsidP="002543DC">
      <w:pPr>
        <w:pStyle w:val="Paragraph"/>
        <w:spacing w:before="0" w:after="0" w:line="276" w:lineRule="auto"/>
        <w:ind w:left="-446"/>
        <w:outlineLvl w:val="0"/>
        <w:rPr>
          <w:rFonts w:ascii="Arial" w:hAnsi="Arial" w:cs="Arial"/>
          <w:b/>
          <w:spacing w:val="-2"/>
          <w:sz w:val="22"/>
          <w:szCs w:val="22"/>
          <w:lang w:val="es-ES_tradnl"/>
        </w:rPr>
      </w:pPr>
      <w:r w:rsidRPr="00F85253">
        <w:rPr>
          <w:rFonts w:ascii="Arial" w:hAnsi="Arial" w:cs="Arial"/>
          <w:b/>
          <w:spacing w:val="-2"/>
          <w:sz w:val="22"/>
          <w:szCs w:val="22"/>
          <w:lang w:val="es-ES_tradnl"/>
        </w:rPr>
        <w:t>Bibliografía</w:t>
      </w:r>
      <w:bookmarkEnd w:id="35"/>
    </w:p>
    <w:p w14:paraId="67B8DF7B" w14:textId="77777777" w:rsidR="00151A5E" w:rsidRPr="00F85253" w:rsidRDefault="00151A5E" w:rsidP="002543DC">
      <w:pPr>
        <w:pStyle w:val="Paragraph"/>
        <w:spacing w:before="0" w:after="0" w:line="276" w:lineRule="auto"/>
        <w:ind w:left="-446"/>
        <w:outlineLvl w:val="0"/>
        <w:rPr>
          <w:rFonts w:ascii="Arial" w:hAnsi="Arial" w:cs="Arial"/>
          <w:b/>
          <w:spacing w:val="-2"/>
          <w:sz w:val="22"/>
          <w:szCs w:val="22"/>
          <w:lang w:val="es-ES_tradnl"/>
        </w:rPr>
      </w:pPr>
    </w:p>
    <w:p w14:paraId="3A626539" w14:textId="77777777" w:rsidR="00981980" w:rsidRPr="00F85253" w:rsidRDefault="00981980" w:rsidP="00981980">
      <w:pPr>
        <w:pStyle w:val="Paragraph"/>
        <w:numPr>
          <w:ilvl w:val="1"/>
          <w:numId w:val="13"/>
        </w:numPr>
        <w:tabs>
          <w:tab w:val="clear" w:pos="1836"/>
          <w:tab w:val="num" w:pos="720"/>
        </w:tabs>
        <w:spacing w:before="0" w:after="0" w:line="276" w:lineRule="auto"/>
        <w:ind w:left="720" w:hanging="720"/>
        <w:rPr>
          <w:rFonts w:ascii="Arial" w:eastAsia="Arial" w:hAnsi="Arial" w:cs="Arial"/>
          <w:sz w:val="22"/>
          <w:szCs w:val="22"/>
          <w:lang w:val="es-ES_tradnl"/>
        </w:rPr>
      </w:pPr>
      <w:r w:rsidRPr="00F85253">
        <w:rPr>
          <w:rFonts w:ascii="Arial" w:eastAsia="Arial" w:hAnsi="Arial" w:cs="Arial"/>
          <w:sz w:val="22"/>
          <w:szCs w:val="22"/>
          <w:lang w:val="es-ES_tradnl"/>
        </w:rPr>
        <w:t xml:space="preserve">Banco Central del Ecuador. (2019a, 29 de marzo). La economía ecuatoriana creció 1,4% en 2018. Recuperado 7 mayo, 2019, de </w:t>
      </w:r>
      <w:hyperlink r:id="rId26" w:history="1">
        <w:r w:rsidRPr="00F85253">
          <w:rPr>
            <w:rStyle w:val="Hyperlink"/>
            <w:rFonts w:ascii="Arial" w:eastAsia="Arial" w:hAnsi="Arial" w:cs="Arial"/>
            <w:sz w:val="22"/>
            <w:szCs w:val="22"/>
            <w:lang w:val="es-ES_tradnl"/>
          </w:rPr>
          <w:t>https://www.bce.fin.ec/index.php/boletines-de-prensa-archivo/item/1158-la-economia-ecuatoriana-crecio-14-en-2018</w:t>
        </w:r>
      </w:hyperlink>
    </w:p>
    <w:p w14:paraId="6BD218FE" w14:textId="77777777" w:rsidR="00981980" w:rsidRPr="00F85253" w:rsidRDefault="00981980" w:rsidP="00981980">
      <w:pPr>
        <w:pStyle w:val="Paragraph"/>
        <w:numPr>
          <w:ilvl w:val="1"/>
          <w:numId w:val="13"/>
        </w:numPr>
        <w:tabs>
          <w:tab w:val="clear" w:pos="1836"/>
          <w:tab w:val="num" w:pos="720"/>
        </w:tabs>
        <w:spacing w:before="0" w:after="0" w:line="276" w:lineRule="auto"/>
        <w:ind w:left="720" w:hanging="720"/>
        <w:rPr>
          <w:rFonts w:ascii="Arial" w:eastAsia="Arial" w:hAnsi="Arial" w:cs="Arial"/>
          <w:sz w:val="22"/>
          <w:szCs w:val="22"/>
          <w:lang w:val="es-ES_tradnl"/>
        </w:rPr>
      </w:pPr>
      <w:r w:rsidRPr="00F85253">
        <w:rPr>
          <w:rFonts w:ascii="Arial" w:eastAsia="Arial" w:hAnsi="Arial" w:cs="Arial"/>
          <w:sz w:val="22"/>
          <w:szCs w:val="22"/>
          <w:lang w:val="es-ES_tradnl"/>
        </w:rPr>
        <w:t xml:space="preserve">Banco Central del Ecuador. (2019b, marzo). Cuentas Nacionales Trimestrales. Recuperado 8 mayo, 2019, de </w:t>
      </w:r>
      <w:hyperlink r:id="rId27" w:history="1">
        <w:r w:rsidRPr="00F85253">
          <w:rPr>
            <w:rStyle w:val="Hyperlink"/>
            <w:rFonts w:ascii="Arial" w:eastAsia="Arial" w:hAnsi="Arial" w:cs="Arial"/>
            <w:sz w:val="22"/>
            <w:szCs w:val="22"/>
            <w:lang w:val="es-ES_tradnl"/>
          </w:rPr>
          <w:t>https://contenido.bce.fin.ec/home1/estadisticas/cntrimestral/CNTrimestral.jsp</w:t>
        </w:r>
      </w:hyperlink>
    </w:p>
    <w:p w14:paraId="7615A794" w14:textId="77777777" w:rsidR="00981980" w:rsidRPr="00F85253" w:rsidRDefault="00981980" w:rsidP="00981980">
      <w:pPr>
        <w:pStyle w:val="Paragraph"/>
        <w:numPr>
          <w:ilvl w:val="1"/>
          <w:numId w:val="13"/>
        </w:numPr>
        <w:tabs>
          <w:tab w:val="clear" w:pos="1836"/>
          <w:tab w:val="num" w:pos="720"/>
        </w:tabs>
        <w:spacing w:before="0" w:after="0" w:line="276" w:lineRule="auto"/>
        <w:ind w:left="720" w:hanging="720"/>
        <w:rPr>
          <w:rFonts w:ascii="Arial" w:eastAsia="Arial" w:hAnsi="Arial" w:cs="Arial"/>
          <w:sz w:val="22"/>
          <w:szCs w:val="22"/>
          <w:lang w:val="es-ES_tradnl"/>
        </w:rPr>
      </w:pPr>
      <w:r w:rsidRPr="00F85253">
        <w:rPr>
          <w:rFonts w:ascii="Arial" w:eastAsia="Arial" w:hAnsi="Arial" w:cs="Arial"/>
          <w:sz w:val="22"/>
          <w:szCs w:val="22"/>
          <w:lang w:val="es-ES_tradnl"/>
        </w:rPr>
        <w:t xml:space="preserve">Banco Central del Ecuador. (2019c, marzo). Información Estadística Mensual No. 2005 - Marzo 2019. Recuperado 8 mayo, 2019, de </w:t>
      </w:r>
      <w:hyperlink r:id="rId28" w:history="1">
        <w:r w:rsidRPr="00F85253">
          <w:rPr>
            <w:rStyle w:val="Hyperlink"/>
            <w:rFonts w:ascii="Arial" w:eastAsia="Arial" w:hAnsi="Arial" w:cs="Arial"/>
            <w:sz w:val="22"/>
            <w:szCs w:val="22"/>
            <w:lang w:val="es-ES_tradnl"/>
          </w:rPr>
          <w:t>https://contenido.bce.fin.ec/home1/estadisticas/bolmensual/IEMensual.jsp</w:t>
        </w:r>
      </w:hyperlink>
    </w:p>
    <w:p w14:paraId="37CADAC4" w14:textId="77777777" w:rsidR="00981980" w:rsidRPr="00F85253" w:rsidRDefault="00981980" w:rsidP="00981980">
      <w:pPr>
        <w:pStyle w:val="Paragraph"/>
        <w:numPr>
          <w:ilvl w:val="1"/>
          <w:numId w:val="13"/>
        </w:numPr>
        <w:tabs>
          <w:tab w:val="clear" w:pos="1836"/>
          <w:tab w:val="num" w:pos="720"/>
        </w:tabs>
        <w:spacing w:before="0" w:after="0" w:line="276" w:lineRule="auto"/>
        <w:ind w:left="720" w:hanging="720"/>
        <w:rPr>
          <w:rFonts w:ascii="Arial" w:eastAsia="Arial" w:hAnsi="Arial" w:cs="Arial"/>
          <w:sz w:val="22"/>
          <w:szCs w:val="22"/>
          <w:lang w:val="es-ES_tradnl"/>
        </w:rPr>
      </w:pPr>
      <w:r w:rsidRPr="00F85253">
        <w:rPr>
          <w:rFonts w:ascii="Arial" w:eastAsia="Arial" w:hAnsi="Arial" w:cs="Arial"/>
          <w:sz w:val="22"/>
          <w:szCs w:val="22"/>
          <w:lang w:val="es-ES_tradnl"/>
        </w:rPr>
        <w:t xml:space="preserve">Banco mundial. (s.f.). Ecuador. Recuperado 15 abril, 2019, de </w:t>
      </w:r>
      <w:hyperlink r:id="rId29" w:history="1">
        <w:r w:rsidRPr="00F85253">
          <w:rPr>
            <w:rStyle w:val="Hyperlink"/>
            <w:rFonts w:ascii="Arial" w:eastAsia="Arial" w:hAnsi="Arial" w:cs="Arial"/>
            <w:sz w:val="22"/>
            <w:szCs w:val="22"/>
            <w:lang w:val="es-ES_tradnl"/>
          </w:rPr>
          <w:t>https://datos.bancomundial.org/pais/ecuador</w:t>
        </w:r>
      </w:hyperlink>
    </w:p>
    <w:p w14:paraId="7C3770BC" w14:textId="77777777" w:rsidR="00981980" w:rsidRPr="00F85253" w:rsidRDefault="00981980" w:rsidP="00981980">
      <w:pPr>
        <w:pStyle w:val="Paragraph"/>
        <w:numPr>
          <w:ilvl w:val="1"/>
          <w:numId w:val="13"/>
        </w:numPr>
        <w:tabs>
          <w:tab w:val="clear" w:pos="1836"/>
          <w:tab w:val="num" w:pos="720"/>
        </w:tabs>
        <w:spacing w:before="0" w:after="0" w:line="276" w:lineRule="auto"/>
        <w:ind w:left="720" w:hanging="720"/>
        <w:rPr>
          <w:rFonts w:ascii="Arial" w:eastAsia="Arial" w:hAnsi="Arial" w:cs="Arial"/>
          <w:sz w:val="22"/>
          <w:szCs w:val="22"/>
          <w:lang w:val="es-ES_tradnl"/>
        </w:rPr>
      </w:pPr>
      <w:r w:rsidRPr="00F85253">
        <w:rPr>
          <w:rFonts w:ascii="Arial" w:eastAsia="Arial" w:hAnsi="Arial" w:cs="Arial"/>
          <w:sz w:val="22"/>
          <w:szCs w:val="22"/>
          <w:lang w:val="es-ES_tradnl"/>
        </w:rPr>
        <w:t xml:space="preserve">Banco Mundial. (s.f.). Datos Estados Unidos. </w:t>
      </w:r>
      <w:proofErr w:type="gramStart"/>
      <w:r w:rsidRPr="00F85253">
        <w:rPr>
          <w:rFonts w:ascii="Arial" w:eastAsia="Arial" w:hAnsi="Arial" w:cs="Arial"/>
          <w:sz w:val="22"/>
          <w:szCs w:val="22"/>
          <w:lang w:val="es-ES_tradnl"/>
        </w:rPr>
        <w:t>Recuperado  de</w:t>
      </w:r>
      <w:proofErr w:type="gramEnd"/>
      <w:r w:rsidRPr="00F85253">
        <w:rPr>
          <w:rFonts w:ascii="Arial" w:eastAsia="Arial" w:hAnsi="Arial" w:cs="Arial"/>
          <w:sz w:val="22"/>
          <w:szCs w:val="22"/>
          <w:lang w:val="es-ES_tradnl"/>
        </w:rPr>
        <w:t xml:space="preserve"> </w:t>
      </w:r>
      <w:hyperlink r:id="rId30" w:history="1">
        <w:r w:rsidRPr="00F85253">
          <w:rPr>
            <w:rStyle w:val="Hyperlink"/>
            <w:rFonts w:ascii="Arial" w:eastAsia="Arial" w:hAnsi="Arial" w:cs="Arial"/>
            <w:sz w:val="22"/>
            <w:szCs w:val="22"/>
            <w:lang w:val="es-ES_tradnl"/>
          </w:rPr>
          <w:t>https://datos.bancomundial.org/pais/estados-unidos</w:t>
        </w:r>
      </w:hyperlink>
    </w:p>
    <w:p w14:paraId="75ECCCD6" w14:textId="77777777" w:rsidR="00981980" w:rsidRPr="00F85253" w:rsidRDefault="00981980" w:rsidP="00981980">
      <w:pPr>
        <w:pStyle w:val="Paragraph"/>
        <w:numPr>
          <w:ilvl w:val="1"/>
          <w:numId w:val="13"/>
        </w:numPr>
        <w:tabs>
          <w:tab w:val="clear" w:pos="1836"/>
          <w:tab w:val="num" w:pos="720"/>
        </w:tabs>
        <w:spacing w:before="0" w:after="0" w:line="276" w:lineRule="auto"/>
        <w:ind w:left="720" w:hanging="720"/>
        <w:rPr>
          <w:rFonts w:ascii="Arial" w:eastAsia="Arial" w:hAnsi="Arial" w:cs="Arial"/>
          <w:sz w:val="22"/>
          <w:szCs w:val="22"/>
          <w:lang w:val="es-ES_tradnl"/>
        </w:rPr>
      </w:pPr>
      <w:r w:rsidRPr="00F85253">
        <w:rPr>
          <w:rFonts w:ascii="Arial" w:eastAsia="Arial" w:hAnsi="Arial" w:cs="Arial"/>
          <w:sz w:val="22"/>
          <w:szCs w:val="22"/>
          <w:lang w:val="pt-BR"/>
        </w:rPr>
        <w:t xml:space="preserve">Cracel, M., Gomez, J. L., &amp; Calvo, A. (s.f.). </w:t>
      </w:r>
      <w:r w:rsidRPr="00F85253">
        <w:rPr>
          <w:rFonts w:ascii="Arial" w:eastAsia="Arial" w:hAnsi="Arial" w:cs="Arial"/>
          <w:sz w:val="22"/>
          <w:szCs w:val="22"/>
          <w:lang w:val="es-ES_tradnl"/>
        </w:rPr>
        <w:t>Programa de mejora de la Capacidad Fiscal para la Inversión Pública. Análisis Económico del Proyecto (EC-L1230)</w:t>
      </w:r>
    </w:p>
    <w:p w14:paraId="187B275B" w14:textId="77777777" w:rsidR="00981980" w:rsidRPr="00F85253" w:rsidRDefault="00981980" w:rsidP="00981980">
      <w:pPr>
        <w:pStyle w:val="Paragraph"/>
        <w:numPr>
          <w:ilvl w:val="1"/>
          <w:numId w:val="13"/>
        </w:numPr>
        <w:tabs>
          <w:tab w:val="clear" w:pos="1836"/>
          <w:tab w:val="num" w:pos="720"/>
        </w:tabs>
        <w:spacing w:before="0" w:after="0" w:line="276" w:lineRule="auto"/>
        <w:ind w:left="720" w:hanging="720"/>
        <w:rPr>
          <w:rFonts w:ascii="Arial" w:eastAsia="Arial" w:hAnsi="Arial" w:cs="Arial"/>
          <w:sz w:val="22"/>
          <w:szCs w:val="22"/>
          <w:lang w:val="es-ES_tradnl"/>
        </w:rPr>
      </w:pPr>
      <w:r w:rsidRPr="00F85253">
        <w:rPr>
          <w:rFonts w:ascii="Arial" w:eastAsia="Arial" w:hAnsi="Arial" w:cs="Arial"/>
          <w:sz w:val="22"/>
          <w:szCs w:val="22"/>
          <w:lang w:val="es-ES_tradnl"/>
        </w:rPr>
        <w:t xml:space="preserve">Devos, E., Kadapakkam, P.-R., &amp; Krishnamurthy, S. (marzo de 2009). </w:t>
      </w:r>
      <w:r w:rsidRPr="00F85253">
        <w:rPr>
          <w:rFonts w:ascii="Arial" w:eastAsia="Arial" w:hAnsi="Arial" w:cs="Arial"/>
          <w:sz w:val="22"/>
          <w:szCs w:val="22"/>
          <w:lang w:val="en-US"/>
        </w:rPr>
        <w:t xml:space="preserve">How Do Mergers Create Value? A Comparison of Taxes, Market Power, and Efficiency Improvements as Explanations for Synergies. </w:t>
      </w:r>
      <w:r w:rsidRPr="00F85253">
        <w:rPr>
          <w:rFonts w:ascii="Arial" w:eastAsia="Arial" w:hAnsi="Arial" w:cs="Arial"/>
          <w:sz w:val="22"/>
          <w:szCs w:val="22"/>
          <w:lang w:val="es-ES_tradnl"/>
        </w:rPr>
        <w:t>The Review of Financial Studies, 22(3), 1179-1211.</w:t>
      </w:r>
    </w:p>
    <w:p w14:paraId="47A17A0B" w14:textId="77777777" w:rsidR="00981980" w:rsidRPr="00F85253" w:rsidRDefault="00981980" w:rsidP="00981980">
      <w:pPr>
        <w:pStyle w:val="Paragraph"/>
        <w:numPr>
          <w:ilvl w:val="1"/>
          <w:numId w:val="13"/>
        </w:numPr>
        <w:tabs>
          <w:tab w:val="clear" w:pos="1836"/>
          <w:tab w:val="num" w:pos="720"/>
        </w:tabs>
        <w:spacing w:before="0" w:after="0" w:line="276" w:lineRule="auto"/>
        <w:ind w:left="720" w:hanging="720"/>
        <w:rPr>
          <w:rFonts w:ascii="Arial" w:eastAsia="Arial" w:hAnsi="Arial" w:cs="Arial"/>
          <w:sz w:val="22"/>
          <w:szCs w:val="22"/>
          <w:lang w:val="es-ES_tradnl"/>
        </w:rPr>
      </w:pPr>
      <w:r w:rsidRPr="00F85253">
        <w:rPr>
          <w:rFonts w:ascii="Arial" w:eastAsia="Arial" w:hAnsi="Arial" w:cs="Arial"/>
          <w:sz w:val="22"/>
          <w:szCs w:val="22"/>
          <w:lang w:val="es-ES_tradnl"/>
        </w:rPr>
        <w:t>Dirección Nacional de Empresas Públicas DNEP del Ministerio de Economía y Finanzas MEF. (2018). Información entregada.</w:t>
      </w:r>
    </w:p>
    <w:p w14:paraId="18D3C360" w14:textId="77777777" w:rsidR="00981980" w:rsidRPr="00F85253" w:rsidRDefault="00981980" w:rsidP="00981980">
      <w:pPr>
        <w:pStyle w:val="Paragraph"/>
        <w:numPr>
          <w:ilvl w:val="1"/>
          <w:numId w:val="13"/>
        </w:numPr>
        <w:tabs>
          <w:tab w:val="clear" w:pos="1836"/>
          <w:tab w:val="num" w:pos="720"/>
        </w:tabs>
        <w:spacing w:before="0" w:after="0" w:line="276" w:lineRule="auto"/>
        <w:ind w:left="720" w:hanging="720"/>
        <w:rPr>
          <w:rFonts w:ascii="Arial" w:eastAsia="Arial" w:hAnsi="Arial" w:cs="Arial"/>
          <w:sz w:val="22"/>
          <w:szCs w:val="22"/>
          <w:lang w:val="es-ES_tradnl"/>
        </w:rPr>
      </w:pPr>
      <w:r w:rsidRPr="00F85253">
        <w:rPr>
          <w:rFonts w:ascii="Arial" w:eastAsia="Arial" w:hAnsi="Arial" w:cs="Arial"/>
          <w:sz w:val="22"/>
          <w:szCs w:val="22"/>
          <w:lang w:val="es-ES_tradnl"/>
        </w:rPr>
        <w:t xml:space="preserve">El Comercio. (2017, 20 de septiembre). Obtenido de </w:t>
      </w:r>
      <w:hyperlink r:id="rId31" w:history="1">
        <w:r w:rsidRPr="00F85253">
          <w:rPr>
            <w:rStyle w:val="Hyperlink"/>
            <w:rFonts w:ascii="Arial" w:eastAsia="Arial" w:hAnsi="Arial" w:cs="Arial"/>
            <w:sz w:val="22"/>
            <w:szCs w:val="22"/>
            <w:lang w:val="es-ES_tradnl"/>
          </w:rPr>
          <w:t>https://www.elcomercio.com/actualidad/ecuador-deficit-empresas-publicas-negocios.html</w:t>
        </w:r>
      </w:hyperlink>
    </w:p>
    <w:p w14:paraId="0EFB0961" w14:textId="77777777" w:rsidR="00981980" w:rsidRPr="00F85253" w:rsidRDefault="00981980" w:rsidP="00981980">
      <w:pPr>
        <w:pStyle w:val="Paragraph"/>
        <w:numPr>
          <w:ilvl w:val="1"/>
          <w:numId w:val="13"/>
        </w:numPr>
        <w:tabs>
          <w:tab w:val="clear" w:pos="1836"/>
          <w:tab w:val="num" w:pos="720"/>
        </w:tabs>
        <w:spacing w:before="0" w:after="0" w:line="276" w:lineRule="auto"/>
        <w:ind w:left="720" w:hanging="720"/>
        <w:rPr>
          <w:rFonts w:ascii="Arial" w:eastAsia="Arial" w:hAnsi="Arial" w:cs="Arial"/>
          <w:sz w:val="22"/>
          <w:szCs w:val="22"/>
          <w:lang w:val="es-ES_tradnl"/>
        </w:rPr>
      </w:pPr>
      <w:r w:rsidRPr="00F85253">
        <w:rPr>
          <w:rFonts w:ascii="Arial" w:eastAsia="Arial" w:hAnsi="Arial" w:cs="Arial"/>
          <w:sz w:val="22"/>
          <w:szCs w:val="22"/>
          <w:lang w:val="es-ES_tradnl"/>
        </w:rPr>
        <w:t xml:space="preserve">El Comercio. (2018,23 de mayo). Obtenido de </w:t>
      </w:r>
      <w:hyperlink r:id="rId32" w:history="1">
        <w:r w:rsidRPr="00F85253">
          <w:rPr>
            <w:rStyle w:val="Hyperlink"/>
            <w:rFonts w:ascii="Arial" w:eastAsia="Arial" w:hAnsi="Arial" w:cs="Arial"/>
            <w:sz w:val="22"/>
            <w:szCs w:val="22"/>
            <w:lang w:val="es-ES_tradnl"/>
          </w:rPr>
          <w:t>https://www.elcomercio.com/app_public.php/cartas/empresas-publicas-ecuador-opinion-cartas.html</w:t>
        </w:r>
      </w:hyperlink>
    </w:p>
    <w:p w14:paraId="4FA37700" w14:textId="77777777" w:rsidR="00981980" w:rsidRPr="00F85253" w:rsidRDefault="00981980" w:rsidP="00981980">
      <w:pPr>
        <w:pStyle w:val="Paragraph"/>
        <w:numPr>
          <w:ilvl w:val="1"/>
          <w:numId w:val="13"/>
        </w:numPr>
        <w:tabs>
          <w:tab w:val="clear" w:pos="1836"/>
          <w:tab w:val="num" w:pos="720"/>
        </w:tabs>
        <w:spacing w:before="0" w:after="0" w:line="276" w:lineRule="auto"/>
        <w:ind w:left="720" w:hanging="720"/>
        <w:rPr>
          <w:rStyle w:val="Hyperlink"/>
          <w:rFonts w:ascii="Arial" w:eastAsia="Arial" w:hAnsi="Arial" w:cs="Arial"/>
          <w:color w:val="auto"/>
          <w:sz w:val="22"/>
          <w:szCs w:val="22"/>
          <w:u w:val="none"/>
          <w:lang w:val="es-ES_tradnl"/>
        </w:rPr>
      </w:pPr>
      <w:r w:rsidRPr="00F85253">
        <w:rPr>
          <w:rFonts w:ascii="Arial" w:eastAsia="Arial" w:hAnsi="Arial" w:cs="Arial"/>
          <w:sz w:val="22"/>
          <w:szCs w:val="22"/>
          <w:lang w:val="es-ES_tradnl"/>
        </w:rPr>
        <w:t xml:space="preserve">El Comercio. (2019, 9 de febrero). Empresas públicas deben reducir 10% de su nómina. Recuperado 8 mayo, 2019, de </w:t>
      </w:r>
      <w:hyperlink r:id="rId33" w:history="1">
        <w:r w:rsidRPr="00F85253">
          <w:rPr>
            <w:rStyle w:val="Hyperlink"/>
            <w:rFonts w:ascii="Arial" w:eastAsia="Arial" w:hAnsi="Arial" w:cs="Arial"/>
            <w:sz w:val="22"/>
            <w:szCs w:val="22"/>
            <w:lang w:val="es-ES_tradnl"/>
          </w:rPr>
          <w:t>https://www.elcomercio.com/actualidad/servidores-publicos-nomina-reduccion-gasto.html</w:t>
        </w:r>
      </w:hyperlink>
    </w:p>
    <w:p w14:paraId="4D190DA5" w14:textId="77777777" w:rsidR="00981980" w:rsidRPr="00F85253" w:rsidRDefault="00981980" w:rsidP="00981980">
      <w:pPr>
        <w:pStyle w:val="Paragraph"/>
        <w:numPr>
          <w:ilvl w:val="1"/>
          <w:numId w:val="13"/>
        </w:numPr>
        <w:tabs>
          <w:tab w:val="clear" w:pos="1836"/>
          <w:tab w:val="num" w:pos="720"/>
        </w:tabs>
        <w:spacing w:before="0" w:after="0" w:line="276" w:lineRule="auto"/>
        <w:ind w:left="720" w:hanging="720"/>
        <w:rPr>
          <w:rFonts w:ascii="Arial" w:eastAsia="Arial" w:hAnsi="Arial" w:cs="Arial"/>
          <w:sz w:val="22"/>
          <w:szCs w:val="22"/>
          <w:lang w:val="es-ES_tradnl"/>
        </w:rPr>
      </w:pPr>
      <w:r w:rsidRPr="00F85253">
        <w:rPr>
          <w:rFonts w:ascii="Arial" w:eastAsia="Arial" w:hAnsi="Arial" w:cs="Arial"/>
          <w:sz w:val="22"/>
          <w:szCs w:val="22"/>
          <w:lang w:val="es-ES_tradnl"/>
        </w:rPr>
        <w:t>Empresa Coordinadora de Empresas Públicas EMCO. (2019). Información entregada</w:t>
      </w:r>
    </w:p>
    <w:p w14:paraId="0051E502" w14:textId="77777777" w:rsidR="00D86F20" w:rsidRPr="00F85253" w:rsidRDefault="00981980" w:rsidP="00D86F20">
      <w:pPr>
        <w:pStyle w:val="Paragraph"/>
        <w:numPr>
          <w:ilvl w:val="1"/>
          <w:numId w:val="13"/>
        </w:numPr>
        <w:tabs>
          <w:tab w:val="clear" w:pos="1836"/>
          <w:tab w:val="num" w:pos="720"/>
        </w:tabs>
        <w:spacing w:before="0" w:after="0" w:line="276" w:lineRule="auto"/>
        <w:ind w:left="720" w:hanging="720"/>
        <w:rPr>
          <w:rFonts w:ascii="Arial" w:eastAsia="Arial" w:hAnsi="Arial" w:cs="Arial"/>
          <w:sz w:val="22"/>
          <w:szCs w:val="22"/>
          <w:lang w:val="es-ES_tradnl"/>
        </w:rPr>
      </w:pPr>
      <w:r w:rsidRPr="00F85253">
        <w:rPr>
          <w:rFonts w:ascii="Arial" w:eastAsia="Arial" w:hAnsi="Arial" w:cs="Arial"/>
          <w:sz w:val="22"/>
          <w:szCs w:val="22"/>
          <w:lang w:val="es-ES_tradnl"/>
        </w:rPr>
        <w:t xml:space="preserve">Escobar, B. (2018, septiembre) Optimización del rendimiento de Empresas Públicas de la República del Ecuador. BID. </w:t>
      </w:r>
    </w:p>
    <w:p w14:paraId="03B74552" w14:textId="385B6461" w:rsidR="00D86F20" w:rsidRPr="00F85253" w:rsidRDefault="00D86F20" w:rsidP="00D86F20">
      <w:pPr>
        <w:pStyle w:val="Paragraph"/>
        <w:numPr>
          <w:ilvl w:val="1"/>
          <w:numId w:val="13"/>
        </w:numPr>
        <w:tabs>
          <w:tab w:val="clear" w:pos="1836"/>
          <w:tab w:val="num" w:pos="720"/>
        </w:tabs>
        <w:spacing w:before="0" w:after="0" w:line="276" w:lineRule="auto"/>
        <w:ind w:left="720" w:hanging="720"/>
        <w:rPr>
          <w:rFonts w:ascii="Arial" w:eastAsia="Arial" w:hAnsi="Arial" w:cs="Arial"/>
          <w:sz w:val="22"/>
          <w:szCs w:val="22"/>
          <w:lang w:val="es-ES_tradnl"/>
        </w:rPr>
      </w:pPr>
      <w:r w:rsidRPr="00F85253">
        <w:rPr>
          <w:rFonts w:ascii="Arial" w:eastAsia="Arial" w:hAnsi="Arial" w:cs="Arial"/>
          <w:sz w:val="22"/>
          <w:szCs w:val="22"/>
          <w:lang w:val="es-EC"/>
        </w:rPr>
        <w:t xml:space="preserve">Fondo Monetario Internacional -FMI. (11 de mayo de 2016). </w:t>
      </w:r>
      <w:r w:rsidRPr="00F85253">
        <w:rPr>
          <w:rFonts w:ascii="Arial" w:eastAsia="Arial" w:hAnsi="Arial" w:cs="Arial"/>
          <w:sz w:val="22"/>
          <w:szCs w:val="22"/>
          <w:lang w:val="en-US"/>
        </w:rPr>
        <w:t xml:space="preserve">Corruption: Costs and Mitigating Strategies. Staff Discussion </w:t>
      </w:r>
      <w:proofErr w:type="gramStart"/>
      <w:r w:rsidRPr="00F85253">
        <w:rPr>
          <w:rFonts w:ascii="Arial" w:eastAsia="Arial" w:hAnsi="Arial" w:cs="Arial"/>
          <w:sz w:val="22"/>
          <w:szCs w:val="22"/>
          <w:lang w:val="en-US"/>
        </w:rPr>
        <w:t>Note(</w:t>
      </w:r>
      <w:proofErr w:type="gramEnd"/>
      <w:r w:rsidRPr="00F85253">
        <w:rPr>
          <w:rFonts w:ascii="Arial" w:eastAsia="Arial" w:hAnsi="Arial" w:cs="Arial"/>
          <w:sz w:val="22"/>
          <w:szCs w:val="22"/>
          <w:lang w:val="en-US"/>
        </w:rPr>
        <w:t>16/05).</w:t>
      </w:r>
    </w:p>
    <w:p w14:paraId="47E9EF2E" w14:textId="77777777" w:rsidR="00981980" w:rsidRPr="00F85253" w:rsidRDefault="00981980" w:rsidP="00981980">
      <w:pPr>
        <w:pStyle w:val="Paragraph"/>
        <w:numPr>
          <w:ilvl w:val="1"/>
          <w:numId w:val="13"/>
        </w:numPr>
        <w:tabs>
          <w:tab w:val="clear" w:pos="1836"/>
          <w:tab w:val="num" w:pos="720"/>
        </w:tabs>
        <w:spacing w:before="0" w:after="0" w:line="276" w:lineRule="auto"/>
        <w:ind w:left="720" w:hanging="720"/>
        <w:rPr>
          <w:rStyle w:val="Hyperlink"/>
          <w:rFonts w:ascii="Arial" w:eastAsia="Arial" w:hAnsi="Arial" w:cs="Arial"/>
          <w:color w:val="auto"/>
          <w:sz w:val="22"/>
          <w:szCs w:val="22"/>
          <w:u w:val="none"/>
          <w:lang w:val="es-ES_tradnl"/>
        </w:rPr>
      </w:pPr>
      <w:r w:rsidRPr="00F85253">
        <w:rPr>
          <w:rFonts w:ascii="Arial" w:eastAsia="Arial" w:hAnsi="Arial" w:cs="Arial"/>
          <w:sz w:val="22"/>
          <w:szCs w:val="22"/>
          <w:lang w:val="es-ES_tradnl"/>
        </w:rPr>
        <w:t xml:space="preserve">Gobierno del Ecuador. (2009, 16 de octubre). Ley Orgánica de Empresas Públicas. Ecuador. Obtenido de </w:t>
      </w:r>
      <w:r w:rsidRPr="00F85253">
        <w:rPr>
          <w:rStyle w:val="Hyperlink"/>
          <w:rFonts w:ascii="Arial" w:eastAsia="Arial" w:hAnsi="Arial" w:cs="Arial"/>
          <w:sz w:val="22"/>
          <w:szCs w:val="22"/>
          <w:lang w:val="es-ES_tradnl"/>
        </w:rPr>
        <w:t>http://www.planificacion.gob.ec/wp-content/uploads/downloads/2016/02/Ley-Org%C3%A1nica-de-Empresas-P%C3%BAblicas-LOEP.pdf</w:t>
      </w:r>
    </w:p>
    <w:p w14:paraId="74898855" w14:textId="77777777" w:rsidR="00981980" w:rsidRPr="00F85253" w:rsidRDefault="00981980" w:rsidP="00981980">
      <w:pPr>
        <w:pStyle w:val="Paragraph"/>
        <w:numPr>
          <w:ilvl w:val="1"/>
          <w:numId w:val="13"/>
        </w:numPr>
        <w:tabs>
          <w:tab w:val="clear" w:pos="1836"/>
          <w:tab w:val="num" w:pos="720"/>
        </w:tabs>
        <w:spacing w:before="0" w:after="0" w:line="276" w:lineRule="auto"/>
        <w:ind w:left="720" w:hanging="720"/>
        <w:rPr>
          <w:rFonts w:ascii="Arial" w:eastAsia="Arial" w:hAnsi="Arial" w:cs="Arial"/>
          <w:sz w:val="22"/>
          <w:szCs w:val="22"/>
          <w:lang w:val="es-ES_tradnl"/>
        </w:rPr>
      </w:pPr>
      <w:r w:rsidRPr="00F85253">
        <w:rPr>
          <w:rFonts w:ascii="Arial" w:eastAsia="Arial" w:hAnsi="Arial" w:cs="Arial"/>
          <w:sz w:val="22"/>
          <w:szCs w:val="22"/>
          <w:lang w:val="es-ES_tradnl"/>
        </w:rPr>
        <w:t xml:space="preserve">Gobierno del Ecuador. (2018). Plan de Prosperidad 2018 - 2021. Ecuador. Obtenido de </w:t>
      </w:r>
      <w:hyperlink r:id="rId34" w:history="1">
        <w:r w:rsidRPr="00F85253">
          <w:rPr>
            <w:rStyle w:val="Hyperlink"/>
            <w:rFonts w:ascii="Arial" w:eastAsia="Arial" w:hAnsi="Arial" w:cs="Arial"/>
            <w:sz w:val="22"/>
            <w:szCs w:val="22"/>
            <w:lang w:val="es-ES_tradnl"/>
          </w:rPr>
          <w:t>https://www.finanzas.gob.ec/wp-content/uploads/downloads/2018/08/Plan20Prosperidad20RV.pdf</w:t>
        </w:r>
      </w:hyperlink>
    </w:p>
    <w:p w14:paraId="5B400FCD" w14:textId="77777777" w:rsidR="00981980" w:rsidRPr="00F85253" w:rsidRDefault="00981980" w:rsidP="00981980">
      <w:pPr>
        <w:pStyle w:val="Paragraph"/>
        <w:numPr>
          <w:ilvl w:val="1"/>
          <w:numId w:val="13"/>
        </w:numPr>
        <w:tabs>
          <w:tab w:val="clear" w:pos="1836"/>
          <w:tab w:val="num" w:pos="720"/>
        </w:tabs>
        <w:spacing w:before="0" w:after="0" w:line="276" w:lineRule="auto"/>
        <w:ind w:left="720" w:hanging="720"/>
        <w:rPr>
          <w:rFonts w:ascii="Arial" w:eastAsia="Arial" w:hAnsi="Arial" w:cs="Arial"/>
          <w:sz w:val="22"/>
          <w:szCs w:val="22"/>
          <w:lang w:val="es-ES_tradnl"/>
        </w:rPr>
      </w:pPr>
      <w:r w:rsidRPr="00F85253">
        <w:rPr>
          <w:rFonts w:ascii="Arial" w:eastAsia="Arial" w:hAnsi="Arial" w:cs="Arial"/>
          <w:sz w:val="22"/>
          <w:szCs w:val="22"/>
          <w:lang w:val="es-ES_tradnl"/>
        </w:rPr>
        <w:t xml:space="preserve">Instituto Nacional de Estadística y Censos Ecuador. (2018, diciembre). ENEMDU – Diciembre 2018. Recuperado 8 mayo, 2019, de </w:t>
      </w:r>
      <w:hyperlink r:id="rId35" w:history="1">
        <w:r w:rsidRPr="00F85253">
          <w:rPr>
            <w:rStyle w:val="Hyperlink"/>
            <w:rFonts w:ascii="Arial" w:eastAsia="Arial" w:hAnsi="Arial" w:cs="Arial"/>
            <w:sz w:val="22"/>
            <w:szCs w:val="22"/>
            <w:lang w:val="es-ES_tradnl"/>
          </w:rPr>
          <w:t>http://www.ecuadorencifras.gob.ec/enemdu-2018/</w:t>
        </w:r>
      </w:hyperlink>
    </w:p>
    <w:p w14:paraId="43AB0D1B" w14:textId="77777777" w:rsidR="00981980" w:rsidRPr="00F85253" w:rsidRDefault="00981980" w:rsidP="00981980">
      <w:pPr>
        <w:pStyle w:val="Paragraph"/>
        <w:numPr>
          <w:ilvl w:val="1"/>
          <w:numId w:val="13"/>
        </w:numPr>
        <w:tabs>
          <w:tab w:val="clear" w:pos="1836"/>
          <w:tab w:val="num" w:pos="720"/>
        </w:tabs>
        <w:spacing w:before="0" w:after="0" w:line="276" w:lineRule="auto"/>
        <w:ind w:left="720" w:hanging="720"/>
        <w:rPr>
          <w:rFonts w:ascii="Arial" w:eastAsia="Arial" w:hAnsi="Arial" w:cs="Arial"/>
          <w:sz w:val="22"/>
          <w:szCs w:val="22"/>
          <w:lang w:val="es-ES_tradnl"/>
        </w:rPr>
      </w:pPr>
      <w:r w:rsidRPr="00F85253">
        <w:rPr>
          <w:rFonts w:ascii="Arial" w:eastAsia="Arial" w:hAnsi="Arial" w:cs="Arial"/>
          <w:sz w:val="22"/>
          <w:szCs w:val="22"/>
          <w:lang w:val="en-US"/>
        </w:rPr>
        <w:lastRenderedPageBreak/>
        <w:t xml:space="preserve">International Monetary Fund. (2018, octubre). World Economic Outlook Database October 2018. </w:t>
      </w:r>
      <w:proofErr w:type="gramStart"/>
      <w:r w:rsidRPr="00F85253">
        <w:rPr>
          <w:rFonts w:ascii="Arial" w:eastAsia="Arial" w:hAnsi="Arial" w:cs="Arial"/>
          <w:sz w:val="22"/>
          <w:szCs w:val="22"/>
          <w:lang w:val="es-ES_tradnl"/>
        </w:rPr>
        <w:t>Recuperado  de</w:t>
      </w:r>
      <w:proofErr w:type="gramEnd"/>
      <w:r w:rsidRPr="00F85253">
        <w:rPr>
          <w:rFonts w:ascii="Arial" w:eastAsia="Arial" w:hAnsi="Arial" w:cs="Arial"/>
          <w:sz w:val="22"/>
          <w:szCs w:val="22"/>
          <w:lang w:val="es-ES_tradnl"/>
        </w:rPr>
        <w:t xml:space="preserve"> </w:t>
      </w:r>
      <w:hyperlink r:id="rId36" w:history="1">
        <w:r w:rsidRPr="00F85253">
          <w:rPr>
            <w:rStyle w:val="Hyperlink"/>
            <w:rFonts w:ascii="Arial" w:eastAsia="Arial" w:hAnsi="Arial" w:cs="Arial"/>
            <w:sz w:val="22"/>
            <w:szCs w:val="22"/>
            <w:lang w:val="es-ES_tradnl"/>
          </w:rPr>
          <w:t>https://www.imf.org/external/pubs/ft/weo/2018/02/weodata/index.aspx</w:t>
        </w:r>
      </w:hyperlink>
    </w:p>
    <w:p w14:paraId="1422924A" w14:textId="77777777" w:rsidR="00981980" w:rsidRPr="00F85253" w:rsidRDefault="00981980" w:rsidP="00981980">
      <w:pPr>
        <w:pStyle w:val="Paragraph"/>
        <w:numPr>
          <w:ilvl w:val="1"/>
          <w:numId w:val="13"/>
        </w:numPr>
        <w:tabs>
          <w:tab w:val="clear" w:pos="1836"/>
          <w:tab w:val="num" w:pos="720"/>
        </w:tabs>
        <w:spacing w:before="0" w:after="0" w:line="276" w:lineRule="auto"/>
        <w:ind w:left="720" w:hanging="720"/>
        <w:rPr>
          <w:rFonts w:ascii="Arial" w:eastAsia="Arial" w:hAnsi="Arial" w:cs="Arial"/>
          <w:sz w:val="22"/>
          <w:szCs w:val="22"/>
          <w:lang w:val="es-ES_tradnl"/>
        </w:rPr>
      </w:pPr>
      <w:r w:rsidRPr="00F85253">
        <w:rPr>
          <w:rFonts w:ascii="Arial" w:eastAsia="Arial" w:hAnsi="Arial" w:cs="Arial"/>
          <w:sz w:val="22"/>
          <w:szCs w:val="22"/>
          <w:lang w:val="es-ES_tradnl"/>
        </w:rPr>
        <w:t>Ministerio de Finanzas. (s.f.). Acuerdo Ministerial 100.</w:t>
      </w:r>
    </w:p>
    <w:p w14:paraId="0D52CD52" w14:textId="77777777" w:rsidR="00981980" w:rsidRPr="00F85253" w:rsidRDefault="00981980" w:rsidP="00981980">
      <w:pPr>
        <w:pStyle w:val="Paragraph"/>
        <w:numPr>
          <w:ilvl w:val="1"/>
          <w:numId w:val="13"/>
        </w:numPr>
        <w:tabs>
          <w:tab w:val="clear" w:pos="1836"/>
          <w:tab w:val="num" w:pos="720"/>
        </w:tabs>
        <w:spacing w:before="0" w:after="0" w:line="276" w:lineRule="auto"/>
        <w:ind w:left="720" w:hanging="720"/>
        <w:rPr>
          <w:rFonts w:ascii="Arial" w:eastAsia="Arial" w:hAnsi="Arial" w:cs="Arial"/>
          <w:sz w:val="22"/>
          <w:szCs w:val="22"/>
          <w:lang w:val="es-ES_tradnl"/>
        </w:rPr>
      </w:pPr>
      <w:r w:rsidRPr="00F85253">
        <w:rPr>
          <w:rFonts w:ascii="Arial" w:eastAsia="Arial" w:hAnsi="Arial" w:cs="Arial"/>
          <w:sz w:val="22"/>
          <w:szCs w:val="22"/>
          <w:lang w:val="es-ES_tradnl"/>
        </w:rPr>
        <w:t>Ministerio de Economía y Finanzas MEF. (2019). Información entregada.</w:t>
      </w:r>
    </w:p>
    <w:p w14:paraId="3C9B6B40" w14:textId="77777777" w:rsidR="00981980" w:rsidRPr="00F85253" w:rsidRDefault="00981980" w:rsidP="00981980">
      <w:pPr>
        <w:pStyle w:val="Paragraph"/>
        <w:numPr>
          <w:ilvl w:val="1"/>
          <w:numId w:val="13"/>
        </w:numPr>
        <w:tabs>
          <w:tab w:val="clear" w:pos="1836"/>
          <w:tab w:val="num" w:pos="720"/>
        </w:tabs>
        <w:spacing w:before="0" w:after="0" w:line="276" w:lineRule="auto"/>
        <w:ind w:left="720" w:hanging="720"/>
        <w:rPr>
          <w:rFonts w:ascii="Arial" w:eastAsia="Arial" w:hAnsi="Arial" w:cs="Arial"/>
          <w:sz w:val="22"/>
          <w:szCs w:val="22"/>
          <w:lang w:val="es-ES_tradnl"/>
        </w:rPr>
      </w:pPr>
      <w:r w:rsidRPr="00F85253">
        <w:rPr>
          <w:rFonts w:ascii="Arial" w:eastAsia="Arial" w:hAnsi="Arial" w:cs="Arial"/>
          <w:sz w:val="22"/>
          <w:szCs w:val="22"/>
          <w:lang w:val="es-ES_tradnl"/>
        </w:rPr>
        <w:t>Ministerio de Energía y Recursos Naturales no Renovables MERNNR. (2019). Información entregada.</w:t>
      </w:r>
    </w:p>
    <w:p w14:paraId="316E5363" w14:textId="77777777" w:rsidR="00981980" w:rsidRPr="00824032" w:rsidRDefault="00981980" w:rsidP="00981980">
      <w:pPr>
        <w:pStyle w:val="Paragraph"/>
        <w:numPr>
          <w:ilvl w:val="1"/>
          <w:numId w:val="13"/>
        </w:numPr>
        <w:tabs>
          <w:tab w:val="clear" w:pos="1836"/>
          <w:tab w:val="num" w:pos="720"/>
        </w:tabs>
        <w:spacing w:before="0" w:after="0" w:line="276" w:lineRule="auto"/>
        <w:ind w:left="720" w:hanging="720"/>
        <w:rPr>
          <w:rFonts w:ascii="Arial" w:eastAsia="Arial" w:hAnsi="Arial" w:cs="Arial"/>
          <w:sz w:val="22"/>
          <w:szCs w:val="22"/>
          <w:lang w:val="es-ES_tradnl"/>
        </w:rPr>
      </w:pPr>
      <w:r w:rsidRPr="00F85253">
        <w:rPr>
          <w:rFonts w:ascii="Arial" w:eastAsia="Arial" w:hAnsi="Arial" w:cs="Arial"/>
          <w:sz w:val="22"/>
          <w:szCs w:val="22"/>
          <w:lang w:val="pt-BR"/>
        </w:rPr>
        <w:t xml:space="preserve">MIT. (2019). Airline Data Project. </w:t>
      </w:r>
      <w:r w:rsidRPr="00824032">
        <w:rPr>
          <w:rFonts w:ascii="Arial" w:eastAsia="Arial" w:hAnsi="Arial" w:cs="Arial"/>
          <w:sz w:val="22"/>
          <w:szCs w:val="22"/>
          <w:lang w:val="es-ES_tradnl"/>
        </w:rPr>
        <w:t xml:space="preserve">Recuperado 17 mayo, 2019, de </w:t>
      </w:r>
      <w:hyperlink r:id="rId37" w:history="1">
        <w:r w:rsidRPr="00824032">
          <w:rPr>
            <w:rFonts w:ascii="Arial" w:eastAsia="Arial" w:hAnsi="Arial" w:cs="Arial"/>
            <w:sz w:val="22"/>
            <w:szCs w:val="22"/>
            <w:lang w:val="es-ES_tradnl"/>
          </w:rPr>
          <w:t>http://web.mit.edu/airlinedata/www/default.html</w:t>
        </w:r>
      </w:hyperlink>
    </w:p>
    <w:p w14:paraId="7081CE56" w14:textId="77777777" w:rsidR="00981980" w:rsidRPr="00F85253" w:rsidRDefault="00981980" w:rsidP="00981980">
      <w:pPr>
        <w:pStyle w:val="Paragraph"/>
        <w:numPr>
          <w:ilvl w:val="1"/>
          <w:numId w:val="13"/>
        </w:numPr>
        <w:tabs>
          <w:tab w:val="clear" w:pos="1836"/>
          <w:tab w:val="num" w:pos="720"/>
        </w:tabs>
        <w:spacing w:before="0" w:after="0" w:line="276" w:lineRule="auto"/>
        <w:ind w:left="720" w:hanging="720"/>
        <w:rPr>
          <w:rFonts w:ascii="Arial" w:eastAsia="Arial" w:hAnsi="Arial" w:cs="Arial"/>
          <w:sz w:val="22"/>
          <w:szCs w:val="22"/>
          <w:lang w:val="es-ES_tradnl"/>
        </w:rPr>
      </w:pPr>
      <w:r w:rsidRPr="00F85253">
        <w:rPr>
          <w:rFonts w:ascii="Arial" w:eastAsia="Arial" w:hAnsi="Arial" w:cs="Arial"/>
          <w:sz w:val="22"/>
          <w:szCs w:val="22"/>
          <w:lang w:val="es-ES_tradnl"/>
        </w:rPr>
        <w:t xml:space="preserve">Musacchio A. y Pineda E. (2019). </w:t>
      </w:r>
      <w:r w:rsidRPr="00F85253">
        <w:rPr>
          <w:rFonts w:ascii="Arial" w:eastAsia="Arial" w:hAnsi="Arial" w:cs="Arial"/>
          <w:sz w:val="22"/>
          <w:szCs w:val="22"/>
          <w:lang w:val="en-US"/>
        </w:rPr>
        <w:t xml:space="preserve">Fixing State-Owned Enterprises: New Policy Solutions to old problems. </w:t>
      </w:r>
      <w:r w:rsidRPr="00F85253">
        <w:rPr>
          <w:rFonts w:ascii="Arial" w:eastAsia="Arial" w:hAnsi="Arial" w:cs="Arial"/>
          <w:sz w:val="22"/>
          <w:szCs w:val="22"/>
          <w:lang w:val="es-ES_tradnl"/>
        </w:rPr>
        <w:t>Interamerican Development Bank.</w:t>
      </w:r>
    </w:p>
    <w:p w14:paraId="3ED59D1F" w14:textId="77777777" w:rsidR="00981980" w:rsidRPr="00F85253" w:rsidRDefault="00981980" w:rsidP="00981980">
      <w:pPr>
        <w:pStyle w:val="Paragraph"/>
        <w:numPr>
          <w:ilvl w:val="1"/>
          <w:numId w:val="13"/>
        </w:numPr>
        <w:tabs>
          <w:tab w:val="clear" w:pos="1836"/>
          <w:tab w:val="num" w:pos="720"/>
        </w:tabs>
        <w:spacing w:before="0" w:after="0" w:line="276" w:lineRule="auto"/>
        <w:ind w:left="720" w:hanging="720"/>
        <w:rPr>
          <w:rFonts w:ascii="Arial" w:eastAsia="Arial" w:hAnsi="Arial" w:cs="Arial"/>
          <w:sz w:val="22"/>
          <w:szCs w:val="22"/>
          <w:lang w:val="es-ES_tradnl"/>
        </w:rPr>
      </w:pPr>
      <w:r w:rsidRPr="00F85253">
        <w:rPr>
          <w:rFonts w:ascii="Arial" w:eastAsia="Arial" w:hAnsi="Arial" w:cs="Arial"/>
          <w:sz w:val="22"/>
          <w:szCs w:val="22"/>
          <w:lang w:val="es-ES_tradnl"/>
        </w:rPr>
        <w:t xml:space="preserve">Musacchio, A., Pineda, E., y García, G. (2015). </w:t>
      </w:r>
      <w:r w:rsidRPr="00F85253">
        <w:rPr>
          <w:rFonts w:ascii="Arial" w:eastAsia="Arial" w:hAnsi="Arial" w:cs="Arial"/>
          <w:sz w:val="22"/>
          <w:szCs w:val="22"/>
          <w:lang w:val="en-US"/>
        </w:rPr>
        <w:t xml:space="preserve">State-Owned Enterprise Reform in Latin America: Issues and Possible Solutions. </w:t>
      </w:r>
      <w:r w:rsidRPr="00F85253">
        <w:rPr>
          <w:rFonts w:ascii="Arial" w:eastAsia="Arial" w:hAnsi="Arial" w:cs="Arial"/>
          <w:sz w:val="22"/>
          <w:szCs w:val="22"/>
          <w:lang w:val="es-ES_tradnl"/>
        </w:rPr>
        <w:t>Documento de trabajo. BID.</w:t>
      </w:r>
    </w:p>
    <w:p w14:paraId="23F98D0C" w14:textId="77777777" w:rsidR="00981980" w:rsidRPr="00F85253" w:rsidRDefault="00981980" w:rsidP="00981980">
      <w:pPr>
        <w:pStyle w:val="Paragraph"/>
        <w:numPr>
          <w:ilvl w:val="1"/>
          <w:numId w:val="13"/>
        </w:numPr>
        <w:tabs>
          <w:tab w:val="clear" w:pos="1836"/>
          <w:tab w:val="num" w:pos="720"/>
        </w:tabs>
        <w:spacing w:before="0" w:after="0" w:line="276" w:lineRule="auto"/>
        <w:ind w:left="720" w:hanging="720"/>
        <w:rPr>
          <w:rFonts w:ascii="Arial" w:eastAsia="Arial" w:hAnsi="Arial" w:cs="Arial"/>
          <w:sz w:val="22"/>
          <w:szCs w:val="22"/>
          <w:lang w:val="en-US"/>
        </w:rPr>
      </w:pPr>
      <w:r w:rsidRPr="00F85253">
        <w:rPr>
          <w:rFonts w:ascii="Arial" w:eastAsia="Arial" w:hAnsi="Arial" w:cs="Arial"/>
          <w:sz w:val="22"/>
          <w:szCs w:val="22"/>
          <w:lang w:val="en-US"/>
        </w:rPr>
        <w:t>OECD. (2014), OECD Foreign Bribery Report: An Analysis of the Crime of Bribery of Foreign Public Officials, OCDE Publishing.</w:t>
      </w:r>
    </w:p>
    <w:p w14:paraId="37A4D695" w14:textId="77777777" w:rsidR="00981980" w:rsidRPr="00F85253" w:rsidRDefault="00981980" w:rsidP="00981980">
      <w:pPr>
        <w:pStyle w:val="Paragraph"/>
        <w:numPr>
          <w:ilvl w:val="1"/>
          <w:numId w:val="13"/>
        </w:numPr>
        <w:tabs>
          <w:tab w:val="clear" w:pos="1836"/>
          <w:tab w:val="num" w:pos="720"/>
        </w:tabs>
        <w:spacing w:before="0" w:after="0" w:line="276" w:lineRule="auto"/>
        <w:ind w:left="720" w:hanging="720"/>
        <w:rPr>
          <w:rFonts w:ascii="Arial" w:eastAsia="Arial" w:hAnsi="Arial" w:cs="Arial"/>
          <w:sz w:val="22"/>
          <w:szCs w:val="22"/>
          <w:lang w:val="es-ES_tradnl"/>
        </w:rPr>
      </w:pPr>
      <w:r w:rsidRPr="00F85253">
        <w:rPr>
          <w:rFonts w:ascii="Arial" w:eastAsia="Arial" w:hAnsi="Arial" w:cs="Arial"/>
          <w:sz w:val="22"/>
          <w:szCs w:val="22"/>
          <w:lang w:val="es-ES_tradnl"/>
        </w:rPr>
        <w:t>OCDE. (2016a), Directrices de la OCDE sobre el Gobierno Corporativo de las Empresas Públicas, Edición 2015, Edicines OCDE.</w:t>
      </w:r>
    </w:p>
    <w:p w14:paraId="49C8E812" w14:textId="77777777" w:rsidR="00981980" w:rsidRPr="00F85253" w:rsidRDefault="00981980" w:rsidP="00981980">
      <w:pPr>
        <w:pStyle w:val="Paragraph"/>
        <w:numPr>
          <w:ilvl w:val="1"/>
          <w:numId w:val="13"/>
        </w:numPr>
        <w:tabs>
          <w:tab w:val="clear" w:pos="1836"/>
          <w:tab w:val="num" w:pos="720"/>
        </w:tabs>
        <w:spacing w:before="0" w:after="0" w:line="276" w:lineRule="auto"/>
        <w:ind w:left="720" w:hanging="720"/>
        <w:rPr>
          <w:rFonts w:ascii="Arial" w:eastAsia="Arial" w:hAnsi="Arial" w:cs="Arial"/>
          <w:sz w:val="22"/>
          <w:szCs w:val="22"/>
          <w:lang w:val="es-ES_tradnl"/>
        </w:rPr>
      </w:pPr>
      <w:r w:rsidRPr="00F85253">
        <w:rPr>
          <w:rFonts w:ascii="Arial" w:eastAsia="Arial" w:hAnsi="Arial" w:cs="Arial"/>
          <w:sz w:val="22"/>
          <w:szCs w:val="22"/>
          <w:lang w:val="es-ES_tradnl"/>
        </w:rPr>
        <w:t>OCDE. (2016b). Principios de Gobierno Corporativo de la OCDE y del G20. Paris: Éditions OCDE.</w:t>
      </w:r>
    </w:p>
    <w:p w14:paraId="3B7BE17E" w14:textId="77777777" w:rsidR="00981980" w:rsidRPr="00F85253" w:rsidRDefault="00981980" w:rsidP="00981980">
      <w:pPr>
        <w:pStyle w:val="Paragraph"/>
        <w:numPr>
          <w:ilvl w:val="1"/>
          <w:numId w:val="13"/>
        </w:numPr>
        <w:tabs>
          <w:tab w:val="clear" w:pos="1836"/>
          <w:tab w:val="num" w:pos="720"/>
        </w:tabs>
        <w:spacing w:before="0" w:after="0" w:line="276" w:lineRule="auto"/>
        <w:ind w:left="720" w:hanging="720"/>
        <w:rPr>
          <w:rFonts w:ascii="Arial" w:eastAsia="Arial" w:hAnsi="Arial" w:cs="Arial"/>
          <w:sz w:val="22"/>
          <w:szCs w:val="22"/>
          <w:lang w:val="es-ES_tradnl"/>
        </w:rPr>
      </w:pPr>
      <w:r w:rsidRPr="00F85253">
        <w:rPr>
          <w:rFonts w:ascii="Arial" w:eastAsia="Arial" w:hAnsi="Arial" w:cs="Arial"/>
          <w:sz w:val="22"/>
          <w:szCs w:val="22"/>
          <w:lang w:val="es-ES_tradnl"/>
        </w:rPr>
        <w:t xml:space="preserve">Presidencia de la República del Ecuador. (17 de noviembre de 2015). </w:t>
      </w:r>
      <w:r w:rsidRPr="00F85253">
        <w:rPr>
          <w:rFonts w:ascii="Arial" w:eastAsia="Arial" w:hAnsi="Arial" w:cs="Arial"/>
          <w:sz w:val="22"/>
          <w:szCs w:val="22"/>
          <w:lang w:val="es-EC"/>
        </w:rPr>
        <w:t>Decreto Ejecutivo No. 824.</w:t>
      </w:r>
    </w:p>
    <w:p w14:paraId="1A866848" w14:textId="77777777" w:rsidR="00981980" w:rsidRPr="00F85253" w:rsidRDefault="00981980" w:rsidP="00981980">
      <w:pPr>
        <w:pStyle w:val="Paragraph"/>
        <w:numPr>
          <w:ilvl w:val="1"/>
          <w:numId w:val="13"/>
        </w:numPr>
        <w:tabs>
          <w:tab w:val="clear" w:pos="1836"/>
          <w:tab w:val="num" w:pos="720"/>
        </w:tabs>
        <w:spacing w:before="0" w:after="0" w:line="276" w:lineRule="auto"/>
        <w:ind w:left="720" w:hanging="720"/>
        <w:rPr>
          <w:rFonts w:ascii="Arial" w:eastAsia="Arial" w:hAnsi="Arial" w:cs="Arial"/>
          <w:sz w:val="22"/>
          <w:szCs w:val="22"/>
          <w:lang w:val="es-ES_tradnl"/>
        </w:rPr>
      </w:pPr>
      <w:r w:rsidRPr="00F85253">
        <w:rPr>
          <w:rFonts w:ascii="Arial" w:eastAsia="Arial" w:hAnsi="Arial" w:cs="Arial"/>
          <w:sz w:val="22"/>
          <w:szCs w:val="22"/>
          <w:lang w:val="es-ES_tradnl"/>
        </w:rPr>
        <w:t xml:space="preserve">Presidencia de la República del Ecuador. (1 de septiembre de 2017). </w:t>
      </w:r>
      <w:r w:rsidRPr="00F85253">
        <w:rPr>
          <w:rFonts w:ascii="Arial" w:eastAsia="Arial" w:hAnsi="Arial" w:cs="Arial"/>
          <w:sz w:val="22"/>
          <w:szCs w:val="22"/>
          <w:lang w:val="es-EC"/>
        </w:rPr>
        <w:t>Decreto Ejecutivo No. 135.</w:t>
      </w:r>
    </w:p>
    <w:p w14:paraId="315B4CE7" w14:textId="77777777" w:rsidR="00981980" w:rsidRPr="00F85253" w:rsidRDefault="00981980" w:rsidP="00981980">
      <w:pPr>
        <w:pStyle w:val="Paragraph"/>
        <w:numPr>
          <w:ilvl w:val="1"/>
          <w:numId w:val="13"/>
        </w:numPr>
        <w:tabs>
          <w:tab w:val="clear" w:pos="1836"/>
          <w:tab w:val="num" w:pos="720"/>
        </w:tabs>
        <w:spacing w:before="0" w:after="0" w:line="276" w:lineRule="auto"/>
        <w:ind w:left="720" w:hanging="720"/>
        <w:rPr>
          <w:rFonts w:ascii="Arial" w:eastAsia="Arial" w:hAnsi="Arial" w:cs="Arial"/>
          <w:sz w:val="22"/>
          <w:szCs w:val="22"/>
          <w:lang w:val="es-ES_tradnl"/>
        </w:rPr>
      </w:pPr>
      <w:r w:rsidRPr="00F85253">
        <w:rPr>
          <w:rFonts w:ascii="Arial" w:eastAsia="Arial" w:hAnsi="Arial" w:cs="Arial"/>
          <w:sz w:val="22"/>
          <w:szCs w:val="22"/>
          <w:lang w:val="en-US"/>
        </w:rPr>
        <w:t xml:space="preserve">StataCorp LLC. (s.f.). mswitch — Markov-switching regression models. </w:t>
      </w:r>
      <w:r w:rsidRPr="00F85253">
        <w:rPr>
          <w:rFonts w:ascii="Arial" w:eastAsia="Arial" w:hAnsi="Arial" w:cs="Arial"/>
          <w:sz w:val="22"/>
          <w:szCs w:val="22"/>
          <w:lang w:val="es-ES_tradnl"/>
        </w:rPr>
        <w:t xml:space="preserve">Recuperado 8 mayo, 2019, de </w:t>
      </w:r>
      <w:hyperlink r:id="rId38" w:history="1">
        <w:r w:rsidRPr="00F85253">
          <w:rPr>
            <w:rStyle w:val="Hyperlink"/>
            <w:rFonts w:ascii="Arial" w:eastAsia="Arial" w:hAnsi="Arial" w:cs="Arial"/>
            <w:sz w:val="22"/>
            <w:szCs w:val="22"/>
            <w:lang w:val="es-ES_tradnl"/>
          </w:rPr>
          <w:t>https://www.stata.com/manuals/tsmswitch.pdf</w:t>
        </w:r>
      </w:hyperlink>
    </w:p>
    <w:p w14:paraId="07B82CF6" w14:textId="77777777" w:rsidR="00F016EC" w:rsidRPr="00F85253" w:rsidRDefault="00981980" w:rsidP="00F016EC">
      <w:pPr>
        <w:pStyle w:val="Paragraph"/>
        <w:numPr>
          <w:ilvl w:val="1"/>
          <w:numId w:val="13"/>
        </w:numPr>
        <w:tabs>
          <w:tab w:val="clear" w:pos="1836"/>
          <w:tab w:val="num" w:pos="720"/>
        </w:tabs>
        <w:spacing w:before="0" w:after="0" w:line="276" w:lineRule="auto"/>
        <w:ind w:left="720" w:hanging="720"/>
        <w:rPr>
          <w:rFonts w:ascii="Arial" w:eastAsia="Arial" w:hAnsi="Arial" w:cs="Arial"/>
          <w:sz w:val="22"/>
          <w:szCs w:val="22"/>
          <w:lang w:val="es-ES_tradnl"/>
        </w:rPr>
      </w:pPr>
      <w:r w:rsidRPr="00F85253">
        <w:rPr>
          <w:rFonts w:ascii="Arial" w:eastAsia="Arial" w:hAnsi="Arial" w:cs="Arial"/>
          <w:sz w:val="22"/>
          <w:szCs w:val="22"/>
          <w:lang w:val="en-US"/>
        </w:rPr>
        <w:t xml:space="preserve">Ter-Minassian, T. (2007). Identifying and Mitigating Fiscal Risks from State Owned Enterprises (SOEs). </w:t>
      </w:r>
      <w:r w:rsidRPr="00F85253">
        <w:rPr>
          <w:rFonts w:ascii="Arial" w:eastAsia="Arial" w:hAnsi="Arial" w:cs="Arial"/>
          <w:sz w:val="22"/>
          <w:szCs w:val="22"/>
          <w:lang w:val="es-ES_tradnl"/>
        </w:rPr>
        <w:t>Documento de trabajo.</w:t>
      </w:r>
    </w:p>
    <w:p w14:paraId="40C1A8C5" w14:textId="1B0B8DF7" w:rsidR="001B4C68" w:rsidRPr="00F85253" w:rsidRDefault="00F016EC" w:rsidP="001B4C68">
      <w:pPr>
        <w:pStyle w:val="Paragraph"/>
        <w:numPr>
          <w:ilvl w:val="1"/>
          <w:numId w:val="13"/>
        </w:numPr>
        <w:tabs>
          <w:tab w:val="clear" w:pos="1836"/>
          <w:tab w:val="num" w:pos="720"/>
        </w:tabs>
        <w:spacing w:before="0" w:after="0" w:line="276" w:lineRule="auto"/>
        <w:ind w:left="720" w:hanging="720"/>
        <w:rPr>
          <w:rFonts w:ascii="Arial" w:eastAsia="Arial" w:hAnsi="Arial" w:cs="Arial"/>
          <w:sz w:val="22"/>
          <w:szCs w:val="22"/>
          <w:lang w:val="es-ES_tradnl"/>
        </w:rPr>
      </w:pPr>
      <w:r w:rsidRPr="00F85253">
        <w:rPr>
          <w:rFonts w:ascii="Arial" w:eastAsia="Arial" w:hAnsi="Arial" w:cs="Arial"/>
          <w:sz w:val="22"/>
          <w:szCs w:val="22"/>
          <w:lang w:val="en-US"/>
        </w:rPr>
        <w:t xml:space="preserve">Transparency International e.V. (s.f.). </w:t>
      </w:r>
      <w:r w:rsidRPr="00F85253">
        <w:rPr>
          <w:rFonts w:ascii="Arial" w:eastAsia="Arial" w:hAnsi="Arial" w:cs="Arial"/>
          <w:sz w:val="22"/>
          <w:szCs w:val="22"/>
          <w:lang w:val="es-ES_tradnl"/>
        </w:rPr>
        <w:t xml:space="preserve">El Índice de Percepción de la Corrupción muestra un estancamiento de la lucha contra la corrupción en la mayoría de los países [Conjunto de datos]. Recuperado </w:t>
      </w:r>
      <w:r w:rsidR="00F659DB" w:rsidRPr="00F85253">
        <w:rPr>
          <w:rFonts w:ascii="Arial" w:eastAsia="Arial" w:hAnsi="Arial" w:cs="Arial"/>
          <w:sz w:val="22"/>
          <w:szCs w:val="22"/>
          <w:lang w:val="es-ES_tradnl"/>
        </w:rPr>
        <w:t xml:space="preserve">23 </w:t>
      </w:r>
      <w:r w:rsidRPr="00F85253">
        <w:rPr>
          <w:rFonts w:ascii="Arial" w:eastAsia="Arial" w:hAnsi="Arial" w:cs="Arial"/>
          <w:sz w:val="22"/>
          <w:szCs w:val="22"/>
          <w:lang w:val="es-ES_tradnl"/>
        </w:rPr>
        <w:t xml:space="preserve">enero, 2019, de </w:t>
      </w:r>
      <w:hyperlink r:id="rId39" w:history="1">
        <w:r w:rsidR="001B4C68" w:rsidRPr="00F85253">
          <w:rPr>
            <w:rStyle w:val="Hyperlink"/>
            <w:rFonts w:ascii="Arial" w:eastAsia="Arial" w:hAnsi="Arial" w:cs="Arial"/>
            <w:sz w:val="22"/>
            <w:szCs w:val="22"/>
            <w:lang w:val="es-ES_tradnl"/>
          </w:rPr>
          <w:t>https://www.transparency.org/news/pressrelease/el_indice_de_percepcion_de_la_corrupcion_2018</w:t>
        </w:r>
      </w:hyperlink>
    </w:p>
    <w:p w14:paraId="626FC088" w14:textId="77777777" w:rsidR="003A5D7E" w:rsidRPr="00F85253" w:rsidRDefault="001B4C68" w:rsidP="003A5D7E">
      <w:pPr>
        <w:pStyle w:val="Paragraph"/>
        <w:numPr>
          <w:ilvl w:val="1"/>
          <w:numId w:val="13"/>
        </w:numPr>
        <w:tabs>
          <w:tab w:val="clear" w:pos="1836"/>
          <w:tab w:val="num" w:pos="720"/>
        </w:tabs>
        <w:spacing w:before="0" w:after="0" w:line="276" w:lineRule="auto"/>
        <w:ind w:left="720" w:hanging="720"/>
        <w:rPr>
          <w:rFonts w:ascii="Arial" w:eastAsia="Arial" w:hAnsi="Arial" w:cs="Arial"/>
          <w:sz w:val="22"/>
          <w:szCs w:val="22"/>
          <w:lang w:val="es-ES_tradnl"/>
        </w:rPr>
      </w:pPr>
      <w:r w:rsidRPr="00F85253">
        <w:rPr>
          <w:rFonts w:ascii="Arial" w:eastAsia="Arial" w:hAnsi="Arial" w:cs="Arial"/>
          <w:sz w:val="22"/>
          <w:szCs w:val="22"/>
          <w:lang w:val="en-US"/>
        </w:rPr>
        <w:t xml:space="preserve">Transparency International e.V. (s.f.-b). </w:t>
      </w:r>
      <w:r w:rsidRPr="00F85253">
        <w:rPr>
          <w:rFonts w:ascii="Arial" w:eastAsia="Arial" w:hAnsi="Arial" w:cs="Arial"/>
          <w:sz w:val="22"/>
          <w:szCs w:val="22"/>
          <w:lang w:val="es-ES_tradnl"/>
        </w:rPr>
        <w:t xml:space="preserve">[TI Publication - Informe Global de la Corrupción 2009: Corrupción y sector privado]. Recuperado </w:t>
      </w:r>
      <w:r w:rsidR="00F659DB" w:rsidRPr="00F85253">
        <w:rPr>
          <w:rFonts w:ascii="Arial" w:eastAsia="Arial" w:hAnsi="Arial" w:cs="Arial"/>
          <w:sz w:val="22"/>
          <w:szCs w:val="22"/>
          <w:lang w:val="es-ES_tradnl"/>
        </w:rPr>
        <w:t>23</w:t>
      </w:r>
      <w:r w:rsidRPr="00F85253">
        <w:rPr>
          <w:rFonts w:ascii="Arial" w:eastAsia="Arial" w:hAnsi="Arial" w:cs="Arial"/>
          <w:sz w:val="22"/>
          <w:szCs w:val="22"/>
          <w:lang w:val="es-ES_tradnl"/>
        </w:rPr>
        <w:t xml:space="preserve"> </w:t>
      </w:r>
      <w:r w:rsidR="00F659DB" w:rsidRPr="00F85253">
        <w:rPr>
          <w:rFonts w:ascii="Arial" w:eastAsia="Arial" w:hAnsi="Arial" w:cs="Arial"/>
          <w:sz w:val="22"/>
          <w:szCs w:val="22"/>
          <w:lang w:val="es-ES_tradnl"/>
        </w:rPr>
        <w:t>enero</w:t>
      </w:r>
      <w:r w:rsidRPr="00F85253">
        <w:rPr>
          <w:rFonts w:ascii="Arial" w:eastAsia="Arial" w:hAnsi="Arial" w:cs="Arial"/>
          <w:sz w:val="22"/>
          <w:szCs w:val="22"/>
          <w:lang w:val="es-ES_tradnl"/>
        </w:rPr>
        <w:t xml:space="preserve">, 2009, de </w:t>
      </w:r>
      <w:hyperlink r:id="rId40" w:history="1">
        <w:r w:rsidR="003A5D7E" w:rsidRPr="00F85253">
          <w:rPr>
            <w:rStyle w:val="Hyperlink"/>
            <w:rFonts w:ascii="Arial" w:eastAsia="Arial" w:hAnsi="Arial" w:cs="Arial"/>
            <w:sz w:val="22"/>
            <w:szCs w:val="22"/>
            <w:lang w:val="es-ES_tradnl"/>
          </w:rPr>
          <w:t>https://www.transparency.org/whatwedo/publication/informe_global_de_la_corrupcion_2009_corrupcion_y_sector_privado</w:t>
        </w:r>
      </w:hyperlink>
    </w:p>
    <w:p w14:paraId="0A764A43" w14:textId="20863C41" w:rsidR="003A5D7E" w:rsidRPr="00F85253" w:rsidRDefault="003A5D7E" w:rsidP="003A5D7E">
      <w:pPr>
        <w:pStyle w:val="Paragraph"/>
        <w:numPr>
          <w:ilvl w:val="1"/>
          <w:numId w:val="13"/>
        </w:numPr>
        <w:tabs>
          <w:tab w:val="clear" w:pos="1836"/>
          <w:tab w:val="num" w:pos="720"/>
        </w:tabs>
        <w:spacing w:before="0" w:after="0" w:line="276" w:lineRule="auto"/>
        <w:ind w:left="720" w:hanging="720"/>
        <w:rPr>
          <w:rFonts w:ascii="Arial" w:eastAsia="Arial" w:hAnsi="Arial" w:cs="Arial"/>
          <w:sz w:val="22"/>
          <w:szCs w:val="22"/>
          <w:lang w:val="es-ES_tradnl"/>
        </w:rPr>
      </w:pPr>
      <w:r w:rsidRPr="00F85253">
        <w:rPr>
          <w:rFonts w:ascii="Arial" w:eastAsia="Arial" w:hAnsi="Arial" w:cs="Arial"/>
          <w:sz w:val="22"/>
          <w:szCs w:val="22"/>
          <w:lang w:val="en-US"/>
        </w:rPr>
        <w:t xml:space="preserve">The World Penn Table. (s.f.). [Data Planet LibGuides: Penn World Tables: About Penn World Tables] [Conjunto de datos]. </w:t>
      </w:r>
      <w:r w:rsidRPr="00F85253">
        <w:rPr>
          <w:rFonts w:ascii="Arial" w:eastAsia="Arial" w:hAnsi="Arial" w:cs="Arial"/>
          <w:sz w:val="22"/>
          <w:szCs w:val="22"/>
          <w:lang w:val="es-ES_tradnl"/>
        </w:rPr>
        <w:t>Recuperado 29 mayo, 2019, de https://data-planet.libguides.com/PennWorldTables</w:t>
      </w:r>
    </w:p>
    <w:p w14:paraId="5F72F276" w14:textId="77777777" w:rsidR="00981980" w:rsidRPr="00F85253" w:rsidRDefault="00981980" w:rsidP="00981980">
      <w:pPr>
        <w:pStyle w:val="Paragraph"/>
        <w:numPr>
          <w:ilvl w:val="1"/>
          <w:numId w:val="13"/>
        </w:numPr>
        <w:tabs>
          <w:tab w:val="clear" w:pos="1836"/>
          <w:tab w:val="num" w:pos="720"/>
        </w:tabs>
        <w:spacing w:before="0" w:after="0" w:line="276" w:lineRule="auto"/>
        <w:ind w:left="720" w:hanging="720"/>
        <w:rPr>
          <w:rFonts w:ascii="Arial" w:eastAsia="Arial" w:hAnsi="Arial" w:cs="Arial"/>
          <w:sz w:val="22"/>
          <w:szCs w:val="22"/>
          <w:lang w:val="es-ES_tradnl"/>
        </w:rPr>
      </w:pPr>
      <w:r w:rsidRPr="00F85253">
        <w:rPr>
          <w:rFonts w:ascii="Arial" w:eastAsia="Arial" w:hAnsi="Arial" w:cs="Arial"/>
          <w:sz w:val="22"/>
          <w:szCs w:val="22"/>
          <w:lang w:val="es-ES_tradnl"/>
        </w:rPr>
        <w:t xml:space="preserve">Verónica Murillo Moncayo, M. M. (2009). La Fusión de Empresas en el Ecuador como Opción de Crecimiento: Un Análisis de Casos. </w:t>
      </w:r>
    </w:p>
    <w:p w14:paraId="57CC8B6E" w14:textId="77777777" w:rsidR="00981980" w:rsidRPr="00F85253" w:rsidRDefault="00981980" w:rsidP="00981980">
      <w:pPr>
        <w:pStyle w:val="Paragraph"/>
        <w:numPr>
          <w:ilvl w:val="1"/>
          <w:numId w:val="13"/>
        </w:numPr>
        <w:tabs>
          <w:tab w:val="clear" w:pos="1836"/>
          <w:tab w:val="num" w:pos="720"/>
        </w:tabs>
        <w:spacing w:before="0" w:after="0" w:line="276" w:lineRule="auto"/>
        <w:ind w:left="720" w:hanging="720"/>
        <w:rPr>
          <w:rFonts w:ascii="Arial" w:eastAsia="Arial" w:hAnsi="Arial" w:cs="Arial"/>
          <w:sz w:val="22"/>
          <w:szCs w:val="22"/>
          <w:lang w:val="es-ES_tradnl"/>
        </w:rPr>
      </w:pPr>
      <w:r w:rsidRPr="00F85253">
        <w:rPr>
          <w:rFonts w:ascii="Arial" w:eastAsia="Arial" w:hAnsi="Arial" w:cs="Arial"/>
          <w:sz w:val="22"/>
          <w:szCs w:val="22"/>
          <w:lang w:val="es-ES_tradnl"/>
        </w:rPr>
        <w:t xml:space="preserve">Wagner R.A., Jara-Bertin M., y Musacchio A. (2015). </w:t>
      </w:r>
      <w:r w:rsidRPr="00F85253">
        <w:rPr>
          <w:rFonts w:ascii="Arial" w:eastAsia="Arial" w:hAnsi="Arial" w:cs="Arial"/>
          <w:sz w:val="22"/>
          <w:szCs w:val="22"/>
          <w:lang w:val="en-US"/>
        </w:rPr>
        <w:t xml:space="preserve">Implicit Bailouts and the Debt of Wholly State-Owned Enterprises. </w:t>
      </w:r>
      <w:r w:rsidRPr="00F85253">
        <w:rPr>
          <w:rFonts w:ascii="Arial" w:eastAsia="Arial" w:hAnsi="Arial" w:cs="Arial"/>
          <w:sz w:val="22"/>
          <w:szCs w:val="22"/>
          <w:lang w:val="es-ES_tradnl"/>
        </w:rPr>
        <w:t>Documento de trabajo.</w:t>
      </w:r>
    </w:p>
    <w:p w14:paraId="5D0DF0BF" w14:textId="77777777" w:rsidR="00151A5E" w:rsidRPr="00F85253" w:rsidRDefault="00151A5E" w:rsidP="00151A5E">
      <w:pPr>
        <w:pStyle w:val="Paragraph"/>
        <w:spacing w:before="0" w:after="0" w:line="276" w:lineRule="auto"/>
        <w:rPr>
          <w:rFonts w:ascii="Arial" w:eastAsia="Arial" w:hAnsi="Arial" w:cs="Arial"/>
          <w:sz w:val="22"/>
          <w:szCs w:val="22"/>
          <w:lang w:val="es-ES_tradnl"/>
        </w:rPr>
      </w:pPr>
    </w:p>
    <w:p w14:paraId="7AD9BDE7" w14:textId="77777777" w:rsidR="002A66AA" w:rsidRPr="00F85253" w:rsidRDefault="002A66AA" w:rsidP="002543DC">
      <w:pPr>
        <w:pStyle w:val="Paragraph"/>
        <w:spacing w:before="0" w:after="0" w:line="276" w:lineRule="auto"/>
        <w:ind w:left="540"/>
        <w:outlineLvl w:val="9"/>
        <w:rPr>
          <w:rFonts w:ascii="Arial" w:hAnsi="Arial" w:cs="Arial"/>
          <w:sz w:val="22"/>
          <w:szCs w:val="22"/>
          <w:lang w:val="es-ES_tradnl"/>
        </w:rPr>
      </w:pPr>
    </w:p>
    <w:p w14:paraId="0E57440D" w14:textId="77777777" w:rsidR="00C77582" w:rsidRPr="00F85253" w:rsidRDefault="00C77582" w:rsidP="00787107">
      <w:pPr>
        <w:pStyle w:val="Paragraph"/>
        <w:spacing w:before="0" w:after="0" w:line="276" w:lineRule="auto"/>
        <w:outlineLvl w:val="9"/>
        <w:rPr>
          <w:rFonts w:ascii="Arial" w:hAnsi="Arial" w:cs="Arial"/>
          <w:sz w:val="22"/>
          <w:szCs w:val="22"/>
          <w:lang w:val="es-ES_tradnl"/>
        </w:rPr>
      </w:pPr>
    </w:p>
    <w:p w14:paraId="44DA6763" w14:textId="77777777" w:rsidR="00FD36D4" w:rsidRPr="004D1383" w:rsidRDefault="00FD36D4" w:rsidP="004D1383">
      <w:pPr>
        <w:spacing w:after="0"/>
        <w:jc w:val="both"/>
        <w:rPr>
          <w:rFonts w:ascii="Arial" w:hAnsi="Arial" w:cs="Arial"/>
          <w:lang w:val="es-EC"/>
        </w:rPr>
      </w:pPr>
    </w:p>
    <w:p w14:paraId="09BD1171" w14:textId="77777777" w:rsidR="00E92277" w:rsidRPr="004D1383" w:rsidRDefault="00E92277" w:rsidP="004D1383">
      <w:pPr>
        <w:tabs>
          <w:tab w:val="center" w:pos="4680"/>
        </w:tabs>
        <w:spacing w:after="0"/>
        <w:jc w:val="both"/>
        <w:rPr>
          <w:rFonts w:ascii="Arial" w:hAnsi="Arial" w:cs="Arial"/>
          <w:b/>
          <w:lang w:val="es-ES_tradnl"/>
        </w:rPr>
      </w:pPr>
    </w:p>
    <w:sectPr w:rsidR="00E92277" w:rsidRPr="004D1383">
      <w:pgSz w:w="11906" w:h="16838"/>
      <w:pgMar w:top="994" w:right="1440" w:bottom="1166" w:left="135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465FDF" w14:textId="77777777" w:rsidR="008E5945" w:rsidRDefault="008E5945">
      <w:pPr>
        <w:spacing w:after="0" w:line="240" w:lineRule="auto"/>
      </w:pPr>
      <w:r>
        <w:separator/>
      </w:r>
    </w:p>
  </w:endnote>
  <w:endnote w:type="continuationSeparator" w:id="0">
    <w:p w14:paraId="6F9D51B1" w14:textId="77777777" w:rsidR="008E5945" w:rsidRDefault="008E5945">
      <w:pPr>
        <w:spacing w:after="0" w:line="240" w:lineRule="auto"/>
      </w:pPr>
      <w:r>
        <w:continuationSeparator/>
      </w:r>
    </w:p>
  </w:endnote>
  <w:endnote w:type="continuationNotice" w:id="1">
    <w:p w14:paraId="0D91A387" w14:textId="77777777" w:rsidR="008E5945" w:rsidRDefault="008E594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47A94" w14:textId="77777777" w:rsidR="00EE18A4" w:rsidRDefault="00EE18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50CEBC" w14:textId="77777777" w:rsidR="00EE18A4" w:rsidRDefault="00EE18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98BCBC" w14:textId="77777777" w:rsidR="00EE18A4" w:rsidRDefault="00EE18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360D42" w14:textId="77777777" w:rsidR="008E5945" w:rsidRDefault="008E5945">
      <w:pPr>
        <w:spacing w:after="0" w:line="240" w:lineRule="auto"/>
      </w:pPr>
      <w:r>
        <w:separator/>
      </w:r>
    </w:p>
  </w:footnote>
  <w:footnote w:type="continuationSeparator" w:id="0">
    <w:p w14:paraId="49FF6A35" w14:textId="77777777" w:rsidR="008E5945" w:rsidRDefault="008E5945">
      <w:pPr>
        <w:spacing w:after="0" w:line="240" w:lineRule="auto"/>
      </w:pPr>
      <w:r>
        <w:continuationSeparator/>
      </w:r>
    </w:p>
  </w:footnote>
  <w:footnote w:type="continuationNotice" w:id="1">
    <w:p w14:paraId="46EE7603" w14:textId="77777777" w:rsidR="008E5945" w:rsidRDefault="008E5945">
      <w:pPr>
        <w:spacing w:after="0" w:line="240" w:lineRule="auto"/>
      </w:pPr>
    </w:p>
  </w:footnote>
  <w:footnote w:id="2">
    <w:p w14:paraId="4C9ADFDF" w14:textId="1B2E4FDD" w:rsidR="00EE18A4" w:rsidRPr="001D2F59" w:rsidRDefault="00EE18A4">
      <w:pPr>
        <w:pStyle w:val="FootnoteText"/>
        <w:ind w:left="274" w:hanging="274"/>
        <w:contextualSpacing/>
        <w:jc w:val="both"/>
        <w:rPr>
          <w:rFonts w:ascii="Arial" w:hAnsi="Arial" w:cs="Arial"/>
          <w:sz w:val="18"/>
          <w:szCs w:val="18"/>
          <w:lang w:val="es-EC"/>
        </w:rPr>
      </w:pPr>
      <w:r w:rsidRPr="001D2F59">
        <w:rPr>
          <w:rStyle w:val="FootnoteReference"/>
          <w:rFonts w:ascii="Arial" w:hAnsi="Arial" w:cs="Arial"/>
          <w:sz w:val="18"/>
          <w:szCs w:val="18"/>
          <w:lang w:val="es-EC"/>
        </w:rPr>
        <w:footnoteRef/>
      </w:r>
      <w:r w:rsidRPr="001D2F59">
        <w:rPr>
          <w:rFonts w:ascii="Arial" w:hAnsi="Arial" w:cs="Arial"/>
          <w:sz w:val="18"/>
          <w:szCs w:val="18"/>
          <w:lang w:val="es-EC"/>
        </w:rPr>
        <w:t xml:space="preserve"> </w:t>
      </w:r>
      <w:r>
        <w:rPr>
          <w:rFonts w:ascii="Arial" w:hAnsi="Arial" w:cs="Arial"/>
          <w:sz w:val="18"/>
          <w:szCs w:val="18"/>
          <w:lang w:val="es-EC"/>
        </w:rPr>
        <w:tab/>
      </w:r>
      <w:r w:rsidRPr="001D2F59">
        <w:rPr>
          <w:rFonts w:ascii="Arial" w:hAnsi="Arial" w:cs="Arial"/>
          <w:sz w:val="18"/>
          <w:szCs w:val="18"/>
          <w:lang w:val="es-EC"/>
        </w:rPr>
        <w:t xml:space="preserve">MEF (2019). </w:t>
      </w:r>
    </w:p>
  </w:footnote>
  <w:footnote w:id="3">
    <w:p w14:paraId="6C8B5C3B" w14:textId="5ABA8A14" w:rsidR="00EE18A4" w:rsidRPr="001D2F59" w:rsidRDefault="00EE18A4">
      <w:pPr>
        <w:pStyle w:val="BodyText"/>
        <w:ind w:left="274" w:hanging="274"/>
        <w:contextualSpacing/>
        <w:jc w:val="both"/>
        <w:rPr>
          <w:rFonts w:ascii="Arial" w:hAnsi="Arial" w:cs="Arial"/>
          <w:sz w:val="18"/>
          <w:szCs w:val="18"/>
          <w:lang w:val="es-EC"/>
        </w:rPr>
      </w:pPr>
      <w:r w:rsidRPr="001D2F59">
        <w:rPr>
          <w:rStyle w:val="FootnoteReference"/>
          <w:rFonts w:ascii="Arial" w:hAnsi="Arial" w:cs="Arial"/>
          <w:sz w:val="18"/>
          <w:szCs w:val="18"/>
          <w:lang w:val="es-EC"/>
        </w:rPr>
        <w:footnoteRef/>
      </w:r>
      <w:r w:rsidRPr="001D2F59">
        <w:rPr>
          <w:rFonts w:ascii="Arial" w:hAnsi="Arial" w:cs="Arial"/>
          <w:sz w:val="18"/>
          <w:szCs w:val="18"/>
          <w:lang w:val="es-EC"/>
        </w:rPr>
        <w:t xml:space="preserve"> </w:t>
      </w:r>
      <w:r>
        <w:rPr>
          <w:rFonts w:ascii="Arial" w:hAnsi="Arial" w:cs="Arial"/>
          <w:sz w:val="18"/>
          <w:szCs w:val="18"/>
          <w:lang w:val="es-EC"/>
        </w:rPr>
        <w:tab/>
      </w:r>
      <w:r w:rsidRPr="001D2F59">
        <w:rPr>
          <w:rFonts w:ascii="Arial" w:eastAsiaTheme="minorEastAsia" w:hAnsi="Arial" w:cs="Arial"/>
          <w:sz w:val="18"/>
          <w:szCs w:val="18"/>
          <w:lang w:val="es-EC"/>
        </w:rPr>
        <w:t>Fuente: DNEP del MEF (2018).</w:t>
      </w:r>
    </w:p>
  </w:footnote>
  <w:footnote w:id="4">
    <w:p w14:paraId="7D452952" w14:textId="77777777" w:rsidR="00EE18A4" w:rsidRPr="00CB4053" w:rsidRDefault="00EE18A4" w:rsidP="000E3C5E">
      <w:pPr>
        <w:pStyle w:val="FootnoteText"/>
        <w:ind w:left="274" w:hanging="274"/>
        <w:contextualSpacing/>
        <w:rPr>
          <w:rFonts w:ascii="Arial" w:hAnsi="Arial" w:cs="Arial"/>
          <w:sz w:val="18"/>
          <w:szCs w:val="18"/>
          <w:lang w:val="es-ES"/>
        </w:rPr>
      </w:pPr>
      <w:r w:rsidRPr="00656A48">
        <w:rPr>
          <w:rStyle w:val="FootnoteReference"/>
          <w:rFonts w:ascii="Arial" w:hAnsi="Arial" w:cs="Arial"/>
          <w:sz w:val="18"/>
          <w:szCs w:val="18"/>
        </w:rPr>
        <w:footnoteRef/>
      </w:r>
      <w:r w:rsidRPr="00CB4053">
        <w:rPr>
          <w:rFonts w:ascii="Arial" w:hAnsi="Arial" w:cs="Arial"/>
          <w:sz w:val="18"/>
          <w:szCs w:val="18"/>
          <w:lang w:val="es-ES"/>
        </w:rPr>
        <w:t xml:space="preserve"> </w:t>
      </w:r>
      <w:r w:rsidRPr="00CB4053">
        <w:rPr>
          <w:rFonts w:ascii="Arial" w:hAnsi="Arial" w:cs="Arial"/>
          <w:sz w:val="18"/>
          <w:szCs w:val="18"/>
          <w:lang w:val="es-ES"/>
        </w:rPr>
        <w:tab/>
        <w:t>OCDE (2016).</w:t>
      </w:r>
    </w:p>
  </w:footnote>
  <w:footnote w:id="5">
    <w:p w14:paraId="614F246D" w14:textId="77777777" w:rsidR="00EE18A4" w:rsidRPr="00CB4053" w:rsidRDefault="00EE18A4" w:rsidP="000E3C5E">
      <w:pPr>
        <w:pStyle w:val="FootnoteText"/>
        <w:ind w:left="274" w:hanging="274"/>
        <w:contextualSpacing/>
        <w:rPr>
          <w:rFonts w:ascii="Arial" w:hAnsi="Arial" w:cs="Arial"/>
          <w:sz w:val="18"/>
          <w:szCs w:val="18"/>
          <w:lang w:val="es-ES"/>
        </w:rPr>
      </w:pPr>
      <w:r w:rsidRPr="00656A48">
        <w:rPr>
          <w:rStyle w:val="FootnoteReference"/>
          <w:rFonts w:ascii="Arial" w:hAnsi="Arial" w:cs="Arial"/>
          <w:sz w:val="18"/>
          <w:szCs w:val="18"/>
        </w:rPr>
        <w:footnoteRef/>
      </w:r>
      <w:r w:rsidRPr="00CB4053">
        <w:rPr>
          <w:rFonts w:ascii="Arial" w:hAnsi="Arial" w:cs="Arial"/>
          <w:sz w:val="18"/>
          <w:szCs w:val="18"/>
          <w:lang w:val="es-ES"/>
        </w:rPr>
        <w:t xml:space="preserve"> </w:t>
      </w:r>
      <w:r w:rsidRPr="00CB4053">
        <w:rPr>
          <w:rFonts w:ascii="Arial" w:hAnsi="Arial" w:cs="Arial"/>
          <w:sz w:val="18"/>
          <w:szCs w:val="18"/>
          <w:lang w:val="es-ES"/>
        </w:rPr>
        <w:tab/>
        <w:t>Las sesiones ordinarias representaron 21% del total (2017) y las extraordinarias-urgentes, 72%. Escobar, B. Optimización del rendimiento de Empresas Públicas de la República del Ecuador. BID. Septiembre, 2018.</w:t>
      </w:r>
    </w:p>
  </w:footnote>
  <w:footnote w:id="6">
    <w:p w14:paraId="34354A55" w14:textId="77777777" w:rsidR="00EE18A4" w:rsidRPr="00F550E6" w:rsidRDefault="00EE18A4" w:rsidP="000E3C5E">
      <w:pPr>
        <w:pStyle w:val="FootnoteText"/>
        <w:ind w:left="274" w:hanging="274"/>
        <w:contextualSpacing/>
        <w:rPr>
          <w:rFonts w:ascii="Arial" w:hAnsi="Arial" w:cs="Arial"/>
          <w:sz w:val="18"/>
          <w:szCs w:val="18"/>
        </w:rPr>
      </w:pPr>
      <w:r w:rsidRPr="00656A48">
        <w:rPr>
          <w:rStyle w:val="FootnoteReference"/>
          <w:rFonts w:ascii="Arial" w:hAnsi="Arial" w:cs="Arial"/>
          <w:sz w:val="18"/>
          <w:szCs w:val="18"/>
        </w:rPr>
        <w:footnoteRef/>
      </w:r>
      <w:r w:rsidRPr="00CB4053">
        <w:rPr>
          <w:rFonts w:ascii="Arial" w:hAnsi="Arial" w:cs="Arial"/>
          <w:sz w:val="18"/>
          <w:szCs w:val="18"/>
          <w:lang w:val="es-ES"/>
        </w:rPr>
        <w:t xml:space="preserve"> </w:t>
      </w:r>
      <w:r w:rsidRPr="00CB4053">
        <w:rPr>
          <w:rFonts w:ascii="Arial" w:hAnsi="Arial" w:cs="Arial"/>
          <w:sz w:val="18"/>
          <w:szCs w:val="18"/>
          <w:lang w:val="es-ES"/>
        </w:rPr>
        <w:tab/>
        <w:t xml:space="preserve">Varias EEPP invirtieron fuera de su giro de negocio por imperativo político con importantes impactos en sus balances. Por ejemplo, la construcción del Terminal de Monteverde o el Malecón de Esmeraldas por FLOPEC (empresa de transporte petrolero). FABREC se concibe con giros muy disimiles: industria textil; comercialización de productos explosivos y/o policiales; importación de vehículos; y diseño y construcción de viviendas y se le habilitó a alterar los rubros de forma autónoma. </w:t>
      </w:r>
      <w:r w:rsidRPr="00E975BA">
        <w:rPr>
          <w:rFonts w:ascii="Arial" w:hAnsi="Arial" w:cs="Arial"/>
          <w:sz w:val="18"/>
          <w:szCs w:val="18"/>
        </w:rPr>
        <w:t>Escobar, B.</w:t>
      </w:r>
      <w:r w:rsidRPr="00F550E6">
        <w:rPr>
          <w:rFonts w:ascii="Arial" w:hAnsi="Arial" w:cs="Arial"/>
          <w:sz w:val="18"/>
          <w:szCs w:val="18"/>
        </w:rPr>
        <w:t>, 2018.</w:t>
      </w:r>
    </w:p>
  </w:footnote>
  <w:footnote w:id="7">
    <w:p w14:paraId="13C2FC99" w14:textId="4C5A45A2" w:rsidR="00EE18A4" w:rsidRPr="00260DDB" w:rsidRDefault="00EE18A4" w:rsidP="00824032">
      <w:pPr>
        <w:pStyle w:val="FootnoteText"/>
        <w:ind w:left="270" w:hanging="270"/>
        <w:contextualSpacing/>
        <w:jc w:val="both"/>
        <w:rPr>
          <w:rFonts w:ascii="Arial" w:hAnsi="Arial" w:cs="Arial"/>
          <w:sz w:val="18"/>
          <w:szCs w:val="18"/>
          <w:lang w:val="es-ES"/>
        </w:rPr>
      </w:pPr>
      <w:r w:rsidRPr="00260DDB">
        <w:rPr>
          <w:rStyle w:val="FootnoteReference"/>
          <w:rFonts w:ascii="Arial" w:hAnsi="Arial" w:cs="Arial"/>
          <w:sz w:val="18"/>
          <w:szCs w:val="18"/>
        </w:rPr>
        <w:footnoteRef/>
      </w:r>
      <w:r w:rsidRPr="00260DDB">
        <w:rPr>
          <w:rFonts w:ascii="Arial" w:hAnsi="Arial" w:cs="Arial"/>
          <w:sz w:val="18"/>
          <w:szCs w:val="18"/>
        </w:rPr>
        <w:t xml:space="preserve"> </w:t>
      </w:r>
      <w:r w:rsidRPr="00260DDB">
        <w:rPr>
          <w:rFonts w:ascii="Arial" w:hAnsi="Arial" w:cs="Arial"/>
          <w:sz w:val="18"/>
          <w:szCs w:val="18"/>
        </w:rPr>
        <w:tab/>
        <w:t xml:space="preserve">BID (2007). </w:t>
      </w:r>
      <w:r w:rsidRPr="00260DDB">
        <w:rPr>
          <w:rFonts w:ascii="Arial" w:hAnsi="Arial" w:cs="Arial"/>
          <w:sz w:val="18"/>
          <w:szCs w:val="18"/>
          <w:lang w:val="es-ES"/>
        </w:rPr>
        <w:t xml:space="preserve">nen definidos por Acuerdo Ministerial (número 100). </w:t>
      </w:r>
    </w:p>
    <w:p w14:paraId="3A6141E3" w14:textId="77777777" w:rsidR="00EE18A4" w:rsidRPr="00CB4053" w:rsidRDefault="00EE18A4" w:rsidP="00824032">
      <w:pPr>
        <w:pStyle w:val="FootnoteText"/>
        <w:ind w:left="270" w:hanging="270"/>
        <w:jc w:val="both"/>
        <w:rPr>
          <w:lang w:val="es-ES"/>
        </w:rPr>
      </w:pPr>
      <w:r w:rsidRPr="00824032">
        <w:rPr>
          <w:rStyle w:val="FootnoteReference"/>
          <w:rFonts w:ascii="Arial" w:hAnsi="Arial" w:cs="Arial"/>
          <w:sz w:val="18"/>
          <w:szCs w:val="18"/>
        </w:rPr>
        <w:footnoteRef/>
      </w:r>
      <w:r w:rsidRPr="00824032">
        <w:rPr>
          <w:rFonts w:ascii="Arial" w:hAnsi="Arial" w:cs="Arial"/>
          <w:sz w:val="18"/>
          <w:szCs w:val="18"/>
          <w:lang w:val="es-ES"/>
        </w:rPr>
        <w:t xml:space="preserve"> DNEP, 2019. </w:t>
      </w:r>
    </w:p>
    <w:p w14:paraId="7B716575" w14:textId="6EFC1EA9" w:rsidR="00EE18A4" w:rsidRPr="00260DDB" w:rsidRDefault="00EE18A4" w:rsidP="00824032">
      <w:pPr>
        <w:pStyle w:val="FootnoteText"/>
        <w:ind w:left="270" w:hanging="270"/>
        <w:contextualSpacing/>
        <w:jc w:val="both"/>
        <w:rPr>
          <w:rFonts w:ascii="Arial" w:hAnsi="Arial" w:cs="Arial"/>
          <w:i/>
          <w:sz w:val="18"/>
          <w:szCs w:val="18"/>
          <w:lang w:val="es-ES"/>
        </w:rPr>
      </w:pPr>
      <w:r w:rsidRPr="00260DDB">
        <w:rPr>
          <w:rFonts w:ascii="Arial" w:hAnsi="Arial" w:cs="Arial"/>
          <w:sz w:val="18"/>
          <w:szCs w:val="18"/>
        </w:rPr>
        <w:t xml:space="preserve"> (SOEs). </w:t>
      </w:r>
      <w:r w:rsidRPr="00571123">
        <w:rPr>
          <w:rFonts w:ascii="Arial" w:hAnsi="Arial" w:cs="Arial"/>
          <w:i/>
          <w:sz w:val="18"/>
          <w:szCs w:val="18"/>
        </w:rPr>
        <w:t>Discussion Paper</w:t>
      </w:r>
      <w:r w:rsidRPr="00571123">
        <w:rPr>
          <w:rFonts w:ascii="Arial" w:hAnsi="Arial" w:cs="Arial"/>
          <w:sz w:val="18"/>
          <w:szCs w:val="18"/>
        </w:rPr>
        <w:t xml:space="preserve"> IDB-DP-546, y Wagner R.A., Jara-Bertin M., y Musacchio A. (2015). </w:t>
      </w:r>
      <w:r w:rsidRPr="00571123">
        <w:rPr>
          <w:rFonts w:ascii="Arial" w:hAnsi="Arial" w:cs="Arial"/>
          <w:i/>
          <w:sz w:val="18"/>
          <w:szCs w:val="18"/>
        </w:rPr>
        <w:t xml:space="preserve">Implicit Bailouts and the Debt of Wholly </w:t>
      </w:r>
      <w:r w:rsidRPr="00260DDB">
        <w:rPr>
          <w:rFonts w:ascii="Arial" w:hAnsi="Arial" w:cs="Arial"/>
          <w:i/>
          <w:sz w:val="18"/>
          <w:szCs w:val="18"/>
        </w:rPr>
        <w:t xml:space="preserve">State-Owned Enterprises. </w:t>
      </w:r>
      <w:r w:rsidRPr="00260DDB">
        <w:rPr>
          <w:rFonts w:ascii="Arial" w:hAnsi="Arial" w:cs="Arial"/>
          <w:i/>
          <w:sz w:val="18"/>
          <w:szCs w:val="18"/>
          <w:lang w:val="es-ES"/>
        </w:rPr>
        <w:t xml:space="preserve">Discusion Paper. </w:t>
      </w:r>
    </w:p>
  </w:footnote>
  <w:footnote w:id="8">
    <w:p w14:paraId="484E3DC1" w14:textId="6ACCC2CE" w:rsidR="00EE18A4" w:rsidRPr="00260DDB" w:rsidRDefault="00EE18A4" w:rsidP="00824032">
      <w:pPr>
        <w:pStyle w:val="FootnoteText"/>
        <w:ind w:left="270" w:hanging="270"/>
        <w:contextualSpacing/>
        <w:jc w:val="both"/>
        <w:rPr>
          <w:rFonts w:ascii="Arial" w:hAnsi="Arial" w:cs="Arial"/>
          <w:sz w:val="18"/>
          <w:szCs w:val="18"/>
          <w:lang w:val="es-ES"/>
        </w:rPr>
      </w:pPr>
      <w:r w:rsidRPr="00260DDB">
        <w:rPr>
          <w:rStyle w:val="FootnoteReference"/>
          <w:rFonts w:ascii="Arial" w:hAnsi="Arial" w:cs="Arial"/>
          <w:sz w:val="18"/>
          <w:szCs w:val="18"/>
        </w:rPr>
        <w:footnoteRef/>
      </w:r>
      <w:r w:rsidRPr="00260DDB">
        <w:rPr>
          <w:rFonts w:ascii="Arial" w:hAnsi="Arial" w:cs="Arial"/>
          <w:sz w:val="18"/>
          <w:szCs w:val="18"/>
          <w:lang w:val="es-ES"/>
        </w:rPr>
        <w:t xml:space="preserve"> </w:t>
      </w:r>
      <w:r w:rsidRPr="00260DDB">
        <w:rPr>
          <w:rFonts w:ascii="Arial" w:hAnsi="Arial" w:cs="Arial"/>
          <w:sz w:val="18"/>
          <w:szCs w:val="18"/>
          <w:lang w:val="es-ES"/>
        </w:rPr>
        <w:tab/>
        <w:t>El sistema de transferencias/captura de excedentes entre MEF y EEPP es discrecional, no ajustado a reglas transparentes, y crea costes transaccionales. La experiencia internacional muestra que la ausencia de un régimen fiscal basado en reglas está asociada con una restricción presupuestal blanda que incentiva a las EEPP a ser ineficientes. Ter-Minassian, 2017; Musacchio, Pineda y Garcia, 2015.</w:t>
      </w:r>
    </w:p>
  </w:footnote>
  <w:footnote w:id="9">
    <w:p w14:paraId="7CA3DF84" w14:textId="4C3EB599" w:rsidR="00EE18A4" w:rsidRPr="00571123" w:rsidRDefault="00EE18A4" w:rsidP="00824032">
      <w:pPr>
        <w:pStyle w:val="FootnoteText"/>
        <w:ind w:left="270" w:hanging="270"/>
        <w:contextualSpacing/>
        <w:jc w:val="both"/>
        <w:rPr>
          <w:rFonts w:ascii="Arial" w:hAnsi="Arial" w:cs="Arial"/>
          <w:sz w:val="18"/>
          <w:szCs w:val="18"/>
          <w:lang w:val="es-ES"/>
        </w:rPr>
      </w:pPr>
      <w:r w:rsidRPr="00260DDB">
        <w:rPr>
          <w:rStyle w:val="FootnoteReference"/>
          <w:rFonts w:ascii="Arial" w:hAnsi="Arial" w:cs="Arial"/>
          <w:sz w:val="18"/>
          <w:szCs w:val="18"/>
        </w:rPr>
        <w:footnoteRef/>
      </w:r>
      <w:r w:rsidRPr="00260DDB">
        <w:rPr>
          <w:rFonts w:ascii="Arial" w:hAnsi="Arial" w:cs="Arial"/>
          <w:sz w:val="18"/>
          <w:szCs w:val="18"/>
          <w:lang w:val="es-ES"/>
        </w:rPr>
        <w:t xml:space="preserve"> </w:t>
      </w:r>
      <w:r w:rsidRPr="00260DDB">
        <w:rPr>
          <w:rFonts w:ascii="Arial" w:hAnsi="Arial" w:cs="Arial"/>
          <w:sz w:val="18"/>
          <w:szCs w:val="18"/>
          <w:lang w:val="es-ES"/>
        </w:rPr>
        <w:tab/>
        <w:t>La Contraloría General del Estado (CGE) contrata auditores externos para los EEFF de las EEPP. El servicio no se provee de manera oportuna; no se licita en tiempo y a menudo las auditoras no se pronuncian respecto a dichos EEFF.</w:t>
      </w:r>
    </w:p>
  </w:footnote>
  <w:footnote w:id="10">
    <w:p w14:paraId="35C2B2F4" w14:textId="5EA1EE10" w:rsidR="00EE18A4" w:rsidRPr="00260DDB" w:rsidRDefault="00EE18A4" w:rsidP="00824032">
      <w:pPr>
        <w:pStyle w:val="FootnoteText"/>
        <w:tabs>
          <w:tab w:val="left" w:pos="270"/>
          <w:tab w:val="left" w:pos="5580"/>
        </w:tabs>
        <w:ind w:left="270" w:hanging="270"/>
        <w:contextualSpacing/>
        <w:jc w:val="both"/>
        <w:rPr>
          <w:rFonts w:ascii="Arial" w:hAnsi="Arial" w:cs="Arial"/>
          <w:sz w:val="18"/>
          <w:szCs w:val="18"/>
          <w:highlight w:val="yellow"/>
          <w:lang w:val="es-ES"/>
        </w:rPr>
      </w:pPr>
      <w:r w:rsidRPr="00260DDB">
        <w:rPr>
          <w:rStyle w:val="FootnoteReference"/>
          <w:rFonts w:ascii="Arial" w:hAnsi="Arial" w:cs="Arial"/>
          <w:sz w:val="18"/>
          <w:szCs w:val="18"/>
        </w:rPr>
        <w:footnoteRef/>
      </w:r>
      <w:r w:rsidRPr="00260DDB">
        <w:rPr>
          <w:rFonts w:ascii="Arial" w:hAnsi="Arial" w:cs="Arial"/>
          <w:sz w:val="18"/>
          <w:szCs w:val="18"/>
          <w:lang w:val="es-ES"/>
        </w:rPr>
        <w:t xml:space="preserve"> </w:t>
      </w:r>
      <w:r w:rsidRPr="00260DDB">
        <w:rPr>
          <w:rFonts w:ascii="Arial" w:hAnsi="Arial" w:cs="Arial"/>
          <w:sz w:val="18"/>
          <w:szCs w:val="18"/>
          <w:lang w:val="es-ES"/>
        </w:rPr>
        <w:tab/>
        <w:t xml:space="preserve">Plantilla de 71 personas y 22 EEPP. El sistema de empresas chileno, ejemplo de buenas prácticas de gestión de EEPP de la región, tiene 23 empleados, no se constituye como EP y gestiona 20 EEPP. </w:t>
      </w:r>
    </w:p>
  </w:footnote>
  <w:footnote w:id="11">
    <w:p w14:paraId="095818FB" w14:textId="0ED3D9DB" w:rsidR="00EE18A4" w:rsidRPr="00571123" w:rsidRDefault="00EE18A4" w:rsidP="00824032">
      <w:pPr>
        <w:pStyle w:val="FootnoteText"/>
        <w:ind w:left="270" w:hanging="270"/>
        <w:contextualSpacing/>
        <w:jc w:val="both"/>
        <w:rPr>
          <w:rFonts w:ascii="Arial" w:hAnsi="Arial" w:cs="Arial"/>
          <w:sz w:val="18"/>
          <w:szCs w:val="18"/>
          <w:lang w:val="es-ES"/>
        </w:rPr>
      </w:pPr>
      <w:r w:rsidRPr="00260DDB">
        <w:rPr>
          <w:rStyle w:val="FootnoteReference"/>
          <w:rFonts w:ascii="Arial" w:hAnsi="Arial" w:cs="Arial"/>
          <w:sz w:val="18"/>
          <w:szCs w:val="18"/>
        </w:rPr>
        <w:footnoteRef/>
      </w:r>
      <w:r w:rsidRPr="00260DDB">
        <w:rPr>
          <w:rFonts w:ascii="Arial" w:hAnsi="Arial" w:cs="Arial"/>
          <w:sz w:val="18"/>
          <w:szCs w:val="18"/>
          <w:lang w:val="es-ES"/>
        </w:rPr>
        <w:t xml:space="preserve"> </w:t>
      </w:r>
      <w:r w:rsidRPr="00260DDB">
        <w:rPr>
          <w:rFonts w:ascii="Arial" w:hAnsi="Arial" w:cs="Arial"/>
          <w:sz w:val="18"/>
          <w:szCs w:val="18"/>
          <w:lang w:val="es-ES"/>
        </w:rPr>
        <w:tab/>
        <w:t xml:space="preserve">Escobar, B. (2018). Optimización del Rendimiento de Empresas Públicas de Ecuador. BID. </w:t>
      </w:r>
    </w:p>
  </w:footnote>
  <w:footnote w:id="12">
    <w:p w14:paraId="17C8FC39" w14:textId="39B34A5A" w:rsidR="00EE18A4" w:rsidRPr="00260DDB" w:rsidRDefault="00EE18A4" w:rsidP="00824032">
      <w:pPr>
        <w:pStyle w:val="FootnoteText"/>
        <w:ind w:left="270" w:hanging="270"/>
        <w:contextualSpacing/>
        <w:jc w:val="both"/>
        <w:rPr>
          <w:rFonts w:ascii="Arial" w:hAnsi="Arial" w:cs="Arial"/>
          <w:sz w:val="18"/>
          <w:szCs w:val="18"/>
          <w:lang w:val="es-ES"/>
        </w:rPr>
      </w:pPr>
      <w:r w:rsidRPr="00260DDB">
        <w:rPr>
          <w:rStyle w:val="FootnoteReference"/>
          <w:rFonts w:ascii="Arial" w:hAnsi="Arial" w:cs="Arial"/>
          <w:sz w:val="18"/>
          <w:szCs w:val="18"/>
        </w:rPr>
        <w:footnoteRef/>
      </w:r>
      <w:r w:rsidRPr="00260DDB">
        <w:rPr>
          <w:rFonts w:ascii="Arial" w:hAnsi="Arial" w:cs="Arial"/>
          <w:sz w:val="18"/>
          <w:szCs w:val="18"/>
          <w:lang w:val="es-ES"/>
        </w:rPr>
        <w:t xml:space="preserve"> </w:t>
      </w:r>
      <w:r w:rsidRPr="00260DDB">
        <w:rPr>
          <w:rFonts w:ascii="Arial" w:hAnsi="Arial" w:cs="Arial"/>
          <w:sz w:val="18"/>
          <w:szCs w:val="18"/>
          <w:lang w:val="es-ES"/>
        </w:rPr>
        <w:tab/>
        <w:t xml:space="preserve">Las negociaciones presupuestarias no se basan en estimaciones ajustadas de costes de producción o ingresos fiables. Los procesos vienen definidos por Acuerdo Ministerial (número 100). </w:t>
      </w:r>
    </w:p>
  </w:footnote>
  <w:footnote w:id="13">
    <w:p w14:paraId="4F00A5ED" w14:textId="152F6610" w:rsidR="00EE18A4" w:rsidRPr="00CB4053" w:rsidRDefault="00EE18A4" w:rsidP="00824032">
      <w:pPr>
        <w:pStyle w:val="FootnoteText"/>
        <w:ind w:left="270" w:hanging="270"/>
        <w:jc w:val="both"/>
        <w:rPr>
          <w:lang w:val="es-ES"/>
        </w:rPr>
      </w:pPr>
      <w:r w:rsidRPr="00824032">
        <w:rPr>
          <w:rStyle w:val="FootnoteReference"/>
          <w:rFonts w:ascii="Arial" w:hAnsi="Arial" w:cs="Arial"/>
          <w:sz w:val="18"/>
          <w:szCs w:val="18"/>
        </w:rPr>
        <w:footnoteRef/>
      </w:r>
      <w:r w:rsidRPr="00824032">
        <w:rPr>
          <w:rFonts w:ascii="Arial" w:hAnsi="Arial" w:cs="Arial"/>
          <w:sz w:val="18"/>
          <w:szCs w:val="18"/>
          <w:lang w:val="es-ES"/>
        </w:rPr>
        <w:t xml:space="preserve"> DNEP, 2019. </w:t>
      </w:r>
    </w:p>
  </w:footnote>
  <w:footnote w:id="14">
    <w:p w14:paraId="4029862B" w14:textId="78F6E1FC" w:rsidR="00EE18A4" w:rsidRPr="00CB4053" w:rsidRDefault="00EE18A4" w:rsidP="00824032">
      <w:pPr>
        <w:pStyle w:val="FootnoteText"/>
        <w:ind w:left="270" w:hanging="270"/>
        <w:contextualSpacing/>
        <w:rPr>
          <w:rFonts w:ascii="Arial" w:hAnsi="Arial" w:cs="Arial"/>
          <w:sz w:val="18"/>
          <w:szCs w:val="18"/>
          <w:lang w:val="es-ES"/>
        </w:rPr>
      </w:pPr>
      <w:r w:rsidRPr="00544402">
        <w:rPr>
          <w:rStyle w:val="FootnoteReference"/>
          <w:rFonts w:ascii="Arial" w:hAnsi="Arial" w:cs="Arial"/>
          <w:sz w:val="18"/>
          <w:szCs w:val="18"/>
        </w:rPr>
        <w:footnoteRef/>
      </w:r>
      <w:r w:rsidRPr="00CB4053">
        <w:rPr>
          <w:rFonts w:ascii="Arial" w:hAnsi="Arial" w:cs="Arial"/>
          <w:sz w:val="18"/>
          <w:szCs w:val="18"/>
          <w:lang w:val="es-ES"/>
        </w:rPr>
        <w:t xml:space="preserve"> </w:t>
      </w:r>
      <w:r w:rsidRPr="00CB4053">
        <w:rPr>
          <w:rFonts w:ascii="Arial" w:hAnsi="Arial" w:cs="Arial"/>
          <w:sz w:val="18"/>
          <w:szCs w:val="18"/>
          <w:lang w:val="es-ES"/>
        </w:rPr>
        <w:tab/>
        <w:t xml:space="preserve">El Ministerio de Energía y Recursos Naturales no Renovables (MERNNR) estima que la fusión de ambas empresas, sobre la base de procesos similares en la industria, podría incrementar el margen de ingresos en alrededor de $300 millones anualmente. </w:t>
      </w:r>
    </w:p>
  </w:footnote>
  <w:footnote w:id="15">
    <w:p w14:paraId="140CFE42" w14:textId="77777777" w:rsidR="00EE18A4" w:rsidRPr="00CB4053" w:rsidRDefault="00EE18A4" w:rsidP="00824032">
      <w:pPr>
        <w:pStyle w:val="FootnoteText"/>
        <w:ind w:left="270" w:hanging="270"/>
        <w:contextualSpacing/>
        <w:rPr>
          <w:rFonts w:ascii="Arial" w:hAnsi="Arial" w:cs="Arial"/>
          <w:sz w:val="18"/>
          <w:szCs w:val="18"/>
          <w:lang w:val="es-ES"/>
        </w:rPr>
      </w:pPr>
      <w:r w:rsidRPr="00544402">
        <w:rPr>
          <w:rStyle w:val="FootnoteReference"/>
          <w:rFonts w:ascii="Arial" w:hAnsi="Arial" w:cs="Arial"/>
          <w:sz w:val="18"/>
          <w:szCs w:val="18"/>
        </w:rPr>
        <w:footnoteRef/>
      </w:r>
      <w:r w:rsidRPr="00CB4053">
        <w:rPr>
          <w:rFonts w:ascii="Arial" w:hAnsi="Arial" w:cs="Arial"/>
          <w:sz w:val="18"/>
          <w:szCs w:val="18"/>
          <w:lang w:val="es-ES"/>
        </w:rPr>
        <w:t xml:space="preserve"> </w:t>
      </w:r>
      <w:r w:rsidRPr="00CB4053">
        <w:rPr>
          <w:rFonts w:ascii="Arial" w:hAnsi="Arial" w:cs="Arial"/>
          <w:sz w:val="18"/>
          <w:szCs w:val="18"/>
          <w:lang w:val="es-ES"/>
        </w:rPr>
        <w:tab/>
        <w:t xml:space="preserve">Compañías estadounidenses regionales con aeronaves de un solo pasillo, operando rutas domésticas (Southwest, JetBlue, y Spirit). </w:t>
      </w:r>
    </w:p>
  </w:footnote>
  <w:footnote w:id="16">
    <w:p w14:paraId="5182ED43" w14:textId="77777777" w:rsidR="00EE18A4" w:rsidRPr="00544402" w:rsidRDefault="00EE18A4" w:rsidP="00824032">
      <w:pPr>
        <w:pStyle w:val="FootnoteText"/>
        <w:ind w:left="270" w:hanging="270"/>
        <w:contextualSpacing/>
      </w:pPr>
      <w:r w:rsidRPr="00544402">
        <w:rPr>
          <w:rStyle w:val="FootnoteReference"/>
          <w:rFonts w:ascii="Arial" w:hAnsi="Arial" w:cs="Arial"/>
          <w:sz w:val="18"/>
          <w:szCs w:val="18"/>
        </w:rPr>
        <w:footnoteRef/>
      </w:r>
      <w:r w:rsidRPr="00544402">
        <w:rPr>
          <w:rFonts w:ascii="Arial" w:hAnsi="Arial" w:cs="Arial"/>
          <w:sz w:val="18"/>
          <w:szCs w:val="18"/>
        </w:rPr>
        <w:t xml:space="preserve"> </w:t>
      </w:r>
      <w:r>
        <w:rPr>
          <w:rFonts w:ascii="Arial" w:hAnsi="Arial" w:cs="Arial"/>
          <w:sz w:val="18"/>
          <w:szCs w:val="18"/>
        </w:rPr>
        <w:tab/>
      </w:r>
      <w:r w:rsidRPr="00544402">
        <w:rPr>
          <w:rFonts w:ascii="Arial" w:hAnsi="Arial" w:cs="Arial"/>
          <w:sz w:val="18"/>
          <w:szCs w:val="18"/>
        </w:rPr>
        <w:t>MIT</w:t>
      </w:r>
      <w:r>
        <w:rPr>
          <w:rFonts w:ascii="Arial" w:hAnsi="Arial" w:cs="Arial"/>
          <w:sz w:val="18"/>
          <w:szCs w:val="18"/>
        </w:rPr>
        <w:t xml:space="preserve">, </w:t>
      </w:r>
      <w:r w:rsidRPr="00544402">
        <w:rPr>
          <w:rFonts w:ascii="Arial" w:hAnsi="Arial" w:cs="Arial"/>
          <w:sz w:val="18"/>
          <w:szCs w:val="18"/>
        </w:rPr>
        <w:t>2019. Airline Data Project.</w:t>
      </w:r>
      <w:r w:rsidRPr="00544402">
        <w:t xml:space="preserve"> </w:t>
      </w:r>
    </w:p>
  </w:footnote>
  <w:footnote w:id="17">
    <w:p w14:paraId="26D50187" w14:textId="77777777" w:rsidR="00EE18A4" w:rsidRPr="00824032" w:rsidRDefault="00EE18A4" w:rsidP="00824032">
      <w:pPr>
        <w:pStyle w:val="FootnoteText"/>
        <w:ind w:left="270" w:hanging="270"/>
        <w:contextualSpacing/>
        <w:rPr>
          <w:rFonts w:ascii="Arial" w:hAnsi="Arial" w:cs="Arial"/>
          <w:sz w:val="18"/>
          <w:szCs w:val="18"/>
          <w:lang w:val="es-ES_tradnl"/>
        </w:rPr>
      </w:pPr>
      <w:r w:rsidRPr="00FC7E53">
        <w:rPr>
          <w:rStyle w:val="FootnoteReference"/>
          <w:rFonts w:ascii="Arial" w:hAnsi="Arial" w:cs="Arial"/>
          <w:sz w:val="18"/>
          <w:szCs w:val="18"/>
        </w:rPr>
        <w:footnoteRef/>
      </w:r>
      <w:r w:rsidRPr="00824032">
        <w:rPr>
          <w:rFonts w:ascii="Arial" w:hAnsi="Arial" w:cs="Arial"/>
          <w:sz w:val="18"/>
          <w:szCs w:val="18"/>
          <w:lang w:val="es-ES_tradnl"/>
        </w:rPr>
        <w:t xml:space="preserve"> </w:t>
      </w:r>
      <w:r w:rsidRPr="00824032">
        <w:rPr>
          <w:rFonts w:ascii="Arial" w:hAnsi="Arial" w:cs="Arial"/>
          <w:sz w:val="18"/>
          <w:szCs w:val="18"/>
          <w:lang w:val="es-ES_tradnl"/>
        </w:rPr>
        <w:tab/>
        <w:t xml:space="preserve">MERRNR, 2019. </w:t>
      </w:r>
    </w:p>
  </w:footnote>
  <w:footnote w:id="18">
    <w:p w14:paraId="2EB5DF7F" w14:textId="77777777" w:rsidR="00EE18A4" w:rsidRPr="000E3C5E" w:rsidRDefault="00EE18A4" w:rsidP="000E3C5E">
      <w:pPr>
        <w:pStyle w:val="FootnoteText"/>
        <w:tabs>
          <w:tab w:val="left" w:pos="180"/>
        </w:tabs>
        <w:ind w:left="270" w:hanging="270"/>
        <w:contextualSpacing/>
        <w:jc w:val="both"/>
        <w:rPr>
          <w:rFonts w:ascii="Arial" w:hAnsi="Arial" w:cs="Arial"/>
          <w:sz w:val="18"/>
          <w:szCs w:val="18"/>
          <w:lang w:val="es-ES"/>
        </w:rPr>
      </w:pPr>
      <w:r w:rsidRPr="00FC7E53">
        <w:rPr>
          <w:rStyle w:val="FootnoteReference"/>
          <w:rFonts w:ascii="Arial" w:hAnsi="Arial" w:cs="Arial"/>
          <w:sz w:val="18"/>
          <w:szCs w:val="18"/>
        </w:rPr>
        <w:footnoteRef/>
      </w:r>
      <w:r w:rsidRPr="000E3C5E">
        <w:rPr>
          <w:rFonts w:ascii="Arial" w:hAnsi="Arial" w:cs="Arial"/>
          <w:sz w:val="18"/>
          <w:szCs w:val="18"/>
          <w:lang w:val="es-ES"/>
        </w:rPr>
        <w:t xml:space="preserve"> </w:t>
      </w:r>
      <w:r w:rsidRPr="000E3C5E">
        <w:rPr>
          <w:rFonts w:ascii="Arial" w:hAnsi="Arial" w:cs="Arial"/>
          <w:sz w:val="18"/>
          <w:szCs w:val="18"/>
          <w:lang w:val="es-ES"/>
        </w:rPr>
        <w:tab/>
        <w:t xml:space="preserve">La propuesta de reforma de la LOEP </w:t>
      </w:r>
      <w:r w:rsidRPr="00FC7E53">
        <w:rPr>
          <w:rFonts w:ascii="Arial" w:hAnsi="Arial" w:cs="Arial"/>
          <w:sz w:val="18"/>
          <w:szCs w:val="18"/>
          <w:lang w:val="es-ES"/>
        </w:rPr>
        <w:t>se apoyará mediante la ATN/OC-17299-EC</w:t>
      </w:r>
      <w:r w:rsidRPr="000E3C5E">
        <w:rPr>
          <w:rFonts w:ascii="Arial" w:hAnsi="Arial" w:cs="Arial"/>
          <w:sz w:val="18"/>
          <w:szCs w:val="18"/>
          <w:lang w:val="es-ES"/>
        </w:rPr>
        <w:t>.</w:t>
      </w:r>
    </w:p>
  </w:footnote>
  <w:footnote w:id="19">
    <w:p w14:paraId="124BD52B" w14:textId="77777777" w:rsidR="00EE18A4" w:rsidRPr="000E3C5E" w:rsidRDefault="00EE18A4" w:rsidP="000E3C5E">
      <w:pPr>
        <w:pStyle w:val="FootnoteText"/>
        <w:tabs>
          <w:tab w:val="left" w:pos="180"/>
        </w:tabs>
        <w:ind w:left="270" w:hanging="270"/>
        <w:contextualSpacing/>
        <w:jc w:val="both"/>
        <w:rPr>
          <w:rFonts w:ascii="Arial" w:hAnsi="Arial" w:cs="Arial"/>
          <w:sz w:val="18"/>
          <w:szCs w:val="18"/>
          <w:lang w:val="es-ES"/>
        </w:rPr>
      </w:pPr>
      <w:r w:rsidRPr="00FC7E53">
        <w:rPr>
          <w:rStyle w:val="FootnoteReference"/>
          <w:rFonts w:ascii="Arial" w:hAnsi="Arial" w:cs="Arial"/>
          <w:sz w:val="18"/>
          <w:szCs w:val="18"/>
        </w:rPr>
        <w:footnoteRef/>
      </w:r>
      <w:r w:rsidRPr="000E3C5E">
        <w:rPr>
          <w:rFonts w:ascii="Arial" w:hAnsi="Arial" w:cs="Arial"/>
          <w:sz w:val="18"/>
          <w:szCs w:val="18"/>
          <w:lang w:val="es-ES"/>
        </w:rPr>
        <w:t xml:space="preserve"> </w:t>
      </w:r>
      <w:r w:rsidRPr="000E3C5E">
        <w:rPr>
          <w:rFonts w:ascii="Arial" w:hAnsi="Arial" w:cs="Arial"/>
          <w:sz w:val="18"/>
          <w:szCs w:val="18"/>
          <w:lang w:val="es-ES"/>
        </w:rPr>
        <w:tab/>
        <w:t xml:space="preserve">Según directrices de la </w:t>
      </w:r>
      <w:r w:rsidRPr="00FC7E53">
        <w:rPr>
          <w:rFonts w:ascii="Arial" w:hAnsi="Arial" w:cs="Arial"/>
          <w:sz w:val="18"/>
          <w:szCs w:val="18"/>
        </w:rPr>
        <w:fldChar w:fldCharType="begin"/>
      </w:r>
      <w:r w:rsidRPr="000E3C5E">
        <w:rPr>
          <w:rFonts w:ascii="Arial" w:hAnsi="Arial" w:cs="Arial"/>
          <w:sz w:val="18"/>
          <w:szCs w:val="18"/>
          <w:lang w:val="es-ES"/>
        </w:rPr>
        <w:instrText xml:space="preserve"> ADDIN EN.CITE &lt;EndNote&gt;&lt;Cite&gt;&lt;Author&gt;OECD&lt;/Author&gt;&lt;Year&gt;2016&lt;/Year&gt;&lt;RecNum&gt;5&lt;/RecNum&gt;&lt;DisplayText&gt;OECD 2016&lt;/DisplayText&gt;&lt;record&gt;&lt;rec-number&gt;5&lt;/rec-number&gt;&lt;foreign-keys&gt;&lt;key app="EN" db-id="02zxxw05urrpste9z5uxf0fhatp05e0spft0" timestamp="1536678685"&gt;5&lt;/key&gt;&lt;/foreign-keys&gt;&lt;ref-type name="Book"&gt;6&lt;/ref-type&gt;&lt;contributors&gt;&lt;authors&gt;&lt;author&gt;OECD&lt;/author&gt;&lt;/authors&gt;&lt;/contributors&gt;&lt;titles&gt;&lt;title&gt;Directrices de la OCDE sobre el Gobierno Corporativo de las Empresas Públicas -Edición 2015&lt;/title&gt;&lt;/titles&gt;&lt;dates&gt;&lt;year&gt;2016&lt;/year&gt;&lt;/dates&gt;&lt;pub-location&gt;Paris&lt;/pub-location&gt;&lt;publisher&gt;Éditions OCDE&lt;/publisher&gt;&lt;urls&gt;&lt;/urls&gt;&lt;/record&gt;&lt;/Cite&gt;&lt;/EndNote&gt;</w:instrText>
      </w:r>
      <w:r w:rsidRPr="00FC7E53">
        <w:rPr>
          <w:rFonts w:ascii="Arial" w:hAnsi="Arial" w:cs="Arial"/>
          <w:sz w:val="18"/>
          <w:szCs w:val="18"/>
        </w:rPr>
        <w:fldChar w:fldCharType="separate"/>
      </w:r>
      <w:r w:rsidRPr="000E3C5E">
        <w:rPr>
          <w:rFonts w:ascii="Arial" w:hAnsi="Arial" w:cs="Arial"/>
          <w:sz w:val="18"/>
          <w:szCs w:val="18"/>
          <w:lang w:val="es-ES"/>
        </w:rPr>
        <w:t>OCDE 2016</w:t>
      </w:r>
      <w:r w:rsidRPr="00FC7E53">
        <w:rPr>
          <w:rFonts w:ascii="Arial" w:hAnsi="Arial" w:cs="Arial"/>
          <w:sz w:val="18"/>
          <w:szCs w:val="18"/>
        </w:rPr>
        <w:fldChar w:fldCharType="end"/>
      </w:r>
      <w:r w:rsidRPr="000E3C5E">
        <w:rPr>
          <w:rFonts w:ascii="Arial" w:hAnsi="Arial" w:cs="Arial"/>
          <w:sz w:val="18"/>
          <w:szCs w:val="18"/>
          <w:lang w:val="es-ES"/>
        </w:rPr>
        <w:t xml:space="preserve"> sobre gobierno corporativo de EEPP. </w:t>
      </w:r>
    </w:p>
  </w:footnote>
  <w:footnote w:id="20">
    <w:p w14:paraId="023D97C9" w14:textId="77777777" w:rsidR="00EE18A4" w:rsidRPr="000E3C5E" w:rsidRDefault="00EE18A4" w:rsidP="000E3C5E">
      <w:pPr>
        <w:pStyle w:val="FootnoteText"/>
        <w:tabs>
          <w:tab w:val="left" w:pos="180"/>
        </w:tabs>
        <w:ind w:left="270" w:hanging="270"/>
        <w:contextualSpacing/>
        <w:jc w:val="both"/>
        <w:rPr>
          <w:rFonts w:ascii="Arial" w:hAnsi="Arial" w:cs="Arial"/>
          <w:sz w:val="18"/>
          <w:szCs w:val="18"/>
          <w:lang w:val="es-ES"/>
        </w:rPr>
      </w:pPr>
      <w:r w:rsidRPr="00FC7E53">
        <w:rPr>
          <w:rStyle w:val="FootnoteReference"/>
          <w:rFonts w:ascii="Arial" w:hAnsi="Arial" w:cs="Arial"/>
          <w:sz w:val="18"/>
          <w:szCs w:val="18"/>
        </w:rPr>
        <w:footnoteRef/>
      </w:r>
      <w:r w:rsidRPr="000E3C5E">
        <w:rPr>
          <w:rFonts w:ascii="Arial" w:hAnsi="Arial" w:cs="Arial"/>
          <w:sz w:val="18"/>
          <w:szCs w:val="18"/>
          <w:lang w:val="es-ES"/>
        </w:rPr>
        <w:t xml:space="preserve"> </w:t>
      </w:r>
      <w:r w:rsidRPr="000E3C5E">
        <w:rPr>
          <w:rFonts w:ascii="Arial" w:hAnsi="Arial" w:cs="Arial"/>
          <w:sz w:val="18"/>
          <w:szCs w:val="18"/>
          <w:lang w:val="es-ES"/>
        </w:rPr>
        <w:tab/>
        <w:t>Medidas incluyen: (a) mejora de la gobernanza corporativa; (b) régimen fiscal homogéneo con las empresas del sector privado, y; (c) requerimientos de transparencia y rendición de cuentas.</w:t>
      </w:r>
    </w:p>
  </w:footnote>
  <w:footnote w:id="21">
    <w:p w14:paraId="0FF4A03C" w14:textId="77777777" w:rsidR="00EE18A4" w:rsidRPr="000E3C5E" w:rsidRDefault="00EE18A4" w:rsidP="000E3C5E">
      <w:pPr>
        <w:pStyle w:val="FootnoteText"/>
        <w:tabs>
          <w:tab w:val="left" w:pos="180"/>
        </w:tabs>
        <w:ind w:left="270" w:hanging="270"/>
        <w:contextualSpacing/>
        <w:jc w:val="both"/>
        <w:rPr>
          <w:rFonts w:ascii="Arial" w:hAnsi="Arial" w:cs="Arial"/>
          <w:sz w:val="18"/>
          <w:szCs w:val="18"/>
          <w:lang w:val="es-ES"/>
        </w:rPr>
      </w:pPr>
      <w:r w:rsidRPr="00FC7E53">
        <w:rPr>
          <w:rStyle w:val="FootnoteReference"/>
          <w:rFonts w:ascii="Arial" w:hAnsi="Arial" w:cs="Arial"/>
          <w:sz w:val="18"/>
          <w:szCs w:val="18"/>
        </w:rPr>
        <w:footnoteRef/>
      </w:r>
      <w:r w:rsidRPr="000E3C5E">
        <w:rPr>
          <w:rFonts w:ascii="Arial" w:hAnsi="Arial" w:cs="Arial"/>
          <w:sz w:val="18"/>
          <w:szCs w:val="18"/>
          <w:lang w:val="es-ES"/>
        </w:rPr>
        <w:t xml:space="preserve"> </w:t>
      </w:r>
      <w:r w:rsidRPr="000E3C5E">
        <w:rPr>
          <w:rFonts w:ascii="Arial" w:hAnsi="Arial" w:cs="Arial"/>
          <w:sz w:val="18"/>
          <w:szCs w:val="18"/>
          <w:lang w:val="es-ES"/>
        </w:rPr>
        <w:tab/>
      </w:r>
      <w:r w:rsidRPr="00FC7E53">
        <w:rPr>
          <w:rFonts w:ascii="Arial" w:hAnsi="Arial" w:cs="Arial"/>
          <w:sz w:val="18"/>
          <w:szCs w:val="18"/>
          <w:lang w:val="es-ES"/>
        </w:rPr>
        <w:t xml:space="preserve">El diseño </w:t>
      </w:r>
      <w:r w:rsidRPr="000E3C5E">
        <w:rPr>
          <w:rFonts w:ascii="Arial" w:hAnsi="Arial" w:cs="Arial"/>
          <w:sz w:val="18"/>
          <w:szCs w:val="18"/>
          <w:lang w:val="es-ES"/>
        </w:rPr>
        <w:t xml:space="preserve">del régimen de gobernanza fiscal y del régimen fiscal especifico de las empresas en sector hidrocarburos se apoyará mediante la </w:t>
      </w:r>
      <w:r w:rsidRPr="009B2848">
        <w:rPr>
          <w:rFonts w:ascii="Arial" w:hAnsi="Arial" w:cs="Arial"/>
          <w:bCs/>
          <w:sz w:val="18"/>
          <w:szCs w:val="18"/>
          <w:lang w:val="es-ES"/>
        </w:rPr>
        <w:t>ATN/OC-17299-EC</w:t>
      </w:r>
      <w:r w:rsidRPr="000E3C5E">
        <w:rPr>
          <w:rFonts w:ascii="Arial" w:hAnsi="Arial" w:cs="Arial"/>
          <w:sz w:val="18"/>
          <w:szCs w:val="18"/>
          <w:lang w:val="es-ES"/>
        </w:rPr>
        <w:t>.</w:t>
      </w:r>
    </w:p>
  </w:footnote>
  <w:footnote w:id="22">
    <w:p w14:paraId="36B3E9B4" w14:textId="77777777" w:rsidR="00EE18A4" w:rsidRPr="000E3C5E" w:rsidRDefault="00EE18A4" w:rsidP="000E3C5E">
      <w:pPr>
        <w:pStyle w:val="FootnoteText"/>
        <w:ind w:left="270" w:hanging="270"/>
        <w:contextualSpacing/>
        <w:rPr>
          <w:rFonts w:ascii="Arial" w:hAnsi="Arial" w:cs="Arial"/>
          <w:sz w:val="18"/>
          <w:szCs w:val="18"/>
          <w:lang w:val="es-ES"/>
        </w:rPr>
      </w:pPr>
      <w:r w:rsidRPr="00905C69">
        <w:rPr>
          <w:rStyle w:val="FootnoteReference"/>
          <w:rFonts w:ascii="Arial" w:hAnsi="Arial" w:cs="Arial"/>
          <w:sz w:val="18"/>
          <w:szCs w:val="18"/>
        </w:rPr>
        <w:footnoteRef/>
      </w:r>
      <w:r w:rsidRPr="000E3C5E">
        <w:rPr>
          <w:rFonts w:ascii="Arial" w:hAnsi="Arial" w:cs="Arial"/>
          <w:sz w:val="18"/>
          <w:szCs w:val="18"/>
          <w:lang w:val="es-ES"/>
        </w:rPr>
        <w:t xml:space="preserve"> </w:t>
      </w:r>
      <w:r w:rsidRPr="000E3C5E">
        <w:rPr>
          <w:rFonts w:ascii="Arial" w:hAnsi="Arial" w:cs="Arial"/>
          <w:sz w:val="18"/>
          <w:szCs w:val="18"/>
          <w:lang w:val="es-ES"/>
        </w:rPr>
        <w:tab/>
      </w:r>
      <w:r w:rsidRPr="00905C69">
        <w:rPr>
          <w:rFonts w:ascii="Arial" w:hAnsi="Arial" w:cs="Arial"/>
          <w:sz w:val="18"/>
          <w:szCs w:val="18"/>
          <w:lang w:val="es-ES"/>
        </w:rPr>
        <w:t xml:space="preserve">El diseño de </w:t>
      </w:r>
      <w:r w:rsidRPr="000E3C5E">
        <w:rPr>
          <w:rFonts w:ascii="Arial" w:hAnsi="Arial" w:cs="Arial"/>
          <w:sz w:val="18"/>
          <w:szCs w:val="18"/>
          <w:lang w:val="es-ES"/>
        </w:rPr>
        <w:t xml:space="preserve">la nueva entidad de gestión propietaria de EEPP, </w:t>
      </w:r>
      <w:r w:rsidRPr="00905C69">
        <w:rPr>
          <w:rFonts w:ascii="Arial" w:hAnsi="Arial" w:cs="Arial"/>
          <w:sz w:val="18"/>
          <w:szCs w:val="18"/>
          <w:lang w:val="es-ES"/>
        </w:rPr>
        <w:t>se apoyará mediante la ATN/OC-17299-EC</w:t>
      </w:r>
      <w:r w:rsidRPr="000E3C5E">
        <w:rPr>
          <w:rFonts w:ascii="Arial" w:hAnsi="Arial" w:cs="Arial"/>
          <w:sz w:val="18"/>
          <w:szCs w:val="18"/>
          <w:lang w:val="es-ES"/>
        </w:rPr>
        <w:t>.</w:t>
      </w:r>
    </w:p>
  </w:footnote>
  <w:footnote w:id="23">
    <w:p w14:paraId="2F1968F2" w14:textId="77777777" w:rsidR="00EE18A4" w:rsidRPr="000E3C5E" w:rsidRDefault="00EE18A4">
      <w:pPr>
        <w:pStyle w:val="FootnoteText"/>
        <w:ind w:left="270" w:hanging="270"/>
        <w:rPr>
          <w:lang w:val="es-ES"/>
        </w:rPr>
      </w:pPr>
      <w:r w:rsidRPr="005A61AE">
        <w:rPr>
          <w:rStyle w:val="FootnoteReference"/>
          <w:rFonts w:ascii="Arial" w:hAnsi="Arial" w:cs="Arial"/>
          <w:sz w:val="18"/>
          <w:szCs w:val="18"/>
        </w:rPr>
        <w:footnoteRef/>
      </w:r>
      <w:r w:rsidRPr="000E3C5E">
        <w:rPr>
          <w:rFonts w:ascii="Arial" w:hAnsi="Arial" w:cs="Arial"/>
          <w:sz w:val="18"/>
          <w:szCs w:val="18"/>
          <w:lang w:val="es-ES"/>
        </w:rPr>
        <w:t xml:space="preserve"> </w:t>
      </w:r>
      <w:r w:rsidRPr="000E3C5E">
        <w:rPr>
          <w:rFonts w:ascii="Arial" w:hAnsi="Arial" w:cs="Arial"/>
          <w:sz w:val="18"/>
          <w:szCs w:val="18"/>
          <w:lang w:val="es-ES"/>
        </w:rPr>
        <w:tab/>
        <w:t>Personal técnico de la DNEP y el MEF, en sector de hidrocarburos, eléctrico y telecomunicaciones.</w:t>
      </w:r>
      <w:r w:rsidRPr="000E3C5E">
        <w:rPr>
          <w:lang w:val="es-ES"/>
        </w:rPr>
        <w:t xml:space="preserve"> </w:t>
      </w:r>
    </w:p>
  </w:footnote>
  <w:footnote w:id="24">
    <w:p w14:paraId="7CDBDB7C" w14:textId="77777777" w:rsidR="00EE18A4" w:rsidRPr="000E3C5E" w:rsidRDefault="00EE18A4" w:rsidP="000E3C5E">
      <w:pPr>
        <w:pStyle w:val="FootnoteText"/>
        <w:ind w:left="270" w:hanging="270"/>
        <w:rPr>
          <w:lang w:val="es-ES"/>
        </w:rPr>
      </w:pPr>
      <w:r>
        <w:rPr>
          <w:rStyle w:val="FootnoteReference"/>
        </w:rPr>
        <w:footnoteRef/>
      </w:r>
      <w:r w:rsidRPr="000E3C5E">
        <w:rPr>
          <w:lang w:val="es-ES"/>
        </w:rPr>
        <w:t xml:space="preserve"> </w:t>
      </w:r>
      <w:r w:rsidRPr="00F550E6">
        <w:rPr>
          <w:lang w:val="es-ES"/>
        </w:rPr>
        <w:t>Socialización y capacitación.</w:t>
      </w:r>
    </w:p>
  </w:footnote>
  <w:footnote w:id="25">
    <w:p w14:paraId="19802081" w14:textId="77777777" w:rsidR="00EE18A4" w:rsidRPr="00544402" w:rsidRDefault="00EE18A4" w:rsidP="000E3C5E">
      <w:pPr>
        <w:pStyle w:val="FootnoteText"/>
        <w:ind w:left="270" w:hanging="270"/>
        <w:contextualSpacing/>
        <w:rPr>
          <w:rFonts w:ascii="Arial" w:hAnsi="Arial" w:cs="Arial"/>
          <w:sz w:val="18"/>
          <w:szCs w:val="18"/>
          <w:lang w:val="es-ES"/>
        </w:rPr>
      </w:pPr>
      <w:r w:rsidRPr="00905C69">
        <w:rPr>
          <w:rStyle w:val="FootnoteReference"/>
          <w:rFonts w:ascii="Arial" w:hAnsi="Arial" w:cs="Arial"/>
          <w:sz w:val="18"/>
          <w:szCs w:val="18"/>
        </w:rPr>
        <w:footnoteRef/>
      </w:r>
      <w:r w:rsidRPr="000E3C5E">
        <w:rPr>
          <w:rFonts w:ascii="Arial" w:hAnsi="Arial" w:cs="Arial"/>
          <w:sz w:val="18"/>
          <w:szCs w:val="18"/>
          <w:lang w:val="es-ES"/>
        </w:rPr>
        <w:t xml:space="preserve"> </w:t>
      </w:r>
      <w:r w:rsidRPr="000E3C5E">
        <w:rPr>
          <w:rFonts w:ascii="Arial" w:hAnsi="Arial" w:cs="Arial"/>
          <w:sz w:val="18"/>
          <w:szCs w:val="18"/>
          <w:lang w:val="es-ES"/>
        </w:rPr>
        <w:tab/>
      </w:r>
      <w:r>
        <w:rPr>
          <w:rFonts w:ascii="Arial" w:hAnsi="Arial" w:cs="Arial"/>
          <w:sz w:val="18"/>
          <w:szCs w:val="18"/>
          <w:lang w:val="es-ES"/>
        </w:rPr>
        <w:t>La fusión</w:t>
      </w:r>
      <w:r w:rsidRPr="00905C69">
        <w:rPr>
          <w:rFonts w:ascii="Arial" w:hAnsi="Arial" w:cs="Arial"/>
          <w:sz w:val="18"/>
          <w:szCs w:val="18"/>
          <w:lang w:val="es-ES"/>
        </w:rPr>
        <w:t xml:space="preserve"> </w:t>
      </w:r>
      <w:r w:rsidRPr="00F550E6">
        <w:rPr>
          <w:rFonts w:ascii="Arial" w:hAnsi="Arial" w:cs="Arial"/>
          <w:sz w:val="18"/>
          <w:szCs w:val="18"/>
          <w:lang w:val="es-ES"/>
        </w:rPr>
        <w:t>requerirá de apoyo legal para adecuar la estrategia propuesta por la firma internacional a la normativa nacional.</w:t>
      </w:r>
      <w:r w:rsidRPr="00905C69">
        <w:rPr>
          <w:rFonts w:ascii="Arial" w:hAnsi="Arial" w:cs="Arial"/>
          <w:sz w:val="18"/>
          <w:szCs w:val="18"/>
          <w:lang w:val="es-ES"/>
        </w:rPr>
        <w:t xml:space="preserve"> </w:t>
      </w:r>
    </w:p>
  </w:footnote>
  <w:footnote w:id="26">
    <w:p w14:paraId="636BC376" w14:textId="77777777" w:rsidR="00EE18A4" w:rsidRPr="000E3C5E" w:rsidRDefault="00EE18A4" w:rsidP="000E3C5E">
      <w:pPr>
        <w:pStyle w:val="FootnoteText"/>
        <w:ind w:left="270" w:hanging="270"/>
        <w:contextualSpacing/>
        <w:rPr>
          <w:rFonts w:ascii="Arial" w:hAnsi="Arial" w:cs="Arial"/>
          <w:sz w:val="18"/>
          <w:szCs w:val="18"/>
          <w:lang w:val="es-ES"/>
        </w:rPr>
      </w:pPr>
      <w:r w:rsidRPr="00905C69">
        <w:rPr>
          <w:rStyle w:val="FootnoteReference"/>
          <w:rFonts w:ascii="Arial" w:hAnsi="Arial" w:cs="Arial"/>
          <w:sz w:val="18"/>
          <w:szCs w:val="18"/>
        </w:rPr>
        <w:footnoteRef/>
      </w:r>
      <w:r w:rsidRPr="000E3C5E">
        <w:rPr>
          <w:rFonts w:ascii="Arial" w:hAnsi="Arial" w:cs="Arial"/>
          <w:sz w:val="18"/>
          <w:szCs w:val="18"/>
          <w:lang w:val="es-ES"/>
        </w:rPr>
        <w:t xml:space="preserve"> </w:t>
      </w:r>
      <w:r w:rsidRPr="000E3C5E">
        <w:rPr>
          <w:rFonts w:ascii="Arial" w:hAnsi="Arial" w:cs="Arial"/>
          <w:sz w:val="18"/>
          <w:szCs w:val="18"/>
          <w:lang w:val="es-ES"/>
        </w:rPr>
        <w:tab/>
        <w:t xml:space="preserve">En febrero 2019 se ha comenzado la consultoría. </w:t>
      </w:r>
    </w:p>
  </w:footnote>
  <w:footnote w:id="27">
    <w:p w14:paraId="38367476" w14:textId="77777777" w:rsidR="00EE18A4" w:rsidRPr="000E3C5E" w:rsidRDefault="00EE18A4" w:rsidP="000E3C5E">
      <w:pPr>
        <w:pStyle w:val="FootnoteText"/>
        <w:ind w:left="270" w:hanging="270"/>
        <w:contextualSpacing/>
        <w:rPr>
          <w:rFonts w:ascii="Arial" w:hAnsi="Arial" w:cs="Arial"/>
          <w:sz w:val="18"/>
          <w:szCs w:val="18"/>
          <w:lang w:val="es-ES"/>
        </w:rPr>
      </w:pPr>
      <w:r w:rsidRPr="00875FB8">
        <w:rPr>
          <w:rStyle w:val="FootnoteReference"/>
          <w:rFonts w:ascii="Arial" w:hAnsi="Arial" w:cs="Arial"/>
          <w:sz w:val="18"/>
          <w:szCs w:val="18"/>
        </w:rPr>
        <w:footnoteRef/>
      </w:r>
      <w:r w:rsidRPr="000E3C5E">
        <w:rPr>
          <w:rFonts w:ascii="Arial" w:hAnsi="Arial" w:cs="Arial"/>
          <w:sz w:val="18"/>
          <w:szCs w:val="18"/>
          <w:lang w:val="es-ES"/>
        </w:rPr>
        <w:t xml:space="preserve"> </w:t>
      </w:r>
      <w:r w:rsidRPr="000E3C5E">
        <w:rPr>
          <w:rFonts w:ascii="Arial" w:hAnsi="Arial" w:cs="Arial"/>
          <w:sz w:val="18"/>
          <w:szCs w:val="18"/>
          <w:lang w:val="es-ES"/>
        </w:rPr>
        <w:tab/>
      </w:r>
      <w:r w:rsidRPr="00875FB8">
        <w:rPr>
          <w:rFonts w:ascii="Arial" w:hAnsi="Arial" w:cs="Arial"/>
          <w:sz w:val="18"/>
          <w:szCs w:val="18"/>
          <w:lang w:val="es-ES"/>
        </w:rPr>
        <w:t>Este gasto cumple con la política “Modernización de políticas y prácticas de restricción al uso de recursos en préstamos de inversión” (GN-2331-5), y con los Parámetros de Financiamiento de País acordados con Ecuador (CP-28273 y anexo IX del GN-2495).</w:t>
      </w:r>
    </w:p>
  </w:footnote>
  <w:footnote w:id="28">
    <w:p w14:paraId="1C1EB09B" w14:textId="77777777" w:rsidR="00EE18A4" w:rsidRPr="00875FB8" w:rsidRDefault="00EE18A4" w:rsidP="000E3C5E">
      <w:pPr>
        <w:pStyle w:val="FootnoteText"/>
        <w:ind w:left="270" w:hanging="270"/>
        <w:rPr>
          <w:rFonts w:ascii="Arial" w:hAnsi="Arial" w:cs="Arial"/>
          <w:sz w:val="18"/>
          <w:szCs w:val="18"/>
          <w:lang w:val="es-ES"/>
        </w:rPr>
      </w:pPr>
      <w:r w:rsidRPr="00875FB8">
        <w:rPr>
          <w:rStyle w:val="FootnoteReference"/>
          <w:rFonts w:ascii="Arial" w:hAnsi="Arial" w:cs="Arial"/>
          <w:sz w:val="18"/>
          <w:szCs w:val="18"/>
        </w:rPr>
        <w:footnoteRef/>
      </w:r>
      <w:r w:rsidRPr="000E3C5E">
        <w:rPr>
          <w:rFonts w:ascii="Arial" w:hAnsi="Arial" w:cs="Arial"/>
          <w:sz w:val="18"/>
          <w:szCs w:val="18"/>
          <w:lang w:val="es-ES"/>
        </w:rPr>
        <w:t xml:space="preserve"> </w:t>
      </w:r>
      <w:r w:rsidRPr="000E3C5E">
        <w:rPr>
          <w:rFonts w:ascii="Arial" w:hAnsi="Arial" w:cs="Arial"/>
          <w:sz w:val="18"/>
          <w:szCs w:val="18"/>
          <w:lang w:val="es-ES"/>
        </w:rPr>
        <w:tab/>
      </w:r>
      <w:r w:rsidRPr="00875FB8">
        <w:rPr>
          <w:rFonts w:ascii="Arial" w:hAnsi="Arial" w:cs="Arial"/>
          <w:sz w:val="18"/>
          <w:szCs w:val="18"/>
          <w:lang w:val="es-ES"/>
        </w:rPr>
        <w:t>Artículo 81 de la LOSEP, artículo 289 del Reglamento de la LOSEP y el artículo 188 de la Ley de la Seguridad Social (LSS) “Jubilación por edad avanzada”</w:t>
      </w:r>
    </w:p>
  </w:footnote>
  <w:footnote w:id="29">
    <w:p w14:paraId="6069E6B3" w14:textId="77777777" w:rsidR="00EE18A4" w:rsidRPr="000E3C5E" w:rsidRDefault="00EE18A4" w:rsidP="000E3C5E">
      <w:pPr>
        <w:pStyle w:val="FootnoteText"/>
        <w:ind w:left="270" w:hanging="270"/>
        <w:contextualSpacing/>
        <w:rPr>
          <w:rFonts w:ascii="Arial" w:hAnsi="Arial" w:cs="Arial"/>
          <w:sz w:val="18"/>
          <w:szCs w:val="18"/>
          <w:lang w:val="es-ES"/>
        </w:rPr>
      </w:pPr>
      <w:r w:rsidRPr="00875FB8">
        <w:rPr>
          <w:rStyle w:val="FootnoteReference"/>
          <w:rFonts w:ascii="Arial" w:hAnsi="Arial" w:cs="Arial"/>
          <w:sz w:val="18"/>
          <w:szCs w:val="18"/>
        </w:rPr>
        <w:footnoteRef/>
      </w:r>
      <w:r w:rsidRPr="000E3C5E">
        <w:rPr>
          <w:rFonts w:ascii="Arial" w:hAnsi="Arial" w:cs="Arial"/>
          <w:sz w:val="18"/>
          <w:szCs w:val="18"/>
          <w:lang w:val="es-ES"/>
        </w:rPr>
        <w:t xml:space="preserve"> </w:t>
      </w:r>
      <w:r w:rsidRPr="000E3C5E">
        <w:rPr>
          <w:rFonts w:ascii="Arial" w:hAnsi="Arial" w:cs="Arial"/>
          <w:sz w:val="18"/>
          <w:szCs w:val="18"/>
          <w:lang w:val="es-ES"/>
        </w:rPr>
        <w:tab/>
        <w:t>Artículo 186 de LSS “Jubilación por invalidez”.</w:t>
      </w:r>
    </w:p>
  </w:footnote>
  <w:footnote w:id="30">
    <w:p w14:paraId="59C44A4D" w14:textId="77777777" w:rsidR="00EE18A4" w:rsidRPr="000E3C5E" w:rsidRDefault="00EE18A4" w:rsidP="000E3C5E">
      <w:pPr>
        <w:pStyle w:val="FootnoteText"/>
        <w:ind w:left="270" w:hanging="270"/>
        <w:contextualSpacing/>
        <w:rPr>
          <w:rFonts w:ascii="Arial" w:hAnsi="Arial" w:cs="Arial"/>
          <w:sz w:val="18"/>
          <w:szCs w:val="18"/>
          <w:lang w:val="es-ES"/>
        </w:rPr>
      </w:pPr>
      <w:r w:rsidRPr="00875FB8">
        <w:rPr>
          <w:rStyle w:val="FootnoteReference"/>
          <w:rFonts w:ascii="Arial" w:hAnsi="Arial" w:cs="Arial"/>
          <w:sz w:val="18"/>
          <w:szCs w:val="18"/>
        </w:rPr>
        <w:footnoteRef/>
      </w:r>
      <w:r w:rsidRPr="000E3C5E">
        <w:rPr>
          <w:rFonts w:ascii="Arial" w:hAnsi="Arial" w:cs="Arial"/>
          <w:sz w:val="18"/>
          <w:szCs w:val="18"/>
          <w:lang w:val="es-ES"/>
        </w:rPr>
        <w:t xml:space="preserve"> </w:t>
      </w:r>
      <w:r w:rsidRPr="000E3C5E">
        <w:rPr>
          <w:rFonts w:ascii="Arial" w:hAnsi="Arial" w:cs="Arial"/>
          <w:sz w:val="18"/>
          <w:szCs w:val="18"/>
          <w:lang w:val="es-ES"/>
        </w:rPr>
        <w:tab/>
      </w:r>
      <w:r w:rsidRPr="00875FB8">
        <w:rPr>
          <w:rFonts w:ascii="Arial" w:hAnsi="Arial" w:cs="Arial"/>
          <w:sz w:val="18"/>
          <w:szCs w:val="18"/>
          <w:lang w:val="es-ES"/>
        </w:rPr>
        <w:t>Artículo 288 del Reglamento de la LOSEP.</w:t>
      </w:r>
    </w:p>
  </w:footnote>
  <w:footnote w:id="31">
    <w:p w14:paraId="5A634DAE" w14:textId="77777777" w:rsidR="00EE18A4" w:rsidRPr="000E3C5E" w:rsidRDefault="00EE18A4" w:rsidP="000E3C5E">
      <w:pPr>
        <w:pStyle w:val="FootnoteText"/>
        <w:ind w:left="270" w:hanging="270"/>
        <w:contextualSpacing/>
        <w:rPr>
          <w:rFonts w:ascii="Arial" w:hAnsi="Arial" w:cs="Arial"/>
          <w:sz w:val="18"/>
          <w:szCs w:val="18"/>
          <w:lang w:val="es-ES"/>
        </w:rPr>
      </w:pPr>
      <w:r w:rsidRPr="00875FB8">
        <w:rPr>
          <w:rStyle w:val="FootnoteReference"/>
          <w:rFonts w:ascii="Arial" w:hAnsi="Arial" w:cs="Arial"/>
          <w:sz w:val="18"/>
          <w:szCs w:val="18"/>
        </w:rPr>
        <w:footnoteRef/>
      </w:r>
      <w:r w:rsidRPr="000E3C5E">
        <w:rPr>
          <w:rFonts w:ascii="Arial" w:hAnsi="Arial" w:cs="Arial"/>
          <w:sz w:val="18"/>
          <w:szCs w:val="18"/>
          <w:lang w:val="es-ES"/>
        </w:rPr>
        <w:t xml:space="preserve"> </w:t>
      </w:r>
      <w:r w:rsidRPr="000E3C5E">
        <w:rPr>
          <w:rFonts w:ascii="Arial" w:hAnsi="Arial" w:cs="Arial"/>
          <w:sz w:val="18"/>
          <w:szCs w:val="18"/>
          <w:lang w:val="es-ES"/>
        </w:rPr>
        <w:tab/>
      </w:r>
      <w:r w:rsidRPr="00875FB8">
        <w:rPr>
          <w:rFonts w:ascii="Arial" w:hAnsi="Arial" w:cs="Arial"/>
          <w:sz w:val="18"/>
          <w:szCs w:val="18"/>
          <w:lang w:val="es-ES"/>
        </w:rPr>
        <w:t>Artículos 23, 60 de la LOSEP y 30 de la LOEP (que se remite al Código de Trabajo).</w:t>
      </w:r>
    </w:p>
  </w:footnote>
  <w:footnote w:id="32">
    <w:p w14:paraId="2EA7E0A8" w14:textId="77777777" w:rsidR="00EE18A4" w:rsidRPr="000E3C5E" w:rsidRDefault="00EE18A4" w:rsidP="000E3C5E">
      <w:pPr>
        <w:pStyle w:val="FootnoteText"/>
        <w:ind w:left="270" w:hanging="270"/>
        <w:contextualSpacing/>
        <w:rPr>
          <w:rFonts w:ascii="Arial" w:hAnsi="Arial" w:cs="Arial"/>
          <w:sz w:val="18"/>
          <w:szCs w:val="18"/>
          <w:lang w:val="es-ES"/>
        </w:rPr>
      </w:pPr>
      <w:r w:rsidRPr="00875FB8">
        <w:rPr>
          <w:rStyle w:val="FootnoteReference"/>
          <w:rFonts w:ascii="Arial" w:hAnsi="Arial" w:cs="Arial"/>
          <w:sz w:val="18"/>
          <w:szCs w:val="18"/>
        </w:rPr>
        <w:footnoteRef/>
      </w:r>
      <w:r w:rsidRPr="000E3C5E">
        <w:rPr>
          <w:rFonts w:ascii="Arial" w:hAnsi="Arial" w:cs="Arial"/>
          <w:sz w:val="18"/>
          <w:szCs w:val="18"/>
          <w:lang w:val="es-ES"/>
        </w:rPr>
        <w:t xml:space="preserve"> </w:t>
      </w:r>
      <w:r w:rsidRPr="000E3C5E">
        <w:rPr>
          <w:rFonts w:ascii="Arial" w:hAnsi="Arial" w:cs="Arial"/>
          <w:sz w:val="18"/>
          <w:szCs w:val="18"/>
          <w:lang w:val="es-ES"/>
        </w:rPr>
        <w:tab/>
        <w:t>El apoyo a otras modalidades de desvinculación previstas en la legislación nacional estará sujeto a que las mismas sean consistentes con los preceptos legales y constitucionales del país, y se ajusten a los criterios y objetivos previstos en el programa análisis y previo no objeción del Banco. El ROP contendrá la descripción detallada de cada modalidad de desvinculación a ser financiada. De las tres modalidades mencionadas, se priorizarán las que contribuyan al recambio generacional en educación y al cambio del perfil del TH de las EEPP.</w:t>
      </w:r>
    </w:p>
  </w:footnote>
  <w:footnote w:id="33">
    <w:p w14:paraId="79625BB4" w14:textId="77777777" w:rsidR="00EE18A4" w:rsidRPr="00875FB8" w:rsidRDefault="00EE18A4" w:rsidP="00CB4053">
      <w:pPr>
        <w:pStyle w:val="FootnoteText"/>
        <w:contextualSpacing/>
        <w:rPr>
          <w:rFonts w:ascii="Arial" w:hAnsi="Arial" w:cs="Arial"/>
          <w:sz w:val="18"/>
          <w:szCs w:val="18"/>
          <w:lang w:val="es-ES"/>
        </w:rPr>
      </w:pPr>
      <w:r w:rsidRPr="00875FB8">
        <w:rPr>
          <w:rStyle w:val="FootnoteReference"/>
          <w:rFonts w:ascii="Arial" w:hAnsi="Arial" w:cs="Arial"/>
          <w:sz w:val="18"/>
          <w:szCs w:val="18"/>
        </w:rPr>
        <w:footnoteRef/>
      </w:r>
      <w:r w:rsidRPr="000E3C5E">
        <w:rPr>
          <w:rFonts w:ascii="Arial" w:hAnsi="Arial" w:cs="Arial"/>
          <w:sz w:val="18"/>
          <w:szCs w:val="18"/>
          <w:lang w:val="es-ES"/>
        </w:rPr>
        <w:t xml:space="preserve"> </w:t>
      </w:r>
      <w:r w:rsidRPr="000E3C5E">
        <w:rPr>
          <w:rFonts w:ascii="Arial" w:hAnsi="Arial" w:cs="Arial"/>
          <w:sz w:val="18"/>
          <w:szCs w:val="18"/>
          <w:lang w:val="es-ES"/>
        </w:rPr>
        <w:tab/>
        <w:t>La LOEP se remite al Código de Trabajo.</w:t>
      </w:r>
    </w:p>
  </w:footnote>
  <w:footnote w:id="34">
    <w:p w14:paraId="4D64FDF4" w14:textId="77777777" w:rsidR="00EE18A4" w:rsidRPr="000E3C5E" w:rsidRDefault="00EE18A4" w:rsidP="00CB4053">
      <w:pPr>
        <w:pStyle w:val="FootnoteText"/>
        <w:contextualSpacing/>
        <w:rPr>
          <w:lang w:val="es-ES"/>
        </w:rPr>
      </w:pPr>
      <w:r w:rsidRPr="00875FB8">
        <w:rPr>
          <w:rStyle w:val="FootnoteReference"/>
          <w:rFonts w:ascii="Arial" w:hAnsi="Arial" w:cs="Arial"/>
          <w:sz w:val="18"/>
          <w:szCs w:val="18"/>
        </w:rPr>
        <w:footnoteRef/>
      </w:r>
      <w:r w:rsidRPr="000E3C5E">
        <w:rPr>
          <w:rFonts w:ascii="Arial" w:hAnsi="Arial" w:cs="Arial"/>
          <w:sz w:val="18"/>
          <w:szCs w:val="18"/>
          <w:lang w:val="es-ES"/>
        </w:rPr>
        <w:t xml:space="preserve"> </w:t>
      </w:r>
      <w:r w:rsidRPr="000E3C5E">
        <w:rPr>
          <w:rFonts w:ascii="Arial" w:hAnsi="Arial" w:cs="Arial"/>
          <w:sz w:val="18"/>
          <w:szCs w:val="18"/>
          <w:lang w:val="es-ES"/>
        </w:rPr>
        <w:tab/>
      </w:r>
      <w:r w:rsidRPr="00875FB8">
        <w:rPr>
          <w:rFonts w:ascii="Arial" w:hAnsi="Arial" w:cs="Arial"/>
          <w:sz w:val="18"/>
          <w:szCs w:val="18"/>
          <w:lang w:val="es-ES"/>
        </w:rPr>
        <w:t>El diseño de la campaña se apoyará mediante la ATN/OC-17299-EC</w:t>
      </w:r>
      <w:r w:rsidRPr="000E3C5E">
        <w:rPr>
          <w:rFonts w:ascii="Arial" w:hAnsi="Arial" w:cs="Arial"/>
          <w:sz w:val="18"/>
          <w:szCs w:val="18"/>
          <w:lang w:val="es-ES"/>
        </w:rPr>
        <w:t>.</w:t>
      </w:r>
    </w:p>
  </w:footnote>
  <w:footnote w:id="35">
    <w:p w14:paraId="514195FF" w14:textId="7435D79C" w:rsidR="00EE18A4" w:rsidRPr="005A7042" w:rsidRDefault="00EE18A4" w:rsidP="0044387F">
      <w:pPr>
        <w:pStyle w:val="FootnoteText"/>
        <w:ind w:left="270" w:hanging="270"/>
        <w:jc w:val="both"/>
        <w:rPr>
          <w:rFonts w:ascii="Arial" w:hAnsi="Arial" w:cs="Arial"/>
          <w:sz w:val="18"/>
          <w:szCs w:val="18"/>
          <w:lang w:val="es-EC"/>
        </w:rPr>
      </w:pPr>
      <w:r w:rsidRPr="005A7042">
        <w:rPr>
          <w:rStyle w:val="FootnoteReference"/>
          <w:rFonts w:ascii="Arial" w:hAnsi="Arial" w:cs="Arial"/>
          <w:sz w:val="18"/>
          <w:szCs w:val="18"/>
        </w:rPr>
        <w:footnoteRef/>
      </w:r>
      <w:r w:rsidRPr="005A7042">
        <w:rPr>
          <w:rFonts w:ascii="Arial" w:hAnsi="Arial" w:cs="Arial"/>
          <w:sz w:val="18"/>
          <w:szCs w:val="18"/>
          <w:lang w:val="es-EC"/>
        </w:rPr>
        <w:t xml:space="preserve"> </w:t>
      </w:r>
      <w:r>
        <w:rPr>
          <w:rFonts w:ascii="Arial" w:hAnsi="Arial" w:cs="Arial"/>
          <w:sz w:val="18"/>
          <w:szCs w:val="18"/>
          <w:lang w:val="es-EC"/>
        </w:rPr>
        <w:tab/>
      </w:r>
      <w:r w:rsidRPr="005A7042">
        <w:rPr>
          <w:rFonts w:ascii="Arial" w:hAnsi="Arial" w:cs="Arial"/>
          <w:sz w:val="18"/>
          <w:szCs w:val="18"/>
          <w:lang w:val="es-EC"/>
        </w:rPr>
        <w:t xml:space="preserve">Banco Central del Ecuador -2019. Resultados provisionales de las Cuentas Nacionales al cuarto trimestre de 2018. </w:t>
      </w:r>
    </w:p>
  </w:footnote>
  <w:footnote w:id="36">
    <w:p w14:paraId="5C242FE7" w14:textId="509D5FA0" w:rsidR="00EE18A4" w:rsidRPr="005A7042" w:rsidRDefault="00EE18A4" w:rsidP="0044387F">
      <w:pPr>
        <w:pStyle w:val="FootnoteText"/>
        <w:ind w:left="270" w:hanging="270"/>
        <w:jc w:val="both"/>
        <w:rPr>
          <w:rFonts w:ascii="Arial" w:hAnsi="Arial" w:cs="Arial"/>
          <w:sz w:val="18"/>
          <w:szCs w:val="18"/>
          <w:lang w:val="es-EC"/>
        </w:rPr>
      </w:pPr>
      <w:r w:rsidRPr="005A7042">
        <w:rPr>
          <w:rStyle w:val="FootnoteReference"/>
          <w:rFonts w:ascii="Arial" w:hAnsi="Arial" w:cs="Arial"/>
          <w:sz w:val="18"/>
          <w:szCs w:val="18"/>
        </w:rPr>
        <w:footnoteRef/>
      </w:r>
      <w:r w:rsidRPr="005A7042">
        <w:rPr>
          <w:rFonts w:ascii="Arial" w:hAnsi="Arial" w:cs="Arial"/>
          <w:sz w:val="18"/>
          <w:szCs w:val="18"/>
          <w:lang w:val="es-EC"/>
        </w:rPr>
        <w:t xml:space="preserve"> </w:t>
      </w:r>
      <w:r>
        <w:rPr>
          <w:rFonts w:ascii="Arial" w:hAnsi="Arial" w:cs="Arial"/>
          <w:sz w:val="18"/>
          <w:szCs w:val="18"/>
          <w:lang w:val="es-EC"/>
        </w:rPr>
        <w:tab/>
      </w:r>
      <w:r w:rsidRPr="005A7042">
        <w:rPr>
          <w:rFonts w:ascii="Arial" w:hAnsi="Arial" w:cs="Arial"/>
          <w:sz w:val="18"/>
          <w:szCs w:val="18"/>
          <w:lang w:val="es-EC"/>
        </w:rPr>
        <w:t xml:space="preserve">Banco Mundial – 2018. Perspectivas económicas mundiales – Pronósticos. Tasa de crecimiento porcentual anual del PIB a precios de mercado sobre la base de dólares de </w:t>
      </w:r>
      <w:proofErr w:type="gramStart"/>
      <w:r w:rsidRPr="005A7042">
        <w:rPr>
          <w:rFonts w:ascii="Arial" w:hAnsi="Arial" w:cs="Arial"/>
          <w:sz w:val="18"/>
          <w:szCs w:val="18"/>
          <w:lang w:val="es-EC"/>
        </w:rPr>
        <w:t>EE.UU.</w:t>
      </w:r>
      <w:proofErr w:type="gramEnd"/>
      <w:r w:rsidRPr="005A7042">
        <w:rPr>
          <w:rFonts w:ascii="Arial" w:hAnsi="Arial" w:cs="Arial"/>
          <w:sz w:val="18"/>
          <w:szCs w:val="18"/>
          <w:lang w:val="es-EC"/>
        </w:rPr>
        <w:t xml:space="preserve"> constantes de 2010.</w:t>
      </w:r>
    </w:p>
  </w:footnote>
  <w:footnote w:id="37">
    <w:p w14:paraId="734E89B5" w14:textId="406A62F4" w:rsidR="00EE18A4" w:rsidRPr="005A7042" w:rsidRDefault="00EE18A4" w:rsidP="0044387F">
      <w:pPr>
        <w:pStyle w:val="FootnoteText"/>
        <w:ind w:left="270" w:hanging="270"/>
        <w:jc w:val="both"/>
        <w:rPr>
          <w:rFonts w:ascii="Arial" w:hAnsi="Arial" w:cs="Arial"/>
          <w:sz w:val="18"/>
          <w:szCs w:val="18"/>
          <w:lang w:val="es-ES"/>
        </w:rPr>
      </w:pPr>
      <w:r w:rsidRPr="005A7042">
        <w:rPr>
          <w:rStyle w:val="FootnoteReference"/>
          <w:rFonts w:ascii="Arial" w:hAnsi="Arial" w:cs="Arial"/>
          <w:sz w:val="18"/>
          <w:szCs w:val="18"/>
        </w:rPr>
        <w:footnoteRef/>
      </w:r>
      <w:r w:rsidRPr="005A7042">
        <w:rPr>
          <w:rFonts w:ascii="Arial" w:hAnsi="Arial" w:cs="Arial"/>
          <w:sz w:val="18"/>
          <w:szCs w:val="18"/>
          <w:lang w:val="es-EC"/>
        </w:rPr>
        <w:t xml:space="preserve"> </w:t>
      </w:r>
      <w:r>
        <w:rPr>
          <w:rFonts w:ascii="Arial" w:hAnsi="Arial" w:cs="Arial"/>
          <w:sz w:val="18"/>
          <w:szCs w:val="18"/>
          <w:lang w:val="es-EC"/>
        </w:rPr>
        <w:tab/>
      </w:r>
      <w:r w:rsidRPr="005A7042">
        <w:rPr>
          <w:rFonts w:ascii="Arial" w:hAnsi="Arial" w:cs="Arial"/>
          <w:sz w:val="18"/>
          <w:szCs w:val="18"/>
          <w:lang w:val="es-ES"/>
        </w:rPr>
        <w:t>Proporcional al monto de compensaciones de las desvinculaciones.</w:t>
      </w:r>
    </w:p>
  </w:footnote>
  <w:footnote w:id="38">
    <w:p w14:paraId="2705C7F6" w14:textId="4C62FEB6" w:rsidR="00EE18A4" w:rsidRPr="001E7D7B" w:rsidRDefault="00EE18A4" w:rsidP="0044387F">
      <w:pPr>
        <w:pStyle w:val="FootnoteText"/>
        <w:ind w:left="270" w:hanging="270"/>
        <w:jc w:val="both"/>
        <w:rPr>
          <w:rFonts w:cstheme="minorHAnsi"/>
          <w:lang w:val="es-EC"/>
        </w:rPr>
      </w:pPr>
      <w:r w:rsidRPr="005A7042">
        <w:rPr>
          <w:rStyle w:val="FootnoteReference"/>
          <w:rFonts w:ascii="Arial" w:hAnsi="Arial" w:cs="Arial"/>
          <w:sz w:val="18"/>
          <w:szCs w:val="18"/>
        </w:rPr>
        <w:footnoteRef/>
      </w:r>
      <w:r w:rsidRPr="005A7042">
        <w:rPr>
          <w:rFonts w:ascii="Arial" w:hAnsi="Arial" w:cs="Arial"/>
          <w:sz w:val="18"/>
          <w:szCs w:val="18"/>
          <w:lang w:val="es-EC"/>
        </w:rPr>
        <w:t xml:space="preserve"> </w:t>
      </w:r>
      <w:r>
        <w:rPr>
          <w:rFonts w:ascii="Arial" w:hAnsi="Arial" w:cs="Arial"/>
          <w:sz w:val="18"/>
          <w:szCs w:val="18"/>
          <w:lang w:val="es-EC"/>
        </w:rPr>
        <w:tab/>
      </w:r>
      <w:r w:rsidRPr="005A7042">
        <w:rPr>
          <w:rFonts w:ascii="Arial" w:hAnsi="Arial" w:cs="Arial"/>
          <w:sz w:val="18"/>
          <w:szCs w:val="18"/>
          <w:lang w:val="es-EC"/>
        </w:rPr>
        <w:t>Banco Central del Ecuador- 2019. Información Estadística Mensual No. 2005 - Marzo 2019.</w:t>
      </w:r>
    </w:p>
  </w:footnote>
  <w:footnote w:id="39">
    <w:p w14:paraId="23D4EEBA" w14:textId="6CB66B60" w:rsidR="00EE18A4" w:rsidRPr="005A7042" w:rsidRDefault="00EE18A4" w:rsidP="0044387F">
      <w:pPr>
        <w:pStyle w:val="FootnoteText"/>
        <w:ind w:left="270" w:hanging="270"/>
        <w:jc w:val="both"/>
        <w:rPr>
          <w:rFonts w:ascii="Arial" w:hAnsi="Arial" w:cs="Arial"/>
          <w:sz w:val="18"/>
          <w:szCs w:val="18"/>
        </w:rPr>
      </w:pPr>
      <w:r w:rsidRPr="005A7042">
        <w:rPr>
          <w:rStyle w:val="FootnoteReference"/>
          <w:rFonts w:ascii="Arial" w:hAnsi="Arial" w:cs="Arial"/>
          <w:sz w:val="18"/>
          <w:szCs w:val="18"/>
        </w:rPr>
        <w:footnoteRef/>
      </w:r>
      <w:r w:rsidRPr="005A7042">
        <w:rPr>
          <w:rFonts w:ascii="Arial" w:hAnsi="Arial" w:cs="Arial"/>
          <w:sz w:val="18"/>
          <w:szCs w:val="18"/>
        </w:rPr>
        <w:t xml:space="preserve"> </w:t>
      </w:r>
      <w:r>
        <w:rPr>
          <w:rFonts w:ascii="Arial" w:hAnsi="Arial" w:cs="Arial"/>
          <w:sz w:val="18"/>
          <w:szCs w:val="18"/>
        </w:rPr>
        <w:tab/>
      </w:r>
      <w:r w:rsidRPr="005A7042">
        <w:rPr>
          <w:rFonts w:ascii="Arial" w:hAnsi="Arial" w:cs="Arial"/>
          <w:sz w:val="18"/>
          <w:szCs w:val="18"/>
        </w:rPr>
        <w:t>Markov-switching regression models – Stata corporation. https://www.stata.com/manuals/tsmswitch.pdf</w:t>
      </w:r>
    </w:p>
  </w:footnote>
  <w:footnote w:id="40">
    <w:p w14:paraId="3AD71E8D" w14:textId="2D4239D6" w:rsidR="00EE18A4" w:rsidRPr="005A7042" w:rsidRDefault="00EE18A4" w:rsidP="0044387F">
      <w:pPr>
        <w:pStyle w:val="FootnoteText"/>
        <w:ind w:left="270" w:hanging="270"/>
        <w:jc w:val="both"/>
        <w:rPr>
          <w:rFonts w:ascii="Arial" w:hAnsi="Arial" w:cs="Arial"/>
          <w:sz w:val="18"/>
          <w:szCs w:val="18"/>
          <w:highlight w:val="cyan"/>
          <w:lang w:val="es-EC"/>
        </w:rPr>
      </w:pPr>
      <w:r w:rsidRPr="005A7042">
        <w:rPr>
          <w:rStyle w:val="FootnoteReference"/>
          <w:rFonts w:ascii="Arial" w:hAnsi="Arial" w:cs="Arial"/>
          <w:sz w:val="18"/>
          <w:szCs w:val="18"/>
        </w:rPr>
        <w:footnoteRef/>
      </w:r>
      <w:r w:rsidRPr="005A7042">
        <w:rPr>
          <w:rFonts w:ascii="Arial" w:hAnsi="Arial" w:cs="Arial"/>
          <w:sz w:val="18"/>
          <w:szCs w:val="18"/>
          <w:lang w:val="es-EC"/>
        </w:rPr>
        <w:t xml:space="preserve"> </w:t>
      </w:r>
      <w:r>
        <w:rPr>
          <w:rFonts w:ascii="Arial" w:hAnsi="Arial" w:cs="Arial"/>
          <w:sz w:val="18"/>
          <w:szCs w:val="18"/>
          <w:lang w:val="es-EC"/>
        </w:rPr>
        <w:tab/>
      </w:r>
      <w:r w:rsidRPr="005A7042">
        <w:rPr>
          <w:rFonts w:ascii="Arial" w:hAnsi="Arial" w:cs="Arial"/>
          <w:i/>
          <w:iCs/>
          <w:sz w:val="18"/>
          <w:szCs w:val="18"/>
          <w:lang w:val="es-ES"/>
        </w:rPr>
        <w:t xml:space="preserve">El Comercio. </w:t>
      </w:r>
      <w:r w:rsidRPr="005A7042">
        <w:rPr>
          <w:rFonts w:ascii="Arial" w:hAnsi="Arial" w:cs="Arial"/>
          <w:i/>
          <w:iCs/>
          <w:sz w:val="18"/>
          <w:szCs w:val="18"/>
          <w:lang w:val="es-EC"/>
        </w:rPr>
        <w:t xml:space="preserve">https://www.elcomercio.com/actualidad/servidores-publicos-nomina-reduccion-gasto.html. </w:t>
      </w:r>
    </w:p>
  </w:footnote>
  <w:footnote w:id="41">
    <w:p w14:paraId="5DB92958" w14:textId="0097ADAC" w:rsidR="00EE18A4" w:rsidRPr="005A7042" w:rsidRDefault="00EE18A4" w:rsidP="0044387F">
      <w:pPr>
        <w:spacing w:after="0" w:line="240" w:lineRule="auto"/>
        <w:ind w:left="270" w:hanging="270"/>
        <w:jc w:val="both"/>
        <w:rPr>
          <w:rFonts w:ascii="Arial" w:hAnsi="Arial" w:cs="Arial"/>
          <w:sz w:val="18"/>
          <w:szCs w:val="18"/>
          <w:lang w:val="es-EC"/>
        </w:rPr>
      </w:pPr>
      <w:r w:rsidRPr="005A7042">
        <w:rPr>
          <w:rStyle w:val="FootnoteReference"/>
          <w:rFonts w:ascii="Arial" w:hAnsi="Arial" w:cs="Arial"/>
          <w:sz w:val="18"/>
          <w:szCs w:val="18"/>
        </w:rPr>
        <w:footnoteRef/>
      </w:r>
      <w:r w:rsidRPr="005A7042">
        <w:rPr>
          <w:rFonts w:ascii="Arial" w:hAnsi="Arial" w:cs="Arial"/>
          <w:sz w:val="18"/>
          <w:szCs w:val="18"/>
          <w:lang w:val="es-EC"/>
        </w:rPr>
        <w:t xml:space="preserve"> </w:t>
      </w:r>
      <w:r>
        <w:rPr>
          <w:rFonts w:ascii="Arial" w:hAnsi="Arial" w:cs="Arial"/>
          <w:sz w:val="18"/>
          <w:szCs w:val="18"/>
          <w:lang w:val="es-EC"/>
        </w:rPr>
        <w:tab/>
      </w:r>
      <w:r w:rsidRPr="005A7042">
        <w:rPr>
          <w:rFonts w:ascii="Arial" w:hAnsi="Arial" w:cs="Arial"/>
          <w:sz w:val="18"/>
          <w:szCs w:val="18"/>
          <w:lang w:val="es-EC"/>
        </w:rPr>
        <w:t>El MEF estimó, en primera instancia, que el costo total de las desvinculaciones es de USD 85 millones; y, los ahorros anuales generados por dichas desvinculaciones son de USD 54 millones. Del costo total de las desvinculaciones (USD 85 millones), el BID financiaría USD 35 millones. En la reunión del 15 de mayo de 2019 con BID, se actualizaron dichas cifras. El costo total de las desvinculaciones asciende a USD 170 millones, de dicho valor, BID financiará USD 43 millones, es decir 25.3%. Considerando los USD 170 millones, se estima que el ahorro total por desvinculaciones es de USD 108 millones anuales, de los cuales, el ahorro correspondiente al financiamiento del BID es de USD 27 millones, equivalente al valor proporcional de su financiamiento, es decir 25.3%.</w:t>
      </w:r>
    </w:p>
    <w:p w14:paraId="370506CA" w14:textId="4209FD45" w:rsidR="00EE18A4" w:rsidRPr="00836E94" w:rsidRDefault="00EE18A4">
      <w:pPr>
        <w:pStyle w:val="FootnoteText"/>
        <w:rPr>
          <w:lang w:val="es-EC"/>
        </w:rPr>
      </w:pPr>
    </w:p>
  </w:footnote>
  <w:footnote w:id="42">
    <w:p w14:paraId="4745031B" w14:textId="304DF76F" w:rsidR="00EE18A4" w:rsidRPr="005A7042" w:rsidRDefault="00EE18A4" w:rsidP="0044387F">
      <w:pPr>
        <w:pStyle w:val="FootnoteText"/>
        <w:ind w:left="274" w:hanging="274"/>
        <w:contextualSpacing/>
        <w:jc w:val="both"/>
        <w:rPr>
          <w:rFonts w:ascii="Arial" w:hAnsi="Arial" w:cs="Arial"/>
          <w:sz w:val="18"/>
          <w:szCs w:val="18"/>
          <w:lang w:val="es-EC"/>
        </w:rPr>
      </w:pPr>
      <w:r w:rsidRPr="005A7042">
        <w:rPr>
          <w:rStyle w:val="FootnoteReference"/>
          <w:rFonts w:ascii="Arial" w:hAnsi="Arial" w:cs="Arial"/>
          <w:sz w:val="18"/>
          <w:szCs w:val="18"/>
        </w:rPr>
        <w:footnoteRef/>
      </w:r>
      <w:r w:rsidRPr="005A7042">
        <w:rPr>
          <w:rFonts w:ascii="Arial" w:hAnsi="Arial" w:cs="Arial"/>
          <w:sz w:val="18"/>
          <w:szCs w:val="18"/>
        </w:rPr>
        <w:t xml:space="preserve"> </w:t>
      </w:r>
      <w:r>
        <w:rPr>
          <w:rFonts w:ascii="Arial" w:hAnsi="Arial" w:cs="Arial"/>
          <w:sz w:val="18"/>
          <w:szCs w:val="18"/>
        </w:rPr>
        <w:tab/>
      </w:r>
      <w:r w:rsidRPr="005A7042">
        <w:rPr>
          <w:rFonts w:ascii="Arial" w:hAnsi="Arial" w:cs="Arial"/>
          <w:iCs/>
          <w:sz w:val="18"/>
          <w:szCs w:val="18"/>
        </w:rPr>
        <w:t xml:space="preserve">“OECD Foreign Bribery Report - An Analysis of the Crime of Bribery of Foreign Public Officials - 2014”. </w:t>
      </w:r>
      <w:r w:rsidRPr="005A7042">
        <w:rPr>
          <w:rFonts w:ascii="Arial" w:hAnsi="Arial" w:cs="Arial"/>
          <w:iCs/>
          <w:sz w:val="18"/>
          <w:szCs w:val="18"/>
          <w:lang w:val="es-EC"/>
        </w:rPr>
        <w:t>El análisis considera el período desde 1999 (entrada en vigor de la Convención Anti-Sobornos de la OECD) hasta 2014 en países tanto miembros como no miembros del G20 ACWG y del OECD WGB.</w:t>
      </w:r>
    </w:p>
  </w:footnote>
  <w:footnote w:id="43">
    <w:p w14:paraId="673D39EA" w14:textId="181136F8" w:rsidR="00EE18A4" w:rsidRPr="005A7042" w:rsidRDefault="00EE18A4" w:rsidP="0044387F">
      <w:pPr>
        <w:pStyle w:val="FootnoteText"/>
        <w:ind w:left="274" w:hanging="274"/>
        <w:contextualSpacing/>
        <w:jc w:val="both"/>
        <w:rPr>
          <w:rFonts w:ascii="Arial" w:hAnsi="Arial" w:cs="Arial"/>
          <w:sz w:val="18"/>
          <w:szCs w:val="18"/>
          <w:lang w:val="es-EC"/>
        </w:rPr>
      </w:pPr>
      <w:r w:rsidRPr="005A7042">
        <w:rPr>
          <w:rStyle w:val="FootnoteReference"/>
          <w:rFonts w:ascii="Arial" w:hAnsi="Arial" w:cs="Arial"/>
          <w:sz w:val="18"/>
          <w:szCs w:val="18"/>
        </w:rPr>
        <w:footnoteRef/>
      </w:r>
      <w:r w:rsidRPr="005A7042">
        <w:rPr>
          <w:rFonts w:ascii="Arial" w:hAnsi="Arial" w:cs="Arial"/>
          <w:sz w:val="18"/>
          <w:szCs w:val="18"/>
          <w:lang w:val="es-EC"/>
        </w:rPr>
        <w:t xml:space="preserve"> </w:t>
      </w:r>
      <w:r>
        <w:rPr>
          <w:rFonts w:ascii="Arial" w:hAnsi="Arial" w:cs="Arial"/>
          <w:iCs/>
          <w:sz w:val="18"/>
          <w:szCs w:val="18"/>
          <w:lang w:val="es-ES"/>
        </w:rPr>
        <w:tab/>
      </w:r>
      <w:r w:rsidRPr="005A7042">
        <w:rPr>
          <w:rFonts w:ascii="Arial" w:hAnsi="Arial" w:cs="Arial"/>
          <w:iCs/>
          <w:sz w:val="18"/>
          <w:szCs w:val="18"/>
          <w:lang w:val="es-ES"/>
        </w:rPr>
        <w:t>“OECD Foreign Bribery Report - An Analysis of the Crime of Bribery of Foreign Public Officials - 2014” estima el porcentaje de soborno, respecto al valor total de la transacción en diferentes industrias: Petroleras (21%); Industrias manufactureras (16%); Eléctricas (11%); Actividades profesionales, científicas y técnicas (6%); Minería (21%); Construcción (4%); Actividades de servicio deportivas (6%); Transporte -mensajería (16%); Agua (2%); Información y comunicaciones (5%); Agricultura (4%); Transporte –fluvial (16%); Transporte (terrestre) 16%; Transporte –aviación (16%); y, Educación (2%). Considerando dichos porcentajes y la cuenta de compra de bienes y servicios de cada EEPP (en función de la industria a la que pertenece) con corte 2018, se calculó el promedio ponderado (19.5%), el cual se aplica a la cuenta proyectada agregada (del BCE) de compra de bienes y servicios.</w:t>
      </w:r>
    </w:p>
  </w:footnote>
  <w:footnote w:id="44">
    <w:p w14:paraId="5A514E3A" w14:textId="67769917" w:rsidR="00EE18A4" w:rsidRPr="005A7042" w:rsidRDefault="00EE18A4" w:rsidP="0044387F">
      <w:pPr>
        <w:pStyle w:val="FootnoteText"/>
        <w:ind w:left="274" w:hanging="274"/>
        <w:contextualSpacing/>
        <w:jc w:val="both"/>
        <w:rPr>
          <w:rFonts w:ascii="Arial" w:hAnsi="Arial" w:cs="Arial"/>
          <w:sz w:val="18"/>
          <w:szCs w:val="18"/>
          <w:lang w:val="es-EC"/>
        </w:rPr>
      </w:pPr>
      <w:r w:rsidRPr="005A7042">
        <w:rPr>
          <w:rStyle w:val="FootnoteReference"/>
          <w:rFonts w:ascii="Arial" w:hAnsi="Arial" w:cs="Arial"/>
          <w:sz w:val="18"/>
          <w:szCs w:val="18"/>
        </w:rPr>
        <w:footnoteRef/>
      </w:r>
      <w:r w:rsidRPr="005A7042">
        <w:rPr>
          <w:rFonts w:ascii="Arial" w:hAnsi="Arial" w:cs="Arial"/>
          <w:sz w:val="18"/>
          <w:szCs w:val="18"/>
          <w:lang w:val="es-EC"/>
        </w:rPr>
        <w:t xml:space="preserve"> </w:t>
      </w:r>
      <w:r>
        <w:rPr>
          <w:rFonts w:ascii="Arial" w:hAnsi="Arial" w:cs="Arial"/>
          <w:sz w:val="18"/>
          <w:szCs w:val="18"/>
          <w:lang w:val="es-EC"/>
        </w:rPr>
        <w:tab/>
      </w:r>
      <w:r w:rsidRPr="005A7042">
        <w:rPr>
          <w:rFonts w:ascii="Arial" w:hAnsi="Arial" w:cs="Arial"/>
          <w:sz w:val="18"/>
          <w:szCs w:val="18"/>
          <w:lang w:val="es-EC"/>
        </w:rPr>
        <w:t xml:space="preserve">El informe considera como países emergentes (E7) a China, Brasil, India, Indonesia México, Rusia y Turquía. </w:t>
      </w:r>
    </w:p>
  </w:footnote>
  <w:footnote w:id="45">
    <w:p w14:paraId="71F1D5F1" w14:textId="4BDBEEC2" w:rsidR="00EE18A4" w:rsidRPr="005A7042" w:rsidRDefault="00EE18A4" w:rsidP="0044387F">
      <w:pPr>
        <w:pStyle w:val="FootnoteText"/>
        <w:ind w:left="274" w:hanging="274"/>
        <w:contextualSpacing/>
        <w:jc w:val="both"/>
        <w:rPr>
          <w:rFonts w:ascii="Arial" w:hAnsi="Arial" w:cs="Arial"/>
          <w:sz w:val="18"/>
          <w:szCs w:val="18"/>
          <w:lang w:val="es-EC"/>
        </w:rPr>
      </w:pPr>
      <w:r w:rsidRPr="005A7042">
        <w:rPr>
          <w:rStyle w:val="FootnoteReference"/>
          <w:rFonts w:ascii="Arial" w:hAnsi="Arial" w:cs="Arial"/>
          <w:sz w:val="18"/>
          <w:szCs w:val="18"/>
        </w:rPr>
        <w:footnoteRef/>
      </w:r>
      <w:r w:rsidRPr="005A7042">
        <w:rPr>
          <w:rFonts w:ascii="Arial" w:hAnsi="Arial" w:cs="Arial"/>
          <w:sz w:val="18"/>
          <w:szCs w:val="18"/>
          <w:lang w:val="es-EC"/>
        </w:rPr>
        <w:t xml:space="preserve"> </w:t>
      </w:r>
      <w:r>
        <w:rPr>
          <w:rFonts w:ascii="Arial" w:hAnsi="Arial" w:cs="Arial"/>
          <w:sz w:val="18"/>
          <w:szCs w:val="18"/>
          <w:lang w:val="es-EC"/>
        </w:rPr>
        <w:tab/>
      </w:r>
      <w:r w:rsidRPr="005A7042">
        <w:rPr>
          <w:rFonts w:ascii="Arial" w:hAnsi="Arial" w:cs="Arial"/>
          <w:sz w:val="18"/>
          <w:szCs w:val="18"/>
          <w:lang w:val="es-EC"/>
        </w:rPr>
        <w:t xml:space="preserve">El Índice de Percepción de la Corrupción (IPC) combina datos de una variedad de fuentes distintas que recogen las percepciones que tienen empresarios y especialistas de países sobre los niveles de corrupción en el sector público. El índice es publicado por </w:t>
      </w:r>
      <w:r w:rsidRPr="005A7042">
        <w:rPr>
          <w:rFonts w:ascii="Arial" w:hAnsi="Arial" w:cs="Arial"/>
          <w:i/>
          <w:sz w:val="18"/>
          <w:szCs w:val="18"/>
          <w:lang w:val="es-EC"/>
        </w:rPr>
        <w:t>Transparency International Organization</w:t>
      </w:r>
      <w:r w:rsidRPr="005A7042">
        <w:rPr>
          <w:rFonts w:ascii="Arial" w:hAnsi="Arial" w:cs="Arial"/>
          <w:sz w:val="18"/>
          <w:szCs w:val="18"/>
          <w:lang w:val="es-EC"/>
        </w:rPr>
        <w:t>, y su escala una escala está medida de 0 a 100, donde 0 equivale al nivel más alto de percepción de corrupción, y 100 implica el nivel más bajo.</w:t>
      </w:r>
    </w:p>
  </w:footnote>
  <w:footnote w:id="46">
    <w:p w14:paraId="38613BDC" w14:textId="4F63556D" w:rsidR="00EE18A4" w:rsidRPr="005A7042" w:rsidRDefault="00EE18A4" w:rsidP="0044387F">
      <w:pPr>
        <w:pStyle w:val="FootnoteText"/>
        <w:ind w:left="274" w:hanging="274"/>
        <w:contextualSpacing/>
        <w:jc w:val="both"/>
        <w:rPr>
          <w:rFonts w:ascii="Arial" w:hAnsi="Arial" w:cs="Arial"/>
          <w:sz w:val="18"/>
          <w:szCs w:val="18"/>
          <w:highlight w:val="yellow"/>
          <w:lang w:val="es-EC"/>
        </w:rPr>
      </w:pPr>
      <w:r w:rsidRPr="005A7042">
        <w:rPr>
          <w:rStyle w:val="FootnoteReference"/>
          <w:rFonts w:ascii="Arial" w:hAnsi="Arial" w:cs="Arial"/>
          <w:sz w:val="18"/>
          <w:szCs w:val="18"/>
        </w:rPr>
        <w:footnoteRef/>
      </w:r>
      <w:r w:rsidRPr="005A7042">
        <w:rPr>
          <w:rFonts w:ascii="Arial" w:hAnsi="Arial" w:cs="Arial"/>
          <w:sz w:val="18"/>
          <w:szCs w:val="18"/>
          <w:lang w:val="es-EC"/>
        </w:rPr>
        <w:t xml:space="preserve"> </w:t>
      </w:r>
      <w:r>
        <w:rPr>
          <w:rFonts w:ascii="Arial" w:hAnsi="Arial" w:cs="Arial"/>
          <w:sz w:val="18"/>
          <w:szCs w:val="18"/>
          <w:lang w:val="es-EC"/>
        </w:rPr>
        <w:tab/>
      </w:r>
      <w:r w:rsidRPr="005A7042">
        <w:rPr>
          <w:rFonts w:ascii="Arial" w:hAnsi="Arial" w:cs="Arial"/>
          <w:sz w:val="18"/>
          <w:szCs w:val="18"/>
          <w:lang w:val="es-EC"/>
        </w:rPr>
        <w:t>Añaden riqueza a los accionistas de las empresas.</w:t>
      </w:r>
    </w:p>
  </w:footnote>
  <w:footnote w:id="47">
    <w:p w14:paraId="0FDCB599" w14:textId="30D12558" w:rsidR="00EE18A4" w:rsidRPr="001244CE" w:rsidRDefault="00EE18A4" w:rsidP="0044387F">
      <w:pPr>
        <w:pStyle w:val="FootnoteText"/>
        <w:ind w:left="274" w:hanging="274"/>
        <w:contextualSpacing/>
        <w:jc w:val="both"/>
        <w:rPr>
          <w:lang w:val="es-EC"/>
        </w:rPr>
      </w:pPr>
      <w:r w:rsidRPr="005A7042">
        <w:rPr>
          <w:rStyle w:val="FootnoteReference"/>
          <w:rFonts w:ascii="Arial" w:hAnsi="Arial" w:cs="Arial"/>
          <w:sz w:val="18"/>
          <w:szCs w:val="18"/>
        </w:rPr>
        <w:footnoteRef/>
      </w:r>
      <w:r w:rsidRPr="005A7042">
        <w:rPr>
          <w:rFonts w:ascii="Arial" w:hAnsi="Arial" w:cs="Arial"/>
          <w:sz w:val="18"/>
          <w:szCs w:val="18"/>
          <w:lang w:val="es-EC"/>
        </w:rPr>
        <w:t xml:space="preserve"> </w:t>
      </w:r>
      <w:r>
        <w:rPr>
          <w:rFonts w:ascii="Arial" w:hAnsi="Arial" w:cs="Arial"/>
          <w:sz w:val="18"/>
          <w:szCs w:val="18"/>
          <w:lang w:val="es-EC"/>
        </w:rPr>
        <w:tab/>
      </w:r>
      <w:r w:rsidRPr="005A7042">
        <w:rPr>
          <w:rFonts w:ascii="Arial" w:hAnsi="Arial" w:cs="Arial"/>
          <w:sz w:val="18"/>
          <w:szCs w:val="18"/>
          <w:lang w:val="es-EC"/>
        </w:rPr>
        <w:t>Industria de procesamiento de alimentos, industria de computadoras y periféricos, industria de suministros médicos, industria de papel y productos forestales, industria de software y servicios informáticos, industria aeroespacial/defensa, industria de equipos eléctricos, industria petrolera, industria de maquinaria, industria electrónica, industria farmacéutica. Se considera una muestra de 264 empresas estadounidenses exitosamente fusionadas durante 1980-2004.</w:t>
      </w:r>
    </w:p>
  </w:footnote>
  <w:footnote w:id="48">
    <w:p w14:paraId="488D6659" w14:textId="4589CC1E" w:rsidR="00EE18A4" w:rsidRPr="00ED1FBF" w:rsidRDefault="00EE18A4">
      <w:pPr>
        <w:pStyle w:val="FootnoteText"/>
        <w:rPr>
          <w:rFonts w:ascii="Arial" w:hAnsi="Arial" w:cs="Arial"/>
          <w:lang w:val="es-EC"/>
        </w:rPr>
      </w:pPr>
      <w:r w:rsidRPr="00ED1FBF">
        <w:rPr>
          <w:rStyle w:val="FootnoteReference"/>
          <w:rFonts w:ascii="Arial" w:hAnsi="Arial" w:cs="Arial"/>
          <w:sz w:val="18"/>
        </w:rPr>
        <w:footnoteRef/>
      </w:r>
      <w:r w:rsidRPr="00ED1FBF">
        <w:rPr>
          <w:rFonts w:ascii="Arial" w:hAnsi="Arial" w:cs="Arial"/>
          <w:sz w:val="18"/>
          <w:lang w:val="es-EC"/>
        </w:rPr>
        <w:t xml:space="preserve"> </w:t>
      </w:r>
      <w:r>
        <w:rPr>
          <w:rFonts w:ascii="Arial" w:hAnsi="Arial" w:cs="Arial"/>
          <w:sz w:val="18"/>
          <w:lang w:val="es-EC"/>
        </w:rPr>
        <w:t xml:space="preserve">  Adicionalmente, los elementos de </w:t>
      </w:r>
      <w:r w:rsidRPr="00697E04">
        <w:rPr>
          <w:rFonts w:ascii="Arial" w:hAnsi="Arial" w:cs="Arial"/>
          <w:sz w:val="18"/>
          <w:lang w:val="es-EC"/>
        </w:rPr>
        <w:t>impuestos o poder de mercado</w:t>
      </w:r>
      <w:r>
        <w:rPr>
          <w:rFonts w:ascii="Arial" w:hAnsi="Arial" w:cs="Arial"/>
          <w:sz w:val="18"/>
          <w:lang w:val="es-EC"/>
        </w:rPr>
        <w:t xml:space="preserve"> no son considerando, debido a que el presente análisis posee perspectiva social. </w:t>
      </w:r>
    </w:p>
  </w:footnote>
  <w:footnote w:id="49">
    <w:p w14:paraId="5E27661D" w14:textId="21E239F5" w:rsidR="00EE18A4" w:rsidRPr="005A7042" w:rsidRDefault="00EE18A4" w:rsidP="0044387F">
      <w:pPr>
        <w:pStyle w:val="FootnoteText"/>
        <w:ind w:left="270" w:hanging="270"/>
        <w:jc w:val="both"/>
        <w:rPr>
          <w:rFonts w:ascii="Arial" w:hAnsi="Arial" w:cs="Arial"/>
          <w:sz w:val="18"/>
          <w:szCs w:val="18"/>
          <w:lang w:val="es-EC"/>
        </w:rPr>
      </w:pPr>
      <w:r w:rsidRPr="005A7042">
        <w:rPr>
          <w:rStyle w:val="FootnoteReference"/>
          <w:rFonts w:ascii="Arial" w:hAnsi="Arial" w:cs="Arial"/>
          <w:sz w:val="18"/>
          <w:szCs w:val="18"/>
        </w:rPr>
        <w:footnoteRef/>
      </w:r>
      <w:r w:rsidRPr="005A7042">
        <w:rPr>
          <w:rFonts w:ascii="Arial" w:hAnsi="Arial" w:cs="Arial"/>
          <w:sz w:val="18"/>
          <w:szCs w:val="18"/>
          <w:lang w:val="es-EC"/>
        </w:rPr>
        <w:t xml:space="preserve"> </w:t>
      </w:r>
      <w:r>
        <w:rPr>
          <w:rFonts w:ascii="Arial" w:hAnsi="Arial" w:cs="Arial"/>
          <w:sz w:val="18"/>
          <w:szCs w:val="18"/>
          <w:lang w:val="es-EC"/>
        </w:rPr>
        <w:tab/>
      </w:r>
      <w:r w:rsidRPr="005A7042">
        <w:rPr>
          <w:rFonts w:ascii="Arial" w:hAnsi="Arial" w:cs="Arial"/>
          <w:sz w:val="18"/>
          <w:szCs w:val="18"/>
          <w:lang w:val="es-EC"/>
        </w:rPr>
        <w:t>Considerando que el cálculo del promedio puede ser influenciado por valores atípicos (máximos o mínimos) se toma en cuenta la mediana.</w:t>
      </w:r>
    </w:p>
  </w:footnote>
  <w:footnote w:id="50">
    <w:p w14:paraId="2274790A" w14:textId="7ED63F19" w:rsidR="00EE18A4" w:rsidRPr="005A7042" w:rsidRDefault="00EE18A4" w:rsidP="0044387F">
      <w:pPr>
        <w:pStyle w:val="FootnoteText"/>
        <w:ind w:left="270" w:hanging="270"/>
        <w:jc w:val="both"/>
        <w:rPr>
          <w:rFonts w:ascii="Arial" w:hAnsi="Arial" w:cs="Arial"/>
          <w:sz w:val="18"/>
          <w:szCs w:val="18"/>
          <w:lang w:val="es-EC"/>
        </w:rPr>
      </w:pPr>
      <w:r w:rsidRPr="005A7042">
        <w:rPr>
          <w:rStyle w:val="FootnoteReference"/>
          <w:rFonts w:ascii="Arial" w:hAnsi="Arial" w:cs="Arial"/>
          <w:sz w:val="18"/>
          <w:szCs w:val="18"/>
        </w:rPr>
        <w:footnoteRef/>
      </w:r>
      <w:r w:rsidRPr="005A7042">
        <w:rPr>
          <w:rFonts w:ascii="Arial" w:hAnsi="Arial" w:cs="Arial"/>
          <w:sz w:val="18"/>
          <w:szCs w:val="18"/>
          <w:lang w:val="es-EC"/>
        </w:rPr>
        <w:t xml:space="preserve"> </w:t>
      </w:r>
      <w:r>
        <w:rPr>
          <w:rFonts w:ascii="Arial" w:hAnsi="Arial" w:cs="Arial"/>
          <w:sz w:val="18"/>
          <w:szCs w:val="18"/>
          <w:lang w:val="es-EC"/>
        </w:rPr>
        <w:tab/>
      </w:r>
      <w:r w:rsidRPr="005A7042">
        <w:rPr>
          <w:rFonts w:ascii="Arial" w:hAnsi="Arial" w:cs="Arial"/>
          <w:sz w:val="18"/>
          <w:szCs w:val="18"/>
          <w:lang w:val="es-EC"/>
        </w:rPr>
        <w:t>En PPP actuales (EE.UU- = 1). El indicador se lo obtiene de “The Penn World Table (PWT)”. Se considera valor del año 2017, último valor disponible.</w:t>
      </w:r>
    </w:p>
  </w:footnote>
  <w:footnote w:id="51">
    <w:p w14:paraId="32E3B308" w14:textId="7C3F8CC7" w:rsidR="00EE18A4" w:rsidRPr="005A7042" w:rsidRDefault="00EE18A4" w:rsidP="0044387F">
      <w:pPr>
        <w:pStyle w:val="FootnoteText"/>
        <w:ind w:left="270" w:hanging="270"/>
        <w:jc w:val="both"/>
        <w:rPr>
          <w:rFonts w:ascii="Arial" w:hAnsi="Arial" w:cs="Arial"/>
          <w:sz w:val="18"/>
          <w:szCs w:val="18"/>
          <w:lang w:val="es-EC"/>
        </w:rPr>
      </w:pPr>
      <w:r w:rsidRPr="005A7042">
        <w:rPr>
          <w:rStyle w:val="FootnoteReference"/>
          <w:rFonts w:ascii="Arial" w:hAnsi="Arial" w:cs="Arial"/>
          <w:sz w:val="18"/>
          <w:szCs w:val="18"/>
        </w:rPr>
        <w:footnoteRef/>
      </w:r>
      <w:r w:rsidRPr="005A7042">
        <w:rPr>
          <w:rFonts w:ascii="Arial" w:hAnsi="Arial" w:cs="Arial"/>
          <w:sz w:val="18"/>
          <w:szCs w:val="18"/>
          <w:lang w:val="es-EC"/>
        </w:rPr>
        <w:t xml:space="preserve"> </w:t>
      </w:r>
      <w:r>
        <w:rPr>
          <w:rFonts w:ascii="Arial" w:hAnsi="Arial" w:cs="Arial"/>
          <w:sz w:val="18"/>
          <w:szCs w:val="18"/>
          <w:lang w:val="es-EC"/>
        </w:rPr>
        <w:tab/>
      </w:r>
      <w:r w:rsidRPr="005A7042">
        <w:rPr>
          <w:rFonts w:ascii="Arial" w:hAnsi="Arial" w:cs="Arial"/>
          <w:sz w:val="18"/>
          <w:szCs w:val="18"/>
          <w:lang w:val="es-EC"/>
        </w:rPr>
        <w:t>El monto de ahorro es proporcional al costo de compensaciones cubierto por el BID.</w:t>
      </w:r>
    </w:p>
  </w:footnote>
  <w:footnote w:id="52">
    <w:p w14:paraId="11F09397" w14:textId="497FCE4C" w:rsidR="00EE18A4" w:rsidRPr="001B204E" w:rsidRDefault="00EE18A4" w:rsidP="0044387F">
      <w:pPr>
        <w:pStyle w:val="FootnoteText"/>
        <w:ind w:left="270" w:hanging="270"/>
        <w:jc w:val="both"/>
        <w:rPr>
          <w:lang w:val="es-EC"/>
        </w:rPr>
      </w:pPr>
      <w:r w:rsidRPr="005A7042">
        <w:rPr>
          <w:rStyle w:val="FootnoteReference"/>
          <w:rFonts w:ascii="Arial" w:hAnsi="Arial" w:cs="Arial"/>
          <w:sz w:val="18"/>
          <w:szCs w:val="18"/>
        </w:rPr>
        <w:footnoteRef/>
      </w:r>
      <w:r w:rsidRPr="005A7042">
        <w:rPr>
          <w:rFonts w:ascii="Arial" w:hAnsi="Arial" w:cs="Arial"/>
          <w:sz w:val="18"/>
          <w:szCs w:val="18"/>
          <w:lang w:val="es-EC"/>
        </w:rPr>
        <w:t xml:space="preserve"> </w:t>
      </w:r>
      <w:r>
        <w:rPr>
          <w:rFonts w:ascii="Arial" w:hAnsi="Arial" w:cs="Arial"/>
          <w:sz w:val="18"/>
          <w:szCs w:val="18"/>
          <w:lang w:val="es-EC"/>
        </w:rPr>
        <w:tab/>
      </w:r>
      <w:r w:rsidRPr="005A7042">
        <w:rPr>
          <w:rFonts w:ascii="Arial" w:hAnsi="Arial" w:cs="Arial"/>
          <w:sz w:val="18"/>
          <w:szCs w:val="18"/>
          <w:lang w:val="es-EC"/>
        </w:rPr>
        <w:t>Según la Encuesta Nacional de Empleo, Desempleo y Subempleo-ENEMDU a diciembre de 2018, de 627 mil personas que trabajan en el sector público (como actividad principal), 380 mil personas poseen mano de obra calificada, lo que corresponde al 61%. El restante (247 mil) posee mano de obra no calificada.</w:t>
      </w:r>
      <w:r>
        <w:rPr>
          <w:lang w:val="es-EC"/>
        </w:rPr>
        <w:t xml:space="preserve"> </w:t>
      </w:r>
    </w:p>
  </w:footnote>
  <w:footnote w:id="53">
    <w:p w14:paraId="6457F865" w14:textId="471A1A91" w:rsidR="00EE18A4" w:rsidRPr="005A7042" w:rsidRDefault="00EE18A4" w:rsidP="0070004D">
      <w:pPr>
        <w:pStyle w:val="FootnoteText"/>
        <w:ind w:left="270" w:hanging="270"/>
        <w:jc w:val="both"/>
        <w:rPr>
          <w:rFonts w:ascii="Arial" w:hAnsi="Arial" w:cs="Arial"/>
          <w:sz w:val="18"/>
          <w:szCs w:val="18"/>
          <w:lang w:val="es-EC"/>
        </w:rPr>
      </w:pPr>
      <w:r w:rsidRPr="005A7042">
        <w:rPr>
          <w:rStyle w:val="FootnoteReference"/>
          <w:rFonts w:ascii="Arial" w:hAnsi="Arial" w:cs="Arial"/>
          <w:sz w:val="18"/>
          <w:szCs w:val="18"/>
        </w:rPr>
        <w:footnoteRef/>
      </w:r>
      <w:r w:rsidRPr="005A7042">
        <w:rPr>
          <w:rFonts w:ascii="Arial" w:hAnsi="Arial" w:cs="Arial"/>
          <w:sz w:val="18"/>
          <w:szCs w:val="18"/>
          <w:lang w:val="es-EC"/>
        </w:rPr>
        <w:t xml:space="preserve"> </w:t>
      </w:r>
      <w:r>
        <w:rPr>
          <w:rFonts w:ascii="Arial" w:hAnsi="Arial" w:cs="Arial"/>
          <w:sz w:val="18"/>
          <w:szCs w:val="18"/>
          <w:lang w:val="es-EC"/>
        </w:rPr>
        <w:tab/>
      </w:r>
      <w:r w:rsidRPr="005A7042">
        <w:rPr>
          <w:rFonts w:ascii="Arial" w:hAnsi="Arial" w:cs="Arial"/>
          <w:sz w:val="18"/>
          <w:szCs w:val="18"/>
          <w:lang w:val="es-ES_tradnl"/>
        </w:rPr>
        <w:t>Fusión de las petroleras, optimización de CELEC, CNEL, consultorías para TAME, estrategias de comunicación</w:t>
      </w:r>
    </w:p>
  </w:footnote>
  <w:footnote w:id="54">
    <w:p w14:paraId="1DE12744" w14:textId="39FC5ADE" w:rsidR="00EE18A4" w:rsidRPr="00E9475C" w:rsidRDefault="00EE18A4" w:rsidP="00E9475C">
      <w:pPr>
        <w:pStyle w:val="FootnoteText"/>
        <w:ind w:left="270" w:hanging="270"/>
        <w:jc w:val="both"/>
        <w:rPr>
          <w:rFonts w:ascii="Arial" w:hAnsi="Arial" w:cs="Arial"/>
          <w:sz w:val="18"/>
          <w:szCs w:val="18"/>
          <w:lang w:val="es-EC"/>
        </w:rPr>
      </w:pPr>
      <w:r w:rsidRPr="00E9475C">
        <w:rPr>
          <w:rStyle w:val="FootnoteReference"/>
          <w:rFonts w:ascii="Arial" w:hAnsi="Arial" w:cs="Arial"/>
          <w:sz w:val="18"/>
          <w:szCs w:val="18"/>
        </w:rPr>
        <w:footnoteRef/>
      </w:r>
      <w:r w:rsidRPr="00E9475C">
        <w:rPr>
          <w:rFonts w:ascii="Arial" w:hAnsi="Arial" w:cs="Arial"/>
          <w:sz w:val="18"/>
          <w:szCs w:val="18"/>
          <w:lang w:val="es-EC"/>
        </w:rPr>
        <w:t xml:space="preserve"> </w:t>
      </w:r>
      <w:r>
        <w:rPr>
          <w:rFonts w:ascii="Arial" w:hAnsi="Arial" w:cs="Arial"/>
          <w:sz w:val="18"/>
          <w:szCs w:val="18"/>
          <w:lang w:val="es-EC"/>
        </w:rPr>
        <w:tab/>
      </w:r>
      <w:r w:rsidRPr="00E9475C">
        <w:rPr>
          <w:rFonts w:ascii="Arial" w:hAnsi="Arial" w:cs="Arial"/>
          <w:sz w:val="18"/>
          <w:szCs w:val="18"/>
          <w:lang w:val="es-EC"/>
        </w:rPr>
        <w:t>La metodología utilizada para calcular los Precios de eficiencia fue tomada del documento: Programa de mejora de la capacidad fiscal para la Inversión Pública. Análisis Económico del Proyecto (EC-L1230) (Cracel, Gomez, &amp; Calvo).</w:t>
      </w:r>
    </w:p>
  </w:footnote>
  <w:footnote w:id="55">
    <w:p w14:paraId="61AC16BF" w14:textId="42633D09" w:rsidR="00EE18A4" w:rsidRPr="00C345AA" w:rsidRDefault="00EE18A4" w:rsidP="000C12A9">
      <w:pPr>
        <w:pStyle w:val="FootnoteText"/>
        <w:ind w:left="270" w:hanging="270"/>
        <w:jc w:val="both"/>
        <w:rPr>
          <w:rFonts w:ascii="Arial" w:hAnsi="Arial" w:cs="Arial"/>
          <w:sz w:val="18"/>
          <w:szCs w:val="18"/>
          <w:lang w:val="es-ES"/>
        </w:rPr>
      </w:pPr>
      <w:r w:rsidRPr="00C345AA">
        <w:rPr>
          <w:rStyle w:val="FootnoteReference"/>
          <w:rFonts w:ascii="Arial" w:hAnsi="Arial" w:cs="Arial"/>
          <w:sz w:val="18"/>
          <w:szCs w:val="18"/>
        </w:rPr>
        <w:footnoteRef/>
      </w:r>
      <w:r w:rsidRPr="00C345AA">
        <w:rPr>
          <w:rFonts w:ascii="Arial" w:hAnsi="Arial" w:cs="Arial"/>
          <w:sz w:val="18"/>
          <w:szCs w:val="18"/>
          <w:lang w:val="es-ES"/>
        </w:rPr>
        <w:t xml:space="preserve"> </w:t>
      </w:r>
      <w:r>
        <w:rPr>
          <w:rFonts w:ascii="Arial" w:hAnsi="Arial" w:cs="Arial"/>
          <w:sz w:val="18"/>
          <w:szCs w:val="18"/>
          <w:lang w:val="es-ES"/>
        </w:rPr>
        <w:tab/>
      </w:r>
      <w:r w:rsidRPr="00C345AA">
        <w:rPr>
          <w:rFonts w:ascii="Arial" w:hAnsi="Arial" w:cs="Arial"/>
          <w:sz w:val="18"/>
          <w:szCs w:val="18"/>
          <w:lang w:val="es-ES"/>
        </w:rPr>
        <w:t xml:space="preserve">La expresión presupone que la mano de obra al proyecto proviene según la proporción actual de empleados en otras actividades (al mismo salario) y los desempleados para los cuales el costo de oportunidad es cero </w:t>
      </w:r>
      <w:sdt>
        <w:sdtPr>
          <w:rPr>
            <w:rFonts w:ascii="Arial" w:hAnsi="Arial" w:cs="Arial"/>
            <w:sz w:val="18"/>
            <w:szCs w:val="18"/>
            <w:lang w:val="es-ES"/>
          </w:rPr>
          <w:id w:val="1636673314"/>
          <w:citation/>
        </w:sdtPr>
        <w:sdtEndPr/>
        <w:sdtContent>
          <w:r w:rsidRPr="00C345AA">
            <w:rPr>
              <w:rFonts w:ascii="Arial" w:hAnsi="Arial" w:cs="Arial"/>
              <w:sz w:val="18"/>
              <w:szCs w:val="18"/>
              <w:lang w:val="es-ES"/>
            </w:rPr>
            <w:fldChar w:fldCharType="begin"/>
          </w:r>
          <w:r w:rsidRPr="00C345AA">
            <w:rPr>
              <w:rFonts w:ascii="Arial" w:hAnsi="Arial" w:cs="Arial"/>
              <w:sz w:val="18"/>
              <w:szCs w:val="18"/>
              <w:lang w:val="es-EC"/>
            </w:rPr>
            <w:instrText xml:space="preserve"> CITATION Cra \l 12298 </w:instrText>
          </w:r>
          <w:r w:rsidRPr="00C345AA">
            <w:rPr>
              <w:rFonts w:ascii="Arial" w:hAnsi="Arial" w:cs="Arial"/>
              <w:sz w:val="18"/>
              <w:szCs w:val="18"/>
              <w:lang w:val="es-ES"/>
            </w:rPr>
            <w:fldChar w:fldCharType="separate"/>
          </w:r>
          <w:r w:rsidRPr="00C345AA">
            <w:rPr>
              <w:rFonts w:ascii="Arial" w:hAnsi="Arial" w:cs="Arial"/>
              <w:noProof/>
              <w:sz w:val="18"/>
              <w:szCs w:val="18"/>
              <w:lang w:val="es-EC"/>
            </w:rPr>
            <w:t>(Cracel, Gomez, &amp; Calvo)</w:t>
          </w:r>
          <w:r w:rsidRPr="00C345AA">
            <w:rPr>
              <w:rFonts w:ascii="Arial" w:hAnsi="Arial" w:cs="Arial"/>
              <w:sz w:val="18"/>
              <w:szCs w:val="18"/>
              <w:lang w:val="es-ES"/>
            </w:rPr>
            <w:fldChar w:fldCharType="end"/>
          </w:r>
        </w:sdtContent>
      </w:sdt>
      <w:r w:rsidRPr="00C345AA">
        <w:rPr>
          <w:rFonts w:ascii="Arial" w:hAnsi="Arial" w:cs="Arial"/>
          <w:sz w:val="18"/>
          <w:szCs w:val="18"/>
          <w:lang w:val="es-ES"/>
        </w:rPr>
        <w:t xml:space="preserve">. </w:t>
      </w:r>
    </w:p>
  </w:footnote>
  <w:footnote w:id="56">
    <w:p w14:paraId="21F17C53" w14:textId="229428E7" w:rsidR="00EE18A4" w:rsidRPr="00CB2C9C" w:rsidRDefault="00EE18A4" w:rsidP="00C345AA">
      <w:pPr>
        <w:pStyle w:val="FootnoteText"/>
        <w:ind w:left="274" w:hanging="274"/>
        <w:contextualSpacing/>
        <w:jc w:val="both"/>
        <w:rPr>
          <w:rFonts w:ascii="Arial" w:hAnsi="Arial" w:cs="Arial"/>
          <w:sz w:val="18"/>
          <w:szCs w:val="18"/>
          <w:lang w:val="es-EC"/>
        </w:rPr>
      </w:pPr>
      <w:r w:rsidRPr="00CB2C9C">
        <w:rPr>
          <w:rStyle w:val="FootnoteReference"/>
          <w:rFonts w:ascii="Arial" w:hAnsi="Arial" w:cs="Arial"/>
          <w:sz w:val="18"/>
          <w:szCs w:val="18"/>
        </w:rPr>
        <w:footnoteRef/>
      </w:r>
      <w:r w:rsidRPr="00CB2C9C">
        <w:rPr>
          <w:rFonts w:ascii="Arial" w:hAnsi="Arial" w:cs="Arial"/>
          <w:sz w:val="18"/>
          <w:szCs w:val="18"/>
          <w:lang w:val="es-EC"/>
        </w:rPr>
        <w:t xml:space="preserve"> </w:t>
      </w:r>
      <w:r>
        <w:rPr>
          <w:rFonts w:ascii="Arial" w:hAnsi="Arial" w:cs="Arial"/>
          <w:sz w:val="18"/>
          <w:szCs w:val="18"/>
          <w:lang w:val="es-EC"/>
        </w:rPr>
        <w:tab/>
      </w:r>
      <w:r w:rsidRPr="00CB2C9C">
        <w:rPr>
          <w:rFonts w:ascii="Arial" w:hAnsi="Arial" w:cs="Arial"/>
          <w:sz w:val="18"/>
          <w:szCs w:val="18"/>
          <w:lang w:val="es-EC"/>
        </w:rPr>
        <w:t>La Tasa de desempleo de la mano de obra no calificada de Ecuador se estima en 0.0349, según información de la Encuesta Nacional de Empleo, Desempleo y Subempleo (ENEMDU), diciembre de 2018. Se asume que la mano de obra no calificada no registra un título de nivel superior (universitario o no universitario) o de postgrado.</w:t>
      </w:r>
    </w:p>
  </w:footnote>
  <w:footnote w:id="57">
    <w:p w14:paraId="13C14708" w14:textId="63B48C43" w:rsidR="00EE18A4" w:rsidRPr="00A76B57" w:rsidRDefault="00EE18A4" w:rsidP="00C345AA">
      <w:pPr>
        <w:pStyle w:val="FootnoteText"/>
        <w:ind w:left="274" w:hanging="274"/>
        <w:contextualSpacing/>
        <w:rPr>
          <w:lang w:val="es-EC"/>
        </w:rPr>
      </w:pPr>
      <w:r w:rsidRPr="00CB2C9C">
        <w:rPr>
          <w:rStyle w:val="FootnoteReference"/>
          <w:rFonts w:ascii="Arial" w:hAnsi="Arial" w:cs="Arial"/>
          <w:sz w:val="18"/>
          <w:szCs w:val="18"/>
        </w:rPr>
        <w:footnoteRef/>
      </w:r>
      <w:r w:rsidRPr="00CB2C9C">
        <w:rPr>
          <w:rFonts w:ascii="Arial" w:hAnsi="Arial" w:cs="Arial"/>
          <w:sz w:val="18"/>
          <w:szCs w:val="18"/>
          <w:lang w:val="es-EC"/>
        </w:rPr>
        <w:t xml:space="preserve"> </w:t>
      </w:r>
      <w:r>
        <w:rPr>
          <w:rFonts w:ascii="Arial" w:hAnsi="Arial" w:cs="Arial"/>
          <w:sz w:val="18"/>
          <w:szCs w:val="18"/>
          <w:lang w:val="es-EC"/>
        </w:rPr>
        <w:tab/>
      </w:r>
      <w:r w:rsidRPr="00CB2C9C">
        <w:rPr>
          <w:rFonts w:ascii="Arial" w:hAnsi="Arial" w:cs="Arial"/>
          <w:sz w:val="18"/>
          <w:szCs w:val="18"/>
          <w:lang w:val="es-EC"/>
        </w:rPr>
        <w:t>Como actividad económica principal. Se asume como mano de obra calificada a aquellas personas con estudios de tercer nivel o superior que hayan obtenido un título.</w:t>
      </w:r>
      <w:r>
        <w:rPr>
          <w:lang w:val="es-EC"/>
        </w:rPr>
        <w:t xml:space="preserve"> </w:t>
      </w:r>
    </w:p>
  </w:footnote>
  <w:footnote w:id="58">
    <w:p w14:paraId="483B34F3" w14:textId="46C935DD" w:rsidR="00EE18A4" w:rsidRPr="00CB2C9C" w:rsidRDefault="00EE18A4" w:rsidP="00C345AA">
      <w:pPr>
        <w:spacing w:after="0" w:line="240" w:lineRule="auto"/>
        <w:ind w:left="270" w:hanging="270"/>
        <w:jc w:val="both"/>
        <w:rPr>
          <w:rFonts w:ascii="Arial" w:hAnsi="Arial" w:cs="Arial"/>
          <w:sz w:val="18"/>
          <w:szCs w:val="18"/>
          <w:lang w:val="es-ES_tradnl"/>
        </w:rPr>
      </w:pPr>
      <w:r w:rsidRPr="00CB2C9C">
        <w:rPr>
          <w:rStyle w:val="FootnoteReference"/>
          <w:rFonts w:ascii="Arial" w:hAnsi="Arial" w:cs="Arial"/>
          <w:sz w:val="18"/>
          <w:szCs w:val="18"/>
        </w:rPr>
        <w:footnoteRef/>
      </w:r>
      <w:r w:rsidRPr="00CB2C9C">
        <w:rPr>
          <w:rFonts w:ascii="Arial" w:hAnsi="Arial" w:cs="Arial"/>
          <w:sz w:val="18"/>
          <w:szCs w:val="18"/>
          <w:lang w:val="es-EC"/>
        </w:rPr>
        <w:t xml:space="preserve"> </w:t>
      </w:r>
      <w:r>
        <w:rPr>
          <w:rFonts w:ascii="Arial" w:hAnsi="Arial" w:cs="Arial"/>
          <w:sz w:val="18"/>
          <w:szCs w:val="18"/>
          <w:lang w:val="es-EC"/>
        </w:rPr>
        <w:tab/>
      </w:r>
      <w:r w:rsidRPr="00CB2C9C">
        <w:rPr>
          <w:rFonts w:ascii="Arial" w:hAnsi="Arial" w:cs="Arial"/>
          <w:sz w:val="18"/>
          <w:szCs w:val="18"/>
          <w:lang w:val="es-ES"/>
        </w:rPr>
        <w:t xml:space="preserve">Uno de los rubros considerados en los costos del programa son los costos de compensación y liquidación por las desvinculaciones de personal en las EEPP En este sentido, el Banco Interamericano de Desarrollo cubrirá los montos de compensaciones de la desvinculación; mientras que, el Ministerio de Economía y Finanzas MEF cubrirá los valores de liquidación. El escenario desarrollado en el cuerpo del documento toma en cuenta, entre los costos del programa, únicamente a los valores de las compensaciones cubiertos por el BID. El presente escenario, considera los costos totales asociados a las desvinculaciones, es decir, las compensaciones (cubiertas por BID) y la liquidación (cubiertas por MEF). Similarmente, en los beneficios, el escenario de la tabla 1 (presentado en el cuerpo del documento) considera, </w:t>
      </w:r>
      <w:r w:rsidRPr="00CB2C9C">
        <w:rPr>
          <w:rFonts w:ascii="Arial" w:hAnsi="Arial" w:cs="Arial"/>
          <w:b/>
          <w:sz w:val="18"/>
          <w:szCs w:val="18"/>
          <w:lang w:val="es-ES"/>
        </w:rPr>
        <w:t>de manera proporcional</w:t>
      </w:r>
      <w:r w:rsidRPr="00CB2C9C">
        <w:rPr>
          <w:rFonts w:ascii="Arial" w:hAnsi="Arial" w:cs="Arial"/>
          <w:sz w:val="18"/>
          <w:szCs w:val="18"/>
          <w:lang w:val="es-ES"/>
        </w:rPr>
        <w:t>, los ahorros por desvinculación del personal de EEPP asociados al valor cubierto por BID; mientras que, el presente escenario (Anexo II) toma en cuenta el ahorro total de las desvinculaciones asociadas a los valores cubiertos por BID y MEF.</w:t>
      </w:r>
    </w:p>
    <w:p w14:paraId="226B1BFB" w14:textId="77777777" w:rsidR="00EE18A4" w:rsidRPr="00753CF1" w:rsidRDefault="00EE18A4">
      <w:pPr>
        <w:pStyle w:val="FootnoteText"/>
        <w:rPr>
          <w:lang w:val="es-ES_tradnl"/>
        </w:rPr>
      </w:pPr>
    </w:p>
  </w:footnote>
  <w:footnote w:id="59">
    <w:p w14:paraId="021D2D86" w14:textId="3C21EC5C" w:rsidR="00EE18A4" w:rsidRPr="00CB2C9C" w:rsidRDefault="00EE18A4" w:rsidP="00C345AA">
      <w:pPr>
        <w:pStyle w:val="FootnoteText"/>
        <w:ind w:left="270" w:hanging="270"/>
        <w:jc w:val="both"/>
        <w:rPr>
          <w:rFonts w:ascii="Arial" w:hAnsi="Arial" w:cs="Arial"/>
          <w:sz w:val="18"/>
          <w:szCs w:val="18"/>
          <w:lang w:val="es-EC"/>
        </w:rPr>
      </w:pPr>
      <w:r w:rsidRPr="00CB2C9C">
        <w:rPr>
          <w:rStyle w:val="FootnoteReference"/>
          <w:rFonts w:ascii="Arial" w:hAnsi="Arial" w:cs="Arial"/>
          <w:sz w:val="18"/>
          <w:szCs w:val="18"/>
        </w:rPr>
        <w:footnoteRef/>
      </w:r>
      <w:r w:rsidRPr="00CB2C9C">
        <w:rPr>
          <w:rFonts w:ascii="Arial" w:hAnsi="Arial" w:cs="Arial"/>
          <w:sz w:val="18"/>
          <w:szCs w:val="18"/>
          <w:lang w:val="es-EC"/>
        </w:rPr>
        <w:t xml:space="preserve"> </w:t>
      </w:r>
      <w:r>
        <w:rPr>
          <w:rFonts w:ascii="Arial" w:hAnsi="Arial" w:cs="Arial"/>
          <w:sz w:val="18"/>
          <w:szCs w:val="18"/>
          <w:lang w:val="es-EC"/>
        </w:rPr>
        <w:tab/>
      </w:r>
      <w:r w:rsidRPr="00CB2C9C">
        <w:rPr>
          <w:rFonts w:ascii="Arial" w:hAnsi="Arial" w:cs="Arial"/>
          <w:sz w:val="18"/>
          <w:szCs w:val="18"/>
          <w:lang w:val="es-ES_tradnl"/>
        </w:rPr>
        <w:t>Fusión de las petroleras, optimización de CELEC, CNEL, consultorías para TAME, estrategias de comunicación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683024" w14:textId="77777777" w:rsidR="00EE18A4" w:rsidRDefault="00EE18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EBEE6B" w14:textId="77777777" w:rsidR="00EE18A4" w:rsidRDefault="008E5945">
    <w:pPr>
      <w:pStyle w:val="Header"/>
      <w:ind w:left="900"/>
      <w:jc w:val="center"/>
      <w:rPr>
        <w:rFonts w:ascii="Arial" w:hAnsi="Arial" w:cs="Arial"/>
        <w:sz w:val="18"/>
        <w:szCs w:val="18"/>
      </w:rPr>
    </w:pPr>
    <w:sdt>
      <w:sdtPr>
        <w:rPr>
          <w:rFonts w:ascii="Arial" w:hAnsi="Arial" w:cs="Arial"/>
          <w:sz w:val="18"/>
          <w:szCs w:val="18"/>
        </w:rPr>
        <w:id w:val="1415447330"/>
        <w:docPartObj>
          <w:docPartGallery w:val="Page Numbers (Top of Page)"/>
          <w:docPartUnique/>
        </w:docPartObj>
      </w:sdtPr>
      <w:sdtEndPr>
        <w:rPr>
          <w:noProof/>
        </w:rPr>
      </w:sdtEndPr>
      <w:sdtContent>
        <w:r w:rsidR="00EE18A4">
          <w:rPr>
            <w:rFonts w:ascii="Arial" w:hAnsi="Arial" w:cs="Arial"/>
            <w:sz w:val="18"/>
            <w:szCs w:val="18"/>
          </w:rPr>
          <w:t xml:space="preserve">- </w:t>
        </w:r>
        <w:r w:rsidR="00EE18A4">
          <w:rPr>
            <w:rFonts w:ascii="Arial" w:hAnsi="Arial" w:cs="Arial"/>
            <w:sz w:val="18"/>
            <w:szCs w:val="18"/>
          </w:rPr>
          <w:fldChar w:fldCharType="begin"/>
        </w:r>
        <w:r w:rsidR="00EE18A4">
          <w:rPr>
            <w:rFonts w:ascii="Arial" w:hAnsi="Arial" w:cs="Arial"/>
            <w:sz w:val="18"/>
            <w:szCs w:val="18"/>
          </w:rPr>
          <w:instrText xml:space="preserve"> PAGE   \* MERGEFORMAT </w:instrText>
        </w:r>
        <w:r w:rsidR="00EE18A4">
          <w:rPr>
            <w:rFonts w:ascii="Arial" w:hAnsi="Arial" w:cs="Arial"/>
            <w:sz w:val="18"/>
            <w:szCs w:val="18"/>
          </w:rPr>
          <w:fldChar w:fldCharType="separate"/>
        </w:r>
        <w:r w:rsidR="00EE18A4">
          <w:rPr>
            <w:rFonts w:ascii="Arial" w:hAnsi="Arial" w:cs="Arial"/>
            <w:noProof/>
            <w:sz w:val="18"/>
            <w:szCs w:val="18"/>
          </w:rPr>
          <w:t>36</w:t>
        </w:r>
        <w:r w:rsidR="00EE18A4">
          <w:rPr>
            <w:rFonts w:ascii="Arial" w:hAnsi="Arial" w:cs="Arial"/>
            <w:noProof/>
            <w:sz w:val="18"/>
            <w:szCs w:val="18"/>
          </w:rPr>
          <w:fldChar w:fldCharType="end"/>
        </w:r>
        <w:r w:rsidR="00EE18A4">
          <w:rPr>
            <w:rFonts w:ascii="Arial" w:hAnsi="Arial" w:cs="Arial"/>
            <w:noProof/>
            <w:sz w:val="18"/>
            <w:szCs w:val="18"/>
          </w:rPr>
          <w:t xml:space="preserve"> -</w:t>
        </w:r>
      </w:sdtContent>
    </w:sdt>
  </w:p>
  <w:p w14:paraId="0126423C" w14:textId="77777777" w:rsidR="00EE18A4" w:rsidRDefault="00EE18A4">
    <w:pPr>
      <w:pStyle w:val="Header"/>
      <w:rPr>
        <w:rFonts w:ascii="Arial" w:hAnsi="Arial" w:cs="Arial"/>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247AC6" w14:textId="77777777" w:rsidR="00EE18A4" w:rsidRDefault="00EE18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1E66D2"/>
    <w:multiLevelType w:val="hybridMultilevel"/>
    <w:tmpl w:val="A7DE62C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80B23C0"/>
    <w:multiLevelType w:val="multilevel"/>
    <w:tmpl w:val="4FC6DC7C"/>
    <w:lvl w:ilvl="0">
      <w:start w:val="1"/>
      <w:numFmt w:val="upperRoman"/>
      <w:lvlText w:val="%1."/>
      <w:lvlJc w:val="center"/>
      <w:pPr>
        <w:tabs>
          <w:tab w:val="num" w:pos="1800"/>
        </w:tabs>
        <w:ind w:left="1152" w:firstLine="288"/>
      </w:pPr>
      <w:rPr>
        <w:b/>
        <w:i w:val="0"/>
      </w:rPr>
    </w:lvl>
    <w:lvl w:ilvl="1">
      <w:start w:val="1"/>
      <w:numFmt w:val="decimal"/>
      <w:isLgl/>
      <w:lvlText w:val="%1.%2"/>
      <w:lvlJc w:val="left"/>
      <w:pPr>
        <w:tabs>
          <w:tab w:val="num" w:pos="1296"/>
        </w:tabs>
        <w:ind w:left="1296" w:hanging="1296"/>
      </w:pPr>
      <w:rPr>
        <w:rFonts w:ascii="Arial" w:hAnsi="Arial" w:cs="Arial" w:hint="default"/>
        <w:b w:val="0"/>
        <w:sz w:val="22"/>
        <w:szCs w:val="22"/>
      </w:rPr>
    </w:lvl>
    <w:lvl w:ilvl="2">
      <w:start w:val="1"/>
      <w:numFmt w:val="lowerLetter"/>
      <w:lvlText w:val="%3."/>
      <w:lvlJc w:val="left"/>
      <w:pPr>
        <w:tabs>
          <w:tab w:val="num" w:pos="2304"/>
        </w:tabs>
        <w:ind w:left="2304" w:hanging="432"/>
      </w:pPr>
      <w:rPr>
        <w:rFonts w:ascii="Arial" w:eastAsiaTheme="minorEastAsia" w:hAnsi="Arial" w:cs="Arial" w:hint="default"/>
        <w:b w:val="0"/>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 w15:restartNumberingAfterBreak="0">
    <w:nsid w:val="1D79533A"/>
    <w:multiLevelType w:val="multilevel"/>
    <w:tmpl w:val="6AE423CE"/>
    <w:lvl w:ilvl="0">
      <w:start w:val="1"/>
      <w:numFmt w:val="upperRoman"/>
      <w:lvlText w:val="Article %1."/>
      <w:lvlJc w:val="left"/>
      <w:pPr>
        <w:ind w:left="0" w:firstLine="0"/>
      </w:pPr>
    </w:lvl>
    <w:lvl w:ilvl="1">
      <w:start w:val="1"/>
      <w:numFmt w:val="decimalZero"/>
      <w:isLgl/>
      <w:lvlText w:val="Section %1.%2"/>
      <w:lvlJc w:val="left"/>
      <w:pPr>
        <w:ind w:left="0" w:firstLine="0"/>
      </w:pPr>
      <w:rPr>
        <w:b/>
      </w:rPr>
    </w:lvl>
    <w:lvl w:ilvl="2">
      <w:start w:val="1"/>
      <w:numFmt w:val="lowerLetter"/>
      <w:lvlText w:val="(%3)"/>
      <w:lvlJc w:val="left"/>
      <w:pPr>
        <w:ind w:left="720" w:hanging="432"/>
      </w:pPr>
      <w:rPr>
        <w:b/>
      </w:rPr>
    </w:lvl>
    <w:lvl w:ilvl="3">
      <w:start w:val="1"/>
      <w:numFmt w:val="lowerRoman"/>
      <w:lvlText w:val="(%4)"/>
      <w:lvlJc w:val="right"/>
      <w:pPr>
        <w:ind w:left="864" w:hanging="144"/>
      </w:pPr>
      <w:rPr>
        <w:b/>
      </w:r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15:restartNumberingAfterBreak="0">
    <w:nsid w:val="1E903921"/>
    <w:multiLevelType w:val="multilevel"/>
    <w:tmpl w:val="CF9C4074"/>
    <w:lvl w:ilvl="0">
      <w:start w:val="1"/>
      <w:numFmt w:val="upperRoman"/>
      <w:lvlText w:val="%1."/>
      <w:lvlJc w:val="center"/>
      <w:pPr>
        <w:tabs>
          <w:tab w:val="num" w:pos="1800"/>
        </w:tabs>
        <w:ind w:left="1152" w:firstLine="288"/>
      </w:pPr>
      <w:rPr>
        <w:b/>
        <w:i w:val="0"/>
      </w:rPr>
    </w:lvl>
    <w:lvl w:ilvl="1">
      <w:start w:val="1"/>
      <w:numFmt w:val="decimal"/>
      <w:isLgl/>
      <w:lvlText w:val="%1.%2"/>
      <w:lvlJc w:val="left"/>
      <w:pPr>
        <w:tabs>
          <w:tab w:val="num" w:pos="1296"/>
        </w:tabs>
        <w:ind w:left="1296" w:hanging="1296"/>
      </w:pPr>
      <w:rPr>
        <w:rFonts w:ascii="Arial" w:hAnsi="Arial" w:cs="Arial" w:hint="default"/>
        <w:b w:val="0"/>
        <w:color w:val="auto"/>
        <w:sz w:val="22"/>
        <w:szCs w:val="22"/>
      </w:rPr>
    </w:lvl>
    <w:lvl w:ilvl="2">
      <w:start w:val="1"/>
      <w:numFmt w:val="lowerLetter"/>
      <w:lvlText w:val="%3."/>
      <w:lvlJc w:val="left"/>
      <w:pPr>
        <w:tabs>
          <w:tab w:val="num" w:pos="2304"/>
        </w:tabs>
        <w:ind w:left="2304" w:hanging="432"/>
      </w:pPr>
      <w:rPr>
        <w:rFonts w:ascii="Arial" w:eastAsiaTheme="minorEastAsia" w:hAnsi="Arial" w:cs="Arial" w:hint="default"/>
        <w:b w:val="0"/>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4" w15:restartNumberingAfterBreak="0">
    <w:nsid w:val="242A279E"/>
    <w:multiLevelType w:val="hybridMultilevel"/>
    <w:tmpl w:val="96C0CCFA"/>
    <w:lvl w:ilvl="0" w:tplc="466023F4">
      <w:start w:val="1"/>
      <w:numFmt w:val="lowerLetter"/>
      <w:lvlText w:val="%1)"/>
      <w:lvlJc w:val="left"/>
      <w:pPr>
        <w:ind w:left="1080" w:hanging="360"/>
      </w:pPr>
      <w:rPr>
        <w:rFonts w:hint="default"/>
        <w:b/>
        <w:color w:val="000000"/>
        <w:sz w:val="24"/>
      </w:rPr>
    </w:lvl>
    <w:lvl w:ilvl="1" w:tplc="300A0019" w:tentative="1">
      <w:start w:val="1"/>
      <w:numFmt w:val="lowerLetter"/>
      <w:lvlText w:val="%2."/>
      <w:lvlJc w:val="left"/>
      <w:pPr>
        <w:ind w:left="1800" w:hanging="360"/>
      </w:pPr>
    </w:lvl>
    <w:lvl w:ilvl="2" w:tplc="300A001B" w:tentative="1">
      <w:start w:val="1"/>
      <w:numFmt w:val="lowerRoman"/>
      <w:lvlText w:val="%3."/>
      <w:lvlJc w:val="right"/>
      <w:pPr>
        <w:ind w:left="2520" w:hanging="180"/>
      </w:pPr>
    </w:lvl>
    <w:lvl w:ilvl="3" w:tplc="300A000F" w:tentative="1">
      <w:start w:val="1"/>
      <w:numFmt w:val="decimal"/>
      <w:lvlText w:val="%4."/>
      <w:lvlJc w:val="left"/>
      <w:pPr>
        <w:ind w:left="3240" w:hanging="360"/>
      </w:pPr>
    </w:lvl>
    <w:lvl w:ilvl="4" w:tplc="300A0019" w:tentative="1">
      <w:start w:val="1"/>
      <w:numFmt w:val="lowerLetter"/>
      <w:lvlText w:val="%5."/>
      <w:lvlJc w:val="left"/>
      <w:pPr>
        <w:ind w:left="3960" w:hanging="360"/>
      </w:pPr>
    </w:lvl>
    <w:lvl w:ilvl="5" w:tplc="300A001B" w:tentative="1">
      <w:start w:val="1"/>
      <w:numFmt w:val="lowerRoman"/>
      <w:lvlText w:val="%6."/>
      <w:lvlJc w:val="right"/>
      <w:pPr>
        <w:ind w:left="4680" w:hanging="180"/>
      </w:pPr>
    </w:lvl>
    <w:lvl w:ilvl="6" w:tplc="300A000F" w:tentative="1">
      <w:start w:val="1"/>
      <w:numFmt w:val="decimal"/>
      <w:lvlText w:val="%7."/>
      <w:lvlJc w:val="left"/>
      <w:pPr>
        <w:ind w:left="5400" w:hanging="360"/>
      </w:pPr>
    </w:lvl>
    <w:lvl w:ilvl="7" w:tplc="300A0019" w:tentative="1">
      <w:start w:val="1"/>
      <w:numFmt w:val="lowerLetter"/>
      <w:lvlText w:val="%8."/>
      <w:lvlJc w:val="left"/>
      <w:pPr>
        <w:ind w:left="6120" w:hanging="360"/>
      </w:pPr>
    </w:lvl>
    <w:lvl w:ilvl="8" w:tplc="300A001B" w:tentative="1">
      <w:start w:val="1"/>
      <w:numFmt w:val="lowerRoman"/>
      <w:lvlText w:val="%9."/>
      <w:lvlJc w:val="right"/>
      <w:pPr>
        <w:ind w:left="6840" w:hanging="180"/>
      </w:pPr>
    </w:lvl>
  </w:abstractNum>
  <w:abstractNum w:abstractNumId="5" w15:restartNumberingAfterBreak="0">
    <w:nsid w:val="27163CE5"/>
    <w:multiLevelType w:val="hybridMultilevel"/>
    <w:tmpl w:val="54C8F2F0"/>
    <w:lvl w:ilvl="0" w:tplc="04090017">
      <w:start w:val="1"/>
      <w:numFmt w:val="lowerLetter"/>
      <w:lvlText w:val="%1)"/>
      <w:lvlJc w:val="left"/>
      <w:pPr>
        <w:ind w:left="1080" w:hanging="360"/>
      </w:pPr>
      <w:rPr>
        <w:rFonts w:hint="default"/>
      </w:rPr>
    </w:lvl>
    <w:lvl w:ilvl="1" w:tplc="300A0019" w:tentative="1">
      <w:start w:val="1"/>
      <w:numFmt w:val="lowerLetter"/>
      <w:lvlText w:val="%2."/>
      <w:lvlJc w:val="left"/>
      <w:pPr>
        <w:ind w:left="1800" w:hanging="360"/>
      </w:pPr>
    </w:lvl>
    <w:lvl w:ilvl="2" w:tplc="300A001B" w:tentative="1">
      <w:start w:val="1"/>
      <w:numFmt w:val="lowerRoman"/>
      <w:lvlText w:val="%3."/>
      <w:lvlJc w:val="right"/>
      <w:pPr>
        <w:ind w:left="2520" w:hanging="180"/>
      </w:pPr>
    </w:lvl>
    <w:lvl w:ilvl="3" w:tplc="300A000F" w:tentative="1">
      <w:start w:val="1"/>
      <w:numFmt w:val="decimal"/>
      <w:lvlText w:val="%4."/>
      <w:lvlJc w:val="left"/>
      <w:pPr>
        <w:ind w:left="3240" w:hanging="360"/>
      </w:pPr>
    </w:lvl>
    <w:lvl w:ilvl="4" w:tplc="300A0019" w:tentative="1">
      <w:start w:val="1"/>
      <w:numFmt w:val="lowerLetter"/>
      <w:lvlText w:val="%5."/>
      <w:lvlJc w:val="left"/>
      <w:pPr>
        <w:ind w:left="3960" w:hanging="360"/>
      </w:pPr>
    </w:lvl>
    <w:lvl w:ilvl="5" w:tplc="300A001B" w:tentative="1">
      <w:start w:val="1"/>
      <w:numFmt w:val="lowerRoman"/>
      <w:lvlText w:val="%6."/>
      <w:lvlJc w:val="right"/>
      <w:pPr>
        <w:ind w:left="4680" w:hanging="180"/>
      </w:pPr>
    </w:lvl>
    <w:lvl w:ilvl="6" w:tplc="300A000F" w:tentative="1">
      <w:start w:val="1"/>
      <w:numFmt w:val="decimal"/>
      <w:lvlText w:val="%7."/>
      <w:lvlJc w:val="left"/>
      <w:pPr>
        <w:ind w:left="5400" w:hanging="360"/>
      </w:pPr>
    </w:lvl>
    <w:lvl w:ilvl="7" w:tplc="300A0019" w:tentative="1">
      <w:start w:val="1"/>
      <w:numFmt w:val="lowerLetter"/>
      <w:lvlText w:val="%8."/>
      <w:lvlJc w:val="left"/>
      <w:pPr>
        <w:ind w:left="6120" w:hanging="360"/>
      </w:pPr>
    </w:lvl>
    <w:lvl w:ilvl="8" w:tplc="300A001B" w:tentative="1">
      <w:start w:val="1"/>
      <w:numFmt w:val="lowerRoman"/>
      <w:lvlText w:val="%9."/>
      <w:lvlJc w:val="right"/>
      <w:pPr>
        <w:ind w:left="6840" w:hanging="180"/>
      </w:pPr>
    </w:lvl>
  </w:abstractNum>
  <w:abstractNum w:abstractNumId="6" w15:restartNumberingAfterBreak="0">
    <w:nsid w:val="28824387"/>
    <w:multiLevelType w:val="hybridMultilevel"/>
    <w:tmpl w:val="BC22D936"/>
    <w:lvl w:ilvl="0" w:tplc="04090019">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15:restartNumberingAfterBreak="0">
    <w:nsid w:val="2F4F1ECE"/>
    <w:multiLevelType w:val="multilevel"/>
    <w:tmpl w:val="AD6CA50C"/>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rPr>
        <w:rFonts w:ascii="Arial" w:hAnsi="Arial" w:cs="Arial" w:hint="default"/>
        <w:b w:val="0"/>
        <w:color w:val="auto"/>
        <w:sz w:val="22"/>
        <w:szCs w:val="22"/>
      </w:rPr>
    </w:lvl>
    <w:lvl w:ilvl="2">
      <w:start w:val="1"/>
      <w:numFmt w:val="lowerRoman"/>
      <w:lvlText w:val="(%3)."/>
      <w:lvlJc w:val="right"/>
      <w:pPr>
        <w:tabs>
          <w:tab w:val="num" w:pos="1152"/>
        </w:tabs>
        <w:ind w:left="1152" w:hanging="432"/>
      </w:pPr>
      <w:rPr>
        <w:rFonts w:hint="default"/>
        <w:color w:val="auto"/>
      </w:rPr>
    </w:lvl>
    <w:lvl w:ilvl="3">
      <w:start w:val="1"/>
      <w:numFmt w:val="lowerLetter"/>
      <w:lvlText w:val="%4."/>
      <w:lvlJc w:val="right"/>
      <w:pPr>
        <w:tabs>
          <w:tab w:val="num" w:pos="3024"/>
        </w:tabs>
        <w:ind w:left="3024" w:hanging="288"/>
      </w:pPr>
      <w:rPr>
        <w:rFonts w:ascii="Arial" w:eastAsia="Times New Roman" w:hAnsi="Arial" w:cs="Arial"/>
        <w:b w:val="0"/>
      </w:r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8" w15:restartNumberingAfterBreak="0">
    <w:nsid w:val="359B4991"/>
    <w:multiLevelType w:val="multilevel"/>
    <w:tmpl w:val="A4F4C8E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9" w15:restartNumberingAfterBreak="0">
    <w:nsid w:val="415A5C2B"/>
    <w:multiLevelType w:val="multilevel"/>
    <w:tmpl w:val="5A76B3FE"/>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rPr>
        <w:rFonts w:ascii="Arial" w:hAnsi="Arial" w:cs="Arial" w:hint="default"/>
        <w:b w:val="0"/>
        <w:color w:val="auto"/>
        <w:sz w:val="22"/>
        <w:szCs w:val="22"/>
      </w:rPr>
    </w:lvl>
    <w:lvl w:ilvl="2">
      <w:start w:val="1"/>
      <w:numFmt w:val="lowerLetter"/>
      <w:lvlText w:val="%3."/>
      <w:lvlJc w:val="left"/>
      <w:pPr>
        <w:tabs>
          <w:tab w:val="num" w:pos="1152"/>
        </w:tabs>
        <w:ind w:left="1152" w:hanging="432"/>
      </w:pPr>
      <w:rPr>
        <w:rFonts w:hint="default"/>
        <w:color w:val="auto"/>
      </w:rPr>
    </w:lvl>
    <w:lvl w:ilvl="3">
      <w:start w:val="1"/>
      <w:numFmt w:val="lowerLetter"/>
      <w:lvlText w:val="%4."/>
      <w:lvlJc w:val="right"/>
      <w:pPr>
        <w:tabs>
          <w:tab w:val="num" w:pos="3024"/>
        </w:tabs>
        <w:ind w:left="3024" w:hanging="288"/>
      </w:pPr>
      <w:rPr>
        <w:rFonts w:ascii="Arial" w:eastAsia="Times New Roman" w:hAnsi="Arial" w:cs="Arial"/>
        <w:b w:val="0"/>
      </w:r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0" w15:restartNumberingAfterBreak="0">
    <w:nsid w:val="427658C5"/>
    <w:multiLevelType w:val="multilevel"/>
    <w:tmpl w:val="8BB4154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43C6652"/>
    <w:multiLevelType w:val="multilevel"/>
    <w:tmpl w:val="4C6EA15E"/>
    <w:lvl w:ilvl="0">
      <w:start w:val="1"/>
      <w:numFmt w:val="upperRoman"/>
      <w:lvlText w:val="%1."/>
      <w:lvlJc w:val="center"/>
      <w:pPr>
        <w:tabs>
          <w:tab w:val="num" w:pos="1800"/>
        </w:tabs>
        <w:ind w:left="1152" w:firstLine="288"/>
      </w:pPr>
      <w:rPr>
        <w:b/>
        <w:i w:val="0"/>
      </w:rPr>
    </w:lvl>
    <w:lvl w:ilvl="1">
      <w:start w:val="1"/>
      <w:numFmt w:val="lowerLetter"/>
      <w:lvlText w:val="%2)"/>
      <w:lvlJc w:val="left"/>
      <w:pPr>
        <w:tabs>
          <w:tab w:val="num" w:pos="1296"/>
        </w:tabs>
        <w:ind w:left="1296" w:hanging="1296"/>
      </w:pPr>
      <w:rPr>
        <w:rFonts w:hint="default"/>
        <w:b w:val="0"/>
        <w:sz w:val="22"/>
        <w:szCs w:val="22"/>
      </w:rPr>
    </w:lvl>
    <w:lvl w:ilvl="2">
      <w:start w:val="1"/>
      <w:numFmt w:val="lowerLetter"/>
      <w:lvlText w:val="%3."/>
      <w:lvlJc w:val="left"/>
      <w:pPr>
        <w:tabs>
          <w:tab w:val="num" w:pos="2304"/>
        </w:tabs>
        <w:ind w:left="2304" w:hanging="432"/>
      </w:pPr>
      <w:rPr>
        <w:rFonts w:ascii="Arial" w:eastAsiaTheme="minorEastAsia" w:hAnsi="Arial" w:cs="Arial" w:hint="default"/>
        <w:b w:val="0"/>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2" w15:restartNumberingAfterBreak="0">
    <w:nsid w:val="45FF1C38"/>
    <w:multiLevelType w:val="hybridMultilevel"/>
    <w:tmpl w:val="A6A69E94"/>
    <w:lvl w:ilvl="0" w:tplc="04090019">
      <w:start w:val="1"/>
      <w:numFmt w:val="lowerLetter"/>
      <w:lvlText w:val="%1."/>
      <w:lvlJc w:val="left"/>
      <w:pPr>
        <w:ind w:left="2070" w:hanging="360"/>
      </w:pPr>
      <w:rPr>
        <w:rFonts w:hint="default"/>
        <w:u w:val="none"/>
      </w:rPr>
    </w:lvl>
    <w:lvl w:ilvl="1" w:tplc="04160019">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3" w15:restartNumberingAfterBreak="0">
    <w:nsid w:val="4FD8516B"/>
    <w:multiLevelType w:val="multilevel"/>
    <w:tmpl w:val="4FC6DC7C"/>
    <w:lvl w:ilvl="0">
      <w:start w:val="1"/>
      <w:numFmt w:val="upperRoman"/>
      <w:lvlText w:val="%1."/>
      <w:lvlJc w:val="center"/>
      <w:pPr>
        <w:tabs>
          <w:tab w:val="num" w:pos="1800"/>
        </w:tabs>
        <w:ind w:left="1152" w:firstLine="288"/>
      </w:pPr>
      <w:rPr>
        <w:b/>
        <w:i w:val="0"/>
      </w:rPr>
    </w:lvl>
    <w:lvl w:ilvl="1">
      <w:start w:val="1"/>
      <w:numFmt w:val="decimal"/>
      <w:isLgl/>
      <w:lvlText w:val="%1.%2"/>
      <w:lvlJc w:val="left"/>
      <w:pPr>
        <w:tabs>
          <w:tab w:val="num" w:pos="1296"/>
        </w:tabs>
        <w:ind w:left="1296" w:hanging="1296"/>
      </w:pPr>
      <w:rPr>
        <w:rFonts w:ascii="Arial" w:hAnsi="Arial" w:cs="Arial" w:hint="default"/>
        <w:b w:val="0"/>
        <w:sz w:val="22"/>
        <w:szCs w:val="22"/>
      </w:rPr>
    </w:lvl>
    <w:lvl w:ilvl="2">
      <w:start w:val="1"/>
      <w:numFmt w:val="lowerLetter"/>
      <w:lvlText w:val="%3."/>
      <w:lvlJc w:val="left"/>
      <w:pPr>
        <w:tabs>
          <w:tab w:val="num" w:pos="2304"/>
        </w:tabs>
        <w:ind w:left="2304" w:hanging="432"/>
      </w:pPr>
      <w:rPr>
        <w:rFonts w:ascii="Arial" w:eastAsiaTheme="minorEastAsia" w:hAnsi="Arial" w:cs="Arial" w:hint="default"/>
        <w:b w:val="0"/>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4" w15:restartNumberingAfterBreak="0">
    <w:nsid w:val="51167283"/>
    <w:multiLevelType w:val="multilevel"/>
    <w:tmpl w:val="D7EE6046"/>
    <w:lvl w:ilvl="0">
      <w:start w:val="1"/>
      <w:numFmt w:val="none"/>
      <w:lvlRestart w:val="0"/>
      <w:suff w:val="nothing"/>
      <w:lvlText w:val=""/>
      <w:lvlJc w:val="left"/>
      <w:pPr>
        <w:ind w:left="4824" w:hanging="720"/>
      </w:pPr>
    </w:lvl>
    <w:lvl w:ilvl="1">
      <w:start w:val="1"/>
      <w:numFmt w:val="decimal"/>
      <w:lvlText w:val="%2."/>
      <w:lvlJc w:val="left"/>
      <w:pPr>
        <w:tabs>
          <w:tab w:val="num" w:pos="5400"/>
        </w:tabs>
        <w:ind w:left="5400" w:hanging="576"/>
      </w:pPr>
      <w:rPr>
        <w:b/>
      </w:rPr>
    </w:lvl>
    <w:lvl w:ilvl="2">
      <w:start w:val="1"/>
      <w:numFmt w:val="lowerLetter"/>
      <w:lvlText w:val="%3)"/>
      <w:lvlJc w:val="left"/>
      <w:pPr>
        <w:tabs>
          <w:tab w:val="num" w:pos="5976"/>
        </w:tabs>
        <w:ind w:left="5976" w:hanging="576"/>
      </w:pPr>
      <w:rPr>
        <w:b/>
      </w:rPr>
    </w:lvl>
    <w:lvl w:ilvl="3">
      <w:start w:val="1"/>
      <w:numFmt w:val="lowerRoman"/>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5" w15:restartNumberingAfterBreak="0">
    <w:nsid w:val="569905A8"/>
    <w:multiLevelType w:val="multilevel"/>
    <w:tmpl w:val="69DCAD44"/>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1836"/>
        </w:tabs>
        <w:ind w:left="1836" w:hanging="1296"/>
      </w:pPr>
      <w:rPr>
        <w:i w:val="0"/>
        <w:color w:val="auto"/>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16" w15:restartNumberingAfterBreak="0">
    <w:nsid w:val="57DB37A2"/>
    <w:multiLevelType w:val="multilevel"/>
    <w:tmpl w:val="FF8073A8"/>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rPr>
        <w:rFonts w:ascii="Arial" w:hAnsi="Arial" w:cs="Arial" w:hint="default"/>
        <w:b w:val="0"/>
        <w:color w:val="auto"/>
        <w:sz w:val="22"/>
        <w:szCs w:val="22"/>
      </w:rPr>
    </w:lvl>
    <w:lvl w:ilvl="2">
      <w:start w:val="1"/>
      <w:numFmt w:val="lowerLetter"/>
      <w:lvlText w:val="%3."/>
      <w:lvlJc w:val="left"/>
      <w:pPr>
        <w:tabs>
          <w:tab w:val="num" w:pos="1152"/>
        </w:tabs>
        <w:ind w:left="1152" w:hanging="432"/>
      </w:pPr>
      <w:rPr>
        <w:rFonts w:hint="default"/>
        <w:color w:val="auto"/>
      </w:rPr>
    </w:lvl>
    <w:lvl w:ilvl="3">
      <w:start w:val="1"/>
      <w:numFmt w:val="lowerLetter"/>
      <w:lvlText w:val="%4."/>
      <w:lvlJc w:val="right"/>
      <w:pPr>
        <w:tabs>
          <w:tab w:val="num" w:pos="3024"/>
        </w:tabs>
        <w:ind w:left="3024" w:hanging="288"/>
      </w:pPr>
      <w:rPr>
        <w:rFonts w:ascii="Arial" w:eastAsia="Times New Roman" w:hAnsi="Arial" w:cs="Arial"/>
        <w:b w:val="0"/>
      </w:r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7" w15:restartNumberingAfterBreak="0">
    <w:nsid w:val="603A55FF"/>
    <w:multiLevelType w:val="multilevel"/>
    <w:tmpl w:val="AE0E002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0B70B68"/>
    <w:multiLevelType w:val="multilevel"/>
    <w:tmpl w:val="98D6EE66"/>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rPr>
        <w:rFonts w:ascii="Arial" w:hAnsi="Arial" w:cs="Arial" w:hint="default"/>
        <w:b w:val="0"/>
        <w:color w:val="auto"/>
        <w:sz w:val="22"/>
        <w:szCs w:val="22"/>
      </w:rPr>
    </w:lvl>
    <w:lvl w:ilvl="2">
      <w:start w:val="1"/>
      <w:numFmt w:val="lowerLetter"/>
      <w:lvlText w:val="%3."/>
      <w:lvlJc w:val="left"/>
      <w:pPr>
        <w:tabs>
          <w:tab w:val="num" w:pos="1152"/>
        </w:tabs>
        <w:ind w:left="1152" w:hanging="432"/>
      </w:pPr>
      <w:rPr>
        <w:color w:val="auto"/>
      </w:rPr>
    </w:lvl>
    <w:lvl w:ilvl="3">
      <w:start w:val="1"/>
      <w:numFmt w:val="lowerLetter"/>
      <w:lvlText w:val="%4."/>
      <w:lvlJc w:val="right"/>
      <w:pPr>
        <w:tabs>
          <w:tab w:val="num" w:pos="3024"/>
        </w:tabs>
        <w:ind w:left="3024" w:hanging="288"/>
      </w:pPr>
      <w:rPr>
        <w:rFonts w:ascii="Arial" w:eastAsia="Times New Roman" w:hAnsi="Arial" w:cs="Arial"/>
        <w:b w:val="0"/>
      </w:r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9" w15:restartNumberingAfterBreak="0">
    <w:nsid w:val="64C5303E"/>
    <w:multiLevelType w:val="multilevel"/>
    <w:tmpl w:val="78EEA9D4"/>
    <w:lvl w:ilvl="0">
      <w:start w:val="1"/>
      <w:numFmt w:val="upperRoman"/>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rPr>
        <w:b w:val="0"/>
      </w:r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6655121D"/>
    <w:multiLevelType w:val="multilevel"/>
    <w:tmpl w:val="43A43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C7C0E8D"/>
    <w:multiLevelType w:val="hybridMultilevel"/>
    <w:tmpl w:val="40767EF8"/>
    <w:lvl w:ilvl="0" w:tplc="04090017">
      <w:start w:val="1"/>
      <w:numFmt w:val="lowerLetter"/>
      <w:lvlText w:val="%1)"/>
      <w:lvlJc w:val="left"/>
      <w:pPr>
        <w:ind w:left="720" w:hanging="360"/>
      </w:pPr>
      <w:rPr>
        <w:rFonts w:hint="default"/>
      </w:r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2" w15:restartNumberingAfterBreak="0">
    <w:nsid w:val="6F654083"/>
    <w:multiLevelType w:val="hybridMultilevel"/>
    <w:tmpl w:val="24206CCA"/>
    <w:lvl w:ilvl="0" w:tplc="04090017">
      <w:start w:val="1"/>
      <w:numFmt w:val="lowerLetter"/>
      <w:lvlText w:val="%1)"/>
      <w:lvlJc w:val="left"/>
      <w:pPr>
        <w:ind w:left="1080" w:hanging="360"/>
      </w:pPr>
      <w:rPr>
        <w:rFonts w:hint="default"/>
      </w:rPr>
    </w:lvl>
    <w:lvl w:ilvl="1" w:tplc="300A0019" w:tentative="1">
      <w:start w:val="1"/>
      <w:numFmt w:val="lowerLetter"/>
      <w:lvlText w:val="%2."/>
      <w:lvlJc w:val="left"/>
      <w:pPr>
        <w:ind w:left="1800" w:hanging="360"/>
      </w:pPr>
    </w:lvl>
    <w:lvl w:ilvl="2" w:tplc="300A001B" w:tentative="1">
      <w:start w:val="1"/>
      <w:numFmt w:val="lowerRoman"/>
      <w:lvlText w:val="%3."/>
      <w:lvlJc w:val="right"/>
      <w:pPr>
        <w:ind w:left="2520" w:hanging="180"/>
      </w:pPr>
    </w:lvl>
    <w:lvl w:ilvl="3" w:tplc="300A000F" w:tentative="1">
      <w:start w:val="1"/>
      <w:numFmt w:val="decimal"/>
      <w:lvlText w:val="%4."/>
      <w:lvlJc w:val="left"/>
      <w:pPr>
        <w:ind w:left="3240" w:hanging="360"/>
      </w:pPr>
    </w:lvl>
    <w:lvl w:ilvl="4" w:tplc="300A0019" w:tentative="1">
      <w:start w:val="1"/>
      <w:numFmt w:val="lowerLetter"/>
      <w:lvlText w:val="%5."/>
      <w:lvlJc w:val="left"/>
      <w:pPr>
        <w:ind w:left="3960" w:hanging="360"/>
      </w:pPr>
    </w:lvl>
    <w:lvl w:ilvl="5" w:tplc="300A001B" w:tentative="1">
      <w:start w:val="1"/>
      <w:numFmt w:val="lowerRoman"/>
      <w:lvlText w:val="%6."/>
      <w:lvlJc w:val="right"/>
      <w:pPr>
        <w:ind w:left="4680" w:hanging="180"/>
      </w:pPr>
    </w:lvl>
    <w:lvl w:ilvl="6" w:tplc="300A000F" w:tentative="1">
      <w:start w:val="1"/>
      <w:numFmt w:val="decimal"/>
      <w:lvlText w:val="%7."/>
      <w:lvlJc w:val="left"/>
      <w:pPr>
        <w:ind w:left="5400" w:hanging="360"/>
      </w:pPr>
    </w:lvl>
    <w:lvl w:ilvl="7" w:tplc="300A0019" w:tentative="1">
      <w:start w:val="1"/>
      <w:numFmt w:val="lowerLetter"/>
      <w:lvlText w:val="%8."/>
      <w:lvlJc w:val="left"/>
      <w:pPr>
        <w:ind w:left="6120" w:hanging="360"/>
      </w:pPr>
    </w:lvl>
    <w:lvl w:ilvl="8" w:tplc="300A001B" w:tentative="1">
      <w:start w:val="1"/>
      <w:numFmt w:val="lowerRoman"/>
      <w:lvlText w:val="%9."/>
      <w:lvlJc w:val="right"/>
      <w:pPr>
        <w:ind w:left="6840" w:hanging="180"/>
      </w:pPr>
    </w:lvl>
  </w:abstractNum>
  <w:abstractNum w:abstractNumId="23" w15:restartNumberingAfterBreak="0">
    <w:nsid w:val="711751E0"/>
    <w:multiLevelType w:val="multilevel"/>
    <w:tmpl w:val="44D2BE5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73FA7CB6"/>
    <w:multiLevelType w:val="hybridMultilevel"/>
    <w:tmpl w:val="94786A10"/>
    <w:lvl w:ilvl="0" w:tplc="E28CD51E">
      <w:start w:val="1"/>
      <w:numFmt w:val="lowerLetter"/>
      <w:lvlText w:val="%1."/>
      <w:lvlJc w:val="left"/>
      <w:pPr>
        <w:ind w:left="1530" w:hanging="360"/>
      </w:pPr>
      <w:rPr>
        <w:rFonts w:hint="default"/>
      </w:rPr>
    </w:lvl>
    <w:lvl w:ilvl="1" w:tplc="04090019">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5" w15:restartNumberingAfterBreak="0">
    <w:nsid w:val="78C32FF7"/>
    <w:multiLevelType w:val="multilevel"/>
    <w:tmpl w:val="DBEA5938"/>
    <w:lvl w:ilvl="0">
      <w:start w:val="4"/>
      <w:numFmt w:val="decimal"/>
      <w:lvlText w:val="%1."/>
      <w:lvlJc w:val="left"/>
      <w:pPr>
        <w:ind w:left="360" w:hanging="360"/>
      </w:pPr>
      <w:rPr>
        <w:rFonts w:hint="default"/>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C935542"/>
    <w:multiLevelType w:val="multilevel"/>
    <w:tmpl w:val="AD6CA50C"/>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rPr>
        <w:rFonts w:ascii="Arial" w:hAnsi="Arial" w:cs="Arial" w:hint="default"/>
        <w:b w:val="0"/>
        <w:color w:val="auto"/>
        <w:sz w:val="22"/>
        <w:szCs w:val="22"/>
      </w:rPr>
    </w:lvl>
    <w:lvl w:ilvl="2">
      <w:start w:val="1"/>
      <w:numFmt w:val="lowerRoman"/>
      <w:lvlText w:val="(%3)."/>
      <w:lvlJc w:val="right"/>
      <w:pPr>
        <w:tabs>
          <w:tab w:val="num" w:pos="1152"/>
        </w:tabs>
        <w:ind w:left="1152" w:hanging="432"/>
      </w:pPr>
      <w:rPr>
        <w:rFonts w:hint="default"/>
        <w:color w:val="auto"/>
      </w:rPr>
    </w:lvl>
    <w:lvl w:ilvl="3">
      <w:start w:val="1"/>
      <w:numFmt w:val="lowerLetter"/>
      <w:lvlText w:val="%4."/>
      <w:lvlJc w:val="right"/>
      <w:pPr>
        <w:tabs>
          <w:tab w:val="num" w:pos="3024"/>
        </w:tabs>
        <w:ind w:left="3024" w:hanging="288"/>
      </w:pPr>
      <w:rPr>
        <w:rFonts w:ascii="Arial" w:eastAsia="Times New Roman" w:hAnsi="Arial" w:cs="Arial"/>
        <w:b w:val="0"/>
      </w:r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7" w15:restartNumberingAfterBreak="0">
    <w:nsid w:val="7CC86724"/>
    <w:multiLevelType w:val="hybridMultilevel"/>
    <w:tmpl w:val="52F6FCA0"/>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7F1F1A7D"/>
    <w:multiLevelType w:val="hybridMultilevel"/>
    <w:tmpl w:val="3D30CF1A"/>
    <w:lvl w:ilvl="0" w:tplc="300A0019">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9" w15:restartNumberingAfterBreak="0">
    <w:nsid w:val="7F9669A7"/>
    <w:multiLevelType w:val="hybridMultilevel"/>
    <w:tmpl w:val="D1568C62"/>
    <w:lvl w:ilvl="0" w:tplc="04090019">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7"/>
  </w:num>
  <w:num w:numId="4">
    <w:abstractNumId w:val="12"/>
  </w:num>
  <w:num w:numId="5">
    <w:abstractNumId w:val="14"/>
  </w:num>
  <w:num w:numId="6">
    <w:abstractNumId w:val="20"/>
  </w:num>
  <w:num w:numId="7">
    <w:abstractNumId w:val="13"/>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5"/>
  </w:num>
  <w:num w:numId="26">
    <w:abstractNumId w:val="28"/>
  </w:num>
  <w:num w:numId="27">
    <w:abstractNumId w:val="11"/>
  </w:num>
  <w:num w:numId="28">
    <w:abstractNumId w:val="22"/>
  </w:num>
  <w:num w:numId="29">
    <w:abstractNumId w:val="5"/>
  </w:num>
  <w:num w:numId="30">
    <w:abstractNumId w:val="21"/>
  </w:num>
  <w:num w:numId="31">
    <w:abstractNumId w:val="23"/>
  </w:num>
  <w:num w:numId="32">
    <w:abstractNumId w:val="8"/>
  </w:num>
  <w:num w:numId="33">
    <w:abstractNumId w:val="27"/>
  </w:num>
  <w:num w:numId="34">
    <w:abstractNumId w:val="18"/>
  </w:num>
  <w:num w:numId="35">
    <w:abstractNumId w:val="0"/>
  </w:num>
  <w:num w:numId="36">
    <w:abstractNumId w:val="26"/>
  </w:num>
  <w:num w:numId="37">
    <w:abstractNumId w:val="2"/>
  </w:num>
  <w:num w:numId="38">
    <w:abstractNumId w:val="7"/>
  </w:num>
  <w:num w:numId="39">
    <w:abstractNumId w:val="9"/>
  </w:num>
  <w:num w:numId="40">
    <w:abstractNumId w:val="16"/>
  </w:num>
  <w:num w:numId="41">
    <w:abstractNumId w:val="29"/>
  </w:num>
  <w:num w:numId="42">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10D9A"/>
    <w:rsid w:val="00000FA7"/>
    <w:rsid w:val="0000114A"/>
    <w:rsid w:val="000069B6"/>
    <w:rsid w:val="00007F47"/>
    <w:rsid w:val="00011791"/>
    <w:rsid w:val="00011B5A"/>
    <w:rsid w:val="00011D2F"/>
    <w:rsid w:val="00011F6D"/>
    <w:rsid w:val="00012031"/>
    <w:rsid w:val="0001383B"/>
    <w:rsid w:val="00013F9F"/>
    <w:rsid w:val="000148C9"/>
    <w:rsid w:val="00016624"/>
    <w:rsid w:val="00017134"/>
    <w:rsid w:val="000306D4"/>
    <w:rsid w:val="00033E78"/>
    <w:rsid w:val="00034B01"/>
    <w:rsid w:val="00036625"/>
    <w:rsid w:val="00037B4A"/>
    <w:rsid w:val="000422FB"/>
    <w:rsid w:val="00042A18"/>
    <w:rsid w:val="00043286"/>
    <w:rsid w:val="0004549D"/>
    <w:rsid w:val="00045DCA"/>
    <w:rsid w:val="00047C73"/>
    <w:rsid w:val="00050536"/>
    <w:rsid w:val="00050865"/>
    <w:rsid w:val="00051413"/>
    <w:rsid w:val="000525BD"/>
    <w:rsid w:val="00052D29"/>
    <w:rsid w:val="0005341E"/>
    <w:rsid w:val="000551F0"/>
    <w:rsid w:val="000560F2"/>
    <w:rsid w:val="00056BDE"/>
    <w:rsid w:val="000570CD"/>
    <w:rsid w:val="000578B0"/>
    <w:rsid w:val="00060138"/>
    <w:rsid w:val="00060E22"/>
    <w:rsid w:val="00061B9C"/>
    <w:rsid w:val="00062B5C"/>
    <w:rsid w:val="00062BC3"/>
    <w:rsid w:val="00063F6D"/>
    <w:rsid w:val="000648D7"/>
    <w:rsid w:val="000656D5"/>
    <w:rsid w:val="00066619"/>
    <w:rsid w:val="00070CAD"/>
    <w:rsid w:val="000717A3"/>
    <w:rsid w:val="00071C9F"/>
    <w:rsid w:val="00073687"/>
    <w:rsid w:val="00074B29"/>
    <w:rsid w:val="00074BDF"/>
    <w:rsid w:val="00080C72"/>
    <w:rsid w:val="00082961"/>
    <w:rsid w:val="00083701"/>
    <w:rsid w:val="00083C9B"/>
    <w:rsid w:val="0008459B"/>
    <w:rsid w:val="000856F1"/>
    <w:rsid w:val="00086A94"/>
    <w:rsid w:val="000879B1"/>
    <w:rsid w:val="00092044"/>
    <w:rsid w:val="00092496"/>
    <w:rsid w:val="000933C2"/>
    <w:rsid w:val="000937D3"/>
    <w:rsid w:val="00095060"/>
    <w:rsid w:val="000958CD"/>
    <w:rsid w:val="0009612D"/>
    <w:rsid w:val="000A00D9"/>
    <w:rsid w:val="000A1085"/>
    <w:rsid w:val="000A266C"/>
    <w:rsid w:val="000A2A69"/>
    <w:rsid w:val="000A54CE"/>
    <w:rsid w:val="000A63D9"/>
    <w:rsid w:val="000A7866"/>
    <w:rsid w:val="000B0AF5"/>
    <w:rsid w:val="000B0BD3"/>
    <w:rsid w:val="000B1F6A"/>
    <w:rsid w:val="000B2BC8"/>
    <w:rsid w:val="000B2F70"/>
    <w:rsid w:val="000B4847"/>
    <w:rsid w:val="000B54C0"/>
    <w:rsid w:val="000B5B5D"/>
    <w:rsid w:val="000B633D"/>
    <w:rsid w:val="000B6FF1"/>
    <w:rsid w:val="000B72F9"/>
    <w:rsid w:val="000C031E"/>
    <w:rsid w:val="000C1140"/>
    <w:rsid w:val="000C12A9"/>
    <w:rsid w:val="000C23D3"/>
    <w:rsid w:val="000C5BD9"/>
    <w:rsid w:val="000C671A"/>
    <w:rsid w:val="000D0E86"/>
    <w:rsid w:val="000D1780"/>
    <w:rsid w:val="000D1C04"/>
    <w:rsid w:val="000D3B52"/>
    <w:rsid w:val="000D461B"/>
    <w:rsid w:val="000D53DA"/>
    <w:rsid w:val="000E006E"/>
    <w:rsid w:val="000E17CF"/>
    <w:rsid w:val="000E1BBD"/>
    <w:rsid w:val="000E3507"/>
    <w:rsid w:val="000E3C5E"/>
    <w:rsid w:val="000E4345"/>
    <w:rsid w:val="000E725F"/>
    <w:rsid w:val="000E73AC"/>
    <w:rsid w:val="000F2B24"/>
    <w:rsid w:val="000F2F72"/>
    <w:rsid w:val="00100885"/>
    <w:rsid w:val="001017E1"/>
    <w:rsid w:val="00103FF0"/>
    <w:rsid w:val="00105570"/>
    <w:rsid w:val="0010573D"/>
    <w:rsid w:val="0010654C"/>
    <w:rsid w:val="00106C2C"/>
    <w:rsid w:val="0010781A"/>
    <w:rsid w:val="001079A5"/>
    <w:rsid w:val="00107F58"/>
    <w:rsid w:val="00110BAA"/>
    <w:rsid w:val="001128FC"/>
    <w:rsid w:val="0011343F"/>
    <w:rsid w:val="00114F5D"/>
    <w:rsid w:val="00116B84"/>
    <w:rsid w:val="0012048E"/>
    <w:rsid w:val="001214C6"/>
    <w:rsid w:val="0012227F"/>
    <w:rsid w:val="00122C83"/>
    <w:rsid w:val="0012473F"/>
    <w:rsid w:val="001265F5"/>
    <w:rsid w:val="00126F7F"/>
    <w:rsid w:val="00127614"/>
    <w:rsid w:val="00131153"/>
    <w:rsid w:val="00131933"/>
    <w:rsid w:val="00131DA8"/>
    <w:rsid w:val="001325D5"/>
    <w:rsid w:val="001347EF"/>
    <w:rsid w:val="00135069"/>
    <w:rsid w:val="0013648E"/>
    <w:rsid w:val="00136583"/>
    <w:rsid w:val="001415C1"/>
    <w:rsid w:val="00141DBD"/>
    <w:rsid w:val="001458A1"/>
    <w:rsid w:val="00151386"/>
    <w:rsid w:val="00151A5E"/>
    <w:rsid w:val="001531DD"/>
    <w:rsid w:val="001538B4"/>
    <w:rsid w:val="0015400B"/>
    <w:rsid w:val="00154A2F"/>
    <w:rsid w:val="00154EBB"/>
    <w:rsid w:val="0016053F"/>
    <w:rsid w:val="001623B0"/>
    <w:rsid w:val="00162A0E"/>
    <w:rsid w:val="00162BBB"/>
    <w:rsid w:val="001637EA"/>
    <w:rsid w:val="001661DD"/>
    <w:rsid w:val="00166839"/>
    <w:rsid w:val="001671B1"/>
    <w:rsid w:val="001672C4"/>
    <w:rsid w:val="0017013C"/>
    <w:rsid w:val="0017077D"/>
    <w:rsid w:val="00170C55"/>
    <w:rsid w:val="00170D3C"/>
    <w:rsid w:val="00172420"/>
    <w:rsid w:val="00174379"/>
    <w:rsid w:val="00174B44"/>
    <w:rsid w:val="00175582"/>
    <w:rsid w:val="00177C00"/>
    <w:rsid w:val="00184B87"/>
    <w:rsid w:val="00186775"/>
    <w:rsid w:val="0019137A"/>
    <w:rsid w:val="001933A5"/>
    <w:rsid w:val="00193F9B"/>
    <w:rsid w:val="00194FD3"/>
    <w:rsid w:val="001963AC"/>
    <w:rsid w:val="0019652F"/>
    <w:rsid w:val="00197F70"/>
    <w:rsid w:val="001A0D24"/>
    <w:rsid w:val="001A15DD"/>
    <w:rsid w:val="001A189F"/>
    <w:rsid w:val="001A4380"/>
    <w:rsid w:val="001A4AE2"/>
    <w:rsid w:val="001A5218"/>
    <w:rsid w:val="001B0607"/>
    <w:rsid w:val="001B11DC"/>
    <w:rsid w:val="001B16E9"/>
    <w:rsid w:val="001B204E"/>
    <w:rsid w:val="001B27C5"/>
    <w:rsid w:val="001B379C"/>
    <w:rsid w:val="001B46B9"/>
    <w:rsid w:val="001B4C68"/>
    <w:rsid w:val="001B60DE"/>
    <w:rsid w:val="001B610E"/>
    <w:rsid w:val="001B6A05"/>
    <w:rsid w:val="001C0A13"/>
    <w:rsid w:val="001C17C8"/>
    <w:rsid w:val="001C4409"/>
    <w:rsid w:val="001C609C"/>
    <w:rsid w:val="001D04DA"/>
    <w:rsid w:val="001D2CC6"/>
    <w:rsid w:val="001D2F59"/>
    <w:rsid w:val="001D5C83"/>
    <w:rsid w:val="001D5E9C"/>
    <w:rsid w:val="001E1B72"/>
    <w:rsid w:val="001E2AE1"/>
    <w:rsid w:val="001E2EB3"/>
    <w:rsid w:val="001E38A5"/>
    <w:rsid w:val="001E4112"/>
    <w:rsid w:val="001E6029"/>
    <w:rsid w:val="001E6BE3"/>
    <w:rsid w:val="001E7C2D"/>
    <w:rsid w:val="001E7D7B"/>
    <w:rsid w:val="001F0141"/>
    <w:rsid w:val="001F0186"/>
    <w:rsid w:val="001F1038"/>
    <w:rsid w:val="001F1A0C"/>
    <w:rsid w:val="001F3CF2"/>
    <w:rsid w:val="001F5975"/>
    <w:rsid w:val="001F6263"/>
    <w:rsid w:val="00200A33"/>
    <w:rsid w:val="00200C85"/>
    <w:rsid w:val="00201844"/>
    <w:rsid w:val="002040E0"/>
    <w:rsid w:val="00204188"/>
    <w:rsid w:val="00205195"/>
    <w:rsid w:val="00207185"/>
    <w:rsid w:val="002071F6"/>
    <w:rsid w:val="00207A83"/>
    <w:rsid w:val="002104D5"/>
    <w:rsid w:val="00212571"/>
    <w:rsid w:val="002131B7"/>
    <w:rsid w:val="0021627C"/>
    <w:rsid w:val="002205EB"/>
    <w:rsid w:val="002206EC"/>
    <w:rsid w:val="00220AD7"/>
    <w:rsid w:val="0022309B"/>
    <w:rsid w:val="002242E9"/>
    <w:rsid w:val="00224C6B"/>
    <w:rsid w:val="002253F9"/>
    <w:rsid w:val="00230E5C"/>
    <w:rsid w:val="002328DF"/>
    <w:rsid w:val="002346AC"/>
    <w:rsid w:val="0023488A"/>
    <w:rsid w:val="0023514C"/>
    <w:rsid w:val="0023565F"/>
    <w:rsid w:val="002419AF"/>
    <w:rsid w:val="00241DC3"/>
    <w:rsid w:val="00243A23"/>
    <w:rsid w:val="00243C50"/>
    <w:rsid w:val="00243F68"/>
    <w:rsid w:val="00246294"/>
    <w:rsid w:val="00251792"/>
    <w:rsid w:val="00251837"/>
    <w:rsid w:val="002536B0"/>
    <w:rsid w:val="00254142"/>
    <w:rsid w:val="002543DC"/>
    <w:rsid w:val="00255EDF"/>
    <w:rsid w:val="002560FB"/>
    <w:rsid w:val="00256E65"/>
    <w:rsid w:val="00257024"/>
    <w:rsid w:val="00260D8D"/>
    <w:rsid w:val="00260DDB"/>
    <w:rsid w:val="00261EFB"/>
    <w:rsid w:val="00263116"/>
    <w:rsid w:val="0026447E"/>
    <w:rsid w:val="0027011F"/>
    <w:rsid w:val="00270F11"/>
    <w:rsid w:val="00272B89"/>
    <w:rsid w:val="00274593"/>
    <w:rsid w:val="00274F27"/>
    <w:rsid w:val="00275602"/>
    <w:rsid w:val="0027571D"/>
    <w:rsid w:val="00275FD8"/>
    <w:rsid w:val="00277DB6"/>
    <w:rsid w:val="00280DED"/>
    <w:rsid w:val="002815A7"/>
    <w:rsid w:val="0028190C"/>
    <w:rsid w:val="00282464"/>
    <w:rsid w:val="002835B1"/>
    <w:rsid w:val="0028690F"/>
    <w:rsid w:val="00286BDB"/>
    <w:rsid w:val="0028712C"/>
    <w:rsid w:val="00291AB5"/>
    <w:rsid w:val="00296835"/>
    <w:rsid w:val="0029798B"/>
    <w:rsid w:val="00297FA4"/>
    <w:rsid w:val="002A06AF"/>
    <w:rsid w:val="002A0909"/>
    <w:rsid w:val="002A109D"/>
    <w:rsid w:val="002A328F"/>
    <w:rsid w:val="002A661D"/>
    <w:rsid w:val="002A66AA"/>
    <w:rsid w:val="002B017C"/>
    <w:rsid w:val="002B291D"/>
    <w:rsid w:val="002B4EAF"/>
    <w:rsid w:val="002B5A2A"/>
    <w:rsid w:val="002B78F3"/>
    <w:rsid w:val="002C0A2D"/>
    <w:rsid w:val="002C17B8"/>
    <w:rsid w:val="002C4C60"/>
    <w:rsid w:val="002C6D1D"/>
    <w:rsid w:val="002C7DF4"/>
    <w:rsid w:val="002D0B42"/>
    <w:rsid w:val="002D499A"/>
    <w:rsid w:val="002E242C"/>
    <w:rsid w:val="002E2A2F"/>
    <w:rsid w:val="002E36C3"/>
    <w:rsid w:val="002E516B"/>
    <w:rsid w:val="002E5871"/>
    <w:rsid w:val="002E7FA4"/>
    <w:rsid w:val="002F01F1"/>
    <w:rsid w:val="002F05F2"/>
    <w:rsid w:val="002F2160"/>
    <w:rsid w:val="002F7CDA"/>
    <w:rsid w:val="002F7D15"/>
    <w:rsid w:val="003009EA"/>
    <w:rsid w:val="0030186F"/>
    <w:rsid w:val="003064E5"/>
    <w:rsid w:val="00307F5B"/>
    <w:rsid w:val="003114F6"/>
    <w:rsid w:val="0031280D"/>
    <w:rsid w:val="00313B1A"/>
    <w:rsid w:val="003149F2"/>
    <w:rsid w:val="003152D9"/>
    <w:rsid w:val="0031782B"/>
    <w:rsid w:val="00320FA9"/>
    <w:rsid w:val="00321473"/>
    <w:rsid w:val="00324071"/>
    <w:rsid w:val="00324485"/>
    <w:rsid w:val="00324BEF"/>
    <w:rsid w:val="00324DAE"/>
    <w:rsid w:val="00326209"/>
    <w:rsid w:val="003279B0"/>
    <w:rsid w:val="00330977"/>
    <w:rsid w:val="0033168C"/>
    <w:rsid w:val="00331914"/>
    <w:rsid w:val="00334637"/>
    <w:rsid w:val="00335756"/>
    <w:rsid w:val="003366F5"/>
    <w:rsid w:val="00337075"/>
    <w:rsid w:val="00337A35"/>
    <w:rsid w:val="00340D77"/>
    <w:rsid w:val="003418E4"/>
    <w:rsid w:val="00341A37"/>
    <w:rsid w:val="0034421D"/>
    <w:rsid w:val="003443FB"/>
    <w:rsid w:val="00347459"/>
    <w:rsid w:val="00352C4D"/>
    <w:rsid w:val="00354332"/>
    <w:rsid w:val="003566A5"/>
    <w:rsid w:val="003605A6"/>
    <w:rsid w:val="0036111E"/>
    <w:rsid w:val="00361E20"/>
    <w:rsid w:val="00363CDC"/>
    <w:rsid w:val="00367177"/>
    <w:rsid w:val="00367B83"/>
    <w:rsid w:val="00371417"/>
    <w:rsid w:val="0037177A"/>
    <w:rsid w:val="00371A95"/>
    <w:rsid w:val="00372DA0"/>
    <w:rsid w:val="0037610A"/>
    <w:rsid w:val="0038177B"/>
    <w:rsid w:val="00382E84"/>
    <w:rsid w:val="0038426D"/>
    <w:rsid w:val="003848B8"/>
    <w:rsid w:val="00384F36"/>
    <w:rsid w:val="00384F4B"/>
    <w:rsid w:val="0038523B"/>
    <w:rsid w:val="003875D9"/>
    <w:rsid w:val="00390295"/>
    <w:rsid w:val="003902EF"/>
    <w:rsid w:val="0039102F"/>
    <w:rsid w:val="00394A23"/>
    <w:rsid w:val="00396491"/>
    <w:rsid w:val="003974E4"/>
    <w:rsid w:val="00397767"/>
    <w:rsid w:val="003A08E1"/>
    <w:rsid w:val="003A1AFD"/>
    <w:rsid w:val="003A1C73"/>
    <w:rsid w:val="003A2103"/>
    <w:rsid w:val="003A25ED"/>
    <w:rsid w:val="003A4AA0"/>
    <w:rsid w:val="003A5D7E"/>
    <w:rsid w:val="003A5E1F"/>
    <w:rsid w:val="003A6F74"/>
    <w:rsid w:val="003B0434"/>
    <w:rsid w:val="003B29EB"/>
    <w:rsid w:val="003B2F30"/>
    <w:rsid w:val="003B37A3"/>
    <w:rsid w:val="003B54E8"/>
    <w:rsid w:val="003C1A32"/>
    <w:rsid w:val="003C3139"/>
    <w:rsid w:val="003C3274"/>
    <w:rsid w:val="003C3360"/>
    <w:rsid w:val="003C3CE9"/>
    <w:rsid w:val="003C40A5"/>
    <w:rsid w:val="003C6598"/>
    <w:rsid w:val="003C65D5"/>
    <w:rsid w:val="003C6CA8"/>
    <w:rsid w:val="003C6D77"/>
    <w:rsid w:val="003C6E24"/>
    <w:rsid w:val="003C79BF"/>
    <w:rsid w:val="003D0705"/>
    <w:rsid w:val="003D154A"/>
    <w:rsid w:val="003D1DBF"/>
    <w:rsid w:val="003D575C"/>
    <w:rsid w:val="003D788B"/>
    <w:rsid w:val="003E30AA"/>
    <w:rsid w:val="003E335A"/>
    <w:rsid w:val="003E5956"/>
    <w:rsid w:val="003E5D36"/>
    <w:rsid w:val="003F0D21"/>
    <w:rsid w:val="003F20D9"/>
    <w:rsid w:val="003F2B79"/>
    <w:rsid w:val="003F2E62"/>
    <w:rsid w:val="003F48FB"/>
    <w:rsid w:val="00401680"/>
    <w:rsid w:val="0040177E"/>
    <w:rsid w:val="00401981"/>
    <w:rsid w:val="004021AF"/>
    <w:rsid w:val="00404116"/>
    <w:rsid w:val="00405FEA"/>
    <w:rsid w:val="004061EC"/>
    <w:rsid w:val="004064D1"/>
    <w:rsid w:val="004077FC"/>
    <w:rsid w:val="00410D73"/>
    <w:rsid w:val="00412B25"/>
    <w:rsid w:val="0041647B"/>
    <w:rsid w:val="00416611"/>
    <w:rsid w:val="0042058E"/>
    <w:rsid w:val="004215E7"/>
    <w:rsid w:val="00423177"/>
    <w:rsid w:val="00424E0A"/>
    <w:rsid w:val="00426232"/>
    <w:rsid w:val="00426587"/>
    <w:rsid w:val="004306A4"/>
    <w:rsid w:val="00430F45"/>
    <w:rsid w:val="004313DF"/>
    <w:rsid w:val="00431416"/>
    <w:rsid w:val="00433533"/>
    <w:rsid w:val="00435249"/>
    <w:rsid w:val="00435C8B"/>
    <w:rsid w:val="00435D3B"/>
    <w:rsid w:val="0043684B"/>
    <w:rsid w:val="00436A93"/>
    <w:rsid w:val="00436D1E"/>
    <w:rsid w:val="00436FE2"/>
    <w:rsid w:val="00437B67"/>
    <w:rsid w:val="004407FB"/>
    <w:rsid w:val="00441D06"/>
    <w:rsid w:val="00441D0F"/>
    <w:rsid w:val="004420A4"/>
    <w:rsid w:val="00443649"/>
    <w:rsid w:val="0044387F"/>
    <w:rsid w:val="0044395E"/>
    <w:rsid w:val="00443B9E"/>
    <w:rsid w:val="004460C1"/>
    <w:rsid w:val="00446309"/>
    <w:rsid w:val="00450A9B"/>
    <w:rsid w:val="00450D4F"/>
    <w:rsid w:val="00451306"/>
    <w:rsid w:val="00451A50"/>
    <w:rsid w:val="00451F6B"/>
    <w:rsid w:val="004524B2"/>
    <w:rsid w:val="00455AD3"/>
    <w:rsid w:val="00455D87"/>
    <w:rsid w:val="00456E39"/>
    <w:rsid w:val="00457244"/>
    <w:rsid w:val="00457EBA"/>
    <w:rsid w:val="0046094E"/>
    <w:rsid w:val="00460E16"/>
    <w:rsid w:val="00461827"/>
    <w:rsid w:val="00462765"/>
    <w:rsid w:val="00462C90"/>
    <w:rsid w:val="00463B8B"/>
    <w:rsid w:val="004642C5"/>
    <w:rsid w:val="00465399"/>
    <w:rsid w:val="00465A13"/>
    <w:rsid w:val="004667A3"/>
    <w:rsid w:val="00466926"/>
    <w:rsid w:val="00467638"/>
    <w:rsid w:val="004713DE"/>
    <w:rsid w:val="00473B75"/>
    <w:rsid w:val="0047440F"/>
    <w:rsid w:val="00476189"/>
    <w:rsid w:val="00477855"/>
    <w:rsid w:val="00484672"/>
    <w:rsid w:val="004853A9"/>
    <w:rsid w:val="00486BFE"/>
    <w:rsid w:val="00490D0E"/>
    <w:rsid w:val="00493C3D"/>
    <w:rsid w:val="0049458C"/>
    <w:rsid w:val="00495532"/>
    <w:rsid w:val="0049645D"/>
    <w:rsid w:val="004A3E3D"/>
    <w:rsid w:val="004A4F18"/>
    <w:rsid w:val="004A5810"/>
    <w:rsid w:val="004A5CE0"/>
    <w:rsid w:val="004A6A78"/>
    <w:rsid w:val="004A7D45"/>
    <w:rsid w:val="004B3D30"/>
    <w:rsid w:val="004B4261"/>
    <w:rsid w:val="004B530F"/>
    <w:rsid w:val="004B5F92"/>
    <w:rsid w:val="004C30E5"/>
    <w:rsid w:val="004C37DE"/>
    <w:rsid w:val="004C5C9A"/>
    <w:rsid w:val="004D0889"/>
    <w:rsid w:val="004D1383"/>
    <w:rsid w:val="004D189D"/>
    <w:rsid w:val="004D1EA7"/>
    <w:rsid w:val="004D2D49"/>
    <w:rsid w:val="004E2DF2"/>
    <w:rsid w:val="004E44F3"/>
    <w:rsid w:val="004E48A4"/>
    <w:rsid w:val="004E5E9D"/>
    <w:rsid w:val="004E7334"/>
    <w:rsid w:val="004F071C"/>
    <w:rsid w:val="004F0A78"/>
    <w:rsid w:val="004F1475"/>
    <w:rsid w:val="004F3383"/>
    <w:rsid w:val="004F5AC2"/>
    <w:rsid w:val="004F5C13"/>
    <w:rsid w:val="004F6AA5"/>
    <w:rsid w:val="004F77AA"/>
    <w:rsid w:val="004F7F39"/>
    <w:rsid w:val="00501D42"/>
    <w:rsid w:val="00502181"/>
    <w:rsid w:val="00502F5F"/>
    <w:rsid w:val="005032D4"/>
    <w:rsid w:val="00504D28"/>
    <w:rsid w:val="005052F7"/>
    <w:rsid w:val="005070ED"/>
    <w:rsid w:val="00507CF1"/>
    <w:rsid w:val="00507FC8"/>
    <w:rsid w:val="005105AD"/>
    <w:rsid w:val="00512552"/>
    <w:rsid w:val="00513324"/>
    <w:rsid w:val="005151FF"/>
    <w:rsid w:val="00516386"/>
    <w:rsid w:val="00520565"/>
    <w:rsid w:val="00520CC5"/>
    <w:rsid w:val="005210A8"/>
    <w:rsid w:val="0052244E"/>
    <w:rsid w:val="00522C0F"/>
    <w:rsid w:val="005241C0"/>
    <w:rsid w:val="005251CE"/>
    <w:rsid w:val="005260DB"/>
    <w:rsid w:val="005274FC"/>
    <w:rsid w:val="00527CB7"/>
    <w:rsid w:val="00527D71"/>
    <w:rsid w:val="005304B2"/>
    <w:rsid w:val="00534FA1"/>
    <w:rsid w:val="00536D57"/>
    <w:rsid w:val="00541DCE"/>
    <w:rsid w:val="00541E3B"/>
    <w:rsid w:val="00543A76"/>
    <w:rsid w:val="00545B90"/>
    <w:rsid w:val="00545E4E"/>
    <w:rsid w:val="00547281"/>
    <w:rsid w:val="00551681"/>
    <w:rsid w:val="00551918"/>
    <w:rsid w:val="00551A29"/>
    <w:rsid w:val="00552654"/>
    <w:rsid w:val="00553D78"/>
    <w:rsid w:val="005540FD"/>
    <w:rsid w:val="00554591"/>
    <w:rsid w:val="0055464B"/>
    <w:rsid w:val="00555D4B"/>
    <w:rsid w:val="00555ED6"/>
    <w:rsid w:val="00556249"/>
    <w:rsid w:val="00556569"/>
    <w:rsid w:val="00556E5B"/>
    <w:rsid w:val="005609C0"/>
    <w:rsid w:val="00561013"/>
    <w:rsid w:val="00561938"/>
    <w:rsid w:val="00561CA3"/>
    <w:rsid w:val="0056292F"/>
    <w:rsid w:val="00563F8A"/>
    <w:rsid w:val="005654A4"/>
    <w:rsid w:val="00565BC9"/>
    <w:rsid w:val="005678E1"/>
    <w:rsid w:val="00570B71"/>
    <w:rsid w:val="00570D40"/>
    <w:rsid w:val="00571123"/>
    <w:rsid w:val="00575751"/>
    <w:rsid w:val="00575A7D"/>
    <w:rsid w:val="00576456"/>
    <w:rsid w:val="00576D71"/>
    <w:rsid w:val="00577976"/>
    <w:rsid w:val="0058037B"/>
    <w:rsid w:val="00580526"/>
    <w:rsid w:val="00580783"/>
    <w:rsid w:val="00583391"/>
    <w:rsid w:val="00583797"/>
    <w:rsid w:val="00583E05"/>
    <w:rsid w:val="00584007"/>
    <w:rsid w:val="00585B68"/>
    <w:rsid w:val="00586AE7"/>
    <w:rsid w:val="005876E3"/>
    <w:rsid w:val="00591A49"/>
    <w:rsid w:val="00591B83"/>
    <w:rsid w:val="005933F2"/>
    <w:rsid w:val="00593C41"/>
    <w:rsid w:val="00594940"/>
    <w:rsid w:val="0059563F"/>
    <w:rsid w:val="00596840"/>
    <w:rsid w:val="00596C72"/>
    <w:rsid w:val="005A01ED"/>
    <w:rsid w:val="005A3A5A"/>
    <w:rsid w:val="005A6646"/>
    <w:rsid w:val="005A7042"/>
    <w:rsid w:val="005A707C"/>
    <w:rsid w:val="005B026A"/>
    <w:rsid w:val="005B0953"/>
    <w:rsid w:val="005B52F4"/>
    <w:rsid w:val="005C116D"/>
    <w:rsid w:val="005C178A"/>
    <w:rsid w:val="005C1D31"/>
    <w:rsid w:val="005C740A"/>
    <w:rsid w:val="005C7649"/>
    <w:rsid w:val="005C7D36"/>
    <w:rsid w:val="005D27C3"/>
    <w:rsid w:val="005D2F54"/>
    <w:rsid w:val="005D365E"/>
    <w:rsid w:val="005D3B03"/>
    <w:rsid w:val="005D3DF7"/>
    <w:rsid w:val="005D450B"/>
    <w:rsid w:val="005D5FF0"/>
    <w:rsid w:val="005D66F5"/>
    <w:rsid w:val="005E0464"/>
    <w:rsid w:val="005E0734"/>
    <w:rsid w:val="005E2615"/>
    <w:rsid w:val="005E29E2"/>
    <w:rsid w:val="005E36C4"/>
    <w:rsid w:val="005E3D2B"/>
    <w:rsid w:val="005E4191"/>
    <w:rsid w:val="005E59C2"/>
    <w:rsid w:val="005F035B"/>
    <w:rsid w:val="005F14A2"/>
    <w:rsid w:val="005F36C4"/>
    <w:rsid w:val="005F376C"/>
    <w:rsid w:val="005F5621"/>
    <w:rsid w:val="00602D9A"/>
    <w:rsid w:val="00603A2A"/>
    <w:rsid w:val="00605274"/>
    <w:rsid w:val="0060656B"/>
    <w:rsid w:val="006073E4"/>
    <w:rsid w:val="0061038F"/>
    <w:rsid w:val="00611796"/>
    <w:rsid w:val="00612A48"/>
    <w:rsid w:val="006135B2"/>
    <w:rsid w:val="00613940"/>
    <w:rsid w:val="0061601E"/>
    <w:rsid w:val="00616EA6"/>
    <w:rsid w:val="00621ABC"/>
    <w:rsid w:val="00621D12"/>
    <w:rsid w:val="006236D2"/>
    <w:rsid w:val="00633003"/>
    <w:rsid w:val="00633A52"/>
    <w:rsid w:val="00634513"/>
    <w:rsid w:val="00634B43"/>
    <w:rsid w:val="00634F44"/>
    <w:rsid w:val="00635060"/>
    <w:rsid w:val="0063588A"/>
    <w:rsid w:val="00640135"/>
    <w:rsid w:val="00640625"/>
    <w:rsid w:val="00643F0F"/>
    <w:rsid w:val="0064609F"/>
    <w:rsid w:val="0064740C"/>
    <w:rsid w:val="00647645"/>
    <w:rsid w:val="00647F64"/>
    <w:rsid w:val="00647F72"/>
    <w:rsid w:val="00651BCE"/>
    <w:rsid w:val="00651EDD"/>
    <w:rsid w:val="00652E3D"/>
    <w:rsid w:val="00652FA9"/>
    <w:rsid w:val="00653074"/>
    <w:rsid w:val="0065342A"/>
    <w:rsid w:val="006537E6"/>
    <w:rsid w:val="00654523"/>
    <w:rsid w:val="00654BA4"/>
    <w:rsid w:val="00657D28"/>
    <w:rsid w:val="006607B2"/>
    <w:rsid w:val="006614F1"/>
    <w:rsid w:val="006616B6"/>
    <w:rsid w:val="006621EA"/>
    <w:rsid w:val="0066236D"/>
    <w:rsid w:val="00663924"/>
    <w:rsid w:val="00664F9B"/>
    <w:rsid w:val="00665123"/>
    <w:rsid w:val="0066513C"/>
    <w:rsid w:val="00665549"/>
    <w:rsid w:val="00665E63"/>
    <w:rsid w:val="00666405"/>
    <w:rsid w:val="0066795B"/>
    <w:rsid w:val="00671958"/>
    <w:rsid w:val="00673BDC"/>
    <w:rsid w:val="00676800"/>
    <w:rsid w:val="00681685"/>
    <w:rsid w:val="00682BB6"/>
    <w:rsid w:val="00682C62"/>
    <w:rsid w:val="0068349C"/>
    <w:rsid w:val="00686AB3"/>
    <w:rsid w:val="0069480E"/>
    <w:rsid w:val="006956D2"/>
    <w:rsid w:val="00695B5E"/>
    <w:rsid w:val="00697E04"/>
    <w:rsid w:val="006A14C1"/>
    <w:rsid w:val="006A1E95"/>
    <w:rsid w:val="006A2690"/>
    <w:rsid w:val="006A2765"/>
    <w:rsid w:val="006A3D66"/>
    <w:rsid w:val="006A4F17"/>
    <w:rsid w:val="006A6E24"/>
    <w:rsid w:val="006A7030"/>
    <w:rsid w:val="006A7235"/>
    <w:rsid w:val="006A75B6"/>
    <w:rsid w:val="006A78F6"/>
    <w:rsid w:val="006B0DB4"/>
    <w:rsid w:val="006B136E"/>
    <w:rsid w:val="006B1F0F"/>
    <w:rsid w:val="006B3230"/>
    <w:rsid w:val="006B32DE"/>
    <w:rsid w:val="006B51C8"/>
    <w:rsid w:val="006B71E3"/>
    <w:rsid w:val="006B7743"/>
    <w:rsid w:val="006C299F"/>
    <w:rsid w:val="006C3A51"/>
    <w:rsid w:val="006C4335"/>
    <w:rsid w:val="006C4B97"/>
    <w:rsid w:val="006C64A0"/>
    <w:rsid w:val="006C6983"/>
    <w:rsid w:val="006D14F1"/>
    <w:rsid w:val="006D2FE7"/>
    <w:rsid w:val="006D53B1"/>
    <w:rsid w:val="006D69A9"/>
    <w:rsid w:val="006E0610"/>
    <w:rsid w:val="006E0C71"/>
    <w:rsid w:val="006E1351"/>
    <w:rsid w:val="006E13BD"/>
    <w:rsid w:val="006E13C3"/>
    <w:rsid w:val="006E161D"/>
    <w:rsid w:val="006E1691"/>
    <w:rsid w:val="006E4A85"/>
    <w:rsid w:val="006E4D25"/>
    <w:rsid w:val="006E5D0A"/>
    <w:rsid w:val="006E6D11"/>
    <w:rsid w:val="006E766A"/>
    <w:rsid w:val="006F0271"/>
    <w:rsid w:val="006F0FE9"/>
    <w:rsid w:val="006F1C2D"/>
    <w:rsid w:val="006F1EC4"/>
    <w:rsid w:val="006F27D5"/>
    <w:rsid w:val="006F4293"/>
    <w:rsid w:val="006F6DE7"/>
    <w:rsid w:val="006F7410"/>
    <w:rsid w:val="006F7A24"/>
    <w:rsid w:val="006F7ED8"/>
    <w:rsid w:val="0070004D"/>
    <w:rsid w:val="007001C7"/>
    <w:rsid w:val="00701129"/>
    <w:rsid w:val="00702C1F"/>
    <w:rsid w:val="00703857"/>
    <w:rsid w:val="00703A65"/>
    <w:rsid w:val="00703A92"/>
    <w:rsid w:val="0070430B"/>
    <w:rsid w:val="00705B73"/>
    <w:rsid w:val="00710807"/>
    <w:rsid w:val="00710BDF"/>
    <w:rsid w:val="0071374F"/>
    <w:rsid w:val="00713A7F"/>
    <w:rsid w:val="00713F60"/>
    <w:rsid w:val="00715892"/>
    <w:rsid w:val="00716D4D"/>
    <w:rsid w:val="00717E8C"/>
    <w:rsid w:val="0072229A"/>
    <w:rsid w:val="007223D9"/>
    <w:rsid w:val="00722BA1"/>
    <w:rsid w:val="00723397"/>
    <w:rsid w:val="007241F6"/>
    <w:rsid w:val="00724647"/>
    <w:rsid w:val="00724913"/>
    <w:rsid w:val="007264C4"/>
    <w:rsid w:val="00731E50"/>
    <w:rsid w:val="007345FD"/>
    <w:rsid w:val="0073596E"/>
    <w:rsid w:val="0073600A"/>
    <w:rsid w:val="0074076C"/>
    <w:rsid w:val="00742DE8"/>
    <w:rsid w:val="0074381F"/>
    <w:rsid w:val="007467A6"/>
    <w:rsid w:val="00747F7E"/>
    <w:rsid w:val="00750CD7"/>
    <w:rsid w:val="00751525"/>
    <w:rsid w:val="00753CF1"/>
    <w:rsid w:val="007544C5"/>
    <w:rsid w:val="007549BA"/>
    <w:rsid w:val="00755057"/>
    <w:rsid w:val="00756CCE"/>
    <w:rsid w:val="00756ECB"/>
    <w:rsid w:val="00757692"/>
    <w:rsid w:val="00757C5A"/>
    <w:rsid w:val="00757FFA"/>
    <w:rsid w:val="00760C26"/>
    <w:rsid w:val="00761399"/>
    <w:rsid w:val="00762BCA"/>
    <w:rsid w:val="00762CB4"/>
    <w:rsid w:val="0076340C"/>
    <w:rsid w:val="00763968"/>
    <w:rsid w:val="00765387"/>
    <w:rsid w:val="00765EE0"/>
    <w:rsid w:val="0076678F"/>
    <w:rsid w:val="00767F8B"/>
    <w:rsid w:val="00771061"/>
    <w:rsid w:val="007751E8"/>
    <w:rsid w:val="00775BFC"/>
    <w:rsid w:val="00776266"/>
    <w:rsid w:val="0078353F"/>
    <w:rsid w:val="00787107"/>
    <w:rsid w:val="00787311"/>
    <w:rsid w:val="007904CA"/>
    <w:rsid w:val="0079203B"/>
    <w:rsid w:val="00793522"/>
    <w:rsid w:val="0079438B"/>
    <w:rsid w:val="00795591"/>
    <w:rsid w:val="007A09FB"/>
    <w:rsid w:val="007A5506"/>
    <w:rsid w:val="007A735F"/>
    <w:rsid w:val="007B00EC"/>
    <w:rsid w:val="007B03B9"/>
    <w:rsid w:val="007B050F"/>
    <w:rsid w:val="007B1F55"/>
    <w:rsid w:val="007B2607"/>
    <w:rsid w:val="007B31D4"/>
    <w:rsid w:val="007B3AAD"/>
    <w:rsid w:val="007B42AF"/>
    <w:rsid w:val="007B5819"/>
    <w:rsid w:val="007C2654"/>
    <w:rsid w:val="007C4004"/>
    <w:rsid w:val="007C4570"/>
    <w:rsid w:val="007C6EA6"/>
    <w:rsid w:val="007D0D71"/>
    <w:rsid w:val="007D1F38"/>
    <w:rsid w:val="007D2AD2"/>
    <w:rsid w:val="007D2C66"/>
    <w:rsid w:val="007D35A4"/>
    <w:rsid w:val="007D5379"/>
    <w:rsid w:val="007D6366"/>
    <w:rsid w:val="007D7726"/>
    <w:rsid w:val="007D79C5"/>
    <w:rsid w:val="007E128F"/>
    <w:rsid w:val="007E22E7"/>
    <w:rsid w:val="007E2B33"/>
    <w:rsid w:val="007E2CA9"/>
    <w:rsid w:val="007E37FB"/>
    <w:rsid w:val="007E531D"/>
    <w:rsid w:val="007E5DA1"/>
    <w:rsid w:val="007E684A"/>
    <w:rsid w:val="007E6894"/>
    <w:rsid w:val="007E700D"/>
    <w:rsid w:val="007E781F"/>
    <w:rsid w:val="007F0A4E"/>
    <w:rsid w:val="007F0F12"/>
    <w:rsid w:val="007F2370"/>
    <w:rsid w:val="007F2603"/>
    <w:rsid w:val="007F386F"/>
    <w:rsid w:val="007F5067"/>
    <w:rsid w:val="00801564"/>
    <w:rsid w:val="00801A87"/>
    <w:rsid w:val="008073A8"/>
    <w:rsid w:val="00811128"/>
    <w:rsid w:val="00811E46"/>
    <w:rsid w:val="00812DBC"/>
    <w:rsid w:val="00812E1B"/>
    <w:rsid w:val="008136F6"/>
    <w:rsid w:val="008155D4"/>
    <w:rsid w:val="00815DED"/>
    <w:rsid w:val="00815DFD"/>
    <w:rsid w:val="00816BD2"/>
    <w:rsid w:val="008174BE"/>
    <w:rsid w:val="00823961"/>
    <w:rsid w:val="00824032"/>
    <w:rsid w:val="008270C0"/>
    <w:rsid w:val="008274BF"/>
    <w:rsid w:val="008275B1"/>
    <w:rsid w:val="00830CFC"/>
    <w:rsid w:val="00832AA4"/>
    <w:rsid w:val="00835CE4"/>
    <w:rsid w:val="00836E94"/>
    <w:rsid w:val="0083722C"/>
    <w:rsid w:val="00843CD1"/>
    <w:rsid w:val="00843F83"/>
    <w:rsid w:val="00844B8D"/>
    <w:rsid w:val="0084566A"/>
    <w:rsid w:val="00845869"/>
    <w:rsid w:val="00847978"/>
    <w:rsid w:val="00847B7B"/>
    <w:rsid w:val="00847C93"/>
    <w:rsid w:val="00850326"/>
    <w:rsid w:val="00853DB5"/>
    <w:rsid w:val="008575F3"/>
    <w:rsid w:val="0086261A"/>
    <w:rsid w:val="00863861"/>
    <w:rsid w:val="00866272"/>
    <w:rsid w:val="00867245"/>
    <w:rsid w:val="00867FB4"/>
    <w:rsid w:val="008706B6"/>
    <w:rsid w:val="00870F9F"/>
    <w:rsid w:val="00872A5F"/>
    <w:rsid w:val="00872EFD"/>
    <w:rsid w:val="008739AF"/>
    <w:rsid w:val="008748F3"/>
    <w:rsid w:val="00874B0F"/>
    <w:rsid w:val="00880CD5"/>
    <w:rsid w:val="008842D9"/>
    <w:rsid w:val="00884B3A"/>
    <w:rsid w:val="00885AF0"/>
    <w:rsid w:val="00885C54"/>
    <w:rsid w:val="00886AD6"/>
    <w:rsid w:val="0088781C"/>
    <w:rsid w:val="008902C0"/>
    <w:rsid w:val="00891AC2"/>
    <w:rsid w:val="00892C28"/>
    <w:rsid w:val="008941C4"/>
    <w:rsid w:val="00894B43"/>
    <w:rsid w:val="00897E0B"/>
    <w:rsid w:val="008A18A4"/>
    <w:rsid w:val="008A1EE4"/>
    <w:rsid w:val="008A274A"/>
    <w:rsid w:val="008A4062"/>
    <w:rsid w:val="008A4068"/>
    <w:rsid w:val="008A5614"/>
    <w:rsid w:val="008A5C1A"/>
    <w:rsid w:val="008A7412"/>
    <w:rsid w:val="008A7D14"/>
    <w:rsid w:val="008B0BF6"/>
    <w:rsid w:val="008B2275"/>
    <w:rsid w:val="008B387E"/>
    <w:rsid w:val="008B3901"/>
    <w:rsid w:val="008B3A77"/>
    <w:rsid w:val="008B4819"/>
    <w:rsid w:val="008B594A"/>
    <w:rsid w:val="008B5CB4"/>
    <w:rsid w:val="008C01B4"/>
    <w:rsid w:val="008C048E"/>
    <w:rsid w:val="008C4578"/>
    <w:rsid w:val="008C5F87"/>
    <w:rsid w:val="008C6E99"/>
    <w:rsid w:val="008D1244"/>
    <w:rsid w:val="008D14E5"/>
    <w:rsid w:val="008D399E"/>
    <w:rsid w:val="008D5DE4"/>
    <w:rsid w:val="008D7BB1"/>
    <w:rsid w:val="008D7C37"/>
    <w:rsid w:val="008E1840"/>
    <w:rsid w:val="008E2274"/>
    <w:rsid w:val="008E2CD7"/>
    <w:rsid w:val="008E3FF8"/>
    <w:rsid w:val="008E5945"/>
    <w:rsid w:val="008F0B2E"/>
    <w:rsid w:val="008F0E30"/>
    <w:rsid w:val="008F0EBB"/>
    <w:rsid w:val="008F2023"/>
    <w:rsid w:val="008F2576"/>
    <w:rsid w:val="008F2B47"/>
    <w:rsid w:val="008F32C9"/>
    <w:rsid w:val="008F35CF"/>
    <w:rsid w:val="008F4684"/>
    <w:rsid w:val="008F66FE"/>
    <w:rsid w:val="008F6E6D"/>
    <w:rsid w:val="0090019D"/>
    <w:rsid w:val="009019F0"/>
    <w:rsid w:val="00903E28"/>
    <w:rsid w:val="00904E9F"/>
    <w:rsid w:val="00905B7C"/>
    <w:rsid w:val="009064F1"/>
    <w:rsid w:val="00910833"/>
    <w:rsid w:val="00910BE0"/>
    <w:rsid w:val="00912280"/>
    <w:rsid w:val="00913308"/>
    <w:rsid w:val="0091332C"/>
    <w:rsid w:val="009167C2"/>
    <w:rsid w:val="00916E76"/>
    <w:rsid w:val="00920272"/>
    <w:rsid w:val="00920A23"/>
    <w:rsid w:val="009222DE"/>
    <w:rsid w:val="00923A27"/>
    <w:rsid w:val="009240D0"/>
    <w:rsid w:val="00925249"/>
    <w:rsid w:val="00927B67"/>
    <w:rsid w:val="0093099A"/>
    <w:rsid w:val="00932C79"/>
    <w:rsid w:val="00934D7A"/>
    <w:rsid w:val="00935404"/>
    <w:rsid w:val="00936A85"/>
    <w:rsid w:val="0093767B"/>
    <w:rsid w:val="00940071"/>
    <w:rsid w:val="009407D6"/>
    <w:rsid w:val="009423E3"/>
    <w:rsid w:val="00942EE7"/>
    <w:rsid w:val="0094334C"/>
    <w:rsid w:val="00945A64"/>
    <w:rsid w:val="00947CF6"/>
    <w:rsid w:val="00950677"/>
    <w:rsid w:val="009560D4"/>
    <w:rsid w:val="00956FA4"/>
    <w:rsid w:val="0095798B"/>
    <w:rsid w:val="00957F32"/>
    <w:rsid w:val="00962331"/>
    <w:rsid w:val="00962877"/>
    <w:rsid w:val="00963AD9"/>
    <w:rsid w:val="00963F24"/>
    <w:rsid w:val="00964311"/>
    <w:rsid w:val="00964DDF"/>
    <w:rsid w:val="00965841"/>
    <w:rsid w:val="0096590A"/>
    <w:rsid w:val="0096691F"/>
    <w:rsid w:val="00966B9F"/>
    <w:rsid w:val="00966D60"/>
    <w:rsid w:val="00967E52"/>
    <w:rsid w:val="009716F5"/>
    <w:rsid w:val="00974D23"/>
    <w:rsid w:val="009758E5"/>
    <w:rsid w:val="009774B5"/>
    <w:rsid w:val="00980DDF"/>
    <w:rsid w:val="00981980"/>
    <w:rsid w:val="009821F0"/>
    <w:rsid w:val="00982D88"/>
    <w:rsid w:val="00983940"/>
    <w:rsid w:val="009839AF"/>
    <w:rsid w:val="00984B7F"/>
    <w:rsid w:val="0098647B"/>
    <w:rsid w:val="00990E29"/>
    <w:rsid w:val="00991826"/>
    <w:rsid w:val="00992F09"/>
    <w:rsid w:val="00994599"/>
    <w:rsid w:val="009961E5"/>
    <w:rsid w:val="009971D1"/>
    <w:rsid w:val="00997B4A"/>
    <w:rsid w:val="00997F1B"/>
    <w:rsid w:val="009A0B67"/>
    <w:rsid w:val="009A0E7F"/>
    <w:rsid w:val="009A18A6"/>
    <w:rsid w:val="009A378F"/>
    <w:rsid w:val="009A3C3A"/>
    <w:rsid w:val="009A7F83"/>
    <w:rsid w:val="009B165C"/>
    <w:rsid w:val="009B2871"/>
    <w:rsid w:val="009B3388"/>
    <w:rsid w:val="009B427B"/>
    <w:rsid w:val="009B5173"/>
    <w:rsid w:val="009B5D7E"/>
    <w:rsid w:val="009B6000"/>
    <w:rsid w:val="009C2A96"/>
    <w:rsid w:val="009C3186"/>
    <w:rsid w:val="009C45A1"/>
    <w:rsid w:val="009C7910"/>
    <w:rsid w:val="009D28B3"/>
    <w:rsid w:val="009D2CA6"/>
    <w:rsid w:val="009D3A76"/>
    <w:rsid w:val="009D417D"/>
    <w:rsid w:val="009D437F"/>
    <w:rsid w:val="009D4B3F"/>
    <w:rsid w:val="009D55E2"/>
    <w:rsid w:val="009D5ED1"/>
    <w:rsid w:val="009D7895"/>
    <w:rsid w:val="009E599C"/>
    <w:rsid w:val="009E6529"/>
    <w:rsid w:val="009F0200"/>
    <w:rsid w:val="009F2486"/>
    <w:rsid w:val="009F49E0"/>
    <w:rsid w:val="009F7D18"/>
    <w:rsid w:val="00A022E5"/>
    <w:rsid w:val="00A02490"/>
    <w:rsid w:val="00A02F14"/>
    <w:rsid w:val="00A03987"/>
    <w:rsid w:val="00A03EC7"/>
    <w:rsid w:val="00A04159"/>
    <w:rsid w:val="00A060F5"/>
    <w:rsid w:val="00A073C8"/>
    <w:rsid w:val="00A11D13"/>
    <w:rsid w:val="00A11F48"/>
    <w:rsid w:val="00A121B7"/>
    <w:rsid w:val="00A21439"/>
    <w:rsid w:val="00A21474"/>
    <w:rsid w:val="00A21C0F"/>
    <w:rsid w:val="00A22BDA"/>
    <w:rsid w:val="00A246F1"/>
    <w:rsid w:val="00A25783"/>
    <w:rsid w:val="00A2607F"/>
    <w:rsid w:val="00A27D5C"/>
    <w:rsid w:val="00A27D61"/>
    <w:rsid w:val="00A304BF"/>
    <w:rsid w:val="00A306CC"/>
    <w:rsid w:val="00A30E7D"/>
    <w:rsid w:val="00A30FEC"/>
    <w:rsid w:val="00A319D6"/>
    <w:rsid w:val="00A32E51"/>
    <w:rsid w:val="00A336F4"/>
    <w:rsid w:val="00A36B3A"/>
    <w:rsid w:val="00A4244C"/>
    <w:rsid w:val="00A42DCF"/>
    <w:rsid w:val="00A434F0"/>
    <w:rsid w:val="00A43729"/>
    <w:rsid w:val="00A44432"/>
    <w:rsid w:val="00A448FE"/>
    <w:rsid w:val="00A505E7"/>
    <w:rsid w:val="00A5085B"/>
    <w:rsid w:val="00A51D6E"/>
    <w:rsid w:val="00A51E9A"/>
    <w:rsid w:val="00A5278F"/>
    <w:rsid w:val="00A56C3E"/>
    <w:rsid w:val="00A57D8F"/>
    <w:rsid w:val="00A60C25"/>
    <w:rsid w:val="00A624E9"/>
    <w:rsid w:val="00A655D8"/>
    <w:rsid w:val="00A67DFC"/>
    <w:rsid w:val="00A701E2"/>
    <w:rsid w:val="00A7179A"/>
    <w:rsid w:val="00A7197F"/>
    <w:rsid w:val="00A71C96"/>
    <w:rsid w:val="00A730BA"/>
    <w:rsid w:val="00A76B57"/>
    <w:rsid w:val="00A77281"/>
    <w:rsid w:val="00A7730C"/>
    <w:rsid w:val="00A77585"/>
    <w:rsid w:val="00A77809"/>
    <w:rsid w:val="00A821AA"/>
    <w:rsid w:val="00A827D0"/>
    <w:rsid w:val="00A82C5F"/>
    <w:rsid w:val="00A8671B"/>
    <w:rsid w:val="00A87EF7"/>
    <w:rsid w:val="00A90C43"/>
    <w:rsid w:val="00A92457"/>
    <w:rsid w:val="00A9306A"/>
    <w:rsid w:val="00A96BFD"/>
    <w:rsid w:val="00A979E3"/>
    <w:rsid w:val="00A97BAE"/>
    <w:rsid w:val="00A97CDA"/>
    <w:rsid w:val="00AA02DF"/>
    <w:rsid w:val="00AA1033"/>
    <w:rsid w:val="00AA1F80"/>
    <w:rsid w:val="00AA2271"/>
    <w:rsid w:val="00AA23B6"/>
    <w:rsid w:val="00AA273C"/>
    <w:rsid w:val="00AA3D54"/>
    <w:rsid w:val="00AA401B"/>
    <w:rsid w:val="00AA5AB9"/>
    <w:rsid w:val="00AA6DB2"/>
    <w:rsid w:val="00AB27FA"/>
    <w:rsid w:val="00AB5B0C"/>
    <w:rsid w:val="00AB68A9"/>
    <w:rsid w:val="00AC1DAC"/>
    <w:rsid w:val="00AC5CEE"/>
    <w:rsid w:val="00AC75C5"/>
    <w:rsid w:val="00AC76EA"/>
    <w:rsid w:val="00AD02C5"/>
    <w:rsid w:val="00AD2B91"/>
    <w:rsid w:val="00AD2F0C"/>
    <w:rsid w:val="00AD3721"/>
    <w:rsid w:val="00AD4261"/>
    <w:rsid w:val="00AD5EA8"/>
    <w:rsid w:val="00AE02A6"/>
    <w:rsid w:val="00AE2B07"/>
    <w:rsid w:val="00AE3150"/>
    <w:rsid w:val="00AE4802"/>
    <w:rsid w:val="00AE57D0"/>
    <w:rsid w:val="00AE5D04"/>
    <w:rsid w:val="00AF2778"/>
    <w:rsid w:val="00B00BC9"/>
    <w:rsid w:val="00B03AAA"/>
    <w:rsid w:val="00B04ED5"/>
    <w:rsid w:val="00B056F3"/>
    <w:rsid w:val="00B05DB4"/>
    <w:rsid w:val="00B069AC"/>
    <w:rsid w:val="00B11B86"/>
    <w:rsid w:val="00B11DB1"/>
    <w:rsid w:val="00B11F2E"/>
    <w:rsid w:val="00B12A29"/>
    <w:rsid w:val="00B149F0"/>
    <w:rsid w:val="00B14F7D"/>
    <w:rsid w:val="00B15A08"/>
    <w:rsid w:val="00B163D1"/>
    <w:rsid w:val="00B168E6"/>
    <w:rsid w:val="00B1716B"/>
    <w:rsid w:val="00B17292"/>
    <w:rsid w:val="00B17A07"/>
    <w:rsid w:val="00B20922"/>
    <w:rsid w:val="00B21662"/>
    <w:rsid w:val="00B320A5"/>
    <w:rsid w:val="00B324C3"/>
    <w:rsid w:val="00B351CE"/>
    <w:rsid w:val="00B35305"/>
    <w:rsid w:val="00B35AF2"/>
    <w:rsid w:val="00B35F4E"/>
    <w:rsid w:val="00B36706"/>
    <w:rsid w:val="00B41BBA"/>
    <w:rsid w:val="00B47CED"/>
    <w:rsid w:val="00B47FC9"/>
    <w:rsid w:val="00B504D5"/>
    <w:rsid w:val="00B51CD9"/>
    <w:rsid w:val="00B524E8"/>
    <w:rsid w:val="00B525D8"/>
    <w:rsid w:val="00B53FB7"/>
    <w:rsid w:val="00B544A9"/>
    <w:rsid w:val="00B5488C"/>
    <w:rsid w:val="00B55301"/>
    <w:rsid w:val="00B56F22"/>
    <w:rsid w:val="00B574B5"/>
    <w:rsid w:val="00B6027E"/>
    <w:rsid w:val="00B6032A"/>
    <w:rsid w:val="00B611B4"/>
    <w:rsid w:val="00B61999"/>
    <w:rsid w:val="00B63B13"/>
    <w:rsid w:val="00B64864"/>
    <w:rsid w:val="00B70081"/>
    <w:rsid w:val="00B7041C"/>
    <w:rsid w:val="00B715FA"/>
    <w:rsid w:val="00B71A52"/>
    <w:rsid w:val="00B72FD9"/>
    <w:rsid w:val="00B736E9"/>
    <w:rsid w:val="00B737FF"/>
    <w:rsid w:val="00B73BA5"/>
    <w:rsid w:val="00B74932"/>
    <w:rsid w:val="00B7616D"/>
    <w:rsid w:val="00B8162A"/>
    <w:rsid w:val="00B822E7"/>
    <w:rsid w:val="00B82A21"/>
    <w:rsid w:val="00B83C93"/>
    <w:rsid w:val="00B84244"/>
    <w:rsid w:val="00B9059E"/>
    <w:rsid w:val="00B92038"/>
    <w:rsid w:val="00B9461A"/>
    <w:rsid w:val="00B956A2"/>
    <w:rsid w:val="00B96AC3"/>
    <w:rsid w:val="00B96D96"/>
    <w:rsid w:val="00B96F8D"/>
    <w:rsid w:val="00B97347"/>
    <w:rsid w:val="00B97512"/>
    <w:rsid w:val="00B97B80"/>
    <w:rsid w:val="00B97E95"/>
    <w:rsid w:val="00BA058F"/>
    <w:rsid w:val="00BA2B7A"/>
    <w:rsid w:val="00BA2D7D"/>
    <w:rsid w:val="00BB11A2"/>
    <w:rsid w:val="00BB2444"/>
    <w:rsid w:val="00BB6781"/>
    <w:rsid w:val="00BC05A7"/>
    <w:rsid w:val="00BD03C0"/>
    <w:rsid w:val="00BD28FC"/>
    <w:rsid w:val="00BD2B07"/>
    <w:rsid w:val="00BD3CA5"/>
    <w:rsid w:val="00BD7328"/>
    <w:rsid w:val="00BE0697"/>
    <w:rsid w:val="00BE0CBE"/>
    <w:rsid w:val="00BE338D"/>
    <w:rsid w:val="00BE3BF2"/>
    <w:rsid w:val="00BE46C7"/>
    <w:rsid w:val="00BE501B"/>
    <w:rsid w:val="00BE550A"/>
    <w:rsid w:val="00BE6332"/>
    <w:rsid w:val="00BE6BF9"/>
    <w:rsid w:val="00BE72D2"/>
    <w:rsid w:val="00BF0236"/>
    <w:rsid w:val="00BF15D1"/>
    <w:rsid w:val="00BF232E"/>
    <w:rsid w:val="00BF276C"/>
    <w:rsid w:val="00BF5119"/>
    <w:rsid w:val="00BF5805"/>
    <w:rsid w:val="00BF6C8D"/>
    <w:rsid w:val="00BF7774"/>
    <w:rsid w:val="00BF7839"/>
    <w:rsid w:val="00C00F52"/>
    <w:rsid w:val="00C025C6"/>
    <w:rsid w:val="00C03392"/>
    <w:rsid w:val="00C0722A"/>
    <w:rsid w:val="00C07BAD"/>
    <w:rsid w:val="00C15A64"/>
    <w:rsid w:val="00C15CFC"/>
    <w:rsid w:val="00C17AFB"/>
    <w:rsid w:val="00C208B9"/>
    <w:rsid w:val="00C23EDA"/>
    <w:rsid w:val="00C2701D"/>
    <w:rsid w:val="00C27532"/>
    <w:rsid w:val="00C32FC6"/>
    <w:rsid w:val="00C345AA"/>
    <w:rsid w:val="00C34608"/>
    <w:rsid w:val="00C358F8"/>
    <w:rsid w:val="00C35A5D"/>
    <w:rsid w:val="00C408C7"/>
    <w:rsid w:val="00C40E53"/>
    <w:rsid w:val="00C423BA"/>
    <w:rsid w:val="00C428F1"/>
    <w:rsid w:val="00C42E02"/>
    <w:rsid w:val="00C458B9"/>
    <w:rsid w:val="00C5258E"/>
    <w:rsid w:val="00C52822"/>
    <w:rsid w:val="00C536A9"/>
    <w:rsid w:val="00C5490A"/>
    <w:rsid w:val="00C55167"/>
    <w:rsid w:val="00C56477"/>
    <w:rsid w:val="00C57F18"/>
    <w:rsid w:val="00C6079F"/>
    <w:rsid w:val="00C6227E"/>
    <w:rsid w:val="00C624A5"/>
    <w:rsid w:val="00C62715"/>
    <w:rsid w:val="00C647F7"/>
    <w:rsid w:val="00C675E4"/>
    <w:rsid w:val="00C737DC"/>
    <w:rsid w:val="00C744C6"/>
    <w:rsid w:val="00C75E01"/>
    <w:rsid w:val="00C77582"/>
    <w:rsid w:val="00C7766F"/>
    <w:rsid w:val="00C80C6E"/>
    <w:rsid w:val="00C8122C"/>
    <w:rsid w:val="00C85DF3"/>
    <w:rsid w:val="00C86EA7"/>
    <w:rsid w:val="00C90B87"/>
    <w:rsid w:val="00C91F93"/>
    <w:rsid w:val="00C9286B"/>
    <w:rsid w:val="00C93080"/>
    <w:rsid w:val="00C934DA"/>
    <w:rsid w:val="00C9543D"/>
    <w:rsid w:val="00C95BF9"/>
    <w:rsid w:val="00C96ED6"/>
    <w:rsid w:val="00CA3711"/>
    <w:rsid w:val="00CA4F2C"/>
    <w:rsid w:val="00CA568B"/>
    <w:rsid w:val="00CA6484"/>
    <w:rsid w:val="00CB01B1"/>
    <w:rsid w:val="00CB2C9C"/>
    <w:rsid w:val="00CB350D"/>
    <w:rsid w:val="00CB4053"/>
    <w:rsid w:val="00CB70F5"/>
    <w:rsid w:val="00CC1030"/>
    <w:rsid w:val="00CC2A1C"/>
    <w:rsid w:val="00CC4A34"/>
    <w:rsid w:val="00CD0173"/>
    <w:rsid w:val="00CD0BF7"/>
    <w:rsid w:val="00CD6480"/>
    <w:rsid w:val="00CE257E"/>
    <w:rsid w:val="00CE53D3"/>
    <w:rsid w:val="00CE6153"/>
    <w:rsid w:val="00CE7569"/>
    <w:rsid w:val="00CE769F"/>
    <w:rsid w:val="00CF0FE4"/>
    <w:rsid w:val="00CF1A6B"/>
    <w:rsid w:val="00CF1DBA"/>
    <w:rsid w:val="00CF3F37"/>
    <w:rsid w:val="00CF4661"/>
    <w:rsid w:val="00CF4DB0"/>
    <w:rsid w:val="00CF6FAF"/>
    <w:rsid w:val="00CF723B"/>
    <w:rsid w:val="00D0100F"/>
    <w:rsid w:val="00D01E51"/>
    <w:rsid w:val="00D01FAD"/>
    <w:rsid w:val="00D0332D"/>
    <w:rsid w:val="00D0364E"/>
    <w:rsid w:val="00D03E73"/>
    <w:rsid w:val="00D03EE4"/>
    <w:rsid w:val="00D04C66"/>
    <w:rsid w:val="00D05FDE"/>
    <w:rsid w:val="00D101E0"/>
    <w:rsid w:val="00D1069B"/>
    <w:rsid w:val="00D106E8"/>
    <w:rsid w:val="00D11763"/>
    <w:rsid w:val="00D11B36"/>
    <w:rsid w:val="00D15CEA"/>
    <w:rsid w:val="00D161BA"/>
    <w:rsid w:val="00D21D99"/>
    <w:rsid w:val="00D22DA4"/>
    <w:rsid w:val="00D250FD"/>
    <w:rsid w:val="00D25366"/>
    <w:rsid w:val="00D26D17"/>
    <w:rsid w:val="00D308AC"/>
    <w:rsid w:val="00D30B0C"/>
    <w:rsid w:val="00D36B62"/>
    <w:rsid w:val="00D36B99"/>
    <w:rsid w:val="00D42539"/>
    <w:rsid w:val="00D44B04"/>
    <w:rsid w:val="00D4518C"/>
    <w:rsid w:val="00D46DC9"/>
    <w:rsid w:val="00D4786F"/>
    <w:rsid w:val="00D479B0"/>
    <w:rsid w:val="00D50549"/>
    <w:rsid w:val="00D517BE"/>
    <w:rsid w:val="00D51FA5"/>
    <w:rsid w:val="00D52FA8"/>
    <w:rsid w:val="00D53E6E"/>
    <w:rsid w:val="00D54854"/>
    <w:rsid w:val="00D55159"/>
    <w:rsid w:val="00D55164"/>
    <w:rsid w:val="00D55733"/>
    <w:rsid w:val="00D61335"/>
    <w:rsid w:val="00D61781"/>
    <w:rsid w:val="00D65292"/>
    <w:rsid w:val="00D665D8"/>
    <w:rsid w:val="00D67D24"/>
    <w:rsid w:val="00D71553"/>
    <w:rsid w:val="00D72BDD"/>
    <w:rsid w:val="00D731D9"/>
    <w:rsid w:val="00D741BD"/>
    <w:rsid w:val="00D74597"/>
    <w:rsid w:val="00D7505F"/>
    <w:rsid w:val="00D765E3"/>
    <w:rsid w:val="00D80DF4"/>
    <w:rsid w:val="00D823FE"/>
    <w:rsid w:val="00D83FD8"/>
    <w:rsid w:val="00D86462"/>
    <w:rsid w:val="00D86F20"/>
    <w:rsid w:val="00D87AF6"/>
    <w:rsid w:val="00D87FA6"/>
    <w:rsid w:val="00D90F39"/>
    <w:rsid w:val="00D9242B"/>
    <w:rsid w:val="00D97698"/>
    <w:rsid w:val="00D97E87"/>
    <w:rsid w:val="00DA1EDF"/>
    <w:rsid w:val="00DA3241"/>
    <w:rsid w:val="00DA4385"/>
    <w:rsid w:val="00DA491E"/>
    <w:rsid w:val="00DA565E"/>
    <w:rsid w:val="00DA5898"/>
    <w:rsid w:val="00DB0A4F"/>
    <w:rsid w:val="00DB0BE5"/>
    <w:rsid w:val="00DB1160"/>
    <w:rsid w:val="00DB21D0"/>
    <w:rsid w:val="00DB28C9"/>
    <w:rsid w:val="00DC0273"/>
    <w:rsid w:val="00DC326D"/>
    <w:rsid w:val="00DC4D1A"/>
    <w:rsid w:val="00DC4EE4"/>
    <w:rsid w:val="00DC549F"/>
    <w:rsid w:val="00DC5734"/>
    <w:rsid w:val="00DC614F"/>
    <w:rsid w:val="00DC773A"/>
    <w:rsid w:val="00DD0845"/>
    <w:rsid w:val="00DD09F4"/>
    <w:rsid w:val="00DD3CF7"/>
    <w:rsid w:val="00DD63C9"/>
    <w:rsid w:val="00DD7EDF"/>
    <w:rsid w:val="00DD7F80"/>
    <w:rsid w:val="00DE185C"/>
    <w:rsid w:val="00DE2661"/>
    <w:rsid w:val="00DE2A64"/>
    <w:rsid w:val="00DE54A3"/>
    <w:rsid w:val="00DE6C8C"/>
    <w:rsid w:val="00DF208F"/>
    <w:rsid w:val="00DF2E49"/>
    <w:rsid w:val="00DF3C33"/>
    <w:rsid w:val="00E00111"/>
    <w:rsid w:val="00E00324"/>
    <w:rsid w:val="00E027AD"/>
    <w:rsid w:val="00E03D21"/>
    <w:rsid w:val="00E03E17"/>
    <w:rsid w:val="00E04D95"/>
    <w:rsid w:val="00E04FB8"/>
    <w:rsid w:val="00E05D57"/>
    <w:rsid w:val="00E07C84"/>
    <w:rsid w:val="00E11106"/>
    <w:rsid w:val="00E1386A"/>
    <w:rsid w:val="00E20B7E"/>
    <w:rsid w:val="00E22035"/>
    <w:rsid w:val="00E233B1"/>
    <w:rsid w:val="00E25EBA"/>
    <w:rsid w:val="00E30CDC"/>
    <w:rsid w:val="00E318A4"/>
    <w:rsid w:val="00E323B2"/>
    <w:rsid w:val="00E32640"/>
    <w:rsid w:val="00E341FD"/>
    <w:rsid w:val="00E34BAD"/>
    <w:rsid w:val="00E3784C"/>
    <w:rsid w:val="00E4216A"/>
    <w:rsid w:val="00E4327D"/>
    <w:rsid w:val="00E47FAF"/>
    <w:rsid w:val="00E502F0"/>
    <w:rsid w:val="00E54515"/>
    <w:rsid w:val="00E546CC"/>
    <w:rsid w:val="00E546F3"/>
    <w:rsid w:val="00E5507A"/>
    <w:rsid w:val="00E57F4D"/>
    <w:rsid w:val="00E6186B"/>
    <w:rsid w:val="00E61FA5"/>
    <w:rsid w:val="00E653D0"/>
    <w:rsid w:val="00E66B08"/>
    <w:rsid w:val="00E671EE"/>
    <w:rsid w:val="00E67387"/>
    <w:rsid w:val="00E74F00"/>
    <w:rsid w:val="00E77EF6"/>
    <w:rsid w:val="00E77F44"/>
    <w:rsid w:val="00E80249"/>
    <w:rsid w:val="00E81259"/>
    <w:rsid w:val="00E872EB"/>
    <w:rsid w:val="00E90B76"/>
    <w:rsid w:val="00E92277"/>
    <w:rsid w:val="00E9475C"/>
    <w:rsid w:val="00E95EA4"/>
    <w:rsid w:val="00E96C78"/>
    <w:rsid w:val="00E97347"/>
    <w:rsid w:val="00E9763A"/>
    <w:rsid w:val="00E97DF8"/>
    <w:rsid w:val="00EA287C"/>
    <w:rsid w:val="00EA3325"/>
    <w:rsid w:val="00EA3730"/>
    <w:rsid w:val="00EA3CD1"/>
    <w:rsid w:val="00EA3DBD"/>
    <w:rsid w:val="00EA4179"/>
    <w:rsid w:val="00EA5C52"/>
    <w:rsid w:val="00EA6035"/>
    <w:rsid w:val="00EA6FAD"/>
    <w:rsid w:val="00EA74D0"/>
    <w:rsid w:val="00EB0C60"/>
    <w:rsid w:val="00EB1105"/>
    <w:rsid w:val="00EB20DD"/>
    <w:rsid w:val="00EB429F"/>
    <w:rsid w:val="00EB4E5F"/>
    <w:rsid w:val="00EB60AA"/>
    <w:rsid w:val="00EC0E19"/>
    <w:rsid w:val="00EC1DA5"/>
    <w:rsid w:val="00EC6534"/>
    <w:rsid w:val="00EC7368"/>
    <w:rsid w:val="00EC74F3"/>
    <w:rsid w:val="00ED1FBF"/>
    <w:rsid w:val="00ED2445"/>
    <w:rsid w:val="00ED37AB"/>
    <w:rsid w:val="00ED3ADF"/>
    <w:rsid w:val="00ED75CE"/>
    <w:rsid w:val="00ED76F9"/>
    <w:rsid w:val="00EE0834"/>
    <w:rsid w:val="00EE18A4"/>
    <w:rsid w:val="00EE1ABE"/>
    <w:rsid w:val="00EE3639"/>
    <w:rsid w:val="00EE3646"/>
    <w:rsid w:val="00EE3FA6"/>
    <w:rsid w:val="00EE49FC"/>
    <w:rsid w:val="00EE730A"/>
    <w:rsid w:val="00EE76DE"/>
    <w:rsid w:val="00EE7959"/>
    <w:rsid w:val="00EF1936"/>
    <w:rsid w:val="00EF22E2"/>
    <w:rsid w:val="00EF2644"/>
    <w:rsid w:val="00EF2A5E"/>
    <w:rsid w:val="00EF3025"/>
    <w:rsid w:val="00EF308F"/>
    <w:rsid w:val="00EF4EE8"/>
    <w:rsid w:val="00EF5C5A"/>
    <w:rsid w:val="00F016EC"/>
    <w:rsid w:val="00F055B4"/>
    <w:rsid w:val="00F056AF"/>
    <w:rsid w:val="00F05E44"/>
    <w:rsid w:val="00F10D9A"/>
    <w:rsid w:val="00F115EA"/>
    <w:rsid w:val="00F124DF"/>
    <w:rsid w:val="00F126C9"/>
    <w:rsid w:val="00F130DD"/>
    <w:rsid w:val="00F142EA"/>
    <w:rsid w:val="00F2290F"/>
    <w:rsid w:val="00F23000"/>
    <w:rsid w:val="00F263A5"/>
    <w:rsid w:val="00F27A2C"/>
    <w:rsid w:val="00F30C6E"/>
    <w:rsid w:val="00F323B1"/>
    <w:rsid w:val="00F33101"/>
    <w:rsid w:val="00F34321"/>
    <w:rsid w:val="00F35139"/>
    <w:rsid w:val="00F3542F"/>
    <w:rsid w:val="00F40635"/>
    <w:rsid w:val="00F40C7F"/>
    <w:rsid w:val="00F41A89"/>
    <w:rsid w:val="00F41EEF"/>
    <w:rsid w:val="00F42316"/>
    <w:rsid w:val="00F44A3B"/>
    <w:rsid w:val="00F44BC5"/>
    <w:rsid w:val="00F462C5"/>
    <w:rsid w:val="00F46905"/>
    <w:rsid w:val="00F46961"/>
    <w:rsid w:val="00F469FE"/>
    <w:rsid w:val="00F46E60"/>
    <w:rsid w:val="00F52C58"/>
    <w:rsid w:val="00F54094"/>
    <w:rsid w:val="00F56F4F"/>
    <w:rsid w:val="00F570BB"/>
    <w:rsid w:val="00F572C5"/>
    <w:rsid w:val="00F57B6F"/>
    <w:rsid w:val="00F63733"/>
    <w:rsid w:val="00F64F60"/>
    <w:rsid w:val="00F659DB"/>
    <w:rsid w:val="00F67A2C"/>
    <w:rsid w:val="00F71483"/>
    <w:rsid w:val="00F74BB7"/>
    <w:rsid w:val="00F76446"/>
    <w:rsid w:val="00F80F44"/>
    <w:rsid w:val="00F81CF4"/>
    <w:rsid w:val="00F820ED"/>
    <w:rsid w:val="00F85253"/>
    <w:rsid w:val="00F8604A"/>
    <w:rsid w:val="00F864F3"/>
    <w:rsid w:val="00F90035"/>
    <w:rsid w:val="00F91240"/>
    <w:rsid w:val="00F9141E"/>
    <w:rsid w:val="00F95221"/>
    <w:rsid w:val="00F96085"/>
    <w:rsid w:val="00FA0E99"/>
    <w:rsid w:val="00FA31EC"/>
    <w:rsid w:val="00FA55AE"/>
    <w:rsid w:val="00FA6004"/>
    <w:rsid w:val="00FA70C8"/>
    <w:rsid w:val="00FA7F68"/>
    <w:rsid w:val="00FB0C7E"/>
    <w:rsid w:val="00FB0F45"/>
    <w:rsid w:val="00FB21E6"/>
    <w:rsid w:val="00FB368F"/>
    <w:rsid w:val="00FB50BF"/>
    <w:rsid w:val="00FB67B6"/>
    <w:rsid w:val="00FB70F4"/>
    <w:rsid w:val="00FC0B39"/>
    <w:rsid w:val="00FC3558"/>
    <w:rsid w:val="00FC494A"/>
    <w:rsid w:val="00FC7879"/>
    <w:rsid w:val="00FD0D83"/>
    <w:rsid w:val="00FD1D6B"/>
    <w:rsid w:val="00FD36D4"/>
    <w:rsid w:val="00FD4DC8"/>
    <w:rsid w:val="00FD51E3"/>
    <w:rsid w:val="00FD5AFE"/>
    <w:rsid w:val="00FD5DB4"/>
    <w:rsid w:val="00FE17C4"/>
    <w:rsid w:val="00FE3682"/>
    <w:rsid w:val="00FE3ADC"/>
    <w:rsid w:val="00FE5536"/>
    <w:rsid w:val="00FE7247"/>
    <w:rsid w:val="00FE7C9B"/>
    <w:rsid w:val="00FF00B5"/>
    <w:rsid w:val="00FF0283"/>
    <w:rsid w:val="00FF0FFC"/>
    <w:rsid w:val="00FF3FD8"/>
    <w:rsid w:val="00FF6EED"/>
    <w:rsid w:val="00FF77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FA3D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qFormat/>
    <w:pPr>
      <w:keepNext/>
      <w:tabs>
        <w:tab w:val="num" w:pos="360"/>
      </w:tabs>
      <w:spacing w:before="240" w:after="60" w:line="240" w:lineRule="auto"/>
      <w:outlineLvl w:val="0"/>
    </w:pPr>
    <w:rPr>
      <w:rFonts w:ascii="Arial" w:eastAsia="Times New Roman" w:hAnsi="Arial" w:cs="Times New Roman"/>
      <w:b/>
      <w:kern w:val="28"/>
      <w:sz w:val="28"/>
      <w:szCs w:val="20"/>
      <w:lang w:val="es-ES"/>
    </w:rPr>
  </w:style>
  <w:style w:type="paragraph" w:styleId="Heading2">
    <w:name w:val="heading 2"/>
    <w:basedOn w:val="Normal"/>
    <w:link w:val="Heading2Char"/>
    <w:qFormat/>
    <w:pPr>
      <w:widowControl w:val="0"/>
      <w:spacing w:after="0" w:line="240" w:lineRule="auto"/>
      <w:ind w:left="820"/>
      <w:outlineLvl w:val="1"/>
    </w:pPr>
    <w:rPr>
      <w:rFonts w:ascii="Times New Roman" w:eastAsia="Times New Roman" w:hAnsi="Times New Roman"/>
      <w:b/>
      <w:bCs/>
      <w:sz w:val="24"/>
      <w:szCs w:val="24"/>
    </w:rPr>
  </w:style>
  <w:style w:type="paragraph" w:styleId="Heading3">
    <w:name w:val="heading 3"/>
    <w:basedOn w:val="Normal"/>
    <w:link w:val="Heading3Char"/>
    <w:qFormat/>
    <w:pPr>
      <w:widowControl w:val="0"/>
      <w:spacing w:after="0" w:line="240" w:lineRule="auto"/>
      <w:ind w:left="820" w:hanging="720"/>
      <w:outlineLvl w:val="2"/>
    </w:pPr>
    <w:rPr>
      <w:rFonts w:ascii="Times New Roman" w:eastAsia="Times New Roman" w:hAnsi="Times New Roman"/>
      <w:b/>
      <w:bCs/>
      <w:i/>
      <w:sz w:val="24"/>
      <w:szCs w:val="24"/>
    </w:rPr>
  </w:style>
  <w:style w:type="paragraph" w:styleId="Heading4">
    <w:name w:val="heading 4"/>
    <w:basedOn w:val="Normal"/>
    <w:next w:val="Normal"/>
    <w:link w:val="Heading4Char"/>
    <w:qFormat/>
    <w:pPr>
      <w:keepNext/>
      <w:tabs>
        <w:tab w:val="num" w:pos="2520"/>
      </w:tabs>
      <w:spacing w:before="240" w:after="60" w:line="240" w:lineRule="auto"/>
      <w:ind w:left="2160"/>
      <w:outlineLvl w:val="3"/>
    </w:pPr>
    <w:rPr>
      <w:rFonts w:ascii="Arial" w:eastAsia="Times New Roman" w:hAnsi="Arial" w:cs="Times New Roman"/>
      <w:b/>
      <w:sz w:val="24"/>
      <w:szCs w:val="20"/>
      <w:lang w:val="es-ES"/>
    </w:rPr>
  </w:style>
  <w:style w:type="paragraph" w:styleId="Heading5">
    <w:name w:val="heading 5"/>
    <w:basedOn w:val="Normal"/>
    <w:next w:val="Normal"/>
    <w:link w:val="Heading5Char"/>
    <w:qFormat/>
    <w:pPr>
      <w:numPr>
        <w:ilvl w:val="4"/>
        <w:numId w:val="5"/>
      </w:numPr>
      <w:spacing w:before="240" w:after="60" w:line="240" w:lineRule="auto"/>
      <w:outlineLvl w:val="4"/>
    </w:pPr>
    <w:rPr>
      <w:rFonts w:ascii="Times New Roman" w:eastAsia="Times New Roman" w:hAnsi="Times New Roman" w:cs="Times New Roman"/>
      <w:szCs w:val="20"/>
      <w:lang w:val="es-ES"/>
    </w:rPr>
  </w:style>
  <w:style w:type="paragraph" w:styleId="Heading6">
    <w:name w:val="heading 6"/>
    <w:basedOn w:val="Normal"/>
    <w:next w:val="Normal"/>
    <w:link w:val="Heading6Char"/>
    <w:qFormat/>
    <w:pPr>
      <w:numPr>
        <w:ilvl w:val="5"/>
        <w:numId w:val="5"/>
      </w:numPr>
      <w:spacing w:before="240" w:after="60" w:line="240" w:lineRule="auto"/>
      <w:outlineLvl w:val="5"/>
    </w:pPr>
    <w:rPr>
      <w:rFonts w:ascii="Times New Roman" w:eastAsia="Times New Roman" w:hAnsi="Times New Roman" w:cs="Times New Roman"/>
      <w:i/>
      <w:szCs w:val="20"/>
      <w:lang w:val="es-ES"/>
    </w:rPr>
  </w:style>
  <w:style w:type="paragraph" w:styleId="Heading7">
    <w:name w:val="heading 7"/>
    <w:basedOn w:val="Normal"/>
    <w:next w:val="Normal"/>
    <w:link w:val="Heading7Char"/>
    <w:qFormat/>
    <w:pPr>
      <w:numPr>
        <w:ilvl w:val="6"/>
        <w:numId w:val="5"/>
      </w:numPr>
      <w:spacing w:before="240" w:after="60" w:line="240" w:lineRule="auto"/>
      <w:outlineLvl w:val="6"/>
    </w:pPr>
    <w:rPr>
      <w:rFonts w:ascii="Arial" w:eastAsia="Times New Roman" w:hAnsi="Arial" w:cs="Times New Roman"/>
      <w:sz w:val="24"/>
      <w:szCs w:val="20"/>
      <w:lang w:val="es-ES"/>
    </w:rPr>
  </w:style>
  <w:style w:type="paragraph" w:styleId="Heading8">
    <w:name w:val="heading 8"/>
    <w:basedOn w:val="Normal"/>
    <w:next w:val="Normal"/>
    <w:link w:val="Heading8Char"/>
    <w:qFormat/>
    <w:pPr>
      <w:numPr>
        <w:ilvl w:val="7"/>
        <w:numId w:val="5"/>
      </w:numPr>
      <w:spacing w:before="240" w:after="60" w:line="240" w:lineRule="auto"/>
      <w:outlineLvl w:val="7"/>
    </w:pPr>
    <w:rPr>
      <w:rFonts w:ascii="Arial" w:eastAsia="Times New Roman" w:hAnsi="Arial" w:cs="Times New Roman"/>
      <w:i/>
      <w:sz w:val="24"/>
      <w:szCs w:val="20"/>
      <w:lang w:val="es-ES"/>
    </w:rPr>
  </w:style>
  <w:style w:type="paragraph" w:styleId="Heading9">
    <w:name w:val="heading 9"/>
    <w:basedOn w:val="Normal"/>
    <w:next w:val="Normal"/>
    <w:link w:val="Heading9Char"/>
    <w:qFormat/>
    <w:pPr>
      <w:numPr>
        <w:ilvl w:val="8"/>
        <w:numId w:val="5"/>
      </w:numPr>
      <w:spacing w:before="240" w:after="60" w:line="240" w:lineRule="auto"/>
      <w:outlineLvl w:val="8"/>
    </w:pPr>
    <w:rPr>
      <w:rFonts w:ascii="Arial" w:eastAsia="Times New Roman" w:hAnsi="Arial" w:cs="Times New Roman"/>
      <w:b/>
      <w:i/>
      <w:sz w:val="18"/>
      <w:szCs w:val="20"/>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Pr>
      <w:rFonts w:ascii="Arial" w:eastAsia="Times New Roman" w:hAnsi="Arial" w:cs="Times New Roman"/>
      <w:b/>
      <w:kern w:val="28"/>
      <w:sz w:val="28"/>
      <w:szCs w:val="20"/>
      <w:lang w:val="es-ES"/>
    </w:rPr>
  </w:style>
  <w:style w:type="character" w:customStyle="1" w:styleId="Heading2Char">
    <w:name w:val="Heading 2 Char"/>
    <w:basedOn w:val="DefaultParagraphFont"/>
    <w:link w:val="Heading2"/>
    <w:uiPriority w:val="1"/>
    <w:rPr>
      <w:rFonts w:ascii="Times New Roman" w:eastAsia="Times New Roman" w:hAnsi="Times New Roman"/>
      <w:b/>
      <w:bCs/>
      <w:sz w:val="24"/>
      <w:szCs w:val="24"/>
    </w:rPr>
  </w:style>
  <w:style w:type="character" w:customStyle="1" w:styleId="Heading3Char">
    <w:name w:val="Heading 3 Char"/>
    <w:basedOn w:val="DefaultParagraphFont"/>
    <w:link w:val="Heading3"/>
    <w:uiPriority w:val="1"/>
    <w:rPr>
      <w:rFonts w:ascii="Times New Roman" w:eastAsia="Times New Roman" w:hAnsi="Times New Roman"/>
      <w:b/>
      <w:bCs/>
      <w:i/>
      <w:sz w:val="24"/>
      <w:szCs w:val="24"/>
    </w:rPr>
  </w:style>
  <w:style w:type="character" w:customStyle="1" w:styleId="Heading4Char">
    <w:name w:val="Heading 4 Char"/>
    <w:basedOn w:val="DefaultParagraphFont"/>
    <w:link w:val="Heading4"/>
    <w:rPr>
      <w:rFonts w:ascii="Arial" w:eastAsia="Times New Roman" w:hAnsi="Arial" w:cs="Times New Roman"/>
      <w:b/>
      <w:sz w:val="24"/>
      <w:szCs w:val="20"/>
      <w:lang w:val="es-ES"/>
    </w:rPr>
  </w:style>
  <w:style w:type="character" w:customStyle="1" w:styleId="Heading5Char">
    <w:name w:val="Heading 5 Char"/>
    <w:basedOn w:val="DefaultParagraphFont"/>
    <w:link w:val="Heading5"/>
    <w:rPr>
      <w:rFonts w:ascii="Times New Roman" w:eastAsia="Times New Roman" w:hAnsi="Times New Roman" w:cs="Times New Roman"/>
      <w:szCs w:val="20"/>
      <w:lang w:val="es-ES"/>
    </w:rPr>
  </w:style>
  <w:style w:type="character" w:customStyle="1" w:styleId="Heading6Char">
    <w:name w:val="Heading 6 Char"/>
    <w:basedOn w:val="DefaultParagraphFont"/>
    <w:link w:val="Heading6"/>
    <w:rPr>
      <w:rFonts w:ascii="Times New Roman" w:eastAsia="Times New Roman" w:hAnsi="Times New Roman" w:cs="Times New Roman"/>
      <w:i/>
      <w:szCs w:val="20"/>
      <w:lang w:val="es-ES"/>
    </w:rPr>
  </w:style>
  <w:style w:type="character" w:customStyle="1" w:styleId="Heading7Char">
    <w:name w:val="Heading 7 Char"/>
    <w:basedOn w:val="DefaultParagraphFont"/>
    <w:link w:val="Heading7"/>
    <w:rPr>
      <w:rFonts w:ascii="Arial" w:eastAsia="Times New Roman" w:hAnsi="Arial" w:cs="Times New Roman"/>
      <w:sz w:val="24"/>
      <w:szCs w:val="20"/>
      <w:lang w:val="es-ES"/>
    </w:rPr>
  </w:style>
  <w:style w:type="character" w:customStyle="1" w:styleId="Heading8Char">
    <w:name w:val="Heading 8 Char"/>
    <w:basedOn w:val="DefaultParagraphFont"/>
    <w:link w:val="Heading8"/>
    <w:rPr>
      <w:rFonts w:ascii="Arial" w:eastAsia="Times New Roman" w:hAnsi="Arial" w:cs="Times New Roman"/>
      <w:i/>
      <w:sz w:val="24"/>
      <w:szCs w:val="20"/>
      <w:lang w:val="es-ES"/>
    </w:rPr>
  </w:style>
  <w:style w:type="character" w:customStyle="1" w:styleId="Heading9Char">
    <w:name w:val="Heading 9 Char"/>
    <w:basedOn w:val="DefaultParagraphFont"/>
    <w:link w:val="Heading9"/>
    <w:rPr>
      <w:rFonts w:ascii="Arial" w:eastAsia="Times New Roman" w:hAnsi="Arial" w:cs="Times New Roman"/>
      <w:b/>
      <w:i/>
      <w:sz w:val="18"/>
      <w:szCs w:val="20"/>
      <w:lang w:val="es-ES"/>
    </w:rPr>
  </w:style>
  <w:style w:type="paragraph" w:styleId="ListParagraph">
    <w:name w:val="List Paragraph"/>
    <w:aliases w:val="titulo 5"/>
    <w:basedOn w:val="Normal"/>
    <w:link w:val="ListParagraphChar"/>
    <w:qFormat/>
    <w:pPr>
      <w:ind w:left="720"/>
      <w:contextualSpacing/>
    </w:pPr>
  </w:style>
  <w:style w:type="character" w:customStyle="1" w:styleId="ListParagraphChar">
    <w:name w:val="List Paragraph Char"/>
    <w:aliases w:val="titulo 5 Char"/>
    <w:link w:val="ListParagraph"/>
    <w:uiPriority w:val="34"/>
    <w:locked/>
    <w:rsid w:val="008F0B2E"/>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ter">
    <w:name w:val="Chapter"/>
    <w:basedOn w:val="Normal"/>
    <w:next w:val="Normal"/>
    <w:link w:val="ChapterChar"/>
    <w:uiPriority w:val="99"/>
    <w:pPr>
      <w:keepNext/>
      <w:tabs>
        <w:tab w:val="num" w:pos="648"/>
        <w:tab w:val="left" w:pos="1440"/>
      </w:tabs>
      <w:spacing w:before="240" w:after="240" w:line="240" w:lineRule="auto"/>
      <w:ind w:firstLine="288"/>
      <w:jc w:val="center"/>
    </w:pPr>
    <w:rPr>
      <w:rFonts w:ascii="Times New Roman" w:hAnsi="Times New Roman" w:cs="Times New Roman"/>
      <w:b/>
      <w:smallCaps/>
      <w:sz w:val="24"/>
      <w:szCs w:val="24"/>
      <w:lang w:val="es-ES"/>
    </w:rPr>
  </w:style>
  <w:style w:type="character" w:customStyle="1" w:styleId="ChapterChar">
    <w:name w:val="Chapter Char"/>
    <w:basedOn w:val="DefaultParagraphFont"/>
    <w:link w:val="Chapter"/>
    <w:locked/>
    <w:rPr>
      <w:rFonts w:ascii="Times New Roman" w:hAnsi="Times New Roman" w:cs="Times New Roman"/>
      <w:b/>
      <w:smallCaps/>
      <w:sz w:val="24"/>
      <w:szCs w:val="24"/>
      <w:lang w:val="es-ES"/>
    </w:rPr>
  </w:style>
  <w:style w:type="paragraph" w:customStyle="1" w:styleId="subpar">
    <w:name w:val="subpar"/>
    <w:basedOn w:val="Normal"/>
    <w:uiPriority w:val="99"/>
    <w:pPr>
      <w:tabs>
        <w:tab w:val="num" w:pos="1152"/>
      </w:tabs>
      <w:spacing w:before="120" w:after="120" w:line="240" w:lineRule="auto"/>
      <w:ind w:left="1152" w:hanging="432"/>
      <w:jc w:val="both"/>
      <w:outlineLvl w:val="2"/>
    </w:pPr>
    <w:rPr>
      <w:rFonts w:ascii="Times New Roman" w:hAnsi="Times New Roman" w:cs="Times New Roman"/>
      <w:sz w:val="24"/>
      <w:szCs w:val="24"/>
      <w:lang w:val="es-ES"/>
    </w:rPr>
  </w:style>
  <w:style w:type="paragraph" w:customStyle="1" w:styleId="SubSubPar">
    <w:name w:val="SubSubPar"/>
    <w:basedOn w:val="subpar"/>
    <w:pPr>
      <w:tabs>
        <w:tab w:val="left" w:pos="0"/>
        <w:tab w:val="num" w:pos="1296"/>
        <w:tab w:val="num" w:pos="1584"/>
      </w:tabs>
      <w:ind w:left="0" w:firstLine="0"/>
    </w:pPr>
  </w:style>
  <w:style w:type="paragraph" w:customStyle="1" w:styleId="Paragraph">
    <w:name w:val="Paragraph"/>
    <w:aliases w:val="paragraph,p,PARAGRAPH,PG,pa,at"/>
    <w:basedOn w:val="Normal"/>
    <w:link w:val="ParagraphChar"/>
    <w:qFormat/>
    <w:pPr>
      <w:spacing w:before="120" w:after="120" w:line="240" w:lineRule="auto"/>
      <w:jc w:val="both"/>
      <w:outlineLvl w:val="1"/>
    </w:pPr>
    <w:rPr>
      <w:rFonts w:ascii="Times New Roman" w:hAnsi="Times New Roman" w:cs="Times New Roman"/>
      <w:sz w:val="24"/>
      <w:szCs w:val="24"/>
      <w:lang w:val="es-ES"/>
    </w:rPr>
  </w:style>
  <w:style w:type="character" w:customStyle="1" w:styleId="ParagraphChar">
    <w:name w:val="Paragraph Char"/>
    <w:aliases w:val="p Char,PARAGRAPH Char,PG Char,pa Char,at Char,paragraph Char"/>
    <w:basedOn w:val="DefaultParagraphFont"/>
    <w:link w:val="Paragraph"/>
    <w:locked/>
    <w:rPr>
      <w:rFonts w:ascii="Times New Roman" w:hAnsi="Times New Roman" w:cs="Times New Roman"/>
      <w:sz w:val="24"/>
      <w:szCs w:val="24"/>
      <w:lang w:val="es-ES"/>
    </w:rPr>
  </w:style>
  <w:style w:type="character" w:customStyle="1" w:styleId="Refdenotaderodap1">
    <w:name w:val="Ref. de nota de rodapé1"/>
    <w:aliases w:val="referencia nota al pie,Fußnotenzeichen DISS,16 Point,Superscript 6 Point,ftref,FC,Style 24,titulo 2,pie pddes,Ref,de nota al pie,Ref. de nota al pie.,Ref. de nota al pie EDEP,Footnote Reference Number,Footnote Reference_LVL6,fr"/>
    <w:basedOn w:val="DefaultParagraphFont"/>
    <w:uiPriority w:val="99"/>
    <w:qFormat/>
    <w:rPr>
      <w:vertAlign w:val="superscript"/>
    </w:rPr>
  </w:style>
  <w:style w:type="paragraph" w:styleId="FootnoteText">
    <w:name w:val="footnote text"/>
    <w:aliases w:val="foottextfra,footnote,F,Texto nota pie Car Car,Texto de rodapé,nota_rodapé,nota de rodapé,FOOTNOTES,single space,footnote text,Footnote Text Char Char,ADB,texto de nota al pie,Nota a pie/Bibliog,Texto nota pie Car Car Car,f,ft,single spac"/>
    <w:basedOn w:val="Normal"/>
    <w:link w:val="FootnoteTextChar"/>
    <w:uiPriority w:val="99"/>
    <w:unhideWhenUsed/>
    <w:qFormat/>
    <w:pPr>
      <w:spacing w:after="0" w:line="240" w:lineRule="auto"/>
    </w:pPr>
    <w:rPr>
      <w:sz w:val="20"/>
      <w:szCs w:val="20"/>
    </w:rPr>
  </w:style>
  <w:style w:type="character" w:customStyle="1" w:styleId="FootnoteTextChar">
    <w:name w:val="Footnote Text Char"/>
    <w:aliases w:val="foottextfra Char1,footnote Char1,F Char1,Texto nota pie Car Car Char1,Texto de rodapé Char1,nota_rodapé Char1,nota de rodapé Char1,FOOTNOTES Char1,single space Char1,footnote text Char1,Footnote Text Char Char Char,ADB Char1,f Char1"/>
    <w:basedOn w:val="DefaultParagraphFont"/>
    <w:link w:val="FootnoteText"/>
    <w:uiPriority w:val="99"/>
    <w:rPr>
      <w:sz w:val="20"/>
      <w:szCs w:val="20"/>
      <w:lang w:val="es-ES_tradnl"/>
    </w:rPr>
  </w:style>
  <w:style w:type="character" w:styleId="FootnoteReference">
    <w:name w:val="footnote reference"/>
    <w:aliases w:val="Referência de rodapé,SUPERS,Footnote Referencef,Footnote Referencefr,Char Char,Carattere Char1,Carattere Char Char Carattere Carattere Char Char,Appel note de bas de page,F1"/>
    <w:basedOn w:val="DefaultParagraphFont"/>
    <w:link w:val="Char2"/>
    <w:uiPriority w:val="99"/>
    <w:unhideWhenUsed/>
    <w:qFormat/>
    <w:rPr>
      <w:vertAlign w:val="superscript"/>
    </w:rPr>
  </w:style>
  <w:style w:type="paragraph" w:customStyle="1" w:styleId="Char2">
    <w:name w:val="Char2"/>
    <w:basedOn w:val="Normal"/>
    <w:link w:val="FootnoteReference"/>
    <w:rsid w:val="0063588A"/>
    <w:pPr>
      <w:spacing w:after="160" w:line="240" w:lineRule="exact"/>
    </w:pPr>
    <w:rPr>
      <w:vertAlign w:val="superscript"/>
    </w:rPr>
  </w:style>
  <w:style w:type="character" w:styleId="Hyperlink">
    <w:name w:val="Hyperlink"/>
    <w:basedOn w:val="DefaultParagraphFont"/>
    <w:uiPriority w:val="99"/>
    <w:unhideWhenUsed/>
    <w:rPr>
      <w:color w:val="0000FF" w:themeColor="hyperlink"/>
      <w:u w:val="single"/>
    </w:rPr>
  </w:style>
  <w:style w:type="character" w:styleId="FollowedHyperlink">
    <w:name w:val="FollowedHyperlink"/>
    <w:basedOn w:val="DefaultParagraphFont"/>
    <w:uiPriority w:val="99"/>
    <w:semiHidden/>
    <w:unhideWhenUsed/>
    <w:rPr>
      <w:color w:val="800080" w:themeColor="followedHyperlink"/>
      <w:u w:val="single"/>
    </w:rPr>
  </w:style>
  <w:style w:type="paragraph" w:customStyle="1" w:styleId="Default">
    <w:name w:val="Default"/>
    <w:pPr>
      <w:autoSpaceDE w:val="0"/>
      <w:autoSpaceDN w:val="0"/>
      <w:adjustRightInd w:val="0"/>
      <w:spacing w:after="0" w:line="240" w:lineRule="auto"/>
    </w:pPr>
    <w:rPr>
      <w:rFonts w:ascii="Cambria" w:hAnsi="Cambria" w:cs="Cambria"/>
      <w:color w:val="000000"/>
      <w:sz w:val="24"/>
      <w:szCs w:val="24"/>
    </w:rPr>
  </w:style>
  <w:style w:type="character" w:customStyle="1" w:styleId="TextodenotaderodapChar">
    <w:name w:val="Texto de nota de rodapé Char"/>
    <w:aliases w:val="fn Char,Footnote Text Char1,foottextfra Char,footnote Char,F Char,Texto nota pie Car Car Char,Texto de rodapé Char,nota_rodapé Char,nota de rodapé Char,FOOTNOTES Char,single space Char,footnote text Char,ADB Char,f Char"/>
    <w:basedOn w:val="DefaultParagraphFont"/>
    <w:link w:val="Textodenotaderodap1"/>
    <w:uiPriority w:val="99"/>
    <w:locked/>
    <w:rPr>
      <w:spacing w:val="-3"/>
      <w:lang w:val="x-none" w:eastAsia="x-none"/>
    </w:rPr>
  </w:style>
  <w:style w:type="paragraph" w:customStyle="1" w:styleId="Textodenotaderodap1">
    <w:name w:val="Texto de nota de rodapé1"/>
    <w:aliases w:val="fn"/>
    <w:basedOn w:val="Normal"/>
    <w:link w:val="TextodenotaderodapChar"/>
    <w:pPr>
      <w:keepNext/>
      <w:keepLines/>
      <w:spacing w:after="120" w:line="240" w:lineRule="auto"/>
      <w:ind w:left="288" w:hanging="288"/>
      <w:jc w:val="both"/>
    </w:pPr>
    <w:rPr>
      <w:spacing w:val="-3"/>
      <w:lang w:val="x-none" w:eastAsia="x-none"/>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val="es-ES_tradnl"/>
    </w:rPr>
  </w:style>
  <w:style w:type="character" w:styleId="CommentReference">
    <w:name w:val="annotation reference"/>
    <w:basedOn w:val="DefaultParagraphFont"/>
    <w:unhideWhenUsed/>
    <w:rPr>
      <w:sz w:val="18"/>
      <w:szCs w:val="18"/>
    </w:rPr>
  </w:style>
  <w:style w:type="paragraph" w:styleId="CommentText">
    <w:name w:val="annotation text"/>
    <w:basedOn w:val="Normal"/>
    <w:link w:val="CommentTextChar"/>
    <w:uiPriority w:val="99"/>
    <w:unhideWhenUsed/>
    <w:pPr>
      <w:spacing w:line="240" w:lineRule="auto"/>
    </w:pPr>
    <w:rPr>
      <w:sz w:val="24"/>
      <w:szCs w:val="24"/>
    </w:rPr>
  </w:style>
  <w:style w:type="character" w:customStyle="1" w:styleId="CommentTextChar">
    <w:name w:val="Comment Text Char"/>
    <w:basedOn w:val="DefaultParagraphFont"/>
    <w:link w:val="CommentText"/>
    <w:uiPriority w:val="99"/>
    <w:rPr>
      <w:sz w:val="24"/>
      <w:szCs w:val="24"/>
    </w:rPr>
  </w:style>
  <w:style w:type="paragraph" w:styleId="CommentSubject">
    <w:name w:val="annotation subject"/>
    <w:basedOn w:val="CommentText"/>
    <w:next w:val="CommentText"/>
    <w:link w:val="CommentSubjectChar"/>
    <w:uiPriority w:val="99"/>
    <w:semiHidden/>
    <w:unhideWhenUsed/>
    <w:rPr>
      <w:b/>
      <w:bCs/>
      <w:sz w:val="20"/>
      <w:szCs w:val="20"/>
    </w:rPr>
  </w:style>
  <w:style w:type="character" w:customStyle="1" w:styleId="CommentSubjectChar">
    <w:name w:val="Comment Subject Char"/>
    <w:basedOn w:val="CommentTextChar"/>
    <w:link w:val="CommentSubject"/>
    <w:uiPriority w:val="99"/>
    <w:semiHidden/>
    <w:rPr>
      <w:b/>
      <w:bCs/>
      <w:sz w:val="20"/>
      <w:szCs w:val="20"/>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styleId="Revision">
    <w:name w:val="Revision"/>
    <w:hidden/>
    <w:uiPriority w:val="99"/>
    <w:semiHidden/>
    <w:pPr>
      <w:spacing w:after="0" w:line="240" w:lineRule="auto"/>
    </w:pPr>
  </w:style>
  <w:style w:type="table" w:customStyle="1" w:styleId="TableNormal1">
    <w:name w:val="Table Normal1"/>
    <w:uiPriority w:val="2"/>
    <w:semiHidden/>
    <w:unhideWhenUsed/>
    <w:qFormat/>
    <w:pPr>
      <w:widowControl w:val="0"/>
      <w:spacing w:after="0" w:line="240" w:lineRule="auto"/>
    </w:pPr>
    <w:rPr>
      <w:rFonts w:eastAsiaTheme="minorHAnsi"/>
    </w:rPr>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widowControl w:val="0"/>
      <w:spacing w:after="0" w:line="240" w:lineRule="auto"/>
      <w:ind w:left="100"/>
    </w:pPr>
    <w:rPr>
      <w:rFonts w:ascii="Times New Roman" w:eastAsia="Times New Roman" w:hAnsi="Times New Roman"/>
      <w:sz w:val="24"/>
      <w:szCs w:val="24"/>
    </w:rPr>
  </w:style>
  <w:style w:type="character" w:customStyle="1" w:styleId="BodyTextChar">
    <w:name w:val="Body Text Char"/>
    <w:basedOn w:val="DefaultParagraphFont"/>
    <w:link w:val="BodyText"/>
    <w:uiPriority w:val="1"/>
    <w:rPr>
      <w:rFonts w:ascii="Times New Roman" w:eastAsia="Times New Roman" w:hAnsi="Times New Roman"/>
      <w:sz w:val="24"/>
      <w:szCs w:val="24"/>
    </w:rPr>
  </w:style>
  <w:style w:type="paragraph" w:customStyle="1" w:styleId="TableParagraph">
    <w:name w:val="Table Paragraph"/>
    <w:basedOn w:val="Normal"/>
    <w:uiPriority w:val="1"/>
    <w:qFormat/>
    <w:pPr>
      <w:widowControl w:val="0"/>
      <w:spacing w:after="0" w:line="240" w:lineRule="auto"/>
    </w:pPr>
    <w:rPr>
      <w:rFonts w:eastAsiaTheme="minorHAnsi"/>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heme="minorHAnsi" w:hAnsi="Times New Roman" w:cs="Times New Roman"/>
      <w:sz w:val="24"/>
      <w:szCs w:val="24"/>
    </w:rPr>
  </w:style>
  <w:style w:type="paragraph" w:customStyle="1" w:styleId="FirstHeading">
    <w:name w:val="FirstHeading"/>
    <w:basedOn w:val="Normal"/>
    <w:next w:val="Normal"/>
    <w:pPr>
      <w:keepNext/>
      <w:tabs>
        <w:tab w:val="left" w:pos="0"/>
        <w:tab w:val="left" w:pos="86"/>
      </w:tabs>
      <w:spacing w:before="120" w:after="120" w:line="240" w:lineRule="auto"/>
      <w:ind w:left="4824" w:hanging="720"/>
    </w:pPr>
    <w:rPr>
      <w:rFonts w:ascii="Times New Roman" w:eastAsia="Times New Roman" w:hAnsi="Times New Roman" w:cs="Times New Roman"/>
      <w:b/>
      <w:sz w:val="24"/>
      <w:szCs w:val="20"/>
      <w:lang w:val="es-ES"/>
    </w:rPr>
  </w:style>
  <w:style w:type="paragraph" w:customStyle="1" w:styleId="SecHeading">
    <w:name w:val="SecHeading"/>
    <w:basedOn w:val="Normal"/>
    <w:next w:val="Paragraph"/>
    <w:pPr>
      <w:keepNext/>
      <w:tabs>
        <w:tab w:val="num" w:pos="1296"/>
      </w:tabs>
      <w:spacing w:before="120" w:after="120" w:line="240" w:lineRule="auto"/>
      <w:ind w:left="1296" w:hanging="576"/>
    </w:pPr>
    <w:rPr>
      <w:rFonts w:ascii="Times New Roman" w:eastAsia="Times New Roman" w:hAnsi="Times New Roman" w:cs="Times New Roman"/>
      <w:b/>
      <w:sz w:val="24"/>
      <w:szCs w:val="20"/>
      <w:lang w:val="es-ES"/>
    </w:rPr>
  </w:style>
  <w:style w:type="paragraph" w:customStyle="1" w:styleId="SubHeading1">
    <w:name w:val="SubHeading1"/>
    <w:basedOn w:val="SecHeading"/>
    <w:pPr>
      <w:numPr>
        <w:ilvl w:val="2"/>
      </w:numPr>
      <w:tabs>
        <w:tab w:val="num" w:pos="1296"/>
        <w:tab w:val="num" w:pos="1872"/>
      </w:tabs>
      <w:ind w:left="1872" w:hanging="576"/>
    </w:pPr>
  </w:style>
  <w:style w:type="paragraph" w:customStyle="1" w:styleId="Subheading2">
    <w:name w:val="Subheading2"/>
    <w:basedOn w:val="SecHeading"/>
    <w:pPr>
      <w:numPr>
        <w:ilvl w:val="3"/>
      </w:numPr>
      <w:tabs>
        <w:tab w:val="num" w:pos="1296"/>
        <w:tab w:val="num" w:pos="2376"/>
      </w:tabs>
      <w:ind w:left="2376" w:hanging="576"/>
    </w:pPr>
  </w:style>
  <w:style w:type="character" w:customStyle="1" w:styleId="Mention1">
    <w:name w:val="Mention1"/>
    <w:basedOn w:val="DefaultParagraphFont"/>
    <w:uiPriority w:val="99"/>
    <w:semiHidden/>
    <w:unhideWhenUsed/>
    <w:rPr>
      <w:color w:val="2B579A"/>
      <w:shd w:val="clear" w:color="auto" w:fill="E6E6E6"/>
    </w:rPr>
  </w:style>
  <w:style w:type="paragraph" w:styleId="TOCHeading">
    <w:name w:val="TOC Heading"/>
    <w:basedOn w:val="Heading1"/>
    <w:next w:val="Normal"/>
    <w:uiPriority w:val="39"/>
    <w:unhideWhenUsed/>
    <w:qFormat/>
    <w:pPr>
      <w:keepLines/>
      <w:tabs>
        <w:tab w:val="clear" w:pos="360"/>
      </w:tabs>
      <w:spacing w:after="0" w:line="259" w:lineRule="auto"/>
      <w:outlineLvl w:val="9"/>
    </w:pPr>
    <w:rPr>
      <w:rFonts w:asciiTheme="majorHAnsi" w:eastAsiaTheme="majorEastAsia" w:hAnsiTheme="majorHAnsi" w:cstheme="majorBidi"/>
      <w:b w:val="0"/>
      <w:color w:val="365F91" w:themeColor="accent1" w:themeShade="BF"/>
      <w:kern w:val="0"/>
      <w:sz w:val="32"/>
      <w:szCs w:val="32"/>
      <w:lang w:val="en-US"/>
    </w:rPr>
  </w:style>
  <w:style w:type="paragraph" w:styleId="TOC3">
    <w:name w:val="toc 3"/>
    <w:basedOn w:val="Normal"/>
    <w:next w:val="Normal"/>
    <w:autoRedefine/>
    <w:uiPriority w:val="39"/>
    <w:unhideWhenUsed/>
    <w:pPr>
      <w:spacing w:after="100"/>
      <w:ind w:left="440"/>
    </w:pPr>
  </w:style>
  <w:style w:type="paragraph" w:styleId="TOC1">
    <w:name w:val="toc 1"/>
    <w:basedOn w:val="Normal"/>
    <w:next w:val="Normal"/>
    <w:autoRedefine/>
    <w:uiPriority w:val="39"/>
    <w:unhideWhenUsed/>
    <w:pPr>
      <w:tabs>
        <w:tab w:val="left" w:pos="440"/>
        <w:tab w:val="right" w:leader="dot" w:pos="9016"/>
      </w:tabs>
      <w:spacing w:after="100"/>
      <w:jc w:val="center"/>
    </w:pPr>
  </w:style>
  <w:style w:type="paragraph" w:styleId="TOC2">
    <w:name w:val="toc 2"/>
    <w:basedOn w:val="Normal"/>
    <w:next w:val="Normal"/>
    <w:autoRedefine/>
    <w:uiPriority w:val="39"/>
    <w:unhideWhenUsed/>
    <w:rsid w:val="00553D78"/>
    <w:pPr>
      <w:tabs>
        <w:tab w:val="left" w:pos="880"/>
        <w:tab w:val="right" w:leader="dot" w:pos="9102"/>
      </w:tabs>
      <w:spacing w:after="100"/>
      <w:ind w:left="220"/>
    </w:pPr>
  </w:style>
  <w:style w:type="paragraph" w:styleId="Caption">
    <w:name w:val="caption"/>
    <w:basedOn w:val="Normal"/>
    <w:next w:val="Normal"/>
    <w:unhideWhenUsed/>
    <w:qFormat/>
    <w:pPr>
      <w:spacing w:after="0" w:line="240" w:lineRule="auto"/>
    </w:pPr>
    <w:rPr>
      <w:rFonts w:ascii="Times New Roman" w:eastAsia="Times New Roman" w:hAnsi="Times New Roman" w:cs="Times New Roman"/>
      <w:b/>
      <w:bCs/>
      <w:noProof/>
      <w:sz w:val="20"/>
      <w:szCs w:val="20"/>
      <w:lang w:val="es-ES" w:eastAsia="es-ES"/>
    </w:rPr>
  </w:style>
  <w:style w:type="character" w:styleId="PlaceholderText">
    <w:name w:val="Placeholder Text"/>
    <w:basedOn w:val="DefaultParagraphFont"/>
    <w:uiPriority w:val="99"/>
    <w:semiHidden/>
    <w:rPr>
      <w:color w:val="808080"/>
    </w:rPr>
  </w:style>
  <w:style w:type="character" w:customStyle="1" w:styleId="Mencionar1">
    <w:name w:val="Mencionar1"/>
    <w:basedOn w:val="DefaultParagraphFont"/>
    <w:uiPriority w:val="99"/>
    <w:semiHidden/>
    <w:unhideWhenUsed/>
    <w:rPr>
      <w:color w:val="2B579A"/>
      <w:shd w:val="clear" w:color="auto" w:fill="E6E6E6"/>
    </w:rPr>
  </w:style>
  <w:style w:type="character" w:customStyle="1" w:styleId="Mencinsinresolver1">
    <w:name w:val="Mención sin resolver1"/>
    <w:basedOn w:val="DefaultParagraphFont"/>
    <w:uiPriority w:val="99"/>
    <w:semiHidden/>
    <w:unhideWhenUsed/>
    <w:rPr>
      <w:color w:val="808080"/>
      <w:shd w:val="clear" w:color="auto" w:fill="E6E6E6"/>
    </w:rPr>
  </w:style>
  <w:style w:type="character" w:customStyle="1" w:styleId="pages4">
    <w:name w:val="pages4"/>
    <w:basedOn w:val="DefaultParagraphFont"/>
    <w:rsid w:val="0056292F"/>
  </w:style>
  <w:style w:type="character" w:styleId="Emphasis">
    <w:name w:val="Emphasis"/>
    <w:basedOn w:val="DefaultParagraphFont"/>
    <w:uiPriority w:val="20"/>
    <w:qFormat/>
    <w:rsid w:val="005D450B"/>
    <w:rPr>
      <w:i/>
      <w:iCs/>
    </w:rPr>
  </w:style>
  <w:style w:type="paragraph" w:customStyle="1" w:styleId="Compact">
    <w:name w:val="Compact"/>
    <w:basedOn w:val="BodyText"/>
    <w:qFormat/>
    <w:rsid w:val="00F41A89"/>
    <w:pPr>
      <w:widowControl/>
      <w:spacing w:before="36" w:after="36"/>
      <w:ind w:left="0"/>
    </w:pPr>
    <w:rPr>
      <w:rFonts w:asciiTheme="minorHAnsi" w:eastAsiaTheme="minorHAnsi" w:hAnsiTheme="minorHAnsi"/>
    </w:rPr>
  </w:style>
  <w:style w:type="paragraph" w:customStyle="1" w:styleId="FirstParagraph">
    <w:name w:val="First Paragraph"/>
    <w:basedOn w:val="BodyText"/>
    <w:next w:val="BodyText"/>
    <w:qFormat/>
    <w:rsid w:val="008F6E6D"/>
    <w:pPr>
      <w:widowControl/>
      <w:spacing w:before="180" w:after="180"/>
      <w:ind w:left="0"/>
    </w:pPr>
    <w:rPr>
      <w:rFonts w:asciiTheme="minorHAnsi" w:eastAsiaTheme="minorHAnsi" w:hAnsiTheme="minorHAnsi"/>
    </w:rPr>
  </w:style>
  <w:style w:type="paragraph" w:customStyle="1" w:styleId="MediumGrid21">
    <w:name w:val="Medium Grid 21"/>
    <w:link w:val="MediumGrid2Char"/>
    <w:uiPriority w:val="1"/>
    <w:qFormat/>
    <w:rsid w:val="00477855"/>
    <w:pPr>
      <w:spacing w:after="0" w:line="240" w:lineRule="auto"/>
    </w:pPr>
    <w:rPr>
      <w:rFonts w:ascii="Calibri" w:eastAsia="MS Mincho" w:hAnsi="Calibri" w:cs="Arial"/>
      <w:lang w:eastAsia="ja-JP"/>
    </w:rPr>
  </w:style>
  <w:style w:type="character" w:customStyle="1" w:styleId="MediumGrid2Char">
    <w:name w:val="Medium Grid 2 Char"/>
    <w:link w:val="MediumGrid21"/>
    <w:uiPriority w:val="1"/>
    <w:rsid w:val="00477855"/>
    <w:rPr>
      <w:rFonts w:ascii="Calibri" w:eastAsia="MS Mincho" w:hAnsi="Calibri" w:cs="Arial"/>
      <w:lang w:eastAsia="ja-JP"/>
    </w:rPr>
  </w:style>
  <w:style w:type="paragraph" w:styleId="TOC4">
    <w:name w:val="toc 4"/>
    <w:basedOn w:val="Normal"/>
    <w:next w:val="Normal"/>
    <w:autoRedefine/>
    <w:uiPriority w:val="39"/>
    <w:unhideWhenUsed/>
    <w:rsid w:val="00066619"/>
    <w:pPr>
      <w:spacing w:after="100"/>
      <w:ind w:left="660"/>
    </w:pPr>
    <w:rPr>
      <w:lang w:val="es-EC" w:eastAsia="es-EC"/>
    </w:rPr>
  </w:style>
  <w:style w:type="paragraph" w:styleId="TOC5">
    <w:name w:val="toc 5"/>
    <w:basedOn w:val="Normal"/>
    <w:next w:val="Normal"/>
    <w:autoRedefine/>
    <w:uiPriority w:val="39"/>
    <w:unhideWhenUsed/>
    <w:rsid w:val="00066619"/>
    <w:pPr>
      <w:spacing w:after="100"/>
      <w:ind w:left="880"/>
    </w:pPr>
    <w:rPr>
      <w:lang w:val="es-EC" w:eastAsia="es-EC"/>
    </w:rPr>
  </w:style>
  <w:style w:type="paragraph" w:styleId="TOC6">
    <w:name w:val="toc 6"/>
    <w:basedOn w:val="Normal"/>
    <w:next w:val="Normal"/>
    <w:autoRedefine/>
    <w:uiPriority w:val="39"/>
    <w:unhideWhenUsed/>
    <w:rsid w:val="00066619"/>
    <w:pPr>
      <w:spacing w:after="100"/>
      <w:ind w:left="1100"/>
    </w:pPr>
    <w:rPr>
      <w:lang w:val="es-EC" w:eastAsia="es-EC"/>
    </w:rPr>
  </w:style>
  <w:style w:type="paragraph" w:styleId="TOC7">
    <w:name w:val="toc 7"/>
    <w:basedOn w:val="Normal"/>
    <w:next w:val="Normal"/>
    <w:autoRedefine/>
    <w:uiPriority w:val="39"/>
    <w:unhideWhenUsed/>
    <w:rsid w:val="00066619"/>
    <w:pPr>
      <w:spacing w:after="100"/>
      <w:ind w:left="1320"/>
    </w:pPr>
    <w:rPr>
      <w:lang w:val="es-EC" w:eastAsia="es-EC"/>
    </w:rPr>
  </w:style>
  <w:style w:type="paragraph" w:styleId="TOC8">
    <w:name w:val="toc 8"/>
    <w:basedOn w:val="Normal"/>
    <w:next w:val="Normal"/>
    <w:autoRedefine/>
    <w:uiPriority w:val="39"/>
    <w:unhideWhenUsed/>
    <w:rsid w:val="00066619"/>
    <w:pPr>
      <w:spacing w:after="100"/>
      <w:ind w:left="1540"/>
    </w:pPr>
    <w:rPr>
      <w:lang w:val="es-EC" w:eastAsia="es-EC"/>
    </w:rPr>
  </w:style>
  <w:style w:type="paragraph" w:styleId="TOC9">
    <w:name w:val="toc 9"/>
    <w:basedOn w:val="Normal"/>
    <w:next w:val="Normal"/>
    <w:autoRedefine/>
    <w:uiPriority w:val="39"/>
    <w:unhideWhenUsed/>
    <w:rsid w:val="00066619"/>
    <w:pPr>
      <w:spacing w:after="100"/>
      <w:ind w:left="1760"/>
    </w:pPr>
    <w:rPr>
      <w:lang w:val="es-EC" w:eastAsia="es-EC"/>
    </w:rPr>
  </w:style>
  <w:style w:type="table" w:styleId="GridTable4-Accent1">
    <w:name w:val="Grid Table 4 Accent 1"/>
    <w:basedOn w:val="TableNormal"/>
    <w:uiPriority w:val="49"/>
    <w:rsid w:val="00CB4053"/>
    <w:pPr>
      <w:spacing w:after="0" w:line="240" w:lineRule="auto"/>
    </w:pPr>
    <w:rPr>
      <w:rFonts w:eastAsiaTheme="minorHAnsi"/>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RegheadTab">
    <w:name w:val="RegheadTab"/>
    <w:basedOn w:val="FirstHeading"/>
    <w:rsid w:val="00CB4053"/>
    <w:pPr>
      <w:tabs>
        <w:tab w:val="num" w:pos="504"/>
      </w:tabs>
      <w:spacing w:after="0"/>
      <w:ind w:left="504" w:hanging="504"/>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39493">
      <w:bodyDiv w:val="1"/>
      <w:marLeft w:val="0"/>
      <w:marRight w:val="0"/>
      <w:marTop w:val="0"/>
      <w:marBottom w:val="0"/>
      <w:divBdr>
        <w:top w:val="none" w:sz="0" w:space="0" w:color="auto"/>
        <w:left w:val="none" w:sz="0" w:space="0" w:color="auto"/>
        <w:bottom w:val="none" w:sz="0" w:space="0" w:color="auto"/>
        <w:right w:val="none" w:sz="0" w:space="0" w:color="auto"/>
      </w:divBdr>
    </w:div>
    <w:div w:id="36392996">
      <w:bodyDiv w:val="1"/>
      <w:marLeft w:val="0"/>
      <w:marRight w:val="0"/>
      <w:marTop w:val="0"/>
      <w:marBottom w:val="0"/>
      <w:divBdr>
        <w:top w:val="none" w:sz="0" w:space="0" w:color="auto"/>
        <w:left w:val="none" w:sz="0" w:space="0" w:color="auto"/>
        <w:bottom w:val="none" w:sz="0" w:space="0" w:color="auto"/>
        <w:right w:val="none" w:sz="0" w:space="0" w:color="auto"/>
      </w:divBdr>
    </w:div>
    <w:div w:id="36703982">
      <w:bodyDiv w:val="1"/>
      <w:marLeft w:val="0"/>
      <w:marRight w:val="0"/>
      <w:marTop w:val="0"/>
      <w:marBottom w:val="0"/>
      <w:divBdr>
        <w:top w:val="none" w:sz="0" w:space="0" w:color="auto"/>
        <w:left w:val="none" w:sz="0" w:space="0" w:color="auto"/>
        <w:bottom w:val="none" w:sz="0" w:space="0" w:color="auto"/>
        <w:right w:val="none" w:sz="0" w:space="0" w:color="auto"/>
      </w:divBdr>
    </w:div>
    <w:div w:id="48457976">
      <w:bodyDiv w:val="1"/>
      <w:marLeft w:val="0"/>
      <w:marRight w:val="0"/>
      <w:marTop w:val="0"/>
      <w:marBottom w:val="0"/>
      <w:divBdr>
        <w:top w:val="none" w:sz="0" w:space="0" w:color="auto"/>
        <w:left w:val="none" w:sz="0" w:space="0" w:color="auto"/>
        <w:bottom w:val="none" w:sz="0" w:space="0" w:color="auto"/>
        <w:right w:val="none" w:sz="0" w:space="0" w:color="auto"/>
      </w:divBdr>
    </w:div>
    <w:div w:id="57898739">
      <w:bodyDiv w:val="1"/>
      <w:marLeft w:val="0"/>
      <w:marRight w:val="0"/>
      <w:marTop w:val="0"/>
      <w:marBottom w:val="0"/>
      <w:divBdr>
        <w:top w:val="none" w:sz="0" w:space="0" w:color="auto"/>
        <w:left w:val="none" w:sz="0" w:space="0" w:color="auto"/>
        <w:bottom w:val="none" w:sz="0" w:space="0" w:color="auto"/>
        <w:right w:val="none" w:sz="0" w:space="0" w:color="auto"/>
      </w:divBdr>
    </w:div>
    <w:div w:id="58332184">
      <w:bodyDiv w:val="1"/>
      <w:marLeft w:val="0"/>
      <w:marRight w:val="0"/>
      <w:marTop w:val="0"/>
      <w:marBottom w:val="0"/>
      <w:divBdr>
        <w:top w:val="none" w:sz="0" w:space="0" w:color="auto"/>
        <w:left w:val="none" w:sz="0" w:space="0" w:color="auto"/>
        <w:bottom w:val="none" w:sz="0" w:space="0" w:color="auto"/>
        <w:right w:val="none" w:sz="0" w:space="0" w:color="auto"/>
      </w:divBdr>
    </w:div>
    <w:div w:id="67773103">
      <w:bodyDiv w:val="1"/>
      <w:marLeft w:val="0"/>
      <w:marRight w:val="0"/>
      <w:marTop w:val="0"/>
      <w:marBottom w:val="0"/>
      <w:divBdr>
        <w:top w:val="none" w:sz="0" w:space="0" w:color="auto"/>
        <w:left w:val="none" w:sz="0" w:space="0" w:color="auto"/>
        <w:bottom w:val="none" w:sz="0" w:space="0" w:color="auto"/>
        <w:right w:val="none" w:sz="0" w:space="0" w:color="auto"/>
      </w:divBdr>
    </w:div>
    <w:div w:id="100302099">
      <w:bodyDiv w:val="1"/>
      <w:marLeft w:val="0"/>
      <w:marRight w:val="0"/>
      <w:marTop w:val="0"/>
      <w:marBottom w:val="0"/>
      <w:divBdr>
        <w:top w:val="none" w:sz="0" w:space="0" w:color="auto"/>
        <w:left w:val="none" w:sz="0" w:space="0" w:color="auto"/>
        <w:bottom w:val="none" w:sz="0" w:space="0" w:color="auto"/>
        <w:right w:val="none" w:sz="0" w:space="0" w:color="auto"/>
      </w:divBdr>
    </w:div>
    <w:div w:id="134957431">
      <w:bodyDiv w:val="1"/>
      <w:marLeft w:val="0"/>
      <w:marRight w:val="0"/>
      <w:marTop w:val="0"/>
      <w:marBottom w:val="0"/>
      <w:divBdr>
        <w:top w:val="none" w:sz="0" w:space="0" w:color="auto"/>
        <w:left w:val="none" w:sz="0" w:space="0" w:color="auto"/>
        <w:bottom w:val="none" w:sz="0" w:space="0" w:color="auto"/>
        <w:right w:val="none" w:sz="0" w:space="0" w:color="auto"/>
      </w:divBdr>
    </w:div>
    <w:div w:id="161243374">
      <w:bodyDiv w:val="1"/>
      <w:marLeft w:val="0"/>
      <w:marRight w:val="0"/>
      <w:marTop w:val="0"/>
      <w:marBottom w:val="0"/>
      <w:divBdr>
        <w:top w:val="none" w:sz="0" w:space="0" w:color="auto"/>
        <w:left w:val="none" w:sz="0" w:space="0" w:color="auto"/>
        <w:bottom w:val="none" w:sz="0" w:space="0" w:color="auto"/>
        <w:right w:val="none" w:sz="0" w:space="0" w:color="auto"/>
      </w:divBdr>
    </w:div>
    <w:div w:id="180166604">
      <w:bodyDiv w:val="1"/>
      <w:marLeft w:val="0"/>
      <w:marRight w:val="0"/>
      <w:marTop w:val="0"/>
      <w:marBottom w:val="0"/>
      <w:divBdr>
        <w:top w:val="none" w:sz="0" w:space="0" w:color="auto"/>
        <w:left w:val="none" w:sz="0" w:space="0" w:color="auto"/>
        <w:bottom w:val="none" w:sz="0" w:space="0" w:color="auto"/>
        <w:right w:val="none" w:sz="0" w:space="0" w:color="auto"/>
      </w:divBdr>
      <w:divsChild>
        <w:div w:id="1377700318">
          <w:marLeft w:val="0"/>
          <w:marRight w:val="0"/>
          <w:marTop w:val="0"/>
          <w:marBottom w:val="0"/>
          <w:divBdr>
            <w:top w:val="none" w:sz="0" w:space="0" w:color="auto"/>
            <w:left w:val="none" w:sz="0" w:space="0" w:color="auto"/>
            <w:bottom w:val="none" w:sz="0" w:space="0" w:color="auto"/>
            <w:right w:val="none" w:sz="0" w:space="0" w:color="auto"/>
          </w:divBdr>
          <w:divsChild>
            <w:div w:id="1763337555">
              <w:marLeft w:val="0"/>
              <w:marRight w:val="0"/>
              <w:marTop w:val="0"/>
              <w:marBottom w:val="0"/>
              <w:divBdr>
                <w:top w:val="none" w:sz="0" w:space="0" w:color="auto"/>
                <w:left w:val="none" w:sz="0" w:space="0" w:color="auto"/>
                <w:bottom w:val="none" w:sz="0" w:space="0" w:color="auto"/>
                <w:right w:val="none" w:sz="0" w:space="0" w:color="auto"/>
              </w:divBdr>
              <w:divsChild>
                <w:div w:id="1993870933">
                  <w:marLeft w:val="-225"/>
                  <w:marRight w:val="-225"/>
                  <w:marTop w:val="0"/>
                  <w:marBottom w:val="0"/>
                  <w:divBdr>
                    <w:top w:val="none" w:sz="0" w:space="0" w:color="auto"/>
                    <w:left w:val="none" w:sz="0" w:space="0" w:color="auto"/>
                    <w:bottom w:val="none" w:sz="0" w:space="0" w:color="auto"/>
                    <w:right w:val="none" w:sz="0" w:space="0" w:color="auto"/>
                  </w:divBdr>
                  <w:divsChild>
                    <w:div w:id="1631087777">
                      <w:marLeft w:val="0"/>
                      <w:marRight w:val="0"/>
                      <w:marTop w:val="0"/>
                      <w:marBottom w:val="0"/>
                      <w:divBdr>
                        <w:top w:val="none" w:sz="0" w:space="0" w:color="auto"/>
                        <w:left w:val="none" w:sz="0" w:space="0" w:color="auto"/>
                        <w:bottom w:val="none" w:sz="0" w:space="0" w:color="auto"/>
                        <w:right w:val="none" w:sz="0" w:space="0" w:color="auto"/>
                      </w:divBdr>
                      <w:divsChild>
                        <w:div w:id="1913738512">
                          <w:marLeft w:val="0"/>
                          <w:marRight w:val="0"/>
                          <w:marTop w:val="0"/>
                          <w:marBottom w:val="0"/>
                          <w:divBdr>
                            <w:top w:val="none" w:sz="0" w:space="0" w:color="auto"/>
                            <w:left w:val="none" w:sz="0" w:space="0" w:color="auto"/>
                            <w:bottom w:val="none" w:sz="0" w:space="0" w:color="auto"/>
                            <w:right w:val="none" w:sz="0" w:space="0" w:color="auto"/>
                          </w:divBdr>
                          <w:divsChild>
                            <w:div w:id="141577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977511">
      <w:bodyDiv w:val="1"/>
      <w:marLeft w:val="0"/>
      <w:marRight w:val="0"/>
      <w:marTop w:val="0"/>
      <w:marBottom w:val="0"/>
      <w:divBdr>
        <w:top w:val="none" w:sz="0" w:space="0" w:color="auto"/>
        <w:left w:val="none" w:sz="0" w:space="0" w:color="auto"/>
        <w:bottom w:val="none" w:sz="0" w:space="0" w:color="auto"/>
        <w:right w:val="none" w:sz="0" w:space="0" w:color="auto"/>
      </w:divBdr>
    </w:div>
    <w:div w:id="192035411">
      <w:bodyDiv w:val="1"/>
      <w:marLeft w:val="0"/>
      <w:marRight w:val="0"/>
      <w:marTop w:val="0"/>
      <w:marBottom w:val="0"/>
      <w:divBdr>
        <w:top w:val="none" w:sz="0" w:space="0" w:color="auto"/>
        <w:left w:val="none" w:sz="0" w:space="0" w:color="auto"/>
        <w:bottom w:val="none" w:sz="0" w:space="0" w:color="auto"/>
        <w:right w:val="none" w:sz="0" w:space="0" w:color="auto"/>
      </w:divBdr>
    </w:div>
    <w:div w:id="198327114">
      <w:bodyDiv w:val="1"/>
      <w:marLeft w:val="0"/>
      <w:marRight w:val="0"/>
      <w:marTop w:val="0"/>
      <w:marBottom w:val="0"/>
      <w:divBdr>
        <w:top w:val="none" w:sz="0" w:space="0" w:color="auto"/>
        <w:left w:val="none" w:sz="0" w:space="0" w:color="auto"/>
        <w:bottom w:val="none" w:sz="0" w:space="0" w:color="auto"/>
        <w:right w:val="none" w:sz="0" w:space="0" w:color="auto"/>
      </w:divBdr>
    </w:div>
    <w:div w:id="209221701">
      <w:bodyDiv w:val="1"/>
      <w:marLeft w:val="0"/>
      <w:marRight w:val="0"/>
      <w:marTop w:val="0"/>
      <w:marBottom w:val="0"/>
      <w:divBdr>
        <w:top w:val="none" w:sz="0" w:space="0" w:color="auto"/>
        <w:left w:val="none" w:sz="0" w:space="0" w:color="auto"/>
        <w:bottom w:val="none" w:sz="0" w:space="0" w:color="auto"/>
        <w:right w:val="none" w:sz="0" w:space="0" w:color="auto"/>
      </w:divBdr>
    </w:div>
    <w:div w:id="255745566">
      <w:bodyDiv w:val="1"/>
      <w:marLeft w:val="0"/>
      <w:marRight w:val="0"/>
      <w:marTop w:val="0"/>
      <w:marBottom w:val="0"/>
      <w:divBdr>
        <w:top w:val="none" w:sz="0" w:space="0" w:color="auto"/>
        <w:left w:val="none" w:sz="0" w:space="0" w:color="auto"/>
        <w:bottom w:val="none" w:sz="0" w:space="0" w:color="auto"/>
        <w:right w:val="none" w:sz="0" w:space="0" w:color="auto"/>
      </w:divBdr>
    </w:div>
    <w:div w:id="262957417">
      <w:bodyDiv w:val="1"/>
      <w:marLeft w:val="0"/>
      <w:marRight w:val="0"/>
      <w:marTop w:val="0"/>
      <w:marBottom w:val="0"/>
      <w:divBdr>
        <w:top w:val="none" w:sz="0" w:space="0" w:color="auto"/>
        <w:left w:val="none" w:sz="0" w:space="0" w:color="auto"/>
        <w:bottom w:val="none" w:sz="0" w:space="0" w:color="auto"/>
        <w:right w:val="none" w:sz="0" w:space="0" w:color="auto"/>
      </w:divBdr>
    </w:div>
    <w:div w:id="270011840">
      <w:bodyDiv w:val="1"/>
      <w:marLeft w:val="0"/>
      <w:marRight w:val="0"/>
      <w:marTop w:val="0"/>
      <w:marBottom w:val="0"/>
      <w:divBdr>
        <w:top w:val="none" w:sz="0" w:space="0" w:color="auto"/>
        <w:left w:val="none" w:sz="0" w:space="0" w:color="auto"/>
        <w:bottom w:val="none" w:sz="0" w:space="0" w:color="auto"/>
        <w:right w:val="none" w:sz="0" w:space="0" w:color="auto"/>
      </w:divBdr>
    </w:div>
    <w:div w:id="275674487">
      <w:bodyDiv w:val="1"/>
      <w:marLeft w:val="0"/>
      <w:marRight w:val="0"/>
      <w:marTop w:val="0"/>
      <w:marBottom w:val="0"/>
      <w:divBdr>
        <w:top w:val="none" w:sz="0" w:space="0" w:color="auto"/>
        <w:left w:val="none" w:sz="0" w:space="0" w:color="auto"/>
        <w:bottom w:val="none" w:sz="0" w:space="0" w:color="auto"/>
        <w:right w:val="none" w:sz="0" w:space="0" w:color="auto"/>
      </w:divBdr>
    </w:div>
    <w:div w:id="275872589">
      <w:bodyDiv w:val="1"/>
      <w:marLeft w:val="0"/>
      <w:marRight w:val="0"/>
      <w:marTop w:val="0"/>
      <w:marBottom w:val="0"/>
      <w:divBdr>
        <w:top w:val="none" w:sz="0" w:space="0" w:color="auto"/>
        <w:left w:val="none" w:sz="0" w:space="0" w:color="auto"/>
        <w:bottom w:val="none" w:sz="0" w:space="0" w:color="auto"/>
        <w:right w:val="none" w:sz="0" w:space="0" w:color="auto"/>
      </w:divBdr>
    </w:div>
    <w:div w:id="290327863">
      <w:bodyDiv w:val="1"/>
      <w:marLeft w:val="0"/>
      <w:marRight w:val="0"/>
      <w:marTop w:val="0"/>
      <w:marBottom w:val="0"/>
      <w:divBdr>
        <w:top w:val="none" w:sz="0" w:space="0" w:color="auto"/>
        <w:left w:val="none" w:sz="0" w:space="0" w:color="auto"/>
        <w:bottom w:val="none" w:sz="0" w:space="0" w:color="auto"/>
        <w:right w:val="none" w:sz="0" w:space="0" w:color="auto"/>
      </w:divBdr>
    </w:div>
    <w:div w:id="294796483">
      <w:bodyDiv w:val="1"/>
      <w:marLeft w:val="0"/>
      <w:marRight w:val="0"/>
      <w:marTop w:val="0"/>
      <w:marBottom w:val="0"/>
      <w:divBdr>
        <w:top w:val="none" w:sz="0" w:space="0" w:color="auto"/>
        <w:left w:val="none" w:sz="0" w:space="0" w:color="auto"/>
        <w:bottom w:val="none" w:sz="0" w:space="0" w:color="auto"/>
        <w:right w:val="none" w:sz="0" w:space="0" w:color="auto"/>
      </w:divBdr>
    </w:div>
    <w:div w:id="304091647">
      <w:bodyDiv w:val="1"/>
      <w:marLeft w:val="0"/>
      <w:marRight w:val="0"/>
      <w:marTop w:val="0"/>
      <w:marBottom w:val="0"/>
      <w:divBdr>
        <w:top w:val="none" w:sz="0" w:space="0" w:color="auto"/>
        <w:left w:val="none" w:sz="0" w:space="0" w:color="auto"/>
        <w:bottom w:val="none" w:sz="0" w:space="0" w:color="auto"/>
        <w:right w:val="none" w:sz="0" w:space="0" w:color="auto"/>
      </w:divBdr>
    </w:div>
    <w:div w:id="311561256">
      <w:bodyDiv w:val="1"/>
      <w:marLeft w:val="0"/>
      <w:marRight w:val="0"/>
      <w:marTop w:val="0"/>
      <w:marBottom w:val="0"/>
      <w:divBdr>
        <w:top w:val="none" w:sz="0" w:space="0" w:color="auto"/>
        <w:left w:val="none" w:sz="0" w:space="0" w:color="auto"/>
        <w:bottom w:val="none" w:sz="0" w:space="0" w:color="auto"/>
        <w:right w:val="none" w:sz="0" w:space="0" w:color="auto"/>
      </w:divBdr>
    </w:div>
    <w:div w:id="325323635">
      <w:bodyDiv w:val="1"/>
      <w:marLeft w:val="0"/>
      <w:marRight w:val="0"/>
      <w:marTop w:val="0"/>
      <w:marBottom w:val="0"/>
      <w:divBdr>
        <w:top w:val="none" w:sz="0" w:space="0" w:color="auto"/>
        <w:left w:val="none" w:sz="0" w:space="0" w:color="auto"/>
        <w:bottom w:val="none" w:sz="0" w:space="0" w:color="auto"/>
        <w:right w:val="none" w:sz="0" w:space="0" w:color="auto"/>
      </w:divBdr>
    </w:div>
    <w:div w:id="330452565">
      <w:bodyDiv w:val="1"/>
      <w:marLeft w:val="0"/>
      <w:marRight w:val="0"/>
      <w:marTop w:val="0"/>
      <w:marBottom w:val="0"/>
      <w:divBdr>
        <w:top w:val="none" w:sz="0" w:space="0" w:color="auto"/>
        <w:left w:val="none" w:sz="0" w:space="0" w:color="auto"/>
        <w:bottom w:val="none" w:sz="0" w:space="0" w:color="auto"/>
        <w:right w:val="none" w:sz="0" w:space="0" w:color="auto"/>
      </w:divBdr>
    </w:div>
    <w:div w:id="361174167">
      <w:bodyDiv w:val="1"/>
      <w:marLeft w:val="0"/>
      <w:marRight w:val="0"/>
      <w:marTop w:val="0"/>
      <w:marBottom w:val="0"/>
      <w:divBdr>
        <w:top w:val="none" w:sz="0" w:space="0" w:color="auto"/>
        <w:left w:val="none" w:sz="0" w:space="0" w:color="auto"/>
        <w:bottom w:val="none" w:sz="0" w:space="0" w:color="auto"/>
        <w:right w:val="none" w:sz="0" w:space="0" w:color="auto"/>
      </w:divBdr>
    </w:div>
    <w:div w:id="383649291">
      <w:bodyDiv w:val="1"/>
      <w:marLeft w:val="0"/>
      <w:marRight w:val="0"/>
      <w:marTop w:val="0"/>
      <w:marBottom w:val="0"/>
      <w:divBdr>
        <w:top w:val="none" w:sz="0" w:space="0" w:color="auto"/>
        <w:left w:val="none" w:sz="0" w:space="0" w:color="auto"/>
        <w:bottom w:val="none" w:sz="0" w:space="0" w:color="auto"/>
        <w:right w:val="none" w:sz="0" w:space="0" w:color="auto"/>
      </w:divBdr>
    </w:div>
    <w:div w:id="397286096">
      <w:bodyDiv w:val="1"/>
      <w:marLeft w:val="0"/>
      <w:marRight w:val="0"/>
      <w:marTop w:val="0"/>
      <w:marBottom w:val="0"/>
      <w:divBdr>
        <w:top w:val="none" w:sz="0" w:space="0" w:color="auto"/>
        <w:left w:val="none" w:sz="0" w:space="0" w:color="auto"/>
        <w:bottom w:val="none" w:sz="0" w:space="0" w:color="auto"/>
        <w:right w:val="none" w:sz="0" w:space="0" w:color="auto"/>
      </w:divBdr>
    </w:div>
    <w:div w:id="414017489">
      <w:bodyDiv w:val="1"/>
      <w:marLeft w:val="0"/>
      <w:marRight w:val="0"/>
      <w:marTop w:val="0"/>
      <w:marBottom w:val="0"/>
      <w:divBdr>
        <w:top w:val="none" w:sz="0" w:space="0" w:color="auto"/>
        <w:left w:val="none" w:sz="0" w:space="0" w:color="auto"/>
        <w:bottom w:val="none" w:sz="0" w:space="0" w:color="auto"/>
        <w:right w:val="none" w:sz="0" w:space="0" w:color="auto"/>
      </w:divBdr>
    </w:div>
    <w:div w:id="423383390">
      <w:bodyDiv w:val="1"/>
      <w:marLeft w:val="0"/>
      <w:marRight w:val="0"/>
      <w:marTop w:val="0"/>
      <w:marBottom w:val="0"/>
      <w:divBdr>
        <w:top w:val="none" w:sz="0" w:space="0" w:color="auto"/>
        <w:left w:val="none" w:sz="0" w:space="0" w:color="auto"/>
        <w:bottom w:val="none" w:sz="0" w:space="0" w:color="auto"/>
        <w:right w:val="none" w:sz="0" w:space="0" w:color="auto"/>
      </w:divBdr>
    </w:div>
    <w:div w:id="429014444">
      <w:bodyDiv w:val="1"/>
      <w:marLeft w:val="0"/>
      <w:marRight w:val="0"/>
      <w:marTop w:val="0"/>
      <w:marBottom w:val="0"/>
      <w:divBdr>
        <w:top w:val="none" w:sz="0" w:space="0" w:color="auto"/>
        <w:left w:val="none" w:sz="0" w:space="0" w:color="auto"/>
        <w:bottom w:val="none" w:sz="0" w:space="0" w:color="auto"/>
        <w:right w:val="none" w:sz="0" w:space="0" w:color="auto"/>
      </w:divBdr>
    </w:div>
    <w:div w:id="439564962">
      <w:bodyDiv w:val="1"/>
      <w:marLeft w:val="0"/>
      <w:marRight w:val="0"/>
      <w:marTop w:val="0"/>
      <w:marBottom w:val="0"/>
      <w:divBdr>
        <w:top w:val="none" w:sz="0" w:space="0" w:color="auto"/>
        <w:left w:val="none" w:sz="0" w:space="0" w:color="auto"/>
        <w:bottom w:val="none" w:sz="0" w:space="0" w:color="auto"/>
        <w:right w:val="none" w:sz="0" w:space="0" w:color="auto"/>
      </w:divBdr>
    </w:div>
    <w:div w:id="445662974">
      <w:bodyDiv w:val="1"/>
      <w:marLeft w:val="0"/>
      <w:marRight w:val="0"/>
      <w:marTop w:val="0"/>
      <w:marBottom w:val="0"/>
      <w:divBdr>
        <w:top w:val="none" w:sz="0" w:space="0" w:color="auto"/>
        <w:left w:val="none" w:sz="0" w:space="0" w:color="auto"/>
        <w:bottom w:val="none" w:sz="0" w:space="0" w:color="auto"/>
        <w:right w:val="none" w:sz="0" w:space="0" w:color="auto"/>
      </w:divBdr>
    </w:div>
    <w:div w:id="488523229">
      <w:bodyDiv w:val="1"/>
      <w:marLeft w:val="0"/>
      <w:marRight w:val="0"/>
      <w:marTop w:val="0"/>
      <w:marBottom w:val="0"/>
      <w:divBdr>
        <w:top w:val="none" w:sz="0" w:space="0" w:color="auto"/>
        <w:left w:val="none" w:sz="0" w:space="0" w:color="auto"/>
        <w:bottom w:val="none" w:sz="0" w:space="0" w:color="auto"/>
        <w:right w:val="none" w:sz="0" w:space="0" w:color="auto"/>
      </w:divBdr>
    </w:div>
    <w:div w:id="489715060">
      <w:bodyDiv w:val="1"/>
      <w:marLeft w:val="0"/>
      <w:marRight w:val="0"/>
      <w:marTop w:val="0"/>
      <w:marBottom w:val="0"/>
      <w:divBdr>
        <w:top w:val="none" w:sz="0" w:space="0" w:color="auto"/>
        <w:left w:val="none" w:sz="0" w:space="0" w:color="auto"/>
        <w:bottom w:val="none" w:sz="0" w:space="0" w:color="auto"/>
        <w:right w:val="none" w:sz="0" w:space="0" w:color="auto"/>
      </w:divBdr>
    </w:div>
    <w:div w:id="493837049">
      <w:bodyDiv w:val="1"/>
      <w:marLeft w:val="0"/>
      <w:marRight w:val="0"/>
      <w:marTop w:val="0"/>
      <w:marBottom w:val="0"/>
      <w:divBdr>
        <w:top w:val="none" w:sz="0" w:space="0" w:color="auto"/>
        <w:left w:val="none" w:sz="0" w:space="0" w:color="auto"/>
        <w:bottom w:val="none" w:sz="0" w:space="0" w:color="auto"/>
        <w:right w:val="none" w:sz="0" w:space="0" w:color="auto"/>
      </w:divBdr>
    </w:div>
    <w:div w:id="522745445">
      <w:bodyDiv w:val="1"/>
      <w:marLeft w:val="0"/>
      <w:marRight w:val="0"/>
      <w:marTop w:val="0"/>
      <w:marBottom w:val="0"/>
      <w:divBdr>
        <w:top w:val="none" w:sz="0" w:space="0" w:color="auto"/>
        <w:left w:val="none" w:sz="0" w:space="0" w:color="auto"/>
        <w:bottom w:val="none" w:sz="0" w:space="0" w:color="auto"/>
        <w:right w:val="none" w:sz="0" w:space="0" w:color="auto"/>
      </w:divBdr>
    </w:div>
    <w:div w:id="539560491">
      <w:bodyDiv w:val="1"/>
      <w:marLeft w:val="0"/>
      <w:marRight w:val="0"/>
      <w:marTop w:val="0"/>
      <w:marBottom w:val="0"/>
      <w:divBdr>
        <w:top w:val="none" w:sz="0" w:space="0" w:color="auto"/>
        <w:left w:val="none" w:sz="0" w:space="0" w:color="auto"/>
        <w:bottom w:val="none" w:sz="0" w:space="0" w:color="auto"/>
        <w:right w:val="none" w:sz="0" w:space="0" w:color="auto"/>
      </w:divBdr>
    </w:div>
    <w:div w:id="541212734">
      <w:bodyDiv w:val="1"/>
      <w:marLeft w:val="0"/>
      <w:marRight w:val="0"/>
      <w:marTop w:val="0"/>
      <w:marBottom w:val="0"/>
      <w:divBdr>
        <w:top w:val="none" w:sz="0" w:space="0" w:color="auto"/>
        <w:left w:val="none" w:sz="0" w:space="0" w:color="auto"/>
        <w:bottom w:val="none" w:sz="0" w:space="0" w:color="auto"/>
        <w:right w:val="none" w:sz="0" w:space="0" w:color="auto"/>
      </w:divBdr>
    </w:div>
    <w:div w:id="542908069">
      <w:bodyDiv w:val="1"/>
      <w:marLeft w:val="0"/>
      <w:marRight w:val="0"/>
      <w:marTop w:val="0"/>
      <w:marBottom w:val="0"/>
      <w:divBdr>
        <w:top w:val="none" w:sz="0" w:space="0" w:color="auto"/>
        <w:left w:val="none" w:sz="0" w:space="0" w:color="auto"/>
        <w:bottom w:val="none" w:sz="0" w:space="0" w:color="auto"/>
        <w:right w:val="none" w:sz="0" w:space="0" w:color="auto"/>
      </w:divBdr>
    </w:div>
    <w:div w:id="547104417">
      <w:bodyDiv w:val="1"/>
      <w:marLeft w:val="0"/>
      <w:marRight w:val="0"/>
      <w:marTop w:val="0"/>
      <w:marBottom w:val="0"/>
      <w:divBdr>
        <w:top w:val="none" w:sz="0" w:space="0" w:color="auto"/>
        <w:left w:val="none" w:sz="0" w:space="0" w:color="auto"/>
        <w:bottom w:val="none" w:sz="0" w:space="0" w:color="auto"/>
        <w:right w:val="none" w:sz="0" w:space="0" w:color="auto"/>
      </w:divBdr>
    </w:div>
    <w:div w:id="564413563">
      <w:bodyDiv w:val="1"/>
      <w:marLeft w:val="0"/>
      <w:marRight w:val="0"/>
      <w:marTop w:val="0"/>
      <w:marBottom w:val="0"/>
      <w:divBdr>
        <w:top w:val="none" w:sz="0" w:space="0" w:color="auto"/>
        <w:left w:val="none" w:sz="0" w:space="0" w:color="auto"/>
        <w:bottom w:val="none" w:sz="0" w:space="0" w:color="auto"/>
        <w:right w:val="none" w:sz="0" w:space="0" w:color="auto"/>
      </w:divBdr>
    </w:div>
    <w:div w:id="598681249">
      <w:bodyDiv w:val="1"/>
      <w:marLeft w:val="0"/>
      <w:marRight w:val="0"/>
      <w:marTop w:val="0"/>
      <w:marBottom w:val="0"/>
      <w:divBdr>
        <w:top w:val="none" w:sz="0" w:space="0" w:color="auto"/>
        <w:left w:val="none" w:sz="0" w:space="0" w:color="auto"/>
        <w:bottom w:val="none" w:sz="0" w:space="0" w:color="auto"/>
        <w:right w:val="none" w:sz="0" w:space="0" w:color="auto"/>
      </w:divBdr>
    </w:div>
    <w:div w:id="620763702">
      <w:bodyDiv w:val="1"/>
      <w:marLeft w:val="0"/>
      <w:marRight w:val="0"/>
      <w:marTop w:val="0"/>
      <w:marBottom w:val="0"/>
      <w:divBdr>
        <w:top w:val="none" w:sz="0" w:space="0" w:color="auto"/>
        <w:left w:val="none" w:sz="0" w:space="0" w:color="auto"/>
        <w:bottom w:val="none" w:sz="0" w:space="0" w:color="auto"/>
        <w:right w:val="none" w:sz="0" w:space="0" w:color="auto"/>
      </w:divBdr>
    </w:div>
    <w:div w:id="626162479">
      <w:bodyDiv w:val="1"/>
      <w:marLeft w:val="0"/>
      <w:marRight w:val="0"/>
      <w:marTop w:val="0"/>
      <w:marBottom w:val="0"/>
      <w:divBdr>
        <w:top w:val="none" w:sz="0" w:space="0" w:color="auto"/>
        <w:left w:val="none" w:sz="0" w:space="0" w:color="auto"/>
        <w:bottom w:val="none" w:sz="0" w:space="0" w:color="auto"/>
        <w:right w:val="none" w:sz="0" w:space="0" w:color="auto"/>
      </w:divBdr>
    </w:div>
    <w:div w:id="627206383">
      <w:bodyDiv w:val="1"/>
      <w:marLeft w:val="0"/>
      <w:marRight w:val="0"/>
      <w:marTop w:val="0"/>
      <w:marBottom w:val="0"/>
      <w:divBdr>
        <w:top w:val="none" w:sz="0" w:space="0" w:color="auto"/>
        <w:left w:val="none" w:sz="0" w:space="0" w:color="auto"/>
        <w:bottom w:val="none" w:sz="0" w:space="0" w:color="auto"/>
        <w:right w:val="none" w:sz="0" w:space="0" w:color="auto"/>
      </w:divBdr>
    </w:div>
    <w:div w:id="630210262">
      <w:bodyDiv w:val="1"/>
      <w:marLeft w:val="0"/>
      <w:marRight w:val="0"/>
      <w:marTop w:val="0"/>
      <w:marBottom w:val="0"/>
      <w:divBdr>
        <w:top w:val="none" w:sz="0" w:space="0" w:color="auto"/>
        <w:left w:val="none" w:sz="0" w:space="0" w:color="auto"/>
        <w:bottom w:val="none" w:sz="0" w:space="0" w:color="auto"/>
        <w:right w:val="none" w:sz="0" w:space="0" w:color="auto"/>
      </w:divBdr>
    </w:div>
    <w:div w:id="631639082">
      <w:bodyDiv w:val="1"/>
      <w:marLeft w:val="0"/>
      <w:marRight w:val="0"/>
      <w:marTop w:val="0"/>
      <w:marBottom w:val="0"/>
      <w:divBdr>
        <w:top w:val="none" w:sz="0" w:space="0" w:color="auto"/>
        <w:left w:val="none" w:sz="0" w:space="0" w:color="auto"/>
        <w:bottom w:val="none" w:sz="0" w:space="0" w:color="auto"/>
        <w:right w:val="none" w:sz="0" w:space="0" w:color="auto"/>
      </w:divBdr>
    </w:div>
    <w:div w:id="637498391">
      <w:bodyDiv w:val="1"/>
      <w:marLeft w:val="0"/>
      <w:marRight w:val="0"/>
      <w:marTop w:val="0"/>
      <w:marBottom w:val="0"/>
      <w:divBdr>
        <w:top w:val="none" w:sz="0" w:space="0" w:color="auto"/>
        <w:left w:val="none" w:sz="0" w:space="0" w:color="auto"/>
        <w:bottom w:val="none" w:sz="0" w:space="0" w:color="auto"/>
        <w:right w:val="none" w:sz="0" w:space="0" w:color="auto"/>
      </w:divBdr>
    </w:div>
    <w:div w:id="658001986">
      <w:bodyDiv w:val="1"/>
      <w:marLeft w:val="0"/>
      <w:marRight w:val="0"/>
      <w:marTop w:val="0"/>
      <w:marBottom w:val="0"/>
      <w:divBdr>
        <w:top w:val="none" w:sz="0" w:space="0" w:color="auto"/>
        <w:left w:val="none" w:sz="0" w:space="0" w:color="auto"/>
        <w:bottom w:val="none" w:sz="0" w:space="0" w:color="auto"/>
        <w:right w:val="none" w:sz="0" w:space="0" w:color="auto"/>
      </w:divBdr>
    </w:div>
    <w:div w:id="659888193">
      <w:bodyDiv w:val="1"/>
      <w:marLeft w:val="0"/>
      <w:marRight w:val="0"/>
      <w:marTop w:val="0"/>
      <w:marBottom w:val="0"/>
      <w:divBdr>
        <w:top w:val="none" w:sz="0" w:space="0" w:color="auto"/>
        <w:left w:val="none" w:sz="0" w:space="0" w:color="auto"/>
        <w:bottom w:val="none" w:sz="0" w:space="0" w:color="auto"/>
        <w:right w:val="none" w:sz="0" w:space="0" w:color="auto"/>
      </w:divBdr>
    </w:div>
    <w:div w:id="663433244">
      <w:bodyDiv w:val="1"/>
      <w:marLeft w:val="0"/>
      <w:marRight w:val="0"/>
      <w:marTop w:val="0"/>
      <w:marBottom w:val="0"/>
      <w:divBdr>
        <w:top w:val="none" w:sz="0" w:space="0" w:color="auto"/>
        <w:left w:val="none" w:sz="0" w:space="0" w:color="auto"/>
        <w:bottom w:val="none" w:sz="0" w:space="0" w:color="auto"/>
        <w:right w:val="none" w:sz="0" w:space="0" w:color="auto"/>
      </w:divBdr>
    </w:div>
    <w:div w:id="664865875">
      <w:bodyDiv w:val="1"/>
      <w:marLeft w:val="0"/>
      <w:marRight w:val="0"/>
      <w:marTop w:val="0"/>
      <w:marBottom w:val="0"/>
      <w:divBdr>
        <w:top w:val="none" w:sz="0" w:space="0" w:color="auto"/>
        <w:left w:val="none" w:sz="0" w:space="0" w:color="auto"/>
        <w:bottom w:val="none" w:sz="0" w:space="0" w:color="auto"/>
        <w:right w:val="none" w:sz="0" w:space="0" w:color="auto"/>
      </w:divBdr>
    </w:div>
    <w:div w:id="683820382">
      <w:bodyDiv w:val="1"/>
      <w:marLeft w:val="0"/>
      <w:marRight w:val="0"/>
      <w:marTop w:val="0"/>
      <w:marBottom w:val="0"/>
      <w:divBdr>
        <w:top w:val="none" w:sz="0" w:space="0" w:color="auto"/>
        <w:left w:val="none" w:sz="0" w:space="0" w:color="auto"/>
        <w:bottom w:val="none" w:sz="0" w:space="0" w:color="auto"/>
        <w:right w:val="none" w:sz="0" w:space="0" w:color="auto"/>
      </w:divBdr>
    </w:div>
    <w:div w:id="690839964">
      <w:bodyDiv w:val="1"/>
      <w:marLeft w:val="0"/>
      <w:marRight w:val="0"/>
      <w:marTop w:val="0"/>
      <w:marBottom w:val="0"/>
      <w:divBdr>
        <w:top w:val="none" w:sz="0" w:space="0" w:color="auto"/>
        <w:left w:val="none" w:sz="0" w:space="0" w:color="auto"/>
        <w:bottom w:val="none" w:sz="0" w:space="0" w:color="auto"/>
        <w:right w:val="none" w:sz="0" w:space="0" w:color="auto"/>
      </w:divBdr>
    </w:div>
    <w:div w:id="702825551">
      <w:bodyDiv w:val="1"/>
      <w:marLeft w:val="0"/>
      <w:marRight w:val="0"/>
      <w:marTop w:val="0"/>
      <w:marBottom w:val="0"/>
      <w:divBdr>
        <w:top w:val="none" w:sz="0" w:space="0" w:color="auto"/>
        <w:left w:val="none" w:sz="0" w:space="0" w:color="auto"/>
        <w:bottom w:val="none" w:sz="0" w:space="0" w:color="auto"/>
        <w:right w:val="none" w:sz="0" w:space="0" w:color="auto"/>
      </w:divBdr>
    </w:div>
    <w:div w:id="703749300">
      <w:bodyDiv w:val="1"/>
      <w:marLeft w:val="0"/>
      <w:marRight w:val="0"/>
      <w:marTop w:val="0"/>
      <w:marBottom w:val="0"/>
      <w:divBdr>
        <w:top w:val="none" w:sz="0" w:space="0" w:color="auto"/>
        <w:left w:val="none" w:sz="0" w:space="0" w:color="auto"/>
        <w:bottom w:val="none" w:sz="0" w:space="0" w:color="auto"/>
        <w:right w:val="none" w:sz="0" w:space="0" w:color="auto"/>
      </w:divBdr>
    </w:div>
    <w:div w:id="716590910">
      <w:bodyDiv w:val="1"/>
      <w:marLeft w:val="0"/>
      <w:marRight w:val="0"/>
      <w:marTop w:val="0"/>
      <w:marBottom w:val="0"/>
      <w:divBdr>
        <w:top w:val="none" w:sz="0" w:space="0" w:color="auto"/>
        <w:left w:val="none" w:sz="0" w:space="0" w:color="auto"/>
        <w:bottom w:val="none" w:sz="0" w:space="0" w:color="auto"/>
        <w:right w:val="none" w:sz="0" w:space="0" w:color="auto"/>
      </w:divBdr>
    </w:div>
    <w:div w:id="718170542">
      <w:bodyDiv w:val="1"/>
      <w:marLeft w:val="0"/>
      <w:marRight w:val="0"/>
      <w:marTop w:val="0"/>
      <w:marBottom w:val="0"/>
      <w:divBdr>
        <w:top w:val="none" w:sz="0" w:space="0" w:color="auto"/>
        <w:left w:val="none" w:sz="0" w:space="0" w:color="auto"/>
        <w:bottom w:val="none" w:sz="0" w:space="0" w:color="auto"/>
        <w:right w:val="none" w:sz="0" w:space="0" w:color="auto"/>
      </w:divBdr>
    </w:div>
    <w:div w:id="720904336">
      <w:bodyDiv w:val="1"/>
      <w:marLeft w:val="0"/>
      <w:marRight w:val="0"/>
      <w:marTop w:val="0"/>
      <w:marBottom w:val="0"/>
      <w:divBdr>
        <w:top w:val="none" w:sz="0" w:space="0" w:color="auto"/>
        <w:left w:val="none" w:sz="0" w:space="0" w:color="auto"/>
        <w:bottom w:val="none" w:sz="0" w:space="0" w:color="auto"/>
        <w:right w:val="none" w:sz="0" w:space="0" w:color="auto"/>
      </w:divBdr>
    </w:div>
    <w:div w:id="750472730">
      <w:bodyDiv w:val="1"/>
      <w:marLeft w:val="0"/>
      <w:marRight w:val="0"/>
      <w:marTop w:val="0"/>
      <w:marBottom w:val="0"/>
      <w:divBdr>
        <w:top w:val="none" w:sz="0" w:space="0" w:color="auto"/>
        <w:left w:val="none" w:sz="0" w:space="0" w:color="auto"/>
        <w:bottom w:val="none" w:sz="0" w:space="0" w:color="auto"/>
        <w:right w:val="none" w:sz="0" w:space="0" w:color="auto"/>
      </w:divBdr>
    </w:div>
    <w:div w:id="757560754">
      <w:bodyDiv w:val="1"/>
      <w:marLeft w:val="0"/>
      <w:marRight w:val="0"/>
      <w:marTop w:val="0"/>
      <w:marBottom w:val="0"/>
      <w:divBdr>
        <w:top w:val="none" w:sz="0" w:space="0" w:color="auto"/>
        <w:left w:val="none" w:sz="0" w:space="0" w:color="auto"/>
        <w:bottom w:val="none" w:sz="0" w:space="0" w:color="auto"/>
        <w:right w:val="none" w:sz="0" w:space="0" w:color="auto"/>
      </w:divBdr>
    </w:div>
    <w:div w:id="762259084">
      <w:bodyDiv w:val="1"/>
      <w:marLeft w:val="0"/>
      <w:marRight w:val="0"/>
      <w:marTop w:val="0"/>
      <w:marBottom w:val="0"/>
      <w:divBdr>
        <w:top w:val="none" w:sz="0" w:space="0" w:color="auto"/>
        <w:left w:val="none" w:sz="0" w:space="0" w:color="auto"/>
        <w:bottom w:val="none" w:sz="0" w:space="0" w:color="auto"/>
        <w:right w:val="none" w:sz="0" w:space="0" w:color="auto"/>
      </w:divBdr>
    </w:div>
    <w:div w:id="795762257">
      <w:bodyDiv w:val="1"/>
      <w:marLeft w:val="0"/>
      <w:marRight w:val="0"/>
      <w:marTop w:val="0"/>
      <w:marBottom w:val="0"/>
      <w:divBdr>
        <w:top w:val="none" w:sz="0" w:space="0" w:color="auto"/>
        <w:left w:val="none" w:sz="0" w:space="0" w:color="auto"/>
        <w:bottom w:val="none" w:sz="0" w:space="0" w:color="auto"/>
        <w:right w:val="none" w:sz="0" w:space="0" w:color="auto"/>
      </w:divBdr>
    </w:div>
    <w:div w:id="797917330">
      <w:bodyDiv w:val="1"/>
      <w:marLeft w:val="0"/>
      <w:marRight w:val="0"/>
      <w:marTop w:val="0"/>
      <w:marBottom w:val="0"/>
      <w:divBdr>
        <w:top w:val="none" w:sz="0" w:space="0" w:color="auto"/>
        <w:left w:val="none" w:sz="0" w:space="0" w:color="auto"/>
        <w:bottom w:val="none" w:sz="0" w:space="0" w:color="auto"/>
        <w:right w:val="none" w:sz="0" w:space="0" w:color="auto"/>
      </w:divBdr>
    </w:div>
    <w:div w:id="799112992">
      <w:bodyDiv w:val="1"/>
      <w:marLeft w:val="0"/>
      <w:marRight w:val="0"/>
      <w:marTop w:val="0"/>
      <w:marBottom w:val="0"/>
      <w:divBdr>
        <w:top w:val="none" w:sz="0" w:space="0" w:color="auto"/>
        <w:left w:val="none" w:sz="0" w:space="0" w:color="auto"/>
        <w:bottom w:val="none" w:sz="0" w:space="0" w:color="auto"/>
        <w:right w:val="none" w:sz="0" w:space="0" w:color="auto"/>
      </w:divBdr>
    </w:div>
    <w:div w:id="805129054">
      <w:bodyDiv w:val="1"/>
      <w:marLeft w:val="0"/>
      <w:marRight w:val="0"/>
      <w:marTop w:val="0"/>
      <w:marBottom w:val="0"/>
      <w:divBdr>
        <w:top w:val="none" w:sz="0" w:space="0" w:color="auto"/>
        <w:left w:val="none" w:sz="0" w:space="0" w:color="auto"/>
        <w:bottom w:val="none" w:sz="0" w:space="0" w:color="auto"/>
        <w:right w:val="none" w:sz="0" w:space="0" w:color="auto"/>
      </w:divBdr>
    </w:div>
    <w:div w:id="805312953">
      <w:bodyDiv w:val="1"/>
      <w:marLeft w:val="0"/>
      <w:marRight w:val="0"/>
      <w:marTop w:val="0"/>
      <w:marBottom w:val="0"/>
      <w:divBdr>
        <w:top w:val="none" w:sz="0" w:space="0" w:color="auto"/>
        <w:left w:val="none" w:sz="0" w:space="0" w:color="auto"/>
        <w:bottom w:val="none" w:sz="0" w:space="0" w:color="auto"/>
        <w:right w:val="none" w:sz="0" w:space="0" w:color="auto"/>
      </w:divBdr>
    </w:div>
    <w:div w:id="805782372">
      <w:bodyDiv w:val="1"/>
      <w:marLeft w:val="0"/>
      <w:marRight w:val="0"/>
      <w:marTop w:val="0"/>
      <w:marBottom w:val="0"/>
      <w:divBdr>
        <w:top w:val="none" w:sz="0" w:space="0" w:color="auto"/>
        <w:left w:val="none" w:sz="0" w:space="0" w:color="auto"/>
        <w:bottom w:val="none" w:sz="0" w:space="0" w:color="auto"/>
        <w:right w:val="none" w:sz="0" w:space="0" w:color="auto"/>
      </w:divBdr>
    </w:div>
    <w:div w:id="824593584">
      <w:bodyDiv w:val="1"/>
      <w:marLeft w:val="0"/>
      <w:marRight w:val="0"/>
      <w:marTop w:val="0"/>
      <w:marBottom w:val="0"/>
      <w:divBdr>
        <w:top w:val="none" w:sz="0" w:space="0" w:color="auto"/>
        <w:left w:val="none" w:sz="0" w:space="0" w:color="auto"/>
        <w:bottom w:val="none" w:sz="0" w:space="0" w:color="auto"/>
        <w:right w:val="none" w:sz="0" w:space="0" w:color="auto"/>
      </w:divBdr>
    </w:div>
    <w:div w:id="838353571">
      <w:bodyDiv w:val="1"/>
      <w:marLeft w:val="0"/>
      <w:marRight w:val="0"/>
      <w:marTop w:val="0"/>
      <w:marBottom w:val="0"/>
      <w:divBdr>
        <w:top w:val="none" w:sz="0" w:space="0" w:color="auto"/>
        <w:left w:val="none" w:sz="0" w:space="0" w:color="auto"/>
        <w:bottom w:val="none" w:sz="0" w:space="0" w:color="auto"/>
        <w:right w:val="none" w:sz="0" w:space="0" w:color="auto"/>
      </w:divBdr>
    </w:div>
    <w:div w:id="840855124">
      <w:bodyDiv w:val="1"/>
      <w:marLeft w:val="0"/>
      <w:marRight w:val="0"/>
      <w:marTop w:val="0"/>
      <w:marBottom w:val="0"/>
      <w:divBdr>
        <w:top w:val="none" w:sz="0" w:space="0" w:color="auto"/>
        <w:left w:val="none" w:sz="0" w:space="0" w:color="auto"/>
        <w:bottom w:val="none" w:sz="0" w:space="0" w:color="auto"/>
        <w:right w:val="none" w:sz="0" w:space="0" w:color="auto"/>
      </w:divBdr>
    </w:div>
    <w:div w:id="841703978">
      <w:bodyDiv w:val="1"/>
      <w:marLeft w:val="0"/>
      <w:marRight w:val="0"/>
      <w:marTop w:val="0"/>
      <w:marBottom w:val="0"/>
      <w:divBdr>
        <w:top w:val="none" w:sz="0" w:space="0" w:color="auto"/>
        <w:left w:val="none" w:sz="0" w:space="0" w:color="auto"/>
        <w:bottom w:val="none" w:sz="0" w:space="0" w:color="auto"/>
        <w:right w:val="none" w:sz="0" w:space="0" w:color="auto"/>
      </w:divBdr>
    </w:div>
    <w:div w:id="861286145">
      <w:bodyDiv w:val="1"/>
      <w:marLeft w:val="0"/>
      <w:marRight w:val="0"/>
      <w:marTop w:val="0"/>
      <w:marBottom w:val="0"/>
      <w:divBdr>
        <w:top w:val="none" w:sz="0" w:space="0" w:color="auto"/>
        <w:left w:val="none" w:sz="0" w:space="0" w:color="auto"/>
        <w:bottom w:val="none" w:sz="0" w:space="0" w:color="auto"/>
        <w:right w:val="none" w:sz="0" w:space="0" w:color="auto"/>
      </w:divBdr>
    </w:div>
    <w:div w:id="864683091">
      <w:bodyDiv w:val="1"/>
      <w:marLeft w:val="0"/>
      <w:marRight w:val="0"/>
      <w:marTop w:val="0"/>
      <w:marBottom w:val="0"/>
      <w:divBdr>
        <w:top w:val="none" w:sz="0" w:space="0" w:color="auto"/>
        <w:left w:val="none" w:sz="0" w:space="0" w:color="auto"/>
        <w:bottom w:val="none" w:sz="0" w:space="0" w:color="auto"/>
        <w:right w:val="none" w:sz="0" w:space="0" w:color="auto"/>
      </w:divBdr>
    </w:div>
    <w:div w:id="866259573">
      <w:bodyDiv w:val="1"/>
      <w:marLeft w:val="0"/>
      <w:marRight w:val="0"/>
      <w:marTop w:val="0"/>
      <w:marBottom w:val="0"/>
      <w:divBdr>
        <w:top w:val="none" w:sz="0" w:space="0" w:color="auto"/>
        <w:left w:val="none" w:sz="0" w:space="0" w:color="auto"/>
        <w:bottom w:val="none" w:sz="0" w:space="0" w:color="auto"/>
        <w:right w:val="none" w:sz="0" w:space="0" w:color="auto"/>
      </w:divBdr>
    </w:div>
    <w:div w:id="901214189">
      <w:bodyDiv w:val="1"/>
      <w:marLeft w:val="0"/>
      <w:marRight w:val="0"/>
      <w:marTop w:val="0"/>
      <w:marBottom w:val="0"/>
      <w:divBdr>
        <w:top w:val="none" w:sz="0" w:space="0" w:color="auto"/>
        <w:left w:val="none" w:sz="0" w:space="0" w:color="auto"/>
        <w:bottom w:val="none" w:sz="0" w:space="0" w:color="auto"/>
        <w:right w:val="none" w:sz="0" w:space="0" w:color="auto"/>
      </w:divBdr>
    </w:div>
    <w:div w:id="904997480">
      <w:bodyDiv w:val="1"/>
      <w:marLeft w:val="0"/>
      <w:marRight w:val="0"/>
      <w:marTop w:val="0"/>
      <w:marBottom w:val="0"/>
      <w:divBdr>
        <w:top w:val="none" w:sz="0" w:space="0" w:color="auto"/>
        <w:left w:val="none" w:sz="0" w:space="0" w:color="auto"/>
        <w:bottom w:val="none" w:sz="0" w:space="0" w:color="auto"/>
        <w:right w:val="none" w:sz="0" w:space="0" w:color="auto"/>
      </w:divBdr>
    </w:div>
    <w:div w:id="904998540">
      <w:bodyDiv w:val="1"/>
      <w:marLeft w:val="0"/>
      <w:marRight w:val="0"/>
      <w:marTop w:val="0"/>
      <w:marBottom w:val="0"/>
      <w:divBdr>
        <w:top w:val="none" w:sz="0" w:space="0" w:color="auto"/>
        <w:left w:val="none" w:sz="0" w:space="0" w:color="auto"/>
        <w:bottom w:val="none" w:sz="0" w:space="0" w:color="auto"/>
        <w:right w:val="none" w:sz="0" w:space="0" w:color="auto"/>
      </w:divBdr>
    </w:div>
    <w:div w:id="915481042">
      <w:bodyDiv w:val="1"/>
      <w:marLeft w:val="0"/>
      <w:marRight w:val="0"/>
      <w:marTop w:val="0"/>
      <w:marBottom w:val="0"/>
      <w:divBdr>
        <w:top w:val="none" w:sz="0" w:space="0" w:color="auto"/>
        <w:left w:val="none" w:sz="0" w:space="0" w:color="auto"/>
        <w:bottom w:val="none" w:sz="0" w:space="0" w:color="auto"/>
        <w:right w:val="none" w:sz="0" w:space="0" w:color="auto"/>
      </w:divBdr>
    </w:div>
    <w:div w:id="942030233">
      <w:bodyDiv w:val="1"/>
      <w:marLeft w:val="0"/>
      <w:marRight w:val="0"/>
      <w:marTop w:val="0"/>
      <w:marBottom w:val="0"/>
      <w:divBdr>
        <w:top w:val="none" w:sz="0" w:space="0" w:color="auto"/>
        <w:left w:val="none" w:sz="0" w:space="0" w:color="auto"/>
        <w:bottom w:val="none" w:sz="0" w:space="0" w:color="auto"/>
        <w:right w:val="none" w:sz="0" w:space="0" w:color="auto"/>
      </w:divBdr>
      <w:divsChild>
        <w:div w:id="494342613">
          <w:marLeft w:val="0"/>
          <w:marRight w:val="0"/>
          <w:marTop w:val="0"/>
          <w:marBottom w:val="0"/>
          <w:divBdr>
            <w:top w:val="none" w:sz="0" w:space="0" w:color="auto"/>
            <w:left w:val="none" w:sz="0" w:space="0" w:color="auto"/>
            <w:bottom w:val="none" w:sz="0" w:space="0" w:color="auto"/>
            <w:right w:val="none" w:sz="0" w:space="0" w:color="auto"/>
          </w:divBdr>
          <w:divsChild>
            <w:div w:id="1414356163">
              <w:marLeft w:val="0"/>
              <w:marRight w:val="0"/>
              <w:marTop w:val="0"/>
              <w:marBottom w:val="0"/>
              <w:divBdr>
                <w:top w:val="none" w:sz="0" w:space="0" w:color="auto"/>
                <w:left w:val="none" w:sz="0" w:space="0" w:color="auto"/>
                <w:bottom w:val="none" w:sz="0" w:space="0" w:color="auto"/>
                <w:right w:val="none" w:sz="0" w:space="0" w:color="auto"/>
              </w:divBdr>
              <w:divsChild>
                <w:div w:id="187068166">
                  <w:marLeft w:val="0"/>
                  <w:marRight w:val="0"/>
                  <w:marTop w:val="0"/>
                  <w:marBottom w:val="0"/>
                  <w:divBdr>
                    <w:top w:val="none" w:sz="0" w:space="0" w:color="auto"/>
                    <w:left w:val="none" w:sz="0" w:space="0" w:color="auto"/>
                    <w:bottom w:val="none" w:sz="0" w:space="0" w:color="auto"/>
                    <w:right w:val="none" w:sz="0" w:space="0" w:color="auto"/>
                  </w:divBdr>
                  <w:divsChild>
                    <w:div w:id="1110852987">
                      <w:marLeft w:val="0"/>
                      <w:marRight w:val="0"/>
                      <w:marTop w:val="0"/>
                      <w:marBottom w:val="0"/>
                      <w:divBdr>
                        <w:top w:val="none" w:sz="0" w:space="0" w:color="auto"/>
                        <w:left w:val="none" w:sz="0" w:space="0" w:color="auto"/>
                        <w:bottom w:val="none" w:sz="0" w:space="0" w:color="auto"/>
                        <w:right w:val="none" w:sz="0" w:space="0" w:color="auto"/>
                      </w:divBdr>
                      <w:divsChild>
                        <w:div w:id="242111148">
                          <w:marLeft w:val="0"/>
                          <w:marRight w:val="0"/>
                          <w:marTop w:val="0"/>
                          <w:marBottom w:val="0"/>
                          <w:divBdr>
                            <w:top w:val="none" w:sz="0" w:space="0" w:color="auto"/>
                            <w:left w:val="none" w:sz="0" w:space="0" w:color="auto"/>
                            <w:bottom w:val="none" w:sz="0" w:space="0" w:color="auto"/>
                            <w:right w:val="none" w:sz="0" w:space="0" w:color="auto"/>
                          </w:divBdr>
                          <w:divsChild>
                            <w:div w:id="1777754116">
                              <w:marLeft w:val="0"/>
                              <w:marRight w:val="0"/>
                              <w:marTop w:val="0"/>
                              <w:marBottom w:val="0"/>
                              <w:divBdr>
                                <w:top w:val="none" w:sz="0" w:space="0" w:color="auto"/>
                                <w:left w:val="none" w:sz="0" w:space="0" w:color="auto"/>
                                <w:bottom w:val="none" w:sz="0" w:space="0" w:color="auto"/>
                                <w:right w:val="none" w:sz="0" w:space="0" w:color="auto"/>
                              </w:divBdr>
                              <w:divsChild>
                                <w:div w:id="325326263">
                                  <w:marLeft w:val="0"/>
                                  <w:marRight w:val="0"/>
                                  <w:marTop w:val="0"/>
                                  <w:marBottom w:val="0"/>
                                  <w:divBdr>
                                    <w:top w:val="none" w:sz="0" w:space="0" w:color="auto"/>
                                    <w:left w:val="none" w:sz="0" w:space="0" w:color="auto"/>
                                    <w:bottom w:val="none" w:sz="0" w:space="0" w:color="auto"/>
                                    <w:right w:val="none" w:sz="0" w:space="0" w:color="auto"/>
                                  </w:divBdr>
                                  <w:divsChild>
                                    <w:div w:id="1620407998">
                                      <w:marLeft w:val="60"/>
                                      <w:marRight w:val="0"/>
                                      <w:marTop w:val="0"/>
                                      <w:marBottom w:val="0"/>
                                      <w:divBdr>
                                        <w:top w:val="none" w:sz="0" w:space="0" w:color="auto"/>
                                        <w:left w:val="none" w:sz="0" w:space="0" w:color="auto"/>
                                        <w:bottom w:val="none" w:sz="0" w:space="0" w:color="auto"/>
                                        <w:right w:val="none" w:sz="0" w:space="0" w:color="auto"/>
                                      </w:divBdr>
                                      <w:divsChild>
                                        <w:div w:id="1426807833">
                                          <w:marLeft w:val="0"/>
                                          <w:marRight w:val="0"/>
                                          <w:marTop w:val="0"/>
                                          <w:marBottom w:val="0"/>
                                          <w:divBdr>
                                            <w:top w:val="none" w:sz="0" w:space="0" w:color="auto"/>
                                            <w:left w:val="none" w:sz="0" w:space="0" w:color="auto"/>
                                            <w:bottom w:val="none" w:sz="0" w:space="0" w:color="auto"/>
                                            <w:right w:val="none" w:sz="0" w:space="0" w:color="auto"/>
                                          </w:divBdr>
                                          <w:divsChild>
                                            <w:div w:id="521868689">
                                              <w:marLeft w:val="0"/>
                                              <w:marRight w:val="0"/>
                                              <w:marTop w:val="0"/>
                                              <w:marBottom w:val="120"/>
                                              <w:divBdr>
                                                <w:top w:val="single" w:sz="6" w:space="0" w:color="F5F5F5"/>
                                                <w:left w:val="single" w:sz="6" w:space="0" w:color="F5F5F5"/>
                                                <w:bottom w:val="single" w:sz="6" w:space="0" w:color="F5F5F5"/>
                                                <w:right w:val="single" w:sz="6" w:space="0" w:color="F5F5F5"/>
                                              </w:divBdr>
                                              <w:divsChild>
                                                <w:div w:id="761728732">
                                                  <w:marLeft w:val="0"/>
                                                  <w:marRight w:val="0"/>
                                                  <w:marTop w:val="0"/>
                                                  <w:marBottom w:val="0"/>
                                                  <w:divBdr>
                                                    <w:top w:val="none" w:sz="0" w:space="0" w:color="auto"/>
                                                    <w:left w:val="none" w:sz="0" w:space="0" w:color="auto"/>
                                                    <w:bottom w:val="none" w:sz="0" w:space="0" w:color="auto"/>
                                                    <w:right w:val="none" w:sz="0" w:space="0" w:color="auto"/>
                                                  </w:divBdr>
                                                  <w:divsChild>
                                                    <w:div w:id="1756046446">
                                                      <w:marLeft w:val="0"/>
                                                      <w:marRight w:val="0"/>
                                                      <w:marTop w:val="0"/>
                                                      <w:marBottom w:val="0"/>
                                                      <w:divBdr>
                                                        <w:top w:val="none" w:sz="0" w:space="0" w:color="auto"/>
                                                        <w:left w:val="none" w:sz="0" w:space="0" w:color="auto"/>
                                                        <w:bottom w:val="none" w:sz="0" w:space="0" w:color="auto"/>
                                                        <w:right w:val="none" w:sz="0" w:space="0" w:color="auto"/>
                                                      </w:divBdr>
                                                    </w:div>
                                                  </w:divsChild>
                                                </w:div>
                                                <w:div w:id="77749375">
                                                  <w:marLeft w:val="0"/>
                                                  <w:marRight w:val="0"/>
                                                  <w:marTop w:val="0"/>
                                                  <w:marBottom w:val="0"/>
                                                  <w:divBdr>
                                                    <w:top w:val="none" w:sz="0" w:space="0" w:color="auto"/>
                                                    <w:left w:val="none" w:sz="0" w:space="0" w:color="auto"/>
                                                    <w:bottom w:val="none" w:sz="0" w:space="0" w:color="auto"/>
                                                    <w:right w:val="none" w:sz="0" w:space="0" w:color="auto"/>
                                                  </w:divBdr>
                                                  <w:divsChild>
                                                    <w:div w:id="511385312">
                                                      <w:marLeft w:val="0"/>
                                                      <w:marRight w:val="0"/>
                                                      <w:marTop w:val="0"/>
                                                      <w:marBottom w:val="0"/>
                                                      <w:divBdr>
                                                        <w:top w:val="none" w:sz="0" w:space="0" w:color="auto"/>
                                                        <w:left w:val="none" w:sz="0" w:space="0" w:color="auto"/>
                                                        <w:bottom w:val="none" w:sz="0" w:space="0" w:color="auto"/>
                                                        <w:right w:val="none" w:sz="0" w:space="0" w:color="auto"/>
                                                      </w:divBdr>
                                                    </w:div>
                                                  </w:divsChild>
                                                </w:div>
                                                <w:div w:id="933975804">
                                                  <w:marLeft w:val="0"/>
                                                  <w:marRight w:val="0"/>
                                                  <w:marTop w:val="0"/>
                                                  <w:marBottom w:val="0"/>
                                                  <w:divBdr>
                                                    <w:top w:val="none" w:sz="0" w:space="0" w:color="auto"/>
                                                    <w:left w:val="none" w:sz="0" w:space="0" w:color="auto"/>
                                                    <w:bottom w:val="none" w:sz="0" w:space="0" w:color="auto"/>
                                                    <w:right w:val="none" w:sz="0" w:space="0" w:color="auto"/>
                                                  </w:divBdr>
                                                  <w:divsChild>
                                                    <w:div w:id="1419063487">
                                                      <w:marLeft w:val="0"/>
                                                      <w:marRight w:val="0"/>
                                                      <w:marTop w:val="0"/>
                                                      <w:marBottom w:val="0"/>
                                                      <w:divBdr>
                                                        <w:top w:val="none" w:sz="0" w:space="0" w:color="auto"/>
                                                        <w:left w:val="none" w:sz="0" w:space="0" w:color="auto"/>
                                                        <w:bottom w:val="none" w:sz="0" w:space="0" w:color="auto"/>
                                                        <w:right w:val="none" w:sz="0" w:space="0" w:color="auto"/>
                                                      </w:divBdr>
                                                      <w:divsChild>
                                                        <w:div w:id="692806157">
                                                          <w:marLeft w:val="0"/>
                                                          <w:marRight w:val="0"/>
                                                          <w:marTop w:val="0"/>
                                                          <w:marBottom w:val="0"/>
                                                          <w:divBdr>
                                                            <w:top w:val="none" w:sz="0" w:space="0" w:color="auto"/>
                                                            <w:left w:val="none" w:sz="0" w:space="0" w:color="auto"/>
                                                            <w:bottom w:val="none" w:sz="0" w:space="0" w:color="auto"/>
                                                            <w:right w:val="none" w:sz="0" w:space="0" w:color="auto"/>
                                                          </w:divBdr>
                                                        </w:div>
                                                        <w:div w:id="115476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566621">
                                              <w:marLeft w:val="0"/>
                                              <w:marRight w:val="0"/>
                                              <w:marTop w:val="0"/>
                                              <w:marBottom w:val="0"/>
                                              <w:divBdr>
                                                <w:top w:val="none" w:sz="0" w:space="0" w:color="auto"/>
                                                <w:left w:val="none" w:sz="0" w:space="0" w:color="auto"/>
                                                <w:bottom w:val="none" w:sz="0" w:space="0" w:color="auto"/>
                                                <w:right w:val="none" w:sz="0" w:space="0" w:color="auto"/>
                                              </w:divBdr>
                                              <w:divsChild>
                                                <w:div w:id="1298300712">
                                                  <w:marLeft w:val="0"/>
                                                  <w:marRight w:val="0"/>
                                                  <w:marTop w:val="600"/>
                                                  <w:marBottom w:val="0"/>
                                                  <w:divBdr>
                                                    <w:top w:val="none" w:sz="0" w:space="0" w:color="auto"/>
                                                    <w:left w:val="none" w:sz="0" w:space="0" w:color="auto"/>
                                                    <w:bottom w:val="none" w:sz="0" w:space="0" w:color="auto"/>
                                                    <w:right w:val="none" w:sz="0" w:space="0" w:color="auto"/>
                                                  </w:divBdr>
                                                  <w:divsChild>
                                                    <w:div w:id="918060913">
                                                      <w:marLeft w:val="0"/>
                                                      <w:marRight w:val="0"/>
                                                      <w:marTop w:val="0"/>
                                                      <w:marBottom w:val="0"/>
                                                      <w:divBdr>
                                                        <w:top w:val="none" w:sz="0" w:space="0" w:color="auto"/>
                                                        <w:left w:val="none" w:sz="0" w:space="0" w:color="auto"/>
                                                        <w:bottom w:val="none" w:sz="0" w:space="0" w:color="auto"/>
                                                        <w:right w:val="none" w:sz="0" w:space="0" w:color="auto"/>
                                                      </w:divBdr>
                                                      <w:divsChild>
                                                        <w:div w:id="571889708">
                                                          <w:marLeft w:val="0"/>
                                                          <w:marRight w:val="0"/>
                                                          <w:marTop w:val="0"/>
                                                          <w:marBottom w:val="0"/>
                                                          <w:divBdr>
                                                            <w:top w:val="none" w:sz="0" w:space="0" w:color="auto"/>
                                                            <w:left w:val="none" w:sz="0" w:space="0" w:color="auto"/>
                                                            <w:bottom w:val="none" w:sz="0" w:space="0" w:color="auto"/>
                                                            <w:right w:val="none" w:sz="0" w:space="0" w:color="auto"/>
                                                          </w:divBdr>
                                                          <w:divsChild>
                                                            <w:div w:id="1555190650">
                                                              <w:marLeft w:val="0"/>
                                                              <w:marRight w:val="0"/>
                                                              <w:marTop w:val="0"/>
                                                              <w:marBottom w:val="0"/>
                                                              <w:divBdr>
                                                                <w:top w:val="none" w:sz="0" w:space="0" w:color="auto"/>
                                                                <w:left w:val="none" w:sz="0" w:space="0" w:color="auto"/>
                                                                <w:bottom w:val="none" w:sz="0" w:space="0" w:color="auto"/>
                                                                <w:right w:val="none" w:sz="0" w:space="0" w:color="auto"/>
                                                              </w:divBdr>
                                                              <w:divsChild>
                                                                <w:div w:id="767891262">
                                                                  <w:marLeft w:val="0"/>
                                                                  <w:marRight w:val="0"/>
                                                                  <w:marTop w:val="100"/>
                                                                  <w:marBottom w:val="100"/>
                                                                  <w:divBdr>
                                                                    <w:top w:val="none" w:sz="0" w:space="0" w:color="auto"/>
                                                                    <w:left w:val="none" w:sz="0" w:space="0" w:color="auto"/>
                                                                    <w:bottom w:val="none" w:sz="0" w:space="0" w:color="auto"/>
                                                                    <w:right w:val="none" w:sz="0" w:space="0" w:color="auto"/>
                                                                  </w:divBdr>
                                                                </w:div>
                                                                <w:div w:id="1833134323">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540554924">
                                                  <w:marLeft w:val="0"/>
                                                  <w:marRight w:val="0"/>
                                                  <w:marTop w:val="0"/>
                                                  <w:marBottom w:val="0"/>
                                                  <w:divBdr>
                                                    <w:top w:val="none" w:sz="0" w:space="0" w:color="auto"/>
                                                    <w:left w:val="none" w:sz="0" w:space="0" w:color="auto"/>
                                                    <w:bottom w:val="none" w:sz="0" w:space="0" w:color="auto"/>
                                                    <w:right w:val="none" w:sz="0" w:space="0" w:color="auto"/>
                                                  </w:divBdr>
                                                  <w:divsChild>
                                                    <w:div w:id="1614284504">
                                                      <w:marLeft w:val="0"/>
                                                      <w:marRight w:val="0"/>
                                                      <w:marTop w:val="90"/>
                                                      <w:marBottom w:val="90"/>
                                                      <w:divBdr>
                                                        <w:top w:val="none" w:sz="0" w:space="4" w:color="F0C36D"/>
                                                        <w:left w:val="none" w:sz="0" w:space="4" w:color="F0C36D"/>
                                                        <w:bottom w:val="none" w:sz="0" w:space="4" w:color="F0C36D"/>
                                                        <w:right w:val="none" w:sz="0" w:space="4" w:color="F0C36D"/>
                                                      </w:divBdr>
                                                      <w:divsChild>
                                                        <w:div w:id="1055466868">
                                                          <w:marLeft w:val="0"/>
                                                          <w:marRight w:val="0"/>
                                                          <w:marTop w:val="0"/>
                                                          <w:marBottom w:val="0"/>
                                                          <w:divBdr>
                                                            <w:top w:val="none" w:sz="0" w:space="0" w:color="auto"/>
                                                            <w:left w:val="none" w:sz="0" w:space="0" w:color="auto"/>
                                                            <w:bottom w:val="none" w:sz="0" w:space="0" w:color="auto"/>
                                                            <w:right w:val="none" w:sz="0" w:space="0" w:color="auto"/>
                                                          </w:divBdr>
                                                        </w:div>
                                                      </w:divsChild>
                                                    </w:div>
                                                    <w:div w:id="715548024">
                                                      <w:marLeft w:val="0"/>
                                                      <w:marRight w:val="0"/>
                                                      <w:marTop w:val="0"/>
                                                      <w:marBottom w:val="0"/>
                                                      <w:divBdr>
                                                        <w:top w:val="none" w:sz="0" w:space="0" w:color="auto"/>
                                                        <w:left w:val="none" w:sz="0" w:space="0" w:color="auto"/>
                                                        <w:bottom w:val="none" w:sz="0" w:space="0" w:color="auto"/>
                                                        <w:right w:val="none" w:sz="0" w:space="0" w:color="auto"/>
                                                      </w:divBdr>
                                                      <w:divsChild>
                                                        <w:div w:id="243611832">
                                                          <w:marLeft w:val="0"/>
                                                          <w:marRight w:val="0"/>
                                                          <w:marTop w:val="0"/>
                                                          <w:marBottom w:val="0"/>
                                                          <w:divBdr>
                                                            <w:top w:val="none" w:sz="0" w:space="0" w:color="auto"/>
                                                            <w:left w:val="none" w:sz="0" w:space="0" w:color="auto"/>
                                                            <w:bottom w:val="none" w:sz="0" w:space="0" w:color="auto"/>
                                                            <w:right w:val="none" w:sz="0" w:space="0" w:color="auto"/>
                                                          </w:divBdr>
                                                        </w:div>
                                                        <w:div w:id="238684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7823596">
                                  <w:marLeft w:val="0"/>
                                  <w:marRight w:val="0"/>
                                  <w:marTop w:val="0"/>
                                  <w:marBottom w:val="0"/>
                                  <w:divBdr>
                                    <w:top w:val="none" w:sz="0" w:space="0" w:color="auto"/>
                                    <w:left w:val="none" w:sz="0" w:space="0" w:color="auto"/>
                                    <w:bottom w:val="none" w:sz="0" w:space="0" w:color="auto"/>
                                    <w:right w:val="none" w:sz="0" w:space="0" w:color="auto"/>
                                  </w:divBdr>
                                  <w:divsChild>
                                    <w:div w:id="1200046110">
                                      <w:marLeft w:val="0"/>
                                      <w:marRight w:val="0"/>
                                      <w:marTop w:val="600"/>
                                      <w:marBottom w:val="0"/>
                                      <w:divBdr>
                                        <w:top w:val="none" w:sz="0" w:space="0" w:color="auto"/>
                                        <w:left w:val="none" w:sz="0" w:space="0" w:color="auto"/>
                                        <w:bottom w:val="none" w:sz="0" w:space="0" w:color="auto"/>
                                        <w:right w:val="none" w:sz="0" w:space="0" w:color="auto"/>
                                      </w:divBdr>
                                      <w:divsChild>
                                        <w:div w:id="1506943557">
                                          <w:marLeft w:val="0"/>
                                          <w:marRight w:val="0"/>
                                          <w:marTop w:val="0"/>
                                          <w:marBottom w:val="0"/>
                                          <w:divBdr>
                                            <w:top w:val="none" w:sz="0" w:space="0" w:color="auto"/>
                                            <w:left w:val="none" w:sz="0" w:space="0" w:color="auto"/>
                                            <w:bottom w:val="none" w:sz="0" w:space="0" w:color="auto"/>
                                            <w:right w:val="none" w:sz="0" w:space="0" w:color="auto"/>
                                          </w:divBdr>
                                          <w:divsChild>
                                            <w:div w:id="242842898">
                                              <w:marLeft w:val="0"/>
                                              <w:marRight w:val="0"/>
                                              <w:marTop w:val="0"/>
                                              <w:marBottom w:val="0"/>
                                              <w:divBdr>
                                                <w:top w:val="none" w:sz="0" w:space="0" w:color="auto"/>
                                                <w:left w:val="none" w:sz="0" w:space="0" w:color="auto"/>
                                                <w:bottom w:val="none" w:sz="0" w:space="0" w:color="auto"/>
                                                <w:right w:val="none" w:sz="0" w:space="0" w:color="auto"/>
                                              </w:divBdr>
                                              <w:divsChild>
                                                <w:div w:id="414742687">
                                                  <w:marLeft w:val="0"/>
                                                  <w:marRight w:val="0"/>
                                                  <w:marTop w:val="0"/>
                                                  <w:marBottom w:val="0"/>
                                                  <w:divBdr>
                                                    <w:top w:val="none" w:sz="0" w:space="0" w:color="auto"/>
                                                    <w:left w:val="none" w:sz="0" w:space="0" w:color="auto"/>
                                                    <w:bottom w:val="none" w:sz="0" w:space="0" w:color="auto"/>
                                                    <w:right w:val="none" w:sz="0" w:space="0" w:color="auto"/>
                                                  </w:divBdr>
                                                  <w:divsChild>
                                                    <w:div w:id="1418595316">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892469921">
                                  <w:marLeft w:val="0"/>
                                  <w:marRight w:val="0"/>
                                  <w:marTop w:val="0"/>
                                  <w:marBottom w:val="0"/>
                                  <w:divBdr>
                                    <w:top w:val="none" w:sz="0" w:space="0" w:color="auto"/>
                                    <w:left w:val="none" w:sz="0" w:space="0" w:color="auto"/>
                                    <w:bottom w:val="none" w:sz="0" w:space="0" w:color="auto"/>
                                    <w:right w:val="none" w:sz="0" w:space="0" w:color="auto"/>
                                  </w:divBdr>
                                  <w:divsChild>
                                    <w:div w:id="1159270232">
                                      <w:marLeft w:val="0"/>
                                      <w:marRight w:val="0"/>
                                      <w:marTop w:val="0"/>
                                      <w:marBottom w:val="0"/>
                                      <w:divBdr>
                                        <w:top w:val="none" w:sz="0" w:space="0" w:color="auto"/>
                                        <w:left w:val="none" w:sz="0" w:space="0" w:color="auto"/>
                                        <w:bottom w:val="single" w:sz="6" w:space="3" w:color="CCCCCC"/>
                                        <w:right w:val="none" w:sz="0" w:space="0" w:color="auto"/>
                                      </w:divBdr>
                                    </w:div>
                                    <w:div w:id="1605769469">
                                      <w:marLeft w:val="0"/>
                                      <w:marRight w:val="0"/>
                                      <w:marTop w:val="0"/>
                                      <w:marBottom w:val="0"/>
                                      <w:divBdr>
                                        <w:top w:val="none" w:sz="0" w:space="0" w:color="auto"/>
                                        <w:left w:val="none" w:sz="0" w:space="0" w:color="auto"/>
                                        <w:bottom w:val="none" w:sz="0" w:space="0" w:color="auto"/>
                                        <w:right w:val="none" w:sz="0" w:space="0" w:color="auto"/>
                                      </w:divBdr>
                                      <w:divsChild>
                                        <w:div w:id="1390425355">
                                          <w:marLeft w:val="0"/>
                                          <w:marRight w:val="0"/>
                                          <w:marTop w:val="0"/>
                                          <w:marBottom w:val="0"/>
                                          <w:divBdr>
                                            <w:top w:val="none" w:sz="0" w:space="0" w:color="auto"/>
                                            <w:left w:val="none" w:sz="0" w:space="0" w:color="auto"/>
                                            <w:bottom w:val="none" w:sz="0" w:space="0" w:color="auto"/>
                                            <w:right w:val="none" w:sz="0" w:space="0" w:color="auto"/>
                                          </w:divBdr>
                                          <w:divsChild>
                                            <w:div w:id="182059460">
                                              <w:marLeft w:val="0"/>
                                              <w:marRight w:val="60"/>
                                              <w:marTop w:val="0"/>
                                              <w:marBottom w:val="0"/>
                                              <w:divBdr>
                                                <w:top w:val="none" w:sz="0" w:space="0" w:color="auto"/>
                                                <w:left w:val="none" w:sz="0" w:space="0" w:color="auto"/>
                                                <w:bottom w:val="none" w:sz="0" w:space="0" w:color="auto"/>
                                                <w:right w:val="none" w:sz="0" w:space="0" w:color="auto"/>
                                              </w:divBdr>
                                              <w:divsChild>
                                                <w:div w:id="170881330">
                                                  <w:marLeft w:val="0"/>
                                                  <w:marRight w:val="0"/>
                                                  <w:marTop w:val="0"/>
                                                  <w:marBottom w:val="0"/>
                                                  <w:divBdr>
                                                    <w:top w:val="none" w:sz="0" w:space="0" w:color="auto"/>
                                                    <w:left w:val="none" w:sz="0" w:space="0" w:color="auto"/>
                                                    <w:bottom w:val="none" w:sz="0" w:space="0" w:color="auto"/>
                                                    <w:right w:val="none" w:sz="0" w:space="0" w:color="auto"/>
                                                  </w:divBdr>
                                                  <w:divsChild>
                                                    <w:div w:id="1538931259">
                                                      <w:marLeft w:val="0"/>
                                                      <w:marRight w:val="0"/>
                                                      <w:marTop w:val="0"/>
                                                      <w:marBottom w:val="0"/>
                                                      <w:divBdr>
                                                        <w:top w:val="none" w:sz="0" w:space="0" w:color="auto"/>
                                                        <w:left w:val="none" w:sz="0" w:space="0" w:color="auto"/>
                                                        <w:bottom w:val="none" w:sz="0" w:space="0" w:color="auto"/>
                                                        <w:right w:val="none" w:sz="0" w:space="0" w:color="auto"/>
                                                      </w:divBdr>
                                                      <w:divsChild>
                                                        <w:div w:id="928926671">
                                                          <w:marLeft w:val="0"/>
                                                          <w:marRight w:val="0"/>
                                                          <w:marTop w:val="0"/>
                                                          <w:marBottom w:val="0"/>
                                                          <w:divBdr>
                                                            <w:top w:val="none" w:sz="0" w:space="0" w:color="auto"/>
                                                            <w:left w:val="none" w:sz="0" w:space="0" w:color="auto"/>
                                                            <w:bottom w:val="none" w:sz="0" w:space="0" w:color="auto"/>
                                                            <w:right w:val="none" w:sz="0" w:space="0" w:color="auto"/>
                                                          </w:divBdr>
                                                          <w:divsChild>
                                                            <w:div w:id="78415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4131865">
                                                  <w:marLeft w:val="0"/>
                                                  <w:marRight w:val="0"/>
                                                  <w:marTop w:val="0"/>
                                                  <w:marBottom w:val="0"/>
                                                  <w:divBdr>
                                                    <w:top w:val="none" w:sz="0" w:space="0" w:color="auto"/>
                                                    <w:left w:val="none" w:sz="0" w:space="0" w:color="auto"/>
                                                    <w:bottom w:val="none" w:sz="0" w:space="0" w:color="auto"/>
                                                    <w:right w:val="none" w:sz="0" w:space="0" w:color="auto"/>
                                                  </w:divBdr>
                                                  <w:divsChild>
                                                    <w:div w:id="1059864516">
                                                      <w:marLeft w:val="0"/>
                                                      <w:marRight w:val="0"/>
                                                      <w:marTop w:val="0"/>
                                                      <w:marBottom w:val="0"/>
                                                      <w:divBdr>
                                                        <w:top w:val="none" w:sz="0" w:space="0" w:color="auto"/>
                                                        <w:left w:val="none" w:sz="0" w:space="0" w:color="auto"/>
                                                        <w:bottom w:val="none" w:sz="0" w:space="0" w:color="auto"/>
                                                        <w:right w:val="none" w:sz="0" w:space="0" w:color="auto"/>
                                                      </w:divBdr>
                                                      <w:divsChild>
                                                        <w:div w:id="2122216434">
                                                          <w:marLeft w:val="0"/>
                                                          <w:marRight w:val="0"/>
                                                          <w:marTop w:val="0"/>
                                                          <w:marBottom w:val="0"/>
                                                          <w:divBdr>
                                                            <w:top w:val="none" w:sz="0" w:space="0" w:color="auto"/>
                                                            <w:left w:val="none" w:sz="0" w:space="0" w:color="auto"/>
                                                            <w:bottom w:val="none" w:sz="0" w:space="0" w:color="auto"/>
                                                            <w:right w:val="none" w:sz="0" w:space="0" w:color="auto"/>
                                                          </w:divBdr>
                                                          <w:divsChild>
                                                            <w:div w:id="74595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38032">
                                                  <w:marLeft w:val="0"/>
                                                  <w:marRight w:val="0"/>
                                                  <w:marTop w:val="0"/>
                                                  <w:marBottom w:val="0"/>
                                                  <w:divBdr>
                                                    <w:top w:val="none" w:sz="0" w:space="0" w:color="auto"/>
                                                    <w:left w:val="none" w:sz="0" w:space="0" w:color="auto"/>
                                                    <w:bottom w:val="none" w:sz="0" w:space="0" w:color="auto"/>
                                                    <w:right w:val="none" w:sz="0" w:space="0" w:color="auto"/>
                                                  </w:divBdr>
                                                  <w:divsChild>
                                                    <w:div w:id="20790514">
                                                      <w:marLeft w:val="0"/>
                                                      <w:marRight w:val="0"/>
                                                      <w:marTop w:val="0"/>
                                                      <w:marBottom w:val="0"/>
                                                      <w:divBdr>
                                                        <w:top w:val="none" w:sz="0" w:space="0" w:color="auto"/>
                                                        <w:left w:val="none" w:sz="0" w:space="0" w:color="auto"/>
                                                        <w:bottom w:val="none" w:sz="0" w:space="0" w:color="auto"/>
                                                        <w:right w:val="none" w:sz="0" w:space="0" w:color="auto"/>
                                                      </w:divBdr>
                                                      <w:divsChild>
                                                        <w:div w:id="110975900">
                                                          <w:marLeft w:val="0"/>
                                                          <w:marRight w:val="0"/>
                                                          <w:marTop w:val="0"/>
                                                          <w:marBottom w:val="0"/>
                                                          <w:divBdr>
                                                            <w:top w:val="none" w:sz="0" w:space="0" w:color="auto"/>
                                                            <w:left w:val="none" w:sz="0" w:space="0" w:color="auto"/>
                                                            <w:bottom w:val="none" w:sz="0" w:space="0" w:color="auto"/>
                                                            <w:right w:val="none" w:sz="0" w:space="0" w:color="auto"/>
                                                          </w:divBdr>
                                                          <w:divsChild>
                                                            <w:div w:id="119152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14920">
                                                  <w:marLeft w:val="0"/>
                                                  <w:marRight w:val="0"/>
                                                  <w:marTop w:val="0"/>
                                                  <w:marBottom w:val="0"/>
                                                  <w:divBdr>
                                                    <w:top w:val="none" w:sz="0" w:space="0" w:color="auto"/>
                                                    <w:left w:val="none" w:sz="0" w:space="0" w:color="auto"/>
                                                    <w:bottom w:val="none" w:sz="0" w:space="0" w:color="auto"/>
                                                    <w:right w:val="none" w:sz="0" w:space="0" w:color="auto"/>
                                                  </w:divBdr>
                                                  <w:divsChild>
                                                    <w:div w:id="328866911">
                                                      <w:marLeft w:val="0"/>
                                                      <w:marRight w:val="0"/>
                                                      <w:marTop w:val="0"/>
                                                      <w:marBottom w:val="0"/>
                                                      <w:divBdr>
                                                        <w:top w:val="none" w:sz="0" w:space="0" w:color="auto"/>
                                                        <w:left w:val="none" w:sz="0" w:space="0" w:color="auto"/>
                                                        <w:bottom w:val="none" w:sz="0" w:space="0" w:color="auto"/>
                                                        <w:right w:val="none" w:sz="0" w:space="0" w:color="auto"/>
                                                      </w:divBdr>
                                                      <w:divsChild>
                                                        <w:div w:id="57609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7731223">
                                          <w:marLeft w:val="0"/>
                                          <w:marRight w:val="0"/>
                                          <w:marTop w:val="0"/>
                                          <w:marBottom w:val="0"/>
                                          <w:divBdr>
                                            <w:top w:val="none" w:sz="0" w:space="0" w:color="auto"/>
                                            <w:left w:val="none" w:sz="0" w:space="0" w:color="auto"/>
                                            <w:bottom w:val="none" w:sz="0" w:space="0" w:color="auto"/>
                                            <w:right w:val="none" w:sz="0" w:space="0" w:color="auto"/>
                                          </w:divBdr>
                                          <w:divsChild>
                                            <w:div w:id="2060283572">
                                              <w:marLeft w:val="60"/>
                                              <w:marRight w:val="0"/>
                                              <w:marTop w:val="0"/>
                                              <w:marBottom w:val="0"/>
                                              <w:divBdr>
                                                <w:top w:val="none" w:sz="0" w:space="0" w:color="auto"/>
                                                <w:left w:val="none" w:sz="0" w:space="0" w:color="auto"/>
                                                <w:bottom w:val="none" w:sz="0" w:space="0" w:color="auto"/>
                                                <w:right w:val="none" w:sz="0" w:space="0" w:color="auto"/>
                                              </w:divBdr>
                                              <w:divsChild>
                                                <w:div w:id="274824741">
                                                  <w:marLeft w:val="0"/>
                                                  <w:marRight w:val="0"/>
                                                  <w:marTop w:val="0"/>
                                                  <w:marBottom w:val="0"/>
                                                  <w:divBdr>
                                                    <w:top w:val="none" w:sz="0" w:space="0" w:color="auto"/>
                                                    <w:left w:val="none" w:sz="0" w:space="0" w:color="auto"/>
                                                    <w:bottom w:val="none" w:sz="0" w:space="0" w:color="auto"/>
                                                    <w:right w:val="none" w:sz="0" w:space="0" w:color="auto"/>
                                                  </w:divBdr>
                                                  <w:divsChild>
                                                    <w:div w:id="340352073">
                                                      <w:marLeft w:val="0"/>
                                                      <w:marRight w:val="0"/>
                                                      <w:marTop w:val="0"/>
                                                      <w:marBottom w:val="0"/>
                                                      <w:divBdr>
                                                        <w:top w:val="none" w:sz="0" w:space="0" w:color="auto"/>
                                                        <w:left w:val="none" w:sz="0" w:space="0" w:color="auto"/>
                                                        <w:bottom w:val="none" w:sz="0" w:space="0" w:color="auto"/>
                                                        <w:right w:val="none" w:sz="0" w:space="0" w:color="auto"/>
                                                      </w:divBdr>
                                                      <w:divsChild>
                                                        <w:div w:id="2020228561">
                                                          <w:marLeft w:val="0"/>
                                                          <w:marRight w:val="0"/>
                                                          <w:marTop w:val="0"/>
                                                          <w:marBottom w:val="0"/>
                                                          <w:divBdr>
                                                            <w:top w:val="none" w:sz="0" w:space="0" w:color="auto"/>
                                                            <w:left w:val="none" w:sz="0" w:space="0" w:color="auto"/>
                                                            <w:bottom w:val="none" w:sz="0" w:space="0" w:color="auto"/>
                                                            <w:right w:val="none" w:sz="0" w:space="0" w:color="auto"/>
                                                          </w:divBdr>
                                                          <w:divsChild>
                                                            <w:div w:id="4171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11842085">
              <w:marLeft w:val="0"/>
              <w:marRight w:val="0"/>
              <w:marTop w:val="0"/>
              <w:marBottom w:val="0"/>
              <w:divBdr>
                <w:top w:val="single" w:sz="6" w:space="31" w:color="F0C36D"/>
                <w:left w:val="single" w:sz="6" w:space="31" w:color="F0C36D"/>
                <w:bottom w:val="single" w:sz="6" w:space="31" w:color="F0C36D"/>
                <w:right w:val="single" w:sz="6" w:space="31" w:color="F0C36D"/>
              </w:divBdr>
            </w:div>
            <w:div w:id="832335846">
              <w:marLeft w:val="0"/>
              <w:marRight w:val="0"/>
              <w:marTop w:val="0"/>
              <w:marBottom w:val="0"/>
              <w:divBdr>
                <w:top w:val="single" w:sz="6" w:space="31" w:color="F0C36D"/>
                <w:left w:val="single" w:sz="6" w:space="31" w:color="F0C36D"/>
                <w:bottom w:val="single" w:sz="6" w:space="31" w:color="F0C36D"/>
                <w:right w:val="single" w:sz="6" w:space="31" w:color="F0C36D"/>
              </w:divBdr>
            </w:div>
            <w:div w:id="2136676512">
              <w:marLeft w:val="0"/>
              <w:marRight w:val="0"/>
              <w:marTop w:val="0"/>
              <w:marBottom w:val="0"/>
              <w:divBdr>
                <w:top w:val="single" w:sz="6" w:space="31" w:color="F0C36D"/>
                <w:left w:val="single" w:sz="6" w:space="31" w:color="F0C36D"/>
                <w:bottom w:val="single" w:sz="6" w:space="31" w:color="F0C36D"/>
                <w:right w:val="single" w:sz="6" w:space="31" w:color="F0C36D"/>
              </w:divBdr>
            </w:div>
            <w:div w:id="1281647964">
              <w:marLeft w:val="0"/>
              <w:marRight w:val="0"/>
              <w:marTop w:val="0"/>
              <w:marBottom w:val="0"/>
              <w:divBdr>
                <w:top w:val="single" w:sz="6" w:space="31" w:color="F0C36D"/>
                <w:left w:val="single" w:sz="6" w:space="31" w:color="F0C36D"/>
                <w:bottom w:val="single" w:sz="6" w:space="31" w:color="F0C36D"/>
                <w:right w:val="single" w:sz="6" w:space="31" w:color="F0C36D"/>
              </w:divBdr>
            </w:div>
            <w:div w:id="546377176">
              <w:marLeft w:val="0"/>
              <w:marRight w:val="0"/>
              <w:marTop w:val="0"/>
              <w:marBottom w:val="0"/>
              <w:divBdr>
                <w:top w:val="single" w:sz="6" w:space="0" w:color="CCCCCC"/>
                <w:left w:val="none" w:sz="0" w:space="0" w:color="auto"/>
                <w:bottom w:val="none" w:sz="0" w:space="0" w:color="auto"/>
                <w:right w:val="none" w:sz="0" w:space="0" w:color="auto"/>
              </w:divBdr>
            </w:div>
          </w:divsChild>
        </w:div>
      </w:divsChild>
    </w:div>
    <w:div w:id="964773094">
      <w:bodyDiv w:val="1"/>
      <w:marLeft w:val="0"/>
      <w:marRight w:val="0"/>
      <w:marTop w:val="0"/>
      <w:marBottom w:val="0"/>
      <w:divBdr>
        <w:top w:val="none" w:sz="0" w:space="0" w:color="auto"/>
        <w:left w:val="none" w:sz="0" w:space="0" w:color="auto"/>
        <w:bottom w:val="none" w:sz="0" w:space="0" w:color="auto"/>
        <w:right w:val="none" w:sz="0" w:space="0" w:color="auto"/>
      </w:divBdr>
    </w:div>
    <w:div w:id="965894002">
      <w:bodyDiv w:val="1"/>
      <w:marLeft w:val="0"/>
      <w:marRight w:val="0"/>
      <w:marTop w:val="0"/>
      <w:marBottom w:val="0"/>
      <w:divBdr>
        <w:top w:val="none" w:sz="0" w:space="0" w:color="auto"/>
        <w:left w:val="none" w:sz="0" w:space="0" w:color="auto"/>
        <w:bottom w:val="none" w:sz="0" w:space="0" w:color="auto"/>
        <w:right w:val="none" w:sz="0" w:space="0" w:color="auto"/>
      </w:divBdr>
    </w:div>
    <w:div w:id="995569336">
      <w:bodyDiv w:val="1"/>
      <w:marLeft w:val="0"/>
      <w:marRight w:val="0"/>
      <w:marTop w:val="0"/>
      <w:marBottom w:val="0"/>
      <w:divBdr>
        <w:top w:val="none" w:sz="0" w:space="0" w:color="auto"/>
        <w:left w:val="none" w:sz="0" w:space="0" w:color="auto"/>
        <w:bottom w:val="none" w:sz="0" w:space="0" w:color="auto"/>
        <w:right w:val="none" w:sz="0" w:space="0" w:color="auto"/>
      </w:divBdr>
    </w:div>
    <w:div w:id="1003893343">
      <w:bodyDiv w:val="1"/>
      <w:marLeft w:val="0"/>
      <w:marRight w:val="0"/>
      <w:marTop w:val="0"/>
      <w:marBottom w:val="0"/>
      <w:divBdr>
        <w:top w:val="none" w:sz="0" w:space="0" w:color="auto"/>
        <w:left w:val="none" w:sz="0" w:space="0" w:color="auto"/>
        <w:bottom w:val="none" w:sz="0" w:space="0" w:color="auto"/>
        <w:right w:val="none" w:sz="0" w:space="0" w:color="auto"/>
      </w:divBdr>
    </w:div>
    <w:div w:id="1011225623">
      <w:bodyDiv w:val="1"/>
      <w:marLeft w:val="0"/>
      <w:marRight w:val="0"/>
      <w:marTop w:val="0"/>
      <w:marBottom w:val="0"/>
      <w:divBdr>
        <w:top w:val="none" w:sz="0" w:space="0" w:color="auto"/>
        <w:left w:val="none" w:sz="0" w:space="0" w:color="auto"/>
        <w:bottom w:val="none" w:sz="0" w:space="0" w:color="auto"/>
        <w:right w:val="none" w:sz="0" w:space="0" w:color="auto"/>
      </w:divBdr>
    </w:div>
    <w:div w:id="1014192787">
      <w:bodyDiv w:val="1"/>
      <w:marLeft w:val="0"/>
      <w:marRight w:val="0"/>
      <w:marTop w:val="0"/>
      <w:marBottom w:val="0"/>
      <w:divBdr>
        <w:top w:val="none" w:sz="0" w:space="0" w:color="auto"/>
        <w:left w:val="none" w:sz="0" w:space="0" w:color="auto"/>
        <w:bottom w:val="none" w:sz="0" w:space="0" w:color="auto"/>
        <w:right w:val="none" w:sz="0" w:space="0" w:color="auto"/>
      </w:divBdr>
    </w:div>
    <w:div w:id="1014770923">
      <w:bodyDiv w:val="1"/>
      <w:marLeft w:val="0"/>
      <w:marRight w:val="0"/>
      <w:marTop w:val="0"/>
      <w:marBottom w:val="0"/>
      <w:divBdr>
        <w:top w:val="none" w:sz="0" w:space="0" w:color="auto"/>
        <w:left w:val="none" w:sz="0" w:space="0" w:color="auto"/>
        <w:bottom w:val="none" w:sz="0" w:space="0" w:color="auto"/>
        <w:right w:val="none" w:sz="0" w:space="0" w:color="auto"/>
      </w:divBdr>
    </w:div>
    <w:div w:id="1024094770">
      <w:bodyDiv w:val="1"/>
      <w:marLeft w:val="0"/>
      <w:marRight w:val="0"/>
      <w:marTop w:val="0"/>
      <w:marBottom w:val="0"/>
      <w:divBdr>
        <w:top w:val="none" w:sz="0" w:space="0" w:color="auto"/>
        <w:left w:val="none" w:sz="0" w:space="0" w:color="auto"/>
        <w:bottom w:val="none" w:sz="0" w:space="0" w:color="auto"/>
        <w:right w:val="none" w:sz="0" w:space="0" w:color="auto"/>
      </w:divBdr>
    </w:div>
    <w:div w:id="1059592109">
      <w:bodyDiv w:val="1"/>
      <w:marLeft w:val="0"/>
      <w:marRight w:val="0"/>
      <w:marTop w:val="0"/>
      <w:marBottom w:val="0"/>
      <w:divBdr>
        <w:top w:val="none" w:sz="0" w:space="0" w:color="auto"/>
        <w:left w:val="none" w:sz="0" w:space="0" w:color="auto"/>
        <w:bottom w:val="none" w:sz="0" w:space="0" w:color="auto"/>
        <w:right w:val="none" w:sz="0" w:space="0" w:color="auto"/>
      </w:divBdr>
    </w:div>
    <w:div w:id="1068695619">
      <w:bodyDiv w:val="1"/>
      <w:marLeft w:val="0"/>
      <w:marRight w:val="0"/>
      <w:marTop w:val="0"/>
      <w:marBottom w:val="0"/>
      <w:divBdr>
        <w:top w:val="none" w:sz="0" w:space="0" w:color="auto"/>
        <w:left w:val="none" w:sz="0" w:space="0" w:color="auto"/>
        <w:bottom w:val="none" w:sz="0" w:space="0" w:color="auto"/>
        <w:right w:val="none" w:sz="0" w:space="0" w:color="auto"/>
      </w:divBdr>
    </w:div>
    <w:div w:id="1069887070">
      <w:bodyDiv w:val="1"/>
      <w:marLeft w:val="0"/>
      <w:marRight w:val="0"/>
      <w:marTop w:val="0"/>
      <w:marBottom w:val="0"/>
      <w:divBdr>
        <w:top w:val="none" w:sz="0" w:space="0" w:color="auto"/>
        <w:left w:val="none" w:sz="0" w:space="0" w:color="auto"/>
        <w:bottom w:val="none" w:sz="0" w:space="0" w:color="auto"/>
        <w:right w:val="none" w:sz="0" w:space="0" w:color="auto"/>
      </w:divBdr>
    </w:div>
    <w:div w:id="1074081749">
      <w:bodyDiv w:val="1"/>
      <w:marLeft w:val="0"/>
      <w:marRight w:val="0"/>
      <w:marTop w:val="0"/>
      <w:marBottom w:val="0"/>
      <w:divBdr>
        <w:top w:val="none" w:sz="0" w:space="0" w:color="auto"/>
        <w:left w:val="none" w:sz="0" w:space="0" w:color="auto"/>
        <w:bottom w:val="none" w:sz="0" w:space="0" w:color="auto"/>
        <w:right w:val="none" w:sz="0" w:space="0" w:color="auto"/>
      </w:divBdr>
    </w:div>
    <w:div w:id="1097597073">
      <w:bodyDiv w:val="1"/>
      <w:marLeft w:val="0"/>
      <w:marRight w:val="0"/>
      <w:marTop w:val="0"/>
      <w:marBottom w:val="0"/>
      <w:divBdr>
        <w:top w:val="none" w:sz="0" w:space="0" w:color="auto"/>
        <w:left w:val="none" w:sz="0" w:space="0" w:color="auto"/>
        <w:bottom w:val="none" w:sz="0" w:space="0" w:color="auto"/>
        <w:right w:val="none" w:sz="0" w:space="0" w:color="auto"/>
      </w:divBdr>
    </w:div>
    <w:div w:id="1102337644">
      <w:bodyDiv w:val="1"/>
      <w:marLeft w:val="0"/>
      <w:marRight w:val="0"/>
      <w:marTop w:val="0"/>
      <w:marBottom w:val="0"/>
      <w:divBdr>
        <w:top w:val="none" w:sz="0" w:space="0" w:color="auto"/>
        <w:left w:val="none" w:sz="0" w:space="0" w:color="auto"/>
        <w:bottom w:val="none" w:sz="0" w:space="0" w:color="auto"/>
        <w:right w:val="none" w:sz="0" w:space="0" w:color="auto"/>
      </w:divBdr>
    </w:div>
    <w:div w:id="1103039328">
      <w:bodyDiv w:val="1"/>
      <w:marLeft w:val="0"/>
      <w:marRight w:val="0"/>
      <w:marTop w:val="0"/>
      <w:marBottom w:val="0"/>
      <w:divBdr>
        <w:top w:val="none" w:sz="0" w:space="0" w:color="auto"/>
        <w:left w:val="none" w:sz="0" w:space="0" w:color="auto"/>
        <w:bottom w:val="none" w:sz="0" w:space="0" w:color="auto"/>
        <w:right w:val="none" w:sz="0" w:space="0" w:color="auto"/>
      </w:divBdr>
    </w:div>
    <w:div w:id="1115253910">
      <w:bodyDiv w:val="1"/>
      <w:marLeft w:val="0"/>
      <w:marRight w:val="0"/>
      <w:marTop w:val="0"/>
      <w:marBottom w:val="0"/>
      <w:divBdr>
        <w:top w:val="none" w:sz="0" w:space="0" w:color="auto"/>
        <w:left w:val="none" w:sz="0" w:space="0" w:color="auto"/>
        <w:bottom w:val="none" w:sz="0" w:space="0" w:color="auto"/>
        <w:right w:val="none" w:sz="0" w:space="0" w:color="auto"/>
      </w:divBdr>
    </w:div>
    <w:div w:id="1128858007">
      <w:bodyDiv w:val="1"/>
      <w:marLeft w:val="0"/>
      <w:marRight w:val="0"/>
      <w:marTop w:val="0"/>
      <w:marBottom w:val="0"/>
      <w:divBdr>
        <w:top w:val="none" w:sz="0" w:space="0" w:color="auto"/>
        <w:left w:val="none" w:sz="0" w:space="0" w:color="auto"/>
        <w:bottom w:val="none" w:sz="0" w:space="0" w:color="auto"/>
        <w:right w:val="none" w:sz="0" w:space="0" w:color="auto"/>
      </w:divBdr>
    </w:div>
    <w:div w:id="1136489950">
      <w:bodyDiv w:val="1"/>
      <w:marLeft w:val="0"/>
      <w:marRight w:val="0"/>
      <w:marTop w:val="0"/>
      <w:marBottom w:val="0"/>
      <w:divBdr>
        <w:top w:val="none" w:sz="0" w:space="0" w:color="auto"/>
        <w:left w:val="none" w:sz="0" w:space="0" w:color="auto"/>
        <w:bottom w:val="none" w:sz="0" w:space="0" w:color="auto"/>
        <w:right w:val="none" w:sz="0" w:space="0" w:color="auto"/>
      </w:divBdr>
    </w:div>
    <w:div w:id="1144389679">
      <w:bodyDiv w:val="1"/>
      <w:marLeft w:val="0"/>
      <w:marRight w:val="0"/>
      <w:marTop w:val="0"/>
      <w:marBottom w:val="0"/>
      <w:divBdr>
        <w:top w:val="none" w:sz="0" w:space="0" w:color="auto"/>
        <w:left w:val="none" w:sz="0" w:space="0" w:color="auto"/>
        <w:bottom w:val="none" w:sz="0" w:space="0" w:color="auto"/>
        <w:right w:val="none" w:sz="0" w:space="0" w:color="auto"/>
      </w:divBdr>
    </w:div>
    <w:div w:id="1164470945">
      <w:bodyDiv w:val="1"/>
      <w:marLeft w:val="0"/>
      <w:marRight w:val="0"/>
      <w:marTop w:val="0"/>
      <w:marBottom w:val="0"/>
      <w:divBdr>
        <w:top w:val="none" w:sz="0" w:space="0" w:color="auto"/>
        <w:left w:val="none" w:sz="0" w:space="0" w:color="auto"/>
        <w:bottom w:val="none" w:sz="0" w:space="0" w:color="auto"/>
        <w:right w:val="none" w:sz="0" w:space="0" w:color="auto"/>
      </w:divBdr>
      <w:divsChild>
        <w:div w:id="631597288">
          <w:marLeft w:val="446"/>
          <w:marRight w:val="0"/>
          <w:marTop w:val="0"/>
          <w:marBottom w:val="0"/>
          <w:divBdr>
            <w:top w:val="none" w:sz="0" w:space="0" w:color="auto"/>
            <w:left w:val="none" w:sz="0" w:space="0" w:color="auto"/>
            <w:bottom w:val="none" w:sz="0" w:space="0" w:color="auto"/>
            <w:right w:val="none" w:sz="0" w:space="0" w:color="auto"/>
          </w:divBdr>
        </w:div>
      </w:divsChild>
    </w:div>
    <w:div w:id="1168715484">
      <w:bodyDiv w:val="1"/>
      <w:marLeft w:val="0"/>
      <w:marRight w:val="0"/>
      <w:marTop w:val="0"/>
      <w:marBottom w:val="0"/>
      <w:divBdr>
        <w:top w:val="none" w:sz="0" w:space="0" w:color="auto"/>
        <w:left w:val="none" w:sz="0" w:space="0" w:color="auto"/>
        <w:bottom w:val="none" w:sz="0" w:space="0" w:color="auto"/>
        <w:right w:val="none" w:sz="0" w:space="0" w:color="auto"/>
      </w:divBdr>
    </w:div>
    <w:div w:id="1171988000">
      <w:bodyDiv w:val="1"/>
      <w:marLeft w:val="0"/>
      <w:marRight w:val="0"/>
      <w:marTop w:val="0"/>
      <w:marBottom w:val="0"/>
      <w:divBdr>
        <w:top w:val="none" w:sz="0" w:space="0" w:color="auto"/>
        <w:left w:val="none" w:sz="0" w:space="0" w:color="auto"/>
        <w:bottom w:val="none" w:sz="0" w:space="0" w:color="auto"/>
        <w:right w:val="none" w:sz="0" w:space="0" w:color="auto"/>
      </w:divBdr>
    </w:div>
    <w:div w:id="1173570441">
      <w:bodyDiv w:val="1"/>
      <w:marLeft w:val="0"/>
      <w:marRight w:val="0"/>
      <w:marTop w:val="0"/>
      <w:marBottom w:val="0"/>
      <w:divBdr>
        <w:top w:val="none" w:sz="0" w:space="0" w:color="auto"/>
        <w:left w:val="none" w:sz="0" w:space="0" w:color="auto"/>
        <w:bottom w:val="none" w:sz="0" w:space="0" w:color="auto"/>
        <w:right w:val="none" w:sz="0" w:space="0" w:color="auto"/>
      </w:divBdr>
    </w:div>
    <w:div w:id="1185703953">
      <w:bodyDiv w:val="1"/>
      <w:marLeft w:val="0"/>
      <w:marRight w:val="0"/>
      <w:marTop w:val="0"/>
      <w:marBottom w:val="0"/>
      <w:divBdr>
        <w:top w:val="none" w:sz="0" w:space="0" w:color="auto"/>
        <w:left w:val="none" w:sz="0" w:space="0" w:color="auto"/>
        <w:bottom w:val="none" w:sz="0" w:space="0" w:color="auto"/>
        <w:right w:val="none" w:sz="0" w:space="0" w:color="auto"/>
      </w:divBdr>
      <w:divsChild>
        <w:div w:id="174611060">
          <w:marLeft w:val="0"/>
          <w:marRight w:val="0"/>
          <w:marTop w:val="0"/>
          <w:marBottom w:val="0"/>
          <w:divBdr>
            <w:top w:val="none" w:sz="0" w:space="0" w:color="auto"/>
            <w:left w:val="none" w:sz="0" w:space="0" w:color="auto"/>
            <w:bottom w:val="none" w:sz="0" w:space="0" w:color="auto"/>
            <w:right w:val="none" w:sz="0" w:space="0" w:color="auto"/>
          </w:divBdr>
          <w:divsChild>
            <w:div w:id="503009136">
              <w:marLeft w:val="0"/>
              <w:marRight w:val="0"/>
              <w:marTop w:val="0"/>
              <w:marBottom w:val="0"/>
              <w:divBdr>
                <w:top w:val="none" w:sz="0" w:space="0" w:color="auto"/>
                <w:left w:val="none" w:sz="0" w:space="0" w:color="auto"/>
                <w:bottom w:val="none" w:sz="0" w:space="0" w:color="auto"/>
                <w:right w:val="none" w:sz="0" w:space="0" w:color="auto"/>
              </w:divBdr>
              <w:divsChild>
                <w:div w:id="624194058">
                  <w:marLeft w:val="0"/>
                  <w:marRight w:val="0"/>
                  <w:marTop w:val="0"/>
                  <w:marBottom w:val="0"/>
                  <w:divBdr>
                    <w:top w:val="none" w:sz="0" w:space="0" w:color="auto"/>
                    <w:left w:val="none" w:sz="0" w:space="0" w:color="auto"/>
                    <w:bottom w:val="none" w:sz="0" w:space="0" w:color="auto"/>
                    <w:right w:val="none" w:sz="0" w:space="0" w:color="auto"/>
                  </w:divBdr>
                  <w:divsChild>
                    <w:div w:id="766728269">
                      <w:marLeft w:val="0"/>
                      <w:marRight w:val="0"/>
                      <w:marTop w:val="0"/>
                      <w:marBottom w:val="0"/>
                      <w:divBdr>
                        <w:top w:val="none" w:sz="0" w:space="0" w:color="auto"/>
                        <w:left w:val="none" w:sz="0" w:space="0" w:color="auto"/>
                        <w:bottom w:val="none" w:sz="0" w:space="0" w:color="auto"/>
                        <w:right w:val="none" w:sz="0" w:space="0" w:color="auto"/>
                      </w:divBdr>
                      <w:divsChild>
                        <w:div w:id="1276785605">
                          <w:marLeft w:val="0"/>
                          <w:marRight w:val="0"/>
                          <w:marTop w:val="0"/>
                          <w:marBottom w:val="0"/>
                          <w:divBdr>
                            <w:top w:val="none" w:sz="0" w:space="0" w:color="auto"/>
                            <w:left w:val="none" w:sz="0" w:space="0" w:color="auto"/>
                            <w:bottom w:val="none" w:sz="0" w:space="0" w:color="auto"/>
                            <w:right w:val="none" w:sz="0" w:space="0" w:color="auto"/>
                          </w:divBdr>
                          <w:divsChild>
                            <w:div w:id="907150155">
                              <w:marLeft w:val="0"/>
                              <w:marRight w:val="0"/>
                              <w:marTop w:val="0"/>
                              <w:marBottom w:val="0"/>
                              <w:divBdr>
                                <w:top w:val="none" w:sz="0" w:space="0" w:color="auto"/>
                                <w:left w:val="none" w:sz="0" w:space="0" w:color="auto"/>
                                <w:bottom w:val="none" w:sz="0" w:space="0" w:color="auto"/>
                                <w:right w:val="none" w:sz="0" w:space="0" w:color="auto"/>
                              </w:divBdr>
                              <w:divsChild>
                                <w:div w:id="1291325936">
                                  <w:marLeft w:val="0"/>
                                  <w:marRight w:val="0"/>
                                  <w:marTop w:val="0"/>
                                  <w:marBottom w:val="0"/>
                                  <w:divBdr>
                                    <w:top w:val="none" w:sz="0" w:space="0" w:color="auto"/>
                                    <w:left w:val="none" w:sz="0" w:space="0" w:color="auto"/>
                                    <w:bottom w:val="none" w:sz="0" w:space="0" w:color="auto"/>
                                    <w:right w:val="none" w:sz="0" w:space="0" w:color="auto"/>
                                  </w:divBdr>
                                  <w:divsChild>
                                    <w:div w:id="280454520">
                                      <w:marLeft w:val="60"/>
                                      <w:marRight w:val="0"/>
                                      <w:marTop w:val="0"/>
                                      <w:marBottom w:val="0"/>
                                      <w:divBdr>
                                        <w:top w:val="none" w:sz="0" w:space="0" w:color="auto"/>
                                        <w:left w:val="none" w:sz="0" w:space="0" w:color="auto"/>
                                        <w:bottom w:val="none" w:sz="0" w:space="0" w:color="auto"/>
                                        <w:right w:val="none" w:sz="0" w:space="0" w:color="auto"/>
                                      </w:divBdr>
                                      <w:divsChild>
                                        <w:div w:id="1622103493">
                                          <w:marLeft w:val="0"/>
                                          <w:marRight w:val="0"/>
                                          <w:marTop w:val="0"/>
                                          <w:marBottom w:val="0"/>
                                          <w:divBdr>
                                            <w:top w:val="none" w:sz="0" w:space="0" w:color="auto"/>
                                            <w:left w:val="none" w:sz="0" w:space="0" w:color="auto"/>
                                            <w:bottom w:val="none" w:sz="0" w:space="0" w:color="auto"/>
                                            <w:right w:val="none" w:sz="0" w:space="0" w:color="auto"/>
                                          </w:divBdr>
                                          <w:divsChild>
                                            <w:div w:id="1638292485">
                                              <w:marLeft w:val="0"/>
                                              <w:marRight w:val="0"/>
                                              <w:marTop w:val="0"/>
                                              <w:marBottom w:val="120"/>
                                              <w:divBdr>
                                                <w:top w:val="single" w:sz="6" w:space="0" w:color="F5F5F5"/>
                                                <w:left w:val="single" w:sz="6" w:space="0" w:color="F5F5F5"/>
                                                <w:bottom w:val="single" w:sz="6" w:space="0" w:color="F5F5F5"/>
                                                <w:right w:val="single" w:sz="6" w:space="0" w:color="F5F5F5"/>
                                              </w:divBdr>
                                              <w:divsChild>
                                                <w:div w:id="1306277633">
                                                  <w:marLeft w:val="0"/>
                                                  <w:marRight w:val="0"/>
                                                  <w:marTop w:val="0"/>
                                                  <w:marBottom w:val="0"/>
                                                  <w:divBdr>
                                                    <w:top w:val="none" w:sz="0" w:space="0" w:color="auto"/>
                                                    <w:left w:val="none" w:sz="0" w:space="0" w:color="auto"/>
                                                    <w:bottom w:val="none" w:sz="0" w:space="0" w:color="auto"/>
                                                    <w:right w:val="none" w:sz="0" w:space="0" w:color="auto"/>
                                                  </w:divBdr>
                                                  <w:divsChild>
                                                    <w:div w:id="1955361385">
                                                      <w:marLeft w:val="0"/>
                                                      <w:marRight w:val="0"/>
                                                      <w:marTop w:val="0"/>
                                                      <w:marBottom w:val="0"/>
                                                      <w:divBdr>
                                                        <w:top w:val="none" w:sz="0" w:space="0" w:color="auto"/>
                                                        <w:left w:val="none" w:sz="0" w:space="0" w:color="auto"/>
                                                        <w:bottom w:val="none" w:sz="0" w:space="0" w:color="auto"/>
                                                        <w:right w:val="none" w:sz="0" w:space="0" w:color="auto"/>
                                                      </w:divBdr>
                                                    </w:div>
                                                  </w:divsChild>
                                                </w:div>
                                                <w:div w:id="425660653">
                                                  <w:marLeft w:val="0"/>
                                                  <w:marRight w:val="0"/>
                                                  <w:marTop w:val="0"/>
                                                  <w:marBottom w:val="0"/>
                                                  <w:divBdr>
                                                    <w:top w:val="none" w:sz="0" w:space="0" w:color="auto"/>
                                                    <w:left w:val="none" w:sz="0" w:space="0" w:color="auto"/>
                                                    <w:bottom w:val="none" w:sz="0" w:space="0" w:color="auto"/>
                                                    <w:right w:val="none" w:sz="0" w:space="0" w:color="auto"/>
                                                  </w:divBdr>
                                                  <w:divsChild>
                                                    <w:div w:id="1013797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12158166">
      <w:bodyDiv w:val="1"/>
      <w:marLeft w:val="0"/>
      <w:marRight w:val="0"/>
      <w:marTop w:val="0"/>
      <w:marBottom w:val="0"/>
      <w:divBdr>
        <w:top w:val="none" w:sz="0" w:space="0" w:color="auto"/>
        <w:left w:val="none" w:sz="0" w:space="0" w:color="auto"/>
        <w:bottom w:val="none" w:sz="0" w:space="0" w:color="auto"/>
        <w:right w:val="none" w:sz="0" w:space="0" w:color="auto"/>
      </w:divBdr>
    </w:div>
    <w:div w:id="1222595361">
      <w:bodyDiv w:val="1"/>
      <w:marLeft w:val="0"/>
      <w:marRight w:val="0"/>
      <w:marTop w:val="0"/>
      <w:marBottom w:val="0"/>
      <w:divBdr>
        <w:top w:val="none" w:sz="0" w:space="0" w:color="auto"/>
        <w:left w:val="none" w:sz="0" w:space="0" w:color="auto"/>
        <w:bottom w:val="none" w:sz="0" w:space="0" w:color="auto"/>
        <w:right w:val="none" w:sz="0" w:space="0" w:color="auto"/>
      </w:divBdr>
      <w:divsChild>
        <w:div w:id="429354137">
          <w:marLeft w:val="0"/>
          <w:marRight w:val="0"/>
          <w:marTop w:val="0"/>
          <w:marBottom w:val="0"/>
          <w:divBdr>
            <w:top w:val="none" w:sz="0" w:space="0" w:color="auto"/>
            <w:left w:val="none" w:sz="0" w:space="0" w:color="auto"/>
            <w:bottom w:val="none" w:sz="0" w:space="0" w:color="auto"/>
            <w:right w:val="none" w:sz="0" w:space="0" w:color="auto"/>
          </w:divBdr>
          <w:divsChild>
            <w:div w:id="1978609895">
              <w:marLeft w:val="0"/>
              <w:marRight w:val="0"/>
              <w:marTop w:val="0"/>
              <w:marBottom w:val="0"/>
              <w:divBdr>
                <w:top w:val="none" w:sz="0" w:space="0" w:color="auto"/>
                <w:left w:val="none" w:sz="0" w:space="0" w:color="auto"/>
                <w:bottom w:val="none" w:sz="0" w:space="0" w:color="auto"/>
                <w:right w:val="none" w:sz="0" w:space="0" w:color="auto"/>
              </w:divBdr>
              <w:divsChild>
                <w:div w:id="423188185">
                  <w:marLeft w:val="-225"/>
                  <w:marRight w:val="-225"/>
                  <w:marTop w:val="0"/>
                  <w:marBottom w:val="0"/>
                  <w:divBdr>
                    <w:top w:val="none" w:sz="0" w:space="0" w:color="auto"/>
                    <w:left w:val="none" w:sz="0" w:space="0" w:color="auto"/>
                    <w:bottom w:val="none" w:sz="0" w:space="0" w:color="auto"/>
                    <w:right w:val="none" w:sz="0" w:space="0" w:color="auto"/>
                  </w:divBdr>
                  <w:divsChild>
                    <w:div w:id="657927839">
                      <w:marLeft w:val="0"/>
                      <w:marRight w:val="0"/>
                      <w:marTop w:val="0"/>
                      <w:marBottom w:val="0"/>
                      <w:divBdr>
                        <w:top w:val="none" w:sz="0" w:space="0" w:color="auto"/>
                        <w:left w:val="none" w:sz="0" w:space="0" w:color="auto"/>
                        <w:bottom w:val="none" w:sz="0" w:space="0" w:color="auto"/>
                        <w:right w:val="none" w:sz="0" w:space="0" w:color="auto"/>
                      </w:divBdr>
                      <w:divsChild>
                        <w:div w:id="722295959">
                          <w:marLeft w:val="0"/>
                          <w:marRight w:val="0"/>
                          <w:marTop w:val="0"/>
                          <w:marBottom w:val="0"/>
                          <w:divBdr>
                            <w:top w:val="none" w:sz="0" w:space="0" w:color="auto"/>
                            <w:left w:val="none" w:sz="0" w:space="0" w:color="auto"/>
                            <w:bottom w:val="none" w:sz="0" w:space="0" w:color="auto"/>
                            <w:right w:val="none" w:sz="0" w:space="0" w:color="auto"/>
                          </w:divBdr>
                          <w:divsChild>
                            <w:div w:id="1119179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4676500">
      <w:bodyDiv w:val="1"/>
      <w:marLeft w:val="0"/>
      <w:marRight w:val="0"/>
      <w:marTop w:val="0"/>
      <w:marBottom w:val="0"/>
      <w:divBdr>
        <w:top w:val="none" w:sz="0" w:space="0" w:color="auto"/>
        <w:left w:val="none" w:sz="0" w:space="0" w:color="auto"/>
        <w:bottom w:val="none" w:sz="0" w:space="0" w:color="auto"/>
        <w:right w:val="none" w:sz="0" w:space="0" w:color="auto"/>
      </w:divBdr>
    </w:div>
    <w:div w:id="1233200824">
      <w:bodyDiv w:val="1"/>
      <w:marLeft w:val="0"/>
      <w:marRight w:val="0"/>
      <w:marTop w:val="0"/>
      <w:marBottom w:val="0"/>
      <w:divBdr>
        <w:top w:val="none" w:sz="0" w:space="0" w:color="auto"/>
        <w:left w:val="none" w:sz="0" w:space="0" w:color="auto"/>
        <w:bottom w:val="none" w:sz="0" w:space="0" w:color="auto"/>
        <w:right w:val="none" w:sz="0" w:space="0" w:color="auto"/>
      </w:divBdr>
    </w:div>
    <w:div w:id="1246183709">
      <w:bodyDiv w:val="1"/>
      <w:marLeft w:val="0"/>
      <w:marRight w:val="0"/>
      <w:marTop w:val="0"/>
      <w:marBottom w:val="0"/>
      <w:divBdr>
        <w:top w:val="none" w:sz="0" w:space="0" w:color="auto"/>
        <w:left w:val="none" w:sz="0" w:space="0" w:color="auto"/>
        <w:bottom w:val="none" w:sz="0" w:space="0" w:color="auto"/>
        <w:right w:val="none" w:sz="0" w:space="0" w:color="auto"/>
      </w:divBdr>
    </w:div>
    <w:div w:id="1249509399">
      <w:bodyDiv w:val="1"/>
      <w:marLeft w:val="0"/>
      <w:marRight w:val="0"/>
      <w:marTop w:val="0"/>
      <w:marBottom w:val="0"/>
      <w:divBdr>
        <w:top w:val="none" w:sz="0" w:space="0" w:color="auto"/>
        <w:left w:val="none" w:sz="0" w:space="0" w:color="auto"/>
        <w:bottom w:val="none" w:sz="0" w:space="0" w:color="auto"/>
        <w:right w:val="none" w:sz="0" w:space="0" w:color="auto"/>
      </w:divBdr>
    </w:div>
    <w:div w:id="1255430886">
      <w:bodyDiv w:val="1"/>
      <w:marLeft w:val="0"/>
      <w:marRight w:val="0"/>
      <w:marTop w:val="0"/>
      <w:marBottom w:val="0"/>
      <w:divBdr>
        <w:top w:val="none" w:sz="0" w:space="0" w:color="auto"/>
        <w:left w:val="none" w:sz="0" w:space="0" w:color="auto"/>
        <w:bottom w:val="none" w:sz="0" w:space="0" w:color="auto"/>
        <w:right w:val="none" w:sz="0" w:space="0" w:color="auto"/>
      </w:divBdr>
    </w:div>
    <w:div w:id="1257903738">
      <w:bodyDiv w:val="1"/>
      <w:marLeft w:val="0"/>
      <w:marRight w:val="0"/>
      <w:marTop w:val="0"/>
      <w:marBottom w:val="0"/>
      <w:divBdr>
        <w:top w:val="none" w:sz="0" w:space="0" w:color="auto"/>
        <w:left w:val="none" w:sz="0" w:space="0" w:color="auto"/>
        <w:bottom w:val="none" w:sz="0" w:space="0" w:color="auto"/>
        <w:right w:val="none" w:sz="0" w:space="0" w:color="auto"/>
      </w:divBdr>
    </w:div>
    <w:div w:id="1259488121">
      <w:bodyDiv w:val="1"/>
      <w:marLeft w:val="0"/>
      <w:marRight w:val="0"/>
      <w:marTop w:val="0"/>
      <w:marBottom w:val="0"/>
      <w:divBdr>
        <w:top w:val="none" w:sz="0" w:space="0" w:color="auto"/>
        <w:left w:val="none" w:sz="0" w:space="0" w:color="auto"/>
        <w:bottom w:val="none" w:sz="0" w:space="0" w:color="auto"/>
        <w:right w:val="none" w:sz="0" w:space="0" w:color="auto"/>
      </w:divBdr>
    </w:div>
    <w:div w:id="1259748791">
      <w:bodyDiv w:val="1"/>
      <w:marLeft w:val="0"/>
      <w:marRight w:val="0"/>
      <w:marTop w:val="0"/>
      <w:marBottom w:val="0"/>
      <w:divBdr>
        <w:top w:val="none" w:sz="0" w:space="0" w:color="auto"/>
        <w:left w:val="none" w:sz="0" w:space="0" w:color="auto"/>
        <w:bottom w:val="none" w:sz="0" w:space="0" w:color="auto"/>
        <w:right w:val="none" w:sz="0" w:space="0" w:color="auto"/>
      </w:divBdr>
    </w:div>
    <w:div w:id="1268853128">
      <w:bodyDiv w:val="1"/>
      <w:marLeft w:val="0"/>
      <w:marRight w:val="0"/>
      <w:marTop w:val="0"/>
      <w:marBottom w:val="0"/>
      <w:divBdr>
        <w:top w:val="none" w:sz="0" w:space="0" w:color="auto"/>
        <w:left w:val="none" w:sz="0" w:space="0" w:color="auto"/>
        <w:bottom w:val="none" w:sz="0" w:space="0" w:color="auto"/>
        <w:right w:val="none" w:sz="0" w:space="0" w:color="auto"/>
      </w:divBdr>
    </w:div>
    <w:div w:id="1284194260">
      <w:bodyDiv w:val="1"/>
      <w:marLeft w:val="0"/>
      <w:marRight w:val="0"/>
      <w:marTop w:val="0"/>
      <w:marBottom w:val="0"/>
      <w:divBdr>
        <w:top w:val="none" w:sz="0" w:space="0" w:color="auto"/>
        <w:left w:val="none" w:sz="0" w:space="0" w:color="auto"/>
        <w:bottom w:val="none" w:sz="0" w:space="0" w:color="auto"/>
        <w:right w:val="none" w:sz="0" w:space="0" w:color="auto"/>
      </w:divBdr>
    </w:div>
    <w:div w:id="1288897474">
      <w:bodyDiv w:val="1"/>
      <w:marLeft w:val="0"/>
      <w:marRight w:val="0"/>
      <w:marTop w:val="0"/>
      <w:marBottom w:val="0"/>
      <w:divBdr>
        <w:top w:val="none" w:sz="0" w:space="0" w:color="auto"/>
        <w:left w:val="none" w:sz="0" w:space="0" w:color="auto"/>
        <w:bottom w:val="none" w:sz="0" w:space="0" w:color="auto"/>
        <w:right w:val="none" w:sz="0" w:space="0" w:color="auto"/>
      </w:divBdr>
    </w:div>
    <w:div w:id="1290549818">
      <w:bodyDiv w:val="1"/>
      <w:marLeft w:val="0"/>
      <w:marRight w:val="0"/>
      <w:marTop w:val="0"/>
      <w:marBottom w:val="0"/>
      <w:divBdr>
        <w:top w:val="none" w:sz="0" w:space="0" w:color="auto"/>
        <w:left w:val="none" w:sz="0" w:space="0" w:color="auto"/>
        <w:bottom w:val="none" w:sz="0" w:space="0" w:color="auto"/>
        <w:right w:val="none" w:sz="0" w:space="0" w:color="auto"/>
      </w:divBdr>
    </w:div>
    <w:div w:id="1311784486">
      <w:bodyDiv w:val="1"/>
      <w:marLeft w:val="0"/>
      <w:marRight w:val="0"/>
      <w:marTop w:val="0"/>
      <w:marBottom w:val="0"/>
      <w:divBdr>
        <w:top w:val="none" w:sz="0" w:space="0" w:color="auto"/>
        <w:left w:val="none" w:sz="0" w:space="0" w:color="auto"/>
        <w:bottom w:val="none" w:sz="0" w:space="0" w:color="auto"/>
        <w:right w:val="none" w:sz="0" w:space="0" w:color="auto"/>
      </w:divBdr>
    </w:div>
    <w:div w:id="1324241474">
      <w:bodyDiv w:val="1"/>
      <w:marLeft w:val="0"/>
      <w:marRight w:val="0"/>
      <w:marTop w:val="0"/>
      <w:marBottom w:val="0"/>
      <w:divBdr>
        <w:top w:val="none" w:sz="0" w:space="0" w:color="auto"/>
        <w:left w:val="none" w:sz="0" w:space="0" w:color="auto"/>
        <w:bottom w:val="none" w:sz="0" w:space="0" w:color="auto"/>
        <w:right w:val="none" w:sz="0" w:space="0" w:color="auto"/>
      </w:divBdr>
    </w:div>
    <w:div w:id="1326206789">
      <w:bodyDiv w:val="1"/>
      <w:marLeft w:val="0"/>
      <w:marRight w:val="0"/>
      <w:marTop w:val="0"/>
      <w:marBottom w:val="0"/>
      <w:divBdr>
        <w:top w:val="none" w:sz="0" w:space="0" w:color="auto"/>
        <w:left w:val="none" w:sz="0" w:space="0" w:color="auto"/>
        <w:bottom w:val="none" w:sz="0" w:space="0" w:color="auto"/>
        <w:right w:val="none" w:sz="0" w:space="0" w:color="auto"/>
      </w:divBdr>
    </w:div>
    <w:div w:id="1327250376">
      <w:bodyDiv w:val="1"/>
      <w:marLeft w:val="0"/>
      <w:marRight w:val="0"/>
      <w:marTop w:val="0"/>
      <w:marBottom w:val="0"/>
      <w:divBdr>
        <w:top w:val="none" w:sz="0" w:space="0" w:color="auto"/>
        <w:left w:val="none" w:sz="0" w:space="0" w:color="auto"/>
        <w:bottom w:val="none" w:sz="0" w:space="0" w:color="auto"/>
        <w:right w:val="none" w:sz="0" w:space="0" w:color="auto"/>
      </w:divBdr>
    </w:div>
    <w:div w:id="1329408216">
      <w:bodyDiv w:val="1"/>
      <w:marLeft w:val="0"/>
      <w:marRight w:val="0"/>
      <w:marTop w:val="0"/>
      <w:marBottom w:val="0"/>
      <w:divBdr>
        <w:top w:val="none" w:sz="0" w:space="0" w:color="auto"/>
        <w:left w:val="none" w:sz="0" w:space="0" w:color="auto"/>
        <w:bottom w:val="none" w:sz="0" w:space="0" w:color="auto"/>
        <w:right w:val="none" w:sz="0" w:space="0" w:color="auto"/>
      </w:divBdr>
    </w:div>
    <w:div w:id="1369262736">
      <w:bodyDiv w:val="1"/>
      <w:marLeft w:val="0"/>
      <w:marRight w:val="0"/>
      <w:marTop w:val="0"/>
      <w:marBottom w:val="0"/>
      <w:divBdr>
        <w:top w:val="none" w:sz="0" w:space="0" w:color="auto"/>
        <w:left w:val="none" w:sz="0" w:space="0" w:color="auto"/>
        <w:bottom w:val="none" w:sz="0" w:space="0" w:color="auto"/>
        <w:right w:val="none" w:sz="0" w:space="0" w:color="auto"/>
      </w:divBdr>
    </w:div>
    <w:div w:id="1374234866">
      <w:bodyDiv w:val="1"/>
      <w:marLeft w:val="0"/>
      <w:marRight w:val="0"/>
      <w:marTop w:val="0"/>
      <w:marBottom w:val="0"/>
      <w:divBdr>
        <w:top w:val="none" w:sz="0" w:space="0" w:color="auto"/>
        <w:left w:val="none" w:sz="0" w:space="0" w:color="auto"/>
        <w:bottom w:val="none" w:sz="0" w:space="0" w:color="auto"/>
        <w:right w:val="none" w:sz="0" w:space="0" w:color="auto"/>
      </w:divBdr>
    </w:div>
    <w:div w:id="1375889430">
      <w:bodyDiv w:val="1"/>
      <w:marLeft w:val="0"/>
      <w:marRight w:val="0"/>
      <w:marTop w:val="0"/>
      <w:marBottom w:val="0"/>
      <w:divBdr>
        <w:top w:val="none" w:sz="0" w:space="0" w:color="auto"/>
        <w:left w:val="none" w:sz="0" w:space="0" w:color="auto"/>
        <w:bottom w:val="none" w:sz="0" w:space="0" w:color="auto"/>
        <w:right w:val="none" w:sz="0" w:space="0" w:color="auto"/>
      </w:divBdr>
    </w:div>
    <w:div w:id="1381594619">
      <w:bodyDiv w:val="1"/>
      <w:marLeft w:val="0"/>
      <w:marRight w:val="0"/>
      <w:marTop w:val="0"/>
      <w:marBottom w:val="0"/>
      <w:divBdr>
        <w:top w:val="none" w:sz="0" w:space="0" w:color="auto"/>
        <w:left w:val="none" w:sz="0" w:space="0" w:color="auto"/>
        <w:bottom w:val="none" w:sz="0" w:space="0" w:color="auto"/>
        <w:right w:val="none" w:sz="0" w:space="0" w:color="auto"/>
      </w:divBdr>
    </w:div>
    <w:div w:id="1384595666">
      <w:bodyDiv w:val="1"/>
      <w:marLeft w:val="0"/>
      <w:marRight w:val="0"/>
      <w:marTop w:val="0"/>
      <w:marBottom w:val="0"/>
      <w:divBdr>
        <w:top w:val="none" w:sz="0" w:space="0" w:color="auto"/>
        <w:left w:val="none" w:sz="0" w:space="0" w:color="auto"/>
        <w:bottom w:val="none" w:sz="0" w:space="0" w:color="auto"/>
        <w:right w:val="none" w:sz="0" w:space="0" w:color="auto"/>
      </w:divBdr>
    </w:div>
    <w:div w:id="1388916686">
      <w:bodyDiv w:val="1"/>
      <w:marLeft w:val="0"/>
      <w:marRight w:val="0"/>
      <w:marTop w:val="0"/>
      <w:marBottom w:val="0"/>
      <w:divBdr>
        <w:top w:val="none" w:sz="0" w:space="0" w:color="auto"/>
        <w:left w:val="none" w:sz="0" w:space="0" w:color="auto"/>
        <w:bottom w:val="none" w:sz="0" w:space="0" w:color="auto"/>
        <w:right w:val="none" w:sz="0" w:space="0" w:color="auto"/>
      </w:divBdr>
    </w:div>
    <w:div w:id="1400908581">
      <w:bodyDiv w:val="1"/>
      <w:marLeft w:val="0"/>
      <w:marRight w:val="0"/>
      <w:marTop w:val="0"/>
      <w:marBottom w:val="0"/>
      <w:divBdr>
        <w:top w:val="none" w:sz="0" w:space="0" w:color="auto"/>
        <w:left w:val="none" w:sz="0" w:space="0" w:color="auto"/>
        <w:bottom w:val="none" w:sz="0" w:space="0" w:color="auto"/>
        <w:right w:val="none" w:sz="0" w:space="0" w:color="auto"/>
      </w:divBdr>
    </w:div>
    <w:div w:id="1410955934">
      <w:bodyDiv w:val="1"/>
      <w:marLeft w:val="0"/>
      <w:marRight w:val="0"/>
      <w:marTop w:val="0"/>
      <w:marBottom w:val="0"/>
      <w:divBdr>
        <w:top w:val="none" w:sz="0" w:space="0" w:color="auto"/>
        <w:left w:val="none" w:sz="0" w:space="0" w:color="auto"/>
        <w:bottom w:val="none" w:sz="0" w:space="0" w:color="auto"/>
        <w:right w:val="none" w:sz="0" w:space="0" w:color="auto"/>
      </w:divBdr>
    </w:div>
    <w:div w:id="1419866774">
      <w:bodyDiv w:val="1"/>
      <w:marLeft w:val="0"/>
      <w:marRight w:val="0"/>
      <w:marTop w:val="0"/>
      <w:marBottom w:val="0"/>
      <w:divBdr>
        <w:top w:val="none" w:sz="0" w:space="0" w:color="auto"/>
        <w:left w:val="none" w:sz="0" w:space="0" w:color="auto"/>
        <w:bottom w:val="none" w:sz="0" w:space="0" w:color="auto"/>
        <w:right w:val="none" w:sz="0" w:space="0" w:color="auto"/>
      </w:divBdr>
    </w:div>
    <w:div w:id="1428162326">
      <w:bodyDiv w:val="1"/>
      <w:marLeft w:val="0"/>
      <w:marRight w:val="0"/>
      <w:marTop w:val="0"/>
      <w:marBottom w:val="0"/>
      <w:divBdr>
        <w:top w:val="none" w:sz="0" w:space="0" w:color="auto"/>
        <w:left w:val="none" w:sz="0" w:space="0" w:color="auto"/>
        <w:bottom w:val="none" w:sz="0" w:space="0" w:color="auto"/>
        <w:right w:val="none" w:sz="0" w:space="0" w:color="auto"/>
      </w:divBdr>
    </w:div>
    <w:div w:id="1430271842">
      <w:bodyDiv w:val="1"/>
      <w:marLeft w:val="0"/>
      <w:marRight w:val="0"/>
      <w:marTop w:val="0"/>
      <w:marBottom w:val="0"/>
      <w:divBdr>
        <w:top w:val="none" w:sz="0" w:space="0" w:color="auto"/>
        <w:left w:val="none" w:sz="0" w:space="0" w:color="auto"/>
        <w:bottom w:val="none" w:sz="0" w:space="0" w:color="auto"/>
        <w:right w:val="none" w:sz="0" w:space="0" w:color="auto"/>
      </w:divBdr>
    </w:div>
    <w:div w:id="1447888520">
      <w:bodyDiv w:val="1"/>
      <w:marLeft w:val="0"/>
      <w:marRight w:val="0"/>
      <w:marTop w:val="0"/>
      <w:marBottom w:val="0"/>
      <w:divBdr>
        <w:top w:val="none" w:sz="0" w:space="0" w:color="auto"/>
        <w:left w:val="none" w:sz="0" w:space="0" w:color="auto"/>
        <w:bottom w:val="none" w:sz="0" w:space="0" w:color="auto"/>
        <w:right w:val="none" w:sz="0" w:space="0" w:color="auto"/>
      </w:divBdr>
    </w:div>
    <w:div w:id="1490244448">
      <w:bodyDiv w:val="1"/>
      <w:marLeft w:val="0"/>
      <w:marRight w:val="0"/>
      <w:marTop w:val="0"/>
      <w:marBottom w:val="0"/>
      <w:divBdr>
        <w:top w:val="none" w:sz="0" w:space="0" w:color="auto"/>
        <w:left w:val="none" w:sz="0" w:space="0" w:color="auto"/>
        <w:bottom w:val="none" w:sz="0" w:space="0" w:color="auto"/>
        <w:right w:val="none" w:sz="0" w:space="0" w:color="auto"/>
      </w:divBdr>
    </w:div>
    <w:div w:id="1506090842">
      <w:bodyDiv w:val="1"/>
      <w:marLeft w:val="0"/>
      <w:marRight w:val="0"/>
      <w:marTop w:val="0"/>
      <w:marBottom w:val="0"/>
      <w:divBdr>
        <w:top w:val="none" w:sz="0" w:space="0" w:color="auto"/>
        <w:left w:val="none" w:sz="0" w:space="0" w:color="auto"/>
        <w:bottom w:val="none" w:sz="0" w:space="0" w:color="auto"/>
        <w:right w:val="none" w:sz="0" w:space="0" w:color="auto"/>
      </w:divBdr>
    </w:div>
    <w:div w:id="1539778885">
      <w:bodyDiv w:val="1"/>
      <w:marLeft w:val="0"/>
      <w:marRight w:val="0"/>
      <w:marTop w:val="0"/>
      <w:marBottom w:val="0"/>
      <w:divBdr>
        <w:top w:val="none" w:sz="0" w:space="0" w:color="auto"/>
        <w:left w:val="none" w:sz="0" w:space="0" w:color="auto"/>
        <w:bottom w:val="none" w:sz="0" w:space="0" w:color="auto"/>
        <w:right w:val="none" w:sz="0" w:space="0" w:color="auto"/>
      </w:divBdr>
    </w:div>
    <w:div w:id="1549609107">
      <w:bodyDiv w:val="1"/>
      <w:marLeft w:val="0"/>
      <w:marRight w:val="0"/>
      <w:marTop w:val="0"/>
      <w:marBottom w:val="0"/>
      <w:divBdr>
        <w:top w:val="none" w:sz="0" w:space="0" w:color="auto"/>
        <w:left w:val="none" w:sz="0" w:space="0" w:color="auto"/>
        <w:bottom w:val="none" w:sz="0" w:space="0" w:color="auto"/>
        <w:right w:val="none" w:sz="0" w:space="0" w:color="auto"/>
      </w:divBdr>
    </w:div>
    <w:div w:id="1571422956">
      <w:bodyDiv w:val="1"/>
      <w:marLeft w:val="0"/>
      <w:marRight w:val="0"/>
      <w:marTop w:val="0"/>
      <w:marBottom w:val="0"/>
      <w:divBdr>
        <w:top w:val="none" w:sz="0" w:space="0" w:color="auto"/>
        <w:left w:val="none" w:sz="0" w:space="0" w:color="auto"/>
        <w:bottom w:val="none" w:sz="0" w:space="0" w:color="auto"/>
        <w:right w:val="none" w:sz="0" w:space="0" w:color="auto"/>
      </w:divBdr>
    </w:div>
    <w:div w:id="1618491849">
      <w:bodyDiv w:val="1"/>
      <w:marLeft w:val="0"/>
      <w:marRight w:val="0"/>
      <w:marTop w:val="0"/>
      <w:marBottom w:val="0"/>
      <w:divBdr>
        <w:top w:val="none" w:sz="0" w:space="0" w:color="auto"/>
        <w:left w:val="none" w:sz="0" w:space="0" w:color="auto"/>
        <w:bottom w:val="none" w:sz="0" w:space="0" w:color="auto"/>
        <w:right w:val="none" w:sz="0" w:space="0" w:color="auto"/>
      </w:divBdr>
    </w:div>
    <w:div w:id="1625042988">
      <w:bodyDiv w:val="1"/>
      <w:marLeft w:val="0"/>
      <w:marRight w:val="0"/>
      <w:marTop w:val="0"/>
      <w:marBottom w:val="0"/>
      <w:divBdr>
        <w:top w:val="none" w:sz="0" w:space="0" w:color="auto"/>
        <w:left w:val="none" w:sz="0" w:space="0" w:color="auto"/>
        <w:bottom w:val="none" w:sz="0" w:space="0" w:color="auto"/>
        <w:right w:val="none" w:sz="0" w:space="0" w:color="auto"/>
      </w:divBdr>
    </w:div>
    <w:div w:id="1674140532">
      <w:bodyDiv w:val="1"/>
      <w:marLeft w:val="0"/>
      <w:marRight w:val="0"/>
      <w:marTop w:val="0"/>
      <w:marBottom w:val="0"/>
      <w:divBdr>
        <w:top w:val="none" w:sz="0" w:space="0" w:color="auto"/>
        <w:left w:val="none" w:sz="0" w:space="0" w:color="auto"/>
        <w:bottom w:val="none" w:sz="0" w:space="0" w:color="auto"/>
        <w:right w:val="none" w:sz="0" w:space="0" w:color="auto"/>
      </w:divBdr>
    </w:div>
    <w:div w:id="1684818057">
      <w:bodyDiv w:val="1"/>
      <w:marLeft w:val="0"/>
      <w:marRight w:val="0"/>
      <w:marTop w:val="0"/>
      <w:marBottom w:val="0"/>
      <w:divBdr>
        <w:top w:val="none" w:sz="0" w:space="0" w:color="auto"/>
        <w:left w:val="none" w:sz="0" w:space="0" w:color="auto"/>
        <w:bottom w:val="none" w:sz="0" w:space="0" w:color="auto"/>
        <w:right w:val="none" w:sz="0" w:space="0" w:color="auto"/>
      </w:divBdr>
    </w:div>
    <w:div w:id="1698121789">
      <w:bodyDiv w:val="1"/>
      <w:marLeft w:val="0"/>
      <w:marRight w:val="0"/>
      <w:marTop w:val="0"/>
      <w:marBottom w:val="0"/>
      <w:divBdr>
        <w:top w:val="none" w:sz="0" w:space="0" w:color="auto"/>
        <w:left w:val="none" w:sz="0" w:space="0" w:color="auto"/>
        <w:bottom w:val="none" w:sz="0" w:space="0" w:color="auto"/>
        <w:right w:val="none" w:sz="0" w:space="0" w:color="auto"/>
      </w:divBdr>
    </w:div>
    <w:div w:id="1698695337">
      <w:bodyDiv w:val="1"/>
      <w:marLeft w:val="0"/>
      <w:marRight w:val="0"/>
      <w:marTop w:val="0"/>
      <w:marBottom w:val="0"/>
      <w:divBdr>
        <w:top w:val="none" w:sz="0" w:space="0" w:color="auto"/>
        <w:left w:val="none" w:sz="0" w:space="0" w:color="auto"/>
        <w:bottom w:val="none" w:sz="0" w:space="0" w:color="auto"/>
        <w:right w:val="none" w:sz="0" w:space="0" w:color="auto"/>
      </w:divBdr>
    </w:div>
    <w:div w:id="1702896403">
      <w:bodyDiv w:val="1"/>
      <w:marLeft w:val="0"/>
      <w:marRight w:val="0"/>
      <w:marTop w:val="0"/>
      <w:marBottom w:val="0"/>
      <w:divBdr>
        <w:top w:val="none" w:sz="0" w:space="0" w:color="auto"/>
        <w:left w:val="none" w:sz="0" w:space="0" w:color="auto"/>
        <w:bottom w:val="none" w:sz="0" w:space="0" w:color="auto"/>
        <w:right w:val="none" w:sz="0" w:space="0" w:color="auto"/>
      </w:divBdr>
    </w:div>
    <w:div w:id="1703940959">
      <w:bodyDiv w:val="1"/>
      <w:marLeft w:val="0"/>
      <w:marRight w:val="0"/>
      <w:marTop w:val="0"/>
      <w:marBottom w:val="0"/>
      <w:divBdr>
        <w:top w:val="none" w:sz="0" w:space="0" w:color="auto"/>
        <w:left w:val="none" w:sz="0" w:space="0" w:color="auto"/>
        <w:bottom w:val="none" w:sz="0" w:space="0" w:color="auto"/>
        <w:right w:val="none" w:sz="0" w:space="0" w:color="auto"/>
      </w:divBdr>
    </w:div>
    <w:div w:id="1709529608">
      <w:bodyDiv w:val="1"/>
      <w:marLeft w:val="0"/>
      <w:marRight w:val="0"/>
      <w:marTop w:val="0"/>
      <w:marBottom w:val="0"/>
      <w:divBdr>
        <w:top w:val="none" w:sz="0" w:space="0" w:color="auto"/>
        <w:left w:val="none" w:sz="0" w:space="0" w:color="auto"/>
        <w:bottom w:val="none" w:sz="0" w:space="0" w:color="auto"/>
        <w:right w:val="none" w:sz="0" w:space="0" w:color="auto"/>
      </w:divBdr>
    </w:div>
    <w:div w:id="1729693623">
      <w:bodyDiv w:val="1"/>
      <w:marLeft w:val="0"/>
      <w:marRight w:val="0"/>
      <w:marTop w:val="0"/>
      <w:marBottom w:val="0"/>
      <w:divBdr>
        <w:top w:val="none" w:sz="0" w:space="0" w:color="auto"/>
        <w:left w:val="none" w:sz="0" w:space="0" w:color="auto"/>
        <w:bottom w:val="none" w:sz="0" w:space="0" w:color="auto"/>
        <w:right w:val="none" w:sz="0" w:space="0" w:color="auto"/>
      </w:divBdr>
    </w:div>
    <w:div w:id="1751541293">
      <w:bodyDiv w:val="1"/>
      <w:marLeft w:val="0"/>
      <w:marRight w:val="0"/>
      <w:marTop w:val="0"/>
      <w:marBottom w:val="0"/>
      <w:divBdr>
        <w:top w:val="none" w:sz="0" w:space="0" w:color="auto"/>
        <w:left w:val="none" w:sz="0" w:space="0" w:color="auto"/>
        <w:bottom w:val="none" w:sz="0" w:space="0" w:color="auto"/>
        <w:right w:val="none" w:sz="0" w:space="0" w:color="auto"/>
      </w:divBdr>
    </w:div>
    <w:div w:id="1795060237">
      <w:bodyDiv w:val="1"/>
      <w:marLeft w:val="0"/>
      <w:marRight w:val="0"/>
      <w:marTop w:val="0"/>
      <w:marBottom w:val="0"/>
      <w:divBdr>
        <w:top w:val="none" w:sz="0" w:space="0" w:color="auto"/>
        <w:left w:val="none" w:sz="0" w:space="0" w:color="auto"/>
        <w:bottom w:val="none" w:sz="0" w:space="0" w:color="auto"/>
        <w:right w:val="none" w:sz="0" w:space="0" w:color="auto"/>
      </w:divBdr>
    </w:div>
    <w:div w:id="1796020283">
      <w:bodyDiv w:val="1"/>
      <w:marLeft w:val="0"/>
      <w:marRight w:val="0"/>
      <w:marTop w:val="0"/>
      <w:marBottom w:val="0"/>
      <w:divBdr>
        <w:top w:val="none" w:sz="0" w:space="0" w:color="auto"/>
        <w:left w:val="none" w:sz="0" w:space="0" w:color="auto"/>
        <w:bottom w:val="none" w:sz="0" w:space="0" w:color="auto"/>
        <w:right w:val="none" w:sz="0" w:space="0" w:color="auto"/>
      </w:divBdr>
    </w:div>
    <w:div w:id="1801535905">
      <w:bodyDiv w:val="1"/>
      <w:marLeft w:val="0"/>
      <w:marRight w:val="0"/>
      <w:marTop w:val="0"/>
      <w:marBottom w:val="0"/>
      <w:divBdr>
        <w:top w:val="none" w:sz="0" w:space="0" w:color="auto"/>
        <w:left w:val="none" w:sz="0" w:space="0" w:color="auto"/>
        <w:bottom w:val="none" w:sz="0" w:space="0" w:color="auto"/>
        <w:right w:val="none" w:sz="0" w:space="0" w:color="auto"/>
      </w:divBdr>
    </w:div>
    <w:div w:id="1804498477">
      <w:bodyDiv w:val="1"/>
      <w:marLeft w:val="0"/>
      <w:marRight w:val="0"/>
      <w:marTop w:val="0"/>
      <w:marBottom w:val="0"/>
      <w:divBdr>
        <w:top w:val="none" w:sz="0" w:space="0" w:color="auto"/>
        <w:left w:val="none" w:sz="0" w:space="0" w:color="auto"/>
        <w:bottom w:val="none" w:sz="0" w:space="0" w:color="auto"/>
        <w:right w:val="none" w:sz="0" w:space="0" w:color="auto"/>
      </w:divBdr>
    </w:div>
    <w:div w:id="1843204991">
      <w:bodyDiv w:val="1"/>
      <w:marLeft w:val="0"/>
      <w:marRight w:val="0"/>
      <w:marTop w:val="0"/>
      <w:marBottom w:val="0"/>
      <w:divBdr>
        <w:top w:val="none" w:sz="0" w:space="0" w:color="auto"/>
        <w:left w:val="none" w:sz="0" w:space="0" w:color="auto"/>
        <w:bottom w:val="none" w:sz="0" w:space="0" w:color="auto"/>
        <w:right w:val="none" w:sz="0" w:space="0" w:color="auto"/>
      </w:divBdr>
    </w:div>
    <w:div w:id="1844664316">
      <w:bodyDiv w:val="1"/>
      <w:marLeft w:val="0"/>
      <w:marRight w:val="0"/>
      <w:marTop w:val="0"/>
      <w:marBottom w:val="0"/>
      <w:divBdr>
        <w:top w:val="none" w:sz="0" w:space="0" w:color="auto"/>
        <w:left w:val="none" w:sz="0" w:space="0" w:color="auto"/>
        <w:bottom w:val="none" w:sz="0" w:space="0" w:color="auto"/>
        <w:right w:val="none" w:sz="0" w:space="0" w:color="auto"/>
      </w:divBdr>
    </w:div>
    <w:div w:id="1854606471">
      <w:bodyDiv w:val="1"/>
      <w:marLeft w:val="0"/>
      <w:marRight w:val="0"/>
      <w:marTop w:val="0"/>
      <w:marBottom w:val="0"/>
      <w:divBdr>
        <w:top w:val="none" w:sz="0" w:space="0" w:color="auto"/>
        <w:left w:val="none" w:sz="0" w:space="0" w:color="auto"/>
        <w:bottom w:val="none" w:sz="0" w:space="0" w:color="auto"/>
        <w:right w:val="none" w:sz="0" w:space="0" w:color="auto"/>
      </w:divBdr>
    </w:div>
    <w:div w:id="1864198313">
      <w:bodyDiv w:val="1"/>
      <w:marLeft w:val="0"/>
      <w:marRight w:val="0"/>
      <w:marTop w:val="0"/>
      <w:marBottom w:val="0"/>
      <w:divBdr>
        <w:top w:val="none" w:sz="0" w:space="0" w:color="auto"/>
        <w:left w:val="none" w:sz="0" w:space="0" w:color="auto"/>
        <w:bottom w:val="none" w:sz="0" w:space="0" w:color="auto"/>
        <w:right w:val="none" w:sz="0" w:space="0" w:color="auto"/>
      </w:divBdr>
    </w:div>
    <w:div w:id="1876652030">
      <w:bodyDiv w:val="1"/>
      <w:marLeft w:val="0"/>
      <w:marRight w:val="0"/>
      <w:marTop w:val="0"/>
      <w:marBottom w:val="0"/>
      <w:divBdr>
        <w:top w:val="none" w:sz="0" w:space="0" w:color="auto"/>
        <w:left w:val="none" w:sz="0" w:space="0" w:color="auto"/>
        <w:bottom w:val="none" w:sz="0" w:space="0" w:color="auto"/>
        <w:right w:val="none" w:sz="0" w:space="0" w:color="auto"/>
      </w:divBdr>
    </w:div>
    <w:div w:id="1897665341">
      <w:bodyDiv w:val="1"/>
      <w:marLeft w:val="0"/>
      <w:marRight w:val="0"/>
      <w:marTop w:val="0"/>
      <w:marBottom w:val="0"/>
      <w:divBdr>
        <w:top w:val="none" w:sz="0" w:space="0" w:color="auto"/>
        <w:left w:val="none" w:sz="0" w:space="0" w:color="auto"/>
        <w:bottom w:val="none" w:sz="0" w:space="0" w:color="auto"/>
        <w:right w:val="none" w:sz="0" w:space="0" w:color="auto"/>
      </w:divBdr>
    </w:div>
    <w:div w:id="1909077217">
      <w:bodyDiv w:val="1"/>
      <w:marLeft w:val="0"/>
      <w:marRight w:val="0"/>
      <w:marTop w:val="0"/>
      <w:marBottom w:val="0"/>
      <w:divBdr>
        <w:top w:val="none" w:sz="0" w:space="0" w:color="auto"/>
        <w:left w:val="none" w:sz="0" w:space="0" w:color="auto"/>
        <w:bottom w:val="none" w:sz="0" w:space="0" w:color="auto"/>
        <w:right w:val="none" w:sz="0" w:space="0" w:color="auto"/>
      </w:divBdr>
    </w:div>
    <w:div w:id="1926835939">
      <w:bodyDiv w:val="1"/>
      <w:marLeft w:val="0"/>
      <w:marRight w:val="0"/>
      <w:marTop w:val="0"/>
      <w:marBottom w:val="0"/>
      <w:divBdr>
        <w:top w:val="none" w:sz="0" w:space="0" w:color="auto"/>
        <w:left w:val="none" w:sz="0" w:space="0" w:color="auto"/>
        <w:bottom w:val="none" w:sz="0" w:space="0" w:color="auto"/>
        <w:right w:val="none" w:sz="0" w:space="0" w:color="auto"/>
      </w:divBdr>
    </w:div>
    <w:div w:id="1933203785">
      <w:bodyDiv w:val="1"/>
      <w:marLeft w:val="0"/>
      <w:marRight w:val="0"/>
      <w:marTop w:val="0"/>
      <w:marBottom w:val="0"/>
      <w:divBdr>
        <w:top w:val="none" w:sz="0" w:space="0" w:color="auto"/>
        <w:left w:val="none" w:sz="0" w:space="0" w:color="auto"/>
        <w:bottom w:val="none" w:sz="0" w:space="0" w:color="auto"/>
        <w:right w:val="none" w:sz="0" w:space="0" w:color="auto"/>
      </w:divBdr>
    </w:div>
    <w:div w:id="1936474882">
      <w:bodyDiv w:val="1"/>
      <w:marLeft w:val="0"/>
      <w:marRight w:val="0"/>
      <w:marTop w:val="0"/>
      <w:marBottom w:val="0"/>
      <w:divBdr>
        <w:top w:val="none" w:sz="0" w:space="0" w:color="auto"/>
        <w:left w:val="none" w:sz="0" w:space="0" w:color="auto"/>
        <w:bottom w:val="none" w:sz="0" w:space="0" w:color="auto"/>
        <w:right w:val="none" w:sz="0" w:space="0" w:color="auto"/>
      </w:divBdr>
    </w:div>
    <w:div w:id="1941638122">
      <w:bodyDiv w:val="1"/>
      <w:marLeft w:val="0"/>
      <w:marRight w:val="0"/>
      <w:marTop w:val="0"/>
      <w:marBottom w:val="0"/>
      <w:divBdr>
        <w:top w:val="none" w:sz="0" w:space="0" w:color="auto"/>
        <w:left w:val="none" w:sz="0" w:space="0" w:color="auto"/>
        <w:bottom w:val="none" w:sz="0" w:space="0" w:color="auto"/>
        <w:right w:val="none" w:sz="0" w:space="0" w:color="auto"/>
      </w:divBdr>
    </w:div>
    <w:div w:id="1943217019">
      <w:bodyDiv w:val="1"/>
      <w:marLeft w:val="0"/>
      <w:marRight w:val="0"/>
      <w:marTop w:val="0"/>
      <w:marBottom w:val="0"/>
      <w:divBdr>
        <w:top w:val="none" w:sz="0" w:space="0" w:color="auto"/>
        <w:left w:val="none" w:sz="0" w:space="0" w:color="auto"/>
        <w:bottom w:val="none" w:sz="0" w:space="0" w:color="auto"/>
        <w:right w:val="none" w:sz="0" w:space="0" w:color="auto"/>
      </w:divBdr>
    </w:div>
    <w:div w:id="1954555506">
      <w:bodyDiv w:val="1"/>
      <w:marLeft w:val="0"/>
      <w:marRight w:val="0"/>
      <w:marTop w:val="0"/>
      <w:marBottom w:val="0"/>
      <w:divBdr>
        <w:top w:val="none" w:sz="0" w:space="0" w:color="auto"/>
        <w:left w:val="none" w:sz="0" w:space="0" w:color="auto"/>
        <w:bottom w:val="none" w:sz="0" w:space="0" w:color="auto"/>
        <w:right w:val="none" w:sz="0" w:space="0" w:color="auto"/>
      </w:divBdr>
    </w:div>
    <w:div w:id="1975789078">
      <w:bodyDiv w:val="1"/>
      <w:marLeft w:val="0"/>
      <w:marRight w:val="0"/>
      <w:marTop w:val="0"/>
      <w:marBottom w:val="0"/>
      <w:divBdr>
        <w:top w:val="none" w:sz="0" w:space="0" w:color="auto"/>
        <w:left w:val="none" w:sz="0" w:space="0" w:color="auto"/>
        <w:bottom w:val="none" w:sz="0" w:space="0" w:color="auto"/>
        <w:right w:val="none" w:sz="0" w:space="0" w:color="auto"/>
      </w:divBdr>
    </w:div>
    <w:div w:id="1979338845">
      <w:bodyDiv w:val="1"/>
      <w:marLeft w:val="0"/>
      <w:marRight w:val="0"/>
      <w:marTop w:val="0"/>
      <w:marBottom w:val="0"/>
      <w:divBdr>
        <w:top w:val="none" w:sz="0" w:space="0" w:color="auto"/>
        <w:left w:val="none" w:sz="0" w:space="0" w:color="auto"/>
        <w:bottom w:val="none" w:sz="0" w:space="0" w:color="auto"/>
        <w:right w:val="none" w:sz="0" w:space="0" w:color="auto"/>
      </w:divBdr>
    </w:div>
    <w:div w:id="1992903336">
      <w:bodyDiv w:val="1"/>
      <w:marLeft w:val="0"/>
      <w:marRight w:val="0"/>
      <w:marTop w:val="0"/>
      <w:marBottom w:val="0"/>
      <w:divBdr>
        <w:top w:val="none" w:sz="0" w:space="0" w:color="auto"/>
        <w:left w:val="none" w:sz="0" w:space="0" w:color="auto"/>
        <w:bottom w:val="none" w:sz="0" w:space="0" w:color="auto"/>
        <w:right w:val="none" w:sz="0" w:space="0" w:color="auto"/>
      </w:divBdr>
    </w:div>
    <w:div w:id="2007587277">
      <w:bodyDiv w:val="1"/>
      <w:marLeft w:val="0"/>
      <w:marRight w:val="0"/>
      <w:marTop w:val="0"/>
      <w:marBottom w:val="0"/>
      <w:divBdr>
        <w:top w:val="none" w:sz="0" w:space="0" w:color="auto"/>
        <w:left w:val="none" w:sz="0" w:space="0" w:color="auto"/>
        <w:bottom w:val="none" w:sz="0" w:space="0" w:color="auto"/>
        <w:right w:val="none" w:sz="0" w:space="0" w:color="auto"/>
      </w:divBdr>
    </w:div>
    <w:div w:id="2017805155">
      <w:bodyDiv w:val="1"/>
      <w:marLeft w:val="0"/>
      <w:marRight w:val="0"/>
      <w:marTop w:val="0"/>
      <w:marBottom w:val="0"/>
      <w:divBdr>
        <w:top w:val="none" w:sz="0" w:space="0" w:color="auto"/>
        <w:left w:val="none" w:sz="0" w:space="0" w:color="auto"/>
        <w:bottom w:val="none" w:sz="0" w:space="0" w:color="auto"/>
        <w:right w:val="none" w:sz="0" w:space="0" w:color="auto"/>
      </w:divBdr>
    </w:div>
    <w:div w:id="2018998233">
      <w:bodyDiv w:val="1"/>
      <w:marLeft w:val="0"/>
      <w:marRight w:val="0"/>
      <w:marTop w:val="0"/>
      <w:marBottom w:val="0"/>
      <w:divBdr>
        <w:top w:val="none" w:sz="0" w:space="0" w:color="auto"/>
        <w:left w:val="none" w:sz="0" w:space="0" w:color="auto"/>
        <w:bottom w:val="none" w:sz="0" w:space="0" w:color="auto"/>
        <w:right w:val="none" w:sz="0" w:space="0" w:color="auto"/>
      </w:divBdr>
    </w:div>
    <w:div w:id="2019648513">
      <w:bodyDiv w:val="1"/>
      <w:marLeft w:val="0"/>
      <w:marRight w:val="0"/>
      <w:marTop w:val="0"/>
      <w:marBottom w:val="0"/>
      <w:divBdr>
        <w:top w:val="none" w:sz="0" w:space="0" w:color="auto"/>
        <w:left w:val="none" w:sz="0" w:space="0" w:color="auto"/>
        <w:bottom w:val="none" w:sz="0" w:space="0" w:color="auto"/>
        <w:right w:val="none" w:sz="0" w:space="0" w:color="auto"/>
      </w:divBdr>
    </w:div>
    <w:div w:id="2022849154">
      <w:bodyDiv w:val="1"/>
      <w:marLeft w:val="0"/>
      <w:marRight w:val="0"/>
      <w:marTop w:val="0"/>
      <w:marBottom w:val="0"/>
      <w:divBdr>
        <w:top w:val="none" w:sz="0" w:space="0" w:color="auto"/>
        <w:left w:val="none" w:sz="0" w:space="0" w:color="auto"/>
        <w:bottom w:val="none" w:sz="0" w:space="0" w:color="auto"/>
        <w:right w:val="none" w:sz="0" w:space="0" w:color="auto"/>
      </w:divBdr>
    </w:div>
    <w:div w:id="2028367912">
      <w:bodyDiv w:val="1"/>
      <w:marLeft w:val="0"/>
      <w:marRight w:val="0"/>
      <w:marTop w:val="0"/>
      <w:marBottom w:val="0"/>
      <w:divBdr>
        <w:top w:val="none" w:sz="0" w:space="0" w:color="auto"/>
        <w:left w:val="none" w:sz="0" w:space="0" w:color="auto"/>
        <w:bottom w:val="none" w:sz="0" w:space="0" w:color="auto"/>
        <w:right w:val="none" w:sz="0" w:space="0" w:color="auto"/>
      </w:divBdr>
    </w:div>
    <w:div w:id="2052731879">
      <w:bodyDiv w:val="1"/>
      <w:marLeft w:val="0"/>
      <w:marRight w:val="0"/>
      <w:marTop w:val="0"/>
      <w:marBottom w:val="0"/>
      <w:divBdr>
        <w:top w:val="none" w:sz="0" w:space="0" w:color="auto"/>
        <w:left w:val="none" w:sz="0" w:space="0" w:color="auto"/>
        <w:bottom w:val="none" w:sz="0" w:space="0" w:color="auto"/>
        <w:right w:val="none" w:sz="0" w:space="0" w:color="auto"/>
      </w:divBdr>
    </w:div>
    <w:div w:id="2054693081">
      <w:bodyDiv w:val="1"/>
      <w:marLeft w:val="0"/>
      <w:marRight w:val="0"/>
      <w:marTop w:val="0"/>
      <w:marBottom w:val="0"/>
      <w:divBdr>
        <w:top w:val="none" w:sz="0" w:space="0" w:color="auto"/>
        <w:left w:val="none" w:sz="0" w:space="0" w:color="auto"/>
        <w:bottom w:val="none" w:sz="0" w:space="0" w:color="auto"/>
        <w:right w:val="none" w:sz="0" w:space="0" w:color="auto"/>
      </w:divBdr>
    </w:div>
    <w:div w:id="2065912002">
      <w:bodyDiv w:val="1"/>
      <w:marLeft w:val="0"/>
      <w:marRight w:val="0"/>
      <w:marTop w:val="0"/>
      <w:marBottom w:val="0"/>
      <w:divBdr>
        <w:top w:val="none" w:sz="0" w:space="0" w:color="auto"/>
        <w:left w:val="none" w:sz="0" w:space="0" w:color="auto"/>
        <w:bottom w:val="none" w:sz="0" w:space="0" w:color="auto"/>
        <w:right w:val="none" w:sz="0" w:space="0" w:color="auto"/>
      </w:divBdr>
    </w:div>
    <w:div w:id="2070611783">
      <w:bodyDiv w:val="1"/>
      <w:marLeft w:val="0"/>
      <w:marRight w:val="0"/>
      <w:marTop w:val="0"/>
      <w:marBottom w:val="0"/>
      <w:divBdr>
        <w:top w:val="none" w:sz="0" w:space="0" w:color="auto"/>
        <w:left w:val="none" w:sz="0" w:space="0" w:color="auto"/>
        <w:bottom w:val="none" w:sz="0" w:space="0" w:color="auto"/>
        <w:right w:val="none" w:sz="0" w:space="0" w:color="auto"/>
      </w:divBdr>
    </w:div>
    <w:div w:id="2071031100">
      <w:bodyDiv w:val="1"/>
      <w:marLeft w:val="0"/>
      <w:marRight w:val="0"/>
      <w:marTop w:val="0"/>
      <w:marBottom w:val="0"/>
      <w:divBdr>
        <w:top w:val="none" w:sz="0" w:space="0" w:color="auto"/>
        <w:left w:val="none" w:sz="0" w:space="0" w:color="auto"/>
        <w:bottom w:val="none" w:sz="0" w:space="0" w:color="auto"/>
        <w:right w:val="none" w:sz="0" w:space="0" w:color="auto"/>
      </w:divBdr>
      <w:divsChild>
        <w:div w:id="684137170">
          <w:marLeft w:val="0"/>
          <w:marRight w:val="0"/>
          <w:marTop w:val="0"/>
          <w:marBottom w:val="0"/>
          <w:divBdr>
            <w:top w:val="none" w:sz="0" w:space="0" w:color="auto"/>
            <w:left w:val="none" w:sz="0" w:space="0" w:color="auto"/>
            <w:bottom w:val="none" w:sz="0" w:space="0" w:color="auto"/>
            <w:right w:val="none" w:sz="0" w:space="0" w:color="auto"/>
          </w:divBdr>
          <w:divsChild>
            <w:div w:id="1514027382">
              <w:marLeft w:val="0"/>
              <w:marRight w:val="0"/>
              <w:marTop w:val="0"/>
              <w:marBottom w:val="0"/>
              <w:divBdr>
                <w:top w:val="none" w:sz="0" w:space="0" w:color="auto"/>
                <w:left w:val="none" w:sz="0" w:space="0" w:color="auto"/>
                <w:bottom w:val="none" w:sz="0" w:space="0" w:color="auto"/>
                <w:right w:val="none" w:sz="0" w:space="0" w:color="auto"/>
              </w:divBdr>
              <w:divsChild>
                <w:div w:id="745684969">
                  <w:marLeft w:val="0"/>
                  <w:marRight w:val="0"/>
                  <w:marTop w:val="0"/>
                  <w:marBottom w:val="0"/>
                  <w:divBdr>
                    <w:top w:val="none" w:sz="0" w:space="0" w:color="auto"/>
                    <w:left w:val="none" w:sz="0" w:space="0" w:color="auto"/>
                    <w:bottom w:val="none" w:sz="0" w:space="0" w:color="auto"/>
                    <w:right w:val="none" w:sz="0" w:space="0" w:color="auto"/>
                  </w:divBdr>
                  <w:divsChild>
                    <w:div w:id="1325933925">
                      <w:marLeft w:val="0"/>
                      <w:marRight w:val="0"/>
                      <w:marTop w:val="0"/>
                      <w:marBottom w:val="0"/>
                      <w:divBdr>
                        <w:top w:val="none" w:sz="0" w:space="0" w:color="auto"/>
                        <w:left w:val="none" w:sz="0" w:space="0" w:color="auto"/>
                        <w:bottom w:val="none" w:sz="0" w:space="0" w:color="auto"/>
                        <w:right w:val="none" w:sz="0" w:space="0" w:color="auto"/>
                      </w:divBdr>
                      <w:divsChild>
                        <w:div w:id="288242053">
                          <w:marLeft w:val="0"/>
                          <w:marRight w:val="0"/>
                          <w:marTop w:val="0"/>
                          <w:marBottom w:val="0"/>
                          <w:divBdr>
                            <w:top w:val="none" w:sz="0" w:space="0" w:color="auto"/>
                            <w:left w:val="none" w:sz="0" w:space="0" w:color="auto"/>
                            <w:bottom w:val="none" w:sz="0" w:space="0" w:color="auto"/>
                            <w:right w:val="none" w:sz="0" w:space="0" w:color="auto"/>
                          </w:divBdr>
                          <w:divsChild>
                            <w:div w:id="19665738">
                              <w:marLeft w:val="0"/>
                              <w:marRight w:val="0"/>
                              <w:marTop w:val="0"/>
                              <w:marBottom w:val="0"/>
                              <w:divBdr>
                                <w:top w:val="none" w:sz="0" w:space="0" w:color="auto"/>
                                <w:left w:val="none" w:sz="0" w:space="0" w:color="auto"/>
                                <w:bottom w:val="none" w:sz="0" w:space="0" w:color="auto"/>
                                <w:right w:val="none" w:sz="0" w:space="0" w:color="auto"/>
                              </w:divBdr>
                              <w:divsChild>
                                <w:div w:id="887302573">
                                  <w:marLeft w:val="0"/>
                                  <w:marRight w:val="0"/>
                                  <w:marTop w:val="0"/>
                                  <w:marBottom w:val="0"/>
                                  <w:divBdr>
                                    <w:top w:val="none" w:sz="0" w:space="0" w:color="auto"/>
                                    <w:left w:val="none" w:sz="0" w:space="0" w:color="auto"/>
                                    <w:bottom w:val="none" w:sz="0" w:space="0" w:color="auto"/>
                                    <w:right w:val="none" w:sz="0" w:space="0" w:color="auto"/>
                                  </w:divBdr>
                                  <w:divsChild>
                                    <w:div w:id="701440200">
                                      <w:marLeft w:val="60"/>
                                      <w:marRight w:val="0"/>
                                      <w:marTop w:val="0"/>
                                      <w:marBottom w:val="0"/>
                                      <w:divBdr>
                                        <w:top w:val="none" w:sz="0" w:space="0" w:color="auto"/>
                                        <w:left w:val="none" w:sz="0" w:space="0" w:color="auto"/>
                                        <w:bottom w:val="none" w:sz="0" w:space="0" w:color="auto"/>
                                        <w:right w:val="none" w:sz="0" w:space="0" w:color="auto"/>
                                      </w:divBdr>
                                      <w:divsChild>
                                        <w:div w:id="983849241">
                                          <w:marLeft w:val="0"/>
                                          <w:marRight w:val="0"/>
                                          <w:marTop w:val="0"/>
                                          <w:marBottom w:val="0"/>
                                          <w:divBdr>
                                            <w:top w:val="none" w:sz="0" w:space="0" w:color="auto"/>
                                            <w:left w:val="none" w:sz="0" w:space="0" w:color="auto"/>
                                            <w:bottom w:val="none" w:sz="0" w:space="0" w:color="auto"/>
                                            <w:right w:val="none" w:sz="0" w:space="0" w:color="auto"/>
                                          </w:divBdr>
                                          <w:divsChild>
                                            <w:div w:id="432213027">
                                              <w:marLeft w:val="0"/>
                                              <w:marRight w:val="0"/>
                                              <w:marTop w:val="0"/>
                                              <w:marBottom w:val="120"/>
                                              <w:divBdr>
                                                <w:top w:val="single" w:sz="6" w:space="0" w:color="F5F5F5"/>
                                                <w:left w:val="single" w:sz="6" w:space="0" w:color="F5F5F5"/>
                                                <w:bottom w:val="single" w:sz="6" w:space="0" w:color="F5F5F5"/>
                                                <w:right w:val="single" w:sz="6" w:space="0" w:color="F5F5F5"/>
                                              </w:divBdr>
                                              <w:divsChild>
                                                <w:div w:id="936519651">
                                                  <w:marLeft w:val="0"/>
                                                  <w:marRight w:val="0"/>
                                                  <w:marTop w:val="0"/>
                                                  <w:marBottom w:val="0"/>
                                                  <w:divBdr>
                                                    <w:top w:val="none" w:sz="0" w:space="0" w:color="auto"/>
                                                    <w:left w:val="none" w:sz="0" w:space="0" w:color="auto"/>
                                                    <w:bottom w:val="none" w:sz="0" w:space="0" w:color="auto"/>
                                                    <w:right w:val="none" w:sz="0" w:space="0" w:color="auto"/>
                                                  </w:divBdr>
                                                  <w:divsChild>
                                                    <w:div w:id="675574710">
                                                      <w:marLeft w:val="0"/>
                                                      <w:marRight w:val="0"/>
                                                      <w:marTop w:val="0"/>
                                                      <w:marBottom w:val="0"/>
                                                      <w:divBdr>
                                                        <w:top w:val="none" w:sz="0" w:space="0" w:color="auto"/>
                                                        <w:left w:val="none" w:sz="0" w:space="0" w:color="auto"/>
                                                        <w:bottom w:val="none" w:sz="0" w:space="0" w:color="auto"/>
                                                        <w:right w:val="none" w:sz="0" w:space="0" w:color="auto"/>
                                                      </w:divBdr>
                                                    </w:div>
                                                  </w:divsChild>
                                                </w:div>
                                                <w:div w:id="1117528970">
                                                  <w:marLeft w:val="0"/>
                                                  <w:marRight w:val="0"/>
                                                  <w:marTop w:val="0"/>
                                                  <w:marBottom w:val="0"/>
                                                  <w:divBdr>
                                                    <w:top w:val="none" w:sz="0" w:space="0" w:color="auto"/>
                                                    <w:left w:val="none" w:sz="0" w:space="0" w:color="auto"/>
                                                    <w:bottom w:val="none" w:sz="0" w:space="0" w:color="auto"/>
                                                    <w:right w:val="none" w:sz="0" w:space="0" w:color="auto"/>
                                                  </w:divBdr>
                                                  <w:divsChild>
                                                    <w:div w:id="1025252075">
                                                      <w:marLeft w:val="0"/>
                                                      <w:marRight w:val="0"/>
                                                      <w:marTop w:val="0"/>
                                                      <w:marBottom w:val="0"/>
                                                      <w:divBdr>
                                                        <w:top w:val="none" w:sz="0" w:space="0" w:color="auto"/>
                                                        <w:left w:val="none" w:sz="0" w:space="0" w:color="auto"/>
                                                        <w:bottom w:val="none" w:sz="0" w:space="0" w:color="auto"/>
                                                        <w:right w:val="none" w:sz="0" w:space="0" w:color="auto"/>
                                                      </w:divBdr>
                                                    </w:div>
                                                  </w:divsChild>
                                                </w:div>
                                                <w:div w:id="1089500572">
                                                  <w:marLeft w:val="0"/>
                                                  <w:marRight w:val="0"/>
                                                  <w:marTop w:val="0"/>
                                                  <w:marBottom w:val="0"/>
                                                  <w:divBdr>
                                                    <w:top w:val="none" w:sz="0" w:space="0" w:color="auto"/>
                                                    <w:left w:val="none" w:sz="0" w:space="0" w:color="auto"/>
                                                    <w:bottom w:val="none" w:sz="0" w:space="0" w:color="auto"/>
                                                    <w:right w:val="none" w:sz="0" w:space="0" w:color="auto"/>
                                                  </w:divBdr>
                                                  <w:divsChild>
                                                    <w:div w:id="929657168">
                                                      <w:marLeft w:val="0"/>
                                                      <w:marRight w:val="0"/>
                                                      <w:marTop w:val="0"/>
                                                      <w:marBottom w:val="0"/>
                                                      <w:divBdr>
                                                        <w:top w:val="none" w:sz="0" w:space="0" w:color="auto"/>
                                                        <w:left w:val="none" w:sz="0" w:space="0" w:color="auto"/>
                                                        <w:bottom w:val="none" w:sz="0" w:space="0" w:color="auto"/>
                                                        <w:right w:val="none" w:sz="0" w:space="0" w:color="auto"/>
                                                      </w:divBdr>
                                                      <w:divsChild>
                                                        <w:div w:id="1853451016">
                                                          <w:marLeft w:val="0"/>
                                                          <w:marRight w:val="0"/>
                                                          <w:marTop w:val="0"/>
                                                          <w:marBottom w:val="0"/>
                                                          <w:divBdr>
                                                            <w:top w:val="none" w:sz="0" w:space="0" w:color="auto"/>
                                                            <w:left w:val="none" w:sz="0" w:space="0" w:color="auto"/>
                                                            <w:bottom w:val="none" w:sz="0" w:space="0" w:color="auto"/>
                                                            <w:right w:val="none" w:sz="0" w:space="0" w:color="auto"/>
                                                          </w:divBdr>
                                                        </w:div>
                                                        <w:div w:id="115966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059550">
                                              <w:marLeft w:val="0"/>
                                              <w:marRight w:val="0"/>
                                              <w:marTop w:val="0"/>
                                              <w:marBottom w:val="0"/>
                                              <w:divBdr>
                                                <w:top w:val="none" w:sz="0" w:space="0" w:color="auto"/>
                                                <w:left w:val="none" w:sz="0" w:space="0" w:color="auto"/>
                                                <w:bottom w:val="none" w:sz="0" w:space="0" w:color="auto"/>
                                                <w:right w:val="none" w:sz="0" w:space="0" w:color="auto"/>
                                              </w:divBdr>
                                              <w:divsChild>
                                                <w:div w:id="932858971">
                                                  <w:marLeft w:val="0"/>
                                                  <w:marRight w:val="0"/>
                                                  <w:marTop w:val="600"/>
                                                  <w:marBottom w:val="0"/>
                                                  <w:divBdr>
                                                    <w:top w:val="none" w:sz="0" w:space="0" w:color="auto"/>
                                                    <w:left w:val="none" w:sz="0" w:space="0" w:color="auto"/>
                                                    <w:bottom w:val="none" w:sz="0" w:space="0" w:color="auto"/>
                                                    <w:right w:val="none" w:sz="0" w:space="0" w:color="auto"/>
                                                  </w:divBdr>
                                                  <w:divsChild>
                                                    <w:div w:id="1763799126">
                                                      <w:marLeft w:val="0"/>
                                                      <w:marRight w:val="0"/>
                                                      <w:marTop w:val="0"/>
                                                      <w:marBottom w:val="0"/>
                                                      <w:divBdr>
                                                        <w:top w:val="none" w:sz="0" w:space="0" w:color="auto"/>
                                                        <w:left w:val="none" w:sz="0" w:space="0" w:color="auto"/>
                                                        <w:bottom w:val="none" w:sz="0" w:space="0" w:color="auto"/>
                                                        <w:right w:val="none" w:sz="0" w:space="0" w:color="auto"/>
                                                      </w:divBdr>
                                                      <w:divsChild>
                                                        <w:div w:id="1868521445">
                                                          <w:marLeft w:val="0"/>
                                                          <w:marRight w:val="0"/>
                                                          <w:marTop w:val="0"/>
                                                          <w:marBottom w:val="0"/>
                                                          <w:divBdr>
                                                            <w:top w:val="none" w:sz="0" w:space="0" w:color="auto"/>
                                                            <w:left w:val="none" w:sz="0" w:space="0" w:color="auto"/>
                                                            <w:bottom w:val="none" w:sz="0" w:space="0" w:color="auto"/>
                                                            <w:right w:val="none" w:sz="0" w:space="0" w:color="auto"/>
                                                          </w:divBdr>
                                                          <w:divsChild>
                                                            <w:div w:id="1659770314">
                                                              <w:marLeft w:val="0"/>
                                                              <w:marRight w:val="0"/>
                                                              <w:marTop w:val="0"/>
                                                              <w:marBottom w:val="0"/>
                                                              <w:divBdr>
                                                                <w:top w:val="none" w:sz="0" w:space="0" w:color="auto"/>
                                                                <w:left w:val="none" w:sz="0" w:space="0" w:color="auto"/>
                                                                <w:bottom w:val="none" w:sz="0" w:space="0" w:color="auto"/>
                                                                <w:right w:val="none" w:sz="0" w:space="0" w:color="auto"/>
                                                              </w:divBdr>
                                                              <w:divsChild>
                                                                <w:div w:id="758671632">
                                                                  <w:marLeft w:val="0"/>
                                                                  <w:marRight w:val="0"/>
                                                                  <w:marTop w:val="100"/>
                                                                  <w:marBottom w:val="100"/>
                                                                  <w:divBdr>
                                                                    <w:top w:val="none" w:sz="0" w:space="0" w:color="auto"/>
                                                                    <w:left w:val="none" w:sz="0" w:space="0" w:color="auto"/>
                                                                    <w:bottom w:val="none" w:sz="0" w:space="0" w:color="auto"/>
                                                                    <w:right w:val="none" w:sz="0" w:space="0" w:color="auto"/>
                                                                  </w:divBdr>
                                                                </w:div>
                                                                <w:div w:id="237830377">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774783400">
                                                  <w:marLeft w:val="0"/>
                                                  <w:marRight w:val="0"/>
                                                  <w:marTop w:val="0"/>
                                                  <w:marBottom w:val="0"/>
                                                  <w:divBdr>
                                                    <w:top w:val="none" w:sz="0" w:space="0" w:color="auto"/>
                                                    <w:left w:val="none" w:sz="0" w:space="0" w:color="auto"/>
                                                    <w:bottom w:val="none" w:sz="0" w:space="0" w:color="auto"/>
                                                    <w:right w:val="none" w:sz="0" w:space="0" w:color="auto"/>
                                                  </w:divBdr>
                                                  <w:divsChild>
                                                    <w:div w:id="411121197">
                                                      <w:marLeft w:val="0"/>
                                                      <w:marRight w:val="0"/>
                                                      <w:marTop w:val="90"/>
                                                      <w:marBottom w:val="90"/>
                                                      <w:divBdr>
                                                        <w:top w:val="none" w:sz="0" w:space="4" w:color="F0C36D"/>
                                                        <w:left w:val="none" w:sz="0" w:space="4" w:color="F0C36D"/>
                                                        <w:bottom w:val="none" w:sz="0" w:space="4" w:color="F0C36D"/>
                                                        <w:right w:val="none" w:sz="0" w:space="4" w:color="F0C36D"/>
                                                      </w:divBdr>
                                                      <w:divsChild>
                                                        <w:div w:id="1524901578">
                                                          <w:marLeft w:val="0"/>
                                                          <w:marRight w:val="0"/>
                                                          <w:marTop w:val="0"/>
                                                          <w:marBottom w:val="0"/>
                                                          <w:divBdr>
                                                            <w:top w:val="none" w:sz="0" w:space="0" w:color="auto"/>
                                                            <w:left w:val="none" w:sz="0" w:space="0" w:color="auto"/>
                                                            <w:bottom w:val="none" w:sz="0" w:space="0" w:color="auto"/>
                                                            <w:right w:val="none" w:sz="0" w:space="0" w:color="auto"/>
                                                          </w:divBdr>
                                                        </w:div>
                                                      </w:divsChild>
                                                    </w:div>
                                                    <w:div w:id="1192379303">
                                                      <w:marLeft w:val="0"/>
                                                      <w:marRight w:val="0"/>
                                                      <w:marTop w:val="0"/>
                                                      <w:marBottom w:val="0"/>
                                                      <w:divBdr>
                                                        <w:top w:val="none" w:sz="0" w:space="0" w:color="auto"/>
                                                        <w:left w:val="none" w:sz="0" w:space="0" w:color="auto"/>
                                                        <w:bottom w:val="none" w:sz="0" w:space="0" w:color="auto"/>
                                                        <w:right w:val="none" w:sz="0" w:space="0" w:color="auto"/>
                                                      </w:divBdr>
                                                      <w:divsChild>
                                                        <w:div w:id="1735354991">
                                                          <w:marLeft w:val="0"/>
                                                          <w:marRight w:val="0"/>
                                                          <w:marTop w:val="0"/>
                                                          <w:marBottom w:val="0"/>
                                                          <w:divBdr>
                                                            <w:top w:val="none" w:sz="0" w:space="0" w:color="auto"/>
                                                            <w:left w:val="none" w:sz="0" w:space="0" w:color="auto"/>
                                                            <w:bottom w:val="none" w:sz="0" w:space="0" w:color="auto"/>
                                                            <w:right w:val="none" w:sz="0" w:space="0" w:color="auto"/>
                                                          </w:divBdr>
                                                        </w:div>
                                                        <w:div w:id="1326206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0214156">
                                  <w:marLeft w:val="0"/>
                                  <w:marRight w:val="0"/>
                                  <w:marTop w:val="0"/>
                                  <w:marBottom w:val="0"/>
                                  <w:divBdr>
                                    <w:top w:val="none" w:sz="0" w:space="0" w:color="auto"/>
                                    <w:left w:val="none" w:sz="0" w:space="0" w:color="auto"/>
                                    <w:bottom w:val="none" w:sz="0" w:space="0" w:color="auto"/>
                                    <w:right w:val="none" w:sz="0" w:space="0" w:color="auto"/>
                                  </w:divBdr>
                                  <w:divsChild>
                                    <w:div w:id="2026515428">
                                      <w:marLeft w:val="0"/>
                                      <w:marRight w:val="0"/>
                                      <w:marTop w:val="600"/>
                                      <w:marBottom w:val="0"/>
                                      <w:divBdr>
                                        <w:top w:val="none" w:sz="0" w:space="0" w:color="auto"/>
                                        <w:left w:val="none" w:sz="0" w:space="0" w:color="auto"/>
                                        <w:bottom w:val="none" w:sz="0" w:space="0" w:color="auto"/>
                                        <w:right w:val="none" w:sz="0" w:space="0" w:color="auto"/>
                                      </w:divBdr>
                                      <w:divsChild>
                                        <w:div w:id="1642927042">
                                          <w:marLeft w:val="0"/>
                                          <w:marRight w:val="0"/>
                                          <w:marTop w:val="0"/>
                                          <w:marBottom w:val="0"/>
                                          <w:divBdr>
                                            <w:top w:val="none" w:sz="0" w:space="0" w:color="auto"/>
                                            <w:left w:val="none" w:sz="0" w:space="0" w:color="auto"/>
                                            <w:bottom w:val="none" w:sz="0" w:space="0" w:color="auto"/>
                                            <w:right w:val="none" w:sz="0" w:space="0" w:color="auto"/>
                                          </w:divBdr>
                                          <w:divsChild>
                                            <w:div w:id="1262489780">
                                              <w:marLeft w:val="0"/>
                                              <w:marRight w:val="0"/>
                                              <w:marTop w:val="0"/>
                                              <w:marBottom w:val="0"/>
                                              <w:divBdr>
                                                <w:top w:val="none" w:sz="0" w:space="0" w:color="auto"/>
                                                <w:left w:val="none" w:sz="0" w:space="0" w:color="auto"/>
                                                <w:bottom w:val="none" w:sz="0" w:space="0" w:color="auto"/>
                                                <w:right w:val="none" w:sz="0" w:space="0" w:color="auto"/>
                                              </w:divBdr>
                                              <w:divsChild>
                                                <w:div w:id="766074912">
                                                  <w:marLeft w:val="0"/>
                                                  <w:marRight w:val="0"/>
                                                  <w:marTop w:val="0"/>
                                                  <w:marBottom w:val="0"/>
                                                  <w:divBdr>
                                                    <w:top w:val="none" w:sz="0" w:space="0" w:color="auto"/>
                                                    <w:left w:val="none" w:sz="0" w:space="0" w:color="auto"/>
                                                    <w:bottom w:val="none" w:sz="0" w:space="0" w:color="auto"/>
                                                    <w:right w:val="none" w:sz="0" w:space="0" w:color="auto"/>
                                                  </w:divBdr>
                                                  <w:divsChild>
                                                    <w:div w:id="138959452">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914000683">
                                  <w:marLeft w:val="0"/>
                                  <w:marRight w:val="0"/>
                                  <w:marTop w:val="0"/>
                                  <w:marBottom w:val="0"/>
                                  <w:divBdr>
                                    <w:top w:val="none" w:sz="0" w:space="0" w:color="auto"/>
                                    <w:left w:val="none" w:sz="0" w:space="0" w:color="auto"/>
                                    <w:bottom w:val="none" w:sz="0" w:space="0" w:color="auto"/>
                                    <w:right w:val="none" w:sz="0" w:space="0" w:color="auto"/>
                                  </w:divBdr>
                                  <w:divsChild>
                                    <w:div w:id="1769307823">
                                      <w:marLeft w:val="0"/>
                                      <w:marRight w:val="0"/>
                                      <w:marTop w:val="0"/>
                                      <w:marBottom w:val="0"/>
                                      <w:divBdr>
                                        <w:top w:val="none" w:sz="0" w:space="0" w:color="auto"/>
                                        <w:left w:val="none" w:sz="0" w:space="0" w:color="auto"/>
                                        <w:bottom w:val="single" w:sz="6" w:space="3" w:color="CCCCCC"/>
                                        <w:right w:val="none" w:sz="0" w:space="0" w:color="auto"/>
                                      </w:divBdr>
                                    </w:div>
                                    <w:div w:id="302589984">
                                      <w:marLeft w:val="0"/>
                                      <w:marRight w:val="0"/>
                                      <w:marTop w:val="0"/>
                                      <w:marBottom w:val="0"/>
                                      <w:divBdr>
                                        <w:top w:val="none" w:sz="0" w:space="0" w:color="auto"/>
                                        <w:left w:val="none" w:sz="0" w:space="0" w:color="auto"/>
                                        <w:bottom w:val="none" w:sz="0" w:space="0" w:color="auto"/>
                                        <w:right w:val="none" w:sz="0" w:space="0" w:color="auto"/>
                                      </w:divBdr>
                                      <w:divsChild>
                                        <w:div w:id="591011128">
                                          <w:marLeft w:val="0"/>
                                          <w:marRight w:val="0"/>
                                          <w:marTop w:val="0"/>
                                          <w:marBottom w:val="0"/>
                                          <w:divBdr>
                                            <w:top w:val="none" w:sz="0" w:space="0" w:color="auto"/>
                                            <w:left w:val="none" w:sz="0" w:space="0" w:color="auto"/>
                                            <w:bottom w:val="none" w:sz="0" w:space="0" w:color="auto"/>
                                            <w:right w:val="none" w:sz="0" w:space="0" w:color="auto"/>
                                          </w:divBdr>
                                          <w:divsChild>
                                            <w:div w:id="1497722532">
                                              <w:marLeft w:val="0"/>
                                              <w:marRight w:val="60"/>
                                              <w:marTop w:val="0"/>
                                              <w:marBottom w:val="0"/>
                                              <w:divBdr>
                                                <w:top w:val="none" w:sz="0" w:space="0" w:color="auto"/>
                                                <w:left w:val="none" w:sz="0" w:space="0" w:color="auto"/>
                                                <w:bottom w:val="none" w:sz="0" w:space="0" w:color="auto"/>
                                                <w:right w:val="none" w:sz="0" w:space="0" w:color="auto"/>
                                              </w:divBdr>
                                              <w:divsChild>
                                                <w:div w:id="938677928">
                                                  <w:marLeft w:val="0"/>
                                                  <w:marRight w:val="0"/>
                                                  <w:marTop w:val="0"/>
                                                  <w:marBottom w:val="0"/>
                                                  <w:divBdr>
                                                    <w:top w:val="none" w:sz="0" w:space="0" w:color="auto"/>
                                                    <w:left w:val="none" w:sz="0" w:space="0" w:color="auto"/>
                                                    <w:bottom w:val="none" w:sz="0" w:space="0" w:color="auto"/>
                                                    <w:right w:val="none" w:sz="0" w:space="0" w:color="auto"/>
                                                  </w:divBdr>
                                                  <w:divsChild>
                                                    <w:div w:id="1726904240">
                                                      <w:marLeft w:val="0"/>
                                                      <w:marRight w:val="0"/>
                                                      <w:marTop w:val="0"/>
                                                      <w:marBottom w:val="0"/>
                                                      <w:divBdr>
                                                        <w:top w:val="none" w:sz="0" w:space="0" w:color="auto"/>
                                                        <w:left w:val="none" w:sz="0" w:space="0" w:color="auto"/>
                                                        <w:bottom w:val="none" w:sz="0" w:space="0" w:color="auto"/>
                                                        <w:right w:val="none" w:sz="0" w:space="0" w:color="auto"/>
                                                      </w:divBdr>
                                                      <w:divsChild>
                                                        <w:div w:id="298465296">
                                                          <w:marLeft w:val="0"/>
                                                          <w:marRight w:val="0"/>
                                                          <w:marTop w:val="0"/>
                                                          <w:marBottom w:val="0"/>
                                                          <w:divBdr>
                                                            <w:top w:val="none" w:sz="0" w:space="0" w:color="auto"/>
                                                            <w:left w:val="none" w:sz="0" w:space="0" w:color="auto"/>
                                                            <w:bottom w:val="none" w:sz="0" w:space="0" w:color="auto"/>
                                                            <w:right w:val="none" w:sz="0" w:space="0" w:color="auto"/>
                                                          </w:divBdr>
                                                          <w:divsChild>
                                                            <w:div w:id="89758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5640672">
                                                  <w:marLeft w:val="0"/>
                                                  <w:marRight w:val="0"/>
                                                  <w:marTop w:val="0"/>
                                                  <w:marBottom w:val="0"/>
                                                  <w:divBdr>
                                                    <w:top w:val="none" w:sz="0" w:space="0" w:color="auto"/>
                                                    <w:left w:val="none" w:sz="0" w:space="0" w:color="auto"/>
                                                    <w:bottom w:val="none" w:sz="0" w:space="0" w:color="auto"/>
                                                    <w:right w:val="none" w:sz="0" w:space="0" w:color="auto"/>
                                                  </w:divBdr>
                                                  <w:divsChild>
                                                    <w:div w:id="1394158373">
                                                      <w:marLeft w:val="0"/>
                                                      <w:marRight w:val="0"/>
                                                      <w:marTop w:val="0"/>
                                                      <w:marBottom w:val="0"/>
                                                      <w:divBdr>
                                                        <w:top w:val="none" w:sz="0" w:space="0" w:color="auto"/>
                                                        <w:left w:val="none" w:sz="0" w:space="0" w:color="auto"/>
                                                        <w:bottom w:val="none" w:sz="0" w:space="0" w:color="auto"/>
                                                        <w:right w:val="none" w:sz="0" w:space="0" w:color="auto"/>
                                                      </w:divBdr>
                                                      <w:divsChild>
                                                        <w:div w:id="978919158">
                                                          <w:marLeft w:val="0"/>
                                                          <w:marRight w:val="0"/>
                                                          <w:marTop w:val="0"/>
                                                          <w:marBottom w:val="0"/>
                                                          <w:divBdr>
                                                            <w:top w:val="none" w:sz="0" w:space="0" w:color="auto"/>
                                                            <w:left w:val="none" w:sz="0" w:space="0" w:color="auto"/>
                                                            <w:bottom w:val="none" w:sz="0" w:space="0" w:color="auto"/>
                                                            <w:right w:val="none" w:sz="0" w:space="0" w:color="auto"/>
                                                          </w:divBdr>
                                                          <w:divsChild>
                                                            <w:div w:id="71516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931522">
                                                  <w:marLeft w:val="0"/>
                                                  <w:marRight w:val="0"/>
                                                  <w:marTop w:val="0"/>
                                                  <w:marBottom w:val="0"/>
                                                  <w:divBdr>
                                                    <w:top w:val="none" w:sz="0" w:space="0" w:color="auto"/>
                                                    <w:left w:val="none" w:sz="0" w:space="0" w:color="auto"/>
                                                    <w:bottom w:val="none" w:sz="0" w:space="0" w:color="auto"/>
                                                    <w:right w:val="none" w:sz="0" w:space="0" w:color="auto"/>
                                                  </w:divBdr>
                                                  <w:divsChild>
                                                    <w:div w:id="1875654696">
                                                      <w:marLeft w:val="0"/>
                                                      <w:marRight w:val="0"/>
                                                      <w:marTop w:val="0"/>
                                                      <w:marBottom w:val="0"/>
                                                      <w:divBdr>
                                                        <w:top w:val="none" w:sz="0" w:space="0" w:color="auto"/>
                                                        <w:left w:val="none" w:sz="0" w:space="0" w:color="auto"/>
                                                        <w:bottom w:val="none" w:sz="0" w:space="0" w:color="auto"/>
                                                        <w:right w:val="none" w:sz="0" w:space="0" w:color="auto"/>
                                                      </w:divBdr>
                                                      <w:divsChild>
                                                        <w:div w:id="1757625705">
                                                          <w:marLeft w:val="0"/>
                                                          <w:marRight w:val="0"/>
                                                          <w:marTop w:val="0"/>
                                                          <w:marBottom w:val="0"/>
                                                          <w:divBdr>
                                                            <w:top w:val="none" w:sz="0" w:space="0" w:color="auto"/>
                                                            <w:left w:val="none" w:sz="0" w:space="0" w:color="auto"/>
                                                            <w:bottom w:val="none" w:sz="0" w:space="0" w:color="auto"/>
                                                            <w:right w:val="none" w:sz="0" w:space="0" w:color="auto"/>
                                                          </w:divBdr>
                                                          <w:divsChild>
                                                            <w:div w:id="192186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815863">
                                                  <w:marLeft w:val="0"/>
                                                  <w:marRight w:val="0"/>
                                                  <w:marTop w:val="0"/>
                                                  <w:marBottom w:val="0"/>
                                                  <w:divBdr>
                                                    <w:top w:val="none" w:sz="0" w:space="0" w:color="auto"/>
                                                    <w:left w:val="none" w:sz="0" w:space="0" w:color="auto"/>
                                                    <w:bottom w:val="none" w:sz="0" w:space="0" w:color="auto"/>
                                                    <w:right w:val="none" w:sz="0" w:space="0" w:color="auto"/>
                                                  </w:divBdr>
                                                  <w:divsChild>
                                                    <w:div w:id="1292399020">
                                                      <w:marLeft w:val="0"/>
                                                      <w:marRight w:val="0"/>
                                                      <w:marTop w:val="0"/>
                                                      <w:marBottom w:val="0"/>
                                                      <w:divBdr>
                                                        <w:top w:val="none" w:sz="0" w:space="0" w:color="auto"/>
                                                        <w:left w:val="none" w:sz="0" w:space="0" w:color="auto"/>
                                                        <w:bottom w:val="none" w:sz="0" w:space="0" w:color="auto"/>
                                                        <w:right w:val="none" w:sz="0" w:space="0" w:color="auto"/>
                                                      </w:divBdr>
                                                      <w:divsChild>
                                                        <w:div w:id="1879932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4995551">
                                          <w:marLeft w:val="0"/>
                                          <w:marRight w:val="0"/>
                                          <w:marTop w:val="0"/>
                                          <w:marBottom w:val="0"/>
                                          <w:divBdr>
                                            <w:top w:val="none" w:sz="0" w:space="0" w:color="auto"/>
                                            <w:left w:val="none" w:sz="0" w:space="0" w:color="auto"/>
                                            <w:bottom w:val="none" w:sz="0" w:space="0" w:color="auto"/>
                                            <w:right w:val="none" w:sz="0" w:space="0" w:color="auto"/>
                                          </w:divBdr>
                                          <w:divsChild>
                                            <w:div w:id="903954487">
                                              <w:marLeft w:val="60"/>
                                              <w:marRight w:val="0"/>
                                              <w:marTop w:val="0"/>
                                              <w:marBottom w:val="0"/>
                                              <w:divBdr>
                                                <w:top w:val="none" w:sz="0" w:space="0" w:color="auto"/>
                                                <w:left w:val="none" w:sz="0" w:space="0" w:color="auto"/>
                                                <w:bottom w:val="none" w:sz="0" w:space="0" w:color="auto"/>
                                                <w:right w:val="none" w:sz="0" w:space="0" w:color="auto"/>
                                              </w:divBdr>
                                              <w:divsChild>
                                                <w:div w:id="1140342156">
                                                  <w:marLeft w:val="0"/>
                                                  <w:marRight w:val="0"/>
                                                  <w:marTop w:val="0"/>
                                                  <w:marBottom w:val="0"/>
                                                  <w:divBdr>
                                                    <w:top w:val="none" w:sz="0" w:space="0" w:color="auto"/>
                                                    <w:left w:val="none" w:sz="0" w:space="0" w:color="auto"/>
                                                    <w:bottom w:val="none" w:sz="0" w:space="0" w:color="auto"/>
                                                    <w:right w:val="none" w:sz="0" w:space="0" w:color="auto"/>
                                                  </w:divBdr>
                                                  <w:divsChild>
                                                    <w:div w:id="700059240">
                                                      <w:marLeft w:val="0"/>
                                                      <w:marRight w:val="0"/>
                                                      <w:marTop w:val="0"/>
                                                      <w:marBottom w:val="0"/>
                                                      <w:divBdr>
                                                        <w:top w:val="none" w:sz="0" w:space="0" w:color="auto"/>
                                                        <w:left w:val="none" w:sz="0" w:space="0" w:color="auto"/>
                                                        <w:bottom w:val="none" w:sz="0" w:space="0" w:color="auto"/>
                                                        <w:right w:val="none" w:sz="0" w:space="0" w:color="auto"/>
                                                      </w:divBdr>
                                                      <w:divsChild>
                                                        <w:div w:id="716777566">
                                                          <w:marLeft w:val="0"/>
                                                          <w:marRight w:val="0"/>
                                                          <w:marTop w:val="0"/>
                                                          <w:marBottom w:val="0"/>
                                                          <w:divBdr>
                                                            <w:top w:val="none" w:sz="0" w:space="0" w:color="auto"/>
                                                            <w:left w:val="none" w:sz="0" w:space="0" w:color="auto"/>
                                                            <w:bottom w:val="none" w:sz="0" w:space="0" w:color="auto"/>
                                                            <w:right w:val="none" w:sz="0" w:space="0" w:color="auto"/>
                                                          </w:divBdr>
                                                          <w:divsChild>
                                                            <w:div w:id="2583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42729483">
              <w:marLeft w:val="0"/>
              <w:marRight w:val="0"/>
              <w:marTop w:val="0"/>
              <w:marBottom w:val="0"/>
              <w:divBdr>
                <w:top w:val="single" w:sz="6" w:space="31" w:color="F0C36D"/>
                <w:left w:val="single" w:sz="6" w:space="31" w:color="F0C36D"/>
                <w:bottom w:val="single" w:sz="6" w:space="31" w:color="F0C36D"/>
                <w:right w:val="single" w:sz="6" w:space="31" w:color="F0C36D"/>
              </w:divBdr>
            </w:div>
            <w:div w:id="1531143189">
              <w:marLeft w:val="0"/>
              <w:marRight w:val="0"/>
              <w:marTop w:val="0"/>
              <w:marBottom w:val="0"/>
              <w:divBdr>
                <w:top w:val="single" w:sz="6" w:space="31" w:color="F0C36D"/>
                <w:left w:val="single" w:sz="6" w:space="31" w:color="F0C36D"/>
                <w:bottom w:val="single" w:sz="6" w:space="31" w:color="F0C36D"/>
                <w:right w:val="single" w:sz="6" w:space="31" w:color="F0C36D"/>
              </w:divBdr>
            </w:div>
            <w:div w:id="454838326">
              <w:marLeft w:val="0"/>
              <w:marRight w:val="0"/>
              <w:marTop w:val="0"/>
              <w:marBottom w:val="0"/>
              <w:divBdr>
                <w:top w:val="single" w:sz="6" w:space="31" w:color="F0C36D"/>
                <w:left w:val="single" w:sz="6" w:space="31" w:color="F0C36D"/>
                <w:bottom w:val="single" w:sz="6" w:space="31" w:color="F0C36D"/>
                <w:right w:val="single" w:sz="6" w:space="31" w:color="F0C36D"/>
              </w:divBdr>
            </w:div>
            <w:div w:id="1373455874">
              <w:marLeft w:val="0"/>
              <w:marRight w:val="0"/>
              <w:marTop w:val="0"/>
              <w:marBottom w:val="0"/>
              <w:divBdr>
                <w:top w:val="single" w:sz="6" w:space="31" w:color="F0C36D"/>
                <w:left w:val="single" w:sz="6" w:space="31" w:color="F0C36D"/>
                <w:bottom w:val="single" w:sz="6" w:space="31" w:color="F0C36D"/>
                <w:right w:val="single" w:sz="6" w:space="31" w:color="F0C36D"/>
              </w:divBdr>
            </w:div>
            <w:div w:id="1732731308">
              <w:marLeft w:val="0"/>
              <w:marRight w:val="0"/>
              <w:marTop w:val="0"/>
              <w:marBottom w:val="0"/>
              <w:divBdr>
                <w:top w:val="single" w:sz="6" w:space="0" w:color="CCCCCC"/>
                <w:left w:val="none" w:sz="0" w:space="0" w:color="auto"/>
                <w:bottom w:val="none" w:sz="0" w:space="0" w:color="auto"/>
                <w:right w:val="none" w:sz="0" w:space="0" w:color="auto"/>
              </w:divBdr>
            </w:div>
          </w:divsChild>
        </w:div>
      </w:divsChild>
    </w:div>
    <w:div w:id="2073693338">
      <w:bodyDiv w:val="1"/>
      <w:marLeft w:val="0"/>
      <w:marRight w:val="0"/>
      <w:marTop w:val="0"/>
      <w:marBottom w:val="0"/>
      <w:divBdr>
        <w:top w:val="none" w:sz="0" w:space="0" w:color="auto"/>
        <w:left w:val="none" w:sz="0" w:space="0" w:color="auto"/>
        <w:bottom w:val="none" w:sz="0" w:space="0" w:color="auto"/>
        <w:right w:val="none" w:sz="0" w:space="0" w:color="auto"/>
      </w:divBdr>
    </w:div>
    <w:div w:id="2078892668">
      <w:bodyDiv w:val="1"/>
      <w:marLeft w:val="0"/>
      <w:marRight w:val="0"/>
      <w:marTop w:val="0"/>
      <w:marBottom w:val="0"/>
      <w:divBdr>
        <w:top w:val="none" w:sz="0" w:space="0" w:color="auto"/>
        <w:left w:val="none" w:sz="0" w:space="0" w:color="auto"/>
        <w:bottom w:val="none" w:sz="0" w:space="0" w:color="auto"/>
        <w:right w:val="none" w:sz="0" w:space="0" w:color="auto"/>
      </w:divBdr>
    </w:div>
    <w:div w:id="2091123259">
      <w:bodyDiv w:val="1"/>
      <w:marLeft w:val="0"/>
      <w:marRight w:val="0"/>
      <w:marTop w:val="0"/>
      <w:marBottom w:val="0"/>
      <w:divBdr>
        <w:top w:val="none" w:sz="0" w:space="0" w:color="auto"/>
        <w:left w:val="none" w:sz="0" w:space="0" w:color="auto"/>
        <w:bottom w:val="none" w:sz="0" w:space="0" w:color="auto"/>
        <w:right w:val="none" w:sz="0" w:space="0" w:color="auto"/>
      </w:divBdr>
    </w:div>
    <w:div w:id="2115130182">
      <w:bodyDiv w:val="1"/>
      <w:marLeft w:val="0"/>
      <w:marRight w:val="0"/>
      <w:marTop w:val="0"/>
      <w:marBottom w:val="0"/>
      <w:divBdr>
        <w:top w:val="none" w:sz="0" w:space="0" w:color="auto"/>
        <w:left w:val="none" w:sz="0" w:space="0" w:color="auto"/>
        <w:bottom w:val="none" w:sz="0" w:space="0" w:color="auto"/>
        <w:right w:val="none" w:sz="0" w:space="0" w:color="auto"/>
      </w:divBdr>
    </w:div>
    <w:div w:id="2127769101">
      <w:bodyDiv w:val="1"/>
      <w:marLeft w:val="0"/>
      <w:marRight w:val="0"/>
      <w:marTop w:val="0"/>
      <w:marBottom w:val="0"/>
      <w:divBdr>
        <w:top w:val="none" w:sz="0" w:space="0" w:color="auto"/>
        <w:left w:val="none" w:sz="0" w:space="0" w:color="auto"/>
        <w:bottom w:val="none" w:sz="0" w:space="0" w:color="auto"/>
        <w:right w:val="none" w:sz="0" w:space="0" w:color="auto"/>
      </w:divBdr>
    </w:div>
    <w:div w:id="2146190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26" Type="http://schemas.openxmlformats.org/officeDocument/2006/relationships/hyperlink" Target="https://www.bce.fin.ec/index.php/boletines-de-prensa-archivo/item/1158-la-economia-ecuatoriana-crecio-14-en-2018" TargetMode="External"/><Relationship Id="rId39" Type="http://schemas.openxmlformats.org/officeDocument/2006/relationships/hyperlink" Target="https://www.transparency.org/news/pressrelease/el_indice_de_percepcion_de_la_corrupcion_2018" TargetMode="External"/><Relationship Id="rId3" Type="http://schemas.openxmlformats.org/officeDocument/2006/relationships/customXml" Target="../customXml/item3.xml"/><Relationship Id="rId21" Type="http://schemas.openxmlformats.org/officeDocument/2006/relationships/diagramData" Target="diagrams/data1.xml"/><Relationship Id="rId34" Type="http://schemas.openxmlformats.org/officeDocument/2006/relationships/hyperlink" Target="https://www.finanzas.gob.ec/wp-content/uploads/downloads/2018/08/Plan20Prosperidad20RV.pdf" TargetMode="External"/><Relationship Id="rId42"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5" Type="http://schemas.microsoft.com/office/2007/relationships/diagramDrawing" Target="diagrams/drawing1.xml"/><Relationship Id="rId33" Type="http://schemas.openxmlformats.org/officeDocument/2006/relationships/hyperlink" Target="https://www.elcomercio.com/actualidad/servidores-publicos-nomina-reduccion-gasto.html" TargetMode="External"/><Relationship Id="rId38" Type="http://schemas.openxmlformats.org/officeDocument/2006/relationships/hyperlink" Target="https://www.stata.com/manuals/tsmswitch.pdf"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www.planificacion.gob.ec/wp-content/uploads/downloads/2016/02/Ley-Org%C3%A1nica-de-Empresas-P%C3%BAblicas-LOEP.pdf" TargetMode="External"/><Relationship Id="rId29" Type="http://schemas.openxmlformats.org/officeDocument/2006/relationships/hyperlink" Target="https://datos.bancomundial.org/pais/ecuador"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diagramColors" Target="diagrams/colors1.xml"/><Relationship Id="rId32" Type="http://schemas.openxmlformats.org/officeDocument/2006/relationships/hyperlink" Target="https://www.elcomercio.com/app_public.php/cartas/empresas-publicas-ecuador-opinion-cartas.html" TargetMode="External"/><Relationship Id="rId37" Type="http://schemas.openxmlformats.org/officeDocument/2006/relationships/hyperlink" Target="http://web.mit.edu/airlinedata/www/default.html" TargetMode="External"/><Relationship Id="rId40" Type="http://schemas.openxmlformats.org/officeDocument/2006/relationships/hyperlink" Target="https://www.transparency.org/whatwedo/publication/informe_global_de_la_corrupcion_2009_corrupcion_y_sector_privado" TargetMode="Externa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diagramQuickStyle" Target="diagrams/quickStyle1.xml"/><Relationship Id="rId28" Type="http://schemas.openxmlformats.org/officeDocument/2006/relationships/hyperlink" Target="https://contenido.bce.fin.ec/home1/estadisticas/bolmensual/IEMensual.jsp" TargetMode="External"/><Relationship Id="rId36" Type="http://schemas.openxmlformats.org/officeDocument/2006/relationships/hyperlink" Target="https://www.imf.org/external/pubs/ft/weo/2018/02/weodata/index.aspx" TargetMode="External"/><Relationship Id="rId10" Type="http://schemas.openxmlformats.org/officeDocument/2006/relationships/settings" Target="settings.xml"/><Relationship Id="rId19" Type="http://schemas.openxmlformats.org/officeDocument/2006/relationships/footer" Target="footer3.xml"/><Relationship Id="rId31" Type="http://schemas.openxmlformats.org/officeDocument/2006/relationships/hyperlink" Target="https://www.elcomercio.com/actualidad/ecuador-deficit-empresas-publicas-negocios.html"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diagramLayout" Target="diagrams/layout1.xml"/><Relationship Id="rId27" Type="http://schemas.openxmlformats.org/officeDocument/2006/relationships/hyperlink" Target="https://contenido.bce.fin.ec/home1/estadisticas/cntrimestral/CNTrimestral.jsp" TargetMode="External"/><Relationship Id="rId30" Type="http://schemas.openxmlformats.org/officeDocument/2006/relationships/hyperlink" Target="https://datos.bancomundial.org/pais/estados-unidos" TargetMode="External"/><Relationship Id="rId35" Type="http://schemas.openxmlformats.org/officeDocument/2006/relationships/hyperlink" Target="http://www.ecuadorencifras.gob.ec/enemdu-2018/" TargetMode="External"/></Relationships>
</file>

<file path=word/diagrams/colors1.xml><?xml version="1.0" encoding="utf-8"?>
<dgm:colorsDef xmlns:dgm="http://schemas.openxmlformats.org/drawingml/2006/diagram" xmlns:a="http://schemas.openxmlformats.org/drawingml/2006/main" uniqueId="urn:microsoft.com/office/officeart/2005/8/colors/accent5_1">
  <dgm:title val=""/>
  <dgm:desc val=""/>
  <dgm:catLst>
    <dgm:cat type="accent5" pri="11100"/>
  </dgm:catLst>
  <dgm:styleLbl name="node0">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5">
        <a:shade val="80000"/>
      </a:schemeClr>
    </dgm:linClrLst>
    <dgm:effectClrLst/>
    <dgm:txLinClrLst/>
    <dgm:txFillClrLst/>
    <dgm:txEffectClrLst/>
  </dgm:styleLbl>
  <dgm:styleLbl name="node2">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fgImgPlace1">
    <dgm:fillClrLst meth="repeat">
      <a:schemeClr val="accent5">
        <a:tint val="40000"/>
      </a:schemeClr>
    </dgm:fillClrLst>
    <dgm:linClrLst meth="repeat">
      <a:schemeClr val="accent5">
        <a:shade val="80000"/>
      </a:schemeClr>
    </dgm:linClrLst>
    <dgm:effectClrLst/>
    <dgm:txLinClrLst/>
    <dgm:txFillClrLst meth="repeat">
      <a:schemeClr val="lt1"/>
    </dgm:txFillClrLst>
    <dgm:txEffectClrLst/>
  </dgm:styleLbl>
  <dgm:styleLbl name="alignImgPlace1">
    <dgm:fillClrLst meth="repeat">
      <a:schemeClr val="accent5">
        <a:tint val="40000"/>
      </a:schemeClr>
    </dgm:fillClrLst>
    <dgm:linClrLst meth="repeat">
      <a:schemeClr val="accent5">
        <a:shade val="80000"/>
      </a:schemeClr>
    </dgm:linClrLst>
    <dgm:effectClrLst/>
    <dgm:txLinClrLst/>
    <dgm:txFillClrLst meth="repeat">
      <a:schemeClr val="lt1"/>
    </dgm:txFillClrLst>
    <dgm:txEffectClrLst/>
  </dgm:styleLbl>
  <dgm:styleLbl name="bgImgPlace1">
    <dgm:fillClrLst meth="repeat">
      <a:schemeClr val="accent5">
        <a:tint val="40000"/>
      </a:schemeClr>
    </dgm:fillClrLst>
    <dgm:linClrLst meth="repeat">
      <a:schemeClr val="accent5">
        <a:shade val="80000"/>
      </a:schemeClr>
    </dgm:linClrLst>
    <dgm:effectClrLst/>
    <dgm:txLinClrLst/>
    <dgm:txFillClrLst meth="repeat">
      <a:schemeClr val="lt1"/>
    </dgm:txFillClrLst>
    <dgm:txEffectClrLst/>
  </dgm:styleLbl>
  <dgm:styleLbl name="sibTrans2D1">
    <dgm:fillClrLst meth="repeat">
      <a:schemeClr val="accent5">
        <a:tint val="60000"/>
      </a:schemeClr>
    </dgm:fillClrLst>
    <dgm:linClrLst meth="repeat">
      <a:schemeClr val="accent5">
        <a:tint val="60000"/>
      </a:schemeClr>
    </dgm:linClrLst>
    <dgm:effectClrLst/>
    <dgm:txLinClrLst/>
    <dgm:txFillClrLst meth="repeat">
      <a:schemeClr val="dk1"/>
    </dgm:txFillClrLst>
    <dgm:txEffectClrLst/>
  </dgm:styleLbl>
  <dgm:styleLbl name="fgSibTrans2D1">
    <dgm:fillClrLst meth="repeat">
      <a:schemeClr val="accent5">
        <a:tint val="60000"/>
      </a:schemeClr>
    </dgm:fillClrLst>
    <dgm:linClrLst meth="repeat">
      <a:schemeClr val="accent5">
        <a:tint val="60000"/>
      </a:schemeClr>
    </dgm:linClrLst>
    <dgm:effectClrLst/>
    <dgm:txLinClrLst/>
    <dgm:txFillClrLst meth="repeat">
      <a:schemeClr val="dk1"/>
    </dgm:txFillClrLst>
    <dgm:txEffectClrLst/>
  </dgm:styleLbl>
  <dgm:styleLbl name="bgSibTrans2D1">
    <dgm:fillClrLst meth="repeat">
      <a:schemeClr val="accent5">
        <a:tint val="60000"/>
      </a:schemeClr>
    </dgm:fillClrLst>
    <dgm:linClrLst meth="repeat">
      <a:schemeClr val="accent5">
        <a:tint val="60000"/>
      </a:schemeClr>
    </dgm:linClrLst>
    <dgm:effectClrLst/>
    <dgm:txLinClrLst/>
    <dgm:txFillClrLst meth="repeat">
      <a:schemeClr val="dk1"/>
    </dgm:txFillClrLst>
    <dgm:txEffectClrLst/>
  </dgm:styleLbl>
  <dgm:styleLbl name="sibTrans1D1">
    <dgm:fillClrLst meth="repeat">
      <a:schemeClr val="accent5"/>
    </dgm:fillClrLst>
    <dgm:linClrLst meth="repeat">
      <a:schemeClr val="accent5"/>
    </dgm:linClrLst>
    <dgm:effectClrLst/>
    <dgm:txLinClrLst/>
    <dgm:txFillClrLst meth="repeat">
      <a:schemeClr val="tx1"/>
    </dgm:txFillClrLst>
    <dgm:txEffectClrLst/>
  </dgm:styleLbl>
  <dgm:styleLbl name="callout">
    <dgm:fillClrLst meth="repeat">
      <a:schemeClr val="accent5"/>
    </dgm:fillClrLst>
    <dgm:linClrLst meth="repeat">
      <a:schemeClr val="accent5"/>
    </dgm:linClrLst>
    <dgm:effectClrLst/>
    <dgm:txLinClrLst/>
    <dgm:txFillClrLst meth="repeat">
      <a:schemeClr val="tx1"/>
    </dgm:txFillClrLst>
    <dgm:txEffectClrLst/>
  </dgm:styleLbl>
  <dgm:styleLbl name="asst0">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parChTrans2D1">
    <dgm:fillClrLst meth="repeat">
      <a:schemeClr val="accent5">
        <a:tint val="60000"/>
      </a:schemeClr>
    </dgm:fillClrLst>
    <dgm:linClrLst meth="repeat">
      <a:schemeClr val="accent5">
        <a:tint val="60000"/>
      </a:schemeClr>
    </dgm:linClrLst>
    <dgm:effectClrLst/>
    <dgm:txLinClrLst/>
    <dgm:txFillClrLst/>
    <dgm:txEffectClrLst/>
  </dgm:styleLbl>
  <dgm:styleLbl name="parChTrans2D2">
    <dgm:fillClrLst meth="repeat">
      <a:schemeClr val="accent5"/>
    </dgm:fillClrLst>
    <dgm:linClrLst meth="repeat">
      <a:schemeClr val="accent5"/>
    </dgm:linClrLst>
    <dgm:effectClrLst/>
    <dgm:txLinClrLst/>
    <dgm:txFillClrLst/>
    <dgm:txEffectClrLst/>
  </dgm:styleLbl>
  <dgm:styleLbl name="parChTrans2D3">
    <dgm:fillClrLst meth="repeat">
      <a:schemeClr val="accent5"/>
    </dgm:fillClrLst>
    <dgm:linClrLst meth="repeat">
      <a:schemeClr val="accent5"/>
    </dgm:linClrLst>
    <dgm:effectClrLst/>
    <dgm:txLinClrLst/>
    <dgm:txFillClrLst/>
    <dgm:txEffectClrLst/>
  </dgm:styleLbl>
  <dgm:styleLbl name="parChTrans2D4">
    <dgm:fillClrLst meth="repeat">
      <a:schemeClr val="accent5"/>
    </dgm:fillClrLst>
    <dgm:linClrLst meth="repeat">
      <a:schemeClr val="accent5"/>
    </dgm:linClrLst>
    <dgm:effectClrLst/>
    <dgm:txLinClrLst/>
    <dgm:txFillClrLst meth="repeat">
      <a:schemeClr val="lt1"/>
    </dgm:txFillClrLst>
    <dgm:txEffectClrLst/>
  </dgm:styleLbl>
  <dgm:styleLbl name="parChTrans1D1">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2">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3">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parChTrans1D4">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fg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conFg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align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trAlignAcc1">
    <dgm:fillClrLst meth="repeat">
      <a:schemeClr val="accent5">
        <a:alpha val="40000"/>
        <a:tint val="40000"/>
      </a:schemeClr>
    </dgm:fillClrLst>
    <dgm:linClrLst meth="repeat">
      <a:schemeClr val="accent5"/>
    </dgm:linClrLst>
    <dgm:effectClrLst/>
    <dgm:txLinClrLst/>
    <dgm:txFillClrLst meth="repeat">
      <a:schemeClr val="dk1"/>
    </dgm:txFillClrLst>
    <dgm:txEffectClrLst/>
  </dgm:styleLbl>
  <dgm:styleLbl name="bg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solidFgAcc1">
    <dgm:fillClrLst meth="repeat">
      <a:schemeClr val="lt1"/>
    </dgm:fillClrLst>
    <dgm:linClrLst meth="repeat">
      <a:schemeClr val="accent5"/>
    </dgm:linClrLst>
    <dgm:effectClrLst/>
    <dgm:txLinClrLst/>
    <dgm:txFillClrLst meth="repeat">
      <a:schemeClr val="dk1"/>
    </dgm:txFillClrLst>
    <dgm:txEffectClrLst/>
  </dgm:styleLbl>
  <dgm:styleLbl name="solidAlignAcc1">
    <dgm:fillClrLst meth="repeat">
      <a:schemeClr val="lt1"/>
    </dgm:fillClrLst>
    <dgm:linClrLst meth="repeat">
      <a:schemeClr val="accent5"/>
    </dgm:linClrLst>
    <dgm:effectClrLst/>
    <dgm:txLinClrLst/>
    <dgm:txFillClrLst meth="repeat">
      <a:schemeClr val="dk1"/>
    </dgm:txFillClrLst>
    <dgm:txEffectClrLst/>
  </dgm:styleLbl>
  <dgm:styleLbl name="solidBgAcc1">
    <dgm:fillClrLst meth="repeat">
      <a:schemeClr val="lt1"/>
    </dgm:fillClrLst>
    <dgm:linClrLst meth="repeat">
      <a:schemeClr val="accent5"/>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5">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5">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5">
        <a:alpha val="90000"/>
      </a:schemeClr>
    </dgm:linClrLst>
    <dgm:effectClrLst/>
    <dgm:txLinClrLst/>
    <dgm:txFillClrLst meth="repeat">
      <a:schemeClr val="dk1"/>
    </dgm:txFillClrLst>
    <dgm:txEffectClrLst/>
  </dgm:styleLbl>
  <dgm:styleLbl name="fgAcc0">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fgAcc2">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fgAcc3">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fgAcc4">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accent5"/>
    </dgm:linClrLst>
    <dgm:effectClrLst/>
    <dgm:txLinClrLst/>
    <dgm:txFillClrLst meth="repeat">
      <a:schemeClr val="dk1"/>
    </dgm:txFillClrLst>
    <dgm:txEffectClrLst/>
  </dgm:styleLbl>
  <dgm:styleLbl name="dkBgShp">
    <dgm:fillClrLst meth="repeat">
      <a:schemeClr val="accent5">
        <a:shade val="80000"/>
      </a:schemeClr>
    </dgm:fillClrLst>
    <dgm:linClrLst meth="repeat">
      <a:schemeClr val="accent5"/>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64A1B8F-48F3-454E-A591-C9ED8FF6729C}" type="doc">
      <dgm:prSet loTypeId="urn:microsoft.com/office/officeart/2005/8/layout/hierarchy4" loCatId="relationship" qsTypeId="urn:microsoft.com/office/officeart/2005/8/quickstyle/simple1" qsCatId="simple" csTypeId="urn:microsoft.com/office/officeart/2005/8/colors/accent5_1" csCatId="accent5" phldr="1"/>
      <dgm:spPr/>
      <dgm:t>
        <a:bodyPr/>
        <a:lstStyle/>
        <a:p>
          <a:endParaRPr lang="es-EC"/>
        </a:p>
      </dgm:t>
    </dgm:pt>
    <dgm:pt modelId="{66049B45-5BA3-4527-B8D9-9815595F897A}">
      <dgm:prSet phldrT="[Texto]" custT="1"/>
      <dgm:spPr>
        <a:solidFill>
          <a:schemeClr val="accent5">
            <a:lumMod val="75000"/>
          </a:schemeClr>
        </a:solidFill>
        <a:ln>
          <a:solidFill>
            <a:schemeClr val="accent5">
              <a:lumMod val="75000"/>
              <a:alpha val="90000"/>
            </a:schemeClr>
          </a:solidFill>
        </a:ln>
      </dgm:spPr>
      <dgm:t>
        <a:bodyPr/>
        <a:lstStyle/>
        <a:p>
          <a:r>
            <a:rPr lang="es-ES" sz="1000" b="1">
              <a:solidFill>
                <a:schemeClr val="bg1"/>
              </a:solidFill>
            </a:rPr>
            <a:t>Objetivo General – Reducción de la carga fiscal para el estado derivada de la propiedad de Empresas Públicas (EEPP). </a:t>
          </a:r>
        </a:p>
        <a:p>
          <a:r>
            <a:rPr lang="es-ES" sz="1000" b="1" u="none">
              <a:solidFill>
                <a:schemeClr val="bg1"/>
              </a:solidFill>
            </a:rPr>
            <a:t>Impacto - Reducción de la carga fiscal del Estado derivada de la propiedad de EEPP</a:t>
          </a:r>
        </a:p>
        <a:p>
          <a:r>
            <a:rPr lang="es-EC" sz="1000" b="1" i="1" u="sng">
              <a:solidFill>
                <a:schemeClr val="bg1"/>
              </a:solidFill>
            </a:rPr>
            <a:t>Monto de transferencias  del Presupuesto General del Estado (PGE) a EEPP / PIB</a:t>
          </a:r>
        </a:p>
      </dgm:t>
    </dgm:pt>
    <dgm:pt modelId="{61AD2633-CC68-41A2-8446-0DDB6DD766AB}" type="parTrans" cxnId="{1858BDDA-98D8-4682-99CA-640C25FFAA8A}">
      <dgm:prSet/>
      <dgm:spPr/>
      <dgm:t>
        <a:bodyPr/>
        <a:lstStyle/>
        <a:p>
          <a:endParaRPr lang="es-EC"/>
        </a:p>
      </dgm:t>
    </dgm:pt>
    <dgm:pt modelId="{EDEB5037-8840-4906-89B0-0DED7BE84A90}" type="sibTrans" cxnId="{1858BDDA-98D8-4682-99CA-640C25FFAA8A}">
      <dgm:prSet/>
      <dgm:spPr/>
      <dgm:t>
        <a:bodyPr/>
        <a:lstStyle/>
        <a:p>
          <a:endParaRPr lang="es-EC"/>
        </a:p>
      </dgm:t>
    </dgm:pt>
    <dgm:pt modelId="{E6F6689E-723B-42DD-AFD8-A265DBE10AEA}">
      <dgm:prSet phldrT="[Texto]" custT="1"/>
      <dgm:spPr>
        <a:solidFill>
          <a:schemeClr val="accent5">
            <a:lumMod val="60000"/>
            <a:lumOff val="40000"/>
            <a:alpha val="80000"/>
          </a:schemeClr>
        </a:solidFill>
        <a:ln w="19050">
          <a:solidFill>
            <a:schemeClr val="accent5">
              <a:lumMod val="75000"/>
            </a:schemeClr>
          </a:solidFill>
        </a:ln>
      </dgm:spPr>
      <dgm:t>
        <a:bodyPr/>
        <a:lstStyle/>
        <a:p>
          <a:r>
            <a:rPr lang="es-US" sz="1200"/>
            <a:t>OB. Específico 1 – Incrementar </a:t>
          </a:r>
          <a:r>
            <a:rPr lang="es-ES" sz="1200"/>
            <a:t>el número de EEPP alineadas a los principios de gobernanza corporativa de la OCDE; incluyendo una gobernanza fiscal análoga a la del sector privado</a:t>
          </a:r>
          <a:endParaRPr lang="es-EC" sz="1200"/>
        </a:p>
      </dgm:t>
    </dgm:pt>
    <dgm:pt modelId="{C508F84D-E819-462E-9CBD-53C0D35CAB21}" type="parTrans" cxnId="{4D07BA8F-9FB7-4394-9B64-C93B8838C845}">
      <dgm:prSet/>
      <dgm:spPr/>
      <dgm:t>
        <a:bodyPr/>
        <a:lstStyle/>
        <a:p>
          <a:endParaRPr lang="es-EC"/>
        </a:p>
      </dgm:t>
    </dgm:pt>
    <dgm:pt modelId="{71B7C05C-CAD0-4859-9BFC-495EB4819331}" type="sibTrans" cxnId="{4D07BA8F-9FB7-4394-9B64-C93B8838C845}">
      <dgm:prSet/>
      <dgm:spPr/>
      <dgm:t>
        <a:bodyPr/>
        <a:lstStyle/>
        <a:p>
          <a:endParaRPr lang="es-EC"/>
        </a:p>
      </dgm:t>
    </dgm:pt>
    <dgm:pt modelId="{72DF2DF2-B382-45AB-86A7-543A7D911E7D}">
      <dgm:prSet phldrT="[Texto]"/>
      <dgm:spPr>
        <a:solidFill>
          <a:schemeClr val="accent5">
            <a:lumMod val="20000"/>
            <a:lumOff val="80000"/>
          </a:schemeClr>
        </a:solidFill>
        <a:ln w="15875">
          <a:solidFill>
            <a:schemeClr val="accent5">
              <a:lumMod val="75000"/>
              <a:alpha val="80000"/>
            </a:schemeClr>
          </a:solidFill>
        </a:ln>
      </dgm:spPr>
      <dgm:t>
        <a:bodyPr/>
        <a:lstStyle/>
        <a:p>
          <a:r>
            <a:rPr lang="es-US" b="1"/>
            <a:t>Resultado 1 -</a:t>
          </a:r>
          <a:r>
            <a:rPr lang="es-US"/>
            <a:t> Aumento del ratio entre las sesiones ordinarias de los directorios de las EEPP sobre el total de sesiones</a:t>
          </a:r>
          <a:endParaRPr lang="es-EC"/>
        </a:p>
      </dgm:t>
    </dgm:pt>
    <dgm:pt modelId="{6E4A70D9-7527-476A-80F0-2B1488F5A0B7}" type="parTrans" cxnId="{D1936FB5-A149-4DA7-9839-CE4ED250A29E}">
      <dgm:prSet/>
      <dgm:spPr/>
      <dgm:t>
        <a:bodyPr/>
        <a:lstStyle/>
        <a:p>
          <a:endParaRPr lang="es-EC"/>
        </a:p>
      </dgm:t>
    </dgm:pt>
    <dgm:pt modelId="{149ADC44-B1E6-48C5-B317-14832635FAE3}" type="sibTrans" cxnId="{D1936FB5-A149-4DA7-9839-CE4ED250A29E}">
      <dgm:prSet/>
      <dgm:spPr/>
      <dgm:t>
        <a:bodyPr/>
        <a:lstStyle/>
        <a:p>
          <a:endParaRPr lang="es-EC"/>
        </a:p>
      </dgm:t>
    </dgm:pt>
    <dgm:pt modelId="{D12709AC-4AC6-4544-ABDC-2F81F2EB215F}">
      <dgm:prSet custT="1"/>
      <dgm:spPr>
        <a:solidFill>
          <a:schemeClr val="accent5">
            <a:lumMod val="20000"/>
            <a:lumOff val="80000"/>
            <a:alpha val="80000"/>
          </a:schemeClr>
        </a:solidFill>
        <a:ln w="19050">
          <a:solidFill>
            <a:schemeClr val="accent5">
              <a:lumMod val="75000"/>
            </a:schemeClr>
          </a:solidFill>
        </a:ln>
      </dgm:spPr>
      <dgm:t>
        <a:bodyPr/>
        <a:lstStyle/>
        <a:p>
          <a:r>
            <a:rPr lang="es-US" sz="900" b="1">
              <a:latin typeface="Calibri (Cuerpo)"/>
            </a:rPr>
            <a:t>Resultado 4 - </a:t>
          </a:r>
          <a:r>
            <a:rPr lang="es-ES_tradnl" sz="900" b="0">
              <a:latin typeface="Calibri (Cuerpo)"/>
            </a:rPr>
            <a:t>Incremento en la eficiencia productiva</a:t>
          </a:r>
          <a:endParaRPr lang="es-EC" sz="900">
            <a:latin typeface="Calibri (Cuerpo)"/>
          </a:endParaRPr>
        </a:p>
      </dgm:t>
    </dgm:pt>
    <dgm:pt modelId="{87EE772F-D381-4D1F-ADE7-7591DEC45E03}" type="parTrans" cxnId="{CE2DB731-3E88-4DBC-AAE6-0A79A6AF21A7}">
      <dgm:prSet/>
      <dgm:spPr/>
      <dgm:t>
        <a:bodyPr/>
        <a:lstStyle/>
        <a:p>
          <a:endParaRPr lang="es-EC"/>
        </a:p>
      </dgm:t>
    </dgm:pt>
    <dgm:pt modelId="{D0F66DB9-9BEB-48C5-BE11-9A3B9A35A348}" type="sibTrans" cxnId="{CE2DB731-3E88-4DBC-AAE6-0A79A6AF21A7}">
      <dgm:prSet/>
      <dgm:spPr/>
      <dgm:t>
        <a:bodyPr/>
        <a:lstStyle/>
        <a:p>
          <a:endParaRPr lang="es-EC"/>
        </a:p>
      </dgm:t>
    </dgm:pt>
    <dgm:pt modelId="{7B095EFC-7BDC-4590-890D-C24FF6646FC6}">
      <dgm:prSet phldrT="[Texto]"/>
      <dgm:spPr>
        <a:solidFill>
          <a:schemeClr val="accent5">
            <a:lumMod val="20000"/>
            <a:lumOff val="80000"/>
          </a:schemeClr>
        </a:solidFill>
        <a:ln w="15875">
          <a:solidFill>
            <a:schemeClr val="accent5">
              <a:lumMod val="75000"/>
              <a:alpha val="80000"/>
            </a:schemeClr>
          </a:solidFill>
        </a:ln>
      </dgm:spPr>
      <dgm:t>
        <a:bodyPr/>
        <a:lstStyle/>
        <a:p>
          <a:r>
            <a:rPr lang="es-US" b="1"/>
            <a:t>Resultado 3 -</a:t>
          </a:r>
          <a:r>
            <a:rPr lang="es-US"/>
            <a:t> </a:t>
          </a:r>
          <a:r>
            <a:rPr lang="es-ES_tradnl" b="0"/>
            <a:t>Aumento de la participación </a:t>
          </a:r>
          <a:r>
            <a:rPr lang="es-ES" b="0"/>
            <a:t>de las mujeres en consejos directivos de las EEPP </a:t>
          </a:r>
          <a:r>
            <a:rPr lang="es-US"/>
            <a:t>.</a:t>
          </a:r>
          <a:endParaRPr lang="es-EC"/>
        </a:p>
      </dgm:t>
    </dgm:pt>
    <dgm:pt modelId="{17360CFD-13FE-4394-932B-BD0D238D4F9B}" type="parTrans" cxnId="{4D0EBA81-83D6-4E9A-B4DA-B2227A619B2B}">
      <dgm:prSet/>
      <dgm:spPr/>
      <dgm:t>
        <a:bodyPr/>
        <a:lstStyle/>
        <a:p>
          <a:endParaRPr lang="es-EC"/>
        </a:p>
      </dgm:t>
    </dgm:pt>
    <dgm:pt modelId="{312D2283-39BD-4469-B5D6-9DA1B2CB715C}" type="sibTrans" cxnId="{4D0EBA81-83D6-4E9A-B4DA-B2227A619B2B}">
      <dgm:prSet/>
      <dgm:spPr/>
      <dgm:t>
        <a:bodyPr/>
        <a:lstStyle/>
        <a:p>
          <a:endParaRPr lang="es-EC"/>
        </a:p>
      </dgm:t>
    </dgm:pt>
    <dgm:pt modelId="{D5F5F125-B020-41F6-894D-C81236921D5F}">
      <dgm:prSet phldrT="[Texto]"/>
      <dgm:spPr>
        <a:solidFill>
          <a:schemeClr val="accent5">
            <a:lumMod val="20000"/>
            <a:lumOff val="80000"/>
          </a:schemeClr>
        </a:solidFill>
        <a:ln w="15875">
          <a:solidFill>
            <a:schemeClr val="accent5">
              <a:lumMod val="75000"/>
              <a:alpha val="80000"/>
            </a:schemeClr>
          </a:solidFill>
        </a:ln>
      </dgm:spPr>
      <dgm:t>
        <a:bodyPr/>
        <a:lstStyle/>
        <a:p>
          <a:r>
            <a:rPr lang="es-US" b="1"/>
            <a:t>Resultado 2 -</a:t>
          </a:r>
          <a:r>
            <a:rPr lang="es-US"/>
            <a:t> Aumento de % de EEPP con los Estados Financieros (EE.FF.) auditados al día</a:t>
          </a:r>
          <a:endParaRPr lang="es-EC"/>
        </a:p>
      </dgm:t>
    </dgm:pt>
    <dgm:pt modelId="{D601D1D6-69A7-41FF-9755-822090428649}" type="sibTrans" cxnId="{CA1D52D5-52C3-49F3-99EF-42F82A789590}">
      <dgm:prSet/>
      <dgm:spPr/>
      <dgm:t>
        <a:bodyPr/>
        <a:lstStyle/>
        <a:p>
          <a:endParaRPr lang="es-EC"/>
        </a:p>
      </dgm:t>
    </dgm:pt>
    <dgm:pt modelId="{4D64E2AF-241D-414D-9C32-446E35312CE8}" type="parTrans" cxnId="{CA1D52D5-52C3-49F3-99EF-42F82A789590}">
      <dgm:prSet/>
      <dgm:spPr/>
      <dgm:t>
        <a:bodyPr/>
        <a:lstStyle/>
        <a:p>
          <a:endParaRPr lang="es-EC"/>
        </a:p>
      </dgm:t>
    </dgm:pt>
    <dgm:pt modelId="{CD129F3E-8F8F-462A-BE21-A8AF13496AB8}">
      <dgm:prSet custT="1"/>
      <dgm:spPr>
        <a:solidFill>
          <a:schemeClr val="accent5">
            <a:lumMod val="60000"/>
            <a:lumOff val="40000"/>
          </a:schemeClr>
        </a:solidFill>
        <a:ln>
          <a:solidFill>
            <a:schemeClr val="accent5">
              <a:lumMod val="75000"/>
            </a:schemeClr>
          </a:solidFill>
        </a:ln>
      </dgm:spPr>
      <dgm:t>
        <a:bodyPr/>
        <a:lstStyle/>
        <a:p>
          <a:r>
            <a:rPr lang="es-US" sz="1200"/>
            <a:t>OB. Específico 2 – A</a:t>
          </a:r>
          <a:r>
            <a:rPr lang="es-ES" sz="1200"/>
            <a:t>umentar la eficiencia de las EEPP de los sectores de hidrocarburos, eléctrico y aeronáutico</a:t>
          </a:r>
          <a:r>
            <a:rPr lang="es-AR" sz="1200"/>
            <a:t>. </a:t>
          </a:r>
          <a:endParaRPr lang="es-EC" sz="1200"/>
        </a:p>
      </dgm:t>
    </dgm:pt>
    <dgm:pt modelId="{1DDD4077-2F97-4C1C-87D0-F798D3251BFB}" type="sibTrans" cxnId="{84F78AE2-3AAE-467E-8C78-FADFA54D7F87}">
      <dgm:prSet/>
      <dgm:spPr/>
      <dgm:t>
        <a:bodyPr/>
        <a:lstStyle/>
        <a:p>
          <a:endParaRPr lang="es-EC"/>
        </a:p>
      </dgm:t>
    </dgm:pt>
    <dgm:pt modelId="{B396B4CA-79B6-431B-87B4-7CEC113E9A76}" type="parTrans" cxnId="{84F78AE2-3AAE-467E-8C78-FADFA54D7F87}">
      <dgm:prSet/>
      <dgm:spPr/>
      <dgm:t>
        <a:bodyPr/>
        <a:lstStyle/>
        <a:p>
          <a:endParaRPr lang="es-EC"/>
        </a:p>
      </dgm:t>
    </dgm:pt>
    <dgm:pt modelId="{D3349E95-B214-4FEC-A4B3-C0B4D8193D4A}">
      <dgm:prSet phldrT="[Texto]"/>
      <dgm:spPr>
        <a:ln w="12700">
          <a:solidFill>
            <a:schemeClr val="accent5">
              <a:lumMod val="75000"/>
              <a:alpha val="80000"/>
            </a:schemeClr>
          </a:solidFill>
        </a:ln>
      </dgm:spPr>
      <dgm:t>
        <a:bodyPr/>
        <a:lstStyle/>
        <a:p>
          <a:r>
            <a:rPr lang="es-ES_tradnl" b="1"/>
            <a:t>P 2.2. </a:t>
          </a:r>
          <a:r>
            <a:rPr lang="es-ES_tradnl"/>
            <a:t>Informe con la optimización del funcionamiento de Corporación Eléctrica del Ecuador (CELEC), Corporación Nacional de Electricidad (CNEL) elaborado.</a:t>
          </a:r>
          <a:endParaRPr lang="es-EC">
            <a:solidFill>
              <a:srgbClr val="FF0000"/>
            </a:solidFill>
          </a:endParaRPr>
        </a:p>
      </dgm:t>
    </dgm:pt>
    <dgm:pt modelId="{5FC5B03C-8716-4DD4-91A7-E2DC9A6BAB1D}" type="sibTrans" cxnId="{1B99470D-923D-4B4B-BB39-9E8346B72F7D}">
      <dgm:prSet/>
      <dgm:spPr/>
      <dgm:t>
        <a:bodyPr/>
        <a:lstStyle/>
        <a:p>
          <a:endParaRPr lang="es-EC"/>
        </a:p>
      </dgm:t>
    </dgm:pt>
    <dgm:pt modelId="{DB477215-391D-4EDC-95D9-8E03EF0886B5}" type="parTrans" cxnId="{1B99470D-923D-4B4B-BB39-9E8346B72F7D}">
      <dgm:prSet/>
      <dgm:spPr/>
      <dgm:t>
        <a:bodyPr/>
        <a:lstStyle/>
        <a:p>
          <a:endParaRPr lang="es-EC"/>
        </a:p>
      </dgm:t>
    </dgm:pt>
    <dgm:pt modelId="{253FD71B-CF34-4771-A4DE-D1285D417690}">
      <dgm:prSet phldrT="[Texto]"/>
      <dgm:spPr>
        <a:ln w="12700">
          <a:solidFill>
            <a:schemeClr val="accent5">
              <a:lumMod val="75000"/>
              <a:alpha val="80000"/>
            </a:schemeClr>
          </a:solidFill>
        </a:ln>
      </dgm:spPr>
      <dgm:t>
        <a:bodyPr/>
        <a:lstStyle/>
        <a:p>
          <a:r>
            <a:rPr lang="es-ES" b="1"/>
            <a:t>P 2.4. </a:t>
          </a:r>
          <a:r>
            <a:rPr lang="es-EC"/>
            <a:t>Desvinculaciones desembolsadas de  Petroamazonas, Petroecuador, CNEL, CELEC TAME y EMCO</a:t>
          </a:r>
          <a:endParaRPr lang="es-EC" b="0">
            <a:solidFill>
              <a:sysClr val="windowText" lastClr="000000"/>
            </a:solidFill>
          </a:endParaRPr>
        </a:p>
      </dgm:t>
    </dgm:pt>
    <dgm:pt modelId="{C7626B19-8965-4461-B6CB-B42B024838C6}" type="sibTrans" cxnId="{07A1FC7C-10CF-46FE-ABBD-59EDF04BE817}">
      <dgm:prSet/>
      <dgm:spPr/>
      <dgm:t>
        <a:bodyPr/>
        <a:lstStyle/>
        <a:p>
          <a:endParaRPr lang="es-EC"/>
        </a:p>
      </dgm:t>
    </dgm:pt>
    <dgm:pt modelId="{86777F29-8CCA-4565-B79C-D48C1180EA9C}" type="parTrans" cxnId="{07A1FC7C-10CF-46FE-ABBD-59EDF04BE817}">
      <dgm:prSet/>
      <dgm:spPr/>
      <dgm:t>
        <a:bodyPr/>
        <a:lstStyle/>
        <a:p>
          <a:endParaRPr lang="es-EC"/>
        </a:p>
      </dgm:t>
    </dgm:pt>
    <dgm:pt modelId="{D1C9774B-441C-4905-B1B0-2BA7EC5E41E2}">
      <dgm:prSet phldrT="[Texto]"/>
      <dgm:spPr>
        <a:ln w="12700">
          <a:solidFill>
            <a:schemeClr val="accent5">
              <a:lumMod val="75000"/>
              <a:alpha val="80000"/>
            </a:schemeClr>
          </a:solidFill>
        </a:ln>
      </dgm:spPr>
      <dgm:t>
        <a:bodyPr/>
        <a:lstStyle/>
        <a:p>
          <a:r>
            <a:rPr lang="es-ES" b="1"/>
            <a:t>P 2.5</a:t>
          </a:r>
          <a:r>
            <a:rPr lang="es-ES"/>
            <a:t> </a:t>
          </a:r>
          <a:r>
            <a:rPr lang="es-EC"/>
            <a:t>Estrategia de comunicación (pública e interna) que facilite la comprensión de los objetivos de la reforma y las beneficios para el ciudadano implementada</a:t>
          </a:r>
        </a:p>
      </dgm:t>
    </dgm:pt>
    <dgm:pt modelId="{F5CBC8BB-B724-452E-9D1D-7F7A39505CF3}" type="sibTrans" cxnId="{04E23F05-4C9A-47CE-BFF0-8A3A0474DA25}">
      <dgm:prSet/>
      <dgm:spPr/>
      <dgm:t>
        <a:bodyPr/>
        <a:lstStyle/>
        <a:p>
          <a:endParaRPr lang="es-EC"/>
        </a:p>
      </dgm:t>
    </dgm:pt>
    <dgm:pt modelId="{887C5635-E928-45BE-9749-616B69F7A4B9}" type="parTrans" cxnId="{04E23F05-4C9A-47CE-BFF0-8A3A0474DA25}">
      <dgm:prSet/>
      <dgm:spPr/>
      <dgm:t>
        <a:bodyPr/>
        <a:lstStyle/>
        <a:p>
          <a:endParaRPr lang="es-EC"/>
        </a:p>
      </dgm:t>
    </dgm:pt>
    <dgm:pt modelId="{CA158003-6E66-454C-A164-A2BF1891E679}">
      <dgm:prSet phldrT="[Texto]"/>
      <dgm:spPr>
        <a:ln w="12700">
          <a:solidFill>
            <a:schemeClr val="accent5">
              <a:lumMod val="75000"/>
              <a:alpha val="80000"/>
            </a:schemeClr>
          </a:solidFill>
        </a:ln>
      </dgm:spPr>
      <dgm:t>
        <a:bodyPr/>
        <a:lstStyle/>
        <a:p>
          <a:r>
            <a:rPr lang="es-ES" b="1"/>
            <a:t>P 2.1.1. </a:t>
          </a:r>
          <a:r>
            <a:rPr lang="es-EC"/>
            <a:t>	Informe con la eEstrategia de fusión de Petroamazonas y Petroecuador, incluyendo definición de gobernanza corporativa y régimen fiscal diseñadoa </a:t>
          </a:r>
        </a:p>
        <a:p>
          <a:r>
            <a:rPr lang="es-ES_tradnl" b="1"/>
            <a:t>P 2.1.2. </a:t>
          </a:r>
          <a:r>
            <a:rPr lang="es-ES_tradnl"/>
            <a:t>Hitos de fusión de Petroamazonas y Petroecuador, implementados</a:t>
          </a:r>
          <a:endParaRPr lang="es-EC"/>
        </a:p>
      </dgm:t>
    </dgm:pt>
    <dgm:pt modelId="{B9854DA6-DBF9-4C4B-85D3-9C76E6B8A086}" type="sibTrans" cxnId="{179DB698-76FA-465B-AF08-E0DDD9156EBE}">
      <dgm:prSet/>
      <dgm:spPr/>
      <dgm:t>
        <a:bodyPr/>
        <a:lstStyle/>
        <a:p>
          <a:endParaRPr lang="es-EC"/>
        </a:p>
      </dgm:t>
    </dgm:pt>
    <dgm:pt modelId="{B560776F-3250-4C7B-8DE5-4F9ED000F167}" type="parTrans" cxnId="{179DB698-76FA-465B-AF08-E0DDD9156EBE}">
      <dgm:prSet/>
      <dgm:spPr/>
      <dgm:t>
        <a:bodyPr/>
        <a:lstStyle/>
        <a:p>
          <a:endParaRPr lang="es-EC"/>
        </a:p>
      </dgm:t>
    </dgm:pt>
    <dgm:pt modelId="{91EACC9D-4B2E-4B46-B510-EE33C83B633F}" type="pres">
      <dgm:prSet presAssocID="{064A1B8F-48F3-454E-A591-C9ED8FF6729C}" presName="Name0" presStyleCnt="0">
        <dgm:presLayoutVars>
          <dgm:chPref val="1"/>
          <dgm:dir/>
          <dgm:animOne val="branch"/>
          <dgm:animLvl val="lvl"/>
          <dgm:resizeHandles/>
        </dgm:presLayoutVars>
      </dgm:prSet>
      <dgm:spPr/>
    </dgm:pt>
    <dgm:pt modelId="{E917EE86-FFE5-4A35-924D-E9C55EC84C5C}" type="pres">
      <dgm:prSet presAssocID="{66049B45-5BA3-4527-B8D9-9815595F897A}" presName="vertOne" presStyleCnt="0"/>
      <dgm:spPr/>
    </dgm:pt>
    <dgm:pt modelId="{B4663EA4-3593-4863-882E-C5E051963A82}" type="pres">
      <dgm:prSet presAssocID="{66049B45-5BA3-4527-B8D9-9815595F897A}" presName="txOne" presStyleLbl="node0" presStyleIdx="0" presStyleCnt="1">
        <dgm:presLayoutVars>
          <dgm:chPref val="3"/>
        </dgm:presLayoutVars>
      </dgm:prSet>
      <dgm:spPr/>
    </dgm:pt>
    <dgm:pt modelId="{6C395442-39FB-4307-AAD0-003AB2CD27FA}" type="pres">
      <dgm:prSet presAssocID="{66049B45-5BA3-4527-B8D9-9815595F897A}" presName="parTransOne" presStyleCnt="0"/>
      <dgm:spPr/>
    </dgm:pt>
    <dgm:pt modelId="{AB061B56-2879-4DA7-9851-59695451541E}" type="pres">
      <dgm:prSet presAssocID="{66049B45-5BA3-4527-B8D9-9815595F897A}" presName="horzOne" presStyleCnt="0"/>
      <dgm:spPr/>
    </dgm:pt>
    <dgm:pt modelId="{2FD9A8D9-E470-4E65-869D-010394153069}" type="pres">
      <dgm:prSet presAssocID="{E6F6689E-723B-42DD-AFD8-A265DBE10AEA}" presName="vertTwo" presStyleCnt="0"/>
      <dgm:spPr/>
    </dgm:pt>
    <dgm:pt modelId="{38D560AE-A1DB-40D8-88FA-1F634FDF291B}" type="pres">
      <dgm:prSet presAssocID="{E6F6689E-723B-42DD-AFD8-A265DBE10AEA}" presName="txTwo" presStyleLbl="node2" presStyleIdx="0" presStyleCnt="2">
        <dgm:presLayoutVars>
          <dgm:chPref val="3"/>
        </dgm:presLayoutVars>
      </dgm:prSet>
      <dgm:spPr/>
    </dgm:pt>
    <dgm:pt modelId="{50C32DEE-1E4D-46AC-8682-1C8B512B805F}" type="pres">
      <dgm:prSet presAssocID="{E6F6689E-723B-42DD-AFD8-A265DBE10AEA}" presName="parTransTwo" presStyleCnt="0"/>
      <dgm:spPr/>
    </dgm:pt>
    <dgm:pt modelId="{54A1801C-A248-4C88-8128-54D3CE1FDF8E}" type="pres">
      <dgm:prSet presAssocID="{E6F6689E-723B-42DD-AFD8-A265DBE10AEA}" presName="horzTwo" presStyleCnt="0"/>
      <dgm:spPr/>
    </dgm:pt>
    <dgm:pt modelId="{5428780A-D323-452C-BC75-9550D9A2364B}" type="pres">
      <dgm:prSet presAssocID="{72DF2DF2-B382-45AB-86A7-543A7D911E7D}" presName="vertThree" presStyleCnt="0"/>
      <dgm:spPr/>
    </dgm:pt>
    <dgm:pt modelId="{2EA5EA92-EEA2-439F-AF92-A7A98E779A59}" type="pres">
      <dgm:prSet presAssocID="{72DF2DF2-B382-45AB-86A7-543A7D911E7D}" presName="txThree" presStyleLbl="node3" presStyleIdx="0" presStyleCnt="4">
        <dgm:presLayoutVars>
          <dgm:chPref val="3"/>
        </dgm:presLayoutVars>
      </dgm:prSet>
      <dgm:spPr/>
    </dgm:pt>
    <dgm:pt modelId="{7FB57202-2400-4E33-91E1-74A9D02125B2}" type="pres">
      <dgm:prSet presAssocID="{72DF2DF2-B382-45AB-86A7-543A7D911E7D}" presName="horzThree" presStyleCnt="0"/>
      <dgm:spPr/>
    </dgm:pt>
    <dgm:pt modelId="{C6A0B5C7-1E5D-4EE3-B22C-BD9E7C513121}" type="pres">
      <dgm:prSet presAssocID="{149ADC44-B1E6-48C5-B317-14832635FAE3}" presName="sibSpaceThree" presStyleCnt="0"/>
      <dgm:spPr/>
    </dgm:pt>
    <dgm:pt modelId="{1549EB16-68F0-4EA6-B691-59EAC9436BBE}" type="pres">
      <dgm:prSet presAssocID="{D5F5F125-B020-41F6-894D-C81236921D5F}" presName="vertThree" presStyleCnt="0"/>
      <dgm:spPr/>
    </dgm:pt>
    <dgm:pt modelId="{281B26FC-5101-4897-AB81-0D512C68E838}" type="pres">
      <dgm:prSet presAssocID="{D5F5F125-B020-41F6-894D-C81236921D5F}" presName="txThree" presStyleLbl="node3" presStyleIdx="1" presStyleCnt="4">
        <dgm:presLayoutVars>
          <dgm:chPref val="3"/>
        </dgm:presLayoutVars>
      </dgm:prSet>
      <dgm:spPr/>
    </dgm:pt>
    <dgm:pt modelId="{4BFB3DDE-C202-42D8-BA28-4B873DD5D03D}" type="pres">
      <dgm:prSet presAssocID="{D5F5F125-B020-41F6-894D-C81236921D5F}" presName="horzThree" presStyleCnt="0"/>
      <dgm:spPr/>
    </dgm:pt>
    <dgm:pt modelId="{52D84319-1F50-440C-BD1F-016C99093B7A}" type="pres">
      <dgm:prSet presAssocID="{D601D1D6-69A7-41FF-9755-822090428649}" presName="sibSpaceThree" presStyleCnt="0"/>
      <dgm:spPr/>
    </dgm:pt>
    <dgm:pt modelId="{898FA1E0-F9D2-415F-A3F5-EAF28AEA5E17}" type="pres">
      <dgm:prSet presAssocID="{7B095EFC-7BDC-4590-890D-C24FF6646FC6}" presName="vertThree" presStyleCnt="0"/>
      <dgm:spPr/>
    </dgm:pt>
    <dgm:pt modelId="{ECA4E3EA-AF2F-4DFA-9B74-1EED75F0EBEB}" type="pres">
      <dgm:prSet presAssocID="{7B095EFC-7BDC-4590-890D-C24FF6646FC6}" presName="txThree" presStyleLbl="node3" presStyleIdx="2" presStyleCnt="4">
        <dgm:presLayoutVars>
          <dgm:chPref val="3"/>
        </dgm:presLayoutVars>
      </dgm:prSet>
      <dgm:spPr/>
    </dgm:pt>
    <dgm:pt modelId="{8D05B62D-8DAF-417B-A00B-38BDA7F88335}" type="pres">
      <dgm:prSet presAssocID="{7B095EFC-7BDC-4590-890D-C24FF6646FC6}" presName="horzThree" presStyleCnt="0"/>
      <dgm:spPr/>
    </dgm:pt>
    <dgm:pt modelId="{B931D4D7-0619-4D9B-A236-885DCB0AD80A}" type="pres">
      <dgm:prSet presAssocID="{71B7C05C-CAD0-4859-9BFC-495EB4819331}" presName="sibSpaceTwo" presStyleCnt="0"/>
      <dgm:spPr/>
    </dgm:pt>
    <dgm:pt modelId="{82313424-7DB0-48CA-BD74-CD69ADABF039}" type="pres">
      <dgm:prSet presAssocID="{CD129F3E-8F8F-462A-BE21-A8AF13496AB8}" presName="vertTwo" presStyleCnt="0"/>
      <dgm:spPr/>
    </dgm:pt>
    <dgm:pt modelId="{71604C4B-633A-4162-8762-A058AB881B5E}" type="pres">
      <dgm:prSet presAssocID="{CD129F3E-8F8F-462A-BE21-A8AF13496AB8}" presName="txTwo" presStyleLbl="node2" presStyleIdx="1" presStyleCnt="2">
        <dgm:presLayoutVars>
          <dgm:chPref val="3"/>
        </dgm:presLayoutVars>
      </dgm:prSet>
      <dgm:spPr/>
    </dgm:pt>
    <dgm:pt modelId="{A2935232-45A5-47D0-8CFD-62A4B1A3EA16}" type="pres">
      <dgm:prSet presAssocID="{CD129F3E-8F8F-462A-BE21-A8AF13496AB8}" presName="parTransTwo" presStyleCnt="0"/>
      <dgm:spPr/>
    </dgm:pt>
    <dgm:pt modelId="{817E5254-4410-40A0-B3E0-54763951ECEE}" type="pres">
      <dgm:prSet presAssocID="{CD129F3E-8F8F-462A-BE21-A8AF13496AB8}" presName="horzTwo" presStyleCnt="0"/>
      <dgm:spPr/>
    </dgm:pt>
    <dgm:pt modelId="{C6B0AD83-110F-4702-AE47-9B1F8B218245}" type="pres">
      <dgm:prSet presAssocID="{D12709AC-4AC6-4544-ABDC-2F81F2EB215F}" presName="vertThree" presStyleCnt="0"/>
      <dgm:spPr/>
    </dgm:pt>
    <dgm:pt modelId="{23E1DA09-1B57-4756-B93D-9DFA99912530}" type="pres">
      <dgm:prSet presAssocID="{D12709AC-4AC6-4544-ABDC-2F81F2EB215F}" presName="txThree" presStyleLbl="node3" presStyleIdx="3" presStyleCnt="4">
        <dgm:presLayoutVars>
          <dgm:chPref val="3"/>
        </dgm:presLayoutVars>
      </dgm:prSet>
      <dgm:spPr/>
    </dgm:pt>
    <dgm:pt modelId="{843D7AF8-57C3-4EFB-9BFE-8467665A006D}" type="pres">
      <dgm:prSet presAssocID="{D12709AC-4AC6-4544-ABDC-2F81F2EB215F}" presName="parTransThree" presStyleCnt="0"/>
      <dgm:spPr/>
    </dgm:pt>
    <dgm:pt modelId="{A443AB28-1BE6-4472-AD59-078410703BE4}" type="pres">
      <dgm:prSet presAssocID="{D12709AC-4AC6-4544-ABDC-2F81F2EB215F}" presName="horzThree" presStyleCnt="0"/>
      <dgm:spPr/>
    </dgm:pt>
    <dgm:pt modelId="{C41AC1A5-77FD-4407-9725-AB01B7F5EA64}" type="pres">
      <dgm:prSet presAssocID="{CA158003-6E66-454C-A164-A2BF1891E679}" presName="vertFour" presStyleCnt="0">
        <dgm:presLayoutVars>
          <dgm:chPref val="3"/>
        </dgm:presLayoutVars>
      </dgm:prSet>
      <dgm:spPr/>
    </dgm:pt>
    <dgm:pt modelId="{779CF814-30C6-4F20-A566-FA8598DCB52E}" type="pres">
      <dgm:prSet presAssocID="{CA158003-6E66-454C-A164-A2BF1891E679}" presName="txFour" presStyleLbl="node4" presStyleIdx="0" presStyleCnt="4">
        <dgm:presLayoutVars>
          <dgm:chPref val="3"/>
        </dgm:presLayoutVars>
      </dgm:prSet>
      <dgm:spPr/>
    </dgm:pt>
    <dgm:pt modelId="{DDB8C706-7EDB-4DCA-A03C-7B64FF038797}" type="pres">
      <dgm:prSet presAssocID="{CA158003-6E66-454C-A164-A2BF1891E679}" presName="parTransFour" presStyleCnt="0"/>
      <dgm:spPr/>
    </dgm:pt>
    <dgm:pt modelId="{40950C29-423B-4A9F-B7DE-A0D5210A4186}" type="pres">
      <dgm:prSet presAssocID="{CA158003-6E66-454C-A164-A2BF1891E679}" presName="horzFour" presStyleCnt="0"/>
      <dgm:spPr/>
    </dgm:pt>
    <dgm:pt modelId="{76FBD00B-4B20-4E14-A22B-9D1A7536E1EA}" type="pres">
      <dgm:prSet presAssocID="{D3349E95-B214-4FEC-A4B3-C0B4D8193D4A}" presName="vertFour" presStyleCnt="0">
        <dgm:presLayoutVars>
          <dgm:chPref val="3"/>
        </dgm:presLayoutVars>
      </dgm:prSet>
      <dgm:spPr/>
    </dgm:pt>
    <dgm:pt modelId="{5D22B41E-2025-40C6-83B3-319C2644416E}" type="pres">
      <dgm:prSet presAssocID="{D3349E95-B214-4FEC-A4B3-C0B4D8193D4A}" presName="txFour" presStyleLbl="node4" presStyleIdx="1" presStyleCnt="4">
        <dgm:presLayoutVars>
          <dgm:chPref val="3"/>
        </dgm:presLayoutVars>
      </dgm:prSet>
      <dgm:spPr/>
    </dgm:pt>
    <dgm:pt modelId="{1A153A83-04AE-402B-9E0B-97F59B8C3F3B}" type="pres">
      <dgm:prSet presAssocID="{D3349E95-B214-4FEC-A4B3-C0B4D8193D4A}" presName="horzFour" presStyleCnt="0"/>
      <dgm:spPr/>
    </dgm:pt>
    <dgm:pt modelId="{E6010A2F-8676-4EC6-84DE-F8C80C7EC7B4}" type="pres">
      <dgm:prSet presAssocID="{B9854DA6-DBF9-4C4B-85D3-9C76E6B8A086}" presName="sibSpaceFour" presStyleCnt="0"/>
      <dgm:spPr/>
    </dgm:pt>
    <dgm:pt modelId="{240BF849-F4B2-4978-8BEC-F44B6CA268C6}" type="pres">
      <dgm:prSet presAssocID="{253FD71B-CF34-4771-A4DE-D1285D417690}" presName="vertFour" presStyleCnt="0">
        <dgm:presLayoutVars>
          <dgm:chPref val="3"/>
        </dgm:presLayoutVars>
      </dgm:prSet>
      <dgm:spPr/>
    </dgm:pt>
    <dgm:pt modelId="{F3E06C29-B081-4166-B08A-3A5BDF15B332}" type="pres">
      <dgm:prSet presAssocID="{253FD71B-CF34-4771-A4DE-D1285D417690}" presName="txFour" presStyleLbl="node4" presStyleIdx="2" presStyleCnt="4">
        <dgm:presLayoutVars>
          <dgm:chPref val="3"/>
        </dgm:presLayoutVars>
      </dgm:prSet>
      <dgm:spPr/>
    </dgm:pt>
    <dgm:pt modelId="{2D08E557-B762-49F8-82A7-1D2292E2C798}" type="pres">
      <dgm:prSet presAssocID="{253FD71B-CF34-4771-A4DE-D1285D417690}" presName="parTransFour" presStyleCnt="0"/>
      <dgm:spPr/>
    </dgm:pt>
    <dgm:pt modelId="{AF3DA15A-3B3B-4222-A32B-32632F0E80B2}" type="pres">
      <dgm:prSet presAssocID="{253FD71B-CF34-4771-A4DE-D1285D417690}" presName="horzFour" presStyleCnt="0"/>
      <dgm:spPr/>
    </dgm:pt>
    <dgm:pt modelId="{14B8DA6F-FAA4-40CB-8A06-C67B01C6E051}" type="pres">
      <dgm:prSet presAssocID="{D1C9774B-441C-4905-B1B0-2BA7EC5E41E2}" presName="vertFour" presStyleCnt="0">
        <dgm:presLayoutVars>
          <dgm:chPref val="3"/>
        </dgm:presLayoutVars>
      </dgm:prSet>
      <dgm:spPr/>
    </dgm:pt>
    <dgm:pt modelId="{ABB89457-AF11-48D2-9478-30282CCC3786}" type="pres">
      <dgm:prSet presAssocID="{D1C9774B-441C-4905-B1B0-2BA7EC5E41E2}" presName="txFour" presStyleLbl="node4" presStyleIdx="3" presStyleCnt="4" custLinFactNeighborX="1098" custLinFactNeighborY="1283">
        <dgm:presLayoutVars>
          <dgm:chPref val="3"/>
        </dgm:presLayoutVars>
      </dgm:prSet>
      <dgm:spPr/>
    </dgm:pt>
    <dgm:pt modelId="{586EB93B-01AC-4899-A9E4-34836EFA6FDB}" type="pres">
      <dgm:prSet presAssocID="{D1C9774B-441C-4905-B1B0-2BA7EC5E41E2}" presName="horzFour" presStyleCnt="0"/>
      <dgm:spPr/>
    </dgm:pt>
  </dgm:ptLst>
  <dgm:cxnLst>
    <dgm:cxn modelId="{04E23F05-4C9A-47CE-BFF0-8A3A0474DA25}" srcId="{253FD71B-CF34-4771-A4DE-D1285D417690}" destId="{D1C9774B-441C-4905-B1B0-2BA7EC5E41E2}" srcOrd="0" destOrd="0" parTransId="{887C5635-E928-45BE-9749-616B69F7A4B9}" sibTransId="{F5CBC8BB-B724-452E-9D1D-7F7A39505CF3}"/>
    <dgm:cxn modelId="{1B99470D-923D-4B4B-BB39-9E8346B72F7D}" srcId="{CA158003-6E66-454C-A164-A2BF1891E679}" destId="{D3349E95-B214-4FEC-A4B3-C0B4D8193D4A}" srcOrd="0" destOrd="0" parTransId="{DB477215-391D-4EDC-95D9-8E03EF0886B5}" sibTransId="{5FC5B03C-8716-4DD4-91A7-E2DC9A6BAB1D}"/>
    <dgm:cxn modelId="{91324116-C1E4-4F3D-AB10-8ADD6927647D}" type="presOf" srcId="{D3349E95-B214-4FEC-A4B3-C0B4D8193D4A}" destId="{5D22B41E-2025-40C6-83B3-319C2644416E}" srcOrd="0" destOrd="0" presId="urn:microsoft.com/office/officeart/2005/8/layout/hierarchy4"/>
    <dgm:cxn modelId="{F8A73525-8FEC-4441-9F46-149EB11AE66A}" type="presOf" srcId="{D5F5F125-B020-41F6-894D-C81236921D5F}" destId="{281B26FC-5101-4897-AB81-0D512C68E838}" srcOrd="0" destOrd="0" presId="urn:microsoft.com/office/officeart/2005/8/layout/hierarchy4"/>
    <dgm:cxn modelId="{CE2DB731-3E88-4DBC-AAE6-0A79A6AF21A7}" srcId="{CD129F3E-8F8F-462A-BE21-A8AF13496AB8}" destId="{D12709AC-4AC6-4544-ABDC-2F81F2EB215F}" srcOrd="0" destOrd="0" parTransId="{87EE772F-D381-4D1F-ADE7-7591DEC45E03}" sibTransId="{D0F66DB9-9BEB-48C5-BE11-9A3B9A35A348}"/>
    <dgm:cxn modelId="{D6585632-D6BD-4E26-B2EC-89A7C71B9155}" type="presOf" srcId="{66049B45-5BA3-4527-B8D9-9815595F897A}" destId="{B4663EA4-3593-4863-882E-C5E051963A82}" srcOrd="0" destOrd="0" presId="urn:microsoft.com/office/officeart/2005/8/layout/hierarchy4"/>
    <dgm:cxn modelId="{6A196836-3780-4758-9A2A-21F6332359FE}" type="presOf" srcId="{253FD71B-CF34-4771-A4DE-D1285D417690}" destId="{F3E06C29-B081-4166-B08A-3A5BDF15B332}" srcOrd="0" destOrd="0" presId="urn:microsoft.com/office/officeart/2005/8/layout/hierarchy4"/>
    <dgm:cxn modelId="{CF81204A-45C4-4210-B13F-8944D2DEDD7B}" type="presOf" srcId="{CA158003-6E66-454C-A164-A2BF1891E679}" destId="{779CF814-30C6-4F20-A566-FA8598DCB52E}" srcOrd="0" destOrd="0" presId="urn:microsoft.com/office/officeart/2005/8/layout/hierarchy4"/>
    <dgm:cxn modelId="{7776EB57-F47D-4F51-8262-DE47BF530BD5}" type="presOf" srcId="{7B095EFC-7BDC-4590-890D-C24FF6646FC6}" destId="{ECA4E3EA-AF2F-4DFA-9B74-1EED75F0EBEB}" srcOrd="0" destOrd="0" presId="urn:microsoft.com/office/officeart/2005/8/layout/hierarchy4"/>
    <dgm:cxn modelId="{07A1FC7C-10CF-46FE-ABBD-59EDF04BE817}" srcId="{D12709AC-4AC6-4544-ABDC-2F81F2EB215F}" destId="{253FD71B-CF34-4771-A4DE-D1285D417690}" srcOrd="1" destOrd="0" parTransId="{86777F29-8CCA-4565-B79C-D48C1180EA9C}" sibTransId="{C7626B19-8965-4461-B6CB-B42B024838C6}"/>
    <dgm:cxn modelId="{4D0EBA81-83D6-4E9A-B4DA-B2227A619B2B}" srcId="{E6F6689E-723B-42DD-AFD8-A265DBE10AEA}" destId="{7B095EFC-7BDC-4590-890D-C24FF6646FC6}" srcOrd="2" destOrd="0" parTransId="{17360CFD-13FE-4394-932B-BD0D238D4F9B}" sibTransId="{312D2283-39BD-4469-B5D6-9DA1B2CB715C}"/>
    <dgm:cxn modelId="{4D07BA8F-9FB7-4394-9B64-C93B8838C845}" srcId="{66049B45-5BA3-4527-B8D9-9815595F897A}" destId="{E6F6689E-723B-42DD-AFD8-A265DBE10AEA}" srcOrd="0" destOrd="0" parTransId="{C508F84D-E819-462E-9CBD-53C0D35CAB21}" sibTransId="{71B7C05C-CAD0-4859-9BFC-495EB4819331}"/>
    <dgm:cxn modelId="{179DB698-76FA-465B-AF08-E0DDD9156EBE}" srcId="{D12709AC-4AC6-4544-ABDC-2F81F2EB215F}" destId="{CA158003-6E66-454C-A164-A2BF1891E679}" srcOrd="0" destOrd="0" parTransId="{B560776F-3250-4C7B-8DE5-4F9ED000F167}" sibTransId="{B9854DA6-DBF9-4C4B-85D3-9C76E6B8A086}"/>
    <dgm:cxn modelId="{AD65989A-5DC4-487D-ACD5-F537ABE36F24}" type="presOf" srcId="{064A1B8F-48F3-454E-A591-C9ED8FF6729C}" destId="{91EACC9D-4B2E-4B46-B510-EE33C83B633F}" srcOrd="0" destOrd="0" presId="urn:microsoft.com/office/officeart/2005/8/layout/hierarchy4"/>
    <dgm:cxn modelId="{D1936FB5-A149-4DA7-9839-CE4ED250A29E}" srcId="{E6F6689E-723B-42DD-AFD8-A265DBE10AEA}" destId="{72DF2DF2-B382-45AB-86A7-543A7D911E7D}" srcOrd="0" destOrd="0" parTransId="{6E4A70D9-7527-476A-80F0-2B1488F5A0B7}" sibTransId="{149ADC44-B1E6-48C5-B317-14832635FAE3}"/>
    <dgm:cxn modelId="{2B455CB6-0187-4975-A794-853344A6AA89}" type="presOf" srcId="{72DF2DF2-B382-45AB-86A7-543A7D911E7D}" destId="{2EA5EA92-EEA2-439F-AF92-A7A98E779A59}" srcOrd="0" destOrd="0" presId="urn:microsoft.com/office/officeart/2005/8/layout/hierarchy4"/>
    <dgm:cxn modelId="{CF5DE7D3-0CD6-4266-A29A-48C7E907928B}" type="presOf" srcId="{E6F6689E-723B-42DD-AFD8-A265DBE10AEA}" destId="{38D560AE-A1DB-40D8-88FA-1F634FDF291B}" srcOrd="0" destOrd="0" presId="urn:microsoft.com/office/officeart/2005/8/layout/hierarchy4"/>
    <dgm:cxn modelId="{AC3F3DD5-A514-4480-A8F0-04E4D9B5989F}" type="presOf" srcId="{D12709AC-4AC6-4544-ABDC-2F81F2EB215F}" destId="{23E1DA09-1B57-4756-B93D-9DFA99912530}" srcOrd="0" destOrd="0" presId="urn:microsoft.com/office/officeart/2005/8/layout/hierarchy4"/>
    <dgm:cxn modelId="{CA1D52D5-52C3-49F3-99EF-42F82A789590}" srcId="{E6F6689E-723B-42DD-AFD8-A265DBE10AEA}" destId="{D5F5F125-B020-41F6-894D-C81236921D5F}" srcOrd="1" destOrd="0" parTransId="{4D64E2AF-241D-414D-9C32-446E35312CE8}" sibTransId="{D601D1D6-69A7-41FF-9755-822090428649}"/>
    <dgm:cxn modelId="{1858BDDA-98D8-4682-99CA-640C25FFAA8A}" srcId="{064A1B8F-48F3-454E-A591-C9ED8FF6729C}" destId="{66049B45-5BA3-4527-B8D9-9815595F897A}" srcOrd="0" destOrd="0" parTransId="{61AD2633-CC68-41A2-8446-0DDB6DD766AB}" sibTransId="{EDEB5037-8840-4906-89B0-0DED7BE84A90}"/>
    <dgm:cxn modelId="{84F78AE2-3AAE-467E-8C78-FADFA54D7F87}" srcId="{66049B45-5BA3-4527-B8D9-9815595F897A}" destId="{CD129F3E-8F8F-462A-BE21-A8AF13496AB8}" srcOrd="1" destOrd="0" parTransId="{B396B4CA-79B6-431B-87B4-7CEC113E9A76}" sibTransId="{1DDD4077-2F97-4C1C-87D0-F798D3251BFB}"/>
    <dgm:cxn modelId="{3E6B60FD-691C-4087-B094-FBCF39CB96AB}" type="presOf" srcId="{D1C9774B-441C-4905-B1B0-2BA7EC5E41E2}" destId="{ABB89457-AF11-48D2-9478-30282CCC3786}" srcOrd="0" destOrd="0" presId="urn:microsoft.com/office/officeart/2005/8/layout/hierarchy4"/>
    <dgm:cxn modelId="{DDD19EFE-4335-436D-9EE8-DEB881FC2837}" type="presOf" srcId="{CD129F3E-8F8F-462A-BE21-A8AF13496AB8}" destId="{71604C4B-633A-4162-8762-A058AB881B5E}" srcOrd="0" destOrd="0" presId="urn:microsoft.com/office/officeart/2005/8/layout/hierarchy4"/>
    <dgm:cxn modelId="{02FCB172-7B82-4CFF-B420-3E1A79A76604}" type="presParOf" srcId="{91EACC9D-4B2E-4B46-B510-EE33C83B633F}" destId="{E917EE86-FFE5-4A35-924D-E9C55EC84C5C}" srcOrd="0" destOrd="0" presId="urn:microsoft.com/office/officeart/2005/8/layout/hierarchy4"/>
    <dgm:cxn modelId="{7A622484-22F0-4071-8E6F-265D0E049C16}" type="presParOf" srcId="{E917EE86-FFE5-4A35-924D-E9C55EC84C5C}" destId="{B4663EA4-3593-4863-882E-C5E051963A82}" srcOrd="0" destOrd="0" presId="urn:microsoft.com/office/officeart/2005/8/layout/hierarchy4"/>
    <dgm:cxn modelId="{D295E7FA-C6B3-4FFD-92FD-D73E1C025625}" type="presParOf" srcId="{E917EE86-FFE5-4A35-924D-E9C55EC84C5C}" destId="{6C395442-39FB-4307-AAD0-003AB2CD27FA}" srcOrd="1" destOrd="0" presId="urn:microsoft.com/office/officeart/2005/8/layout/hierarchy4"/>
    <dgm:cxn modelId="{C145BBC5-6D3D-426D-961F-3EEE57326271}" type="presParOf" srcId="{E917EE86-FFE5-4A35-924D-E9C55EC84C5C}" destId="{AB061B56-2879-4DA7-9851-59695451541E}" srcOrd="2" destOrd="0" presId="urn:microsoft.com/office/officeart/2005/8/layout/hierarchy4"/>
    <dgm:cxn modelId="{7FEFA2E8-14A8-406C-AA77-C8A00ECB9331}" type="presParOf" srcId="{AB061B56-2879-4DA7-9851-59695451541E}" destId="{2FD9A8D9-E470-4E65-869D-010394153069}" srcOrd="0" destOrd="0" presId="urn:microsoft.com/office/officeart/2005/8/layout/hierarchy4"/>
    <dgm:cxn modelId="{EEC7ABFA-181E-4A32-8712-2FE7413F7CC2}" type="presParOf" srcId="{2FD9A8D9-E470-4E65-869D-010394153069}" destId="{38D560AE-A1DB-40D8-88FA-1F634FDF291B}" srcOrd="0" destOrd="0" presId="urn:microsoft.com/office/officeart/2005/8/layout/hierarchy4"/>
    <dgm:cxn modelId="{D63FE259-5ED0-45C1-A2D2-3112D2D018D9}" type="presParOf" srcId="{2FD9A8D9-E470-4E65-869D-010394153069}" destId="{50C32DEE-1E4D-46AC-8682-1C8B512B805F}" srcOrd="1" destOrd="0" presId="urn:microsoft.com/office/officeart/2005/8/layout/hierarchy4"/>
    <dgm:cxn modelId="{9BCD9386-B3DE-47C6-844D-103E92491D39}" type="presParOf" srcId="{2FD9A8D9-E470-4E65-869D-010394153069}" destId="{54A1801C-A248-4C88-8128-54D3CE1FDF8E}" srcOrd="2" destOrd="0" presId="urn:microsoft.com/office/officeart/2005/8/layout/hierarchy4"/>
    <dgm:cxn modelId="{3F956356-B284-40C0-A160-93C1757C7235}" type="presParOf" srcId="{54A1801C-A248-4C88-8128-54D3CE1FDF8E}" destId="{5428780A-D323-452C-BC75-9550D9A2364B}" srcOrd="0" destOrd="0" presId="urn:microsoft.com/office/officeart/2005/8/layout/hierarchy4"/>
    <dgm:cxn modelId="{6EB3FD0F-0113-4D65-8D96-BB46CE357E18}" type="presParOf" srcId="{5428780A-D323-452C-BC75-9550D9A2364B}" destId="{2EA5EA92-EEA2-439F-AF92-A7A98E779A59}" srcOrd="0" destOrd="0" presId="urn:microsoft.com/office/officeart/2005/8/layout/hierarchy4"/>
    <dgm:cxn modelId="{2F4E1AC7-51CA-4D3A-A641-4340C228BDF2}" type="presParOf" srcId="{5428780A-D323-452C-BC75-9550D9A2364B}" destId="{7FB57202-2400-4E33-91E1-74A9D02125B2}" srcOrd="1" destOrd="0" presId="urn:microsoft.com/office/officeart/2005/8/layout/hierarchy4"/>
    <dgm:cxn modelId="{21E0AE5C-7F18-452F-8B27-29A90DE9B428}" type="presParOf" srcId="{54A1801C-A248-4C88-8128-54D3CE1FDF8E}" destId="{C6A0B5C7-1E5D-4EE3-B22C-BD9E7C513121}" srcOrd="1" destOrd="0" presId="urn:microsoft.com/office/officeart/2005/8/layout/hierarchy4"/>
    <dgm:cxn modelId="{6EEF01A6-4BB6-4428-9436-11BCA4D242F1}" type="presParOf" srcId="{54A1801C-A248-4C88-8128-54D3CE1FDF8E}" destId="{1549EB16-68F0-4EA6-B691-59EAC9436BBE}" srcOrd="2" destOrd="0" presId="urn:microsoft.com/office/officeart/2005/8/layout/hierarchy4"/>
    <dgm:cxn modelId="{A424C41A-4F63-4F1C-A091-9C713BC50F57}" type="presParOf" srcId="{1549EB16-68F0-4EA6-B691-59EAC9436BBE}" destId="{281B26FC-5101-4897-AB81-0D512C68E838}" srcOrd="0" destOrd="0" presId="urn:microsoft.com/office/officeart/2005/8/layout/hierarchy4"/>
    <dgm:cxn modelId="{A5D14F8A-70CB-4A5B-BCDD-A54B0B677BBC}" type="presParOf" srcId="{1549EB16-68F0-4EA6-B691-59EAC9436BBE}" destId="{4BFB3DDE-C202-42D8-BA28-4B873DD5D03D}" srcOrd="1" destOrd="0" presId="urn:microsoft.com/office/officeart/2005/8/layout/hierarchy4"/>
    <dgm:cxn modelId="{75CDD151-36C9-4195-83EF-DC70B53D6C4C}" type="presParOf" srcId="{54A1801C-A248-4C88-8128-54D3CE1FDF8E}" destId="{52D84319-1F50-440C-BD1F-016C99093B7A}" srcOrd="3" destOrd="0" presId="urn:microsoft.com/office/officeart/2005/8/layout/hierarchy4"/>
    <dgm:cxn modelId="{8AC687C3-7E90-4779-A999-6A09ADB5E0E3}" type="presParOf" srcId="{54A1801C-A248-4C88-8128-54D3CE1FDF8E}" destId="{898FA1E0-F9D2-415F-A3F5-EAF28AEA5E17}" srcOrd="4" destOrd="0" presId="urn:microsoft.com/office/officeart/2005/8/layout/hierarchy4"/>
    <dgm:cxn modelId="{56BD682F-458F-4D51-A2C2-F674A7CD097A}" type="presParOf" srcId="{898FA1E0-F9D2-415F-A3F5-EAF28AEA5E17}" destId="{ECA4E3EA-AF2F-4DFA-9B74-1EED75F0EBEB}" srcOrd="0" destOrd="0" presId="urn:microsoft.com/office/officeart/2005/8/layout/hierarchy4"/>
    <dgm:cxn modelId="{FD59FAEE-3336-49AE-87F4-AABE568C1058}" type="presParOf" srcId="{898FA1E0-F9D2-415F-A3F5-EAF28AEA5E17}" destId="{8D05B62D-8DAF-417B-A00B-38BDA7F88335}" srcOrd="1" destOrd="0" presId="urn:microsoft.com/office/officeart/2005/8/layout/hierarchy4"/>
    <dgm:cxn modelId="{65CDFFE0-3951-4920-948E-D0C219B1698B}" type="presParOf" srcId="{AB061B56-2879-4DA7-9851-59695451541E}" destId="{B931D4D7-0619-4D9B-A236-885DCB0AD80A}" srcOrd="1" destOrd="0" presId="urn:microsoft.com/office/officeart/2005/8/layout/hierarchy4"/>
    <dgm:cxn modelId="{01925912-83FE-4401-ABE8-CE7D823E1286}" type="presParOf" srcId="{AB061B56-2879-4DA7-9851-59695451541E}" destId="{82313424-7DB0-48CA-BD74-CD69ADABF039}" srcOrd="2" destOrd="0" presId="urn:microsoft.com/office/officeart/2005/8/layout/hierarchy4"/>
    <dgm:cxn modelId="{F24E816C-0B60-472F-B9EB-1B292224F444}" type="presParOf" srcId="{82313424-7DB0-48CA-BD74-CD69ADABF039}" destId="{71604C4B-633A-4162-8762-A058AB881B5E}" srcOrd="0" destOrd="0" presId="urn:microsoft.com/office/officeart/2005/8/layout/hierarchy4"/>
    <dgm:cxn modelId="{7AC321E7-74E2-4EFF-9053-B7496E8710B4}" type="presParOf" srcId="{82313424-7DB0-48CA-BD74-CD69ADABF039}" destId="{A2935232-45A5-47D0-8CFD-62A4B1A3EA16}" srcOrd="1" destOrd="0" presId="urn:microsoft.com/office/officeart/2005/8/layout/hierarchy4"/>
    <dgm:cxn modelId="{528C54CC-32B5-4B9D-8902-C213ECDECB62}" type="presParOf" srcId="{82313424-7DB0-48CA-BD74-CD69ADABF039}" destId="{817E5254-4410-40A0-B3E0-54763951ECEE}" srcOrd="2" destOrd="0" presId="urn:microsoft.com/office/officeart/2005/8/layout/hierarchy4"/>
    <dgm:cxn modelId="{17F15D9D-D82C-4A66-AA9E-C29F2B2AD423}" type="presParOf" srcId="{817E5254-4410-40A0-B3E0-54763951ECEE}" destId="{C6B0AD83-110F-4702-AE47-9B1F8B218245}" srcOrd="0" destOrd="0" presId="urn:microsoft.com/office/officeart/2005/8/layout/hierarchy4"/>
    <dgm:cxn modelId="{1866B4E5-7FCB-4AFA-AA26-6155F49F4B32}" type="presParOf" srcId="{C6B0AD83-110F-4702-AE47-9B1F8B218245}" destId="{23E1DA09-1B57-4756-B93D-9DFA99912530}" srcOrd="0" destOrd="0" presId="urn:microsoft.com/office/officeart/2005/8/layout/hierarchy4"/>
    <dgm:cxn modelId="{3A245A1A-0582-4911-8798-48E4A17CEF10}" type="presParOf" srcId="{C6B0AD83-110F-4702-AE47-9B1F8B218245}" destId="{843D7AF8-57C3-4EFB-9BFE-8467665A006D}" srcOrd="1" destOrd="0" presId="urn:microsoft.com/office/officeart/2005/8/layout/hierarchy4"/>
    <dgm:cxn modelId="{AA4B4868-E569-41B4-8BAA-5BBBB013CF98}" type="presParOf" srcId="{C6B0AD83-110F-4702-AE47-9B1F8B218245}" destId="{A443AB28-1BE6-4472-AD59-078410703BE4}" srcOrd="2" destOrd="0" presId="urn:microsoft.com/office/officeart/2005/8/layout/hierarchy4"/>
    <dgm:cxn modelId="{896AF3D4-AC94-4C10-A5EE-B495C63EC45C}" type="presParOf" srcId="{A443AB28-1BE6-4472-AD59-078410703BE4}" destId="{C41AC1A5-77FD-4407-9725-AB01B7F5EA64}" srcOrd="0" destOrd="0" presId="urn:microsoft.com/office/officeart/2005/8/layout/hierarchy4"/>
    <dgm:cxn modelId="{147C5CEE-F9F8-486D-B407-00ABE29F74E2}" type="presParOf" srcId="{C41AC1A5-77FD-4407-9725-AB01B7F5EA64}" destId="{779CF814-30C6-4F20-A566-FA8598DCB52E}" srcOrd="0" destOrd="0" presId="urn:microsoft.com/office/officeart/2005/8/layout/hierarchy4"/>
    <dgm:cxn modelId="{C78B4C4A-7333-4A16-8215-329A27CE7638}" type="presParOf" srcId="{C41AC1A5-77FD-4407-9725-AB01B7F5EA64}" destId="{DDB8C706-7EDB-4DCA-A03C-7B64FF038797}" srcOrd="1" destOrd="0" presId="urn:microsoft.com/office/officeart/2005/8/layout/hierarchy4"/>
    <dgm:cxn modelId="{4FCA2B3E-3D54-443C-957F-BA07613CB2E8}" type="presParOf" srcId="{C41AC1A5-77FD-4407-9725-AB01B7F5EA64}" destId="{40950C29-423B-4A9F-B7DE-A0D5210A4186}" srcOrd="2" destOrd="0" presId="urn:microsoft.com/office/officeart/2005/8/layout/hierarchy4"/>
    <dgm:cxn modelId="{D2FFB8AC-12EE-4D7E-93B9-DD6B86513EA3}" type="presParOf" srcId="{40950C29-423B-4A9F-B7DE-A0D5210A4186}" destId="{76FBD00B-4B20-4E14-A22B-9D1A7536E1EA}" srcOrd="0" destOrd="0" presId="urn:microsoft.com/office/officeart/2005/8/layout/hierarchy4"/>
    <dgm:cxn modelId="{8067CE8E-B1BD-4FE5-A98B-DE51F318329E}" type="presParOf" srcId="{76FBD00B-4B20-4E14-A22B-9D1A7536E1EA}" destId="{5D22B41E-2025-40C6-83B3-319C2644416E}" srcOrd="0" destOrd="0" presId="urn:microsoft.com/office/officeart/2005/8/layout/hierarchy4"/>
    <dgm:cxn modelId="{37131FCD-D0C3-4ABA-B610-A1DFB83EA3C2}" type="presParOf" srcId="{76FBD00B-4B20-4E14-A22B-9D1A7536E1EA}" destId="{1A153A83-04AE-402B-9E0B-97F59B8C3F3B}" srcOrd="1" destOrd="0" presId="urn:microsoft.com/office/officeart/2005/8/layout/hierarchy4"/>
    <dgm:cxn modelId="{1FA6E520-92F8-453C-B82F-97E21D59AE00}" type="presParOf" srcId="{A443AB28-1BE6-4472-AD59-078410703BE4}" destId="{E6010A2F-8676-4EC6-84DE-F8C80C7EC7B4}" srcOrd="1" destOrd="0" presId="urn:microsoft.com/office/officeart/2005/8/layout/hierarchy4"/>
    <dgm:cxn modelId="{3C61DA21-FB8F-4CF1-869D-293C92BEBB6C}" type="presParOf" srcId="{A443AB28-1BE6-4472-AD59-078410703BE4}" destId="{240BF849-F4B2-4978-8BEC-F44B6CA268C6}" srcOrd="2" destOrd="0" presId="urn:microsoft.com/office/officeart/2005/8/layout/hierarchy4"/>
    <dgm:cxn modelId="{CCB3F254-1355-445F-B589-B1B3A41587B8}" type="presParOf" srcId="{240BF849-F4B2-4978-8BEC-F44B6CA268C6}" destId="{F3E06C29-B081-4166-B08A-3A5BDF15B332}" srcOrd="0" destOrd="0" presId="urn:microsoft.com/office/officeart/2005/8/layout/hierarchy4"/>
    <dgm:cxn modelId="{B9D3AEF4-973A-4D3F-9CB5-7AAE060123D6}" type="presParOf" srcId="{240BF849-F4B2-4978-8BEC-F44B6CA268C6}" destId="{2D08E557-B762-49F8-82A7-1D2292E2C798}" srcOrd="1" destOrd="0" presId="urn:microsoft.com/office/officeart/2005/8/layout/hierarchy4"/>
    <dgm:cxn modelId="{9F99020B-F85A-4ABB-8BEC-0C0A7F25EE34}" type="presParOf" srcId="{240BF849-F4B2-4978-8BEC-F44B6CA268C6}" destId="{AF3DA15A-3B3B-4222-A32B-32632F0E80B2}" srcOrd="2" destOrd="0" presId="urn:microsoft.com/office/officeart/2005/8/layout/hierarchy4"/>
    <dgm:cxn modelId="{D065A5F2-9929-4089-9B33-E7C36AA9EF9D}" type="presParOf" srcId="{AF3DA15A-3B3B-4222-A32B-32632F0E80B2}" destId="{14B8DA6F-FAA4-40CB-8A06-C67B01C6E051}" srcOrd="0" destOrd="0" presId="urn:microsoft.com/office/officeart/2005/8/layout/hierarchy4"/>
    <dgm:cxn modelId="{6E4E0DF4-2F72-437A-9B4E-D249F7BCB111}" type="presParOf" srcId="{14B8DA6F-FAA4-40CB-8A06-C67B01C6E051}" destId="{ABB89457-AF11-48D2-9478-30282CCC3786}" srcOrd="0" destOrd="0" presId="urn:microsoft.com/office/officeart/2005/8/layout/hierarchy4"/>
    <dgm:cxn modelId="{E6C4E86F-3357-4822-AD4A-AA6042ED1E94}" type="presParOf" srcId="{14B8DA6F-FAA4-40CB-8A06-C67B01C6E051}" destId="{586EB93B-01AC-4899-A9E4-34836EFA6FDB}" srcOrd="1" destOrd="0" presId="urn:microsoft.com/office/officeart/2005/8/layout/hierarchy4"/>
  </dgm:cxnLst>
  <dgm:bg/>
  <dgm:whole>
    <a:ln w="9525"/>
  </dgm:whole>
  <dgm:extLst>
    <a:ext uri="http://schemas.microsoft.com/office/drawing/2008/diagram">
      <dsp:dataModelExt xmlns:dsp="http://schemas.microsoft.com/office/drawing/2008/diagram" relId="rId2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4663EA4-3593-4863-882E-C5E051963A82}">
      <dsp:nvSpPr>
        <dsp:cNvPr id="0" name=""/>
        <dsp:cNvSpPr/>
      </dsp:nvSpPr>
      <dsp:spPr>
        <a:xfrm>
          <a:off x="2063" y="2313"/>
          <a:ext cx="8993822" cy="733573"/>
        </a:xfrm>
        <a:prstGeom prst="roundRect">
          <a:avLst>
            <a:gd name="adj" fmla="val 10000"/>
          </a:avLst>
        </a:prstGeom>
        <a:solidFill>
          <a:schemeClr val="accent5">
            <a:lumMod val="75000"/>
          </a:schemeClr>
        </a:solidFill>
        <a:ln w="25400" cap="flat" cmpd="sng" algn="ctr">
          <a:solidFill>
            <a:schemeClr val="accent5">
              <a:lumMod val="75000"/>
              <a:alpha val="90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s-ES" sz="1000" b="1" kern="1200">
              <a:solidFill>
                <a:schemeClr val="bg1"/>
              </a:solidFill>
            </a:rPr>
            <a:t>Objetivo General – Reducción de la carga fiscal para el estado derivada de la propiedad de Empresas Públicas (EEPP). </a:t>
          </a:r>
        </a:p>
        <a:p>
          <a:pPr marL="0" lvl="0" indent="0" algn="ctr" defTabSz="444500">
            <a:lnSpc>
              <a:spcPct val="90000"/>
            </a:lnSpc>
            <a:spcBef>
              <a:spcPct val="0"/>
            </a:spcBef>
            <a:spcAft>
              <a:spcPct val="35000"/>
            </a:spcAft>
            <a:buNone/>
          </a:pPr>
          <a:r>
            <a:rPr lang="es-ES" sz="1000" b="1" u="none" kern="1200">
              <a:solidFill>
                <a:schemeClr val="bg1"/>
              </a:solidFill>
            </a:rPr>
            <a:t>Impacto - Reducción de la carga fiscal del Estado derivada de la propiedad de EEPP</a:t>
          </a:r>
        </a:p>
        <a:p>
          <a:pPr marL="0" lvl="0" indent="0" algn="ctr" defTabSz="444500">
            <a:lnSpc>
              <a:spcPct val="90000"/>
            </a:lnSpc>
            <a:spcBef>
              <a:spcPct val="0"/>
            </a:spcBef>
            <a:spcAft>
              <a:spcPct val="35000"/>
            </a:spcAft>
            <a:buNone/>
          </a:pPr>
          <a:r>
            <a:rPr lang="es-EC" sz="1000" b="1" i="1" u="sng" kern="1200">
              <a:solidFill>
                <a:schemeClr val="bg1"/>
              </a:solidFill>
            </a:rPr>
            <a:t>Monto de transferencias  del Presupuesto General del Estado (PGE) a EEPP / PIB</a:t>
          </a:r>
        </a:p>
      </dsp:txBody>
      <dsp:txXfrm>
        <a:off x="23549" y="23799"/>
        <a:ext cx="8950850" cy="690601"/>
      </dsp:txXfrm>
    </dsp:sp>
    <dsp:sp modelId="{38D560AE-A1DB-40D8-88FA-1F634FDF291B}">
      <dsp:nvSpPr>
        <dsp:cNvPr id="0" name=""/>
        <dsp:cNvSpPr/>
      </dsp:nvSpPr>
      <dsp:spPr>
        <a:xfrm>
          <a:off x="2063" y="827413"/>
          <a:ext cx="5345335" cy="733573"/>
        </a:xfrm>
        <a:prstGeom prst="roundRect">
          <a:avLst>
            <a:gd name="adj" fmla="val 10000"/>
          </a:avLst>
        </a:prstGeom>
        <a:solidFill>
          <a:schemeClr val="accent5">
            <a:lumMod val="60000"/>
            <a:lumOff val="40000"/>
            <a:alpha val="80000"/>
          </a:schemeClr>
        </a:solidFill>
        <a:ln w="19050" cap="flat" cmpd="sng" algn="ctr">
          <a:solidFill>
            <a:schemeClr val="accent5">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s-US" sz="1200" kern="1200"/>
            <a:t>OB. Específico 1 – Incrementar </a:t>
          </a:r>
          <a:r>
            <a:rPr lang="es-ES" sz="1200" kern="1200"/>
            <a:t>el número de EEPP alineadas a los principios de gobernanza corporativa de la OCDE; incluyendo una gobernanza fiscal análoga a la del sector privado</a:t>
          </a:r>
          <a:endParaRPr lang="es-EC" sz="1200" kern="1200"/>
        </a:p>
      </dsp:txBody>
      <dsp:txXfrm>
        <a:off x="23549" y="848899"/>
        <a:ext cx="5302363" cy="690601"/>
      </dsp:txXfrm>
    </dsp:sp>
    <dsp:sp modelId="{2EA5EA92-EEA2-439F-AF92-A7A98E779A59}">
      <dsp:nvSpPr>
        <dsp:cNvPr id="0" name=""/>
        <dsp:cNvSpPr/>
      </dsp:nvSpPr>
      <dsp:spPr>
        <a:xfrm>
          <a:off x="2063" y="1652513"/>
          <a:ext cx="1733247" cy="733573"/>
        </a:xfrm>
        <a:prstGeom prst="roundRect">
          <a:avLst>
            <a:gd name="adj" fmla="val 10000"/>
          </a:avLst>
        </a:prstGeom>
        <a:solidFill>
          <a:schemeClr val="accent5">
            <a:lumMod val="20000"/>
            <a:lumOff val="80000"/>
          </a:schemeClr>
        </a:solidFill>
        <a:ln w="15875" cap="flat" cmpd="sng" algn="ctr">
          <a:solidFill>
            <a:schemeClr val="accent5">
              <a:lumMod val="75000"/>
              <a:alpha val="80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s-US" sz="900" b="1" kern="1200"/>
            <a:t>Resultado 1 -</a:t>
          </a:r>
          <a:r>
            <a:rPr lang="es-US" sz="900" kern="1200"/>
            <a:t> Aumento del ratio entre las sesiones ordinarias de los directorios de las EEPP sobre el total de sesiones</a:t>
          </a:r>
          <a:endParaRPr lang="es-EC" sz="900" kern="1200"/>
        </a:p>
      </dsp:txBody>
      <dsp:txXfrm>
        <a:off x="23549" y="1673999"/>
        <a:ext cx="1690275" cy="690601"/>
      </dsp:txXfrm>
    </dsp:sp>
    <dsp:sp modelId="{281B26FC-5101-4897-AB81-0D512C68E838}">
      <dsp:nvSpPr>
        <dsp:cNvPr id="0" name=""/>
        <dsp:cNvSpPr/>
      </dsp:nvSpPr>
      <dsp:spPr>
        <a:xfrm>
          <a:off x="1808107" y="1652513"/>
          <a:ext cx="1733247" cy="733573"/>
        </a:xfrm>
        <a:prstGeom prst="roundRect">
          <a:avLst>
            <a:gd name="adj" fmla="val 10000"/>
          </a:avLst>
        </a:prstGeom>
        <a:solidFill>
          <a:schemeClr val="accent5">
            <a:lumMod val="20000"/>
            <a:lumOff val="80000"/>
          </a:schemeClr>
        </a:solidFill>
        <a:ln w="15875" cap="flat" cmpd="sng" algn="ctr">
          <a:solidFill>
            <a:schemeClr val="accent5">
              <a:lumMod val="75000"/>
              <a:alpha val="80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s-US" sz="900" b="1" kern="1200"/>
            <a:t>Resultado 2 -</a:t>
          </a:r>
          <a:r>
            <a:rPr lang="es-US" sz="900" kern="1200"/>
            <a:t> Aumento de % de EEPP con los Estados Financieros (EE.FF.) auditados al día</a:t>
          </a:r>
          <a:endParaRPr lang="es-EC" sz="900" kern="1200"/>
        </a:p>
      </dsp:txBody>
      <dsp:txXfrm>
        <a:off x="1829593" y="1673999"/>
        <a:ext cx="1690275" cy="690601"/>
      </dsp:txXfrm>
    </dsp:sp>
    <dsp:sp modelId="{ECA4E3EA-AF2F-4DFA-9B74-1EED75F0EBEB}">
      <dsp:nvSpPr>
        <dsp:cNvPr id="0" name=""/>
        <dsp:cNvSpPr/>
      </dsp:nvSpPr>
      <dsp:spPr>
        <a:xfrm>
          <a:off x="3614152" y="1652513"/>
          <a:ext cx="1733247" cy="733573"/>
        </a:xfrm>
        <a:prstGeom prst="roundRect">
          <a:avLst>
            <a:gd name="adj" fmla="val 10000"/>
          </a:avLst>
        </a:prstGeom>
        <a:solidFill>
          <a:schemeClr val="accent5">
            <a:lumMod val="20000"/>
            <a:lumOff val="80000"/>
          </a:schemeClr>
        </a:solidFill>
        <a:ln w="15875" cap="flat" cmpd="sng" algn="ctr">
          <a:solidFill>
            <a:schemeClr val="accent5">
              <a:lumMod val="75000"/>
              <a:alpha val="80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s-US" sz="900" b="1" kern="1200"/>
            <a:t>Resultado 3 -</a:t>
          </a:r>
          <a:r>
            <a:rPr lang="es-US" sz="900" kern="1200"/>
            <a:t> </a:t>
          </a:r>
          <a:r>
            <a:rPr lang="es-ES_tradnl" sz="900" b="0" kern="1200"/>
            <a:t>Aumento de la participación </a:t>
          </a:r>
          <a:r>
            <a:rPr lang="es-ES" sz="900" b="0" kern="1200"/>
            <a:t>de las mujeres en consejos directivos de las EEPP </a:t>
          </a:r>
          <a:r>
            <a:rPr lang="es-US" sz="900" kern="1200"/>
            <a:t>.</a:t>
          </a:r>
          <a:endParaRPr lang="es-EC" sz="900" kern="1200"/>
        </a:p>
      </dsp:txBody>
      <dsp:txXfrm>
        <a:off x="3635638" y="1673999"/>
        <a:ext cx="1690275" cy="690601"/>
      </dsp:txXfrm>
    </dsp:sp>
    <dsp:sp modelId="{71604C4B-633A-4162-8762-A058AB881B5E}">
      <dsp:nvSpPr>
        <dsp:cNvPr id="0" name=""/>
        <dsp:cNvSpPr/>
      </dsp:nvSpPr>
      <dsp:spPr>
        <a:xfrm>
          <a:off x="5492992" y="827413"/>
          <a:ext cx="3502893" cy="733573"/>
        </a:xfrm>
        <a:prstGeom prst="roundRect">
          <a:avLst>
            <a:gd name="adj" fmla="val 10000"/>
          </a:avLst>
        </a:prstGeom>
        <a:solidFill>
          <a:schemeClr val="accent5">
            <a:lumMod val="60000"/>
            <a:lumOff val="40000"/>
          </a:schemeClr>
        </a:solidFill>
        <a:ln w="25400" cap="flat" cmpd="sng" algn="ctr">
          <a:solidFill>
            <a:schemeClr val="accent5">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s-US" sz="1200" kern="1200"/>
            <a:t>OB. Específico 2 – A</a:t>
          </a:r>
          <a:r>
            <a:rPr lang="es-ES" sz="1200" kern="1200"/>
            <a:t>umentar la eficiencia de las EEPP de los sectores de hidrocarburos, eléctrico y aeronáutico</a:t>
          </a:r>
          <a:r>
            <a:rPr lang="es-AR" sz="1200" kern="1200"/>
            <a:t>. </a:t>
          </a:r>
          <a:endParaRPr lang="es-EC" sz="1200" kern="1200"/>
        </a:p>
      </dsp:txBody>
      <dsp:txXfrm>
        <a:off x="5514478" y="848899"/>
        <a:ext cx="3459921" cy="690601"/>
      </dsp:txXfrm>
    </dsp:sp>
    <dsp:sp modelId="{23E1DA09-1B57-4756-B93D-9DFA99912530}">
      <dsp:nvSpPr>
        <dsp:cNvPr id="0" name=""/>
        <dsp:cNvSpPr/>
      </dsp:nvSpPr>
      <dsp:spPr>
        <a:xfrm>
          <a:off x="5492992" y="1652513"/>
          <a:ext cx="3502893" cy="733573"/>
        </a:xfrm>
        <a:prstGeom prst="roundRect">
          <a:avLst>
            <a:gd name="adj" fmla="val 10000"/>
          </a:avLst>
        </a:prstGeom>
        <a:solidFill>
          <a:schemeClr val="accent5">
            <a:lumMod val="20000"/>
            <a:lumOff val="80000"/>
            <a:alpha val="80000"/>
          </a:schemeClr>
        </a:solidFill>
        <a:ln w="19050" cap="flat" cmpd="sng" algn="ctr">
          <a:solidFill>
            <a:schemeClr val="accent5">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s-US" sz="900" b="1" kern="1200">
              <a:latin typeface="Calibri (Cuerpo)"/>
            </a:rPr>
            <a:t>Resultado 4 - </a:t>
          </a:r>
          <a:r>
            <a:rPr lang="es-ES_tradnl" sz="900" b="0" kern="1200">
              <a:latin typeface="Calibri (Cuerpo)"/>
            </a:rPr>
            <a:t>Incremento en la eficiencia productiva</a:t>
          </a:r>
          <a:endParaRPr lang="es-EC" sz="900" kern="1200">
            <a:latin typeface="Calibri (Cuerpo)"/>
          </a:endParaRPr>
        </a:p>
      </dsp:txBody>
      <dsp:txXfrm>
        <a:off x="5514478" y="1673999"/>
        <a:ext cx="3459921" cy="690601"/>
      </dsp:txXfrm>
    </dsp:sp>
    <dsp:sp modelId="{779CF814-30C6-4F20-A566-FA8598DCB52E}">
      <dsp:nvSpPr>
        <dsp:cNvPr id="0" name=""/>
        <dsp:cNvSpPr/>
      </dsp:nvSpPr>
      <dsp:spPr>
        <a:xfrm>
          <a:off x="5492992" y="2477612"/>
          <a:ext cx="1733247" cy="733573"/>
        </a:xfrm>
        <a:prstGeom prst="roundRect">
          <a:avLst>
            <a:gd name="adj" fmla="val 10000"/>
          </a:avLst>
        </a:prstGeom>
        <a:solidFill>
          <a:schemeClr val="lt1">
            <a:hueOff val="0"/>
            <a:satOff val="0"/>
            <a:lumOff val="0"/>
            <a:alphaOff val="0"/>
          </a:schemeClr>
        </a:solidFill>
        <a:ln w="12700" cap="flat" cmpd="sng" algn="ctr">
          <a:solidFill>
            <a:schemeClr val="accent5">
              <a:lumMod val="75000"/>
              <a:alpha val="80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s-ES" sz="700" b="1" kern="1200"/>
            <a:t>P 2.1.1. </a:t>
          </a:r>
          <a:r>
            <a:rPr lang="es-EC" sz="700" kern="1200"/>
            <a:t>	Informe con la eEstrategia de fusión de Petroamazonas y Petroecuador, incluyendo definición de gobernanza corporativa y régimen fiscal diseñadoa </a:t>
          </a:r>
        </a:p>
        <a:p>
          <a:pPr marL="0" lvl="0" indent="0" algn="ctr" defTabSz="311150">
            <a:lnSpc>
              <a:spcPct val="90000"/>
            </a:lnSpc>
            <a:spcBef>
              <a:spcPct val="0"/>
            </a:spcBef>
            <a:spcAft>
              <a:spcPct val="35000"/>
            </a:spcAft>
            <a:buNone/>
          </a:pPr>
          <a:r>
            <a:rPr lang="es-ES_tradnl" sz="700" b="1" kern="1200"/>
            <a:t>P 2.1.2. </a:t>
          </a:r>
          <a:r>
            <a:rPr lang="es-ES_tradnl" sz="700" kern="1200"/>
            <a:t>Hitos de fusión de Petroamazonas y Petroecuador, implementados</a:t>
          </a:r>
          <a:endParaRPr lang="es-EC" sz="700" kern="1200"/>
        </a:p>
      </dsp:txBody>
      <dsp:txXfrm>
        <a:off x="5514478" y="2499098"/>
        <a:ext cx="1690275" cy="690601"/>
      </dsp:txXfrm>
    </dsp:sp>
    <dsp:sp modelId="{5D22B41E-2025-40C6-83B3-319C2644416E}">
      <dsp:nvSpPr>
        <dsp:cNvPr id="0" name=""/>
        <dsp:cNvSpPr/>
      </dsp:nvSpPr>
      <dsp:spPr>
        <a:xfrm>
          <a:off x="5492992" y="3302712"/>
          <a:ext cx="1733247" cy="733573"/>
        </a:xfrm>
        <a:prstGeom prst="roundRect">
          <a:avLst>
            <a:gd name="adj" fmla="val 10000"/>
          </a:avLst>
        </a:prstGeom>
        <a:solidFill>
          <a:schemeClr val="lt1">
            <a:hueOff val="0"/>
            <a:satOff val="0"/>
            <a:lumOff val="0"/>
            <a:alphaOff val="0"/>
          </a:schemeClr>
        </a:solidFill>
        <a:ln w="12700" cap="flat" cmpd="sng" algn="ctr">
          <a:solidFill>
            <a:schemeClr val="accent5">
              <a:lumMod val="75000"/>
              <a:alpha val="80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s-ES_tradnl" sz="700" b="1" kern="1200"/>
            <a:t>P 2.2. </a:t>
          </a:r>
          <a:r>
            <a:rPr lang="es-ES_tradnl" sz="700" kern="1200"/>
            <a:t>Informe con la optimización del funcionamiento de Corporación Eléctrica del Ecuador (CELEC), Corporación Nacional de Electricidad (CNEL) elaborado.</a:t>
          </a:r>
          <a:endParaRPr lang="es-EC" sz="700" kern="1200">
            <a:solidFill>
              <a:srgbClr val="FF0000"/>
            </a:solidFill>
          </a:endParaRPr>
        </a:p>
      </dsp:txBody>
      <dsp:txXfrm>
        <a:off x="5514478" y="3324198"/>
        <a:ext cx="1690275" cy="690601"/>
      </dsp:txXfrm>
    </dsp:sp>
    <dsp:sp modelId="{F3E06C29-B081-4166-B08A-3A5BDF15B332}">
      <dsp:nvSpPr>
        <dsp:cNvPr id="0" name=""/>
        <dsp:cNvSpPr/>
      </dsp:nvSpPr>
      <dsp:spPr>
        <a:xfrm>
          <a:off x="7262638" y="2477612"/>
          <a:ext cx="1733247" cy="733573"/>
        </a:xfrm>
        <a:prstGeom prst="roundRect">
          <a:avLst>
            <a:gd name="adj" fmla="val 10000"/>
          </a:avLst>
        </a:prstGeom>
        <a:solidFill>
          <a:schemeClr val="lt1">
            <a:hueOff val="0"/>
            <a:satOff val="0"/>
            <a:lumOff val="0"/>
            <a:alphaOff val="0"/>
          </a:schemeClr>
        </a:solidFill>
        <a:ln w="12700" cap="flat" cmpd="sng" algn="ctr">
          <a:solidFill>
            <a:schemeClr val="accent5">
              <a:lumMod val="75000"/>
              <a:alpha val="80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s-ES" sz="700" b="1" kern="1200"/>
            <a:t>P 2.4. </a:t>
          </a:r>
          <a:r>
            <a:rPr lang="es-EC" sz="700" kern="1200"/>
            <a:t>Desvinculaciones desembolsadas de  Petroamazonas, Petroecuador, CNEL, CELEC TAME y EMCO</a:t>
          </a:r>
          <a:endParaRPr lang="es-EC" sz="700" b="0" kern="1200">
            <a:solidFill>
              <a:sysClr val="windowText" lastClr="000000"/>
            </a:solidFill>
          </a:endParaRPr>
        </a:p>
      </dsp:txBody>
      <dsp:txXfrm>
        <a:off x="7284124" y="2499098"/>
        <a:ext cx="1690275" cy="690601"/>
      </dsp:txXfrm>
    </dsp:sp>
    <dsp:sp modelId="{ABB89457-AF11-48D2-9478-30282CCC3786}">
      <dsp:nvSpPr>
        <dsp:cNvPr id="0" name=""/>
        <dsp:cNvSpPr/>
      </dsp:nvSpPr>
      <dsp:spPr>
        <a:xfrm>
          <a:off x="7264702" y="3305026"/>
          <a:ext cx="1733247" cy="733573"/>
        </a:xfrm>
        <a:prstGeom prst="roundRect">
          <a:avLst>
            <a:gd name="adj" fmla="val 10000"/>
          </a:avLst>
        </a:prstGeom>
        <a:solidFill>
          <a:schemeClr val="lt1">
            <a:hueOff val="0"/>
            <a:satOff val="0"/>
            <a:lumOff val="0"/>
            <a:alphaOff val="0"/>
          </a:schemeClr>
        </a:solidFill>
        <a:ln w="12700" cap="flat" cmpd="sng" algn="ctr">
          <a:solidFill>
            <a:schemeClr val="accent5">
              <a:lumMod val="75000"/>
              <a:alpha val="80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s-ES" sz="700" b="1" kern="1200"/>
            <a:t>P 2.5</a:t>
          </a:r>
          <a:r>
            <a:rPr lang="es-ES" sz="700" kern="1200"/>
            <a:t> </a:t>
          </a:r>
          <a:r>
            <a:rPr lang="es-EC" sz="700" kern="1200"/>
            <a:t>Estrategia de comunicación (pública e interna) que facilite la comprensión de los objetivos de la reforma y las beneficios para el ciudadano implementada</a:t>
          </a:r>
        </a:p>
      </dsp:txBody>
      <dsp:txXfrm>
        <a:off x="7286188" y="3326512"/>
        <a:ext cx="1690275" cy="690601"/>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4">
  <dgm:title val=""/>
  <dgm:desc val=""/>
  <dgm:catLst>
    <dgm:cat type="hierarchy" pri="4000"/>
    <dgm:cat type="list" pri="24000"/>
    <dgm:cat type="relationship" pri="10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Name0">
    <dgm:varLst>
      <dgm:chPref val="1"/>
      <dgm:dir/>
      <dgm:animOne val="branch"/>
      <dgm:animLvl val="lvl"/>
      <dgm:resizeHandles/>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w" for="ch" forName="vertOne" refType="w"/>
      <dgm:constr type="w" for="des" forName="horzOne" refType="w"/>
      <dgm:constr type="w" for="des" forName="txOne" refType="w"/>
      <dgm:constr type="w" for="des" forName="vertTwo" refType="w"/>
      <dgm:constr type="w" for="des" forName="horzTwo" refType="w"/>
      <dgm:constr type="w" for="des" forName="txTwo" refType="w"/>
      <dgm:constr type="w" for="des" forName="vertThree" refType="w"/>
      <dgm:constr type="w" for="des" forName="horzThree" refType="w"/>
      <dgm:constr type="w" for="des" forName="txThree" refType="w"/>
      <dgm:constr type="w" for="des" forName="vertFour" refType="w"/>
      <dgm:constr type="w" for="des" forName="horzFour" refType="w"/>
      <dgm:constr type="w" for="des" forName="txFour" refType="w"/>
      <dgm:constr type="h" for="des" ptType="node" op="equ"/>
      <dgm:constr type="h" for="des" forName="txOne" refType="h"/>
      <dgm:constr type="userH" for="des" ptType="node" refType="h" refFor="des" refForName="txOne"/>
      <dgm:constr type="primFontSz" for="des" forName="txOne" val="65"/>
      <dgm:constr type="primFontSz" for="des" forName="txTwo" val="65"/>
      <dgm:constr type="primFontSz" for="des" forName="txTwo" refType="primFontSz" refFor="des" refForName="txOne" op="lte"/>
      <dgm:constr type="primFontSz" for="des" forName="txThree" val="65"/>
      <dgm:constr type="primFontSz" for="des" forName="txThree" refType="primFontSz" refFor="des" refForName="txOne" op="lte"/>
      <dgm:constr type="primFontSz" for="des" forName="txThree" refType="primFontSz" refFor="des" refForName="txTwo" op="lte"/>
      <dgm:constr type="primFontSz" for="des" forName="txFour" val="65"/>
      <dgm:constr type="primFontSz" for="des" forName="txFour" refType="primFontSz" refFor="des" refForName="txOne" op="lte"/>
      <dgm:constr type="primFontSz" for="des" forName="txFour" refType="primFontSz" refFor="des" refForName="txTwo" op="lte"/>
      <dgm:constr type="primFontSz" for="des" forName="txFour" refType="primFontSz" refFor="des" refForName="txThree" op="lte"/>
      <dgm:constr type="w" for="des" forName="sibSpaceOne" refType="w" fact="0.168"/>
      <dgm:constr type="w" for="des" forName="sibSpaceTwo" refType="w" refFor="des" refForName="sibSpaceOne" op="equ" fact="0.5"/>
      <dgm:constr type="w" for="des" forName="sibSpaceThree" refType="w" refFor="des" refForName="sibSpaceTwo" op="equ" fact="0.5"/>
      <dgm:constr type="w" for="des" forName="sibSpaceFour" refType="w" refFor="des" refForName="sibSpaceThree" op="equ" fact="0.5"/>
      <dgm:constr type="h" for="des" forName="parTransOne" refType="w" fact="0.056"/>
      <dgm:constr type="h" for="des" forName="parTransTwo" refType="h" refFor="des" refForName="parTransOne" op="equ"/>
      <dgm:constr type="h" for="des" forName="parTransThree" refType="h" refFor="des" refForName="parTransTwo" op="equ"/>
      <dgm:constr type="h" for="des" forName="parTransFour" refType="h" refFor="des" refForName="parTransThree" op="equ"/>
    </dgm:constrLst>
    <dgm:ruleLst/>
    <dgm:forEach name="Name4" axis="ch" ptType="node">
      <dgm:layoutNode name="vertOne">
        <dgm:alg type="lin">
          <dgm:param type="linDir" val="fromT"/>
        </dgm:alg>
        <dgm:shape xmlns:r="http://schemas.openxmlformats.org/officeDocument/2006/relationships" r:blip="">
          <dgm:adjLst/>
        </dgm:shape>
        <dgm:presOf/>
        <dgm:constrLst>
          <dgm:constr type="w" for="ch" forName="txOne" refType="w" refFor="ch" refForName="horzOne" op="gte"/>
        </dgm:constrLst>
        <dgm:ruleLst/>
        <dgm:layoutNode name="txOn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5">
          <dgm:if name="Name6" axis="des" ptType="node" func="cnt" op="gt" val="0">
            <dgm:layoutNode name="parTransOne">
              <dgm:alg type="sp"/>
              <dgm:shape xmlns:r="http://schemas.openxmlformats.org/officeDocument/2006/relationships" r:blip="">
                <dgm:adjLst/>
              </dgm:shape>
              <dgm:presOf/>
              <dgm:constrLst/>
              <dgm:ruleLst/>
            </dgm:layoutNode>
          </dgm:if>
          <dgm:else name="Name7"/>
        </dgm:choose>
        <dgm:layoutNode name="horzOne">
          <dgm:choose name="Name8">
            <dgm:if name="Name9" func="var" arg="dir" op="equ" val="norm">
              <dgm:alg type="lin">
                <dgm:param type="linDir" val="fromL"/>
                <dgm:param type="nodeVertAlign" val="t"/>
              </dgm:alg>
            </dgm:if>
            <dgm:else name="Name1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1" axis="ch" ptType="node">
            <dgm:layoutNode name="vertTwo">
              <dgm:alg type="lin">
                <dgm:param type="linDir" val="fromT"/>
              </dgm:alg>
              <dgm:shape xmlns:r="http://schemas.openxmlformats.org/officeDocument/2006/relationships" r:blip="">
                <dgm:adjLst/>
              </dgm:shape>
              <dgm:presOf/>
              <dgm:constrLst>
                <dgm:constr type="w" for="ch" forName="txTwo" refType="w" refFor="ch" refForName="horzTwo" op="gte"/>
              </dgm:constrLst>
              <dgm:ruleLst/>
              <dgm:layoutNode name="txTwo">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2">
                <dgm:if name="Name13" axis="des" ptType="node" func="cnt" op="gt" val="0">
                  <dgm:layoutNode name="parTransTwo">
                    <dgm:alg type="sp"/>
                    <dgm:shape xmlns:r="http://schemas.openxmlformats.org/officeDocument/2006/relationships" r:blip="">
                      <dgm:adjLst/>
                    </dgm:shape>
                    <dgm:presOf/>
                    <dgm:constrLst/>
                    <dgm:ruleLst/>
                  </dgm:layoutNode>
                </dgm:if>
                <dgm:else name="Name14"/>
              </dgm:choose>
              <dgm:layoutNode name="horzTwo">
                <dgm:choose name="Name15">
                  <dgm:if name="Name16" func="var" arg="dir" op="equ" val="norm">
                    <dgm:alg type="lin">
                      <dgm:param type="linDir" val="fromL"/>
                      <dgm:param type="nodeVertAlign" val="t"/>
                    </dgm:alg>
                  </dgm:if>
                  <dgm:else name="Name17">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8" axis="ch" ptType="node">
                  <dgm:layoutNode name="vertThree">
                    <dgm:alg type="lin">
                      <dgm:param type="linDir" val="fromT"/>
                    </dgm:alg>
                    <dgm:shape xmlns:r="http://schemas.openxmlformats.org/officeDocument/2006/relationships" r:blip="">
                      <dgm:adjLst/>
                    </dgm:shape>
                    <dgm:presOf/>
                    <dgm:constrLst>
                      <dgm:constr type="w" for="ch" forName="txThree" refType="w" refFor="ch" refForName="horzThree" op="gte"/>
                    </dgm:constrLst>
                    <dgm:ruleLst/>
                    <dgm:layoutNode name="txThree">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9">
                      <dgm:if name="Name20" axis="des" ptType="node" func="cnt" op="gt" val="0">
                        <dgm:layoutNode name="parTransThree">
                          <dgm:alg type="sp"/>
                          <dgm:shape xmlns:r="http://schemas.openxmlformats.org/officeDocument/2006/relationships" r:blip="">
                            <dgm:adjLst/>
                          </dgm:shape>
                          <dgm:presOf/>
                          <dgm:constrLst/>
                          <dgm:ruleLst/>
                        </dgm:layoutNode>
                      </dgm:if>
                      <dgm:else name="Name21"/>
                    </dgm:choose>
                    <dgm:layoutNode name="horzThree">
                      <dgm:choose name="Name22">
                        <dgm:if name="Name23" func="var" arg="dir" op="equ" val="norm">
                          <dgm:alg type="lin">
                            <dgm:param type="linDir" val="fromL"/>
                            <dgm:param type="nodeVertAlign" val="t"/>
                          </dgm:alg>
                        </dgm:if>
                        <dgm:else name="Name24">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repeat" axis="ch" ptType="node">
                        <dgm:layoutNode name="vertFour">
                          <dgm:varLst>
                            <dgm:chPref val="3"/>
                          </dgm:varLst>
                          <dgm:alg type="lin">
                            <dgm:param type="linDir" val="fromT"/>
                          </dgm:alg>
                          <dgm:shape xmlns:r="http://schemas.openxmlformats.org/officeDocument/2006/relationships" r:blip="">
                            <dgm:adjLst/>
                          </dgm:shape>
                          <dgm:presOf/>
                          <dgm:constrLst>
                            <dgm:constr type="w" for="ch" forName="txFour" refType="w" refFor="ch" refForName="horzFour" op="gte"/>
                          </dgm:constrLst>
                          <dgm:ruleLst/>
                          <dgm:layoutNode name="txFour">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25">
                            <dgm:if name="Name26" axis="des" ptType="node" func="cnt" op="gt" val="0">
                              <dgm:layoutNode name="parTransFour">
                                <dgm:alg type="sp"/>
                                <dgm:shape xmlns:r="http://schemas.openxmlformats.org/officeDocument/2006/relationships" r:blip="">
                                  <dgm:adjLst/>
                                </dgm:shape>
                                <dgm:presOf/>
                                <dgm:constrLst/>
                                <dgm:ruleLst/>
                              </dgm:layoutNode>
                            </dgm:if>
                            <dgm:else name="Name27"/>
                          </dgm:choose>
                          <dgm:layoutNode name="horzFour">
                            <dgm:choose name="Name28">
                              <dgm:if name="Name29" func="var" arg="dir" op="equ" val="norm">
                                <dgm:alg type="lin">
                                  <dgm:param type="linDir" val="fromL"/>
                                  <dgm:param type="nodeVertAlign" val="t"/>
                                </dgm:alg>
                              </dgm:if>
                              <dgm:else name="Name3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31" ref="repeat"/>
                          </dgm:layoutNode>
                        </dgm:layoutNode>
                        <dgm:choose name="Name32">
                          <dgm:if name="Name33" axis="self" ptType="node" func="revPos" op="gte" val="2">
                            <dgm:forEach name="Name34" axis="followSib" ptType="sibTrans" cnt="1">
                              <dgm:layoutNode name="sibSpaceFour">
                                <dgm:alg type="sp"/>
                                <dgm:shape xmlns:r="http://schemas.openxmlformats.org/officeDocument/2006/relationships" r:blip="">
                                  <dgm:adjLst/>
                                </dgm:shape>
                                <dgm:presOf/>
                                <dgm:constrLst/>
                                <dgm:ruleLst/>
                              </dgm:layoutNode>
                            </dgm:forEach>
                          </dgm:if>
                          <dgm:else name="Name35"/>
                        </dgm:choose>
                      </dgm:forEach>
                    </dgm:layoutNode>
                  </dgm:layoutNode>
                  <dgm:choose name="Name36">
                    <dgm:if name="Name37" axis="self" ptType="node" func="revPos" op="gte" val="2">
                      <dgm:forEach name="Name38" axis="followSib" ptType="sibTrans" cnt="1">
                        <dgm:layoutNode name="sibSpaceThree">
                          <dgm:alg type="sp"/>
                          <dgm:shape xmlns:r="http://schemas.openxmlformats.org/officeDocument/2006/relationships" r:blip="">
                            <dgm:adjLst/>
                          </dgm:shape>
                          <dgm:presOf/>
                          <dgm:constrLst/>
                          <dgm:ruleLst/>
                        </dgm:layoutNode>
                      </dgm:forEach>
                    </dgm:if>
                    <dgm:else name="Name39"/>
                  </dgm:choose>
                </dgm:forEach>
              </dgm:layoutNode>
            </dgm:layoutNode>
            <dgm:choose name="Name40">
              <dgm:if name="Name41" axis="self" ptType="node" func="revPos" op="gte" val="2">
                <dgm:forEach name="Name42" axis="followSib" ptType="sibTrans" cnt="1">
                  <dgm:layoutNode name="sibSpaceTwo">
                    <dgm:alg type="sp"/>
                    <dgm:shape xmlns:r="http://schemas.openxmlformats.org/officeDocument/2006/relationships" r:blip="">
                      <dgm:adjLst/>
                    </dgm:shape>
                    <dgm:presOf/>
                    <dgm:constrLst/>
                    <dgm:ruleLst/>
                  </dgm:layoutNode>
                </dgm:forEach>
              </dgm:if>
              <dgm:else name="Name43"/>
            </dgm:choose>
          </dgm:forEach>
        </dgm:layoutNode>
      </dgm:layoutNode>
      <dgm:choose name="Name44">
        <dgm:if name="Name45" axis="self" ptType="node" func="revPos" op="gte" val="2">
          <dgm:forEach name="Name46" axis="followSib" ptType="sibTrans" cnt="1">
            <dgm:layoutNode name="sibSpaceOne">
              <dgm:alg type="sp"/>
              <dgm:shape xmlns:r="http://schemas.openxmlformats.org/officeDocument/2006/relationships" r:blip="">
                <dgm:adjLst/>
              </dgm:shape>
              <dgm:presOf/>
              <dgm:constrLst/>
              <dgm:ruleLst/>
            </dgm:layoutNode>
          </dgm:forEach>
        </dgm:if>
        <dgm:else name="Name47"/>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4.xml><?xml version="1.0" encoding="utf-8"?>
<?mso-contentType ?>
<SharedContentType xmlns="Microsoft.SharePoint.Taxonomy.ContentTypeSync" SourceId="ae61f9b1-e23d-4f49-b3d7-56b991556c4b" ContentTypeId="0x0101001A458A224826124E8B45B1D613300CFC" PreviousValue="false"/>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R0001238549</Record_x0020_Number>
    <Division_x0020_or_x0020_Unit xmlns="cdc7663a-08f0-4737-9e8c-148ce897a09c">IFD/FMM</Division_x0020_or_x0020_Unit>
    <Key_x0020_Document xmlns="cdc7663a-08f0-4737-9e8c-148ce897a09c">false</Key_x0020_Document>
    <IDBDocs_x0020_Number xmlns="cdc7663a-08f0-4737-9e8c-148ce897a09c" xsi:nil="true"/>
    <Document_x0020_Author xmlns="cdc7663a-08f0-4737-9e8c-148ce897a09c">Gomez Reino, Juan Luis</Document_x0020_Author>
    <_dlc_DocId xmlns="cdc7663a-08f0-4737-9e8c-148ce897a09c">EZSHARE-1354788817-10</_dlc_DocId>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Ecuador</TermName>
          <TermId xmlns="http://schemas.microsoft.com/office/infopath/2007/PartnerControls">8f163189-00fa-4e7c-827d-28fb5798781c</TermId>
        </TermInfo>
      </Terms>
    </ic46d7e087fd4a108fb86518ca413cc6>
    <Fiscal_x0020_Year_x0020_IDB xmlns="cdc7663a-08f0-4737-9e8c-148ce897a09c">2019</Fiscal_x0020_Year_x0020_IDB>
    <TaxCatchAll xmlns="cdc7663a-08f0-4737-9e8c-148ce897a09c">
      <Value>46</Value>
      <Value>45</Value>
      <Value>9</Value>
      <Value>32</Value>
    </TaxCatchAll>
    <Operation_x0020_Type xmlns="cdc7663a-08f0-4737-9e8c-148ce897a09c">Loan Operation</Operation_x0020_Type>
    <b26cdb1da78c4bb4b1c1bac2f6ac5911 xmlns="cdc7663a-08f0-4737-9e8c-148ce897a09c">
      <Terms xmlns="http://schemas.microsoft.com/office/infopath/2007/PartnerControls"/>
    </b26cdb1da78c4bb4b1c1bac2f6ac5911>
    <Project_x0020_Number xmlns="cdc7663a-08f0-4737-9e8c-148ce897a09c">EC-L1251</Project_x0020_Number>
    <Migration_x0020_Info xmlns="cdc7663a-08f0-4737-9e8c-148ce897a09c" xsi:nil="true"/>
    <Package_x0020_Code xmlns="cdc7663a-08f0-4737-9e8c-148ce897a09c" xsi:nil="true"/>
    <Related_x0020_SisCor_x0020_Number xmlns="cdc7663a-08f0-4737-9e8c-148ce897a09c" xsi:nil="true"/>
    <Approval_x0020_Number xmlns="cdc7663a-08f0-4737-9e8c-148ce897a09c" xsi:nil="true"/>
    <Access_x0020_to_x0020_Information_x00a0_Policy xmlns="cdc7663a-08f0-4737-9e8c-148ce897a09c">Public</Access_x0020_to_x0020_Information_x00a0_Policy>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Administration</TermName>
          <TermId xmlns="http://schemas.microsoft.com/office/infopath/2007/PartnerControls">751f71fd-1433-4702-a2db-ff12a4e45594</TermId>
        </TermInfo>
      </Terms>
    </e46fe2894295491da65140ffd2369f49>
    <Business_x0020_Area xmlns="cdc7663a-08f0-4737-9e8c-148ce897a09c">Life Cycle</Business_x0020_Area>
    <Identifier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REFORM AND PUBLIC SECTOR SUPPORT</TermName>
          <TermId xmlns="http://schemas.microsoft.com/office/infopath/2007/PartnerControls">6679f56e-8b55-402b-90a0-8fe4c41c00ba</TermId>
        </TermInfo>
      </Terms>
    </b2ec7cfb18674cb8803df6b262e8b107>
    <Document_x0020_Language_x0020_IDB xmlns="cdc7663a-08f0-4737-9e8c-148ce897a09c">Spanish</Document_x0020_Language_x0020_IDB>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_dlc_DocIdUrl xmlns="cdc7663a-08f0-4737-9e8c-148ce897a09c">
      <Url>https://idbg.sharepoint.com/teams/EZ-EC-LON/EC-L1251/_layouts/15/DocIdRedir.aspx?ID=EZSHARE-1354788817-10</Url>
      <Description>EZSHARE-1354788817-10</Description>
    </_dlc_DocIdUrl>
    <Phase xmlns="cdc7663a-08f0-4737-9e8c-148ce897a09c">ACTIVE</Phase>
    <Other_x0020_Author xmlns="cdc7663a-08f0-4737-9e8c-148ce897a09c">Diana Champi</Other_x0020_Author>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965ED1042DEEA64488ECB5F0046B8EA3" ma:contentTypeVersion="2686" ma:contentTypeDescription="A content type to manage public (operations) IDB documents" ma:contentTypeScope="" ma:versionID="4957a8ea04025407ec7aa33d7e4838c2">
  <xsd:schema xmlns:xsd="http://www.w3.org/2001/XMLSchema" xmlns:xs="http://www.w3.org/2001/XMLSchema" xmlns:p="http://schemas.microsoft.com/office/2006/metadata/properties" xmlns:ns2="cdc7663a-08f0-4737-9e8c-148ce897a09c" targetNamespace="http://schemas.microsoft.com/office/2006/metadata/properties" ma:root="true" ma:fieldsID="36732a318c86ba943dc8de26496fcd6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SixthEditionOfficeOnline.xsl" StyleName="APA" Version="6">
  <b:Source>
    <b:Tag>ElC17</b:Tag>
    <b:SourceType>InternetSite</b:SourceType>
    <b:Guid>{98DA08CF-1B9D-4D11-95D8-2CB06370CC87}</b:Guid>
    <b:Title>El Comercio</b:Title>
    <b:Year>2017</b:Year>
    <b:Month>09</b:Month>
    <b:Day>20</b:Day>
    <b:URL>https://www.elcomercio.com/actualidad/ecuador-deficit-empresas-publicas-negocios.html</b:URL>
    <b:RefOrder>2</b:RefOrder>
  </b:Source>
  <b:Source>
    <b:Tag>ElC18</b:Tag>
    <b:SourceType>InternetSite</b:SourceType>
    <b:Guid>{0F80D079-08D1-43B3-A69D-BD23D2C82AA5}</b:Guid>
    <b:Title>El Comercio</b:Title>
    <b:Year>2018</b:Year>
    <b:Month>05</b:Month>
    <b:Day>23</b:Day>
    <b:URL>https://www.elcomercio.com/app_public.php/cartas/empresas-publicas-ecuador-opinion-cartas.html</b:URL>
    <b:RefOrder>3</b:RefOrder>
  </b:Source>
  <b:Source>
    <b:Tag>Ver09</b:Tag>
    <b:SourceType>Report</b:SourceType>
    <b:Guid>{2FA6E7C0-ADFD-438E-AAA9-7814ECADB5CD}</b:Guid>
    <b:Author>
      <b:Author>
        <b:NameList>
          <b:Person>
            <b:Last>Verónica Murillo Moncayo</b:Last>
            <b:First>Mariela</b:First>
            <b:Middle>Méndez Prado</b:Middle>
          </b:Person>
        </b:NameList>
      </b:Author>
    </b:Author>
    <b:Title>La Fusión de Empresas en el Ecuador como Opción de Crecimiento: Un Análisis de Casos</b:Title>
    <b:Year>2009</b:Year>
    <b:RefOrder>1</b:RefOrder>
  </b:Source>
</b:Sources>
</file>

<file path=customXml/itemProps1.xml><?xml version="1.0" encoding="utf-8"?>
<ds:datastoreItem xmlns:ds="http://schemas.openxmlformats.org/officeDocument/2006/customXml" ds:itemID="{8579AAFC-6207-4045-82C4-08DE3865603E}">
  <ds:schemaRefs>
    <ds:schemaRef ds:uri="http://schemas.microsoft.com/sharepoint/v3/contenttype/forms"/>
  </ds:schemaRefs>
</ds:datastoreItem>
</file>

<file path=customXml/itemProps2.xml><?xml version="1.0" encoding="utf-8"?>
<ds:datastoreItem xmlns:ds="http://schemas.openxmlformats.org/officeDocument/2006/customXml" ds:itemID="{A148B744-0F61-49E1-AA26-E5E5FBE1A644}">
  <ds:schemaRefs>
    <ds:schemaRef ds:uri="http://schemas.microsoft.com/sharepoint/events"/>
  </ds:schemaRefs>
</ds:datastoreItem>
</file>

<file path=customXml/itemProps3.xml><?xml version="1.0" encoding="utf-8"?>
<ds:datastoreItem xmlns:ds="http://schemas.openxmlformats.org/officeDocument/2006/customXml" ds:itemID="{5161F778-AF1D-4DDD-B27F-178F222C37E5}">
  <ds:schemaRefs>
    <ds:schemaRef ds:uri="http://schemas.microsoft.com/sharepoint/v3/contenttype/forms/url"/>
  </ds:schemaRefs>
</ds:datastoreItem>
</file>

<file path=customXml/itemProps4.xml><?xml version="1.0" encoding="utf-8"?>
<ds:datastoreItem xmlns:ds="http://schemas.openxmlformats.org/officeDocument/2006/customXml" ds:itemID="{381852AE-D96F-4737-BE67-3A8DDA4DB363}">
  <ds:schemaRefs>
    <ds:schemaRef ds:uri="Microsoft.SharePoint.Taxonomy.ContentTypeSync"/>
  </ds:schemaRefs>
</ds:datastoreItem>
</file>

<file path=customXml/itemProps5.xml><?xml version="1.0" encoding="utf-8"?>
<ds:datastoreItem xmlns:ds="http://schemas.openxmlformats.org/officeDocument/2006/customXml" ds:itemID="{8BAC3B47-13B4-4C57-93CB-DA0CB19F9EDB}">
  <ds:schemaRefs>
    <ds:schemaRef ds:uri="http://schemas.microsoft.com/office/2006/metadata/properties"/>
    <ds:schemaRef ds:uri="http://schemas.microsoft.com/office/infopath/2007/PartnerControls"/>
    <ds:schemaRef ds:uri="cdc7663a-08f0-4737-9e8c-148ce897a09c"/>
  </ds:schemaRefs>
</ds:datastoreItem>
</file>

<file path=customXml/itemProps6.xml><?xml version="1.0" encoding="utf-8"?>
<ds:datastoreItem xmlns:ds="http://schemas.openxmlformats.org/officeDocument/2006/customXml" ds:itemID="{83A8E3F9-201E-4E4B-BC43-A1D03DAC62E9}"/>
</file>

<file path=customXml/itemProps7.xml><?xml version="1.0" encoding="utf-8"?>
<ds:datastoreItem xmlns:ds="http://schemas.openxmlformats.org/officeDocument/2006/customXml" ds:itemID="{D4A1E644-DAE5-405B-9F86-F1C317362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12004</Words>
  <Characters>68425</Characters>
  <Application>Microsoft Office Word</Application>
  <DocSecurity>0</DocSecurity>
  <Lines>570</Lines>
  <Paragraphs>160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LinksUpToDate>false</LinksUpToDate>
  <CharactersWithSpaces>80269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cp:lastModifiedBy/>
  <cp:revision>1</cp:revision>
  <dcterms:created xsi:type="dcterms:W3CDTF">2019-06-12T18:44:00Z</dcterms:created>
  <dcterms:modified xsi:type="dcterms:W3CDTF">2019-07-03T20:38:00Z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TaxKeywordTaxHTField">
    <vt:lpwstr/>
  </property>
  <property fmtid="{D5CDD505-2E9C-101B-9397-08002B2CF9AE}" pid="4" name="RecordStorageActiveId">
    <vt:lpwstr>6fe17714-8025-40ab-9c15-a1dc93880782</vt:lpwstr>
  </property>
  <property fmtid="{D5CDD505-2E9C-101B-9397-08002B2CF9AE}" pid="5" name="Series Operations IDB">
    <vt:lpwstr/>
  </property>
  <property fmtid="{D5CDD505-2E9C-101B-9397-08002B2CF9AE}" pid="6" name="Sub-Sector">
    <vt:lpwstr>46;#REFORM AND PUBLIC SECTOR SUPPORT|6679f56e-8b55-402b-90a0-8fe4c41c00ba</vt:lpwstr>
  </property>
  <property fmtid="{D5CDD505-2E9C-101B-9397-08002B2CF9AE}" pid="7" name="Fund IDB">
    <vt:lpwstr/>
  </property>
  <property fmtid="{D5CDD505-2E9C-101B-9397-08002B2CF9AE}" pid="8" name="Country">
    <vt:lpwstr>32;#Ecuador|8f163189-00fa-4e7c-827d-28fb5798781c</vt:lpwstr>
  </property>
  <property fmtid="{D5CDD505-2E9C-101B-9397-08002B2CF9AE}" pid="9" name="_dlc_DocIdItemGuid">
    <vt:lpwstr>6acf7243-0652-42bd-8a58-a12f33aeeb4d</vt:lpwstr>
  </property>
  <property fmtid="{D5CDD505-2E9C-101B-9397-08002B2CF9AE}" pid="10" name="Sector IDB">
    <vt:lpwstr>45;#REFORM / MODERNIZATION OF THE STATE|c8fda4a7-691a-4c65-b227-9825197b5cd2</vt:lpwstr>
  </property>
  <property fmtid="{D5CDD505-2E9C-101B-9397-08002B2CF9AE}" pid="11" name="Function Operations IDB">
    <vt:lpwstr>9;#Project Administration|751f71fd-1433-4702-a2db-ff12a4e45594</vt:lpwstr>
  </property>
  <property fmtid="{D5CDD505-2E9C-101B-9397-08002B2CF9AE}" pid="12" name="Disclosure Activity">
    <vt:lpwstr>Loan Proposal</vt:lpwstr>
  </property>
  <property fmtid="{D5CDD505-2E9C-101B-9397-08002B2CF9AE}" pid="13" name="ContentTypeId">
    <vt:lpwstr>0x0101001A458A224826124E8B45B1D613300CFC00965ED1042DEEA64488ECB5F0046B8EA3</vt:lpwstr>
  </property>
</Properties>
</file>