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7C668" w14:textId="77777777" w:rsidR="00F1165D" w:rsidRPr="009F019B" w:rsidRDefault="00F1165D" w:rsidP="00F1165D">
      <w:pPr>
        <w:jc w:val="center"/>
        <w:rPr>
          <w:rFonts w:ascii="Arial" w:hAnsi="Arial" w:cs="Arial"/>
          <w:b/>
          <w:bCs/>
          <w:caps/>
          <w:lang w:val="es-ES_tradnl"/>
        </w:rPr>
      </w:pPr>
      <w:r w:rsidRPr="009F019B">
        <w:rPr>
          <w:rFonts w:ascii="Arial" w:hAnsi="Arial" w:cs="Arial"/>
          <w:b/>
          <w:bCs/>
          <w:caps/>
          <w:lang w:val="es-ES_tradnl"/>
        </w:rPr>
        <w:t>República Del Ecuador</w:t>
      </w:r>
    </w:p>
    <w:p w14:paraId="681331F0" w14:textId="77777777" w:rsidR="00F1165D" w:rsidRPr="004044E8" w:rsidRDefault="00F1165D" w:rsidP="00F1165D">
      <w:pPr>
        <w:jc w:val="left"/>
        <w:rPr>
          <w:rFonts w:ascii="Arial" w:hAnsi="Arial" w:cs="Arial"/>
          <w:b/>
          <w:bCs/>
          <w:caps/>
          <w:lang w:val="es-ES_tradnl"/>
        </w:rPr>
      </w:pPr>
    </w:p>
    <w:p w14:paraId="436FB0D4" w14:textId="77777777" w:rsidR="00F1165D" w:rsidRPr="004044E8" w:rsidRDefault="00F1165D" w:rsidP="00F1165D">
      <w:pPr>
        <w:jc w:val="left"/>
        <w:rPr>
          <w:rFonts w:ascii="Arial" w:hAnsi="Arial" w:cs="Arial"/>
          <w:b/>
          <w:bCs/>
          <w:caps/>
          <w:lang w:val="es-ES_tradnl"/>
        </w:rPr>
      </w:pPr>
    </w:p>
    <w:p w14:paraId="2EDF95C0" w14:textId="77777777" w:rsidR="00F1165D" w:rsidRPr="004044E8" w:rsidRDefault="00F1165D" w:rsidP="00F1165D">
      <w:pPr>
        <w:jc w:val="left"/>
        <w:rPr>
          <w:rFonts w:ascii="Arial" w:hAnsi="Arial" w:cs="Arial"/>
          <w:b/>
          <w:bCs/>
          <w:caps/>
          <w:lang w:val="es-ES_tradnl"/>
        </w:rPr>
      </w:pPr>
    </w:p>
    <w:p w14:paraId="5280AD55" w14:textId="77777777" w:rsidR="00F1165D" w:rsidRPr="004044E8" w:rsidRDefault="00F1165D" w:rsidP="00F1165D">
      <w:pPr>
        <w:jc w:val="left"/>
        <w:rPr>
          <w:rFonts w:ascii="Arial" w:hAnsi="Arial" w:cs="Arial"/>
          <w:b/>
          <w:bCs/>
          <w:caps/>
          <w:lang w:val="es-ES_tradnl"/>
        </w:rPr>
      </w:pPr>
    </w:p>
    <w:p w14:paraId="2D8673C4" w14:textId="77777777" w:rsidR="00F1165D" w:rsidRPr="004044E8" w:rsidRDefault="00F1165D" w:rsidP="00F1165D">
      <w:pPr>
        <w:jc w:val="left"/>
        <w:rPr>
          <w:rFonts w:ascii="Arial" w:hAnsi="Arial" w:cs="Arial"/>
          <w:b/>
          <w:bCs/>
          <w:caps/>
          <w:lang w:val="es-ES_tradnl"/>
        </w:rPr>
      </w:pPr>
    </w:p>
    <w:p w14:paraId="1A13F089" w14:textId="77777777" w:rsidR="00F1165D" w:rsidRPr="004044E8" w:rsidRDefault="00F1165D" w:rsidP="00F1165D">
      <w:pPr>
        <w:jc w:val="left"/>
        <w:rPr>
          <w:rFonts w:ascii="Arial" w:hAnsi="Arial" w:cs="Arial"/>
          <w:b/>
          <w:bCs/>
          <w:caps/>
          <w:lang w:val="es-ES_tradnl"/>
        </w:rPr>
      </w:pPr>
    </w:p>
    <w:p w14:paraId="09FF7271" w14:textId="77777777" w:rsidR="002B1AFD" w:rsidRPr="004044E8" w:rsidRDefault="002B1AFD" w:rsidP="00F1165D">
      <w:pPr>
        <w:jc w:val="left"/>
        <w:rPr>
          <w:rFonts w:ascii="Arial" w:hAnsi="Arial" w:cs="Arial"/>
          <w:b/>
          <w:bCs/>
          <w:caps/>
          <w:lang w:val="es-ES_tradnl"/>
        </w:rPr>
      </w:pPr>
    </w:p>
    <w:p w14:paraId="27D61525" w14:textId="77777777" w:rsidR="002B1AFD" w:rsidRPr="004044E8" w:rsidRDefault="002B1AFD" w:rsidP="00F1165D">
      <w:pPr>
        <w:jc w:val="left"/>
        <w:rPr>
          <w:rFonts w:ascii="Arial" w:hAnsi="Arial" w:cs="Arial"/>
          <w:b/>
          <w:bCs/>
          <w:caps/>
          <w:lang w:val="es-ES_tradnl"/>
        </w:rPr>
      </w:pPr>
    </w:p>
    <w:p w14:paraId="5AF5F9D7" w14:textId="77777777" w:rsidR="002B1AFD" w:rsidRPr="004044E8" w:rsidRDefault="002B1AFD" w:rsidP="00F1165D">
      <w:pPr>
        <w:jc w:val="left"/>
        <w:rPr>
          <w:rFonts w:ascii="Arial" w:hAnsi="Arial" w:cs="Arial"/>
          <w:b/>
          <w:bCs/>
          <w:caps/>
          <w:lang w:val="es-ES_tradnl"/>
        </w:rPr>
      </w:pPr>
    </w:p>
    <w:p w14:paraId="297E9F4C" w14:textId="77777777" w:rsidR="002B1AFD" w:rsidRPr="004044E8" w:rsidRDefault="002B1AFD" w:rsidP="00F1165D">
      <w:pPr>
        <w:jc w:val="left"/>
        <w:rPr>
          <w:rFonts w:ascii="Arial" w:hAnsi="Arial" w:cs="Arial"/>
          <w:b/>
          <w:bCs/>
          <w:caps/>
          <w:lang w:val="es-ES_tradnl"/>
        </w:rPr>
      </w:pPr>
    </w:p>
    <w:p w14:paraId="79B1F98D" w14:textId="77777777" w:rsidR="00F1165D" w:rsidRPr="004044E8" w:rsidRDefault="00F1165D" w:rsidP="00F1165D">
      <w:pPr>
        <w:jc w:val="left"/>
        <w:rPr>
          <w:rFonts w:ascii="Arial" w:hAnsi="Arial" w:cs="Arial"/>
          <w:b/>
          <w:bCs/>
          <w:caps/>
          <w:lang w:val="es-ES_tradnl"/>
        </w:rPr>
      </w:pPr>
    </w:p>
    <w:p w14:paraId="3BBF9959" w14:textId="77777777" w:rsidR="00F1165D" w:rsidRPr="004044E8" w:rsidRDefault="00F1165D" w:rsidP="00F1165D">
      <w:pPr>
        <w:jc w:val="left"/>
        <w:rPr>
          <w:rFonts w:ascii="Arial" w:hAnsi="Arial" w:cs="Arial"/>
          <w:b/>
          <w:bCs/>
          <w:caps/>
          <w:lang w:val="es-ES_tradnl"/>
        </w:rPr>
      </w:pPr>
    </w:p>
    <w:p w14:paraId="0F48A3D1" w14:textId="1C8C8609" w:rsidR="00972E0E" w:rsidRPr="004044E8" w:rsidRDefault="007C2E76" w:rsidP="00F1165D">
      <w:pPr>
        <w:jc w:val="center"/>
        <w:rPr>
          <w:rFonts w:ascii="Arial" w:hAnsi="Arial" w:cs="Arial"/>
          <w:b/>
          <w:bCs/>
          <w:smallCaps/>
          <w:sz w:val="24"/>
          <w:lang w:val="es-ES_tradnl"/>
        </w:rPr>
      </w:pPr>
      <w:r w:rsidRPr="004044E8">
        <w:rPr>
          <w:rFonts w:ascii="Arial" w:hAnsi="Arial" w:cs="Arial"/>
          <w:b/>
          <w:smallCaps/>
          <w:sz w:val="28"/>
          <w:szCs w:val="28"/>
          <w:lang w:val="es-ES"/>
        </w:rPr>
        <w:t>Programa de Apoyo a la Reforma de Empresas Públicas</w:t>
      </w:r>
      <w:r w:rsidR="00972E0E" w:rsidRPr="004044E8">
        <w:rPr>
          <w:rFonts w:ascii="Arial" w:hAnsi="Arial" w:cs="Arial"/>
          <w:b/>
          <w:bCs/>
          <w:smallCaps/>
          <w:sz w:val="24"/>
          <w:lang w:val="es-ES_tradnl"/>
        </w:rPr>
        <w:t xml:space="preserve"> </w:t>
      </w:r>
    </w:p>
    <w:p w14:paraId="406AC060" w14:textId="7A58C395" w:rsidR="00F1165D" w:rsidRPr="004044E8" w:rsidRDefault="00FC6EE2" w:rsidP="00F1165D">
      <w:pPr>
        <w:jc w:val="center"/>
        <w:rPr>
          <w:rFonts w:ascii="Arial" w:hAnsi="Arial" w:cs="Arial"/>
          <w:b/>
          <w:bCs/>
          <w:caps/>
          <w:sz w:val="24"/>
          <w:lang w:val="es-ES_tradnl"/>
        </w:rPr>
      </w:pPr>
      <w:r w:rsidRPr="004044E8">
        <w:rPr>
          <w:rFonts w:ascii="Arial" w:hAnsi="Arial" w:cs="Arial"/>
          <w:b/>
          <w:bCs/>
          <w:smallCaps/>
          <w:sz w:val="24"/>
          <w:lang w:val="es-ES_tradnl"/>
        </w:rPr>
        <w:t>(</w:t>
      </w:r>
      <w:r w:rsidR="00F1165D" w:rsidRPr="004044E8">
        <w:rPr>
          <w:rFonts w:ascii="Arial" w:hAnsi="Arial" w:cs="Arial"/>
          <w:b/>
          <w:bCs/>
          <w:caps/>
          <w:sz w:val="24"/>
          <w:lang w:val="es-ES_tradnl"/>
        </w:rPr>
        <w:t>EC-L</w:t>
      </w:r>
      <w:r w:rsidR="00382BCF" w:rsidRPr="004044E8">
        <w:rPr>
          <w:rFonts w:ascii="Arial" w:hAnsi="Arial" w:cs="Arial"/>
          <w:b/>
          <w:bCs/>
          <w:caps/>
          <w:sz w:val="24"/>
          <w:lang w:val="es-ES_tradnl"/>
        </w:rPr>
        <w:t>1</w:t>
      </w:r>
      <w:r w:rsidR="00972E0E" w:rsidRPr="004044E8">
        <w:rPr>
          <w:rFonts w:ascii="Arial" w:hAnsi="Arial" w:cs="Arial"/>
          <w:b/>
          <w:bCs/>
          <w:caps/>
          <w:sz w:val="24"/>
          <w:lang w:val="es-ES_tradnl"/>
        </w:rPr>
        <w:t>2</w:t>
      </w:r>
      <w:r w:rsidR="007C2E76" w:rsidRPr="004044E8">
        <w:rPr>
          <w:rFonts w:ascii="Arial" w:hAnsi="Arial" w:cs="Arial"/>
          <w:b/>
          <w:bCs/>
          <w:caps/>
          <w:sz w:val="24"/>
          <w:lang w:val="es-ES_tradnl"/>
        </w:rPr>
        <w:t>51</w:t>
      </w:r>
      <w:r w:rsidR="00F1165D" w:rsidRPr="004044E8">
        <w:rPr>
          <w:rFonts w:ascii="Arial" w:hAnsi="Arial" w:cs="Arial"/>
          <w:b/>
          <w:bCs/>
          <w:caps/>
          <w:sz w:val="24"/>
          <w:lang w:val="es-ES_tradnl"/>
        </w:rPr>
        <w:t>)</w:t>
      </w:r>
    </w:p>
    <w:p w14:paraId="5A6302EF" w14:textId="77777777" w:rsidR="00F1165D" w:rsidRPr="004044E8" w:rsidRDefault="00F1165D" w:rsidP="00F1165D">
      <w:pPr>
        <w:jc w:val="center"/>
        <w:rPr>
          <w:rFonts w:ascii="Arial" w:hAnsi="Arial" w:cs="Arial"/>
          <w:b/>
          <w:bCs/>
          <w:caps/>
          <w:sz w:val="24"/>
          <w:lang w:val="es-ES_tradnl"/>
        </w:rPr>
      </w:pPr>
    </w:p>
    <w:p w14:paraId="23745F6C" w14:textId="77777777" w:rsidR="00F1165D" w:rsidRPr="004044E8" w:rsidRDefault="00F1165D" w:rsidP="00F1165D">
      <w:pPr>
        <w:jc w:val="center"/>
        <w:rPr>
          <w:rFonts w:ascii="Arial" w:hAnsi="Arial" w:cs="Arial"/>
          <w:b/>
          <w:bCs/>
          <w:caps/>
          <w:sz w:val="24"/>
          <w:lang w:val="es-ES_tradnl"/>
        </w:rPr>
      </w:pPr>
    </w:p>
    <w:p w14:paraId="427D687C" w14:textId="2008F677" w:rsidR="00F1165D" w:rsidRPr="004044E8" w:rsidRDefault="00AE58BE" w:rsidP="00F1165D">
      <w:pPr>
        <w:jc w:val="center"/>
        <w:rPr>
          <w:rFonts w:ascii="Arial" w:hAnsi="Arial" w:cs="Arial"/>
          <w:b/>
          <w:bCs/>
          <w:caps/>
          <w:sz w:val="24"/>
          <w:lang w:val="es-ES_tradnl"/>
        </w:rPr>
      </w:pPr>
      <w:r w:rsidRPr="004044E8">
        <w:rPr>
          <w:rFonts w:ascii="Arial" w:hAnsi="Arial" w:cs="Arial"/>
          <w:b/>
          <w:bCs/>
          <w:smallCaps/>
          <w:sz w:val="24"/>
          <w:lang w:val="es-ES_tradnl"/>
        </w:rPr>
        <w:t>Contrato de Préstamo</w:t>
      </w:r>
      <w:r w:rsidR="00F1165D" w:rsidRPr="004044E8">
        <w:rPr>
          <w:rFonts w:ascii="Arial" w:hAnsi="Arial" w:cs="Arial"/>
          <w:b/>
          <w:bCs/>
          <w:caps/>
          <w:sz w:val="24"/>
          <w:lang w:val="es-ES_tradnl"/>
        </w:rPr>
        <w:t xml:space="preserve"> </w:t>
      </w:r>
      <w:r w:rsidR="00972E0E" w:rsidRPr="004044E8">
        <w:rPr>
          <w:rFonts w:ascii="Arial" w:hAnsi="Arial" w:cs="Arial"/>
          <w:b/>
          <w:bCs/>
          <w:caps/>
          <w:sz w:val="24"/>
          <w:lang w:val="es-ES_tradnl"/>
        </w:rPr>
        <w:t>XXXX</w:t>
      </w:r>
      <w:r w:rsidR="00A038B9" w:rsidRPr="004044E8">
        <w:rPr>
          <w:rFonts w:ascii="Arial" w:hAnsi="Arial" w:cs="Arial"/>
          <w:b/>
          <w:bCs/>
          <w:caps/>
          <w:sz w:val="24"/>
          <w:lang w:val="es-ES_tradnl"/>
        </w:rPr>
        <w:t>/OC-EC</w:t>
      </w:r>
    </w:p>
    <w:p w14:paraId="601E2401" w14:textId="77777777" w:rsidR="00F1165D" w:rsidRPr="004044E8" w:rsidRDefault="00F1165D" w:rsidP="00F1165D">
      <w:pPr>
        <w:jc w:val="center"/>
        <w:rPr>
          <w:rFonts w:ascii="Arial" w:hAnsi="Arial" w:cs="Arial"/>
          <w:b/>
          <w:bCs/>
          <w:caps/>
          <w:sz w:val="24"/>
          <w:lang w:val="es-ES_tradnl"/>
        </w:rPr>
      </w:pPr>
    </w:p>
    <w:p w14:paraId="7F5814B9" w14:textId="77777777" w:rsidR="00F1165D" w:rsidRPr="004044E8" w:rsidRDefault="00F1165D" w:rsidP="00F1165D">
      <w:pPr>
        <w:jc w:val="center"/>
        <w:rPr>
          <w:rFonts w:ascii="Arial" w:hAnsi="Arial" w:cs="Arial"/>
          <w:b/>
          <w:bCs/>
          <w:caps/>
          <w:sz w:val="24"/>
          <w:lang w:val="es-ES_tradnl"/>
        </w:rPr>
      </w:pPr>
    </w:p>
    <w:p w14:paraId="711FFFA8" w14:textId="5AF01C86" w:rsidR="00F1165D" w:rsidRPr="004044E8" w:rsidRDefault="00AE58BE" w:rsidP="00F1165D">
      <w:pPr>
        <w:jc w:val="center"/>
        <w:rPr>
          <w:rFonts w:ascii="Arial" w:hAnsi="Arial" w:cs="Arial"/>
          <w:b/>
          <w:bCs/>
          <w:caps/>
          <w:smallCaps/>
          <w:sz w:val="24"/>
        </w:rPr>
      </w:pPr>
      <w:r w:rsidRPr="004044E8">
        <w:rPr>
          <w:rFonts w:ascii="Arial" w:hAnsi="Arial" w:cs="Arial"/>
          <w:b/>
          <w:bCs/>
          <w:smallCaps/>
          <w:sz w:val="24"/>
          <w:lang w:val="es-ES_tradnl"/>
        </w:rPr>
        <w:t>Reglamento Operativo</w:t>
      </w:r>
      <w:r w:rsidR="00F1165D" w:rsidRPr="004044E8">
        <w:rPr>
          <w:rFonts w:ascii="Arial" w:hAnsi="Arial" w:cs="Arial"/>
          <w:b/>
          <w:bCs/>
          <w:caps/>
          <w:smallCaps/>
          <w:sz w:val="24"/>
          <w:lang w:val="es-ES_tradnl"/>
        </w:rPr>
        <w:t xml:space="preserve"> </w:t>
      </w:r>
    </w:p>
    <w:p w14:paraId="739FB302" w14:textId="3F149AC7" w:rsidR="00F1165D" w:rsidRPr="004044E8" w:rsidRDefault="0062709E" w:rsidP="00F1165D">
      <w:pPr>
        <w:jc w:val="center"/>
        <w:rPr>
          <w:rFonts w:ascii="Arial" w:hAnsi="Arial" w:cs="Arial"/>
          <w:bCs/>
          <w:caps/>
          <w:lang w:val="es-ES_tradnl"/>
        </w:rPr>
      </w:pPr>
      <w:r w:rsidRPr="004044E8">
        <w:rPr>
          <w:rFonts w:ascii="Arial" w:hAnsi="Arial" w:cs="Arial"/>
          <w:bCs/>
          <w:caps/>
          <w:lang w:val="es-ES_tradnl"/>
        </w:rPr>
        <w:t xml:space="preserve">vERSIÓN: pRIMERA </w:t>
      </w:r>
      <w:r w:rsidR="00F1165D" w:rsidRPr="004044E8">
        <w:rPr>
          <w:rFonts w:ascii="Arial" w:hAnsi="Arial" w:cs="Arial"/>
          <w:bCs/>
          <w:caps/>
          <w:lang w:val="es-ES_tradnl"/>
        </w:rPr>
        <w:t>(</w:t>
      </w:r>
      <w:r w:rsidR="007C2E76" w:rsidRPr="004044E8">
        <w:rPr>
          <w:rFonts w:ascii="Arial" w:hAnsi="Arial" w:cs="Arial"/>
          <w:bCs/>
          <w:caps/>
          <w:lang w:val="es-ES_tradnl"/>
        </w:rPr>
        <w:t>xx</w:t>
      </w:r>
      <w:r w:rsidR="00F1165D" w:rsidRPr="004044E8">
        <w:rPr>
          <w:rFonts w:ascii="Arial" w:hAnsi="Arial" w:cs="Arial"/>
          <w:bCs/>
          <w:caps/>
          <w:lang w:val="es-ES_tradnl"/>
        </w:rPr>
        <w:t xml:space="preserve"> – </w:t>
      </w:r>
      <w:r w:rsidR="007C2E76" w:rsidRPr="004044E8">
        <w:rPr>
          <w:rFonts w:ascii="Arial" w:hAnsi="Arial" w:cs="Arial"/>
          <w:bCs/>
          <w:caps/>
          <w:lang w:val="es-ES_tradnl"/>
        </w:rPr>
        <w:t>xx</w:t>
      </w:r>
      <w:r w:rsidRPr="004044E8">
        <w:rPr>
          <w:rFonts w:ascii="Arial" w:hAnsi="Arial" w:cs="Arial"/>
          <w:bCs/>
          <w:caps/>
          <w:lang w:val="es-ES_tradnl"/>
        </w:rPr>
        <w:t xml:space="preserve">-2019) </w:t>
      </w:r>
      <w:r w:rsidR="00AE58BE" w:rsidRPr="004044E8">
        <w:rPr>
          <w:rFonts w:ascii="Arial" w:hAnsi="Arial" w:cs="Arial"/>
          <w:bCs/>
          <w:caps/>
          <w:lang w:val="es-ES_tradnl"/>
        </w:rPr>
        <w:t>Borrador</w:t>
      </w:r>
      <w:r w:rsidRPr="004044E8">
        <w:rPr>
          <w:rFonts w:ascii="Arial" w:hAnsi="Arial" w:cs="Arial"/>
          <w:bCs/>
          <w:caps/>
          <w:lang w:val="es-ES_tradnl"/>
        </w:rPr>
        <w:t xml:space="preserve"> INICIAL </w:t>
      </w:r>
    </w:p>
    <w:p w14:paraId="50A351FB" w14:textId="77777777" w:rsidR="00F1165D" w:rsidRPr="004044E8" w:rsidRDefault="00F1165D" w:rsidP="00F1165D">
      <w:pPr>
        <w:jc w:val="center"/>
        <w:rPr>
          <w:rFonts w:ascii="Arial" w:hAnsi="Arial" w:cs="Arial"/>
          <w:b/>
          <w:bCs/>
          <w:caps/>
          <w:lang w:val="es-ES_tradnl"/>
        </w:rPr>
      </w:pPr>
    </w:p>
    <w:p w14:paraId="248CE692" w14:textId="77777777" w:rsidR="00F1165D" w:rsidRPr="004044E8" w:rsidRDefault="00F1165D" w:rsidP="00F1165D">
      <w:pPr>
        <w:jc w:val="center"/>
        <w:rPr>
          <w:rFonts w:ascii="Arial" w:hAnsi="Arial" w:cs="Arial"/>
          <w:b/>
          <w:bCs/>
          <w:caps/>
          <w:lang w:val="es-ES_tradnl"/>
        </w:rPr>
      </w:pPr>
    </w:p>
    <w:p w14:paraId="4C764774" w14:textId="77777777" w:rsidR="00F1165D" w:rsidRPr="004044E8" w:rsidRDefault="00F1165D" w:rsidP="00F1165D">
      <w:pPr>
        <w:jc w:val="center"/>
        <w:rPr>
          <w:rFonts w:ascii="Arial" w:hAnsi="Arial" w:cs="Arial"/>
          <w:b/>
          <w:bCs/>
          <w:caps/>
          <w:lang w:val="es-ES_tradnl"/>
        </w:rPr>
      </w:pPr>
    </w:p>
    <w:p w14:paraId="70A013DD" w14:textId="77777777" w:rsidR="00F1165D" w:rsidRPr="004044E8" w:rsidRDefault="00F1165D" w:rsidP="00F1165D">
      <w:pPr>
        <w:jc w:val="center"/>
        <w:rPr>
          <w:rFonts w:ascii="Arial" w:hAnsi="Arial" w:cs="Arial"/>
          <w:b/>
          <w:bCs/>
          <w:caps/>
          <w:lang w:val="es-ES_tradnl"/>
        </w:rPr>
      </w:pPr>
    </w:p>
    <w:p w14:paraId="4AEE191F" w14:textId="77777777" w:rsidR="002B1AFD" w:rsidRPr="004044E8" w:rsidRDefault="002B1AFD" w:rsidP="00F1165D">
      <w:pPr>
        <w:jc w:val="center"/>
        <w:rPr>
          <w:rFonts w:ascii="Arial" w:hAnsi="Arial" w:cs="Arial"/>
          <w:b/>
          <w:bCs/>
          <w:caps/>
          <w:lang w:val="es-ES_tradnl"/>
        </w:rPr>
      </w:pPr>
    </w:p>
    <w:p w14:paraId="2B4685DE" w14:textId="4B38EA86" w:rsidR="00F1165D" w:rsidRPr="004044E8" w:rsidRDefault="00F1165D" w:rsidP="00F1165D">
      <w:pPr>
        <w:jc w:val="center"/>
        <w:rPr>
          <w:rFonts w:ascii="Arial" w:hAnsi="Arial" w:cs="Arial"/>
          <w:b/>
          <w:bCs/>
          <w:smallCaps/>
          <w:lang w:val="es-ES_tradnl"/>
        </w:rPr>
      </w:pPr>
      <w:r w:rsidRPr="004044E8">
        <w:rPr>
          <w:rFonts w:ascii="Arial" w:hAnsi="Arial" w:cs="Arial"/>
          <w:b/>
          <w:bCs/>
          <w:smallCaps/>
          <w:lang w:val="es-ES_tradnl"/>
        </w:rPr>
        <w:t xml:space="preserve">Este documento fue elaborado </w:t>
      </w:r>
      <w:r w:rsidR="00AE58BE" w:rsidRPr="004044E8">
        <w:rPr>
          <w:rFonts w:ascii="Arial" w:hAnsi="Arial" w:cs="Arial"/>
          <w:b/>
          <w:bCs/>
          <w:smallCaps/>
          <w:lang w:val="es-ES_tradnl"/>
        </w:rPr>
        <w:t xml:space="preserve">y revisado </w:t>
      </w:r>
      <w:r w:rsidRPr="004044E8">
        <w:rPr>
          <w:rFonts w:ascii="Arial" w:hAnsi="Arial" w:cs="Arial"/>
          <w:b/>
          <w:bCs/>
          <w:smallCaps/>
          <w:lang w:val="es-ES_tradnl"/>
        </w:rPr>
        <w:t xml:space="preserve">por: </w:t>
      </w:r>
    </w:p>
    <w:p w14:paraId="4B8A53B0" w14:textId="77777777" w:rsidR="00382BCF" w:rsidRPr="004044E8" w:rsidRDefault="00382BCF" w:rsidP="0063685F">
      <w:pPr>
        <w:pStyle w:val="NoSpacing"/>
        <w:rPr>
          <w:rFonts w:ascii="Arial" w:hAnsi="Arial" w:cs="Arial"/>
          <w:lang w:val="es-ES_tradnl"/>
        </w:rPr>
      </w:pPr>
    </w:p>
    <w:p w14:paraId="0BF2AC4D" w14:textId="1DDA3986" w:rsidR="00556C71" w:rsidRPr="004044E8" w:rsidRDefault="00CC40AA" w:rsidP="0063685F">
      <w:pPr>
        <w:pStyle w:val="NoSpacing"/>
        <w:rPr>
          <w:rFonts w:ascii="Arial" w:hAnsi="Arial" w:cs="Arial"/>
          <w:b/>
          <w:u w:val="single"/>
          <w:lang w:val="es-ES_tradnl"/>
        </w:rPr>
      </w:pPr>
      <w:r w:rsidRPr="004044E8">
        <w:rPr>
          <w:rFonts w:ascii="Arial" w:hAnsi="Arial" w:cs="Arial"/>
          <w:b/>
          <w:u w:val="single"/>
          <w:lang w:val="es-ES_tradnl"/>
        </w:rPr>
        <w:t>Borrador p</w:t>
      </w:r>
      <w:r w:rsidR="00556C71" w:rsidRPr="004044E8">
        <w:rPr>
          <w:rFonts w:ascii="Arial" w:hAnsi="Arial" w:cs="Arial"/>
          <w:b/>
          <w:u w:val="single"/>
          <w:lang w:val="es-ES_tradnl"/>
        </w:rPr>
        <w:t>ara revisión</w:t>
      </w:r>
      <w:r w:rsidRPr="004044E8">
        <w:rPr>
          <w:rFonts w:ascii="Arial" w:hAnsi="Arial" w:cs="Arial"/>
          <w:b/>
          <w:u w:val="single"/>
          <w:lang w:val="es-ES_tradnl"/>
        </w:rPr>
        <w:t xml:space="preserve"> de</w:t>
      </w:r>
      <w:r w:rsidR="00556C71" w:rsidRPr="004044E8">
        <w:rPr>
          <w:rFonts w:ascii="Arial" w:hAnsi="Arial" w:cs="Arial"/>
          <w:b/>
          <w:u w:val="single"/>
          <w:lang w:val="es-ES_tradnl"/>
        </w:rPr>
        <w:t>:</w:t>
      </w:r>
    </w:p>
    <w:p w14:paraId="4870A8BC" w14:textId="38BF6A9D" w:rsidR="007951E6" w:rsidRPr="004044E8" w:rsidRDefault="007951E6" w:rsidP="00972E0E">
      <w:pPr>
        <w:pStyle w:val="NoSpacing"/>
        <w:rPr>
          <w:rFonts w:ascii="Arial" w:hAnsi="Arial" w:cs="Arial"/>
          <w:lang w:val="es-ES"/>
        </w:rPr>
      </w:pPr>
      <w:r w:rsidRPr="004044E8">
        <w:rPr>
          <w:rFonts w:ascii="Arial" w:hAnsi="Arial" w:cs="Arial"/>
        </w:rPr>
        <w:t xml:space="preserve">BID: </w:t>
      </w:r>
      <w:r w:rsidR="007C2E76" w:rsidRPr="004044E8">
        <w:rPr>
          <w:rFonts w:ascii="Arial" w:hAnsi="Arial" w:cs="Arial"/>
          <w:lang w:val="es-ES"/>
        </w:rPr>
        <w:t>Juan Luis Gómez (FMM/CEC), Jefe de Equipo; Emilio Pineda (FMM/CAR), Jefe de Equipo Alterno; Carlos Echeverria (INE/ENE); Pilar Jimenez de Arechaga (LEG/SGO); Alexandra Sánchez (CAN/CEC); Juan Carlos Dugand y Carolina Escudero (VPC/FMP); Diana Champi y Ana Calvo (IFD/FMM);</w:t>
      </w:r>
    </w:p>
    <w:p w14:paraId="290CE996" w14:textId="444BBFEF" w:rsidR="0063685F" w:rsidRPr="004044E8" w:rsidRDefault="00AE58BE" w:rsidP="0063685F">
      <w:pPr>
        <w:pStyle w:val="NoSpacing"/>
        <w:rPr>
          <w:rFonts w:ascii="Arial" w:hAnsi="Arial" w:cs="Arial"/>
        </w:rPr>
      </w:pPr>
      <w:r w:rsidRPr="004044E8">
        <w:rPr>
          <w:rFonts w:ascii="Arial" w:hAnsi="Arial" w:cs="Arial"/>
        </w:rPr>
        <w:t>M</w:t>
      </w:r>
      <w:r w:rsidR="007C2E76" w:rsidRPr="004044E8">
        <w:rPr>
          <w:rFonts w:ascii="Arial" w:hAnsi="Arial" w:cs="Arial"/>
        </w:rPr>
        <w:t>EF</w:t>
      </w:r>
      <w:r w:rsidR="00972E0E" w:rsidRPr="004044E8">
        <w:rPr>
          <w:rFonts w:ascii="Arial" w:hAnsi="Arial" w:cs="Arial"/>
        </w:rPr>
        <w:t xml:space="preserve">: </w:t>
      </w:r>
      <w:proofErr w:type="spellStart"/>
      <w:r w:rsidR="007C2E76" w:rsidRPr="004044E8">
        <w:rPr>
          <w:rFonts w:ascii="Arial" w:hAnsi="Arial" w:cs="Arial"/>
        </w:rPr>
        <w:t>xx</w:t>
      </w:r>
      <w:proofErr w:type="spellEnd"/>
      <w:r w:rsidR="002F35E0" w:rsidRPr="004044E8">
        <w:rPr>
          <w:rFonts w:ascii="Arial" w:hAnsi="Arial" w:cs="Arial"/>
        </w:rPr>
        <w:t xml:space="preserve">. </w:t>
      </w:r>
    </w:p>
    <w:p w14:paraId="0E280171" w14:textId="3D73AB20" w:rsidR="0063685F" w:rsidRPr="004044E8" w:rsidRDefault="0063685F" w:rsidP="0063685F">
      <w:pPr>
        <w:pStyle w:val="NoSpacing"/>
        <w:rPr>
          <w:rFonts w:ascii="Arial" w:hAnsi="Arial" w:cs="Arial"/>
        </w:rPr>
      </w:pPr>
      <w:r w:rsidRPr="004044E8">
        <w:rPr>
          <w:rFonts w:ascii="Arial" w:hAnsi="Arial" w:cs="Arial"/>
        </w:rPr>
        <w:t xml:space="preserve">CONSULTOR: </w:t>
      </w:r>
      <w:proofErr w:type="spellStart"/>
      <w:r w:rsidR="007C2E76" w:rsidRPr="004044E8">
        <w:rPr>
          <w:rFonts w:ascii="Arial" w:hAnsi="Arial" w:cs="Arial"/>
        </w:rPr>
        <w:t>xx</w:t>
      </w:r>
      <w:proofErr w:type="spellEnd"/>
    </w:p>
    <w:p w14:paraId="407B4B30" w14:textId="32E23516" w:rsidR="002B1AFD" w:rsidRPr="004044E8" w:rsidRDefault="0063685F" w:rsidP="00556C71">
      <w:pPr>
        <w:pStyle w:val="NoSpacing"/>
        <w:rPr>
          <w:rFonts w:ascii="Arial" w:hAnsi="Arial" w:cs="Arial"/>
        </w:rPr>
      </w:pPr>
      <w:r w:rsidRPr="004044E8">
        <w:rPr>
          <w:rFonts w:ascii="Arial" w:hAnsi="Arial" w:cs="Arial"/>
        </w:rPr>
        <w:t xml:space="preserve"> </w:t>
      </w:r>
    </w:p>
    <w:p w14:paraId="59B8BABA" w14:textId="2581FDAD" w:rsidR="00507E94" w:rsidRPr="004044E8" w:rsidRDefault="00507E94" w:rsidP="00556C71">
      <w:pPr>
        <w:pStyle w:val="NoSpacing"/>
        <w:rPr>
          <w:rFonts w:ascii="Arial" w:hAnsi="Arial" w:cs="Arial"/>
        </w:rPr>
      </w:pPr>
    </w:p>
    <w:p w14:paraId="06EDA7D3" w14:textId="664BF230" w:rsidR="00100FC8" w:rsidRPr="004044E8" w:rsidRDefault="00100FC8" w:rsidP="00556C71">
      <w:pPr>
        <w:pStyle w:val="NoSpacing"/>
        <w:rPr>
          <w:rFonts w:ascii="Arial" w:hAnsi="Arial" w:cs="Arial"/>
        </w:rPr>
      </w:pPr>
    </w:p>
    <w:p w14:paraId="0A96FF8C" w14:textId="5DD644BF" w:rsidR="00100FC8" w:rsidRPr="004044E8" w:rsidRDefault="00100FC8" w:rsidP="00556C71">
      <w:pPr>
        <w:pStyle w:val="NoSpacing"/>
        <w:rPr>
          <w:rFonts w:ascii="Arial" w:hAnsi="Arial" w:cs="Arial"/>
        </w:rPr>
      </w:pPr>
    </w:p>
    <w:p w14:paraId="001837A5" w14:textId="3C1B69C4" w:rsidR="00100FC8" w:rsidRPr="004044E8" w:rsidRDefault="00100FC8" w:rsidP="00556C71">
      <w:pPr>
        <w:pStyle w:val="NoSpacing"/>
        <w:rPr>
          <w:rFonts w:ascii="Arial" w:hAnsi="Arial" w:cs="Arial"/>
        </w:rPr>
      </w:pPr>
    </w:p>
    <w:p w14:paraId="02B56038" w14:textId="0339078F" w:rsidR="00100FC8" w:rsidRPr="004044E8" w:rsidRDefault="00100FC8" w:rsidP="00556C71">
      <w:pPr>
        <w:pStyle w:val="NoSpacing"/>
        <w:rPr>
          <w:rFonts w:ascii="Arial" w:hAnsi="Arial" w:cs="Arial"/>
        </w:rPr>
      </w:pPr>
    </w:p>
    <w:p w14:paraId="3DE3A9CE" w14:textId="77777777" w:rsidR="00100FC8" w:rsidRPr="004044E8" w:rsidRDefault="00100FC8" w:rsidP="00556C71">
      <w:pPr>
        <w:pStyle w:val="NoSpacing"/>
        <w:rPr>
          <w:rFonts w:ascii="Arial" w:hAnsi="Arial" w:cs="Arial"/>
        </w:rPr>
      </w:pPr>
    </w:p>
    <w:p w14:paraId="1EE044D1" w14:textId="77777777" w:rsidR="00507E94" w:rsidRPr="004044E8" w:rsidRDefault="00507E94" w:rsidP="00556C71">
      <w:pPr>
        <w:pStyle w:val="NoSpacing"/>
        <w:rPr>
          <w:rFonts w:ascii="Arial" w:hAnsi="Arial" w:cs="Arial"/>
          <w:b/>
          <w:bCs/>
          <w:caps/>
          <w:lang w:val="es-ES_tradnl"/>
        </w:rPr>
      </w:pPr>
    </w:p>
    <w:p w14:paraId="5500530B" w14:textId="77777777" w:rsidR="00F1165D" w:rsidRPr="004044E8" w:rsidRDefault="00E87FE6" w:rsidP="00F1165D">
      <w:pPr>
        <w:jc w:val="center"/>
        <w:rPr>
          <w:rFonts w:ascii="Arial" w:hAnsi="Arial" w:cs="Arial"/>
          <w:b/>
          <w:bCs/>
          <w:caps/>
          <w:lang w:val="es-ES_tradnl"/>
        </w:rPr>
      </w:pPr>
      <w:r w:rsidRPr="004044E8">
        <w:rPr>
          <w:rFonts w:ascii="Arial" w:hAnsi="Arial" w:cs="Arial"/>
          <w:b/>
          <w:bCs/>
          <w:caps/>
          <w:lang w:val="es-ES_tradnl"/>
        </w:rPr>
        <w:lastRenderedPageBreak/>
        <w:t>contenido</w:t>
      </w:r>
    </w:p>
    <w:p w14:paraId="087EA856" w14:textId="77777777" w:rsidR="00F1165D" w:rsidRPr="004044E8" w:rsidRDefault="00F1165D" w:rsidP="00FB6F3E">
      <w:pPr>
        <w:pStyle w:val="TOC1"/>
        <w:rPr>
          <w:rFonts w:ascii="Arial" w:hAnsi="Arial" w:cs="Arial"/>
        </w:rPr>
      </w:pPr>
    </w:p>
    <w:p w14:paraId="095968FC" w14:textId="5FBA7251" w:rsidR="001D0411" w:rsidRPr="009F019B" w:rsidRDefault="00324A5D">
      <w:pPr>
        <w:pStyle w:val="TOC1"/>
        <w:rPr>
          <w:rFonts w:ascii="Arial" w:eastAsiaTheme="minorEastAsia" w:hAnsi="Arial" w:cs="Arial"/>
          <w:b w:val="0"/>
          <w:bCs w:val="0"/>
          <w:caps w:val="0"/>
          <w:noProof/>
          <w:spacing w:val="0"/>
          <w:sz w:val="22"/>
          <w:szCs w:val="22"/>
          <w:lang w:val="en-US"/>
        </w:rPr>
      </w:pPr>
      <w:r w:rsidRPr="009F019B">
        <w:rPr>
          <w:rFonts w:ascii="Arial" w:hAnsi="Arial" w:cs="Arial"/>
        </w:rPr>
        <w:fldChar w:fldCharType="begin"/>
      </w:r>
      <w:r w:rsidRPr="004044E8">
        <w:rPr>
          <w:rFonts w:ascii="Arial" w:hAnsi="Arial" w:cs="Arial"/>
        </w:rPr>
        <w:instrText xml:space="preserve"> TOC \o "1-2" \h \z \u </w:instrText>
      </w:r>
      <w:r w:rsidRPr="004044E8">
        <w:rPr>
          <w:rFonts w:ascii="Arial" w:hAnsi="Arial" w:cs="Arial"/>
        </w:rPr>
        <w:fldChar w:fldCharType="separate"/>
      </w:r>
      <w:hyperlink w:anchor="_Toc10223095" w:history="1">
        <w:r w:rsidR="001D0411" w:rsidRPr="004044E8">
          <w:rPr>
            <w:rStyle w:val="Hyperlink"/>
            <w:rFonts w:ascii="Arial" w:hAnsi="Arial" w:cs="Arial"/>
            <w:noProof/>
          </w:rPr>
          <w:t>ABREVIATURAS</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_Toc10223095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4</w:t>
        </w:r>
        <w:r w:rsidR="001D0411" w:rsidRPr="004044E8">
          <w:rPr>
            <w:rFonts w:ascii="Arial" w:hAnsi="Arial" w:cs="Arial"/>
            <w:noProof/>
            <w:webHidden/>
          </w:rPr>
          <w:fldChar w:fldCharType="end"/>
        </w:r>
      </w:hyperlink>
    </w:p>
    <w:p w14:paraId="461D43F8" w14:textId="485E3A46" w:rsidR="001D0411" w:rsidRPr="009F019B" w:rsidRDefault="00EF5D6E">
      <w:pPr>
        <w:pStyle w:val="TOC1"/>
        <w:rPr>
          <w:rFonts w:ascii="Arial" w:eastAsiaTheme="minorEastAsia" w:hAnsi="Arial" w:cs="Arial"/>
          <w:b w:val="0"/>
          <w:bCs w:val="0"/>
          <w:caps w:val="0"/>
          <w:noProof/>
          <w:spacing w:val="0"/>
          <w:sz w:val="22"/>
          <w:szCs w:val="22"/>
          <w:lang w:val="en-US"/>
        </w:rPr>
      </w:pPr>
      <w:hyperlink w:anchor="_Toc10223096" w:history="1">
        <w:r w:rsidR="001D0411" w:rsidRPr="004044E8">
          <w:rPr>
            <w:rStyle w:val="Hyperlink"/>
            <w:rFonts w:ascii="Arial" w:hAnsi="Arial" w:cs="Arial"/>
            <w:noProof/>
          </w:rPr>
          <w:t>I.</w:t>
        </w:r>
        <w:r w:rsidR="001D0411" w:rsidRPr="004044E8">
          <w:rPr>
            <w:rFonts w:ascii="Arial" w:eastAsiaTheme="minorEastAsia" w:hAnsi="Arial" w:cs="Arial"/>
            <w:b w:val="0"/>
            <w:bCs w:val="0"/>
            <w:caps w:val="0"/>
            <w:noProof/>
            <w:spacing w:val="0"/>
            <w:sz w:val="22"/>
            <w:szCs w:val="22"/>
            <w:lang w:val="en-US"/>
          </w:rPr>
          <w:tab/>
        </w:r>
        <w:r w:rsidR="001D0411" w:rsidRPr="004044E8">
          <w:rPr>
            <w:rStyle w:val="Hyperlink"/>
            <w:rFonts w:ascii="Arial" w:hAnsi="Arial" w:cs="Arial"/>
            <w:noProof/>
          </w:rPr>
          <w:t>Objetivo y Alcance del Reglamento Operativo</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_Toc10223096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5</w:t>
        </w:r>
        <w:r w:rsidR="001D0411" w:rsidRPr="004044E8">
          <w:rPr>
            <w:rFonts w:ascii="Arial" w:hAnsi="Arial" w:cs="Arial"/>
            <w:noProof/>
            <w:webHidden/>
          </w:rPr>
          <w:fldChar w:fldCharType="end"/>
        </w:r>
      </w:hyperlink>
    </w:p>
    <w:p w14:paraId="6BC55250" w14:textId="30BEEA1C" w:rsidR="001D0411" w:rsidRPr="009F019B" w:rsidRDefault="00EF5D6E">
      <w:pPr>
        <w:pStyle w:val="TOC2"/>
        <w:rPr>
          <w:rFonts w:ascii="Arial" w:eastAsiaTheme="minorEastAsia" w:hAnsi="Arial" w:cs="Arial"/>
          <w:smallCaps w:val="0"/>
          <w:noProof/>
          <w:spacing w:val="0"/>
          <w:sz w:val="22"/>
          <w:szCs w:val="22"/>
          <w:lang w:val="en-US"/>
        </w:rPr>
      </w:pPr>
      <w:hyperlink w:anchor="_Toc10223097" w:history="1">
        <w:r w:rsidR="001D0411" w:rsidRPr="004044E8">
          <w:rPr>
            <w:rStyle w:val="Hyperlink"/>
            <w:rFonts w:ascii="Arial" w:hAnsi="Arial" w:cs="Arial"/>
            <w:noProof/>
          </w:rPr>
          <w:t>a.</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Objetivo del Reglamento Operativo</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_Toc10223097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5</w:t>
        </w:r>
        <w:r w:rsidR="001D0411" w:rsidRPr="004044E8">
          <w:rPr>
            <w:rFonts w:ascii="Arial" w:hAnsi="Arial" w:cs="Arial"/>
            <w:noProof/>
            <w:webHidden/>
          </w:rPr>
          <w:fldChar w:fldCharType="end"/>
        </w:r>
      </w:hyperlink>
    </w:p>
    <w:p w14:paraId="0BF3C35F" w14:textId="104379C4" w:rsidR="001D0411" w:rsidRPr="009F019B" w:rsidRDefault="00EF5D6E">
      <w:pPr>
        <w:pStyle w:val="TOC2"/>
        <w:rPr>
          <w:rFonts w:ascii="Arial" w:eastAsiaTheme="minorEastAsia" w:hAnsi="Arial" w:cs="Arial"/>
          <w:smallCaps w:val="0"/>
          <w:noProof/>
          <w:spacing w:val="0"/>
          <w:sz w:val="22"/>
          <w:szCs w:val="22"/>
          <w:lang w:val="en-US"/>
        </w:rPr>
      </w:pPr>
      <w:hyperlink w:anchor="_Toc10223098" w:history="1">
        <w:r w:rsidR="001D0411" w:rsidRPr="004044E8">
          <w:rPr>
            <w:rStyle w:val="Hyperlink"/>
            <w:rFonts w:ascii="Arial" w:hAnsi="Arial" w:cs="Arial"/>
            <w:noProof/>
          </w:rPr>
          <w:t>b.</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Alcance</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_Toc10223098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5</w:t>
        </w:r>
        <w:r w:rsidR="001D0411" w:rsidRPr="004044E8">
          <w:rPr>
            <w:rFonts w:ascii="Arial" w:hAnsi="Arial" w:cs="Arial"/>
            <w:noProof/>
            <w:webHidden/>
          </w:rPr>
          <w:fldChar w:fldCharType="end"/>
        </w:r>
      </w:hyperlink>
    </w:p>
    <w:p w14:paraId="219AD42D" w14:textId="21C4B5AB" w:rsidR="001D0411" w:rsidRPr="009F019B" w:rsidRDefault="00EF5D6E">
      <w:pPr>
        <w:pStyle w:val="TOC2"/>
        <w:rPr>
          <w:rFonts w:ascii="Arial" w:eastAsiaTheme="minorEastAsia" w:hAnsi="Arial" w:cs="Arial"/>
          <w:smallCaps w:val="0"/>
          <w:noProof/>
          <w:spacing w:val="0"/>
          <w:sz w:val="22"/>
          <w:szCs w:val="22"/>
          <w:lang w:val="en-US"/>
        </w:rPr>
      </w:pPr>
      <w:hyperlink w:anchor="_Toc10223099" w:history="1">
        <w:r w:rsidR="001D0411" w:rsidRPr="004044E8">
          <w:rPr>
            <w:rStyle w:val="Hyperlink"/>
            <w:rFonts w:ascii="Arial" w:hAnsi="Arial" w:cs="Arial"/>
            <w:noProof/>
          </w:rPr>
          <w:t>c.</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Vigencia y Modificaciones</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_Toc10223099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5</w:t>
        </w:r>
        <w:r w:rsidR="001D0411" w:rsidRPr="004044E8">
          <w:rPr>
            <w:rFonts w:ascii="Arial" w:hAnsi="Arial" w:cs="Arial"/>
            <w:noProof/>
            <w:webHidden/>
          </w:rPr>
          <w:fldChar w:fldCharType="end"/>
        </w:r>
      </w:hyperlink>
    </w:p>
    <w:p w14:paraId="4BCA92D2" w14:textId="3FC0FC73" w:rsidR="001D0411" w:rsidRPr="009F019B" w:rsidRDefault="00EF5D6E">
      <w:pPr>
        <w:pStyle w:val="TOC2"/>
        <w:rPr>
          <w:rFonts w:ascii="Arial" w:eastAsiaTheme="minorEastAsia" w:hAnsi="Arial" w:cs="Arial"/>
          <w:smallCaps w:val="0"/>
          <w:noProof/>
          <w:spacing w:val="0"/>
          <w:sz w:val="22"/>
          <w:szCs w:val="22"/>
          <w:lang w:val="en-US"/>
        </w:rPr>
      </w:pPr>
      <w:hyperlink w:anchor="_Toc10223100" w:history="1">
        <w:r w:rsidR="001D0411" w:rsidRPr="004044E8">
          <w:rPr>
            <w:rStyle w:val="Hyperlink"/>
            <w:rFonts w:ascii="Arial" w:hAnsi="Arial" w:cs="Arial"/>
            <w:noProof/>
          </w:rPr>
          <w:t>d.</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Normas que Rigen la Ejecución del Programa</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_Toc10223100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5</w:t>
        </w:r>
        <w:r w:rsidR="001D0411" w:rsidRPr="004044E8">
          <w:rPr>
            <w:rFonts w:ascii="Arial" w:hAnsi="Arial" w:cs="Arial"/>
            <w:noProof/>
            <w:webHidden/>
          </w:rPr>
          <w:fldChar w:fldCharType="end"/>
        </w:r>
      </w:hyperlink>
    </w:p>
    <w:p w14:paraId="356F5F47" w14:textId="6675B645" w:rsidR="001D0411" w:rsidRPr="009F019B" w:rsidRDefault="00EF5D6E">
      <w:pPr>
        <w:pStyle w:val="TOC2"/>
        <w:rPr>
          <w:rFonts w:ascii="Arial" w:eastAsiaTheme="minorEastAsia" w:hAnsi="Arial" w:cs="Arial"/>
          <w:smallCaps w:val="0"/>
          <w:noProof/>
          <w:spacing w:val="0"/>
          <w:sz w:val="22"/>
          <w:szCs w:val="22"/>
          <w:lang w:val="en-US"/>
        </w:rPr>
      </w:pPr>
      <w:hyperlink w:anchor="_Toc10223101" w:history="1">
        <w:r w:rsidR="001D0411" w:rsidRPr="004044E8">
          <w:rPr>
            <w:rStyle w:val="Hyperlink"/>
            <w:rFonts w:ascii="Arial" w:hAnsi="Arial" w:cs="Arial"/>
            <w:noProof/>
          </w:rPr>
          <w:t>e.</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Políticas e Instrumentos</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_Toc10223101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6</w:t>
        </w:r>
        <w:r w:rsidR="001D0411" w:rsidRPr="004044E8">
          <w:rPr>
            <w:rFonts w:ascii="Arial" w:hAnsi="Arial" w:cs="Arial"/>
            <w:noProof/>
            <w:webHidden/>
          </w:rPr>
          <w:fldChar w:fldCharType="end"/>
        </w:r>
      </w:hyperlink>
    </w:p>
    <w:p w14:paraId="0CA6EA3B" w14:textId="0B4CA628" w:rsidR="001D0411" w:rsidRPr="009F019B" w:rsidRDefault="00EF5D6E">
      <w:pPr>
        <w:pStyle w:val="TOC2"/>
        <w:rPr>
          <w:rFonts w:ascii="Arial" w:eastAsiaTheme="minorEastAsia" w:hAnsi="Arial" w:cs="Arial"/>
          <w:smallCaps w:val="0"/>
          <w:noProof/>
          <w:spacing w:val="0"/>
          <w:sz w:val="22"/>
          <w:szCs w:val="22"/>
          <w:lang w:val="en-US"/>
        </w:rPr>
      </w:pPr>
      <w:hyperlink w:anchor="_Toc10223102" w:history="1">
        <w:r w:rsidR="001D0411" w:rsidRPr="004044E8">
          <w:rPr>
            <w:rStyle w:val="Hyperlink"/>
            <w:rFonts w:ascii="Arial" w:hAnsi="Arial" w:cs="Arial"/>
            <w:noProof/>
          </w:rPr>
          <w:t>f.</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Normativa nacional</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_Toc10223102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6</w:t>
        </w:r>
        <w:r w:rsidR="001D0411" w:rsidRPr="004044E8">
          <w:rPr>
            <w:rFonts w:ascii="Arial" w:hAnsi="Arial" w:cs="Arial"/>
            <w:noProof/>
            <w:webHidden/>
          </w:rPr>
          <w:fldChar w:fldCharType="end"/>
        </w:r>
      </w:hyperlink>
    </w:p>
    <w:p w14:paraId="7A749F30" w14:textId="77DA09E4" w:rsidR="001D0411" w:rsidRPr="009F019B" w:rsidRDefault="00EF5D6E">
      <w:pPr>
        <w:pStyle w:val="TOC2"/>
        <w:rPr>
          <w:rFonts w:ascii="Arial" w:eastAsiaTheme="minorEastAsia" w:hAnsi="Arial" w:cs="Arial"/>
          <w:smallCaps w:val="0"/>
          <w:noProof/>
          <w:spacing w:val="0"/>
          <w:sz w:val="22"/>
          <w:szCs w:val="22"/>
          <w:lang w:val="en-US"/>
        </w:rPr>
      </w:pPr>
      <w:hyperlink w:anchor="_Toc10223103" w:history="1">
        <w:r w:rsidR="001D0411" w:rsidRPr="004044E8">
          <w:rPr>
            <w:rStyle w:val="Hyperlink"/>
            <w:rFonts w:ascii="Arial" w:hAnsi="Arial" w:cs="Arial"/>
            <w:noProof/>
          </w:rPr>
          <w:t>g.</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Discrepancias</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_Toc10223103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6</w:t>
        </w:r>
        <w:r w:rsidR="001D0411" w:rsidRPr="004044E8">
          <w:rPr>
            <w:rFonts w:ascii="Arial" w:hAnsi="Arial" w:cs="Arial"/>
            <w:noProof/>
            <w:webHidden/>
          </w:rPr>
          <w:fldChar w:fldCharType="end"/>
        </w:r>
      </w:hyperlink>
    </w:p>
    <w:p w14:paraId="670BF8C2" w14:textId="3CA98B6A" w:rsidR="001D0411" w:rsidRPr="009F019B" w:rsidRDefault="00EF5D6E">
      <w:pPr>
        <w:pStyle w:val="TOC1"/>
        <w:rPr>
          <w:rFonts w:ascii="Arial" w:eastAsiaTheme="minorEastAsia" w:hAnsi="Arial" w:cs="Arial"/>
          <w:b w:val="0"/>
          <w:bCs w:val="0"/>
          <w:caps w:val="0"/>
          <w:noProof/>
          <w:spacing w:val="0"/>
          <w:sz w:val="22"/>
          <w:szCs w:val="22"/>
          <w:lang w:val="en-US"/>
        </w:rPr>
      </w:pPr>
      <w:hyperlink w:anchor="_Toc10223104" w:history="1">
        <w:r w:rsidR="001D0411" w:rsidRPr="004044E8">
          <w:rPr>
            <w:rStyle w:val="Hyperlink"/>
            <w:rFonts w:ascii="Arial" w:hAnsi="Arial" w:cs="Arial"/>
            <w:noProof/>
          </w:rPr>
          <w:t>II.</w:t>
        </w:r>
        <w:r w:rsidR="001D0411" w:rsidRPr="004044E8">
          <w:rPr>
            <w:rFonts w:ascii="Arial" w:eastAsiaTheme="minorEastAsia" w:hAnsi="Arial" w:cs="Arial"/>
            <w:b w:val="0"/>
            <w:bCs w:val="0"/>
            <w:caps w:val="0"/>
            <w:noProof/>
            <w:spacing w:val="0"/>
            <w:sz w:val="22"/>
            <w:szCs w:val="22"/>
            <w:lang w:val="en-US"/>
          </w:rPr>
          <w:tab/>
        </w:r>
        <w:r w:rsidR="001D0411" w:rsidRPr="004044E8">
          <w:rPr>
            <w:rStyle w:val="Hyperlink"/>
            <w:rFonts w:ascii="Arial" w:hAnsi="Arial" w:cs="Arial"/>
            <w:noProof/>
          </w:rPr>
          <w:t>Descripción del Programa</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_Toc10223104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8</w:t>
        </w:r>
        <w:r w:rsidR="001D0411" w:rsidRPr="004044E8">
          <w:rPr>
            <w:rFonts w:ascii="Arial" w:hAnsi="Arial" w:cs="Arial"/>
            <w:noProof/>
            <w:webHidden/>
          </w:rPr>
          <w:fldChar w:fldCharType="end"/>
        </w:r>
      </w:hyperlink>
    </w:p>
    <w:p w14:paraId="51532249" w14:textId="105D381F" w:rsidR="001D0411" w:rsidRPr="009F019B" w:rsidRDefault="00EF5D6E">
      <w:pPr>
        <w:pStyle w:val="TOC2"/>
        <w:rPr>
          <w:rFonts w:ascii="Arial" w:eastAsiaTheme="minorEastAsia" w:hAnsi="Arial" w:cs="Arial"/>
          <w:smallCaps w:val="0"/>
          <w:noProof/>
          <w:spacing w:val="0"/>
          <w:sz w:val="22"/>
          <w:szCs w:val="22"/>
          <w:lang w:val="en-US"/>
        </w:rPr>
      </w:pPr>
      <w:hyperlink w:anchor="_Toc10223105" w:history="1">
        <w:r w:rsidR="001D0411" w:rsidRPr="004044E8">
          <w:rPr>
            <w:rStyle w:val="Hyperlink"/>
            <w:rFonts w:ascii="Arial" w:hAnsi="Arial" w:cs="Arial"/>
            <w:noProof/>
          </w:rPr>
          <w:t>a.</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Objetivo del Programa</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_Toc10223105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8</w:t>
        </w:r>
        <w:r w:rsidR="001D0411" w:rsidRPr="004044E8">
          <w:rPr>
            <w:rFonts w:ascii="Arial" w:hAnsi="Arial" w:cs="Arial"/>
            <w:noProof/>
            <w:webHidden/>
          </w:rPr>
          <w:fldChar w:fldCharType="end"/>
        </w:r>
      </w:hyperlink>
    </w:p>
    <w:p w14:paraId="7D57355D" w14:textId="19611A27" w:rsidR="001D0411" w:rsidRPr="009F019B" w:rsidRDefault="00EF5D6E">
      <w:pPr>
        <w:pStyle w:val="TOC2"/>
        <w:rPr>
          <w:rFonts w:ascii="Arial" w:eastAsiaTheme="minorEastAsia" w:hAnsi="Arial" w:cs="Arial"/>
          <w:smallCaps w:val="0"/>
          <w:noProof/>
          <w:spacing w:val="0"/>
          <w:sz w:val="22"/>
          <w:szCs w:val="22"/>
          <w:lang w:val="en-US"/>
        </w:rPr>
      </w:pPr>
      <w:hyperlink w:anchor="_Toc10223106" w:history="1">
        <w:r w:rsidR="001D0411" w:rsidRPr="004044E8">
          <w:rPr>
            <w:rStyle w:val="Hyperlink"/>
            <w:rFonts w:ascii="Arial" w:hAnsi="Arial" w:cs="Arial"/>
            <w:noProof/>
          </w:rPr>
          <w:t>b.</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Estructura del Programa</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_Toc10223106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8</w:t>
        </w:r>
        <w:r w:rsidR="001D0411" w:rsidRPr="004044E8">
          <w:rPr>
            <w:rFonts w:ascii="Arial" w:hAnsi="Arial" w:cs="Arial"/>
            <w:noProof/>
            <w:webHidden/>
          </w:rPr>
          <w:fldChar w:fldCharType="end"/>
        </w:r>
      </w:hyperlink>
    </w:p>
    <w:p w14:paraId="15A731BD" w14:textId="285DF285" w:rsidR="001D0411" w:rsidRPr="009F019B" w:rsidRDefault="00EF5D6E">
      <w:pPr>
        <w:pStyle w:val="TOC2"/>
        <w:rPr>
          <w:rFonts w:ascii="Arial" w:eastAsiaTheme="minorEastAsia" w:hAnsi="Arial" w:cs="Arial"/>
          <w:smallCaps w:val="0"/>
          <w:noProof/>
          <w:spacing w:val="0"/>
          <w:sz w:val="22"/>
          <w:szCs w:val="22"/>
          <w:lang w:val="en-US"/>
        </w:rPr>
      </w:pPr>
      <w:hyperlink w:anchor="_Toc10223107" w:history="1">
        <w:r w:rsidR="001D0411" w:rsidRPr="004044E8">
          <w:rPr>
            <w:rStyle w:val="Hyperlink"/>
            <w:rFonts w:ascii="Arial" w:hAnsi="Arial" w:cs="Arial"/>
            <w:noProof/>
          </w:rPr>
          <w:t>c.</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Costo del Programa y reprogramaciones</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_Toc10223107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9</w:t>
        </w:r>
        <w:r w:rsidR="001D0411" w:rsidRPr="004044E8">
          <w:rPr>
            <w:rFonts w:ascii="Arial" w:hAnsi="Arial" w:cs="Arial"/>
            <w:noProof/>
            <w:webHidden/>
          </w:rPr>
          <w:fldChar w:fldCharType="end"/>
        </w:r>
      </w:hyperlink>
    </w:p>
    <w:p w14:paraId="4A2BEA5D" w14:textId="3F779061" w:rsidR="001D0411" w:rsidRPr="009F019B" w:rsidRDefault="00EF5D6E">
      <w:pPr>
        <w:pStyle w:val="TOC2"/>
        <w:rPr>
          <w:rFonts w:ascii="Arial" w:eastAsiaTheme="minorEastAsia" w:hAnsi="Arial" w:cs="Arial"/>
          <w:smallCaps w:val="0"/>
          <w:noProof/>
          <w:spacing w:val="0"/>
          <w:sz w:val="22"/>
          <w:szCs w:val="22"/>
          <w:lang w:val="en-US"/>
        </w:rPr>
      </w:pPr>
      <w:hyperlink w:anchor="_Toc10223108" w:history="1">
        <w:r w:rsidR="001D0411" w:rsidRPr="004044E8">
          <w:rPr>
            <w:rStyle w:val="Hyperlink"/>
            <w:rFonts w:ascii="Arial" w:hAnsi="Arial" w:cs="Arial"/>
            <w:noProof/>
          </w:rPr>
          <w:t>d.</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Modificaciones y reasignaciones</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_Toc10223108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9</w:t>
        </w:r>
        <w:r w:rsidR="001D0411" w:rsidRPr="004044E8">
          <w:rPr>
            <w:rFonts w:ascii="Arial" w:hAnsi="Arial" w:cs="Arial"/>
            <w:noProof/>
            <w:webHidden/>
          </w:rPr>
          <w:fldChar w:fldCharType="end"/>
        </w:r>
      </w:hyperlink>
    </w:p>
    <w:p w14:paraId="11CACF4C" w14:textId="3E71F6BB" w:rsidR="001D0411" w:rsidRPr="009F019B" w:rsidRDefault="00EF5D6E">
      <w:pPr>
        <w:pStyle w:val="TOC1"/>
        <w:rPr>
          <w:rFonts w:ascii="Arial" w:eastAsiaTheme="minorEastAsia" w:hAnsi="Arial" w:cs="Arial"/>
          <w:b w:val="0"/>
          <w:bCs w:val="0"/>
          <w:caps w:val="0"/>
          <w:noProof/>
          <w:spacing w:val="0"/>
          <w:sz w:val="22"/>
          <w:szCs w:val="22"/>
          <w:lang w:val="en-US"/>
        </w:rPr>
      </w:pPr>
      <w:hyperlink w:anchor="_Toc10223109" w:history="1">
        <w:r w:rsidR="001D0411" w:rsidRPr="004044E8">
          <w:rPr>
            <w:rStyle w:val="Hyperlink"/>
            <w:rFonts w:ascii="Arial" w:hAnsi="Arial" w:cs="Arial"/>
            <w:noProof/>
          </w:rPr>
          <w:t>III.</w:t>
        </w:r>
        <w:r w:rsidR="001D0411" w:rsidRPr="004044E8">
          <w:rPr>
            <w:rFonts w:ascii="Arial" w:eastAsiaTheme="minorEastAsia" w:hAnsi="Arial" w:cs="Arial"/>
            <w:b w:val="0"/>
            <w:bCs w:val="0"/>
            <w:caps w:val="0"/>
            <w:noProof/>
            <w:spacing w:val="0"/>
            <w:sz w:val="22"/>
            <w:szCs w:val="22"/>
            <w:lang w:val="en-US"/>
          </w:rPr>
          <w:tab/>
        </w:r>
        <w:r w:rsidR="001D0411" w:rsidRPr="004044E8">
          <w:rPr>
            <w:rStyle w:val="Hyperlink"/>
            <w:rFonts w:ascii="Arial" w:hAnsi="Arial" w:cs="Arial"/>
            <w:noProof/>
          </w:rPr>
          <w:t>Esquema de Ejecución del Programa</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_Toc10223109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10</w:t>
        </w:r>
        <w:r w:rsidR="001D0411" w:rsidRPr="004044E8">
          <w:rPr>
            <w:rFonts w:ascii="Arial" w:hAnsi="Arial" w:cs="Arial"/>
            <w:noProof/>
            <w:webHidden/>
          </w:rPr>
          <w:fldChar w:fldCharType="end"/>
        </w:r>
      </w:hyperlink>
    </w:p>
    <w:p w14:paraId="2C7F6476" w14:textId="52205A64" w:rsidR="001D0411" w:rsidRPr="009F019B" w:rsidRDefault="00EF5D6E">
      <w:pPr>
        <w:pStyle w:val="TOC2"/>
        <w:rPr>
          <w:rFonts w:ascii="Arial" w:eastAsiaTheme="minorEastAsia" w:hAnsi="Arial" w:cs="Arial"/>
          <w:smallCaps w:val="0"/>
          <w:noProof/>
          <w:spacing w:val="0"/>
          <w:sz w:val="22"/>
          <w:szCs w:val="22"/>
          <w:lang w:val="en-US"/>
        </w:rPr>
      </w:pPr>
      <w:hyperlink w:anchor="_Toc10223110" w:history="1">
        <w:r w:rsidR="001D0411" w:rsidRPr="004044E8">
          <w:rPr>
            <w:rStyle w:val="Hyperlink"/>
            <w:rFonts w:ascii="Arial" w:hAnsi="Arial" w:cs="Arial"/>
            <w:noProof/>
          </w:rPr>
          <w:t>a.</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Entidades responsables de la ejecución del Programa</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_Toc10223110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10</w:t>
        </w:r>
        <w:r w:rsidR="001D0411" w:rsidRPr="004044E8">
          <w:rPr>
            <w:rFonts w:ascii="Arial" w:hAnsi="Arial" w:cs="Arial"/>
            <w:noProof/>
            <w:webHidden/>
          </w:rPr>
          <w:fldChar w:fldCharType="end"/>
        </w:r>
      </w:hyperlink>
    </w:p>
    <w:p w14:paraId="2E3DD225" w14:textId="46C64DA6" w:rsidR="001D0411" w:rsidRPr="009F019B" w:rsidRDefault="00EF5D6E">
      <w:pPr>
        <w:pStyle w:val="TOC2"/>
        <w:rPr>
          <w:rFonts w:ascii="Arial" w:eastAsiaTheme="minorEastAsia" w:hAnsi="Arial" w:cs="Arial"/>
          <w:smallCaps w:val="0"/>
          <w:noProof/>
          <w:spacing w:val="0"/>
          <w:sz w:val="22"/>
          <w:szCs w:val="22"/>
          <w:lang w:val="en-US"/>
        </w:rPr>
      </w:pPr>
      <w:hyperlink w:anchor="_Toc10223111" w:history="1">
        <w:r w:rsidR="001D0411" w:rsidRPr="004044E8">
          <w:rPr>
            <w:rStyle w:val="Hyperlink"/>
            <w:rFonts w:ascii="Arial" w:hAnsi="Arial" w:cs="Arial"/>
            <w:noProof/>
            <w:lang w:val="es-ES"/>
          </w:rPr>
          <w:t>b.</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lang w:val="es-ES"/>
          </w:rPr>
          <w:t>Los Equipos de Gestión del Programa (EDG)</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_Toc10223111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10</w:t>
        </w:r>
        <w:r w:rsidR="001D0411" w:rsidRPr="004044E8">
          <w:rPr>
            <w:rFonts w:ascii="Arial" w:hAnsi="Arial" w:cs="Arial"/>
            <w:noProof/>
            <w:webHidden/>
          </w:rPr>
          <w:fldChar w:fldCharType="end"/>
        </w:r>
      </w:hyperlink>
    </w:p>
    <w:p w14:paraId="14B38FAA" w14:textId="19286C31" w:rsidR="001D0411" w:rsidRPr="009F019B" w:rsidRDefault="00EF5D6E">
      <w:pPr>
        <w:pStyle w:val="TOC2"/>
        <w:rPr>
          <w:rFonts w:ascii="Arial" w:eastAsiaTheme="minorEastAsia" w:hAnsi="Arial" w:cs="Arial"/>
          <w:smallCaps w:val="0"/>
          <w:noProof/>
          <w:spacing w:val="0"/>
          <w:sz w:val="22"/>
          <w:szCs w:val="22"/>
          <w:lang w:val="en-US"/>
        </w:rPr>
      </w:pPr>
      <w:hyperlink w:anchor="_Toc10223112" w:history="1">
        <w:r w:rsidR="001D0411" w:rsidRPr="004044E8">
          <w:rPr>
            <w:rStyle w:val="Hyperlink"/>
            <w:rFonts w:ascii="Arial" w:hAnsi="Arial" w:cs="Arial"/>
            <w:noProof/>
          </w:rPr>
          <w:t>c.</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Responsabilidades Generales del OE y los OSE para la Ejecución del Programa</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_Toc10223112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10</w:t>
        </w:r>
        <w:r w:rsidR="001D0411" w:rsidRPr="004044E8">
          <w:rPr>
            <w:rFonts w:ascii="Arial" w:hAnsi="Arial" w:cs="Arial"/>
            <w:noProof/>
            <w:webHidden/>
          </w:rPr>
          <w:fldChar w:fldCharType="end"/>
        </w:r>
      </w:hyperlink>
    </w:p>
    <w:p w14:paraId="479B2567" w14:textId="1E936368" w:rsidR="001D0411" w:rsidRPr="009F019B" w:rsidRDefault="00EF5D6E">
      <w:pPr>
        <w:pStyle w:val="TOC2"/>
        <w:rPr>
          <w:rFonts w:ascii="Arial" w:eastAsiaTheme="minorEastAsia" w:hAnsi="Arial" w:cs="Arial"/>
          <w:smallCaps w:val="0"/>
          <w:noProof/>
          <w:spacing w:val="0"/>
          <w:sz w:val="22"/>
          <w:szCs w:val="22"/>
          <w:lang w:val="en-US"/>
        </w:rPr>
      </w:pPr>
      <w:hyperlink w:anchor="_Toc10223113" w:history="1">
        <w:r w:rsidR="001D0411" w:rsidRPr="004044E8">
          <w:rPr>
            <w:rStyle w:val="Hyperlink"/>
            <w:rFonts w:ascii="Arial" w:hAnsi="Arial" w:cs="Arial"/>
            <w:noProof/>
          </w:rPr>
          <w:t>d.</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Mecanismos de Coordinación</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_Toc10223113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11</w:t>
        </w:r>
        <w:r w:rsidR="001D0411" w:rsidRPr="004044E8">
          <w:rPr>
            <w:rFonts w:ascii="Arial" w:hAnsi="Arial" w:cs="Arial"/>
            <w:noProof/>
            <w:webHidden/>
          </w:rPr>
          <w:fldChar w:fldCharType="end"/>
        </w:r>
      </w:hyperlink>
    </w:p>
    <w:p w14:paraId="25F6C68C" w14:textId="08D39D2D" w:rsidR="001D0411" w:rsidRPr="009F019B" w:rsidRDefault="00EF5D6E">
      <w:pPr>
        <w:pStyle w:val="TOC1"/>
        <w:rPr>
          <w:rFonts w:ascii="Arial" w:eastAsiaTheme="minorEastAsia" w:hAnsi="Arial" w:cs="Arial"/>
          <w:b w:val="0"/>
          <w:bCs w:val="0"/>
          <w:caps w:val="0"/>
          <w:noProof/>
          <w:spacing w:val="0"/>
          <w:sz w:val="22"/>
          <w:szCs w:val="22"/>
          <w:lang w:val="en-US"/>
        </w:rPr>
      </w:pPr>
      <w:hyperlink w:anchor="_Toc10223114" w:history="1">
        <w:r w:rsidR="001D0411" w:rsidRPr="004044E8">
          <w:rPr>
            <w:rStyle w:val="Hyperlink"/>
            <w:rFonts w:ascii="Arial" w:hAnsi="Arial" w:cs="Arial"/>
            <w:noProof/>
          </w:rPr>
          <w:t>IV.</w:t>
        </w:r>
        <w:r w:rsidR="001D0411" w:rsidRPr="004044E8">
          <w:rPr>
            <w:rFonts w:ascii="Arial" w:eastAsiaTheme="minorEastAsia" w:hAnsi="Arial" w:cs="Arial"/>
            <w:b w:val="0"/>
            <w:bCs w:val="0"/>
            <w:caps w:val="0"/>
            <w:noProof/>
            <w:spacing w:val="0"/>
            <w:sz w:val="22"/>
            <w:szCs w:val="22"/>
            <w:lang w:val="en-US"/>
          </w:rPr>
          <w:tab/>
        </w:r>
        <w:r w:rsidR="001D0411" w:rsidRPr="004044E8">
          <w:rPr>
            <w:rStyle w:val="Hyperlink"/>
            <w:rFonts w:ascii="Arial" w:hAnsi="Arial" w:cs="Arial"/>
            <w:noProof/>
          </w:rPr>
          <w:t>Gestión del Programa</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_Toc10223114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12</w:t>
        </w:r>
        <w:r w:rsidR="001D0411" w:rsidRPr="004044E8">
          <w:rPr>
            <w:rFonts w:ascii="Arial" w:hAnsi="Arial" w:cs="Arial"/>
            <w:noProof/>
            <w:webHidden/>
          </w:rPr>
          <w:fldChar w:fldCharType="end"/>
        </w:r>
      </w:hyperlink>
    </w:p>
    <w:p w14:paraId="072BB271" w14:textId="2BF382C1" w:rsidR="001D0411" w:rsidRPr="009F019B" w:rsidRDefault="00EF5D6E">
      <w:pPr>
        <w:pStyle w:val="TOC2"/>
        <w:rPr>
          <w:rFonts w:ascii="Arial" w:eastAsiaTheme="minorEastAsia" w:hAnsi="Arial" w:cs="Arial"/>
          <w:smallCaps w:val="0"/>
          <w:noProof/>
          <w:spacing w:val="0"/>
          <w:sz w:val="22"/>
          <w:szCs w:val="22"/>
          <w:lang w:val="en-US"/>
        </w:rPr>
      </w:pPr>
      <w:hyperlink w:anchor="_Toc10223115" w:history="1">
        <w:r w:rsidR="001D0411" w:rsidRPr="004044E8">
          <w:rPr>
            <w:rStyle w:val="Hyperlink"/>
            <w:rFonts w:ascii="Arial" w:hAnsi="Arial" w:cs="Arial"/>
            <w:noProof/>
          </w:rPr>
          <w:t>a.</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Gestión para Resultados del Programa</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_Toc10223115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12</w:t>
        </w:r>
        <w:r w:rsidR="001D0411" w:rsidRPr="004044E8">
          <w:rPr>
            <w:rFonts w:ascii="Arial" w:hAnsi="Arial" w:cs="Arial"/>
            <w:noProof/>
            <w:webHidden/>
          </w:rPr>
          <w:fldChar w:fldCharType="end"/>
        </w:r>
      </w:hyperlink>
    </w:p>
    <w:p w14:paraId="32695AC4" w14:textId="53617465" w:rsidR="001D0411" w:rsidRPr="009F019B" w:rsidRDefault="00EF5D6E">
      <w:pPr>
        <w:pStyle w:val="TOC2"/>
        <w:rPr>
          <w:rFonts w:ascii="Arial" w:eastAsiaTheme="minorEastAsia" w:hAnsi="Arial" w:cs="Arial"/>
          <w:smallCaps w:val="0"/>
          <w:noProof/>
          <w:spacing w:val="0"/>
          <w:sz w:val="22"/>
          <w:szCs w:val="22"/>
          <w:lang w:val="en-US"/>
        </w:rPr>
      </w:pPr>
      <w:hyperlink w:anchor="_Toc10223116" w:history="1">
        <w:r w:rsidR="001D0411" w:rsidRPr="004044E8">
          <w:rPr>
            <w:rStyle w:val="Hyperlink"/>
            <w:rFonts w:ascii="Arial" w:hAnsi="Arial" w:cs="Arial"/>
            <w:noProof/>
          </w:rPr>
          <w:t>b.</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Gestión de Adquisiciones y Contrataciones del Programa</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_Toc10223116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13</w:t>
        </w:r>
        <w:r w:rsidR="001D0411" w:rsidRPr="004044E8">
          <w:rPr>
            <w:rFonts w:ascii="Arial" w:hAnsi="Arial" w:cs="Arial"/>
            <w:noProof/>
            <w:webHidden/>
          </w:rPr>
          <w:fldChar w:fldCharType="end"/>
        </w:r>
      </w:hyperlink>
    </w:p>
    <w:p w14:paraId="0ECBD025" w14:textId="17505DE2" w:rsidR="001D0411" w:rsidRPr="009F019B" w:rsidRDefault="00EF5D6E">
      <w:pPr>
        <w:pStyle w:val="TOC2"/>
        <w:rPr>
          <w:rFonts w:ascii="Arial" w:eastAsiaTheme="minorEastAsia" w:hAnsi="Arial" w:cs="Arial"/>
          <w:smallCaps w:val="0"/>
          <w:noProof/>
          <w:spacing w:val="0"/>
          <w:sz w:val="22"/>
          <w:szCs w:val="22"/>
          <w:lang w:val="en-US"/>
        </w:rPr>
      </w:pPr>
      <w:hyperlink w:anchor="_Toc10223117" w:history="1">
        <w:r w:rsidR="001D0411" w:rsidRPr="004044E8">
          <w:rPr>
            <w:rStyle w:val="Hyperlink"/>
            <w:rFonts w:ascii="Arial" w:hAnsi="Arial" w:cs="Arial"/>
            <w:noProof/>
          </w:rPr>
          <w:t>c.</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Gestión Financiera del Programa</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_Toc10223117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16</w:t>
        </w:r>
        <w:r w:rsidR="001D0411" w:rsidRPr="004044E8">
          <w:rPr>
            <w:rFonts w:ascii="Arial" w:hAnsi="Arial" w:cs="Arial"/>
            <w:noProof/>
            <w:webHidden/>
          </w:rPr>
          <w:fldChar w:fldCharType="end"/>
        </w:r>
      </w:hyperlink>
    </w:p>
    <w:p w14:paraId="3BFCE519" w14:textId="6F66D0DD" w:rsidR="001D0411" w:rsidRPr="009F019B" w:rsidRDefault="00EF5D6E">
      <w:pPr>
        <w:pStyle w:val="TOC2"/>
        <w:rPr>
          <w:rFonts w:ascii="Arial" w:eastAsiaTheme="minorEastAsia" w:hAnsi="Arial" w:cs="Arial"/>
          <w:smallCaps w:val="0"/>
          <w:noProof/>
          <w:spacing w:val="0"/>
          <w:sz w:val="22"/>
          <w:szCs w:val="22"/>
          <w:lang w:val="en-US"/>
        </w:rPr>
      </w:pPr>
      <w:hyperlink w:anchor="_Toc10223118" w:history="1">
        <w:r w:rsidR="001D0411" w:rsidRPr="004044E8">
          <w:rPr>
            <w:rStyle w:val="Hyperlink"/>
            <w:rFonts w:ascii="Arial" w:hAnsi="Arial" w:cs="Arial"/>
            <w:noProof/>
          </w:rPr>
          <w:t>d.</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Gestión de Monitoreo y Evaluación del Programa</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_Toc10223118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19</w:t>
        </w:r>
        <w:r w:rsidR="001D0411" w:rsidRPr="004044E8">
          <w:rPr>
            <w:rFonts w:ascii="Arial" w:hAnsi="Arial" w:cs="Arial"/>
            <w:noProof/>
            <w:webHidden/>
          </w:rPr>
          <w:fldChar w:fldCharType="end"/>
        </w:r>
      </w:hyperlink>
    </w:p>
    <w:p w14:paraId="6FEDB8C3" w14:textId="4809CA66" w:rsidR="001D0411" w:rsidRPr="009F019B" w:rsidRDefault="00EF5D6E">
      <w:pPr>
        <w:pStyle w:val="TOC1"/>
        <w:rPr>
          <w:rFonts w:ascii="Arial" w:eastAsiaTheme="minorEastAsia" w:hAnsi="Arial" w:cs="Arial"/>
          <w:b w:val="0"/>
          <w:bCs w:val="0"/>
          <w:caps w:val="0"/>
          <w:noProof/>
          <w:spacing w:val="0"/>
          <w:sz w:val="22"/>
          <w:szCs w:val="22"/>
          <w:lang w:val="en-US"/>
        </w:rPr>
      </w:pPr>
      <w:hyperlink w:anchor="_Toc10223119" w:history="1">
        <w:r w:rsidR="001D0411" w:rsidRPr="004044E8">
          <w:rPr>
            <w:rStyle w:val="Hyperlink"/>
            <w:rFonts w:ascii="Arial" w:hAnsi="Arial" w:cs="Arial"/>
            <w:noProof/>
          </w:rPr>
          <w:t>V.</w:t>
        </w:r>
        <w:r w:rsidR="001D0411" w:rsidRPr="004044E8">
          <w:rPr>
            <w:rFonts w:ascii="Arial" w:eastAsiaTheme="minorEastAsia" w:hAnsi="Arial" w:cs="Arial"/>
            <w:b w:val="0"/>
            <w:bCs w:val="0"/>
            <w:caps w:val="0"/>
            <w:noProof/>
            <w:spacing w:val="0"/>
            <w:sz w:val="22"/>
            <w:szCs w:val="22"/>
            <w:lang w:val="en-US"/>
          </w:rPr>
          <w:tab/>
        </w:r>
        <w:r w:rsidR="001D0411" w:rsidRPr="004044E8">
          <w:rPr>
            <w:rStyle w:val="Hyperlink"/>
            <w:rFonts w:ascii="Arial" w:hAnsi="Arial" w:cs="Arial"/>
            <w:noProof/>
          </w:rPr>
          <w:t>Estructura Administrativa para la Gestión el Programa</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_Toc10223119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22</w:t>
        </w:r>
        <w:r w:rsidR="001D0411" w:rsidRPr="004044E8">
          <w:rPr>
            <w:rFonts w:ascii="Arial" w:hAnsi="Arial" w:cs="Arial"/>
            <w:noProof/>
            <w:webHidden/>
          </w:rPr>
          <w:fldChar w:fldCharType="end"/>
        </w:r>
      </w:hyperlink>
    </w:p>
    <w:p w14:paraId="0DD5F206" w14:textId="56A5DB7A" w:rsidR="001D0411" w:rsidRPr="009F019B" w:rsidRDefault="00EF5D6E">
      <w:pPr>
        <w:pStyle w:val="TOC2"/>
        <w:rPr>
          <w:rFonts w:ascii="Arial" w:eastAsiaTheme="minorEastAsia" w:hAnsi="Arial" w:cs="Arial"/>
          <w:smallCaps w:val="0"/>
          <w:noProof/>
          <w:spacing w:val="0"/>
          <w:sz w:val="22"/>
          <w:szCs w:val="22"/>
          <w:lang w:val="en-US"/>
        </w:rPr>
      </w:pPr>
      <w:hyperlink w:anchor="_Toc10223120" w:history="1">
        <w:r w:rsidR="001D0411" w:rsidRPr="004044E8">
          <w:rPr>
            <w:rStyle w:val="Hyperlink"/>
            <w:rFonts w:ascii="Arial" w:hAnsi="Arial" w:cs="Arial"/>
            <w:noProof/>
          </w:rPr>
          <w:t>a.</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Funciones y Responsabilidades del MEF como Ejecutor del Programa</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_Toc10223120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22</w:t>
        </w:r>
        <w:r w:rsidR="001D0411" w:rsidRPr="004044E8">
          <w:rPr>
            <w:rFonts w:ascii="Arial" w:hAnsi="Arial" w:cs="Arial"/>
            <w:noProof/>
            <w:webHidden/>
          </w:rPr>
          <w:fldChar w:fldCharType="end"/>
        </w:r>
      </w:hyperlink>
    </w:p>
    <w:p w14:paraId="63B29A48" w14:textId="328F8606" w:rsidR="001D0411" w:rsidRPr="009F019B" w:rsidRDefault="00EF5D6E">
      <w:pPr>
        <w:pStyle w:val="TOC2"/>
        <w:rPr>
          <w:rFonts w:ascii="Arial" w:eastAsiaTheme="minorEastAsia" w:hAnsi="Arial" w:cs="Arial"/>
          <w:smallCaps w:val="0"/>
          <w:noProof/>
          <w:spacing w:val="0"/>
          <w:sz w:val="22"/>
          <w:szCs w:val="22"/>
          <w:lang w:val="en-US"/>
        </w:rPr>
      </w:pPr>
      <w:hyperlink w:anchor="_Toc10223121" w:history="1">
        <w:r w:rsidR="001D0411" w:rsidRPr="004044E8">
          <w:rPr>
            <w:rStyle w:val="Hyperlink"/>
            <w:rFonts w:ascii="Arial" w:hAnsi="Arial" w:cs="Arial"/>
            <w:noProof/>
          </w:rPr>
          <w:t>b.</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El Equipo de Gestión del Programa (EDG)</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_Toc10223121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22</w:t>
        </w:r>
        <w:r w:rsidR="001D0411" w:rsidRPr="004044E8">
          <w:rPr>
            <w:rFonts w:ascii="Arial" w:hAnsi="Arial" w:cs="Arial"/>
            <w:noProof/>
            <w:webHidden/>
          </w:rPr>
          <w:fldChar w:fldCharType="end"/>
        </w:r>
      </w:hyperlink>
    </w:p>
    <w:p w14:paraId="55D5AEA5" w14:textId="2DC9D5C5" w:rsidR="001D0411" w:rsidRPr="009F019B" w:rsidRDefault="00EF5D6E">
      <w:pPr>
        <w:pStyle w:val="TOC2"/>
        <w:rPr>
          <w:rFonts w:ascii="Arial" w:eastAsiaTheme="minorEastAsia" w:hAnsi="Arial" w:cs="Arial"/>
          <w:smallCaps w:val="0"/>
          <w:noProof/>
          <w:spacing w:val="0"/>
          <w:sz w:val="22"/>
          <w:szCs w:val="22"/>
          <w:lang w:val="en-US"/>
        </w:rPr>
      </w:pPr>
      <w:hyperlink w:anchor="_Toc10223122" w:history="1">
        <w:r w:rsidR="001D0411" w:rsidRPr="004044E8">
          <w:rPr>
            <w:rStyle w:val="Hyperlink"/>
            <w:rFonts w:ascii="Arial" w:hAnsi="Arial" w:cs="Arial"/>
            <w:noProof/>
          </w:rPr>
          <w:t>c.</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Funciones y Responsabilidades del EDG para la Ejecución del Programa</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_Toc10223122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22</w:t>
        </w:r>
        <w:r w:rsidR="001D0411" w:rsidRPr="004044E8">
          <w:rPr>
            <w:rFonts w:ascii="Arial" w:hAnsi="Arial" w:cs="Arial"/>
            <w:noProof/>
            <w:webHidden/>
          </w:rPr>
          <w:fldChar w:fldCharType="end"/>
        </w:r>
      </w:hyperlink>
    </w:p>
    <w:p w14:paraId="0199DEC4" w14:textId="1D007B2F" w:rsidR="001D0411" w:rsidRPr="009F019B" w:rsidRDefault="00EF5D6E">
      <w:pPr>
        <w:pStyle w:val="TOC2"/>
        <w:rPr>
          <w:rFonts w:ascii="Arial" w:eastAsiaTheme="minorEastAsia" w:hAnsi="Arial" w:cs="Arial"/>
          <w:smallCaps w:val="0"/>
          <w:noProof/>
          <w:spacing w:val="0"/>
          <w:sz w:val="22"/>
          <w:szCs w:val="22"/>
          <w:lang w:val="en-US"/>
        </w:rPr>
      </w:pPr>
      <w:hyperlink w:anchor="_Toc10223123" w:history="1">
        <w:r w:rsidR="001D0411" w:rsidRPr="004044E8">
          <w:rPr>
            <w:rStyle w:val="Hyperlink"/>
            <w:rFonts w:ascii="Arial" w:hAnsi="Arial" w:cs="Arial"/>
            <w:noProof/>
          </w:rPr>
          <w:t>d.</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Funciones y Responsabilidades de los miembros del EDG</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_Toc10223123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23</w:t>
        </w:r>
        <w:r w:rsidR="001D0411" w:rsidRPr="004044E8">
          <w:rPr>
            <w:rFonts w:ascii="Arial" w:hAnsi="Arial" w:cs="Arial"/>
            <w:noProof/>
            <w:webHidden/>
          </w:rPr>
          <w:fldChar w:fldCharType="end"/>
        </w:r>
      </w:hyperlink>
    </w:p>
    <w:p w14:paraId="0703AB1F" w14:textId="56C9E4FB" w:rsidR="001D0411" w:rsidRPr="009F019B" w:rsidRDefault="00EF5D6E">
      <w:pPr>
        <w:pStyle w:val="TOC2"/>
        <w:rPr>
          <w:rFonts w:ascii="Arial" w:eastAsiaTheme="minorEastAsia" w:hAnsi="Arial" w:cs="Arial"/>
          <w:smallCaps w:val="0"/>
          <w:noProof/>
          <w:spacing w:val="0"/>
          <w:sz w:val="22"/>
          <w:szCs w:val="22"/>
          <w:lang w:val="en-US"/>
        </w:rPr>
      </w:pPr>
      <w:hyperlink w:anchor="_Toc10223124" w:history="1">
        <w:r w:rsidR="001D0411" w:rsidRPr="004044E8">
          <w:rPr>
            <w:rStyle w:val="Hyperlink"/>
            <w:rFonts w:ascii="Arial" w:hAnsi="Arial" w:cs="Arial"/>
            <w:noProof/>
          </w:rPr>
          <w:t>a.</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Perfiles básicos de los miembros el EDG</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_Toc10223124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26</w:t>
        </w:r>
        <w:r w:rsidR="001D0411" w:rsidRPr="004044E8">
          <w:rPr>
            <w:rFonts w:ascii="Arial" w:hAnsi="Arial" w:cs="Arial"/>
            <w:noProof/>
            <w:webHidden/>
          </w:rPr>
          <w:fldChar w:fldCharType="end"/>
        </w:r>
      </w:hyperlink>
    </w:p>
    <w:p w14:paraId="32C8744B" w14:textId="59CA72FB" w:rsidR="001D0411" w:rsidRPr="009F019B" w:rsidRDefault="00EF5D6E">
      <w:pPr>
        <w:pStyle w:val="TOC2"/>
        <w:rPr>
          <w:rFonts w:ascii="Arial" w:eastAsiaTheme="minorEastAsia" w:hAnsi="Arial" w:cs="Arial"/>
          <w:smallCaps w:val="0"/>
          <w:noProof/>
          <w:spacing w:val="0"/>
          <w:sz w:val="22"/>
          <w:szCs w:val="22"/>
          <w:lang w:val="en-US"/>
        </w:rPr>
      </w:pPr>
      <w:hyperlink w:anchor="_Toc10223125" w:history="1">
        <w:r w:rsidR="001D0411" w:rsidRPr="004044E8">
          <w:rPr>
            <w:rStyle w:val="Hyperlink"/>
            <w:rFonts w:ascii="Arial" w:hAnsi="Arial" w:cs="Arial"/>
            <w:noProof/>
          </w:rPr>
          <w:t>b.</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 xml:space="preserve">Funciones y Responsabilidades del </w:t>
        </w:r>
        <w:r w:rsidR="001D0411" w:rsidRPr="004044E8">
          <w:rPr>
            <w:rStyle w:val="Hyperlink"/>
            <w:rFonts w:ascii="Arial" w:hAnsi="Arial" w:cs="Arial"/>
            <w:noProof/>
            <w:lang w:val="es-ES"/>
          </w:rPr>
          <w:t xml:space="preserve">MERNNR y su EDG- MERNNR </w:t>
        </w:r>
        <w:r w:rsidR="001D0411" w:rsidRPr="004044E8">
          <w:rPr>
            <w:rStyle w:val="Hyperlink"/>
            <w:rFonts w:ascii="Arial" w:hAnsi="Arial" w:cs="Arial"/>
            <w:noProof/>
          </w:rPr>
          <w:t>como Subejecutor del Programa</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_Toc10223125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26</w:t>
        </w:r>
        <w:r w:rsidR="001D0411" w:rsidRPr="004044E8">
          <w:rPr>
            <w:rFonts w:ascii="Arial" w:hAnsi="Arial" w:cs="Arial"/>
            <w:noProof/>
            <w:webHidden/>
          </w:rPr>
          <w:fldChar w:fldCharType="end"/>
        </w:r>
      </w:hyperlink>
    </w:p>
    <w:p w14:paraId="4F2230C8" w14:textId="7B05D08B" w:rsidR="001D0411" w:rsidRPr="009F019B" w:rsidRDefault="00EF5D6E">
      <w:pPr>
        <w:pStyle w:val="TOC2"/>
        <w:rPr>
          <w:rFonts w:ascii="Arial" w:eastAsiaTheme="minorEastAsia" w:hAnsi="Arial" w:cs="Arial"/>
          <w:smallCaps w:val="0"/>
          <w:noProof/>
          <w:spacing w:val="0"/>
          <w:sz w:val="22"/>
          <w:szCs w:val="22"/>
          <w:lang w:val="en-US"/>
        </w:rPr>
      </w:pPr>
      <w:hyperlink w:anchor="_Toc10223126" w:history="1">
        <w:r w:rsidR="001D0411" w:rsidRPr="004044E8">
          <w:rPr>
            <w:rStyle w:val="Hyperlink"/>
            <w:rFonts w:ascii="Arial" w:hAnsi="Arial" w:cs="Arial"/>
            <w:noProof/>
          </w:rPr>
          <w:t>c.</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 xml:space="preserve">Funciones y Responsabilidades del </w:t>
        </w:r>
        <w:r w:rsidR="001D0411" w:rsidRPr="004044E8">
          <w:rPr>
            <w:rStyle w:val="Hyperlink"/>
            <w:rFonts w:ascii="Arial" w:hAnsi="Arial" w:cs="Arial"/>
            <w:noProof/>
            <w:lang w:val="es-ES"/>
          </w:rPr>
          <w:t xml:space="preserve">MTOP y su EDG-MTOP </w:t>
        </w:r>
        <w:r w:rsidR="001D0411" w:rsidRPr="004044E8">
          <w:rPr>
            <w:rStyle w:val="Hyperlink"/>
            <w:rFonts w:ascii="Arial" w:hAnsi="Arial" w:cs="Arial"/>
            <w:noProof/>
          </w:rPr>
          <w:t>como Subejecutor del Programa</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_Toc10223126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28</w:t>
        </w:r>
        <w:r w:rsidR="001D0411" w:rsidRPr="004044E8">
          <w:rPr>
            <w:rFonts w:ascii="Arial" w:hAnsi="Arial" w:cs="Arial"/>
            <w:noProof/>
            <w:webHidden/>
          </w:rPr>
          <w:fldChar w:fldCharType="end"/>
        </w:r>
      </w:hyperlink>
    </w:p>
    <w:p w14:paraId="6DB64E72" w14:textId="56879400" w:rsidR="001D0411" w:rsidRPr="009F019B" w:rsidRDefault="00EF5D6E">
      <w:pPr>
        <w:pStyle w:val="TOC2"/>
        <w:rPr>
          <w:rFonts w:ascii="Arial" w:eastAsiaTheme="minorEastAsia" w:hAnsi="Arial" w:cs="Arial"/>
          <w:smallCaps w:val="0"/>
          <w:noProof/>
          <w:spacing w:val="0"/>
          <w:sz w:val="22"/>
          <w:szCs w:val="22"/>
          <w:lang w:val="en-US"/>
        </w:rPr>
      </w:pPr>
      <w:hyperlink w:anchor="_Toc10223127" w:history="1">
        <w:r w:rsidR="001D0411" w:rsidRPr="004044E8">
          <w:rPr>
            <w:rStyle w:val="Hyperlink"/>
            <w:rFonts w:ascii="Arial" w:hAnsi="Arial" w:cs="Arial"/>
            <w:noProof/>
          </w:rPr>
          <w:t>d.</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Funciones y Responsabilidades de E</w:t>
        </w:r>
        <w:r w:rsidR="001D0411" w:rsidRPr="004044E8">
          <w:rPr>
            <w:rStyle w:val="Hyperlink"/>
            <w:rFonts w:ascii="Arial" w:hAnsi="Arial" w:cs="Arial"/>
            <w:noProof/>
            <w:lang w:val="es-ES"/>
          </w:rPr>
          <w:t xml:space="preserve">MCO, y la entidad que lo sustituya posteriormente, y su EDG-EMCO </w:t>
        </w:r>
        <w:r w:rsidR="001D0411" w:rsidRPr="004044E8">
          <w:rPr>
            <w:rStyle w:val="Hyperlink"/>
            <w:rFonts w:ascii="Arial" w:hAnsi="Arial" w:cs="Arial"/>
            <w:noProof/>
          </w:rPr>
          <w:t>como Subejecutor del Programa</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_Toc10223127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29</w:t>
        </w:r>
        <w:r w:rsidR="001D0411" w:rsidRPr="004044E8">
          <w:rPr>
            <w:rFonts w:ascii="Arial" w:hAnsi="Arial" w:cs="Arial"/>
            <w:noProof/>
            <w:webHidden/>
          </w:rPr>
          <w:fldChar w:fldCharType="end"/>
        </w:r>
      </w:hyperlink>
    </w:p>
    <w:p w14:paraId="05EC4F39" w14:textId="6D8EC9E0" w:rsidR="001D0411" w:rsidRPr="009F019B" w:rsidRDefault="00EF5D6E">
      <w:pPr>
        <w:pStyle w:val="TOC1"/>
        <w:rPr>
          <w:rFonts w:ascii="Arial" w:eastAsiaTheme="minorEastAsia" w:hAnsi="Arial" w:cs="Arial"/>
          <w:b w:val="0"/>
          <w:bCs w:val="0"/>
          <w:caps w:val="0"/>
          <w:noProof/>
          <w:spacing w:val="0"/>
          <w:sz w:val="22"/>
          <w:szCs w:val="22"/>
          <w:lang w:val="en-US"/>
        </w:rPr>
      </w:pPr>
      <w:hyperlink w:anchor="_Toc10223128" w:history="1">
        <w:r w:rsidR="001D0411" w:rsidRPr="004044E8">
          <w:rPr>
            <w:rStyle w:val="Hyperlink"/>
            <w:rFonts w:ascii="Arial" w:hAnsi="Arial" w:cs="Arial"/>
            <w:noProof/>
            <w:lang w:val="es-ES"/>
          </w:rPr>
          <w:t>VI.</w:t>
        </w:r>
        <w:r w:rsidR="001D0411" w:rsidRPr="004044E8">
          <w:rPr>
            <w:rFonts w:ascii="Arial" w:eastAsiaTheme="minorEastAsia" w:hAnsi="Arial" w:cs="Arial"/>
            <w:b w:val="0"/>
            <w:bCs w:val="0"/>
            <w:caps w:val="0"/>
            <w:noProof/>
            <w:spacing w:val="0"/>
            <w:sz w:val="22"/>
            <w:szCs w:val="22"/>
            <w:lang w:val="en-US"/>
          </w:rPr>
          <w:tab/>
        </w:r>
        <w:r w:rsidR="001D0411" w:rsidRPr="004044E8">
          <w:rPr>
            <w:rStyle w:val="Hyperlink"/>
            <w:rFonts w:ascii="Arial" w:hAnsi="Arial" w:cs="Arial"/>
            <w:noProof/>
            <w:lang w:val="es-ES"/>
          </w:rPr>
          <w:t>ASPECTOS PARTICULARES PARA LA EJECUCIÓN DEL PROGRAMA</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_Toc10223128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31</w:t>
        </w:r>
        <w:r w:rsidR="001D0411" w:rsidRPr="004044E8">
          <w:rPr>
            <w:rFonts w:ascii="Arial" w:hAnsi="Arial" w:cs="Arial"/>
            <w:noProof/>
            <w:webHidden/>
          </w:rPr>
          <w:fldChar w:fldCharType="end"/>
        </w:r>
      </w:hyperlink>
    </w:p>
    <w:p w14:paraId="55A7EF15" w14:textId="5B5BB190" w:rsidR="001D0411" w:rsidRPr="009F019B" w:rsidRDefault="00EF5D6E">
      <w:pPr>
        <w:pStyle w:val="TOC2"/>
        <w:rPr>
          <w:rFonts w:ascii="Arial" w:eastAsiaTheme="minorEastAsia" w:hAnsi="Arial" w:cs="Arial"/>
          <w:smallCaps w:val="0"/>
          <w:noProof/>
          <w:spacing w:val="0"/>
          <w:sz w:val="22"/>
          <w:szCs w:val="22"/>
          <w:lang w:val="en-US"/>
        </w:rPr>
      </w:pPr>
      <w:hyperlink w:anchor="_Toc10223129" w:history="1">
        <w:r w:rsidR="001D0411" w:rsidRPr="004044E8">
          <w:rPr>
            <w:rStyle w:val="Hyperlink"/>
            <w:rFonts w:ascii="Arial" w:hAnsi="Arial" w:cs="Arial"/>
            <w:noProof/>
            <w:lang w:val="es-ES"/>
          </w:rPr>
          <w:t>a.</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lang w:val="es-ES"/>
          </w:rPr>
          <w:t>Condiciones previas al primer desembolso</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_Toc10223129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31</w:t>
        </w:r>
        <w:r w:rsidR="001D0411" w:rsidRPr="004044E8">
          <w:rPr>
            <w:rFonts w:ascii="Arial" w:hAnsi="Arial" w:cs="Arial"/>
            <w:noProof/>
            <w:webHidden/>
          </w:rPr>
          <w:fldChar w:fldCharType="end"/>
        </w:r>
      </w:hyperlink>
    </w:p>
    <w:p w14:paraId="268BED5E" w14:textId="0D684CFB" w:rsidR="001D0411" w:rsidRPr="009F019B" w:rsidRDefault="00EF5D6E">
      <w:pPr>
        <w:pStyle w:val="TOC1"/>
        <w:rPr>
          <w:rFonts w:ascii="Arial" w:eastAsiaTheme="minorEastAsia" w:hAnsi="Arial" w:cs="Arial"/>
          <w:b w:val="0"/>
          <w:bCs w:val="0"/>
          <w:caps w:val="0"/>
          <w:noProof/>
          <w:spacing w:val="0"/>
          <w:sz w:val="22"/>
          <w:szCs w:val="22"/>
          <w:lang w:val="en-US"/>
        </w:rPr>
      </w:pPr>
      <w:hyperlink w:anchor="_Toc10223130" w:history="1">
        <w:r w:rsidR="001D0411" w:rsidRPr="004044E8">
          <w:rPr>
            <w:rStyle w:val="Hyperlink"/>
            <w:rFonts w:ascii="Arial" w:hAnsi="Arial" w:cs="Arial"/>
            <w:noProof/>
          </w:rPr>
          <w:t>VII.</w:t>
        </w:r>
        <w:r w:rsidR="001D0411" w:rsidRPr="004044E8">
          <w:rPr>
            <w:rFonts w:ascii="Arial" w:eastAsiaTheme="minorEastAsia" w:hAnsi="Arial" w:cs="Arial"/>
            <w:b w:val="0"/>
            <w:bCs w:val="0"/>
            <w:caps w:val="0"/>
            <w:noProof/>
            <w:spacing w:val="0"/>
            <w:sz w:val="22"/>
            <w:szCs w:val="22"/>
            <w:lang w:val="en-US"/>
          </w:rPr>
          <w:tab/>
        </w:r>
        <w:r w:rsidR="001D0411" w:rsidRPr="004044E8">
          <w:rPr>
            <w:rStyle w:val="Hyperlink"/>
            <w:rFonts w:ascii="Arial" w:hAnsi="Arial" w:cs="Arial"/>
            <w:noProof/>
            <w:lang w:val="es-ES"/>
          </w:rPr>
          <w:t>ASPECTOS PARTICULARES PARA LAS DESVINCULACIONES</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_Toc10223130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32</w:t>
        </w:r>
        <w:r w:rsidR="001D0411" w:rsidRPr="004044E8">
          <w:rPr>
            <w:rFonts w:ascii="Arial" w:hAnsi="Arial" w:cs="Arial"/>
            <w:noProof/>
            <w:webHidden/>
          </w:rPr>
          <w:fldChar w:fldCharType="end"/>
        </w:r>
      </w:hyperlink>
    </w:p>
    <w:p w14:paraId="611E08D6" w14:textId="1F886FEE" w:rsidR="001D0411" w:rsidRPr="009F019B" w:rsidRDefault="00EF5D6E">
      <w:pPr>
        <w:pStyle w:val="TOC2"/>
        <w:rPr>
          <w:rFonts w:ascii="Arial" w:eastAsiaTheme="minorEastAsia" w:hAnsi="Arial" w:cs="Arial"/>
          <w:smallCaps w:val="0"/>
          <w:noProof/>
          <w:spacing w:val="0"/>
          <w:sz w:val="22"/>
          <w:szCs w:val="22"/>
          <w:lang w:val="en-US"/>
        </w:rPr>
      </w:pPr>
      <w:hyperlink w:anchor="_Toc10223131" w:history="1">
        <w:r w:rsidR="001D0411" w:rsidRPr="004044E8">
          <w:rPr>
            <w:rStyle w:val="Hyperlink"/>
            <w:rFonts w:ascii="Arial" w:hAnsi="Arial" w:cs="Arial"/>
            <w:noProof/>
            <w:lang w:val="es-ES"/>
          </w:rPr>
          <w:t>a.</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lang w:val="es-ES"/>
          </w:rPr>
          <w:t>Modalidades de Desvinculaciones a ser financiadas</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_Toc10223131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32</w:t>
        </w:r>
        <w:r w:rsidR="001D0411" w:rsidRPr="004044E8">
          <w:rPr>
            <w:rFonts w:ascii="Arial" w:hAnsi="Arial" w:cs="Arial"/>
            <w:noProof/>
            <w:webHidden/>
          </w:rPr>
          <w:fldChar w:fldCharType="end"/>
        </w:r>
      </w:hyperlink>
    </w:p>
    <w:p w14:paraId="5845E3D7" w14:textId="3F928C45" w:rsidR="001D0411" w:rsidRPr="009F019B" w:rsidRDefault="00EF5D6E">
      <w:pPr>
        <w:pStyle w:val="TOC2"/>
        <w:rPr>
          <w:rFonts w:ascii="Arial" w:eastAsiaTheme="minorEastAsia" w:hAnsi="Arial" w:cs="Arial"/>
          <w:smallCaps w:val="0"/>
          <w:noProof/>
          <w:spacing w:val="0"/>
          <w:sz w:val="22"/>
          <w:szCs w:val="22"/>
          <w:lang w:val="en-US"/>
        </w:rPr>
      </w:pPr>
      <w:hyperlink w:anchor="_Toc10223132" w:history="1">
        <w:r w:rsidR="001D0411" w:rsidRPr="004044E8">
          <w:rPr>
            <w:rStyle w:val="Hyperlink"/>
            <w:rFonts w:ascii="Arial" w:hAnsi="Arial" w:cs="Arial"/>
            <w:noProof/>
            <w:lang w:val="es-ES"/>
          </w:rPr>
          <w:t>b.</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lang w:val="es-ES"/>
          </w:rPr>
          <w:t>Mecanismo  de aseguramiento y criterios de elegibilidad y priorización  para  las desvinculaciones</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_Toc10223132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32</w:t>
        </w:r>
        <w:r w:rsidR="001D0411" w:rsidRPr="004044E8">
          <w:rPr>
            <w:rFonts w:ascii="Arial" w:hAnsi="Arial" w:cs="Arial"/>
            <w:noProof/>
            <w:webHidden/>
          </w:rPr>
          <w:fldChar w:fldCharType="end"/>
        </w:r>
      </w:hyperlink>
    </w:p>
    <w:p w14:paraId="0C4290BE" w14:textId="7CBE349D" w:rsidR="001D0411" w:rsidRPr="009F019B" w:rsidRDefault="00EF5D6E">
      <w:pPr>
        <w:pStyle w:val="TOC2"/>
        <w:rPr>
          <w:rFonts w:ascii="Arial" w:eastAsiaTheme="minorEastAsia" w:hAnsi="Arial" w:cs="Arial"/>
          <w:smallCaps w:val="0"/>
          <w:noProof/>
          <w:spacing w:val="0"/>
          <w:sz w:val="22"/>
          <w:szCs w:val="22"/>
          <w:lang w:val="en-US"/>
        </w:rPr>
      </w:pPr>
      <w:hyperlink w:anchor="_Toc10223133" w:history="1">
        <w:r w:rsidR="001D0411" w:rsidRPr="004044E8">
          <w:rPr>
            <w:rStyle w:val="Hyperlink"/>
            <w:rFonts w:ascii="Arial" w:hAnsi="Arial" w:cs="Arial"/>
            <w:noProof/>
            <w:lang w:val="es-ES"/>
          </w:rPr>
          <w:t>c.</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lang w:val="es-ES"/>
          </w:rPr>
          <w:t>Auditorias</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_Toc10223133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32</w:t>
        </w:r>
        <w:r w:rsidR="001D0411" w:rsidRPr="004044E8">
          <w:rPr>
            <w:rFonts w:ascii="Arial" w:hAnsi="Arial" w:cs="Arial"/>
            <w:noProof/>
            <w:webHidden/>
          </w:rPr>
          <w:fldChar w:fldCharType="end"/>
        </w:r>
      </w:hyperlink>
    </w:p>
    <w:p w14:paraId="70B77022" w14:textId="6F47D2F2" w:rsidR="001D0411" w:rsidRPr="009F019B" w:rsidRDefault="00EF5D6E">
      <w:pPr>
        <w:pStyle w:val="TOC1"/>
        <w:rPr>
          <w:rFonts w:ascii="Arial" w:eastAsiaTheme="minorEastAsia" w:hAnsi="Arial" w:cs="Arial"/>
          <w:b w:val="0"/>
          <w:bCs w:val="0"/>
          <w:caps w:val="0"/>
          <w:noProof/>
          <w:spacing w:val="0"/>
          <w:sz w:val="22"/>
          <w:szCs w:val="22"/>
          <w:lang w:val="en-US"/>
        </w:rPr>
      </w:pPr>
      <w:hyperlink w:anchor="_Toc10223134" w:history="1">
        <w:r w:rsidR="001D0411" w:rsidRPr="004044E8">
          <w:rPr>
            <w:rStyle w:val="Hyperlink"/>
            <w:rFonts w:ascii="Arial" w:hAnsi="Arial" w:cs="Arial"/>
            <w:noProof/>
          </w:rPr>
          <w:t>VIII.</w:t>
        </w:r>
        <w:r w:rsidR="001D0411" w:rsidRPr="004044E8">
          <w:rPr>
            <w:rFonts w:ascii="Arial" w:eastAsiaTheme="minorEastAsia" w:hAnsi="Arial" w:cs="Arial"/>
            <w:b w:val="0"/>
            <w:bCs w:val="0"/>
            <w:caps w:val="0"/>
            <w:noProof/>
            <w:spacing w:val="0"/>
            <w:sz w:val="22"/>
            <w:szCs w:val="22"/>
            <w:lang w:val="en-US"/>
          </w:rPr>
          <w:tab/>
        </w:r>
        <w:r w:rsidR="001D0411" w:rsidRPr="004044E8">
          <w:rPr>
            <w:rStyle w:val="Hyperlink"/>
            <w:rFonts w:ascii="Arial" w:hAnsi="Arial" w:cs="Arial"/>
            <w:noProof/>
          </w:rPr>
          <w:t>Enlaces y Anexos</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_Toc10223134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34</w:t>
        </w:r>
        <w:r w:rsidR="001D0411" w:rsidRPr="004044E8">
          <w:rPr>
            <w:rFonts w:ascii="Arial" w:hAnsi="Arial" w:cs="Arial"/>
            <w:noProof/>
            <w:webHidden/>
          </w:rPr>
          <w:fldChar w:fldCharType="end"/>
        </w:r>
      </w:hyperlink>
    </w:p>
    <w:p w14:paraId="4855C183" w14:textId="2040C94B" w:rsidR="001D0411" w:rsidRPr="009F019B" w:rsidRDefault="00EF5D6E">
      <w:pPr>
        <w:pStyle w:val="TOC2"/>
        <w:rPr>
          <w:rFonts w:ascii="Arial" w:eastAsiaTheme="minorEastAsia" w:hAnsi="Arial" w:cs="Arial"/>
          <w:smallCaps w:val="0"/>
          <w:noProof/>
          <w:spacing w:val="0"/>
          <w:sz w:val="22"/>
          <w:szCs w:val="22"/>
          <w:lang w:val="en-US"/>
        </w:rPr>
      </w:pPr>
      <w:hyperlink w:anchor="_Toc10223135" w:history="1">
        <w:r w:rsidR="001D0411" w:rsidRPr="004044E8">
          <w:rPr>
            <w:rStyle w:val="Hyperlink"/>
            <w:rFonts w:ascii="Arial" w:hAnsi="Arial" w:cs="Arial"/>
            <w:noProof/>
          </w:rPr>
          <w:t>a.</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Enlaces de anexos digitales</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_Toc10223135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34</w:t>
        </w:r>
        <w:r w:rsidR="001D0411" w:rsidRPr="004044E8">
          <w:rPr>
            <w:rFonts w:ascii="Arial" w:hAnsi="Arial" w:cs="Arial"/>
            <w:noProof/>
            <w:webHidden/>
          </w:rPr>
          <w:fldChar w:fldCharType="end"/>
        </w:r>
      </w:hyperlink>
    </w:p>
    <w:p w14:paraId="1CED8D7E" w14:textId="224398B0" w:rsidR="001D0411" w:rsidRPr="009F019B" w:rsidRDefault="00EF5D6E">
      <w:pPr>
        <w:pStyle w:val="TOC2"/>
        <w:rPr>
          <w:rFonts w:ascii="Arial" w:eastAsiaTheme="minorEastAsia" w:hAnsi="Arial" w:cs="Arial"/>
          <w:smallCaps w:val="0"/>
          <w:noProof/>
          <w:spacing w:val="0"/>
          <w:sz w:val="22"/>
          <w:szCs w:val="22"/>
          <w:lang w:val="en-US"/>
        </w:rPr>
      </w:pPr>
      <w:hyperlink w:anchor="_Toc10223136" w:history="1">
        <w:r w:rsidR="001D0411" w:rsidRPr="004044E8">
          <w:rPr>
            <w:rStyle w:val="Hyperlink"/>
            <w:rFonts w:ascii="Arial" w:hAnsi="Arial" w:cs="Arial"/>
            <w:noProof/>
          </w:rPr>
          <w:t>b.</w:t>
        </w:r>
        <w:r w:rsidR="001D0411" w:rsidRPr="004044E8">
          <w:rPr>
            <w:rFonts w:ascii="Arial" w:eastAsiaTheme="minorEastAsia" w:hAnsi="Arial" w:cs="Arial"/>
            <w:smallCaps w:val="0"/>
            <w:noProof/>
            <w:spacing w:val="0"/>
            <w:sz w:val="22"/>
            <w:szCs w:val="22"/>
            <w:lang w:val="en-US"/>
          </w:rPr>
          <w:tab/>
        </w:r>
        <w:r w:rsidR="001D0411" w:rsidRPr="004044E8">
          <w:rPr>
            <w:rStyle w:val="Hyperlink"/>
            <w:rFonts w:ascii="Arial" w:hAnsi="Arial" w:cs="Arial"/>
            <w:noProof/>
          </w:rPr>
          <w:t>Anexos</w:t>
        </w:r>
        <w:r w:rsidR="001D0411" w:rsidRPr="004044E8">
          <w:rPr>
            <w:rFonts w:ascii="Arial" w:hAnsi="Arial" w:cs="Arial"/>
            <w:noProof/>
            <w:webHidden/>
          </w:rPr>
          <w:tab/>
        </w:r>
        <w:r w:rsidR="001D0411" w:rsidRPr="004044E8">
          <w:rPr>
            <w:rFonts w:ascii="Arial" w:hAnsi="Arial" w:cs="Arial"/>
            <w:noProof/>
            <w:webHidden/>
          </w:rPr>
          <w:fldChar w:fldCharType="begin"/>
        </w:r>
        <w:r w:rsidR="001D0411" w:rsidRPr="004044E8">
          <w:rPr>
            <w:rFonts w:ascii="Arial" w:hAnsi="Arial" w:cs="Arial"/>
            <w:noProof/>
            <w:webHidden/>
          </w:rPr>
          <w:instrText xml:space="preserve"> PAGEREF _Toc10223136 \h </w:instrText>
        </w:r>
        <w:r w:rsidR="001D0411" w:rsidRPr="004044E8">
          <w:rPr>
            <w:rFonts w:ascii="Arial" w:hAnsi="Arial" w:cs="Arial"/>
            <w:noProof/>
            <w:webHidden/>
          </w:rPr>
        </w:r>
        <w:r w:rsidR="001D0411" w:rsidRPr="004044E8">
          <w:rPr>
            <w:rFonts w:ascii="Arial" w:hAnsi="Arial" w:cs="Arial"/>
            <w:noProof/>
            <w:webHidden/>
          </w:rPr>
          <w:fldChar w:fldCharType="separate"/>
        </w:r>
        <w:r w:rsidR="001D0411" w:rsidRPr="004044E8">
          <w:rPr>
            <w:rFonts w:ascii="Arial" w:hAnsi="Arial" w:cs="Arial"/>
            <w:noProof/>
            <w:webHidden/>
          </w:rPr>
          <w:t>34</w:t>
        </w:r>
        <w:r w:rsidR="001D0411" w:rsidRPr="004044E8">
          <w:rPr>
            <w:rFonts w:ascii="Arial" w:hAnsi="Arial" w:cs="Arial"/>
            <w:noProof/>
            <w:webHidden/>
          </w:rPr>
          <w:fldChar w:fldCharType="end"/>
        </w:r>
      </w:hyperlink>
    </w:p>
    <w:p w14:paraId="7F9D41AE" w14:textId="2B26C4D2" w:rsidR="00A32F1F" w:rsidRPr="009F019B" w:rsidRDefault="00324A5D">
      <w:pPr>
        <w:jc w:val="left"/>
        <w:rPr>
          <w:rFonts w:ascii="Arial" w:hAnsi="Arial" w:cs="Arial"/>
          <w:b/>
          <w:bCs/>
          <w:caps/>
          <w:szCs w:val="20"/>
        </w:rPr>
      </w:pPr>
      <w:r w:rsidRPr="009F019B">
        <w:rPr>
          <w:rFonts w:ascii="Arial" w:hAnsi="Arial" w:cs="Arial"/>
          <w:b/>
          <w:bCs/>
          <w:caps/>
          <w:szCs w:val="20"/>
        </w:rPr>
        <w:fldChar w:fldCharType="end"/>
      </w:r>
    </w:p>
    <w:p w14:paraId="4EEDB6B5" w14:textId="1D65E39C" w:rsidR="002B3E2E" w:rsidRPr="009F019B" w:rsidRDefault="002B3E2E">
      <w:pPr>
        <w:jc w:val="left"/>
        <w:rPr>
          <w:rFonts w:ascii="Arial" w:hAnsi="Arial" w:cs="Arial"/>
          <w:b/>
          <w:bCs/>
          <w:caps/>
          <w:szCs w:val="20"/>
        </w:rPr>
      </w:pPr>
    </w:p>
    <w:p w14:paraId="68D986BA" w14:textId="24B09722" w:rsidR="00FB6F3E" w:rsidRPr="009F019B" w:rsidRDefault="00FB6F3E">
      <w:pPr>
        <w:jc w:val="left"/>
        <w:rPr>
          <w:rFonts w:ascii="Arial" w:hAnsi="Arial" w:cs="Arial"/>
          <w:b/>
          <w:bCs/>
          <w:caps/>
          <w:szCs w:val="20"/>
        </w:rPr>
      </w:pPr>
    </w:p>
    <w:p w14:paraId="25A2C6D3" w14:textId="77777777" w:rsidR="00FB6F3E" w:rsidRPr="004044E8" w:rsidRDefault="00FB6F3E">
      <w:pPr>
        <w:jc w:val="left"/>
        <w:rPr>
          <w:rFonts w:ascii="Arial" w:hAnsi="Arial" w:cs="Arial"/>
          <w:b/>
          <w:bCs/>
          <w:caps/>
          <w:szCs w:val="20"/>
        </w:rPr>
      </w:pPr>
    </w:p>
    <w:p w14:paraId="5495ED02" w14:textId="77777777" w:rsidR="001D0411" w:rsidRPr="004044E8" w:rsidRDefault="001D0411">
      <w:pPr>
        <w:jc w:val="left"/>
        <w:rPr>
          <w:rFonts w:ascii="Arial" w:hAnsi="Arial" w:cs="Arial"/>
          <w:b/>
          <w:bCs/>
          <w:caps/>
          <w:szCs w:val="20"/>
        </w:rPr>
      </w:pPr>
    </w:p>
    <w:p w14:paraId="4AA6B27A" w14:textId="2269EC2B" w:rsidR="00E87FE6" w:rsidRPr="004044E8" w:rsidRDefault="00E87FE6">
      <w:pPr>
        <w:jc w:val="left"/>
        <w:rPr>
          <w:rFonts w:ascii="Arial" w:hAnsi="Arial" w:cs="Arial"/>
          <w:b/>
          <w:bCs/>
          <w:caps/>
          <w:szCs w:val="20"/>
        </w:rPr>
      </w:pPr>
      <w:r w:rsidRPr="004044E8">
        <w:rPr>
          <w:rFonts w:ascii="Arial" w:hAnsi="Arial" w:cs="Arial"/>
          <w:b/>
          <w:bCs/>
          <w:caps/>
          <w:szCs w:val="20"/>
        </w:rPr>
        <w:t>tablas</w:t>
      </w:r>
    </w:p>
    <w:p w14:paraId="6769A684" w14:textId="3D9FB77A" w:rsidR="00FB6F3E" w:rsidRPr="009F019B" w:rsidRDefault="00324A5D">
      <w:pPr>
        <w:pStyle w:val="TableofFigures"/>
        <w:tabs>
          <w:tab w:val="right" w:leader="dot" w:pos="9060"/>
        </w:tabs>
        <w:rPr>
          <w:rFonts w:ascii="Arial" w:eastAsiaTheme="minorEastAsia" w:hAnsi="Arial" w:cs="Arial"/>
          <w:smallCaps w:val="0"/>
          <w:noProof/>
          <w:spacing w:val="0"/>
          <w:sz w:val="22"/>
          <w:szCs w:val="22"/>
          <w:lang w:eastAsia="es-EC"/>
        </w:rPr>
      </w:pPr>
      <w:r w:rsidRPr="009F019B">
        <w:rPr>
          <w:rFonts w:ascii="Arial" w:hAnsi="Arial" w:cs="Arial"/>
          <w:b/>
          <w:bCs/>
          <w:caps/>
          <w:smallCaps w:val="0"/>
        </w:rPr>
        <w:fldChar w:fldCharType="begin"/>
      </w:r>
      <w:r w:rsidRPr="004044E8">
        <w:rPr>
          <w:rFonts w:ascii="Arial" w:hAnsi="Arial" w:cs="Arial"/>
          <w:b/>
          <w:bCs/>
          <w:caps/>
          <w:smallCaps w:val="0"/>
        </w:rPr>
        <w:instrText xml:space="preserve"> TOC \h \z \c "Tabla" </w:instrText>
      </w:r>
      <w:r w:rsidRPr="004044E8">
        <w:rPr>
          <w:rFonts w:ascii="Arial" w:hAnsi="Arial" w:cs="Arial"/>
          <w:b/>
          <w:bCs/>
          <w:caps/>
          <w:smallCaps w:val="0"/>
        </w:rPr>
        <w:fldChar w:fldCharType="separate"/>
      </w:r>
      <w:hyperlink w:anchor="_Toc537156" w:history="1">
        <w:r w:rsidR="00FB6F3E" w:rsidRPr="004044E8">
          <w:rPr>
            <w:rStyle w:val="Hyperlink"/>
            <w:rFonts w:ascii="Arial" w:hAnsi="Arial" w:cs="Arial"/>
            <w:noProof/>
          </w:rPr>
          <w:t>Tabla 1. Montos Límites Adquisiciones US$</w:t>
        </w:r>
        <w:r w:rsidR="00FB6F3E" w:rsidRPr="004044E8">
          <w:rPr>
            <w:rFonts w:ascii="Arial" w:hAnsi="Arial" w:cs="Arial"/>
            <w:noProof/>
            <w:webHidden/>
          </w:rPr>
          <w:tab/>
        </w:r>
        <w:r w:rsidR="00FB6F3E" w:rsidRPr="004044E8">
          <w:rPr>
            <w:rFonts w:ascii="Arial" w:hAnsi="Arial" w:cs="Arial"/>
            <w:noProof/>
            <w:webHidden/>
          </w:rPr>
          <w:fldChar w:fldCharType="begin"/>
        </w:r>
        <w:r w:rsidR="00FB6F3E" w:rsidRPr="004044E8">
          <w:rPr>
            <w:rFonts w:ascii="Arial" w:hAnsi="Arial" w:cs="Arial"/>
            <w:noProof/>
            <w:webHidden/>
          </w:rPr>
          <w:instrText xml:space="preserve"> PAGEREF _Toc537156 \h </w:instrText>
        </w:r>
        <w:r w:rsidR="00FB6F3E" w:rsidRPr="004044E8">
          <w:rPr>
            <w:rFonts w:ascii="Arial" w:hAnsi="Arial" w:cs="Arial"/>
            <w:noProof/>
            <w:webHidden/>
          </w:rPr>
        </w:r>
        <w:r w:rsidR="00FB6F3E" w:rsidRPr="004044E8">
          <w:rPr>
            <w:rFonts w:ascii="Arial" w:hAnsi="Arial" w:cs="Arial"/>
            <w:noProof/>
            <w:webHidden/>
          </w:rPr>
          <w:fldChar w:fldCharType="separate"/>
        </w:r>
        <w:r w:rsidR="00FB6F3E" w:rsidRPr="004044E8">
          <w:rPr>
            <w:rFonts w:ascii="Arial" w:hAnsi="Arial" w:cs="Arial"/>
            <w:noProof/>
            <w:webHidden/>
          </w:rPr>
          <w:t>16</w:t>
        </w:r>
        <w:r w:rsidR="00FB6F3E" w:rsidRPr="004044E8">
          <w:rPr>
            <w:rFonts w:ascii="Arial" w:hAnsi="Arial" w:cs="Arial"/>
            <w:noProof/>
            <w:webHidden/>
          </w:rPr>
          <w:fldChar w:fldCharType="end"/>
        </w:r>
      </w:hyperlink>
    </w:p>
    <w:p w14:paraId="5B25F7A9" w14:textId="1A3B861C" w:rsidR="00FB6F3E" w:rsidRPr="009F019B" w:rsidRDefault="00EF5D6E">
      <w:pPr>
        <w:pStyle w:val="TableofFigures"/>
        <w:tabs>
          <w:tab w:val="right" w:leader="dot" w:pos="9060"/>
        </w:tabs>
        <w:rPr>
          <w:rFonts w:ascii="Arial" w:eastAsiaTheme="minorEastAsia" w:hAnsi="Arial" w:cs="Arial"/>
          <w:smallCaps w:val="0"/>
          <w:noProof/>
          <w:spacing w:val="0"/>
          <w:sz w:val="22"/>
          <w:szCs w:val="22"/>
          <w:lang w:eastAsia="es-EC"/>
        </w:rPr>
      </w:pPr>
      <w:hyperlink w:anchor="_Toc537157" w:history="1">
        <w:r w:rsidR="00FB6F3E" w:rsidRPr="004044E8">
          <w:rPr>
            <w:rStyle w:val="Hyperlink"/>
            <w:rFonts w:ascii="Arial" w:hAnsi="Arial" w:cs="Arial"/>
            <w:noProof/>
          </w:rPr>
          <w:t>Tabla 2. Límite de Revisión Ex-post (US dólares)</w:t>
        </w:r>
        <w:r w:rsidR="00FB6F3E" w:rsidRPr="004044E8">
          <w:rPr>
            <w:rFonts w:ascii="Arial" w:hAnsi="Arial" w:cs="Arial"/>
            <w:noProof/>
            <w:webHidden/>
          </w:rPr>
          <w:tab/>
        </w:r>
        <w:r w:rsidR="00FB6F3E" w:rsidRPr="004044E8">
          <w:rPr>
            <w:rFonts w:ascii="Arial" w:hAnsi="Arial" w:cs="Arial"/>
            <w:noProof/>
            <w:webHidden/>
          </w:rPr>
          <w:fldChar w:fldCharType="begin"/>
        </w:r>
        <w:r w:rsidR="00FB6F3E" w:rsidRPr="004044E8">
          <w:rPr>
            <w:rFonts w:ascii="Arial" w:hAnsi="Arial" w:cs="Arial"/>
            <w:noProof/>
            <w:webHidden/>
          </w:rPr>
          <w:instrText xml:space="preserve"> PAGEREF _Toc537157 \h </w:instrText>
        </w:r>
        <w:r w:rsidR="00FB6F3E" w:rsidRPr="004044E8">
          <w:rPr>
            <w:rFonts w:ascii="Arial" w:hAnsi="Arial" w:cs="Arial"/>
            <w:noProof/>
            <w:webHidden/>
          </w:rPr>
        </w:r>
        <w:r w:rsidR="00FB6F3E" w:rsidRPr="004044E8">
          <w:rPr>
            <w:rFonts w:ascii="Arial" w:hAnsi="Arial" w:cs="Arial"/>
            <w:noProof/>
            <w:webHidden/>
          </w:rPr>
          <w:fldChar w:fldCharType="separate"/>
        </w:r>
        <w:r w:rsidR="00FB6F3E" w:rsidRPr="004044E8">
          <w:rPr>
            <w:rFonts w:ascii="Arial" w:hAnsi="Arial" w:cs="Arial"/>
            <w:noProof/>
            <w:webHidden/>
          </w:rPr>
          <w:t>16</w:t>
        </w:r>
        <w:r w:rsidR="00FB6F3E" w:rsidRPr="004044E8">
          <w:rPr>
            <w:rFonts w:ascii="Arial" w:hAnsi="Arial" w:cs="Arial"/>
            <w:noProof/>
            <w:webHidden/>
          </w:rPr>
          <w:fldChar w:fldCharType="end"/>
        </w:r>
      </w:hyperlink>
    </w:p>
    <w:p w14:paraId="5A9AE2D6" w14:textId="3F916C0D" w:rsidR="00FB6F3E" w:rsidRPr="009F019B" w:rsidRDefault="00EF5D6E">
      <w:pPr>
        <w:pStyle w:val="TableofFigures"/>
        <w:tabs>
          <w:tab w:val="right" w:leader="dot" w:pos="9060"/>
        </w:tabs>
        <w:rPr>
          <w:rFonts w:ascii="Arial" w:eastAsiaTheme="minorEastAsia" w:hAnsi="Arial" w:cs="Arial"/>
          <w:smallCaps w:val="0"/>
          <w:noProof/>
          <w:spacing w:val="0"/>
          <w:sz w:val="22"/>
          <w:szCs w:val="22"/>
          <w:lang w:eastAsia="es-EC"/>
        </w:rPr>
      </w:pPr>
      <w:hyperlink w:anchor="_Toc537158" w:history="1">
        <w:r w:rsidR="00FB6F3E" w:rsidRPr="004044E8">
          <w:rPr>
            <w:rStyle w:val="Hyperlink"/>
            <w:rFonts w:ascii="Arial" w:hAnsi="Arial" w:cs="Arial"/>
            <w:noProof/>
          </w:rPr>
          <w:t>Tabla 2. Plan de Supervisión del Programa</w:t>
        </w:r>
        <w:r w:rsidR="00FB6F3E" w:rsidRPr="004044E8">
          <w:rPr>
            <w:rFonts w:ascii="Arial" w:hAnsi="Arial" w:cs="Arial"/>
            <w:noProof/>
            <w:webHidden/>
          </w:rPr>
          <w:tab/>
        </w:r>
        <w:r w:rsidR="00FB6F3E" w:rsidRPr="004044E8">
          <w:rPr>
            <w:rFonts w:ascii="Arial" w:hAnsi="Arial" w:cs="Arial"/>
            <w:noProof/>
            <w:webHidden/>
          </w:rPr>
          <w:fldChar w:fldCharType="begin"/>
        </w:r>
        <w:r w:rsidR="00FB6F3E" w:rsidRPr="004044E8">
          <w:rPr>
            <w:rFonts w:ascii="Arial" w:hAnsi="Arial" w:cs="Arial"/>
            <w:noProof/>
            <w:webHidden/>
          </w:rPr>
          <w:instrText xml:space="preserve"> PAGEREF _Toc537158 \h </w:instrText>
        </w:r>
        <w:r w:rsidR="00FB6F3E" w:rsidRPr="004044E8">
          <w:rPr>
            <w:rFonts w:ascii="Arial" w:hAnsi="Arial" w:cs="Arial"/>
            <w:noProof/>
            <w:webHidden/>
          </w:rPr>
        </w:r>
        <w:r w:rsidR="00FB6F3E" w:rsidRPr="004044E8">
          <w:rPr>
            <w:rFonts w:ascii="Arial" w:hAnsi="Arial" w:cs="Arial"/>
            <w:noProof/>
            <w:webHidden/>
          </w:rPr>
          <w:fldChar w:fldCharType="separate"/>
        </w:r>
        <w:r w:rsidR="00FB6F3E" w:rsidRPr="004044E8">
          <w:rPr>
            <w:rFonts w:ascii="Arial" w:hAnsi="Arial" w:cs="Arial"/>
            <w:noProof/>
            <w:webHidden/>
          </w:rPr>
          <w:t>19</w:t>
        </w:r>
        <w:r w:rsidR="00FB6F3E" w:rsidRPr="004044E8">
          <w:rPr>
            <w:rFonts w:ascii="Arial" w:hAnsi="Arial" w:cs="Arial"/>
            <w:noProof/>
            <w:webHidden/>
          </w:rPr>
          <w:fldChar w:fldCharType="end"/>
        </w:r>
      </w:hyperlink>
    </w:p>
    <w:p w14:paraId="02FD20C9" w14:textId="3311AF31" w:rsidR="00FB6F3E" w:rsidRPr="009F019B" w:rsidRDefault="00EF5D6E">
      <w:pPr>
        <w:pStyle w:val="TableofFigures"/>
        <w:tabs>
          <w:tab w:val="right" w:leader="dot" w:pos="9060"/>
        </w:tabs>
        <w:rPr>
          <w:rFonts w:ascii="Arial" w:eastAsiaTheme="minorEastAsia" w:hAnsi="Arial" w:cs="Arial"/>
          <w:smallCaps w:val="0"/>
          <w:noProof/>
          <w:spacing w:val="0"/>
          <w:sz w:val="22"/>
          <w:szCs w:val="22"/>
          <w:lang w:eastAsia="es-EC"/>
        </w:rPr>
      </w:pPr>
      <w:hyperlink w:anchor="_Toc537159" w:history="1">
        <w:r w:rsidR="00FB6F3E" w:rsidRPr="004044E8">
          <w:rPr>
            <w:rStyle w:val="Hyperlink"/>
            <w:rFonts w:ascii="Arial" w:hAnsi="Arial" w:cs="Arial"/>
            <w:noProof/>
          </w:rPr>
          <w:t>Tabla 4. Indicadores de la MdR, frecuencia de medición y fuentes de verificación</w:t>
        </w:r>
        <w:r w:rsidR="00FB6F3E" w:rsidRPr="004044E8">
          <w:rPr>
            <w:rFonts w:ascii="Arial" w:hAnsi="Arial" w:cs="Arial"/>
            <w:noProof/>
            <w:webHidden/>
          </w:rPr>
          <w:tab/>
        </w:r>
        <w:r w:rsidR="00FB6F3E" w:rsidRPr="004044E8">
          <w:rPr>
            <w:rFonts w:ascii="Arial" w:hAnsi="Arial" w:cs="Arial"/>
            <w:noProof/>
            <w:webHidden/>
          </w:rPr>
          <w:fldChar w:fldCharType="begin"/>
        </w:r>
        <w:r w:rsidR="00FB6F3E" w:rsidRPr="004044E8">
          <w:rPr>
            <w:rFonts w:ascii="Arial" w:hAnsi="Arial" w:cs="Arial"/>
            <w:noProof/>
            <w:webHidden/>
          </w:rPr>
          <w:instrText xml:space="preserve"> PAGEREF _Toc537159 \h </w:instrText>
        </w:r>
        <w:r w:rsidR="00FB6F3E" w:rsidRPr="004044E8">
          <w:rPr>
            <w:rFonts w:ascii="Arial" w:hAnsi="Arial" w:cs="Arial"/>
            <w:noProof/>
            <w:webHidden/>
          </w:rPr>
        </w:r>
        <w:r w:rsidR="00FB6F3E" w:rsidRPr="004044E8">
          <w:rPr>
            <w:rFonts w:ascii="Arial" w:hAnsi="Arial" w:cs="Arial"/>
            <w:noProof/>
            <w:webHidden/>
          </w:rPr>
          <w:fldChar w:fldCharType="separate"/>
        </w:r>
        <w:r w:rsidR="00FB6F3E" w:rsidRPr="004044E8">
          <w:rPr>
            <w:rFonts w:ascii="Arial" w:hAnsi="Arial" w:cs="Arial"/>
            <w:noProof/>
            <w:webHidden/>
          </w:rPr>
          <w:t>20</w:t>
        </w:r>
        <w:r w:rsidR="00FB6F3E" w:rsidRPr="004044E8">
          <w:rPr>
            <w:rFonts w:ascii="Arial" w:hAnsi="Arial" w:cs="Arial"/>
            <w:noProof/>
            <w:webHidden/>
          </w:rPr>
          <w:fldChar w:fldCharType="end"/>
        </w:r>
      </w:hyperlink>
    </w:p>
    <w:p w14:paraId="43DF67DB" w14:textId="6770BB61" w:rsidR="00FB6F3E" w:rsidRPr="009F019B" w:rsidRDefault="00EF5D6E">
      <w:pPr>
        <w:pStyle w:val="TableofFigures"/>
        <w:tabs>
          <w:tab w:val="right" w:leader="dot" w:pos="9060"/>
        </w:tabs>
        <w:rPr>
          <w:rFonts w:ascii="Arial" w:eastAsiaTheme="minorEastAsia" w:hAnsi="Arial" w:cs="Arial"/>
          <w:smallCaps w:val="0"/>
          <w:noProof/>
          <w:spacing w:val="0"/>
          <w:sz w:val="22"/>
          <w:szCs w:val="22"/>
          <w:lang w:eastAsia="es-EC"/>
        </w:rPr>
      </w:pPr>
      <w:hyperlink w:anchor="_Toc537160" w:history="1">
        <w:r w:rsidR="00FB6F3E" w:rsidRPr="004044E8">
          <w:rPr>
            <w:rStyle w:val="Hyperlink"/>
            <w:rFonts w:ascii="Arial" w:hAnsi="Arial" w:cs="Arial"/>
            <w:noProof/>
          </w:rPr>
          <w:t xml:space="preserve">Tabla 7. Perfiles Básicos del </w:t>
        </w:r>
        <w:r w:rsidR="00BF1EAC" w:rsidRPr="004044E8">
          <w:rPr>
            <w:rStyle w:val="Hyperlink"/>
            <w:rFonts w:ascii="Arial" w:hAnsi="Arial" w:cs="Arial"/>
            <w:noProof/>
          </w:rPr>
          <w:t>EDG</w:t>
        </w:r>
        <w:r w:rsidR="00FB6F3E" w:rsidRPr="004044E8">
          <w:rPr>
            <w:rStyle w:val="Hyperlink"/>
            <w:rFonts w:ascii="Arial" w:hAnsi="Arial" w:cs="Arial"/>
            <w:noProof/>
          </w:rPr>
          <w:t xml:space="preserve"> y referencias remunerativas</w:t>
        </w:r>
        <w:r w:rsidR="00FB6F3E" w:rsidRPr="004044E8">
          <w:rPr>
            <w:rFonts w:ascii="Arial" w:hAnsi="Arial" w:cs="Arial"/>
            <w:noProof/>
            <w:webHidden/>
          </w:rPr>
          <w:tab/>
        </w:r>
        <w:r w:rsidR="00FB6F3E" w:rsidRPr="004044E8">
          <w:rPr>
            <w:rFonts w:ascii="Arial" w:hAnsi="Arial" w:cs="Arial"/>
            <w:noProof/>
            <w:webHidden/>
          </w:rPr>
          <w:fldChar w:fldCharType="begin"/>
        </w:r>
        <w:r w:rsidR="00FB6F3E" w:rsidRPr="004044E8">
          <w:rPr>
            <w:rFonts w:ascii="Arial" w:hAnsi="Arial" w:cs="Arial"/>
            <w:noProof/>
            <w:webHidden/>
          </w:rPr>
          <w:instrText xml:space="preserve"> PAGEREF _Toc537160 \h </w:instrText>
        </w:r>
        <w:r w:rsidR="00FB6F3E" w:rsidRPr="004044E8">
          <w:rPr>
            <w:rFonts w:ascii="Arial" w:hAnsi="Arial" w:cs="Arial"/>
            <w:noProof/>
            <w:webHidden/>
          </w:rPr>
        </w:r>
        <w:r w:rsidR="00FB6F3E" w:rsidRPr="004044E8">
          <w:rPr>
            <w:rFonts w:ascii="Arial" w:hAnsi="Arial" w:cs="Arial"/>
            <w:noProof/>
            <w:webHidden/>
          </w:rPr>
          <w:fldChar w:fldCharType="separate"/>
        </w:r>
        <w:r w:rsidR="00FB6F3E" w:rsidRPr="004044E8">
          <w:rPr>
            <w:rFonts w:ascii="Arial" w:hAnsi="Arial" w:cs="Arial"/>
            <w:noProof/>
            <w:webHidden/>
          </w:rPr>
          <w:t>27</w:t>
        </w:r>
        <w:r w:rsidR="00FB6F3E" w:rsidRPr="004044E8">
          <w:rPr>
            <w:rFonts w:ascii="Arial" w:hAnsi="Arial" w:cs="Arial"/>
            <w:noProof/>
            <w:webHidden/>
          </w:rPr>
          <w:fldChar w:fldCharType="end"/>
        </w:r>
      </w:hyperlink>
    </w:p>
    <w:p w14:paraId="27B5BB39" w14:textId="119DA257" w:rsidR="002B3E2E" w:rsidRPr="009F019B" w:rsidRDefault="00324A5D">
      <w:pPr>
        <w:jc w:val="left"/>
        <w:rPr>
          <w:rFonts w:ascii="Arial" w:hAnsi="Arial" w:cs="Arial"/>
          <w:b/>
          <w:bCs/>
          <w:caps/>
          <w:szCs w:val="20"/>
        </w:rPr>
      </w:pPr>
      <w:r w:rsidRPr="009F019B">
        <w:rPr>
          <w:rFonts w:ascii="Arial" w:hAnsi="Arial" w:cs="Arial"/>
          <w:b/>
          <w:bCs/>
          <w:caps/>
          <w:smallCaps/>
          <w:szCs w:val="20"/>
        </w:rPr>
        <w:fldChar w:fldCharType="end"/>
      </w:r>
      <w:r w:rsidR="002B3E2E" w:rsidRPr="009F019B">
        <w:rPr>
          <w:rFonts w:ascii="Arial" w:hAnsi="Arial" w:cs="Arial"/>
          <w:b/>
          <w:bCs/>
          <w:caps/>
          <w:szCs w:val="20"/>
        </w:rPr>
        <w:br w:type="page"/>
      </w:r>
    </w:p>
    <w:p w14:paraId="01DC39C6" w14:textId="77777777" w:rsidR="002B3E2E" w:rsidRPr="004044E8" w:rsidRDefault="002B3E2E" w:rsidP="00FA4527">
      <w:pPr>
        <w:pStyle w:val="Heading1"/>
        <w:numPr>
          <w:ilvl w:val="0"/>
          <w:numId w:val="0"/>
        </w:numPr>
        <w:ind w:left="360"/>
        <w:rPr>
          <w:rFonts w:ascii="Arial" w:hAnsi="Arial" w:cs="Arial"/>
        </w:rPr>
      </w:pPr>
      <w:bookmarkStart w:id="0" w:name="_Toc424879188"/>
      <w:bookmarkStart w:id="1" w:name="_Toc454056443"/>
      <w:bookmarkStart w:id="2" w:name="_Toc10223095"/>
      <w:r w:rsidRPr="009F019B">
        <w:rPr>
          <w:rFonts w:ascii="Arial" w:hAnsi="Arial" w:cs="Arial"/>
        </w:rPr>
        <w:lastRenderedPageBreak/>
        <w:t>ABREVIATURAS</w:t>
      </w:r>
      <w:bookmarkEnd w:id="0"/>
      <w:bookmarkEnd w:id="1"/>
      <w:bookmarkEnd w:id="2"/>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9"/>
        <w:gridCol w:w="7488"/>
        <w:gridCol w:w="27"/>
      </w:tblGrid>
      <w:tr w:rsidR="00F002F2" w:rsidRPr="004044E8" w14:paraId="2EBA86FB" w14:textId="77777777" w:rsidTr="00A648BD">
        <w:trPr>
          <w:trHeight w:val="283"/>
        </w:trPr>
        <w:tc>
          <w:tcPr>
            <w:tcW w:w="1699" w:type="dxa"/>
          </w:tcPr>
          <w:p w14:paraId="411E4206" w14:textId="3A6561BA" w:rsidR="00F002F2" w:rsidRPr="004044E8" w:rsidRDefault="00F002F2" w:rsidP="00F002F2">
            <w:pPr>
              <w:pStyle w:val="NoSpacing"/>
              <w:jc w:val="left"/>
              <w:rPr>
                <w:rFonts w:ascii="Arial" w:hAnsi="Arial" w:cs="Arial"/>
              </w:rPr>
            </w:pPr>
            <w:r w:rsidRPr="004044E8">
              <w:rPr>
                <w:rFonts w:ascii="Arial" w:hAnsi="Arial" w:cs="Arial"/>
              </w:rPr>
              <w:t>EC-</w:t>
            </w:r>
            <w:r w:rsidR="00377037" w:rsidRPr="004044E8">
              <w:rPr>
                <w:rFonts w:ascii="Arial" w:hAnsi="Arial" w:cs="Arial"/>
              </w:rPr>
              <w:t>12</w:t>
            </w:r>
            <w:r w:rsidR="007C2E76" w:rsidRPr="004044E8">
              <w:rPr>
                <w:rFonts w:ascii="Arial" w:hAnsi="Arial" w:cs="Arial"/>
              </w:rPr>
              <w:t>51</w:t>
            </w:r>
          </w:p>
        </w:tc>
        <w:tc>
          <w:tcPr>
            <w:tcW w:w="7515" w:type="dxa"/>
            <w:gridSpan w:val="2"/>
          </w:tcPr>
          <w:p w14:paraId="40D7B7FF" w14:textId="661A79BB" w:rsidR="00F002F2" w:rsidRPr="004044E8" w:rsidRDefault="007C2E76" w:rsidP="00F002F2">
            <w:pPr>
              <w:pStyle w:val="NoSpacing"/>
              <w:rPr>
                <w:rFonts w:ascii="Arial" w:hAnsi="Arial" w:cs="Arial"/>
              </w:rPr>
            </w:pPr>
            <w:r w:rsidRPr="004044E8">
              <w:rPr>
                <w:rFonts w:ascii="Arial" w:hAnsi="Arial" w:cs="Arial"/>
                <w:lang w:val="es-ES"/>
              </w:rPr>
              <w:t>Programa de Apoyo a la Reforma de Empresas Públicas</w:t>
            </w:r>
          </w:p>
        </w:tc>
      </w:tr>
      <w:tr w:rsidR="00F6541D" w:rsidRPr="004044E8" w14:paraId="669CA9C6" w14:textId="77777777" w:rsidTr="00A648BD">
        <w:trPr>
          <w:trHeight w:val="283"/>
        </w:trPr>
        <w:tc>
          <w:tcPr>
            <w:tcW w:w="1699" w:type="dxa"/>
          </w:tcPr>
          <w:p w14:paraId="3DA2E95C" w14:textId="1AC23355" w:rsidR="00F6541D" w:rsidRPr="004044E8" w:rsidRDefault="00A038B9" w:rsidP="00F002F2">
            <w:pPr>
              <w:pStyle w:val="NoSpacing"/>
              <w:jc w:val="left"/>
              <w:rPr>
                <w:rFonts w:ascii="Arial" w:hAnsi="Arial" w:cs="Arial"/>
              </w:rPr>
            </w:pPr>
            <w:r w:rsidRPr="004044E8">
              <w:rPr>
                <w:rFonts w:ascii="Arial" w:hAnsi="Arial" w:cs="Arial"/>
              </w:rPr>
              <w:t xml:space="preserve"> </w:t>
            </w:r>
            <w:r w:rsidR="00C6129A" w:rsidRPr="004044E8">
              <w:rPr>
                <w:rFonts w:ascii="Arial" w:hAnsi="Arial" w:cs="Arial"/>
              </w:rPr>
              <w:t>XXXX</w:t>
            </w:r>
            <w:r w:rsidRPr="004044E8">
              <w:rPr>
                <w:rFonts w:ascii="Arial" w:hAnsi="Arial" w:cs="Arial"/>
              </w:rPr>
              <w:t>/OC-EC</w:t>
            </w:r>
          </w:p>
        </w:tc>
        <w:tc>
          <w:tcPr>
            <w:tcW w:w="7515" w:type="dxa"/>
            <w:gridSpan w:val="2"/>
          </w:tcPr>
          <w:p w14:paraId="2DDF3262" w14:textId="26B9C520" w:rsidR="00F6541D" w:rsidRPr="004044E8" w:rsidRDefault="00F6541D" w:rsidP="005161CA">
            <w:pPr>
              <w:pStyle w:val="NoSpacing"/>
              <w:rPr>
                <w:rFonts w:ascii="Arial" w:hAnsi="Arial" w:cs="Arial"/>
              </w:rPr>
            </w:pPr>
            <w:r w:rsidRPr="004044E8">
              <w:rPr>
                <w:rFonts w:ascii="Arial" w:hAnsi="Arial" w:cs="Arial"/>
              </w:rPr>
              <w:t>Contrato de Préstamo del ‘</w:t>
            </w:r>
            <w:r w:rsidR="007C2E76" w:rsidRPr="004044E8">
              <w:rPr>
                <w:rFonts w:ascii="Arial" w:hAnsi="Arial" w:cs="Arial"/>
                <w:lang w:val="es-ES"/>
              </w:rPr>
              <w:t>Programa de Apoyo a la Reforma de Empresas Públicas</w:t>
            </w:r>
            <w:r w:rsidR="00377037" w:rsidRPr="004044E8">
              <w:rPr>
                <w:rFonts w:ascii="Arial" w:hAnsi="Arial" w:cs="Arial"/>
              </w:rPr>
              <w:t>” EC-L12</w:t>
            </w:r>
            <w:r w:rsidR="007C2E76" w:rsidRPr="004044E8">
              <w:rPr>
                <w:rFonts w:ascii="Arial" w:hAnsi="Arial" w:cs="Arial"/>
              </w:rPr>
              <w:t>51</w:t>
            </w:r>
          </w:p>
        </w:tc>
      </w:tr>
      <w:tr w:rsidR="00F72564" w:rsidRPr="004044E8" w14:paraId="35060186" w14:textId="77777777" w:rsidTr="00A648BD">
        <w:trPr>
          <w:trHeight w:val="283"/>
        </w:trPr>
        <w:tc>
          <w:tcPr>
            <w:tcW w:w="1699" w:type="dxa"/>
          </w:tcPr>
          <w:p w14:paraId="1EC4A199" w14:textId="77777777" w:rsidR="00F72564" w:rsidRPr="004044E8" w:rsidRDefault="00F72564" w:rsidP="002C7221">
            <w:pPr>
              <w:pStyle w:val="NoSpacing"/>
              <w:jc w:val="left"/>
              <w:rPr>
                <w:rFonts w:ascii="Arial" w:hAnsi="Arial" w:cs="Arial"/>
              </w:rPr>
            </w:pPr>
            <w:r w:rsidRPr="004044E8">
              <w:rPr>
                <w:rFonts w:ascii="Arial" w:hAnsi="Arial" w:cs="Arial"/>
              </w:rPr>
              <w:t>BID</w:t>
            </w:r>
          </w:p>
        </w:tc>
        <w:tc>
          <w:tcPr>
            <w:tcW w:w="7515" w:type="dxa"/>
            <w:gridSpan w:val="2"/>
          </w:tcPr>
          <w:p w14:paraId="78782A91" w14:textId="77777777" w:rsidR="00F72564" w:rsidRPr="004044E8" w:rsidRDefault="00F72564" w:rsidP="002B3E2E">
            <w:pPr>
              <w:pStyle w:val="NoSpacing"/>
              <w:rPr>
                <w:rFonts w:ascii="Arial" w:hAnsi="Arial" w:cs="Arial"/>
              </w:rPr>
            </w:pPr>
            <w:r w:rsidRPr="004044E8">
              <w:rPr>
                <w:rFonts w:ascii="Arial" w:hAnsi="Arial" w:cs="Arial"/>
              </w:rPr>
              <w:t>Banco Interamericano de Desarrollo</w:t>
            </w:r>
          </w:p>
        </w:tc>
      </w:tr>
      <w:tr w:rsidR="00017940" w:rsidRPr="004044E8" w14:paraId="410FCA75" w14:textId="77777777" w:rsidTr="00A648BD">
        <w:trPr>
          <w:trHeight w:val="283"/>
        </w:trPr>
        <w:tc>
          <w:tcPr>
            <w:tcW w:w="1699" w:type="dxa"/>
          </w:tcPr>
          <w:p w14:paraId="42754D78" w14:textId="77777777" w:rsidR="00017940" w:rsidRPr="004044E8" w:rsidRDefault="00017940" w:rsidP="002C7221">
            <w:pPr>
              <w:pStyle w:val="NoSpacing"/>
              <w:jc w:val="left"/>
              <w:rPr>
                <w:rFonts w:ascii="Arial" w:hAnsi="Arial" w:cs="Arial"/>
              </w:rPr>
            </w:pPr>
            <w:r w:rsidRPr="004044E8">
              <w:rPr>
                <w:rFonts w:ascii="Arial" w:hAnsi="Arial" w:cs="Arial"/>
              </w:rPr>
              <w:t>BID (OP-273-1)</w:t>
            </w:r>
          </w:p>
        </w:tc>
        <w:tc>
          <w:tcPr>
            <w:tcW w:w="7515" w:type="dxa"/>
            <w:gridSpan w:val="2"/>
          </w:tcPr>
          <w:p w14:paraId="2929BBA1" w14:textId="701DA5CE" w:rsidR="00017940" w:rsidRPr="004044E8" w:rsidRDefault="00017940" w:rsidP="002B3E2E">
            <w:pPr>
              <w:pStyle w:val="NoSpacing"/>
              <w:rPr>
                <w:rFonts w:ascii="Arial" w:hAnsi="Arial" w:cs="Arial"/>
              </w:rPr>
            </w:pPr>
            <w:r w:rsidRPr="004044E8">
              <w:rPr>
                <w:rFonts w:ascii="Arial" w:hAnsi="Arial" w:cs="Arial"/>
              </w:rPr>
              <w:t xml:space="preserve">Política de Gestión Financiera </w:t>
            </w:r>
            <w:r w:rsidR="00FB6F3E" w:rsidRPr="004044E8">
              <w:rPr>
                <w:rFonts w:ascii="Arial" w:hAnsi="Arial" w:cs="Arial"/>
              </w:rPr>
              <w:t>para Programas</w:t>
            </w:r>
            <w:r w:rsidRPr="004044E8">
              <w:rPr>
                <w:rFonts w:ascii="Arial" w:hAnsi="Arial" w:cs="Arial"/>
              </w:rPr>
              <w:t xml:space="preserve"> Financiados por el BID</w:t>
            </w:r>
          </w:p>
        </w:tc>
      </w:tr>
      <w:tr w:rsidR="00017940" w:rsidRPr="004044E8" w14:paraId="7B3156B3" w14:textId="77777777" w:rsidTr="00A648BD">
        <w:trPr>
          <w:gridAfter w:val="1"/>
          <w:wAfter w:w="27" w:type="dxa"/>
          <w:trHeight w:val="283"/>
        </w:trPr>
        <w:tc>
          <w:tcPr>
            <w:tcW w:w="1699" w:type="dxa"/>
          </w:tcPr>
          <w:p w14:paraId="15D6C279" w14:textId="77777777" w:rsidR="00017940" w:rsidRPr="004044E8" w:rsidRDefault="00017940" w:rsidP="002C7221">
            <w:pPr>
              <w:pStyle w:val="NoSpacing"/>
              <w:jc w:val="left"/>
              <w:rPr>
                <w:rFonts w:ascii="Arial" w:hAnsi="Arial" w:cs="Arial"/>
              </w:rPr>
            </w:pPr>
            <w:r w:rsidRPr="004044E8">
              <w:rPr>
                <w:rFonts w:ascii="Arial" w:hAnsi="Arial" w:cs="Arial"/>
              </w:rPr>
              <w:t>BID (GN-2349-9)</w:t>
            </w:r>
          </w:p>
        </w:tc>
        <w:tc>
          <w:tcPr>
            <w:tcW w:w="7488" w:type="dxa"/>
          </w:tcPr>
          <w:p w14:paraId="6AEF58DF" w14:textId="69C0FEBA" w:rsidR="00017940" w:rsidRPr="004044E8" w:rsidRDefault="00017940" w:rsidP="002B3E2E">
            <w:pPr>
              <w:pStyle w:val="NoSpacing"/>
              <w:rPr>
                <w:rFonts w:ascii="Arial" w:hAnsi="Arial" w:cs="Arial"/>
              </w:rPr>
            </w:pPr>
            <w:r w:rsidRPr="004044E8">
              <w:rPr>
                <w:rFonts w:ascii="Arial" w:hAnsi="Arial" w:cs="Arial"/>
              </w:rPr>
              <w:t xml:space="preserve">Políticas para </w:t>
            </w:r>
            <w:r w:rsidR="00FB6F3E" w:rsidRPr="004044E8">
              <w:rPr>
                <w:rFonts w:ascii="Arial" w:hAnsi="Arial" w:cs="Arial"/>
              </w:rPr>
              <w:t>la Adquisición</w:t>
            </w:r>
            <w:r w:rsidRPr="004044E8">
              <w:rPr>
                <w:rFonts w:ascii="Arial" w:hAnsi="Arial" w:cs="Arial"/>
              </w:rPr>
              <w:t xml:space="preserve"> de Obras y Bienes Financiados por el BID</w:t>
            </w:r>
          </w:p>
        </w:tc>
      </w:tr>
      <w:tr w:rsidR="00017940" w:rsidRPr="004044E8" w14:paraId="0736B1B0" w14:textId="77777777" w:rsidTr="00A648BD">
        <w:trPr>
          <w:gridAfter w:val="1"/>
          <w:wAfter w:w="27" w:type="dxa"/>
          <w:trHeight w:val="283"/>
        </w:trPr>
        <w:tc>
          <w:tcPr>
            <w:tcW w:w="1699" w:type="dxa"/>
          </w:tcPr>
          <w:p w14:paraId="2ED7FC40" w14:textId="77777777" w:rsidR="00017940" w:rsidRPr="004044E8" w:rsidRDefault="00017940" w:rsidP="002C7221">
            <w:pPr>
              <w:pStyle w:val="NoSpacing"/>
              <w:jc w:val="left"/>
              <w:rPr>
                <w:rFonts w:ascii="Arial" w:hAnsi="Arial" w:cs="Arial"/>
              </w:rPr>
            </w:pPr>
            <w:r w:rsidRPr="004044E8">
              <w:rPr>
                <w:rFonts w:ascii="Arial" w:hAnsi="Arial" w:cs="Arial"/>
              </w:rPr>
              <w:t>BID (GN-2350-9)</w:t>
            </w:r>
          </w:p>
        </w:tc>
        <w:tc>
          <w:tcPr>
            <w:tcW w:w="7488" w:type="dxa"/>
          </w:tcPr>
          <w:p w14:paraId="2EF4FA65" w14:textId="77777777" w:rsidR="00017940" w:rsidRPr="004044E8" w:rsidRDefault="00017940" w:rsidP="002B3E2E">
            <w:pPr>
              <w:pStyle w:val="NoSpacing"/>
              <w:rPr>
                <w:rFonts w:ascii="Arial" w:hAnsi="Arial" w:cs="Arial"/>
              </w:rPr>
            </w:pPr>
            <w:r w:rsidRPr="004044E8">
              <w:rPr>
                <w:rFonts w:ascii="Arial" w:hAnsi="Arial" w:cs="Arial"/>
              </w:rPr>
              <w:t>Políticas para la Selección y Contratación de Consultores Financiados por el BID</w:t>
            </w:r>
          </w:p>
        </w:tc>
      </w:tr>
      <w:tr w:rsidR="00172746" w:rsidRPr="004044E8" w14:paraId="36E2C0A2" w14:textId="77777777" w:rsidTr="00A648BD">
        <w:trPr>
          <w:gridAfter w:val="1"/>
          <w:wAfter w:w="27" w:type="dxa"/>
          <w:trHeight w:val="283"/>
        </w:trPr>
        <w:tc>
          <w:tcPr>
            <w:tcW w:w="1699" w:type="dxa"/>
          </w:tcPr>
          <w:p w14:paraId="44AF4DCC" w14:textId="77777777" w:rsidR="00172746" w:rsidRPr="004044E8" w:rsidRDefault="00172746" w:rsidP="002C7221">
            <w:pPr>
              <w:pStyle w:val="NoSpacing"/>
              <w:jc w:val="left"/>
              <w:rPr>
                <w:rFonts w:ascii="Arial" w:hAnsi="Arial" w:cs="Arial"/>
              </w:rPr>
            </w:pPr>
            <w:r w:rsidRPr="004044E8">
              <w:rPr>
                <w:rFonts w:ascii="Arial" w:hAnsi="Arial" w:cs="Arial"/>
              </w:rPr>
              <w:t>CGE</w:t>
            </w:r>
          </w:p>
        </w:tc>
        <w:tc>
          <w:tcPr>
            <w:tcW w:w="7488" w:type="dxa"/>
          </w:tcPr>
          <w:p w14:paraId="14485B49" w14:textId="77777777" w:rsidR="00172746" w:rsidRPr="004044E8" w:rsidRDefault="00172746" w:rsidP="00A55675">
            <w:pPr>
              <w:pStyle w:val="NoSpacing"/>
              <w:rPr>
                <w:rFonts w:ascii="Arial" w:hAnsi="Arial" w:cs="Arial"/>
              </w:rPr>
            </w:pPr>
            <w:r w:rsidRPr="004044E8">
              <w:rPr>
                <w:rFonts w:ascii="Arial" w:hAnsi="Arial" w:cs="Arial"/>
              </w:rPr>
              <w:t>Contraloría General del Estado</w:t>
            </w:r>
          </w:p>
        </w:tc>
      </w:tr>
      <w:tr w:rsidR="00017940" w:rsidRPr="004044E8" w14:paraId="58DFF77C" w14:textId="77777777" w:rsidTr="00A648BD">
        <w:trPr>
          <w:gridAfter w:val="1"/>
          <w:wAfter w:w="27" w:type="dxa"/>
          <w:trHeight w:val="283"/>
        </w:trPr>
        <w:tc>
          <w:tcPr>
            <w:tcW w:w="1699" w:type="dxa"/>
          </w:tcPr>
          <w:p w14:paraId="3404DAC6" w14:textId="4C30253B" w:rsidR="00017940" w:rsidRPr="004044E8" w:rsidRDefault="00017940" w:rsidP="002C7221">
            <w:pPr>
              <w:pStyle w:val="NoSpacing"/>
              <w:jc w:val="left"/>
              <w:rPr>
                <w:rFonts w:ascii="Arial" w:hAnsi="Arial" w:cs="Arial"/>
              </w:rPr>
            </w:pPr>
            <w:r w:rsidRPr="004044E8">
              <w:rPr>
                <w:rFonts w:ascii="Arial" w:hAnsi="Arial" w:cs="Arial"/>
              </w:rPr>
              <w:t>COP</w:t>
            </w:r>
            <w:r w:rsidR="00C6129A" w:rsidRPr="004044E8">
              <w:rPr>
                <w:rFonts w:ascii="Arial" w:hAnsi="Arial" w:cs="Arial"/>
              </w:rPr>
              <w:t>LAF</w:t>
            </w:r>
            <w:r w:rsidR="00A648BD" w:rsidRPr="004044E8">
              <w:rPr>
                <w:rFonts w:ascii="Arial" w:hAnsi="Arial" w:cs="Arial"/>
              </w:rPr>
              <w:t>I</w:t>
            </w:r>
            <w:r w:rsidRPr="004044E8">
              <w:rPr>
                <w:rFonts w:ascii="Arial" w:hAnsi="Arial" w:cs="Arial"/>
              </w:rPr>
              <w:t>P</w:t>
            </w:r>
          </w:p>
        </w:tc>
        <w:tc>
          <w:tcPr>
            <w:tcW w:w="7488" w:type="dxa"/>
          </w:tcPr>
          <w:p w14:paraId="3949A231" w14:textId="77777777" w:rsidR="00017940" w:rsidRPr="004044E8" w:rsidRDefault="00017940" w:rsidP="002B3E2E">
            <w:pPr>
              <w:pStyle w:val="NoSpacing"/>
              <w:rPr>
                <w:rFonts w:ascii="Arial" w:hAnsi="Arial" w:cs="Arial"/>
              </w:rPr>
            </w:pPr>
            <w:r w:rsidRPr="004044E8">
              <w:rPr>
                <w:rFonts w:ascii="Arial" w:hAnsi="Arial" w:cs="Arial"/>
              </w:rPr>
              <w:t>Código Orgánico de Planificación y Finanzas Públicas</w:t>
            </w:r>
          </w:p>
        </w:tc>
      </w:tr>
      <w:tr w:rsidR="00035979" w:rsidRPr="004044E8" w14:paraId="6A67671B" w14:textId="77777777" w:rsidTr="00A648BD">
        <w:trPr>
          <w:gridAfter w:val="1"/>
          <w:wAfter w:w="27" w:type="dxa"/>
          <w:trHeight w:val="283"/>
        </w:trPr>
        <w:tc>
          <w:tcPr>
            <w:tcW w:w="1699" w:type="dxa"/>
          </w:tcPr>
          <w:p w14:paraId="4330CF52" w14:textId="1BEB62A2" w:rsidR="00035979" w:rsidRPr="004044E8" w:rsidRDefault="00035979" w:rsidP="002C7221">
            <w:pPr>
              <w:pStyle w:val="NoSpacing"/>
              <w:jc w:val="left"/>
              <w:rPr>
                <w:rFonts w:ascii="Arial" w:hAnsi="Arial" w:cs="Arial"/>
              </w:rPr>
            </w:pPr>
            <w:r w:rsidRPr="004044E8">
              <w:rPr>
                <w:rFonts w:ascii="Arial" w:hAnsi="Arial" w:cs="Arial"/>
              </w:rPr>
              <w:t>CSI</w:t>
            </w:r>
          </w:p>
        </w:tc>
        <w:tc>
          <w:tcPr>
            <w:tcW w:w="7488" w:type="dxa"/>
          </w:tcPr>
          <w:p w14:paraId="428E5BE0" w14:textId="37DB0BEA" w:rsidR="00035979" w:rsidRPr="004044E8" w:rsidRDefault="00035979" w:rsidP="007A6342">
            <w:pPr>
              <w:pStyle w:val="NoSpacing"/>
              <w:rPr>
                <w:rFonts w:ascii="Arial" w:hAnsi="Arial" w:cs="Arial"/>
              </w:rPr>
            </w:pPr>
            <w:r w:rsidRPr="004044E8">
              <w:rPr>
                <w:rFonts w:ascii="Arial" w:hAnsi="Arial" w:cs="Arial"/>
              </w:rPr>
              <w:t>Convenios</w:t>
            </w:r>
            <w:r w:rsidR="007A6342" w:rsidRPr="004044E8">
              <w:rPr>
                <w:rFonts w:ascii="Arial" w:hAnsi="Arial" w:cs="Arial"/>
              </w:rPr>
              <w:t xml:space="preserve"> Subsidiarios </w:t>
            </w:r>
            <w:r w:rsidRPr="004044E8">
              <w:rPr>
                <w:rFonts w:ascii="Arial" w:hAnsi="Arial" w:cs="Arial"/>
              </w:rPr>
              <w:t>Interinstitucionales</w:t>
            </w:r>
          </w:p>
        </w:tc>
      </w:tr>
      <w:tr w:rsidR="001A6CAB" w:rsidRPr="004044E8" w14:paraId="658E51F3" w14:textId="77777777" w:rsidTr="00A648BD">
        <w:trPr>
          <w:gridAfter w:val="1"/>
          <w:wAfter w:w="27" w:type="dxa"/>
          <w:trHeight w:val="283"/>
        </w:trPr>
        <w:tc>
          <w:tcPr>
            <w:tcW w:w="1699" w:type="dxa"/>
          </w:tcPr>
          <w:p w14:paraId="00CCBC44" w14:textId="77777777" w:rsidR="001A6CAB" w:rsidRPr="004044E8" w:rsidRDefault="001A6CAB" w:rsidP="002C7221">
            <w:pPr>
              <w:pStyle w:val="NoSpacing"/>
              <w:jc w:val="left"/>
              <w:rPr>
                <w:rFonts w:ascii="Arial" w:hAnsi="Arial" w:cs="Arial"/>
              </w:rPr>
            </w:pPr>
            <w:r w:rsidRPr="004044E8">
              <w:rPr>
                <w:rFonts w:ascii="Arial" w:hAnsi="Arial" w:cs="Arial"/>
              </w:rPr>
              <w:t>DEA</w:t>
            </w:r>
          </w:p>
        </w:tc>
        <w:tc>
          <w:tcPr>
            <w:tcW w:w="7488" w:type="dxa"/>
          </w:tcPr>
          <w:p w14:paraId="495F3C04" w14:textId="77777777" w:rsidR="001A6CAB" w:rsidRPr="004044E8" w:rsidRDefault="001A6CAB" w:rsidP="002B3E2E">
            <w:pPr>
              <w:pStyle w:val="NoSpacing"/>
              <w:rPr>
                <w:rFonts w:ascii="Arial" w:hAnsi="Arial" w:cs="Arial"/>
              </w:rPr>
            </w:pPr>
            <w:r w:rsidRPr="004044E8">
              <w:rPr>
                <w:rFonts w:ascii="Arial" w:hAnsi="Arial" w:cs="Arial"/>
              </w:rPr>
              <w:t>Documentos Estándar de Adquisiciones</w:t>
            </w:r>
          </w:p>
        </w:tc>
      </w:tr>
      <w:tr w:rsidR="001A6CAB" w:rsidRPr="004044E8" w14:paraId="3F875BD3" w14:textId="77777777" w:rsidTr="00A648BD">
        <w:trPr>
          <w:gridAfter w:val="1"/>
          <w:wAfter w:w="27" w:type="dxa"/>
          <w:trHeight w:val="283"/>
        </w:trPr>
        <w:tc>
          <w:tcPr>
            <w:tcW w:w="1699" w:type="dxa"/>
          </w:tcPr>
          <w:p w14:paraId="1FEABD2F" w14:textId="77777777" w:rsidR="001A6CAB" w:rsidRPr="004044E8" w:rsidRDefault="001A6CAB" w:rsidP="002C7221">
            <w:pPr>
              <w:pStyle w:val="NoSpacing"/>
              <w:jc w:val="left"/>
              <w:rPr>
                <w:rFonts w:ascii="Arial" w:hAnsi="Arial" w:cs="Arial"/>
              </w:rPr>
            </w:pPr>
            <w:r w:rsidRPr="004044E8">
              <w:rPr>
                <w:rFonts w:ascii="Arial" w:hAnsi="Arial" w:cs="Arial"/>
              </w:rPr>
              <w:t xml:space="preserve">DEL </w:t>
            </w:r>
          </w:p>
        </w:tc>
        <w:tc>
          <w:tcPr>
            <w:tcW w:w="7488" w:type="dxa"/>
          </w:tcPr>
          <w:p w14:paraId="0B6868C1" w14:textId="77777777" w:rsidR="001A6CAB" w:rsidRPr="004044E8" w:rsidRDefault="001A6CAB" w:rsidP="002B3E2E">
            <w:pPr>
              <w:pStyle w:val="NoSpacing"/>
              <w:rPr>
                <w:rFonts w:ascii="Arial" w:hAnsi="Arial" w:cs="Arial"/>
              </w:rPr>
            </w:pPr>
            <w:r w:rsidRPr="004044E8">
              <w:rPr>
                <w:rFonts w:ascii="Arial" w:hAnsi="Arial" w:cs="Arial"/>
              </w:rPr>
              <w:t>Documentos Estándar de Licitaciones</w:t>
            </w:r>
          </w:p>
        </w:tc>
      </w:tr>
      <w:tr w:rsidR="00105160" w:rsidRPr="004044E8" w14:paraId="0DEFFDBF" w14:textId="77777777" w:rsidTr="00A648BD">
        <w:trPr>
          <w:gridAfter w:val="1"/>
          <w:wAfter w:w="27" w:type="dxa"/>
          <w:trHeight w:val="283"/>
        </w:trPr>
        <w:tc>
          <w:tcPr>
            <w:tcW w:w="1699" w:type="dxa"/>
          </w:tcPr>
          <w:p w14:paraId="4E498D0B" w14:textId="7C381012" w:rsidR="00105160" w:rsidRPr="004044E8" w:rsidRDefault="00BF1EAC" w:rsidP="002C7221">
            <w:pPr>
              <w:pStyle w:val="NoSpacing"/>
              <w:jc w:val="left"/>
              <w:rPr>
                <w:rFonts w:ascii="Arial" w:hAnsi="Arial" w:cs="Arial"/>
              </w:rPr>
            </w:pPr>
            <w:r w:rsidRPr="004044E8">
              <w:rPr>
                <w:rFonts w:ascii="Arial" w:hAnsi="Arial" w:cs="Arial"/>
              </w:rPr>
              <w:t>EDG</w:t>
            </w:r>
          </w:p>
        </w:tc>
        <w:tc>
          <w:tcPr>
            <w:tcW w:w="7488" w:type="dxa"/>
          </w:tcPr>
          <w:p w14:paraId="76B4B77C" w14:textId="1B558795" w:rsidR="00105160" w:rsidRPr="004044E8" w:rsidRDefault="00105160" w:rsidP="002B3E2E">
            <w:pPr>
              <w:pStyle w:val="NoSpacing"/>
              <w:rPr>
                <w:rFonts w:ascii="Arial" w:hAnsi="Arial" w:cs="Arial"/>
              </w:rPr>
            </w:pPr>
            <w:r w:rsidRPr="004044E8">
              <w:rPr>
                <w:rFonts w:ascii="Arial" w:hAnsi="Arial" w:cs="Arial"/>
              </w:rPr>
              <w:t>Equipo de Gestión del Programa</w:t>
            </w:r>
            <w:r w:rsidR="00983EE0" w:rsidRPr="004044E8">
              <w:rPr>
                <w:rFonts w:ascii="Arial" w:hAnsi="Arial" w:cs="Arial"/>
              </w:rPr>
              <w:t xml:space="preserve"> del </w:t>
            </w:r>
            <w:r w:rsidR="00132A3B" w:rsidRPr="004044E8">
              <w:rPr>
                <w:rFonts w:ascii="Arial" w:hAnsi="Arial" w:cs="Arial"/>
              </w:rPr>
              <w:t>MPCEI</w:t>
            </w:r>
          </w:p>
        </w:tc>
      </w:tr>
      <w:tr w:rsidR="007B1497" w:rsidRPr="004044E8" w14:paraId="5EAE2AC4" w14:textId="77777777" w:rsidTr="00A648BD">
        <w:trPr>
          <w:gridAfter w:val="1"/>
          <w:wAfter w:w="27" w:type="dxa"/>
          <w:trHeight w:val="283"/>
        </w:trPr>
        <w:tc>
          <w:tcPr>
            <w:tcW w:w="1699" w:type="dxa"/>
          </w:tcPr>
          <w:p w14:paraId="4AE638DD" w14:textId="77777777" w:rsidR="007B1497" w:rsidRPr="004044E8" w:rsidRDefault="007B1497" w:rsidP="002C7221">
            <w:pPr>
              <w:pStyle w:val="NoSpacing"/>
              <w:jc w:val="left"/>
              <w:rPr>
                <w:rFonts w:ascii="Arial" w:hAnsi="Arial" w:cs="Arial"/>
              </w:rPr>
            </w:pPr>
            <w:r w:rsidRPr="004044E8">
              <w:rPr>
                <w:rFonts w:ascii="Arial" w:hAnsi="Arial" w:cs="Arial"/>
              </w:rPr>
              <w:t>e-</w:t>
            </w:r>
            <w:proofErr w:type="spellStart"/>
            <w:r w:rsidRPr="004044E8">
              <w:rPr>
                <w:rFonts w:ascii="Arial" w:hAnsi="Arial" w:cs="Arial"/>
              </w:rPr>
              <w:t>Sigef</w:t>
            </w:r>
            <w:proofErr w:type="spellEnd"/>
          </w:p>
        </w:tc>
        <w:tc>
          <w:tcPr>
            <w:tcW w:w="7488" w:type="dxa"/>
          </w:tcPr>
          <w:p w14:paraId="7D206420" w14:textId="77777777" w:rsidR="007B1497" w:rsidRPr="004044E8" w:rsidRDefault="00D22AFE" w:rsidP="00E66574">
            <w:pPr>
              <w:pStyle w:val="NoSpacing"/>
              <w:rPr>
                <w:rFonts w:ascii="Arial" w:hAnsi="Arial" w:cs="Arial"/>
              </w:rPr>
            </w:pPr>
            <w:r w:rsidRPr="004044E8">
              <w:rPr>
                <w:rFonts w:ascii="Arial" w:hAnsi="Arial" w:cs="Arial"/>
              </w:rPr>
              <w:t>Sistema de Administración Financiera del Sector Público</w:t>
            </w:r>
          </w:p>
        </w:tc>
      </w:tr>
      <w:tr w:rsidR="00017940" w:rsidRPr="004044E8" w14:paraId="33F9A23D" w14:textId="77777777" w:rsidTr="00A648BD">
        <w:trPr>
          <w:gridAfter w:val="1"/>
          <w:wAfter w:w="27" w:type="dxa"/>
          <w:trHeight w:val="283"/>
        </w:trPr>
        <w:tc>
          <w:tcPr>
            <w:tcW w:w="1699" w:type="dxa"/>
          </w:tcPr>
          <w:p w14:paraId="5AAB86E1" w14:textId="77777777" w:rsidR="00017940" w:rsidRPr="004044E8" w:rsidRDefault="00017940" w:rsidP="002C7221">
            <w:pPr>
              <w:pStyle w:val="NoSpacing"/>
              <w:jc w:val="left"/>
              <w:rPr>
                <w:rFonts w:ascii="Arial" w:hAnsi="Arial" w:cs="Arial"/>
              </w:rPr>
            </w:pPr>
            <w:r w:rsidRPr="004044E8">
              <w:rPr>
                <w:rFonts w:ascii="Arial" w:hAnsi="Arial" w:cs="Arial"/>
              </w:rPr>
              <w:t>GRP</w:t>
            </w:r>
          </w:p>
        </w:tc>
        <w:tc>
          <w:tcPr>
            <w:tcW w:w="7488" w:type="dxa"/>
          </w:tcPr>
          <w:p w14:paraId="0162523D" w14:textId="77777777" w:rsidR="00017940" w:rsidRPr="004044E8" w:rsidRDefault="00017940" w:rsidP="00E66574">
            <w:pPr>
              <w:pStyle w:val="NoSpacing"/>
              <w:rPr>
                <w:rFonts w:ascii="Arial" w:hAnsi="Arial" w:cs="Arial"/>
              </w:rPr>
            </w:pPr>
            <w:r w:rsidRPr="004044E8">
              <w:rPr>
                <w:rFonts w:ascii="Arial" w:hAnsi="Arial" w:cs="Arial"/>
              </w:rPr>
              <w:t>Gestión de Riesgos del Programa</w:t>
            </w:r>
          </w:p>
        </w:tc>
      </w:tr>
      <w:tr w:rsidR="00906D02" w:rsidRPr="004044E8" w14:paraId="5C07C39E" w14:textId="77777777" w:rsidTr="00A648BD">
        <w:trPr>
          <w:gridAfter w:val="1"/>
          <w:wAfter w:w="27" w:type="dxa"/>
          <w:trHeight w:val="283"/>
        </w:trPr>
        <w:tc>
          <w:tcPr>
            <w:tcW w:w="1699" w:type="dxa"/>
          </w:tcPr>
          <w:p w14:paraId="19BE0350" w14:textId="77777777" w:rsidR="00906D02" w:rsidRPr="004044E8" w:rsidRDefault="00906D02" w:rsidP="002C7221">
            <w:pPr>
              <w:pStyle w:val="NoSpacing"/>
              <w:jc w:val="left"/>
              <w:rPr>
                <w:rFonts w:ascii="Arial" w:hAnsi="Arial" w:cs="Arial"/>
              </w:rPr>
            </w:pPr>
            <w:r w:rsidRPr="004044E8">
              <w:rPr>
                <w:rFonts w:ascii="Arial" w:hAnsi="Arial" w:cs="Arial"/>
              </w:rPr>
              <w:t>ISP</w:t>
            </w:r>
          </w:p>
        </w:tc>
        <w:tc>
          <w:tcPr>
            <w:tcW w:w="7488" w:type="dxa"/>
          </w:tcPr>
          <w:p w14:paraId="2991DE3E" w14:textId="77777777" w:rsidR="00906D02" w:rsidRPr="004044E8" w:rsidRDefault="00906D02" w:rsidP="00E66574">
            <w:pPr>
              <w:pStyle w:val="NoSpacing"/>
              <w:rPr>
                <w:rFonts w:ascii="Arial" w:hAnsi="Arial" w:cs="Arial"/>
              </w:rPr>
            </w:pPr>
            <w:r w:rsidRPr="004044E8">
              <w:rPr>
                <w:rFonts w:ascii="Arial" w:hAnsi="Arial" w:cs="Arial"/>
              </w:rPr>
              <w:t>Informe Semestral de Progreso</w:t>
            </w:r>
          </w:p>
        </w:tc>
      </w:tr>
      <w:tr w:rsidR="00035979" w:rsidRPr="004044E8" w14:paraId="1DEDA5F2" w14:textId="77777777" w:rsidTr="00A648BD">
        <w:trPr>
          <w:gridAfter w:val="1"/>
          <w:wAfter w:w="27" w:type="dxa"/>
          <w:trHeight w:val="283"/>
        </w:trPr>
        <w:tc>
          <w:tcPr>
            <w:tcW w:w="1699" w:type="dxa"/>
          </w:tcPr>
          <w:p w14:paraId="22310CA8" w14:textId="410401DE" w:rsidR="00035979" w:rsidRPr="004044E8" w:rsidRDefault="00035979" w:rsidP="002C7221">
            <w:pPr>
              <w:pStyle w:val="NoSpacing"/>
              <w:jc w:val="left"/>
              <w:rPr>
                <w:rFonts w:ascii="Arial" w:hAnsi="Arial" w:cs="Arial"/>
              </w:rPr>
            </w:pPr>
            <w:r w:rsidRPr="004044E8">
              <w:rPr>
                <w:rFonts w:ascii="Arial" w:hAnsi="Arial" w:cs="Arial"/>
              </w:rPr>
              <w:t>JEP</w:t>
            </w:r>
          </w:p>
        </w:tc>
        <w:tc>
          <w:tcPr>
            <w:tcW w:w="7488" w:type="dxa"/>
          </w:tcPr>
          <w:p w14:paraId="4EBF5A07" w14:textId="51C86A07" w:rsidR="00035979" w:rsidRPr="004044E8" w:rsidRDefault="00035979" w:rsidP="00AB392F">
            <w:pPr>
              <w:pStyle w:val="NoSpacing"/>
              <w:rPr>
                <w:rFonts w:ascii="Arial" w:hAnsi="Arial" w:cs="Arial"/>
              </w:rPr>
            </w:pPr>
            <w:r w:rsidRPr="004044E8">
              <w:rPr>
                <w:rFonts w:ascii="Arial" w:hAnsi="Arial" w:cs="Arial"/>
              </w:rPr>
              <w:t>Jefe del Equipo del Programa</w:t>
            </w:r>
          </w:p>
        </w:tc>
      </w:tr>
      <w:tr w:rsidR="00017940" w:rsidRPr="004044E8" w14:paraId="3DD5C323" w14:textId="77777777" w:rsidTr="00A648BD">
        <w:trPr>
          <w:gridAfter w:val="1"/>
          <w:wAfter w:w="27" w:type="dxa"/>
          <w:trHeight w:val="283"/>
        </w:trPr>
        <w:tc>
          <w:tcPr>
            <w:tcW w:w="1699" w:type="dxa"/>
          </w:tcPr>
          <w:p w14:paraId="7E03AF07" w14:textId="77777777" w:rsidR="00017940" w:rsidRPr="004044E8" w:rsidRDefault="00017940" w:rsidP="002C7221">
            <w:pPr>
              <w:pStyle w:val="NoSpacing"/>
              <w:jc w:val="left"/>
              <w:rPr>
                <w:rFonts w:ascii="Arial" w:hAnsi="Arial" w:cs="Arial"/>
              </w:rPr>
            </w:pPr>
            <w:r w:rsidRPr="004044E8">
              <w:rPr>
                <w:rFonts w:ascii="Arial" w:hAnsi="Arial" w:cs="Arial"/>
              </w:rPr>
              <w:t>LOSNCP</w:t>
            </w:r>
          </w:p>
        </w:tc>
        <w:tc>
          <w:tcPr>
            <w:tcW w:w="7488" w:type="dxa"/>
          </w:tcPr>
          <w:p w14:paraId="6E5E970D" w14:textId="77777777" w:rsidR="00017940" w:rsidRPr="004044E8" w:rsidRDefault="00017940" w:rsidP="00E66574">
            <w:pPr>
              <w:pStyle w:val="NoSpacing"/>
              <w:rPr>
                <w:rFonts w:ascii="Arial" w:hAnsi="Arial" w:cs="Arial"/>
              </w:rPr>
            </w:pPr>
            <w:r w:rsidRPr="004044E8">
              <w:rPr>
                <w:rFonts w:ascii="Arial" w:hAnsi="Arial" w:cs="Arial"/>
              </w:rPr>
              <w:t>Ley Orgánica del Sistema Nacional de Contratación Pública</w:t>
            </w:r>
          </w:p>
        </w:tc>
      </w:tr>
      <w:tr w:rsidR="002A7974" w:rsidRPr="004044E8" w14:paraId="38A097DE" w14:textId="77777777" w:rsidTr="00A648BD">
        <w:trPr>
          <w:gridAfter w:val="1"/>
          <w:wAfter w:w="27" w:type="dxa"/>
          <w:trHeight w:val="283"/>
        </w:trPr>
        <w:tc>
          <w:tcPr>
            <w:tcW w:w="1699" w:type="dxa"/>
          </w:tcPr>
          <w:p w14:paraId="77C3086A" w14:textId="3D61E2C2" w:rsidR="002A7974" w:rsidRPr="004044E8" w:rsidRDefault="002A7974" w:rsidP="00234138">
            <w:pPr>
              <w:pStyle w:val="NoSpacing"/>
              <w:jc w:val="left"/>
              <w:rPr>
                <w:rFonts w:ascii="Arial" w:hAnsi="Arial" w:cs="Arial"/>
              </w:rPr>
            </w:pPr>
            <w:r w:rsidRPr="004044E8">
              <w:rPr>
                <w:rFonts w:ascii="Arial" w:hAnsi="Arial" w:cs="Arial"/>
              </w:rPr>
              <w:t>M</w:t>
            </w:r>
            <w:r w:rsidR="00A648BD" w:rsidRPr="004044E8">
              <w:rPr>
                <w:rFonts w:ascii="Arial" w:hAnsi="Arial" w:cs="Arial"/>
              </w:rPr>
              <w:t>EF</w:t>
            </w:r>
          </w:p>
        </w:tc>
        <w:tc>
          <w:tcPr>
            <w:tcW w:w="7488" w:type="dxa"/>
          </w:tcPr>
          <w:p w14:paraId="1026B954" w14:textId="6B626C5C" w:rsidR="002A7974" w:rsidRPr="004044E8" w:rsidRDefault="002A7974" w:rsidP="00E66574">
            <w:pPr>
              <w:pStyle w:val="NoSpacing"/>
              <w:rPr>
                <w:rFonts w:ascii="Arial" w:hAnsi="Arial" w:cs="Arial"/>
              </w:rPr>
            </w:pPr>
            <w:r w:rsidRPr="004044E8">
              <w:rPr>
                <w:rFonts w:ascii="Arial" w:hAnsi="Arial" w:cs="Arial"/>
              </w:rPr>
              <w:t>Ministerio de</w:t>
            </w:r>
            <w:r w:rsidR="00A648BD" w:rsidRPr="004044E8">
              <w:rPr>
                <w:rFonts w:ascii="Arial" w:hAnsi="Arial" w:cs="Arial"/>
              </w:rPr>
              <w:t xml:space="preserve"> Economía y </w:t>
            </w:r>
            <w:r w:rsidRPr="004044E8">
              <w:rPr>
                <w:rFonts w:ascii="Arial" w:hAnsi="Arial" w:cs="Arial"/>
              </w:rPr>
              <w:t>Finanzas</w:t>
            </w:r>
          </w:p>
        </w:tc>
      </w:tr>
      <w:tr w:rsidR="007C2E76" w:rsidRPr="004044E8" w14:paraId="3C07C22F" w14:textId="77777777" w:rsidTr="00A648BD">
        <w:trPr>
          <w:gridAfter w:val="1"/>
          <w:wAfter w:w="27" w:type="dxa"/>
          <w:trHeight w:val="283"/>
        </w:trPr>
        <w:tc>
          <w:tcPr>
            <w:tcW w:w="1699" w:type="dxa"/>
          </w:tcPr>
          <w:p w14:paraId="7298FA83" w14:textId="24121D99" w:rsidR="007C2E76" w:rsidRPr="004044E8" w:rsidRDefault="007C2E76" w:rsidP="007C2E76">
            <w:pPr>
              <w:pStyle w:val="NoSpacing"/>
              <w:jc w:val="left"/>
              <w:rPr>
                <w:rFonts w:ascii="Arial" w:hAnsi="Arial" w:cs="Arial"/>
              </w:rPr>
            </w:pPr>
            <w:r w:rsidRPr="004044E8">
              <w:rPr>
                <w:rFonts w:ascii="Arial" w:hAnsi="Arial" w:cs="Arial"/>
              </w:rPr>
              <w:t>MERNNR</w:t>
            </w:r>
          </w:p>
        </w:tc>
        <w:tc>
          <w:tcPr>
            <w:tcW w:w="7488" w:type="dxa"/>
          </w:tcPr>
          <w:p w14:paraId="71CF62A2" w14:textId="660643E8" w:rsidR="007C2E76" w:rsidRPr="004044E8" w:rsidRDefault="007C2E76" w:rsidP="007C2E76">
            <w:pPr>
              <w:pStyle w:val="NoSpacing"/>
              <w:rPr>
                <w:rFonts w:ascii="Arial" w:hAnsi="Arial" w:cs="Arial"/>
              </w:rPr>
            </w:pPr>
            <w:r w:rsidRPr="004044E8">
              <w:rPr>
                <w:rFonts w:ascii="Arial" w:hAnsi="Arial" w:cs="Arial"/>
              </w:rPr>
              <w:t>Ministerio de Energía y Recursos Naturales no Renovables</w:t>
            </w:r>
          </w:p>
        </w:tc>
      </w:tr>
      <w:tr w:rsidR="00F72564" w:rsidRPr="004044E8" w14:paraId="553C9AD1" w14:textId="77777777" w:rsidTr="00A648BD">
        <w:trPr>
          <w:gridAfter w:val="1"/>
          <w:wAfter w:w="27" w:type="dxa"/>
          <w:trHeight w:val="283"/>
        </w:trPr>
        <w:tc>
          <w:tcPr>
            <w:tcW w:w="1699" w:type="dxa"/>
          </w:tcPr>
          <w:p w14:paraId="4A103925" w14:textId="398CA576" w:rsidR="00F72564" w:rsidRPr="004044E8" w:rsidRDefault="00F72564" w:rsidP="002C7221">
            <w:pPr>
              <w:pStyle w:val="NoSpacing"/>
              <w:jc w:val="left"/>
              <w:rPr>
                <w:rFonts w:ascii="Arial" w:hAnsi="Arial" w:cs="Arial"/>
              </w:rPr>
            </w:pPr>
            <w:proofErr w:type="spellStart"/>
            <w:r w:rsidRPr="004044E8">
              <w:rPr>
                <w:rFonts w:ascii="Arial" w:hAnsi="Arial" w:cs="Arial"/>
              </w:rPr>
              <w:t>M</w:t>
            </w:r>
            <w:r w:rsidR="00132A3B" w:rsidRPr="004044E8">
              <w:rPr>
                <w:rFonts w:ascii="Arial" w:hAnsi="Arial" w:cs="Arial"/>
              </w:rPr>
              <w:t>d</w:t>
            </w:r>
            <w:r w:rsidRPr="004044E8">
              <w:rPr>
                <w:rFonts w:ascii="Arial" w:hAnsi="Arial" w:cs="Arial"/>
              </w:rPr>
              <w:t>R</w:t>
            </w:r>
            <w:proofErr w:type="spellEnd"/>
          </w:p>
        </w:tc>
        <w:tc>
          <w:tcPr>
            <w:tcW w:w="7488" w:type="dxa"/>
          </w:tcPr>
          <w:p w14:paraId="6B6D254B" w14:textId="77777777" w:rsidR="00F72564" w:rsidRPr="004044E8" w:rsidRDefault="00F72564" w:rsidP="00E66574">
            <w:pPr>
              <w:pStyle w:val="NoSpacing"/>
              <w:rPr>
                <w:rFonts w:ascii="Arial" w:hAnsi="Arial" w:cs="Arial"/>
              </w:rPr>
            </w:pPr>
            <w:r w:rsidRPr="004044E8">
              <w:rPr>
                <w:rFonts w:ascii="Arial" w:hAnsi="Arial" w:cs="Arial"/>
              </w:rPr>
              <w:t>Matriz de Resultados</w:t>
            </w:r>
          </w:p>
        </w:tc>
      </w:tr>
      <w:tr w:rsidR="007C2E76" w:rsidRPr="004044E8" w14:paraId="4181A0D4" w14:textId="77777777" w:rsidTr="00A648BD">
        <w:trPr>
          <w:gridAfter w:val="1"/>
          <w:wAfter w:w="27" w:type="dxa"/>
          <w:trHeight w:val="283"/>
        </w:trPr>
        <w:tc>
          <w:tcPr>
            <w:tcW w:w="1699" w:type="dxa"/>
          </w:tcPr>
          <w:p w14:paraId="7026E739" w14:textId="375B9020" w:rsidR="007C2E76" w:rsidRPr="004044E8" w:rsidRDefault="007C2E76" w:rsidP="007C2E76">
            <w:pPr>
              <w:pStyle w:val="NoSpacing"/>
              <w:jc w:val="left"/>
              <w:rPr>
                <w:rFonts w:ascii="Arial" w:hAnsi="Arial" w:cs="Arial"/>
              </w:rPr>
            </w:pPr>
            <w:r w:rsidRPr="004044E8">
              <w:rPr>
                <w:rFonts w:ascii="Arial" w:hAnsi="Arial" w:cs="Arial"/>
              </w:rPr>
              <w:t>MTOP</w:t>
            </w:r>
          </w:p>
        </w:tc>
        <w:tc>
          <w:tcPr>
            <w:tcW w:w="7488" w:type="dxa"/>
          </w:tcPr>
          <w:p w14:paraId="1F816162" w14:textId="4EB4F7A3" w:rsidR="007C2E76" w:rsidRPr="004044E8" w:rsidRDefault="007C2E76" w:rsidP="007C2E76">
            <w:pPr>
              <w:pStyle w:val="NoSpacing"/>
              <w:rPr>
                <w:rFonts w:ascii="Arial" w:hAnsi="Arial" w:cs="Arial"/>
              </w:rPr>
            </w:pPr>
            <w:r w:rsidRPr="004044E8">
              <w:rPr>
                <w:rFonts w:ascii="Arial" w:hAnsi="Arial" w:cs="Arial"/>
              </w:rPr>
              <w:t xml:space="preserve">Ministerio de Transporte y Obras Públicas. </w:t>
            </w:r>
          </w:p>
        </w:tc>
      </w:tr>
      <w:tr w:rsidR="007B12EF" w:rsidRPr="004044E8" w14:paraId="29EE6C12" w14:textId="77777777" w:rsidTr="00A648BD">
        <w:trPr>
          <w:gridAfter w:val="1"/>
          <w:wAfter w:w="27" w:type="dxa"/>
          <w:trHeight w:val="283"/>
        </w:trPr>
        <w:tc>
          <w:tcPr>
            <w:tcW w:w="1699" w:type="dxa"/>
          </w:tcPr>
          <w:p w14:paraId="5F49C024" w14:textId="77777777" w:rsidR="007B12EF" w:rsidRPr="004044E8" w:rsidRDefault="007B12EF" w:rsidP="002C7221">
            <w:pPr>
              <w:pStyle w:val="NoSpacing"/>
              <w:jc w:val="left"/>
              <w:rPr>
                <w:rFonts w:ascii="Arial" w:hAnsi="Arial" w:cs="Arial"/>
              </w:rPr>
            </w:pPr>
            <w:r w:rsidRPr="004044E8">
              <w:rPr>
                <w:rFonts w:ascii="Arial" w:hAnsi="Arial" w:cs="Arial"/>
              </w:rPr>
              <w:t>OE</w:t>
            </w:r>
          </w:p>
        </w:tc>
        <w:tc>
          <w:tcPr>
            <w:tcW w:w="7488" w:type="dxa"/>
          </w:tcPr>
          <w:p w14:paraId="2B5D00A4" w14:textId="77777777" w:rsidR="007B12EF" w:rsidRPr="004044E8" w:rsidRDefault="007B12EF" w:rsidP="00E66574">
            <w:pPr>
              <w:pStyle w:val="NoSpacing"/>
              <w:rPr>
                <w:rFonts w:ascii="Arial" w:hAnsi="Arial" w:cs="Arial"/>
              </w:rPr>
            </w:pPr>
            <w:r w:rsidRPr="004044E8">
              <w:rPr>
                <w:rFonts w:ascii="Arial" w:hAnsi="Arial" w:cs="Arial"/>
              </w:rPr>
              <w:t>Organismo Ejecutor</w:t>
            </w:r>
          </w:p>
        </w:tc>
      </w:tr>
      <w:tr w:rsidR="00017940" w:rsidRPr="004044E8" w14:paraId="6524530A" w14:textId="77777777" w:rsidTr="00A648BD">
        <w:trPr>
          <w:gridAfter w:val="1"/>
          <w:wAfter w:w="27" w:type="dxa"/>
          <w:trHeight w:val="283"/>
        </w:trPr>
        <w:tc>
          <w:tcPr>
            <w:tcW w:w="1699" w:type="dxa"/>
          </w:tcPr>
          <w:p w14:paraId="3AB4B5DF" w14:textId="77777777" w:rsidR="00017940" w:rsidRPr="004044E8" w:rsidRDefault="00017940" w:rsidP="002C7221">
            <w:pPr>
              <w:pStyle w:val="NoSpacing"/>
              <w:jc w:val="left"/>
              <w:rPr>
                <w:rFonts w:ascii="Arial" w:hAnsi="Arial" w:cs="Arial"/>
              </w:rPr>
            </w:pPr>
            <w:r w:rsidRPr="004044E8">
              <w:rPr>
                <w:rFonts w:ascii="Arial" w:hAnsi="Arial" w:cs="Arial"/>
              </w:rPr>
              <w:t>PA</w:t>
            </w:r>
          </w:p>
        </w:tc>
        <w:tc>
          <w:tcPr>
            <w:tcW w:w="7488" w:type="dxa"/>
          </w:tcPr>
          <w:p w14:paraId="41B202DB" w14:textId="77777777" w:rsidR="00017940" w:rsidRPr="004044E8" w:rsidRDefault="00017940" w:rsidP="00E66574">
            <w:pPr>
              <w:pStyle w:val="NoSpacing"/>
              <w:rPr>
                <w:rFonts w:ascii="Arial" w:hAnsi="Arial" w:cs="Arial"/>
              </w:rPr>
            </w:pPr>
            <w:r w:rsidRPr="004044E8">
              <w:rPr>
                <w:rFonts w:ascii="Arial" w:hAnsi="Arial" w:cs="Arial"/>
              </w:rPr>
              <w:t>Plan de Adquisiciones</w:t>
            </w:r>
          </w:p>
        </w:tc>
      </w:tr>
      <w:tr w:rsidR="00017940" w:rsidRPr="004044E8" w14:paraId="0A2DB606" w14:textId="77777777" w:rsidTr="00A648BD">
        <w:trPr>
          <w:gridAfter w:val="1"/>
          <w:wAfter w:w="27" w:type="dxa"/>
          <w:trHeight w:val="283"/>
        </w:trPr>
        <w:tc>
          <w:tcPr>
            <w:tcW w:w="1699" w:type="dxa"/>
          </w:tcPr>
          <w:p w14:paraId="70C62E43" w14:textId="77777777" w:rsidR="00017940" w:rsidRPr="004044E8" w:rsidRDefault="00017940" w:rsidP="002C7221">
            <w:pPr>
              <w:pStyle w:val="NoSpacing"/>
              <w:jc w:val="left"/>
              <w:rPr>
                <w:rFonts w:ascii="Arial" w:hAnsi="Arial" w:cs="Arial"/>
              </w:rPr>
            </w:pPr>
            <w:r w:rsidRPr="004044E8">
              <w:rPr>
                <w:rFonts w:ascii="Arial" w:hAnsi="Arial" w:cs="Arial"/>
              </w:rPr>
              <w:t>PEP</w:t>
            </w:r>
          </w:p>
        </w:tc>
        <w:tc>
          <w:tcPr>
            <w:tcW w:w="7488" w:type="dxa"/>
          </w:tcPr>
          <w:p w14:paraId="7DE9B766" w14:textId="77777777" w:rsidR="00017940" w:rsidRPr="004044E8" w:rsidRDefault="00017940" w:rsidP="00E66574">
            <w:pPr>
              <w:pStyle w:val="NoSpacing"/>
              <w:rPr>
                <w:rFonts w:ascii="Arial" w:hAnsi="Arial" w:cs="Arial"/>
              </w:rPr>
            </w:pPr>
            <w:r w:rsidRPr="004044E8">
              <w:rPr>
                <w:rFonts w:ascii="Arial" w:hAnsi="Arial" w:cs="Arial"/>
              </w:rPr>
              <w:t>Plan de Ejecución del Programa</w:t>
            </w:r>
          </w:p>
        </w:tc>
      </w:tr>
      <w:tr w:rsidR="002A7974" w:rsidRPr="004044E8" w14:paraId="206E8442" w14:textId="77777777" w:rsidTr="00A648BD">
        <w:trPr>
          <w:gridAfter w:val="1"/>
          <w:wAfter w:w="27" w:type="dxa"/>
          <w:trHeight w:val="283"/>
        </w:trPr>
        <w:tc>
          <w:tcPr>
            <w:tcW w:w="1699" w:type="dxa"/>
          </w:tcPr>
          <w:p w14:paraId="16ACC24C" w14:textId="77777777" w:rsidR="002A7974" w:rsidRPr="004044E8" w:rsidRDefault="002A7974" w:rsidP="002C7221">
            <w:pPr>
              <w:pStyle w:val="NoSpacing"/>
              <w:jc w:val="left"/>
              <w:rPr>
                <w:rFonts w:ascii="Arial" w:hAnsi="Arial" w:cs="Arial"/>
              </w:rPr>
            </w:pPr>
            <w:r w:rsidRPr="004044E8">
              <w:rPr>
                <w:rFonts w:ascii="Arial" w:hAnsi="Arial" w:cs="Arial"/>
              </w:rPr>
              <w:t>PF</w:t>
            </w:r>
          </w:p>
        </w:tc>
        <w:tc>
          <w:tcPr>
            <w:tcW w:w="7488" w:type="dxa"/>
          </w:tcPr>
          <w:p w14:paraId="7CA6A756" w14:textId="77777777" w:rsidR="002A7974" w:rsidRPr="004044E8" w:rsidRDefault="002A7974" w:rsidP="00E66574">
            <w:pPr>
              <w:pStyle w:val="NoSpacing"/>
              <w:rPr>
                <w:rFonts w:ascii="Arial" w:hAnsi="Arial" w:cs="Arial"/>
              </w:rPr>
            </w:pPr>
            <w:r w:rsidRPr="004044E8">
              <w:rPr>
                <w:rFonts w:ascii="Arial" w:hAnsi="Arial" w:cs="Arial"/>
              </w:rPr>
              <w:t>Plan Financiero</w:t>
            </w:r>
          </w:p>
        </w:tc>
      </w:tr>
      <w:tr w:rsidR="00017940" w:rsidRPr="004044E8" w14:paraId="68F5BF47" w14:textId="77777777" w:rsidTr="00A648BD">
        <w:trPr>
          <w:gridAfter w:val="1"/>
          <w:wAfter w:w="27" w:type="dxa"/>
          <w:trHeight w:val="283"/>
        </w:trPr>
        <w:tc>
          <w:tcPr>
            <w:tcW w:w="1699" w:type="dxa"/>
          </w:tcPr>
          <w:p w14:paraId="4B005DCA" w14:textId="77777777" w:rsidR="00017940" w:rsidRPr="004044E8" w:rsidRDefault="00017940" w:rsidP="002C7221">
            <w:pPr>
              <w:pStyle w:val="NoSpacing"/>
              <w:jc w:val="left"/>
              <w:rPr>
                <w:rFonts w:ascii="Arial" w:hAnsi="Arial" w:cs="Arial"/>
              </w:rPr>
            </w:pPr>
            <w:r w:rsidRPr="004044E8">
              <w:rPr>
                <w:rFonts w:ascii="Arial" w:hAnsi="Arial" w:cs="Arial"/>
              </w:rPr>
              <w:t>POA</w:t>
            </w:r>
          </w:p>
        </w:tc>
        <w:tc>
          <w:tcPr>
            <w:tcW w:w="7488" w:type="dxa"/>
          </w:tcPr>
          <w:p w14:paraId="681AD8A2" w14:textId="77777777" w:rsidR="00017940" w:rsidRPr="004044E8" w:rsidRDefault="00017940" w:rsidP="00E66574">
            <w:pPr>
              <w:pStyle w:val="NoSpacing"/>
              <w:rPr>
                <w:rFonts w:ascii="Arial" w:hAnsi="Arial" w:cs="Arial"/>
              </w:rPr>
            </w:pPr>
            <w:r w:rsidRPr="004044E8">
              <w:rPr>
                <w:rFonts w:ascii="Arial" w:hAnsi="Arial" w:cs="Arial"/>
              </w:rPr>
              <w:t>Plan Operativo Anual</w:t>
            </w:r>
          </w:p>
        </w:tc>
      </w:tr>
      <w:tr w:rsidR="007B1497" w:rsidRPr="004044E8" w14:paraId="0AABD77C" w14:textId="77777777" w:rsidTr="00A648BD">
        <w:trPr>
          <w:gridAfter w:val="1"/>
          <w:wAfter w:w="27" w:type="dxa"/>
          <w:trHeight w:val="283"/>
        </w:trPr>
        <w:tc>
          <w:tcPr>
            <w:tcW w:w="1699" w:type="dxa"/>
          </w:tcPr>
          <w:p w14:paraId="36B7ED5F" w14:textId="77777777" w:rsidR="007B1497" w:rsidRPr="004044E8" w:rsidRDefault="007B1497" w:rsidP="002C7221">
            <w:pPr>
              <w:pStyle w:val="NoSpacing"/>
              <w:jc w:val="left"/>
              <w:rPr>
                <w:rFonts w:ascii="Arial" w:hAnsi="Arial" w:cs="Arial"/>
              </w:rPr>
            </w:pPr>
            <w:r w:rsidRPr="004044E8">
              <w:rPr>
                <w:rFonts w:ascii="Arial" w:hAnsi="Arial" w:cs="Arial"/>
              </w:rPr>
              <w:t>PMR</w:t>
            </w:r>
          </w:p>
        </w:tc>
        <w:tc>
          <w:tcPr>
            <w:tcW w:w="7488" w:type="dxa"/>
          </w:tcPr>
          <w:p w14:paraId="491A228A" w14:textId="1BAEBDA7" w:rsidR="007B1497" w:rsidRPr="004044E8" w:rsidRDefault="0074720C" w:rsidP="00E66574">
            <w:pPr>
              <w:pStyle w:val="NoSpacing"/>
              <w:rPr>
                <w:rFonts w:ascii="Arial" w:hAnsi="Arial" w:cs="Arial"/>
              </w:rPr>
            </w:pPr>
            <w:r w:rsidRPr="004044E8">
              <w:rPr>
                <w:rFonts w:ascii="Arial" w:hAnsi="Arial" w:cs="Arial"/>
                <w:i/>
              </w:rPr>
              <w:t xml:space="preserve">Project </w:t>
            </w:r>
            <w:proofErr w:type="spellStart"/>
            <w:r w:rsidRPr="004044E8">
              <w:rPr>
                <w:rFonts w:ascii="Arial" w:hAnsi="Arial" w:cs="Arial"/>
                <w:i/>
              </w:rPr>
              <w:t>Monitoring</w:t>
            </w:r>
            <w:proofErr w:type="spellEnd"/>
            <w:r w:rsidRPr="004044E8">
              <w:rPr>
                <w:rFonts w:ascii="Arial" w:hAnsi="Arial" w:cs="Arial"/>
                <w:i/>
              </w:rPr>
              <w:t xml:space="preserve"> </w:t>
            </w:r>
            <w:proofErr w:type="spellStart"/>
            <w:r w:rsidRPr="004044E8">
              <w:rPr>
                <w:rFonts w:ascii="Arial" w:hAnsi="Arial" w:cs="Arial"/>
                <w:i/>
              </w:rPr>
              <w:t>Report</w:t>
            </w:r>
            <w:proofErr w:type="spellEnd"/>
            <w:r w:rsidR="009B569E" w:rsidRPr="004044E8">
              <w:rPr>
                <w:rFonts w:ascii="Arial" w:hAnsi="Arial" w:cs="Arial"/>
                <w:i/>
              </w:rPr>
              <w:t xml:space="preserve"> </w:t>
            </w:r>
            <w:r w:rsidR="004170E1" w:rsidRPr="004044E8">
              <w:rPr>
                <w:rFonts w:ascii="Arial" w:hAnsi="Arial" w:cs="Arial"/>
              </w:rPr>
              <w:t>–</w:t>
            </w:r>
            <w:r w:rsidR="009B569E" w:rsidRPr="004044E8">
              <w:rPr>
                <w:rFonts w:ascii="Arial" w:hAnsi="Arial" w:cs="Arial"/>
              </w:rPr>
              <w:t xml:space="preserve"> Reporte de Monitoreo </w:t>
            </w:r>
            <w:r w:rsidR="001D7831" w:rsidRPr="004044E8">
              <w:rPr>
                <w:rFonts w:ascii="Arial" w:hAnsi="Arial" w:cs="Arial"/>
              </w:rPr>
              <w:t>del Programa</w:t>
            </w:r>
          </w:p>
        </w:tc>
      </w:tr>
      <w:tr w:rsidR="00F72564" w:rsidRPr="004044E8" w14:paraId="72925126" w14:textId="77777777" w:rsidTr="00A648BD">
        <w:trPr>
          <w:gridAfter w:val="1"/>
          <w:wAfter w:w="27" w:type="dxa"/>
          <w:trHeight w:val="283"/>
        </w:trPr>
        <w:tc>
          <w:tcPr>
            <w:tcW w:w="1699" w:type="dxa"/>
          </w:tcPr>
          <w:p w14:paraId="7D76713B" w14:textId="471D5986" w:rsidR="00F72564" w:rsidRPr="004044E8" w:rsidRDefault="00F72564" w:rsidP="002C7221">
            <w:pPr>
              <w:pStyle w:val="NoSpacing"/>
              <w:jc w:val="left"/>
              <w:rPr>
                <w:rFonts w:ascii="Arial" w:hAnsi="Arial" w:cs="Arial"/>
              </w:rPr>
            </w:pPr>
            <w:r w:rsidRPr="004044E8">
              <w:rPr>
                <w:rFonts w:ascii="Arial" w:hAnsi="Arial" w:cs="Arial"/>
              </w:rPr>
              <w:t>RO</w:t>
            </w:r>
            <w:r w:rsidR="00132A3B" w:rsidRPr="004044E8">
              <w:rPr>
                <w:rFonts w:ascii="Arial" w:hAnsi="Arial" w:cs="Arial"/>
              </w:rPr>
              <w:t>P</w:t>
            </w:r>
          </w:p>
        </w:tc>
        <w:tc>
          <w:tcPr>
            <w:tcW w:w="7488" w:type="dxa"/>
          </w:tcPr>
          <w:p w14:paraId="43E2E5AF" w14:textId="454C3561" w:rsidR="00F72564" w:rsidRPr="004044E8" w:rsidRDefault="00F72564" w:rsidP="00234138">
            <w:pPr>
              <w:pStyle w:val="NoSpacing"/>
              <w:rPr>
                <w:rFonts w:ascii="Arial" w:hAnsi="Arial" w:cs="Arial"/>
              </w:rPr>
            </w:pPr>
            <w:r w:rsidRPr="004044E8">
              <w:rPr>
                <w:rFonts w:ascii="Arial" w:hAnsi="Arial" w:cs="Arial"/>
              </w:rPr>
              <w:t xml:space="preserve">Reglamento Operativo del Programa </w:t>
            </w:r>
          </w:p>
        </w:tc>
      </w:tr>
      <w:tr w:rsidR="00F47ED1" w:rsidRPr="004044E8" w14:paraId="1F2F8BA3" w14:textId="77777777" w:rsidTr="00A648BD">
        <w:trPr>
          <w:gridAfter w:val="1"/>
          <w:wAfter w:w="27" w:type="dxa"/>
          <w:trHeight w:val="283"/>
        </w:trPr>
        <w:tc>
          <w:tcPr>
            <w:tcW w:w="1699" w:type="dxa"/>
          </w:tcPr>
          <w:p w14:paraId="4B2CCB90" w14:textId="77777777" w:rsidR="00F47ED1" w:rsidRPr="004044E8" w:rsidRDefault="00F47ED1" w:rsidP="002C7221">
            <w:pPr>
              <w:pStyle w:val="NoSpacing"/>
              <w:jc w:val="left"/>
              <w:rPr>
                <w:rFonts w:ascii="Arial" w:hAnsi="Arial" w:cs="Arial"/>
              </w:rPr>
            </w:pPr>
            <w:r w:rsidRPr="004044E8">
              <w:rPr>
                <w:rFonts w:ascii="Arial" w:hAnsi="Arial" w:cs="Arial"/>
              </w:rPr>
              <w:t>SENPLADES</w:t>
            </w:r>
          </w:p>
        </w:tc>
        <w:tc>
          <w:tcPr>
            <w:tcW w:w="7488" w:type="dxa"/>
          </w:tcPr>
          <w:p w14:paraId="108A280F" w14:textId="77777777" w:rsidR="00F47ED1" w:rsidRPr="004044E8" w:rsidRDefault="00F47ED1" w:rsidP="00E66574">
            <w:pPr>
              <w:pStyle w:val="NoSpacing"/>
              <w:rPr>
                <w:rFonts w:ascii="Arial" w:hAnsi="Arial" w:cs="Arial"/>
              </w:rPr>
            </w:pPr>
            <w:r w:rsidRPr="004044E8">
              <w:rPr>
                <w:rFonts w:ascii="Arial" w:hAnsi="Arial" w:cs="Arial"/>
              </w:rPr>
              <w:t>Secretaría Nacional de Planificación</w:t>
            </w:r>
          </w:p>
        </w:tc>
      </w:tr>
      <w:tr w:rsidR="00411DD0" w:rsidRPr="004044E8" w14:paraId="7527C77E" w14:textId="77777777" w:rsidTr="00A648BD">
        <w:trPr>
          <w:gridAfter w:val="1"/>
          <w:wAfter w:w="27" w:type="dxa"/>
          <w:trHeight w:val="283"/>
        </w:trPr>
        <w:tc>
          <w:tcPr>
            <w:tcW w:w="1699" w:type="dxa"/>
          </w:tcPr>
          <w:p w14:paraId="3AB1BACB" w14:textId="121D26FC" w:rsidR="00411DD0" w:rsidRPr="004044E8" w:rsidRDefault="00411DD0" w:rsidP="002C7221">
            <w:pPr>
              <w:pStyle w:val="NoSpacing"/>
              <w:jc w:val="left"/>
              <w:rPr>
                <w:rFonts w:ascii="Arial" w:hAnsi="Arial" w:cs="Arial"/>
              </w:rPr>
            </w:pPr>
            <w:r w:rsidRPr="004044E8">
              <w:rPr>
                <w:rFonts w:ascii="Arial" w:hAnsi="Arial" w:cs="Arial"/>
              </w:rPr>
              <w:t>SERCOP</w:t>
            </w:r>
          </w:p>
        </w:tc>
        <w:tc>
          <w:tcPr>
            <w:tcW w:w="7488" w:type="dxa"/>
          </w:tcPr>
          <w:p w14:paraId="4F57C4DA" w14:textId="1A8711C9" w:rsidR="00411DD0" w:rsidRPr="004044E8" w:rsidRDefault="00411DD0" w:rsidP="00411DD0">
            <w:pPr>
              <w:pStyle w:val="NoSpacing"/>
              <w:rPr>
                <w:rFonts w:ascii="Arial" w:hAnsi="Arial" w:cs="Arial"/>
              </w:rPr>
            </w:pPr>
            <w:r w:rsidRPr="004044E8">
              <w:rPr>
                <w:rFonts w:ascii="Arial" w:hAnsi="Arial" w:cs="Arial"/>
              </w:rPr>
              <w:t xml:space="preserve">Servicio Nacional de Contratación Pública </w:t>
            </w:r>
          </w:p>
        </w:tc>
      </w:tr>
      <w:tr w:rsidR="00AA610A" w:rsidRPr="004044E8" w14:paraId="550A86DB" w14:textId="77777777" w:rsidTr="00A648BD">
        <w:trPr>
          <w:gridAfter w:val="1"/>
          <w:wAfter w:w="27" w:type="dxa"/>
          <w:trHeight w:val="283"/>
        </w:trPr>
        <w:tc>
          <w:tcPr>
            <w:tcW w:w="1699" w:type="dxa"/>
          </w:tcPr>
          <w:p w14:paraId="0849C7E2" w14:textId="09AA954D" w:rsidR="00AA610A" w:rsidRPr="004044E8" w:rsidRDefault="00AA610A" w:rsidP="00AA610A">
            <w:pPr>
              <w:pStyle w:val="NoSpacing"/>
              <w:jc w:val="left"/>
              <w:rPr>
                <w:rFonts w:ascii="Arial" w:hAnsi="Arial" w:cs="Arial"/>
              </w:rPr>
            </w:pPr>
            <w:r w:rsidRPr="004044E8">
              <w:rPr>
                <w:rFonts w:ascii="Arial" w:hAnsi="Arial" w:cs="Arial"/>
              </w:rPr>
              <w:t>SNCP</w:t>
            </w:r>
          </w:p>
        </w:tc>
        <w:tc>
          <w:tcPr>
            <w:tcW w:w="7488" w:type="dxa"/>
          </w:tcPr>
          <w:p w14:paraId="1185CCB2" w14:textId="733E580E" w:rsidR="00AA610A" w:rsidRPr="004044E8" w:rsidRDefault="00AA610A" w:rsidP="00E66574">
            <w:pPr>
              <w:pStyle w:val="NoSpacing"/>
              <w:rPr>
                <w:rFonts w:ascii="Arial" w:hAnsi="Arial" w:cs="Arial"/>
              </w:rPr>
            </w:pPr>
            <w:r w:rsidRPr="004044E8">
              <w:rPr>
                <w:rFonts w:ascii="Arial" w:hAnsi="Arial" w:cs="Arial"/>
              </w:rPr>
              <w:t>Sistemas Nacionales de Contratación Pública</w:t>
            </w:r>
          </w:p>
        </w:tc>
      </w:tr>
      <w:tr w:rsidR="001A6CAB" w:rsidRPr="004044E8" w14:paraId="56F4A772" w14:textId="77777777" w:rsidTr="00A648BD">
        <w:trPr>
          <w:gridAfter w:val="1"/>
          <w:wAfter w:w="27" w:type="dxa"/>
          <w:trHeight w:val="283"/>
        </w:trPr>
        <w:tc>
          <w:tcPr>
            <w:tcW w:w="1699" w:type="dxa"/>
          </w:tcPr>
          <w:p w14:paraId="7E0CAAED" w14:textId="77777777" w:rsidR="001A6CAB" w:rsidRPr="004044E8" w:rsidRDefault="001A6CAB" w:rsidP="002C7221">
            <w:pPr>
              <w:pStyle w:val="NoSpacing"/>
              <w:jc w:val="left"/>
              <w:rPr>
                <w:rFonts w:ascii="Arial" w:hAnsi="Arial" w:cs="Arial"/>
              </w:rPr>
            </w:pPr>
            <w:r w:rsidRPr="004044E8">
              <w:rPr>
                <w:rFonts w:ascii="Arial" w:hAnsi="Arial" w:cs="Arial"/>
              </w:rPr>
              <w:t>SEP</w:t>
            </w:r>
          </w:p>
        </w:tc>
        <w:tc>
          <w:tcPr>
            <w:tcW w:w="7488" w:type="dxa"/>
          </w:tcPr>
          <w:p w14:paraId="47064793" w14:textId="77777777" w:rsidR="001A6CAB" w:rsidRPr="004044E8" w:rsidRDefault="001A6CAB" w:rsidP="00E66574">
            <w:pPr>
              <w:pStyle w:val="NoSpacing"/>
              <w:rPr>
                <w:rFonts w:ascii="Arial" w:hAnsi="Arial" w:cs="Arial"/>
              </w:rPr>
            </w:pPr>
            <w:r w:rsidRPr="004044E8">
              <w:rPr>
                <w:rFonts w:ascii="Arial" w:hAnsi="Arial" w:cs="Arial"/>
              </w:rPr>
              <w:t xml:space="preserve">Solicitud Estándar de </w:t>
            </w:r>
            <w:r w:rsidR="00F6541D" w:rsidRPr="004044E8">
              <w:rPr>
                <w:rFonts w:ascii="Arial" w:hAnsi="Arial" w:cs="Arial"/>
              </w:rPr>
              <w:t>Propuestas</w:t>
            </w:r>
          </w:p>
        </w:tc>
      </w:tr>
      <w:tr w:rsidR="00397985" w:rsidRPr="004044E8" w14:paraId="60161048" w14:textId="77777777" w:rsidTr="00A648BD">
        <w:trPr>
          <w:gridAfter w:val="1"/>
          <w:wAfter w:w="27" w:type="dxa"/>
          <w:trHeight w:val="283"/>
        </w:trPr>
        <w:tc>
          <w:tcPr>
            <w:tcW w:w="1699" w:type="dxa"/>
          </w:tcPr>
          <w:p w14:paraId="464693B6" w14:textId="77777777" w:rsidR="00397985" w:rsidRPr="004044E8" w:rsidRDefault="00397985" w:rsidP="002C7221">
            <w:pPr>
              <w:pStyle w:val="NoSpacing"/>
              <w:jc w:val="left"/>
              <w:rPr>
                <w:rFonts w:ascii="Arial" w:hAnsi="Arial" w:cs="Arial"/>
              </w:rPr>
            </w:pPr>
            <w:r w:rsidRPr="004044E8">
              <w:rPr>
                <w:rFonts w:ascii="Arial" w:hAnsi="Arial" w:cs="Arial"/>
              </w:rPr>
              <w:t>TDR</w:t>
            </w:r>
          </w:p>
        </w:tc>
        <w:tc>
          <w:tcPr>
            <w:tcW w:w="7488" w:type="dxa"/>
          </w:tcPr>
          <w:p w14:paraId="1C9D781F" w14:textId="77777777" w:rsidR="00397985" w:rsidRPr="004044E8" w:rsidRDefault="00397985" w:rsidP="002B3E2E">
            <w:pPr>
              <w:pStyle w:val="NoSpacing"/>
              <w:rPr>
                <w:rFonts w:ascii="Arial" w:hAnsi="Arial" w:cs="Arial"/>
              </w:rPr>
            </w:pPr>
            <w:r w:rsidRPr="004044E8">
              <w:rPr>
                <w:rFonts w:ascii="Arial" w:hAnsi="Arial" w:cs="Arial"/>
              </w:rPr>
              <w:t>Términos de Referencia</w:t>
            </w:r>
          </w:p>
        </w:tc>
      </w:tr>
    </w:tbl>
    <w:p w14:paraId="7EFD7A3D" w14:textId="77777777" w:rsidR="002B3E2E" w:rsidRPr="004044E8" w:rsidRDefault="002B3E2E" w:rsidP="003B1B28">
      <w:pPr>
        <w:jc w:val="left"/>
        <w:rPr>
          <w:rFonts w:ascii="Arial" w:eastAsiaTheme="majorEastAsia" w:hAnsi="Arial" w:cs="Arial"/>
          <w:b/>
          <w:smallCaps/>
          <w:color w:val="0092C4"/>
          <w:sz w:val="28"/>
          <w:szCs w:val="32"/>
        </w:rPr>
      </w:pPr>
    </w:p>
    <w:p w14:paraId="5D47734A" w14:textId="77777777" w:rsidR="00CB521C" w:rsidRPr="004044E8" w:rsidRDefault="00CB521C" w:rsidP="003B1B28">
      <w:pPr>
        <w:jc w:val="left"/>
        <w:rPr>
          <w:rFonts w:ascii="Arial" w:eastAsiaTheme="majorEastAsia" w:hAnsi="Arial" w:cs="Arial"/>
          <w:b/>
          <w:smallCaps/>
          <w:color w:val="0092C4"/>
          <w:sz w:val="28"/>
          <w:szCs w:val="32"/>
        </w:rPr>
      </w:pPr>
    </w:p>
    <w:p w14:paraId="191EC4E9" w14:textId="77777777" w:rsidR="000500B3" w:rsidRPr="004044E8" w:rsidRDefault="00250C44" w:rsidP="00FA4527">
      <w:pPr>
        <w:pStyle w:val="Heading1"/>
        <w:rPr>
          <w:rFonts w:ascii="Arial" w:hAnsi="Arial" w:cs="Arial"/>
        </w:rPr>
      </w:pPr>
      <w:bookmarkStart w:id="3" w:name="_Toc424879189"/>
      <w:bookmarkStart w:id="4" w:name="_Toc454056444"/>
      <w:bookmarkStart w:id="5" w:name="_Toc10223096"/>
      <w:r w:rsidRPr="004044E8">
        <w:rPr>
          <w:rFonts w:ascii="Arial" w:hAnsi="Arial" w:cs="Arial"/>
        </w:rPr>
        <w:lastRenderedPageBreak/>
        <w:t>Objetivo y Alcance del Reglamento Operativo</w:t>
      </w:r>
      <w:bookmarkEnd w:id="3"/>
      <w:bookmarkEnd w:id="4"/>
      <w:bookmarkEnd w:id="5"/>
    </w:p>
    <w:p w14:paraId="4C74EF1E" w14:textId="77777777" w:rsidR="00250C44" w:rsidRPr="004044E8" w:rsidRDefault="00250C44" w:rsidP="001C7188">
      <w:pPr>
        <w:pStyle w:val="Heading2"/>
        <w:rPr>
          <w:rFonts w:ascii="Arial" w:hAnsi="Arial" w:cs="Arial"/>
        </w:rPr>
      </w:pPr>
      <w:bookmarkStart w:id="6" w:name="_Toc424879190"/>
      <w:bookmarkStart w:id="7" w:name="_Toc454056445"/>
      <w:bookmarkStart w:id="8" w:name="_Toc10223097"/>
      <w:r w:rsidRPr="004044E8">
        <w:rPr>
          <w:rFonts w:ascii="Arial" w:hAnsi="Arial" w:cs="Arial"/>
        </w:rPr>
        <w:t>Objetivo</w:t>
      </w:r>
      <w:r w:rsidR="008B0157" w:rsidRPr="004044E8">
        <w:rPr>
          <w:rFonts w:ascii="Arial" w:hAnsi="Arial" w:cs="Arial"/>
        </w:rPr>
        <w:t xml:space="preserve"> del Reglamento Operativo</w:t>
      </w:r>
      <w:bookmarkEnd w:id="6"/>
      <w:bookmarkEnd w:id="7"/>
      <w:bookmarkEnd w:id="8"/>
    </w:p>
    <w:p w14:paraId="3D062EE3" w14:textId="7FEF0E51" w:rsidR="006B417E" w:rsidRPr="004044E8" w:rsidRDefault="00A56731" w:rsidP="00C02EF4">
      <w:pPr>
        <w:pStyle w:val="Estilo1"/>
        <w:rPr>
          <w:rFonts w:ascii="Arial" w:hAnsi="Arial" w:cs="Arial"/>
        </w:rPr>
      </w:pPr>
      <w:r w:rsidRPr="004044E8">
        <w:rPr>
          <w:rFonts w:ascii="Arial" w:hAnsi="Arial" w:cs="Arial"/>
        </w:rPr>
        <w:t>El Reglamento Operativo (RO</w:t>
      </w:r>
      <w:r w:rsidR="005A165B" w:rsidRPr="004044E8">
        <w:rPr>
          <w:rFonts w:ascii="Arial" w:hAnsi="Arial" w:cs="Arial"/>
        </w:rPr>
        <w:t>P</w:t>
      </w:r>
      <w:r w:rsidRPr="004044E8">
        <w:rPr>
          <w:rFonts w:ascii="Arial" w:hAnsi="Arial" w:cs="Arial"/>
        </w:rPr>
        <w:t>) tiene como objetivo</w:t>
      </w:r>
      <w:r w:rsidR="007E4D6C" w:rsidRPr="004044E8">
        <w:rPr>
          <w:rFonts w:ascii="Arial" w:hAnsi="Arial" w:cs="Arial"/>
        </w:rPr>
        <w:t xml:space="preserve"> normar y </w:t>
      </w:r>
      <w:r w:rsidRPr="004044E8">
        <w:rPr>
          <w:rFonts w:ascii="Arial" w:hAnsi="Arial" w:cs="Arial"/>
        </w:rPr>
        <w:t xml:space="preserve">establecer las directrices y procedimientos que regirán la ejecución del </w:t>
      </w:r>
      <w:r w:rsidR="00972E0E" w:rsidRPr="004044E8">
        <w:rPr>
          <w:rFonts w:ascii="Arial" w:hAnsi="Arial" w:cs="Arial"/>
        </w:rPr>
        <w:t>´</w:t>
      </w:r>
      <w:r w:rsidR="004B0433" w:rsidRPr="004044E8">
        <w:rPr>
          <w:rFonts w:ascii="Arial" w:hAnsi="Arial" w:cs="Arial"/>
        </w:rPr>
        <w:t xml:space="preserve">Programa de Apoyo a la Reforma de Empresas Públicas </w:t>
      </w:r>
      <w:r w:rsidR="00F002F2" w:rsidRPr="004044E8">
        <w:rPr>
          <w:rFonts w:ascii="Arial" w:hAnsi="Arial" w:cs="Arial"/>
        </w:rPr>
        <w:t>(EC-L</w:t>
      </w:r>
      <w:r w:rsidR="00555922" w:rsidRPr="004044E8">
        <w:rPr>
          <w:rFonts w:ascii="Arial" w:hAnsi="Arial" w:cs="Arial"/>
        </w:rPr>
        <w:t>12</w:t>
      </w:r>
      <w:r w:rsidR="004B0433" w:rsidRPr="004044E8">
        <w:rPr>
          <w:rFonts w:ascii="Arial" w:hAnsi="Arial" w:cs="Arial"/>
        </w:rPr>
        <w:t>51</w:t>
      </w:r>
      <w:r w:rsidR="00F002F2" w:rsidRPr="004044E8">
        <w:rPr>
          <w:rFonts w:ascii="Arial" w:hAnsi="Arial" w:cs="Arial"/>
        </w:rPr>
        <w:t>)</w:t>
      </w:r>
      <w:r w:rsidRPr="004044E8">
        <w:rPr>
          <w:rFonts w:ascii="Arial" w:hAnsi="Arial" w:cs="Arial"/>
        </w:rPr>
        <w:t xml:space="preserve">, en sujeción a lo dispuesto en el Contrato </w:t>
      </w:r>
      <w:r w:rsidR="00263F5B" w:rsidRPr="004044E8">
        <w:rPr>
          <w:rFonts w:ascii="Arial" w:hAnsi="Arial" w:cs="Arial"/>
        </w:rPr>
        <w:t xml:space="preserve">de </w:t>
      </w:r>
      <w:r w:rsidR="00555922" w:rsidRPr="004044E8">
        <w:rPr>
          <w:rFonts w:ascii="Arial" w:hAnsi="Arial" w:cs="Arial"/>
        </w:rPr>
        <w:t>Préstamo XXXX</w:t>
      </w:r>
      <w:r w:rsidR="00A038B9" w:rsidRPr="004044E8">
        <w:rPr>
          <w:rFonts w:ascii="Arial" w:hAnsi="Arial" w:cs="Arial"/>
        </w:rPr>
        <w:t>/OC-EC</w:t>
      </w:r>
      <w:r w:rsidR="00467E72" w:rsidRPr="009F019B">
        <w:rPr>
          <w:rFonts w:ascii="Arial" w:hAnsi="Arial" w:cs="Arial"/>
        </w:rPr>
        <w:t xml:space="preserve"> y sus anexos</w:t>
      </w:r>
      <w:r w:rsidRPr="009F019B">
        <w:rPr>
          <w:rFonts w:ascii="Arial" w:hAnsi="Arial" w:cs="Arial"/>
        </w:rPr>
        <w:t>.</w:t>
      </w:r>
    </w:p>
    <w:p w14:paraId="3887CCAD" w14:textId="37623F78" w:rsidR="00250C44" w:rsidRPr="004044E8" w:rsidRDefault="00250C44" w:rsidP="001C7188">
      <w:pPr>
        <w:pStyle w:val="Heading2"/>
        <w:rPr>
          <w:rFonts w:ascii="Arial" w:hAnsi="Arial" w:cs="Arial"/>
        </w:rPr>
      </w:pPr>
      <w:bookmarkStart w:id="9" w:name="_Toc424879191"/>
      <w:bookmarkStart w:id="10" w:name="_Toc454056446"/>
      <w:bookmarkStart w:id="11" w:name="_Toc10223098"/>
      <w:r w:rsidRPr="004044E8">
        <w:rPr>
          <w:rFonts w:ascii="Arial" w:hAnsi="Arial" w:cs="Arial"/>
        </w:rPr>
        <w:t>Alcance</w:t>
      </w:r>
      <w:bookmarkEnd w:id="9"/>
      <w:bookmarkEnd w:id="10"/>
      <w:bookmarkEnd w:id="11"/>
    </w:p>
    <w:p w14:paraId="7C6E390B" w14:textId="6188F843" w:rsidR="00C472DD" w:rsidRPr="004044E8" w:rsidRDefault="00F61752" w:rsidP="00C02EF4">
      <w:pPr>
        <w:pStyle w:val="Estilo1"/>
        <w:rPr>
          <w:rFonts w:ascii="Arial" w:hAnsi="Arial" w:cs="Arial"/>
        </w:rPr>
      </w:pPr>
      <w:r w:rsidRPr="004044E8">
        <w:rPr>
          <w:rFonts w:ascii="Arial" w:hAnsi="Arial" w:cs="Arial"/>
        </w:rPr>
        <w:t>El RO</w:t>
      </w:r>
      <w:r w:rsidR="005A165B" w:rsidRPr="004044E8">
        <w:rPr>
          <w:rFonts w:ascii="Arial" w:hAnsi="Arial" w:cs="Arial"/>
        </w:rPr>
        <w:t>P</w:t>
      </w:r>
      <w:r w:rsidRPr="004044E8">
        <w:rPr>
          <w:rFonts w:ascii="Arial" w:hAnsi="Arial" w:cs="Arial"/>
        </w:rPr>
        <w:t>, está diseñado para</w:t>
      </w:r>
      <w:r w:rsidR="005505C0" w:rsidRPr="004044E8">
        <w:rPr>
          <w:rFonts w:ascii="Arial" w:hAnsi="Arial" w:cs="Arial"/>
        </w:rPr>
        <w:t xml:space="preserve"> </w:t>
      </w:r>
      <w:r w:rsidRPr="004044E8">
        <w:rPr>
          <w:rFonts w:ascii="Arial" w:hAnsi="Arial" w:cs="Arial"/>
        </w:rPr>
        <w:t xml:space="preserve">facilitar la gestión </w:t>
      </w:r>
      <w:r w:rsidR="00DD6485" w:rsidRPr="004044E8">
        <w:rPr>
          <w:rFonts w:ascii="Arial" w:hAnsi="Arial" w:cs="Arial"/>
        </w:rPr>
        <w:t>y ejecución i</w:t>
      </w:r>
      <w:r w:rsidR="003278CA" w:rsidRPr="004044E8">
        <w:rPr>
          <w:rFonts w:ascii="Arial" w:hAnsi="Arial" w:cs="Arial"/>
        </w:rPr>
        <w:t xml:space="preserve">ntegral del Programa tanto </w:t>
      </w:r>
      <w:r w:rsidR="00C23921" w:rsidRPr="004044E8">
        <w:rPr>
          <w:rFonts w:ascii="Arial" w:hAnsi="Arial" w:cs="Arial"/>
        </w:rPr>
        <w:t>para e</w:t>
      </w:r>
      <w:r w:rsidR="00DD6485" w:rsidRPr="004044E8">
        <w:rPr>
          <w:rFonts w:ascii="Arial" w:hAnsi="Arial" w:cs="Arial"/>
        </w:rPr>
        <w:t xml:space="preserve">l </w:t>
      </w:r>
      <w:r w:rsidR="00F002F2" w:rsidRPr="004044E8">
        <w:rPr>
          <w:rFonts w:ascii="Arial" w:hAnsi="Arial" w:cs="Arial"/>
        </w:rPr>
        <w:t xml:space="preserve">Organismo </w:t>
      </w:r>
      <w:r w:rsidR="00B2749D" w:rsidRPr="004044E8">
        <w:rPr>
          <w:rFonts w:ascii="Arial" w:hAnsi="Arial" w:cs="Arial"/>
        </w:rPr>
        <w:t>E</w:t>
      </w:r>
      <w:r w:rsidR="00F002F2" w:rsidRPr="004044E8">
        <w:rPr>
          <w:rFonts w:ascii="Arial" w:hAnsi="Arial" w:cs="Arial"/>
        </w:rPr>
        <w:t>jecutor (OE)</w:t>
      </w:r>
      <w:r w:rsidR="003278CA" w:rsidRPr="004044E8">
        <w:rPr>
          <w:rFonts w:ascii="Arial" w:hAnsi="Arial" w:cs="Arial"/>
        </w:rPr>
        <w:t xml:space="preserve">, como </w:t>
      </w:r>
      <w:r w:rsidR="00C23921" w:rsidRPr="004044E8">
        <w:rPr>
          <w:rFonts w:ascii="Arial" w:hAnsi="Arial" w:cs="Arial"/>
        </w:rPr>
        <w:t xml:space="preserve">para </w:t>
      </w:r>
      <w:r w:rsidR="00F002F2" w:rsidRPr="004044E8">
        <w:rPr>
          <w:rFonts w:ascii="Arial" w:hAnsi="Arial" w:cs="Arial"/>
        </w:rPr>
        <w:t xml:space="preserve">los </w:t>
      </w:r>
      <w:r w:rsidR="00C23921" w:rsidRPr="004044E8">
        <w:rPr>
          <w:rFonts w:ascii="Arial" w:hAnsi="Arial" w:cs="Arial"/>
        </w:rPr>
        <w:t>O</w:t>
      </w:r>
      <w:r w:rsidR="00F002F2" w:rsidRPr="004044E8">
        <w:rPr>
          <w:rFonts w:ascii="Arial" w:hAnsi="Arial" w:cs="Arial"/>
        </w:rPr>
        <w:t>rganismos</w:t>
      </w:r>
      <w:r w:rsidR="0000214C" w:rsidRPr="004044E8">
        <w:rPr>
          <w:rFonts w:ascii="Arial" w:hAnsi="Arial" w:cs="Arial"/>
        </w:rPr>
        <w:t xml:space="preserve"> </w:t>
      </w:r>
      <w:r w:rsidR="00C23921" w:rsidRPr="004044E8">
        <w:rPr>
          <w:rFonts w:ascii="Arial" w:hAnsi="Arial" w:cs="Arial"/>
        </w:rPr>
        <w:t xml:space="preserve">Subejecutores (OSE) </w:t>
      </w:r>
      <w:r w:rsidR="005A165B" w:rsidRPr="004044E8">
        <w:rPr>
          <w:rFonts w:ascii="Arial" w:hAnsi="Arial" w:cs="Arial"/>
        </w:rPr>
        <w:t>que participan en el mismo</w:t>
      </w:r>
      <w:r w:rsidRPr="004044E8">
        <w:rPr>
          <w:rFonts w:ascii="Arial" w:hAnsi="Arial" w:cs="Arial"/>
        </w:rPr>
        <w:t xml:space="preserve">. </w:t>
      </w:r>
      <w:r w:rsidR="005A165B" w:rsidRPr="004044E8">
        <w:rPr>
          <w:rFonts w:ascii="Arial" w:hAnsi="Arial" w:cs="Arial"/>
        </w:rPr>
        <w:t xml:space="preserve"> </w:t>
      </w:r>
      <w:r w:rsidR="001C74B6" w:rsidRPr="004044E8">
        <w:rPr>
          <w:rFonts w:ascii="Arial" w:hAnsi="Arial" w:cs="Arial"/>
        </w:rPr>
        <w:t>La aplicación del presente RO</w:t>
      </w:r>
      <w:r w:rsidR="005A165B" w:rsidRPr="004044E8">
        <w:rPr>
          <w:rFonts w:ascii="Arial" w:hAnsi="Arial" w:cs="Arial"/>
        </w:rPr>
        <w:t>P</w:t>
      </w:r>
      <w:r w:rsidR="001C74B6" w:rsidRPr="004044E8">
        <w:rPr>
          <w:rFonts w:ascii="Arial" w:hAnsi="Arial" w:cs="Arial"/>
        </w:rPr>
        <w:t xml:space="preserve"> es obligatoria para el </w:t>
      </w:r>
      <w:r w:rsidR="004B0433" w:rsidRPr="004044E8">
        <w:rPr>
          <w:rFonts w:ascii="Arial" w:hAnsi="Arial" w:cs="Arial"/>
          <w:lang w:val="es-EC"/>
        </w:rPr>
        <w:t>Ministerio de Economía y Finanzas</w:t>
      </w:r>
      <w:r w:rsidR="006932B9" w:rsidRPr="004044E8">
        <w:rPr>
          <w:rFonts w:ascii="Arial" w:hAnsi="Arial" w:cs="Arial"/>
        </w:rPr>
        <w:t xml:space="preserve"> </w:t>
      </w:r>
      <w:r w:rsidR="005A165B" w:rsidRPr="004044E8">
        <w:rPr>
          <w:rFonts w:ascii="Arial" w:hAnsi="Arial" w:cs="Arial"/>
        </w:rPr>
        <w:t>(ME</w:t>
      </w:r>
      <w:r w:rsidR="004B0433" w:rsidRPr="004044E8">
        <w:rPr>
          <w:rFonts w:ascii="Arial" w:hAnsi="Arial" w:cs="Arial"/>
        </w:rPr>
        <w:t>F</w:t>
      </w:r>
      <w:r w:rsidR="005A165B" w:rsidRPr="004044E8">
        <w:rPr>
          <w:rFonts w:ascii="Arial" w:hAnsi="Arial" w:cs="Arial"/>
        </w:rPr>
        <w:t>)</w:t>
      </w:r>
      <w:r w:rsidR="00F002F2" w:rsidRPr="004044E8">
        <w:rPr>
          <w:rFonts w:ascii="Arial" w:hAnsi="Arial" w:cs="Arial"/>
        </w:rPr>
        <w:t xml:space="preserve"> </w:t>
      </w:r>
      <w:r w:rsidR="001C74B6" w:rsidRPr="004044E8">
        <w:rPr>
          <w:rFonts w:ascii="Arial" w:hAnsi="Arial" w:cs="Arial"/>
        </w:rPr>
        <w:t xml:space="preserve">en su calidad de </w:t>
      </w:r>
      <w:r w:rsidR="003278CA" w:rsidRPr="004044E8">
        <w:rPr>
          <w:rFonts w:ascii="Arial" w:hAnsi="Arial" w:cs="Arial"/>
        </w:rPr>
        <w:t>OE</w:t>
      </w:r>
      <w:r w:rsidR="00F002F2" w:rsidRPr="004044E8">
        <w:rPr>
          <w:rFonts w:ascii="Arial" w:hAnsi="Arial" w:cs="Arial"/>
        </w:rPr>
        <w:t xml:space="preserve"> </w:t>
      </w:r>
      <w:r w:rsidR="001C74B6" w:rsidRPr="004044E8">
        <w:rPr>
          <w:rFonts w:ascii="Arial" w:hAnsi="Arial" w:cs="Arial"/>
        </w:rPr>
        <w:t>y para</w:t>
      </w:r>
      <w:r w:rsidR="0019761A" w:rsidRPr="004044E8">
        <w:rPr>
          <w:rFonts w:ascii="Arial" w:hAnsi="Arial" w:cs="Arial"/>
        </w:rPr>
        <w:t xml:space="preserve"> </w:t>
      </w:r>
      <w:r w:rsidR="00C23921" w:rsidRPr="004044E8">
        <w:rPr>
          <w:rFonts w:ascii="Arial" w:hAnsi="Arial" w:cs="Arial"/>
        </w:rPr>
        <w:t>la</w:t>
      </w:r>
      <w:r w:rsidR="005A041F" w:rsidRPr="004044E8">
        <w:rPr>
          <w:rFonts w:ascii="Arial" w:hAnsi="Arial" w:cs="Arial"/>
        </w:rPr>
        <w:t xml:space="preserve"> </w:t>
      </w:r>
      <w:r w:rsidR="00C23921" w:rsidRPr="004044E8">
        <w:rPr>
          <w:rFonts w:ascii="Arial" w:hAnsi="Arial" w:cs="Arial"/>
          <w:bCs/>
          <w:lang w:val="es-ES_tradnl"/>
        </w:rPr>
        <w:t>Empresa Coordinadora de las Empresas Públicas</w:t>
      </w:r>
      <w:r w:rsidR="00C23921" w:rsidRPr="004044E8">
        <w:rPr>
          <w:rFonts w:ascii="Arial" w:hAnsi="Arial" w:cs="Arial"/>
          <w:lang w:val="es-EC"/>
        </w:rPr>
        <w:t xml:space="preserve"> (EMCO) Ministerio de Energía y Recursos Naturales no Renovables (MERNNR), Ministerio de Transporte y Obras Públicas (MTOP), Petroecuador, Petroamazonas, Corporación Eléctrica del Ecuador (CELEC), Corporación</w:t>
      </w:r>
      <w:r w:rsidR="00C23921" w:rsidRPr="004044E8">
        <w:rPr>
          <w:rFonts w:ascii="Arial" w:hAnsi="Arial" w:cs="Arial"/>
          <w:lang w:val="es-ES_tradnl"/>
        </w:rPr>
        <w:t xml:space="preserve"> Nacional de Electricidad (CNEL) y Tame</w:t>
      </w:r>
      <w:r w:rsidR="005A041F" w:rsidRPr="004044E8">
        <w:rPr>
          <w:rFonts w:ascii="Arial" w:hAnsi="Arial" w:cs="Arial"/>
        </w:rPr>
        <w:t xml:space="preserve"> </w:t>
      </w:r>
      <w:r w:rsidR="00C23921" w:rsidRPr="004044E8">
        <w:rPr>
          <w:rFonts w:ascii="Arial" w:hAnsi="Arial" w:cs="Arial"/>
        </w:rPr>
        <w:t>en su calidad de OSE</w:t>
      </w:r>
      <w:r w:rsidR="005A041F" w:rsidRPr="004044E8">
        <w:rPr>
          <w:rFonts w:ascii="Arial" w:hAnsi="Arial" w:cs="Arial"/>
        </w:rPr>
        <w:t xml:space="preserve">. </w:t>
      </w:r>
    </w:p>
    <w:p w14:paraId="2B8F6431" w14:textId="4C4BDBD4" w:rsidR="00250C44" w:rsidRPr="004044E8" w:rsidRDefault="00250C44" w:rsidP="001C7188">
      <w:pPr>
        <w:pStyle w:val="Heading2"/>
        <w:rPr>
          <w:rFonts w:ascii="Arial" w:hAnsi="Arial" w:cs="Arial"/>
        </w:rPr>
      </w:pPr>
      <w:bookmarkStart w:id="12" w:name="_Toc424879192"/>
      <w:bookmarkStart w:id="13" w:name="_Toc454056447"/>
      <w:bookmarkStart w:id="14" w:name="_Toc10223099"/>
      <w:r w:rsidRPr="004044E8">
        <w:rPr>
          <w:rFonts w:ascii="Arial" w:hAnsi="Arial" w:cs="Arial"/>
        </w:rPr>
        <w:t>Vigencia y Modificaciones</w:t>
      </w:r>
      <w:bookmarkEnd w:id="12"/>
      <w:bookmarkEnd w:id="13"/>
      <w:bookmarkEnd w:id="14"/>
    </w:p>
    <w:p w14:paraId="2988700D" w14:textId="34FAD5C7" w:rsidR="003278CA" w:rsidRPr="004044E8" w:rsidRDefault="003278CA" w:rsidP="00C02EF4">
      <w:pPr>
        <w:pStyle w:val="Estilo1"/>
        <w:rPr>
          <w:rFonts w:ascii="Arial" w:hAnsi="Arial" w:cs="Arial"/>
        </w:rPr>
      </w:pPr>
      <w:r w:rsidRPr="004044E8">
        <w:rPr>
          <w:rFonts w:ascii="Arial" w:hAnsi="Arial" w:cs="Arial"/>
        </w:rPr>
        <w:t>Para que el RO</w:t>
      </w:r>
      <w:r w:rsidR="005A041F" w:rsidRPr="004044E8">
        <w:rPr>
          <w:rFonts w:ascii="Arial" w:hAnsi="Arial" w:cs="Arial"/>
        </w:rPr>
        <w:t>P</w:t>
      </w:r>
      <w:r w:rsidRPr="004044E8">
        <w:rPr>
          <w:rFonts w:ascii="Arial" w:hAnsi="Arial" w:cs="Arial"/>
        </w:rPr>
        <w:t xml:space="preserve"> entre en vigencia, debe</w:t>
      </w:r>
      <w:r w:rsidR="009F41B1" w:rsidRPr="004044E8">
        <w:rPr>
          <w:rFonts w:ascii="Arial" w:hAnsi="Arial" w:cs="Arial"/>
        </w:rPr>
        <w:t>rá</w:t>
      </w:r>
      <w:r w:rsidRPr="004044E8">
        <w:rPr>
          <w:rFonts w:ascii="Arial" w:hAnsi="Arial" w:cs="Arial"/>
        </w:rPr>
        <w:t xml:space="preserve"> tener la No Objeción escrita del</w:t>
      </w:r>
      <w:r w:rsidR="009F41B1" w:rsidRPr="004044E8">
        <w:rPr>
          <w:rFonts w:ascii="Arial" w:hAnsi="Arial" w:cs="Arial"/>
        </w:rPr>
        <w:t xml:space="preserve"> Banco Interamericano de Desarrollo (</w:t>
      </w:r>
      <w:r w:rsidRPr="004044E8">
        <w:rPr>
          <w:rFonts w:ascii="Arial" w:hAnsi="Arial" w:cs="Arial"/>
        </w:rPr>
        <w:t>BID</w:t>
      </w:r>
      <w:r w:rsidR="009F41B1" w:rsidRPr="004044E8">
        <w:rPr>
          <w:rFonts w:ascii="Arial" w:hAnsi="Arial" w:cs="Arial"/>
        </w:rPr>
        <w:t>)</w:t>
      </w:r>
      <w:r w:rsidRPr="004044E8">
        <w:rPr>
          <w:rFonts w:ascii="Arial" w:hAnsi="Arial" w:cs="Arial"/>
        </w:rPr>
        <w:t xml:space="preserve"> y contar con las autorizaciones formales de las autoridades del OE </w:t>
      </w:r>
    </w:p>
    <w:p w14:paraId="169FA630" w14:textId="6CD08B52" w:rsidR="003730DD" w:rsidRPr="004044E8" w:rsidRDefault="00F61752" w:rsidP="00C02EF4">
      <w:pPr>
        <w:pStyle w:val="Estilo1"/>
        <w:rPr>
          <w:rFonts w:ascii="Arial" w:hAnsi="Arial" w:cs="Arial"/>
        </w:rPr>
      </w:pPr>
      <w:r w:rsidRPr="004044E8">
        <w:rPr>
          <w:rFonts w:ascii="Arial" w:hAnsi="Arial" w:cs="Arial"/>
        </w:rPr>
        <w:t>Las modificaciones y/o actualizaciones al RO</w:t>
      </w:r>
      <w:r w:rsidR="00542D63" w:rsidRPr="004044E8">
        <w:rPr>
          <w:rFonts w:ascii="Arial" w:hAnsi="Arial" w:cs="Arial"/>
        </w:rPr>
        <w:t>P</w:t>
      </w:r>
      <w:r w:rsidRPr="004044E8">
        <w:rPr>
          <w:rFonts w:ascii="Arial" w:hAnsi="Arial" w:cs="Arial"/>
        </w:rPr>
        <w:t xml:space="preserve"> y</w:t>
      </w:r>
      <w:r w:rsidR="00A32F1F" w:rsidRPr="004044E8">
        <w:rPr>
          <w:rFonts w:ascii="Arial" w:hAnsi="Arial" w:cs="Arial"/>
        </w:rPr>
        <w:t>/o</w:t>
      </w:r>
      <w:r w:rsidRPr="004044E8">
        <w:rPr>
          <w:rFonts w:ascii="Arial" w:hAnsi="Arial" w:cs="Arial"/>
        </w:rPr>
        <w:t xml:space="preserve"> sus anexos serán puestas a consideración del B</w:t>
      </w:r>
      <w:r w:rsidR="00B2749D" w:rsidRPr="004044E8">
        <w:rPr>
          <w:rFonts w:ascii="Arial" w:hAnsi="Arial" w:cs="Arial"/>
        </w:rPr>
        <w:t>ID</w:t>
      </w:r>
      <w:r w:rsidR="00263F5B" w:rsidRPr="004044E8">
        <w:rPr>
          <w:rFonts w:ascii="Arial" w:hAnsi="Arial" w:cs="Arial"/>
        </w:rPr>
        <w:t xml:space="preserve">, por parte del </w:t>
      </w:r>
      <w:r w:rsidR="00B2749D" w:rsidRPr="004044E8">
        <w:rPr>
          <w:rFonts w:ascii="Arial" w:hAnsi="Arial" w:cs="Arial"/>
        </w:rPr>
        <w:t>Equipo de Gestión del Proyecto (</w:t>
      </w:r>
      <w:r w:rsidR="00BF1EAC" w:rsidRPr="004044E8">
        <w:rPr>
          <w:rFonts w:ascii="Arial" w:hAnsi="Arial" w:cs="Arial"/>
        </w:rPr>
        <w:t>EDG</w:t>
      </w:r>
      <w:r w:rsidR="00B2749D" w:rsidRPr="004044E8">
        <w:rPr>
          <w:rFonts w:ascii="Arial" w:hAnsi="Arial" w:cs="Arial"/>
        </w:rPr>
        <w:t>)</w:t>
      </w:r>
      <w:r w:rsidR="00240DBA" w:rsidRPr="004044E8">
        <w:rPr>
          <w:rFonts w:ascii="Arial" w:hAnsi="Arial" w:cs="Arial"/>
        </w:rPr>
        <w:t xml:space="preserve"> del OE</w:t>
      </w:r>
      <w:r w:rsidR="003D0B0C" w:rsidRPr="004044E8">
        <w:rPr>
          <w:rFonts w:ascii="Arial" w:hAnsi="Arial" w:cs="Arial"/>
        </w:rPr>
        <w:t xml:space="preserve"> (EDG-MEF)</w:t>
      </w:r>
      <w:r w:rsidR="00B2749D" w:rsidRPr="004044E8">
        <w:rPr>
          <w:rFonts w:ascii="Arial" w:hAnsi="Arial" w:cs="Arial"/>
        </w:rPr>
        <w:t>. P</w:t>
      </w:r>
      <w:r w:rsidR="005505C0" w:rsidRPr="004044E8">
        <w:rPr>
          <w:rFonts w:ascii="Arial" w:hAnsi="Arial" w:cs="Arial"/>
        </w:rPr>
        <w:t>ara</w:t>
      </w:r>
      <w:r w:rsidR="009F41B1" w:rsidRPr="004044E8">
        <w:rPr>
          <w:rFonts w:ascii="Arial" w:hAnsi="Arial" w:cs="Arial"/>
        </w:rPr>
        <w:t xml:space="preserve"> que las modificaciones entren en </w:t>
      </w:r>
      <w:r w:rsidR="005505C0" w:rsidRPr="004044E8">
        <w:rPr>
          <w:rFonts w:ascii="Arial" w:hAnsi="Arial" w:cs="Arial"/>
        </w:rPr>
        <w:t>vigencia</w:t>
      </w:r>
      <w:r w:rsidR="00B2749D" w:rsidRPr="004044E8">
        <w:rPr>
          <w:rFonts w:ascii="Arial" w:hAnsi="Arial" w:cs="Arial"/>
        </w:rPr>
        <w:t>,</w:t>
      </w:r>
      <w:r w:rsidR="005505C0" w:rsidRPr="004044E8">
        <w:rPr>
          <w:rFonts w:ascii="Arial" w:hAnsi="Arial" w:cs="Arial"/>
        </w:rPr>
        <w:t xml:space="preserve"> deberán contar con </w:t>
      </w:r>
      <w:r w:rsidRPr="004044E8">
        <w:rPr>
          <w:rFonts w:ascii="Arial" w:hAnsi="Arial" w:cs="Arial"/>
        </w:rPr>
        <w:t xml:space="preserve">la </w:t>
      </w:r>
      <w:r w:rsidR="00B2749D" w:rsidRPr="004044E8">
        <w:rPr>
          <w:rFonts w:ascii="Arial" w:hAnsi="Arial" w:cs="Arial"/>
        </w:rPr>
        <w:t>No</w:t>
      </w:r>
      <w:r w:rsidRPr="004044E8">
        <w:rPr>
          <w:rFonts w:ascii="Arial" w:hAnsi="Arial" w:cs="Arial"/>
        </w:rPr>
        <w:t xml:space="preserve"> Objeción</w:t>
      </w:r>
      <w:r w:rsidR="005505C0" w:rsidRPr="004044E8">
        <w:rPr>
          <w:rFonts w:ascii="Arial" w:hAnsi="Arial" w:cs="Arial"/>
        </w:rPr>
        <w:t xml:space="preserve"> escrita </w:t>
      </w:r>
      <w:r w:rsidR="006C6065" w:rsidRPr="004044E8">
        <w:rPr>
          <w:rFonts w:ascii="Arial" w:hAnsi="Arial" w:cs="Arial"/>
        </w:rPr>
        <w:t>del BID</w:t>
      </w:r>
      <w:r w:rsidRPr="004044E8">
        <w:rPr>
          <w:rFonts w:ascii="Arial" w:hAnsi="Arial" w:cs="Arial"/>
        </w:rPr>
        <w:t xml:space="preserve"> </w:t>
      </w:r>
      <w:r w:rsidR="00AD72CE" w:rsidRPr="004044E8">
        <w:rPr>
          <w:rFonts w:ascii="Arial" w:hAnsi="Arial" w:cs="Arial"/>
        </w:rPr>
        <w:t xml:space="preserve">y </w:t>
      </w:r>
      <w:r w:rsidR="00B2749D" w:rsidRPr="004044E8">
        <w:rPr>
          <w:rFonts w:ascii="Arial" w:hAnsi="Arial" w:cs="Arial"/>
        </w:rPr>
        <w:t xml:space="preserve">estar </w:t>
      </w:r>
      <w:r w:rsidR="00AD72CE" w:rsidRPr="004044E8">
        <w:rPr>
          <w:rFonts w:ascii="Arial" w:hAnsi="Arial" w:cs="Arial"/>
        </w:rPr>
        <w:t>formaliza</w:t>
      </w:r>
      <w:r w:rsidR="005505C0" w:rsidRPr="004044E8">
        <w:rPr>
          <w:rFonts w:ascii="Arial" w:hAnsi="Arial" w:cs="Arial"/>
        </w:rPr>
        <w:t>d</w:t>
      </w:r>
      <w:r w:rsidR="00B2749D" w:rsidRPr="004044E8">
        <w:rPr>
          <w:rFonts w:ascii="Arial" w:hAnsi="Arial" w:cs="Arial"/>
        </w:rPr>
        <w:t>as</w:t>
      </w:r>
      <w:r w:rsidR="005505C0" w:rsidRPr="004044E8">
        <w:rPr>
          <w:rFonts w:ascii="Arial" w:hAnsi="Arial" w:cs="Arial"/>
        </w:rPr>
        <w:t xml:space="preserve"> por </w:t>
      </w:r>
      <w:r w:rsidR="00556C71" w:rsidRPr="004044E8">
        <w:rPr>
          <w:rFonts w:ascii="Arial" w:hAnsi="Arial" w:cs="Arial"/>
        </w:rPr>
        <w:t xml:space="preserve">las autoridades o el delegado </w:t>
      </w:r>
      <w:r w:rsidR="005505C0" w:rsidRPr="004044E8">
        <w:rPr>
          <w:rFonts w:ascii="Arial" w:hAnsi="Arial" w:cs="Arial"/>
        </w:rPr>
        <w:t>d</w:t>
      </w:r>
      <w:r w:rsidR="00AD72CE" w:rsidRPr="004044E8">
        <w:rPr>
          <w:rFonts w:ascii="Arial" w:hAnsi="Arial" w:cs="Arial"/>
        </w:rPr>
        <w:t>e</w:t>
      </w:r>
      <w:r w:rsidR="00556C71" w:rsidRPr="004044E8">
        <w:rPr>
          <w:rFonts w:ascii="Arial" w:hAnsi="Arial" w:cs="Arial"/>
        </w:rPr>
        <w:t>l</w:t>
      </w:r>
      <w:r w:rsidR="00B2749D" w:rsidRPr="004044E8">
        <w:rPr>
          <w:rFonts w:ascii="Arial" w:hAnsi="Arial" w:cs="Arial"/>
        </w:rPr>
        <w:t xml:space="preserve"> OE</w:t>
      </w:r>
      <w:r w:rsidR="0088669B" w:rsidRPr="004044E8">
        <w:rPr>
          <w:rFonts w:ascii="Arial" w:hAnsi="Arial" w:cs="Arial"/>
        </w:rPr>
        <w:t xml:space="preserve"> u OSE</w:t>
      </w:r>
      <w:r w:rsidR="009F41B1" w:rsidRPr="004044E8">
        <w:rPr>
          <w:rFonts w:ascii="Arial" w:hAnsi="Arial" w:cs="Arial"/>
        </w:rPr>
        <w:t>.</w:t>
      </w:r>
      <w:r w:rsidR="00542D63" w:rsidRPr="004044E8">
        <w:rPr>
          <w:rFonts w:ascii="Arial" w:hAnsi="Arial" w:cs="Arial"/>
        </w:rPr>
        <w:t xml:space="preserve"> </w:t>
      </w:r>
      <w:r w:rsidR="003730DD" w:rsidRPr="004044E8">
        <w:rPr>
          <w:rFonts w:ascii="Arial" w:hAnsi="Arial" w:cs="Arial"/>
          <w:lang w:val="es-EC"/>
        </w:rPr>
        <w:t xml:space="preserve">Cuando las modificaciones </w:t>
      </w:r>
      <w:r w:rsidR="008332F2" w:rsidRPr="004044E8">
        <w:rPr>
          <w:rFonts w:ascii="Arial" w:hAnsi="Arial" w:cs="Arial"/>
          <w:lang w:val="es-EC"/>
        </w:rPr>
        <w:t>estén</w:t>
      </w:r>
      <w:r w:rsidR="003730DD" w:rsidRPr="004044E8">
        <w:rPr>
          <w:rFonts w:ascii="Arial" w:hAnsi="Arial" w:cs="Arial"/>
          <w:lang w:val="es-EC"/>
        </w:rPr>
        <w:t xml:space="preserve"> relacionadas exclusivamente con la gestión de uno de los OSE del Programa, para la presentación a no Objeción del Banco se </w:t>
      </w:r>
      <w:r w:rsidR="008332F2" w:rsidRPr="004044E8">
        <w:rPr>
          <w:rFonts w:ascii="Arial" w:hAnsi="Arial" w:cs="Arial"/>
          <w:lang w:val="es-EC"/>
        </w:rPr>
        <w:t>requerirá</w:t>
      </w:r>
      <w:r w:rsidR="003730DD" w:rsidRPr="004044E8">
        <w:rPr>
          <w:rFonts w:ascii="Arial" w:hAnsi="Arial" w:cs="Arial"/>
          <w:lang w:val="es-EC"/>
        </w:rPr>
        <w:t xml:space="preserve"> </w:t>
      </w:r>
      <w:r w:rsidR="008332F2" w:rsidRPr="004044E8">
        <w:rPr>
          <w:rFonts w:ascii="Arial" w:hAnsi="Arial" w:cs="Arial"/>
          <w:lang w:val="es-EC"/>
        </w:rPr>
        <w:t>únicamente</w:t>
      </w:r>
      <w:r w:rsidR="003730DD" w:rsidRPr="004044E8">
        <w:rPr>
          <w:rFonts w:ascii="Arial" w:hAnsi="Arial" w:cs="Arial"/>
          <w:lang w:val="es-EC"/>
        </w:rPr>
        <w:t xml:space="preserve"> de la fo</w:t>
      </w:r>
      <w:r w:rsidR="008332F2" w:rsidRPr="004044E8">
        <w:rPr>
          <w:rFonts w:ascii="Arial" w:hAnsi="Arial" w:cs="Arial"/>
          <w:lang w:val="es-EC"/>
        </w:rPr>
        <w:t>rma</w:t>
      </w:r>
      <w:r w:rsidR="003730DD" w:rsidRPr="004044E8">
        <w:rPr>
          <w:rFonts w:ascii="Arial" w:hAnsi="Arial" w:cs="Arial"/>
          <w:lang w:val="es-EC"/>
        </w:rPr>
        <w:t xml:space="preserve">lización de las autoridades o delegado del OSE responsable que propone la modificación y del </w:t>
      </w:r>
      <w:r w:rsidR="003D0B0C" w:rsidRPr="004044E8">
        <w:rPr>
          <w:rFonts w:ascii="Arial" w:hAnsi="Arial" w:cs="Arial"/>
        </w:rPr>
        <w:t>EDG-MEF</w:t>
      </w:r>
      <w:r w:rsidR="003730DD" w:rsidRPr="004044E8">
        <w:rPr>
          <w:rFonts w:ascii="Arial" w:hAnsi="Arial" w:cs="Arial"/>
          <w:lang w:val="es-EC"/>
        </w:rPr>
        <w:t>.</w:t>
      </w:r>
    </w:p>
    <w:p w14:paraId="488B33F2" w14:textId="1D6DC15C" w:rsidR="00556C71" w:rsidRPr="004044E8" w:rsidRDefault="00556C71" w:rsidP="00DE3867">
      <w:pPr>
        <w:pStyle w:val="Estilo1"/>
        <w:rPr>
          <w:rFonts w:ascii="Arial" w:hAnsi="Arial" w:cs="Arial"/>
        </w:rPr>
      </w:pPr>
      <w:r w:rsidRPr="004044E8">
        <w:rPr>
          <w:rFonts w:ascii="Arial" w:hAnsi="Arial" w:cs="Arial"/>
        </w:rPr>
        <w:t xml:space="preserve">Las delegaciones para </w:t>
      </w:r>
      <w:r w:rsidR="00596EAF" w:rsidRPr="004044E8">
        <w:rPr>
          <w:rFonts w:ascii="Arial" w:hAnsi="Arial" w:cs="Arial"/>
        </w:rPr>
        <w:t>a</w:t>
      </w:r>
      <w:r w:rsidRPr="004044E8">
        <w:rPr>
          <w:rFonts w:ascii="Arial" w:hAnsi="Arial" w:cs="Arial"/>
        </w:rPr>
        <w:t>utorizar modificaciones al RO</w:t>
      </w:r>
      <w:r w:rsidR="00542D63" w:rsidRPr="004044E8">
        <w:rPr>
          <w:rFonts w:ascii="Arial" w:hAnsi="Arial" w:cs="Arial"/>
        </w:rPr>
        <w:t>P</w:t>
      </w:r>
      <w:r w:rsidRPr="004044E8">
        <w:rPr>
          <w:rFonts w:ascii="Arial" w:hAnsi="Arial" w:cs="Arial"/>
        </w:rPr>
        <w:t xml:space="preserve"> deberán ser:</w:t>
      </w:r>
      <w:r w:rsidR="00542D63" w:rsidRPr="004044E8">
        <w:rPr>
          <w:rFonts w:ascii="Arial" w:hAnsi="Arial" w:cs="Arial"/>
        </w:rPr>
        <w:t xml:space="preserve"> (i) otorgadas por la máxima autoridad </w:t>
      </w:r>
      <w:r w:rsidRPr="004044E8">
        <w:rPr>
          <w:rFonts w:ascii="Arial" w:hAnsi="Arial" w:cs="Arial"/>
        </w:rPr>
        <w:t>del OE</w:t>
      </w:r>
      <w:r w:rsidR="00542D63" w:rsidRPr="004044E8">
        <w:rPr>
          <w:rFonts w:ascii="Arial" w:hAnsi="Arial" w:cs="Arial"/>
        </w:rPr>
        <w:t>; (</w:t>
      </w:r>
      <w:proofErr w:type="spellStart"/>
      <w:r w:rsidR="00542D63" w:rsidRPr="004044E8">
        <w:rPr>
          <w:rFonts w:ascii="Arial" w:hAnsi="Arial" w:cs="Arial"/>
        </w:rPr>
        <w:t>ii</w:t>
      </w:r>
      <w:proofErr w:type="spellEnd"/>
      <w:r w:rsidR="00542D63" w:rsidRPr="004044E8">
        <w:rPr>
          <w:rFonts w:ascii="Arial" w:hAnsi="Arial" w:cs="Arial"/>
        </w:rPr>
        <w:t xml:space="preserve">) </w:t>
      </w:r>
      <w:r w:rsidRPr="004044E8">
        <w:rPr>
          <w:rFonts w:ascii="Arial" w:hAnsi="Arial" w:cs="Arial"/>
        </w:rPr>
        <w:t>notificadas por escrito al Banco</w:t>
      </w:r>
      <w:r w:rsidR="00542D63" w:rsidRPr="004044E8">
        <w:rPr>
          <w:rFonts w:ascii="Arial" w:hAnsi="Arial" w:cs="Arial"/>
        </w:rPr>
        <w:t>; (</w:t>
      </w:r>
      <w:proofErr w:type="spellStart"/>
      <w:r w:rsidR="00542D63" w:rsidRPr="004044E8">
        <w:rPr>
          <w:rFonts w:ascii="Arial" w:hAnsi="Arial" w:cs="Arial"/>
        </w:rPr>
        <w:t>iii</w:t>
      </w:r>
      <w:proofErr w:type="spellEnd"/>
      <w:r w:rsidR="00542D63" w:rsidRPr="004044E8">
        <w:rPr>
          <w:rFonts w:ascii="Arial" w:hAnsi="Arial" w:cs="Arial"/>
        </w:rPr>
        <w:t>) t</w:t>
      </w:r>
      <w:r w:rsidRPr="004044E8">
        <w:rPr>
          <w:rFonts w:ascii="Arial" w:hAnsi="Arial" w:cs="Arial"/>
        </w:rPr>
        <w:t xml:space="preserve">ambién deberá notificarse </w:t>
      </w:r>
      <w:r w:rsidR="00596EAF" w:rsidRPr="004044E8">
        <w:rPr>
          <w:rFonts w:ascii="Arial" w:hAnsi="Arial" w:cs="Arial"/>
        </w:rPr>
        <w:t xml:space="preserve">al Banco de </w:t>
      </w:r>
      <w:r w:rsidRPr="004044E8">
        <w:rPr>
          <w:rFonts w:ascii="Arial" w:hAnsi="Arial" w:cs="Arial"/>
        </w:rPr>
        <w:t xml:space="preserve">cualquier modificación a dichas delegaciones. </w:t>
      </w:r>
    </w:p>
    <w:p w14:paraId="384EDDD2" w14:textId="4FD3C72D" w:rsidR="00426CAA" w:rsidRPr="004044E8" w:rsidRDefault="002E57F7" w:rsidP="00DE3867">
      <w:pPr>
        <w:pStyle w:val="Estilo1"/>
        <w:rPr>
          <w:rFonts w:ascii="Arial" w:hAnsi="Arial" w:cs="Arial"/>
        </w:rPr>
      </w:pPr>
      <w:r w:rsidRPr="004044E8">
        <w:rPr>
          <w:rFonts w:ascii="Arial" w:hAnsi="Arial" w:cs="Arial"/>
        </w:rPr>
        <w:t>El</w:t>
      </w:r>
      <w:r w:rsidR="00983EE0" w:rsidRPr="004044E8">
        <w:rPr>
          <w:rFonts w:ascii="Arial" w:hAnsi="Arial" w:cs="Arial"/>
        </w:rPr>
        <w:t xml:space="preserve"> </w:t>
      </w:r>
      <w:r w:rsidR="003D0B0C" w:rsidRPr="004044E8">
        <w:rPr>
          <w:rFonts w:ascii="Arial" w:hAnsi="Arial" w:cs="Arial"/>
        </w:rPr>
        <w:t>EDG-MEF</w:t>
      </w:r>
      <w:r w:rsidR="00BA0470" w:rsidRPr="004044E8">
        <w:rPr>
          <w:rFonts w:ascii="Arial" w:hAnsi="Arial" w:cs="Arial"/>
        </w:rPr>
        <w:t>,</w:t>
      </w:r>
      <w:r w:rsidRPr="004044E8">
        <w:rPr>
          <w:rFonts w:ascii="Arial" w:hAnsi="Arial" w:cs="Arial"/>
        </w:rPr>
        <w:t xml:space="preserve"> notificará a las diferentes instancias de</w:t>
      </w:r>
      <w:r w:rsidR="00596EAF" w:rsidRPr="004044E8">
        <w:rPr>
          <w:rFonts w:ascii="Arial" w:hAnsi="Arial" w:cs="Arial"/>
        </w:rPr>
        <w:t>l ME</w:t>
      </w:r>
      <w:r w:rsidR="004B0433" w:rsidRPr="004044E8">
        <w:rPr>
          <w:rFonts w:ascii="Arial" w:hAnsi="Arial" w:cs="Arial"/>
        </w:rPr>
        <w:t>F</w:t>
      </w:r>
      <w:r w:rsidR="00596EAF" w:rsidRPr="004044E8">
        <w:rPr>
          <w:rFonts w:ascii="Arial" w:hAnsi="Arial" w:cs="Arial"/>
        </w:rPr>
        <w:t xml:space="preserve"> y demás organismos que participen en la</w:t>
      </w:r>
      <w:r w:rsidRPr="004044E8">
        <w:rPr>
          <w:rFonts w:ascii="Arial" w:hAnsi="Arial" w:cs="Arial"/>
        </w:rPr>
        <w:t xml:space="preserve"> ejecución</w:t>
      </w:r>
      <w:r w:rsidR="00B2749D" w:rsidRPr="004044E8">
        <w:rPr>
          <w:rFonts w:ascii="Arial" w:hAnsi="Arial" w:cs="Arial"/>
        </w:rPr>
        <w:t xml:space="preserve"> </w:t>
      </w:r>
      <w:r w:rsidR="00596EAF" w:rsidRPr="004044E8">
        <w:rPr>
          <w:rFonts w:ascii="Arial" w:hAnsi="Arial" w:cs="Arial"/>
        </w:rPr>
        <w:t>del Programa</w:t>
      </w:r>
      <w:r w:rsidRPr="004044E8">
        <w:rPr>
          <w:rFonts w:ascii="Arial" w:hAnsi="Arial" w:cs="Arial"/>
        </w:rPr>
        <w:t>, la entrada en vigencia de las modificaciones y/o actualizaciones</w:t>
      </w:r>
      <w:r w:rsidR="00596EAF" w:rsidRPr="004044E8">
        <w:rPr>
          <w:rFonts w:ascii="Arial" w:hAnsi="Arial" w:cs="Arial"/>
        </w:rPr>
        <w:t xml:space="preserve"> al ROP</w:t>
      </w:r>
      <w:r w:rsidRPr="004044E8">
        <w:rPr>
          <w:rFonts w:ascii="Arial" w:hAnsi="Arial" w:cs="Arial"/>
        </w:rPr>
        <w:t>, las mismas que</w:t>
      </w:r>
      <w:r w:rsidR="00BA0470" w:rsidRPr="004044E8">
        <w:rPr>
          <w:rFonts w:ascii="Arial" w:hAnsi="Arial" w:cs="Arial"/>
        </w:rPr>
        <w:t xml:space="preserve"> deberán especificar </w:t>
      </w:r>
      <w:r w:rsidRPr="004044E8">
        <w:rPr>
          <w:rFonts w:ascii="Arial" w:hAnsi="Arial" w:cs="Arial"/>
        </w:rPr>
        <w:t xml:space="preserve">la versión correspondiente y su fecha de vigencia.  </w:t>
      </w:r>
      <w:r w:rsidR="009F41B1" w:rsidRPr="004044E8">
        <w:rPr>
          <w:rFonts w:ascii="Arial" w:hAnsi="Arial" w:cs="Arial"/>
        </w:rPr>
        <w:t>El presente RO</w:t>
      </w:r>
      <w:r w:rsidR="00596EAF" w:rsidRPr="004044E8">
        <w:rPr>
          <w:rFonts w:ascii="Arial" w:hAnsi="Arial" w:cs="Arial"/>
        </w:rPr>
        <w:t>P</w:t>
      </w:r>
      <w:r w:rsidR="009F41B1" w:rsidRPr="004044E8">
        <w:rPr>
          <w:rFonts w:ascii="Arial" w:hAnsi="Arial" w:cs="Arial"/>
        </w:rPr>
        <w:t>, corresponde a la primera versión.</w:t>
      </w:r>
    </w:p>
    <w:p w14:paraId="4CF00B8E" w14:textId="489F2BE6" w:rsidR="00E3251D" w:rsidRPr="004044E8" w:rsidRDefault="00E3251D" w:rsidP="001C7188">
      <w:pPr>
        <w:pStyle w:val="Heading2"/>
        <w:rPr>
          <w:rFonts w:ascii="Arial" w:hAnsi="Arial" w:cs="Arial"/>
        </w:rPr>
      </w:pPr>
      <w:bookmarkStart w:id="15" w:name="_Toc424879198"/>
      <w:bookmarkStart w:id="16" w:name="_Toc454056448"/>
      <w:bookmarkStart w:id="17" w:name="_Toc10223100"/>
      <w:r w:rsidRPr="004044E8">
        <w:rPr>
          <w:rFonts w:ascii="Arial" w:hAnsi="Arial" w:cs="Arial"/>
        </w:rPr>
        <w:t>Normas que Rigen la Ejecución del Programa</w:t>
      </w:r>
      <w:bookmarkEnd w:id="15"/>
      <w:bookmarkEnd w:id="16"/>
      <w:bookmarkEnd w:id="17"/>
      <w:r w:rsidRPr="004044E8">
        <w:rPr>
          <w:rFonts w:ascii="Arial" w:hAnsi="Arial" w:cs="Arial"/>
        </w:rPr>
        <w:t xml:space="preserve"> </w:t>
      </w:r>
    </w:p>
    <w:p w14:paraId="7BE38779" w14:textId="31D3FCE1" w:rsidR="00D47881" w:rsidRPr="009F019B" w:rsidRDefault="00D47881" w:rsidP="00C02EF4">
      <w:pPr>
        <w:pStyle w:val="Estilo1"/>
        <w:rPr>
          <w:rFonts w:ascii="Arial" w:hAnsi="Arial" w:cs="Arial"/>
        </w:rPr>
      </w:pPr>
      <w:r w:rsidRPr="004044E8">
        <w:rPr>
          <w:rFonts w:ascii="Arial" w:hAnsi="Arial" w:cs="Arial"/>
        </w:rPr>
        <w:t>El préstamo se regirá de acuerdo a lo normado en el contrato de Préstamo XXXX/OC-EC</w:t>
      </w:r>
      <w:r w:rsidRPr="009F019B">
        <w:rPr>
          <w:rFonts w:ascii="Arial" w:hAnsi="Arial" w:cs="Arial"/>
        </w:rPr>
        <w:t xml:space="preserve">, suscrito entre la República del Ecuador y el BID, con fecha </w:t>
      </w:r>
      <w:r w:rsidRPr="004044E8">
        <w:rPr>
          <w:rFonts w:ascii="Arial" w:hAnsi="Arial" w:cs="Arial"/>
        </w:rPr>
        <w:t>XX de XXXX de 2019</w:t>
      </w:r>
      <w:r w:rsidRPr="009F019B">
        <w:rPr>
          <w:rFonts w:ascii="Arial" w:hAnsi="Arial" w:cs="Arial"/>
        </w:rPr>
        <w:t>,</w:t>
      </w:r>
    </w:p>
    <w:p w14:paraId="2E5E17E8" w14:textId="58D7E6E9" w:rsidR="00E3251D" w:rsidRPr="004044E8" w:rsidRDefault="00D47881" w:rsidP="00C02EF4">
      <w:pPr>
        <w:pStyle w:val="Estilo1"/>
        <w:rPr>
          <w:rFonts w:ascii="Arial" w:hAnsi="Arial" w:cs="Arial"/>
        </w:rPr>
      </w:pPr>
      <w:r w:rsidRPr="004044E8">
        <w:rPr>
          <w:rFonts w:ascii="Arial" w:hAnsi="Arial" w:cs="Arial"/>
        </w:rPr>
        <w:t>Para la aplicación de las normas que rigen la Ejecución del Programa se tomará en cuenta lo dispuesto en el artículo 425 de la Constitución de la República, respecto del orden jerárquico de aplicación de las normas</w:t>
      </w:r>
      <w:r w:rsidRPr="009F019B">
        <w:rPr>
          <w:rStyle w:val="FootnoteReference"/>
          <w:rFonts w:ascii="Arial" w:hAnsi="Arial" w:cs="Arial"/>
        </w:rPr>
        <w:footnoteReference w:id="2"/>
      </w:r>
      <w:r w:rsidRPr="009F019B">
        <w:rPr>
          <w:rFonts w:ascii="Arial" w:hAnsi="Arial" w:cs="Arial"/>
        </w:rPr>
        <w:t xml:space="preserve">. </w:t>
      </w:r>
      <w:r w:rsidR="00E3251D" w:rsidRPr="009F019B">
        <w:rPr>
          <w:rFonts w:ascii="Arial" w:hAnsi="Arial" w:cs="Arial"/>
        </w:rPr>
        <w:t xml:space="preserve">El Contrato de </w:t>
      </w:r>
      <w:r w:rsidR="00596EAF" w:rsidRPr="004044E8">
        <w:rPr>
          <w:rFonts w:ascii="Arial" w:hAnsi="Arial" w:cs="Arial"/>
        </w:rPr>
        <w:t>Préstamo XXXX/</w:t>
      </w:r>
      <w:r w:rsidR="00A038B9" w:rsidRPr="004044E8">
        <w:rPr>
          <w:rFonts w:ascii="Arial" w:hAnsi="Arial" w:cs="Arial"/>
        </w:rPr>
        <w:t>OC-EC</w:t>
      </w:r>
      <w:r w:rsidR="00E3251D" w:rsidRPr="009F019B">
        <w:rPr>
          <w:rFonts w:ascii="Arial" w:hAnsi="Arial" w:cs="Arial"/>
        </w:rPr>
        <w:t xml:space="preserve">, tiene la calidad de un convenio internacional y </w:t>
      </w:r>
      <w:r w:rsidR="006A1069" w:rsidRPr="009F019B">
        <w:rPr>
          <w:rFonts w:ascii="Arial" w:hAnsi="Arial" w:cs="Arial"/>
        </w:rPr>
        <w:t>el RO</w:t>
      </w:r>
      <w:r w:rsidR="00596EAF" w:rsidRPr="004044E8">
        <w:rPr>
          <w:rFonts w:ascii="Arial" w:hAnsi="Arial" w:cs="Arial"/>
        </w:rPr>
        <w:t>P</w:t>
      </w:r>
      <w:r w:rsidR="006A1069" w:rsidRPr="004044E8">
        <w:rPr>
          <w:rFonts w:ascii="Arial" w:hAnsi="Arial" w:cs="Arial"/>
        </w:rPr>
        <w:t xml:space="preserve">, de acuerdo a lo dispuesto en dicho Contrato de Préstamo, </w:t>
      </w:r>
      <w:r w:rsidR="00E3251D" w:rsidRPr="004044E8">
        <w:rPr>
          <w:rFonts w:ascii="Arial" w:hAnsi="Arial" w:cs="Arial"/>
        </w:rPr>
        <w:t xml:space="preserve">norma y establece las directrices y procedimientos que rigen la ejecución del Programa.  </w:t>
      </w:r>
      <w:r w:rsidRPr="004044E8">
        <w:rPr>
          <w:rFonts w:ascii="Arial" w:hAnsi="Arial" w:cs="Arial"/>
        </w:rPr>
        <w:t>Por lo tanto, e</w:t>
      </w:r>
      <w:r w:rsidR="00983EE0" w:rsidRPr="004044E8">
        <w:rPr>
          <w:rFonts w:ascii="Arial" w:hAnsi="Arial" w:cs="Arial"/>
        </w:rPr>
        <w:t>l</w:t>
      </w:r>
      <w:r w:rsidR="00E3251D" w:rsidRPr="004044E8">
        <w:rPr>
          <w:rFonts w:ascii="Arial" w:hAnsi="Arial" w:cs="Arial"/>
        </w:rPr>
        <w:t xml:space="preserve"> orden jerárquico de aplicación de las normas que rigen la ejecución integral del Programa </w:t>
      </w:r>
      <w:r w:rsidR="00596EAF" w:rsidRPr="004044E8">
        <w:rPr>
          <w:rFonts w:ascii="Arial" w:hAnsi="Arial" w:cs="Arial"/>
        </w:rPr>
        <w:t>será</w:t>
      </w:r>
      <w:r w:rsidR="00FC6EE2" w:rsidRPr="004044E8">
        <w:rPr>
          <w:rFonts w:ascii="Arial" w:hAnsi="Arial" w:cs="Arial"/>
        </w:rPr>
        <w:t>:</w:t>
      </w:r>
      <w:r w:rsidRPr="004044E8">
        <w:rPr>
          <w:rFonts w:ascii="Arial" w:hAnsi="Arial" w:cs="Arial"/>
        </w:rPr>
        <w:t xml:space="preserve"> (i) l</w:t>
      </w:r>
      <w:r w:rsidR="00E3251D" w:rsidRPr="004044E8">
        <w:rPr>
          <w:rFonts w:ascii="Arial" w:hAnsi="Arial" w:cs="Arial"/>
        </w:rPr>
        <w:t>a Constitución de la República;</w:t>
      </w:r>
      <w:r w:rsidRPr="004044E8">
        <w:rPr>
          <w:rFonts w:ascii="Arial" w:hAnsi="Arial" w:cs="Arial"/>
        </w:rPr>
        <w:t xml:space="preserve"> (</w:t>
      </w:r>
      <w:proofErr w:type="spellStart"/>
      <w:r w:rsidRPr="004044E8">
        <w:rPr>
          <w:rFonts w:ascii="Arial" w:hAnsi="Arial" w:cs="Arial"/>
        </w:rPr>
        <w:t>ii</w:t>
      </w:r>
      <w:proofErr w:type="spellEnd"/>
      <w:r w:rsidRPr="004044E8">
        <w:rPr>
          <w:rFonts w:ascii="Arial" w:hAnsi="Arial" w:cs="Arial"/>
        </w:rPr>
        <w:t>) e</w:t>
      </w:r>
      <w:r w:rsidR="00E3251D" w:rsidRPr="004044E8">
        <w:rPr>
          <w:rFonts w:ascii="Arial" w:hAnsi="Arial" w:cs="Arial"/>
        </w:rPr>
        <w:t xml:space="preserve">l Contrato de </w:t>
      </w:r>
      <w:r w:rsidR="00596EAF" w:rsidRPr="004044E8">
        <w:rPr>
          <w:rFonts w:ascii="Arial" w:hAnsi="Arial" w:cs="Arial"/>
        </w:rPr>
        <w:t>Préstamo XXXX</w:t>
      </w:r>
      <w:r w:rsidR="00A038B9" w:rsidRPr="004044E8">
        <w:rPr>
          <w:rFonts w:ascii="Arial" w:hAnsi="Arial" w:cs="Arial"/>
        </w:rPr>
        <w:t>/OC-EC</w:t>
      </w:r>
      <w:r w:rsidR="00596EAF" w:rsidRPr="009F019B">
        <w:rPr>
          <w:rFonts w:ascii="Arial" w:hAnsi="Arial" w:cs="Arial"/>
        </w:rPr>
        <w:t xml:space="preserve"> </w:t>
      </w:r>
      <w:r w:rsidRPr="009F019B">
        <w:rPr>
          <w:rFonts w:ascii="Arial" w:hAnsi="Arial" w:cs="Arial"/>
        </w:rPr>
        <w:t xml:space="preserve">(incluido </w:t>
      </w:r>
      <w:r w:rsidR="00596EAF" w:rsidRPr="004044E8">
        <w:rPr>
          <w:rFonts w:ascii="Arial" w:hAnsi="Arial" w:cs="Arial"/>
        </w:rPr>
        <w:t>el presente ROP</w:t>
      </w:r>
      <w:r w:rsidRPr="004044E8">
        <w:rPr>
          <w:rFonts w:ascii="Arial" w:hAnsi="Arial" w:cs="Arial"/>
        </w:rPr>
        <w:t>)</w:t>
      </w:r>
      <w:r w:rsidR="00556C71" w:rsidRPr="004044E8">
        <w:rPr>
          <w:rFonts w:ascii="Arial" w:hAnsi="Arial" w:cs="Arial"/>
        </w:rPr>
        <w:t>;</w:t>
      </w:r>
      <w:r w:rsidRPr="004044E8">
        <w:rPr>
          <w:rFonts w:ascii="Arial" w:hAnsi="Arial" w:cs="Arial"/>
        </w:rPr>
        <w:t xml:space="preserve"> y</w:t>
      </w:r>
      <w:r w:rsidR="00890CF8" w:rsidRPr="004044E8">
        <w:rPr>
          <w:rFonts w:ascii="Arial" w:hAnsi="Arial" w:cs="Arial"/>
        </w:rPr>
        <w:t xml:space="preserve">, </w:t>
      </w:r>
      <w:r w:rsidRPr="004044E8">
        <w:rPr>
          <w:rFonts w:ascii="Arial" w:hAnsi="Arial" w:cs="Arial"/>
        </w:rPr>
        <w:t>(</w:t>
      </w:r>
      <w:proofErr w:type="spellStart"/>
      <w:r w:rsidRPr="004044E8">
        <w:rPr>
          <w:rFonts w:ascii="Arial" w:hAnsi="Arial" w:cs="Arial"/>
        </w:rPr>
        <w:t>iii</w:t>
      </w:r>
      <w:proofErr w:type="spellEnd"/>
      <w:r w:rsidRPr="004044E8">
        <w:rPr>
          <w:rFonts w:ascii="Arial" w:hAnsi="Arial" w:cs="Arial"/>
        </w:rPr>
        <w:t>) l</w:t>
      </w:r>
      <w:r w:rsidR="00E3251D" w:rsidRPr="004044E8">
        <w:rPr>
          <w:rFonts w:ascii="Arial" w:hAnsi="Arial" w:cs="Arial"/>
        </w:rPr>
        <w:t xml:space="preserve">as Leyes y normativa de carácter nacional, relacionadas con las actividades de ejecución del Programa, siempre y cuando no se contrapongan a lo establecido en el Contrato de Préstamo. </w:t>
      </w:r>
    </w:p>
    <w:p w14:paraId="2AD16D7F" w14:textId="13C07674" w:rsidR="006A1069" w:rsidRPr="004044E8" w:rsidRDefault="006A1069" w:rsidP="00DE3867">
      <w:pPr>
        <w:pStyle w:val="Estilo1"/>
        <w:rPr>
          <w:rFonts w:ascii="Arial" w:hAnsi="Arial" w:cs="Arial"/>
        </w:rPr>
      </w:pPr>
      <w:r w:rsidRPr="004044E8">
        <w:rPr>
          <w:rFonts w:ascii="Arial" w:hAnsi="Arial" w:cs="Arial"/>
        </w:rPr>
        <w:t>Si existiese falta de consonancia o contradicción entre las disposiciones del RO</w:t>
      </w:r>
      <w:r w:rsidR="00CF3CD2" w:rsidRPr="004044E8">
        <w:rPr>
          <w:rFonts w:ascii="Arial" w:hAnsi="Arial" w:cs="Arial"/>
        </w:rPr>
        <w:t>P</w:t>
      </w:r>
      <w:r w:rsidRPr="004044E8">
        <w:rPr>
          <w:rFonts w:ascii="Arial" w:hAnsi="Arial" w:cs="Arial"/>
        </w:rPr>
        <w:t xml:space="preserve"> y del Contrato de Préstamo, prevalecerán las disposiciones contenidas en el Contrato de Préstamo. </w:t>
      </w:r>
    </w:p>
    <w:p w14:paraId="3F90293C" w14:textId="0B8F2ABE" w:rsidR="0011327D" w:rsidRPr="004044E8" w:rsidRDefault="0011327D" w:rsidP="001C7188">
      <w:pPr>
        <w:pStyle w:val="Heading2"/>
        <w:rPr>
          <w:rFonts w:ascii="Arial" w:hAnsi="Arial" w:cs="Arial"/>
        </w:rPr>
      </w:pPr>
      <w:bookmarkStart w:id="18" w:name="_Toc10223101"/>
      <w:r w:rsidRPr="004044E8">
        <w:rPr>
          <w:rFonts w:ascii="Arial" w:hAnsi="Arial" w:cs="Arial"/>
        </w:rPr>
        <w:t>Políticas e Instrumentos</w:t>
      </w:r>
      <w:bookmarkEnd w:id="18"/>
      <w:r w:rsidRPr="004044E8">
        <w:rPr>
          <w:rFonts w:ascii="Arial" w:hAnsi="Arial" w:cs="Arial"/>
        </w:rPr>
        <w:t xml:space="preserve"> </w:t>
      </w:r>
    </w:p>
    <w:p w14:paraId="188AA69C" w14:textId="373EDDE9" w:rsidR="0011327D" w:rsidRPr="004044E8" w:rsidRDefault="0011327D" w:rsidP="00C02EF4">
      <w:pPr>
        <w:pStyle w:val="Estilo1"/>
        <w:rPr>
          <w:rFonts w:ascii="Arial" w:hAnsi="Arial" w:cs="Arial"/>
        </w:rPr>
      </w:pPr>
      <w:r w:rsidRPr="004044E8">
        <w:rPr>
          <w:rFonts w:ascii="Arial" w:hAnsi="Arial" w:cs="Arial"/>
        </w:rPr>
        <w:t>Las políticas e instrumentos, que rigen la ejecución del Programa, estipulados en el Contrato de Préstamo y el RO</w:t>
      </w:r>
      <w:r w:rsidR="00C83D6B" w:rsidRPr="004044E8">
        <w:rPr>
          <w:rFonts w:ascii="Arial" w:hAnsi="Arial" w:cs="Arial"/>
        </w:rPr>
        <w:t>P</w:t>
      </w:r>
      <w:r w:rsidRPr="004044E8">
        <w:rPr>
          <w:rFonts w:ascii="Arial" w:hAnsi="Arial" w:cs="Arial"/>
        </w:rPr>
        <w:t>, son:</w:t>
      </w:r>
    </w:p>
    <w:p w14:paraId="3CF2FC05" w14:textId="56240FF7" w:rsidR="00C83D6B" w:rsidRPr="004044E8" w:rsidRDefault="0011327D" w:rsidP="00C02EF4">
      <w:pPr>
        <w:pStyle w:val="numeradorom"/>
        <w:rPr>
          <w:rFonts w:ascii="Arial" w:hAnsi="Arial" w:cs="Arial"/>
        </w:rPr>
      </w:pPr>
      <w:r w:rsidRPr="004044E8">
        <w:rPr>
          <w:rFonts w:ascii="Arial" w:hAnsi="Arial" w:cs="Arial"/>
        </w:rPr>
        <w:lastRenderedPageBreak/>
        <w:t>Las Políticas para la Adquisición de Obras y Bienes Financiados por el BID (GN-2349-9)</w:t>
      </w:r>
      <w:r w:rsidR="00C83D6B" w:rsidRPr="004044E8">
        <w:rPr>
          <w:rFonts w:ascii="Arial" w:hAnsi="Arial" w:cs="Arial"/>
        </w:rPr>
        <w:t>, vigentes y/o sus modificatorias posteriores;</w:t>
      </w:r>
      <w:r w:rsidRPr="004044E8">
        <w:rPr>
          <w:rFonts w:ascii="Arial" w:hAnsi="Arial" w:cs="Arial"/>
        </w:rPr>
        <w:t xml:space="preserve"> </w:t>
      </w:r>
    </w:p>
    <w:p w14:paraId="4FC66400" w14:textId="18D1351E" w:rsidR="0011327D" w:rsidRPr="004044E8" w:rsidRDefault="00C83D6B" w:rsidP="00DE3867">
      <w:pPr>
        <w:pStyle w:val="numeradorom"/>
        <w:rPr>
          <w:rFonts w:ascii="Arial" w:hAnsi="Arial" w:cs="Arial"/>
        </w:rPr>
      </w:pPr>
      <w:r w:rsidRPr="004044E8">
        <w:rPr>
          <w:rFonts w:ascii="Arial" w:hAnsi="Arial" w:cs="Arial"/>
        </w:rPr>
        <w:t>L</w:t>
      </w:r>
      <w:r w:rsidR="0011327D" w:rsidRPr="004044E8">
        <w:rPr>
          <w:rFonts w:ascii="Arial" w:hAnsi="Arial" w:cs="Arial"/>
        </w:rPr>
        <w:t>as Políticas para la Selección y Contratación de Consultores Financiados por el BID (GN-2350-9), vigentes y/o sus modificatorias posteriores</w:t>
      </w:r>
      <w:r w:rsidRPr="004044E8">
        <w:rPr>
          <w:rFonts w:ascii="Arial" w:hAnsi="Arial" w:cs="Arial"/>
        </w:rPr>
        <w:t>;</w:t>
      </w:r>
    </w:p>
    <w:p w14:paraId="08F7272D" w14:textId="68F68CC5" w:rsidR="0011327D" w:rsidRPr="004044E8" w:rsidRDefault="0011327D" w:rsidP="00DE3867">
      <w:pPr>
        <w:pStyle w:val="numeradorom"/>
        <w:rPr>
          <w:rFonts w:ascii="Arial" w:hAnsi="Arial" w:cs="Arial"/>
        </w:rPr>
      </w:pPr>
      <w:r w:rsidRPr="004044E8">
        <w:rPr>
          <w:rFonts w:ascii="Arial" w:hAnsi="Arial" w:cs="Arial"/>
        </w:rPr>
        <w:t xml:space="preserve">La Política de Gestión Financiera </w:t>
      </w:r>
      <w:r w:rsidR="00C83D6B" w:rsidRPr="004044E8">
        <w:rPr>
          <w:rFonts w:ascii="Arial" w:hAnsi="Arial" w:cs="Arial"/>
        </w:rPr>
        <w:t>para Programas</w:t>
      </w:r>
      <w:r w:rsidRPr="004044E8">
        <w:rPr>
          <w:rFonts w:ascii="Arial" w:hAnsi="Arial" w:cs="Arial"/>
        </w:rPr>
        <w:t xml:space="preserve"> Financiados por el BID (OP-273-1)</w:t>
      </w:r>
      <w:r w:rsidR="00C83D6B" w:rsidRPr="004044E8">
        <w:rPr>
          <w:rFonts w:ascii="Arial" w:hAnsi="Arial" w:cs="Arial"/>
        </w:rPr>
        <w:t>;</w:t>
      </w:r>
    </w:p>
    <w:p w14:paraId="0CA68E4A" w14:textId="293F974A" w:rsidR="0011327D" w:rsidRPr="004044E8" w:rsidRDefault="0011327D" w:rsidP="00DE3867">
      <w:pPr>
        <w:pStyle w:val="numeradorom"/>
        <w:rPr>
          <w:rFonts w:ascii="Arial" w:hAnsi="Arial" w:cs="Arial"/>
        </w:rPr>
      </w:pPr>
      <w:r w:rsidRPr="004044E8">
        <w:rPr>
          <w:rFonts w:ascii="Arial" w:hAnsi="Arial" w:cs="Arial"/>
        </w:rPr>
        <w:t xml:space="preserve">La Guía de Desembolsos </w:t>
      </w:r>
      <w:r w:rsidR="00C83D6B" w:rsidRPr="004044E8">
        <w:rPr>
          <w:rFonts w:ascii="Arial" w:hAnsi="Arial" w:cs="Arial"/>
        </w:rPr>
        <w:t>para Programas</w:t>
      </w:r>
      <w:r w:rsidRPr="004044E8">
        <w:rPr>
          <w:rFonts w:ascii="Arial" w:hAnsi="Arial" w:cs="Arial"/>
        </w:rPr>
        <w:t xml:space="preserve"> financiados por el BID</w:t>
      </w:r>
      <w:r w:rsidR="00C83D6B" w:rsidRPr="004044E8">
        <w:rPr>
          <w:rFonts w:ascii="Arial" w:hAnsi="Arial" w:cs="Arial"/>
        </w:rPr>
        <w:t>;</w:t>
      </w:r>
    </w:p>
    <w:p w14:paraId="6CAD7569" w14:textId="079BA92F" w:rsidR="0011327D" w:rsidRPr="004044E8" w:rsidRDefault="0011327D" w:rsidP="00DE3867">
      <w:pPr>
        <w:pStyle w:val="numeradorom"/>
        <w:rPr>
          <w:rFonts w:ascii="Arial" w:hAnsi="Arial" w:cs="Arial"/>
        </w:rPr>
      </w:pPr>
      <w:r w:rsidRPr="004044E8">
        <w:rPr>
          <w:rFonts w:ascii="Arial" w:hAnsi="Arial" w:cs="Arial"/>
        </w:rPr>
        <w:t>Las Guías de Informes Financieros y Auditoría Externa de las Operaciones Financiadas por el BID</w:t>
      </w:r>
      <w:r w:rsidR="00C83D6B" w:rsidRPr="004044E8">
        <w:rPr>
          <w:rFonts w:ascii="Arial" w:hAnsi="Arial" w:cs="Arial"/>
        </w:rPr>
        <w:t>;</w:t>
      </w:r>
    </w:p>
    <w:p w14:paraId="557E36C1" w14:textId="586F50BD" w:rsidR="0011327D" w:rsidRPr="004044E8" w:rsidRDefault="0011327D" w:rsidP="00DE3867">
      <w:pPr>
        <w:pStyle w:val="numeradorom"/>
        <w:rPr>
          <w:rFonts w:ascii="Arial" w:hAnsi="Arial" w:cs="Arial"/>
        </w:rPr>
      </w:pPr>
      <w:r w:rsidRPr="004044E8">
        <w:rPr>
          <w:rFonts w:ascii="Arial" w:hAnsi="Arial" w:cs="Arial"/>
        </w:rPr>
        <w:t>Los instrumentos de planificación y ejecución del Programa (</w:t>
      </w:r>
      <w:proofErr w:type="spellStart"/>
      <w:r w:rsidRPr="004044E8">
        <w:rPr>
          <w:rFonts w:ascii="Arial" w:hAnsi="Arial" w:cs="Arial"/>
        </w:rPr>
        <w:t>M</w:t>
      </w:r>
      <w:r w:rsidR="00C83D6B" w:rsidRPr="004044E8">
        <w:rPr>
          <w:rFonts w:ascii="Arial" w:hAnsi="Arial" w:cs="Arial"/>
        </w:rPr>
        <w:t>d</w:t>
      </w:r>
      <w:r w:rsidRPr="004044E8">
        <w:rPr>
          <w:rFonts w:ascii="Arial" w:hAnsi="Arial" w:cs="Arial"/>
        </w:rPr>
        <w:t>R</w:t>
      </w:r>
      <w:proofErr w:type="spellEnd"/>
      <w:r w:rsidRPr="004044E8">
        <w:rPr>
          <w:rFonts w:ascii="Arial" w:hAnsi="Arial" w:cs="Arial"/>
        </w:rPr>
        <w:t>, PEP, PA, POA, GRP, PMR) establecidos por el BID y sus modificaciones o reprogramaciones que cuenten con la respectiva No Objeción por parte del BID</w:t>
      </w:r>
      <w:r w:rsidR="00C83D6B" w:rsidRPr="004044E8">
        <w:rPr>
          <w:rFonts w:ascii="Arial" w:hAnsi="Arial" w:cs="Arial"/>
        </w:rPr>
        <w:t>;</w:t>
      </w:r>
    </w:p>
    <w:p w14:paraId="41793AA0" w14:textId="640E1E6B" w:rsidR="00C83D6B" w:rsidRPr="004044E8" w:rsidRDefault="00C83D6B" w:rsidP="00DE3867">
      <w:pPr>
        <w:pStyle w:val="numeradorom"/>
        <w:rPr>
          <w:rFonts w:ascii="Arial" w:hAnsi="Arial" w:cs="Arial"/>
        </w:rPr>
      </w:pPr>
      <w:r w:rsidRPr="004044E8">
        <w:rPr>
          <w:rFonts w:ascii="Arial" w:hAnsi="Arial" w:cs="Arial"/>
        </w:rPr>
        <w:t>Guías de buenas prácticas para la evaluación de ofertas y negociación de contratos del BID;</w:t>
      </w:r>
    </w:p>
    <w:p w14:paraId="022BF19C" w14:textId="6BBD5BB3" w:rsidR="00586810" w:rsidRPr="004044E8" w:rsidRDefault="00586810" w:rsidP="00DE3867">
      <w:pPr>
        <w:pStyle w:val="numeradorom"/>
        <w:rPr>
          <w:rFonts w:ascii="Arial" w:hAnsi="Arial" w:cs="Arial"/>
        </w:rPr>
      </w:pPr>
      <w:r w:rsidRPr="004044E8">
        <w:rPr>
          <w:rFonts w:ascii="Arial" w:hAnsi="Arial" w:cs="Arial"/>
        </w:rPr>
        <w:t xml:space="preserve">Los Convenios Subsidiarios Interinstitucionales entre el OE y </w:t>
      </w:r>
      <w:r w:rsidR="00C83D6B" w:rsidRPr="004044E8">
        <w:rPr>
          <w:rFonts w:ascii="Arial" w:hAnsi="Arial" w:cs="Arial"/>
        </w:rPr>
        <w:t>otros Organismos suscritos para la ejecución del Programa.</w:t>
      </w:r>
    </w:p>
    <w:p w14:paraId="60E90870" w14:textId="2A7BFD94" w:rsidR="006A1069" w:rsidRPr="004044E8" w:rsidRDefault="006A1069" w:rsidP="001C7188">
      <w:pPr>
        <w:pStyle w:val="Heading2"/>
        <w:rPr>
          <w:rFonts w:ascii="Arial" w:hAnsi="Arial" w:cs="Arial"/>
        </w:rPr>
      </w:pPr>
      <w:bookmarkStart w:id="19" w:name="_Toc10223102"/>
      <w:r w:rsidRPr="004044E8">
        <w:rPr>
          <w:rFonts w:ascii="Arial" w:hAnsi="Arial" w:cs="Arial"/>
        </w:rPr>
        <w:t>Normativa nacional</w:t>
      </w:r>
      <w:bookmarkEnd w:id="19"/>
      <w:r w:rsidRPr="004044E8">
        <w:rPr>
          <w:rFonts w:ascii="Arial" w:hAnsi="Arial" w:cs="Arial"/>
        </w:rPr>
        <w:t xml:space="preserve"> </w:t>
      </w:r>
    </w:p>
    <w:p w14:paraId="66F58C06" w14:textId="4DDD8DBE" w:rsidR="006A1069" w:rsidRPr="004044E8" w:rsidRDefault="006A1069" w:rsidP="00C02EF4">
      <w:pPr>
        <w:pStyle w:val="Estilo1"/>
        <w:rPr>
          <w:rFonts w:ascii="Arial" w:hAnsi="Arial" w:cs="Arial"/>
        </w:rPr>
      </w:pPr>
      <w:r w:rsidRPr="004044E8">
        <w:rPr>
          <w:rFonts w:ascii="Arial" w:hAnsi="Arial" w:cs="Arial"/>
        </w:rPr>
        <w:t>Las normas y disposiciones de carácter nacional, relacionadas con la ejecución del Programa,</w:t>
      </w:r>
      <w:r w:rsidR="00EC35AB" w:rsidRPr="004044E8">
        <w:rPr>
          <w:rFonts w:ascii="Arial" w:hAnsi="Arial" w:cs="Arial"/>
        </w:rPr>
        <w:t xml:space="preserve"> que </w:t>
      </w:r>
      <w:r w:rsidRPr="004044E8">
        <w:rPr>
          <w:rFonts w:ascii="Arial" w:hAnsi="Arial" w:cs="Arial"/>
        </w:rPr>
        <w:t>se tomarán en consideración</w:t>
      </w:r>
      <w:r w:rsidR="00556C71" w:rsidRPr="004044E8">
        <w:rPr>
          <w:rFonts w:ascii="Arial" w:hAnsi="Arial" w:cs="Arial"/>
        </w:rPr>
        <w:t>,</w:t>
      </w:r>
      <w:r w:rsidRPr="004044E8">
        <w:rPr>
          <w:rFonts w:ascii="Arial" w:hAnsi="Arial" w:cs="Arial"/>
        </w:rPr>
        <w:t xml:space="preserve"> cuando no se contrapongan a lo establecido en el Contrato de Préstamo y </w:t>
      </w:r>
      <w:r w:rsidR="009F41B1" w:rsidRPr="004044E8">
        <w:rPr>
          <w:rFonts w:ascii="Arial" w:hAnsi="Arial" w:cs="Arial"/>
        </w:rPr>
        <w:t xml:space="preserve">el </w:t>
      </w:r>
      <w:r w:rsidRPr="004044E8">
        <w:rPr>
          <w:rFonts w:ascii="Arial" w:hAnsi="Arial" w:cs="Arial"/>
        </w:rPr>
        <w:t>RO</w:t>
      </w:r>
      <w:r w:rsidR="00763D1B" w:rsidRPr="004044E8">
        <w:rPr>
          <w:rFonts w:ascii="Arial" w:hAnsi="Arial" w:cs="Arial"/>
        </w:rPr>
        <w:t>P</w:t>
      </w:r>
      <w:r w:rsidR="00556C71" w:rsidRPr="004044E8">
        <w:rPr>
          <w:rFonts w:ascii="Arial" w:hAnsi="Arial" w:cs="Arial"/>
        </w:rPr>
        <w:t xml:space="preserve">, </w:t>
      </w:r>
      <w:r w:rsidRPr="004044E8">
        <w:rPr>
          <w:rFonts w:ascii="Arial" w:hAnsi="Arial" w:cs="Arial"/>
        </w:rPr>
        <w:t>son:</w:t>
      </w:r>
    </w:p>
    <w:p w14:paraId="7509AC20" w14:textId="637185AD" w:rsidR="006A1069" w:rsidRPr="004044E8" w:rsidRDefault="006A1069" w:rsidP="00C02EF4">
      <w:pPr>
        <w:pStyle w:val="numeradorom"/>
        <w:rPr>
          <w:rFonts w:ascii="Arial" w:hAnsi="Arial" w:cs="Arial"/>
        </w:rPr>
      </w:pPr>
      <w:r w:rsidRPr="004044E8">
        <w:rPr>
          <w:rFonts w:ascii="Arial" w:hAnsi="Arial" w:cs="Arial"/>
        </w:rPr>
        <w:t>El Código Orgánico de Planificación y Finanzas Públicas (COP</w:t>
      </w:r>
      <w:r w:rsidR="008B695D" w:rsidRPr="004044E8">
        <w:rPr>
          <w:rFonts w:ascii="Arial" w:hAnsi="Arial" w:cs="Arial"/>
        </w:rPr>
        <w:t>LAFI</w:t>
      </w:r>
      <w:r w:rsidRPr="004044E8">
        <w:rPr>
          <w:rFonts w:ascii="Arial" w:hAnsi="Arial" w:cs="Arial"/>
        </w:rPr>
        <w:t>P)</w:t>
      </w:r>
      <w:r w:rsidR="003C67B4" w:rsidRPr="004044E8">
        <w:rPr>
          <w:rFonts w:ascii="Arial" w:hAnsi="Arial" w:cs="Arial"/>
        </w:rPr>
        <w:t xml:space="preserve"> y su Reglamento</w:t>
      </w:r>
    </w:p>
    <w:p w14:paraId="0F1D41B0" w14:textId="3FA920CE" w:rsidR="006A1069" w:rsidRPr="004044E8" w:rsidRDefault="006A1069" w:rsidP="00DE3867">
      <w:pPr>
        <w:pStyle w:val="numeradorom"/>
        <w:rPr>
          <w:rFonts w:ascii="Arial" w:hAnsi="Arial" w:cs="Arial"/>
        </w:rPr>
      </w:pPr>
      <w:r w:rsidRPr="004044E8">
        <w:rPr>
          <w:rFonts w:ascii="Arial" w:hAnsi="Arial" w:cs="Arial"/>
        </w:rPr>
        <w:t>Ley Orgánica del Sistema Nacional de Contratación Pública (LOSNCP) y su Reglamento</w:t>
      </w:r>
      <w:r w:rsidR="003C67B4" w:rsidRPr="004044E8">
        <w:rPr>
          <w:rFonts w:ascii="Arial" w:hAnsi="Arial" w:cs="Arial"/>
        </w:rPr>
        <w:t xml:space="preserve">. </w:t>
      </w:r>
    </w:p>
    <w:p w14:paraId="3A7A6B2A" w14:textId="46EEF5A6" w:rsidR="006A1069" w:rsidRPr="004044E8" w:rsidRDefault="006A1069" w:rsidP="00DE3867">
      <w:pPr>
        <w:pStyle w:val="numeradorom"/>
        <w:rPr>
          <w:rFonts w:ascii="Arial" w:hAnsi="Arial" w:cs="Arial"/>
        </w:rPr>
      </w:pPr>
      <w:r w:rsidRPr="004044E8">
        <w:rPr>
          <w:rFonts w:ascii="Arial" w:hAnsi="Arial" w:cs="Arial"/>
        </w:rPr>
        <w:t xml:space="preserve">Ley </w:t>
      </w:r>
      <w:r w:rsidR="003C67B4" w:rsidRPr="004044E8">
        <w:rPr>
          <w:rFonts w:ascii="Arial" w:hAnsi="Arial" w:cs="Arial"/>
        </w:rPr>
        <w:t xml:space="preserve">Orgánica de la Contraloría General del Estado (LOCGE) y su Reglamento </w:t>
      </w:r>
    </w:p>
    <w:p w14:paraId="5F3BAF47" w14:textId="20AE330C" w:rsidR="003C67B4" w:rsidRPr="004044E8" w:rsidRDefault="003C67B4" w:rsidP="00DE3867">
      <w:pPr>
        <w:pStyle w:val="numeradorom"/>
        <w:rPr>
          <w:rFonts w:ascii="Arial" w:hAnsi="Arial" w:cs="Arial"/>
        </w:rPr>
      </w:pPr>
      <w:r w:rsidRPr="004044E8">
        <w:rPr>
          <w:rFonts w:ascii="Arial" w:hAnsi="Arial" w:cs="Arial"/>
        </w:rPr>
        <w:t>Resoluciones emitidas por el SERCOP</w:t>
      </w:r>
    </w:p>
    <w:p w14:paraId="55E912BF" w14:textId="32991A14" w:rsidR="003C67B4" w:rsidRPr="004044E8" w:rsidRDefault="003C67B4" w:rsidP="00DE3867">
      <w:pPr>
        <w:pStyle w:val="numeradorom"/>
        <w:rPr>
          <w:rFonts w:ascii="Arial" w:hAnsi="Arial" w:cs="Arial"/>
        </w:rPr>
      </w:pPr>
      <w:r w:rsidRPr="004044E8">
        <w:rPr>
          <w:rFonts w:ascii="Arial" w:hAnsi="Arial" w:cs="Arial"/>
        </w:rPr>
        <w:t>Las Normas de Control Interno de la Contraloría General del Estado (CGE)</w:t>
      </w:r>
    </w:p>
    <w:p w14:paraId="056DFC02" w14:textId="32D4067E" w:rsidR="006A1069" w:rsidRPr="004044E8" w:rsidRDefault="006A1069" w:rsidP="00DE3867">
      <w:pPr>
        <w:pStyle w:val="numeradorom"/>
        <w:rPr>
          <w:rFonts w:ascii="Arial" w:hAnsi="Arial" w:cs="Arial"/>
        </w:rPr>
      </w:pPr>
      <w:r w:rsidRPr="004044E8">
        <w:rPr>
          <w:rFonts w:ascii="Arial" w:hAnsi="Arial" w:cs="Arial"/>
        </w:rPr>
        <w:t xml:space="preserve">Los </w:t>
      </w:r>
      <w:r w:rsidR="003C67B4" w:rsidRPr="004044E8">
        <w:rPr>
          <w:rFonts w:ascii="Arial" w:hAnsi="Arial" w:cs="Arial"/>
        </w:rPr>
        <w:t xml:space="preserve">decretos, acuerdos, </w:t>
      </w:r>
      <w:r w:rsidRPr="004044E8">
        <w:rPr>
          <w:rFonts w:ascii="Arial" w:hAnsi="Arial" w:cs="Arial"/>
        </w:rPr>
        <w:t>reglamentos, instructivos y resoluciones administrativas y financieras internas de</w:t>
      </w:r>
      <w:r w:rsidR="003C67B4" w:rsidRPr="004044E8">
        <w:rPr>
          <w:rFonts w:ascii="Arial" w:hAnsi="Arial" w:cs="Arial"/>
        </w:rPr>
        <w:t>l ME</w:t>
      </w:r>
      <w:r w:rsidR="00CF3CD2" w:rsidRPr="004044E8">
        <w:rPr>
          <w:rFonts w:ascii="Arial" w:hAnsi="Arial" w:cs="Arial"/>
        </w:rPr>
        <w:t>F</w:t>
      </w:r>
      <w:r w:rsidR="003C67B4" w:rsidRPr="004044E8">
        <w:rPr>
          <w:rFonts w:ascii="Arial" w:hAnsi="Arial" w:cs="Arial"/>
        </w:rPr>
        <w:t xml:space="preserve">, cuando sus disposiciones no </w:t>
      </w:r>
      <w:r w:rsidRPr="004044E8">
        <w:rPr>
          <w:rFonts w:ascii="Arial" w:hAnsi="Arial" w:cs="Arial"/>
        </w:rPr>
        <w:t xml:space="preserve">contravengan </w:t>
      </w:r>
      <w:r w:rsidR="003C67B4" w:rsidRPr="004044E8">
        <w:rPr>
          <w:rFonts w:ascii="Arial" w:hAnsi="Arial" w:cs="Arial"/>
        </w:rPr>
        <w:t xml:space="preserve">o resulten incompatibles con </w:t>
      </w:r>
      <w:r w:rsidRPr="004044E8">
        <w:rPr>
          <w:rFonts w:ascii="Arial" w:hAnsi="Arial" w:cs="Arial"/>
        </w:rPr>
        <w:t>lo establecido en el Contrato de Préstamo</w:t>
      </w:r>
      <w:r w:rsidR="003C67B4" w:rsidRPr="004044E8">
        <w:rPr>
          <w:rFonts w:ascii="Arial" w:hAnsi="Arial" w:cs="Arial"/>
        </w:rPr>
        <w:t xml:space="preserve">, </w:t>
      </w:r>
      <w:r w:rsidR="009F41B1" w:rsidRPr="004044E8">
        <w:rPr>
          <w:rFonts w:ascii="Arial" w:hAnsi="Arial" w:cs="Arial"/>
        </w:rPr>
        <w:t>el RO</w:t>
      </w:r>
      <w:r w:rsidR="003C67B4" w:rsidRPr="004044E8">
        <w:rPr>
          <w:rFonts w:ascii="Arial" w:hAnsi="Arial" w:cs="Arial"/>
        </w:rPr>
        <w:t>P y las Políticas aplicables en la ejecución del Programa</w:t>
      </w:r>
      <w:r w:rsidRPr="004044E8">
        <w:rPr>
          <w:rFonts w:ascii="Arial" w:hAnsi="Arial" w:cs="Arial"/>
        </w:rPr>
        <w:t>.</w:t>
      </w:r>
    </w:p>
    <w:p w14:paraId="676992B8" w14:textId="7F39AF46" w:rsidR="006A1069" w:rsidRPr="004044E8" w:rsidRDefault="006A1069" w:rsidP="00DE3867">
      <w:pPr>
        <w:pStyle w:val="numeradorom"/>
        <w:rPr>
          <w:rFonts w:ascii="Arial" w:hAnsi="Arial" w:cs="Arial"/>
        </w:rPr>
      </w:pPr>
      <w:r w:rsidRPr="004044E8">
        <w:rPr>
          <w:rFonts w:ascii="Arial" w:hAnsi="Arial" w:cs="Arial"/>
        </w:rPr>
        <w:t>Los Estatutos Orgánicos de Gestión por Procesos de</w:t>
      </w:r>
      <w:r w:rsidR="003C67B4" w:rsidRPr="004044E8">
        <w:rPr>
          <w:rFonts w:ascii="Arial" w:hAnsi="Arial" w:cs="Arial"/>
        </w:rPr>
        <w:t xml:space="preserve">l </w:t>
      </w:r>
      <w:r w:rsidR="007D6F79" w:rsidRPr="004044E8">
        <w:rPr>
          <w:rFonts w:ascii="Arial" w:hAnsi="Arial" w:cs="Arial"/>
        </w:rPr>
        <w:t>ME</w:t>
      </w:r>
      <w:r w:rsidR="00CF3CD2" w:rsidRPr="004044E8">
        <w:rPr>
          <w:rFonts w:ascii="Arial" w:hAnsi="Arial" w:cs="Arial"/>
        </w:rPr>
        <w:t>F</w:t>
      </w:r>
      <w:r w:rsidR="007D6F79" w:rsidRPr="004044E8">
        <w:rPr>
          <w:rFonts w:ascii="Arial" w:hAnsi="Arial" w:cs="Arial"/>
        </w:rPr>
        <w:t>, cuando sus disposiciones no contravengan o resulten incompatibles con lo establecido en el Contrato de Préstamo, el ROP y las Políticas aplicables en la ejecución del Programa.</w:t>
      </w:r>
    </w:p>
    <w:p w14:paraId="378E15D9" w14:textId="2CE27F83" w:rsidR="006A1069" w:rsidRPr="004044E8" w:rsidRDefault="00022D34" w:rsidP="00DE3867">
      <w:pPr>
        <w:pStyle w:val="Estilo1"/>
        <w:rPr>
          <w:rFonts w:ascii="Arial" w:hAnsi="Arial" w:cs="Arial"/>
        </w:rPr>
      </w:pPr>
      <w:r w:rsidRPr="004044E8">
        <w:rPr>
          <w:rFonts w:ascii="Arial" w:hAnsi="Arial" w:cs="Arial"/>
        </w:rPr>
        <w:t>Para lo no previsto en el Contrato de Préstamo y el presente ROP, se podrán aplicar las normas ecuatorianas de manera supletoria, siempre y cuando ello no entre en conflicto con las normas de aplicación primarias detalladas en este instrumento</w:t>
      </w:r>
      <w:r w:rsidR="006A1069" w:rsidRPr="004044E8">
        <w:rPr>
          <w:rFonts w:ascii="Arial" w:hAnsi="Arial" w:cs="Arial"/>
        </w:rPr>
        <w:t>.</w:t>
      </w:r>
    </w:p>
    <w:p w14:paraId="084294FE" w14:textId="02C0FD13" w:rsidR="00022D34" w:rsidRPr="004044E8" w:rsidRDefault="00022D34" w:rsidP="001C7188">
      <w:pPr>
        <w:pStyle w:val="Heading2"/>
        <w:rPr>
          <w:rFonts w:ascii="Arial" w:hAnsi="Arial" w:cs="Arial"/>
        </w:rPr>
      </w:pPr>
      <w:bookmarkStart w:id="20" w:name="_Toc10223103"/>
      <w:r w:rsidRPr="004044E8">
        <w:rPr>
          <w:rFonts w:ascii="Arial" w:hAnsi="Arial" w:cs="Arial"/>
        </w:rPr>
        <w:t>Discrepancias</w:t>
      </w:r>
      <w:bookmarkEnd w:id="20"/>
    </w:p>
    <w:p w14:paraId="16B902DA" w14:textId="411C1D5B" w:rsidR="00022D34" w:rsidRPr="004044E8" w:rsidRDefault="000D1BFF" w:rsidP="00C02EF4">
      <w:pPr>
        <w:pStyle w:val="Estilo1"/>
        <w:rPr>
          <w:rFonts w:ascii="Arial" w:hAnsi="Arial" w:cs="Arial"/>
        </w:rPr>
      </w:pPr>
      <w:r w:rsidRPr="004044E8">
        <w:rPr>
          <w:rFonts w:ascii="Arial" w:hAnsi="Arial" w:cs="Arial"/>
        </w:rPr>
        <w:t>En caso de discrepancias entre la normativa e instrumentos enumerados anteriormente, prevalecerá lo establecido en el Contrato de Préstamo; el ROP y las disposiciones locales vigentes, en este orden de prelación.</w:t>
      </w:r>
    </w:p>
    <w:p w14:paraId="6E9F1256" w14:textId="2560F10B" w:rsidR="000D1BFF" w:rsidRPr="004044E8" w:rsidRDefault="000D1BFF" w:rsidP="00C02EF4">
      <w:pPr>
        <w:pStyle w:val="Estilo1"/>
        <w:rPr>
          <w:rFonts w:ascii="Arial" w:hAnsi="Arial" w:cs="Arial"/>
        </w:rPr>
      </w:pPr>
      <w:r w:rsidRPr="004044E8">
        <w:rPr>
          <w:rFonts w:ascii="Arial" w:hAnsi="Arial" w:cs="Arial"/>
        </w:rPr>
        <w:t xml:space="preserve">En caso de inquietudes respecto de la aplicabilidad supletoria de la normativa nacional, el </w:t>
      </w:r>
      <w:r w:rsidR="00BF5229" w:rsidRPr="004044E8">
        <w:rPr>
          <w:rFonts w:ascii="Arial" w:hAnsi="Arial" w:cs="Arial"/>
        </w:rPr>
        <w:t xml:space="preserve">Coordinador del </w:t>
      </w:r>
      <w:r w:rsidRPr="004044E8">
        <w:rPr>
          <w:rFonts w:ascii="Arial" w:hAnsi="Arial" w:cs="Arial"/>
        </w:rPr>
        <w:t>Programa podrá plantear consultas escritas puntuales al BID a fin de verificar que no existan incompatibilidades entre la aplicación de la normativa nacional y las políticas BID de observancia obligatoria en la ejecución del Programa, la absolución de</w:t>
      </w:r>
      <w:r w:rsidR="006E0293" w:rsidRPr="004044E8">
        <w:rPr>
          <w:rFonts w:ascii="Arial" w:hAnsi="Arial" w:cs="Arial"/>
        </w:rPr>
        <w:t xml:space="preserve"> la</w:t>
      </w:r>
      <w:r w:rsidRPr="004044E8">
        <w:rPr>
          <w:rFonts w:ascii="Arial" w:hAnsi="Arial" w:cs="Arial"/>
        </w:rPr>
        <w:t xml:space="preserve"> consulta por escrito será aplicable al resto de acciones dentro de la ejecución.</w:t>
      </w:r>
    </w:p>
    <w:p w14:paraId="44A08CD1" w14:textId="0AACCD71" w:rsidR="00215A75" w:rsidRPr="004044E8" w:rsidRDefault="00215A75" w:rsidP="00FA4527">
      <w:pPr>
        <w:pStyle w:val="Heading1"/>
        <w:rPr>
          <w:rFonts w:ascii="Arial" w:hAnsi="Arial" w:cs="Arial"/>
        </w:rPr>
      </w:pPr>
      <w:bookmarkStart w:id="21" w:name="_Toc424879193"/>
      <w:bookmarkStart w:id="22" w:name="_Toc454056449"/>
      <w:bookmarkStart w:id="23" w:name="_Toc10223104"/>
      <w:r w:rsidRPr="004044E8">
        <w:rPr>
          <w:rFonts w:ascii="Arial" w:hAnsi="Arial" w:cs="Arial"/>
        </w:rPr>
        <w:lastRenderedPageBreak/>
        <w:t>Descripción del Programa</w:t>
      </w:r>
      <w:bookmarkEnd w:id="21"/>
      <w:bookmarkEnd w:id="22"/>
      <w:bookmarkEnd w:id="23"/>
    </w:p>
    <w:p w14:paraId="5E470B5C" w14:textId="77777777" w:rsidR="00917CBC" w:rsidRPr="004044E8" w:rsidRDefault="00215A75" w:rsidP="001C7188">
      <w:pPr>
        <w:pStyle w:val="Heading2"/>
        <w:numPr>
          <w:ilvl w:val="0"/>
          <w:numId w:val="3"/>
        </w:numPr>
        <w:rPr>
          <w:rFonts w:ascii="Arial" w:hAnsi="Arial" w:cs="Arial"/>
        </w:rPr>
      </w:pPr>
      <w:bookmarkStart w:id="24" w:name="_Toc424879194"/>
      <w:bookmarkStart w:id="25" w:name="_Toc454056450"/>
      <w:bookmarkStart w:id="26" w:name="_Toc10223105"/>
      <w:r w:rsidRPr="004044E8">
        <w:rPr>
          <w:rFonts w:ascii="Arial" w:hAnsi="Arial" w:cs="Arial"/>
        </w:rPr>
        <w:t>Objetivo</w:t>
      </w:r>
      <w:r w:rsidR="007502D3" w:rsidRPr="004044E8">
        <w:rPr>
          <w:rFonts w:ascii="Arial" w:hAnsi="Arial" w:cs="Arial"/>
        </w:rPr>
        <w:t xml:space="preserve"> del Programa</w:t>
      </w:r>
      <w:bookmarkEnd w:id="24"/>
      <w:bookmarkEnd w:id="25"/>
      <w:bookmarkEnd w:id="26"/>
    </w:p>
    <w:p w14:paraId="1677BE8E" w14:textId="77777777" w:rsidR="00AF6E24" w:rsidRPr="004044E8" w:rsidRDefault="00AF6E24" w:rsidP="00FD0DF3">
      <w:pPr>
        <w:pStyle w:val="ListParagraph"/>
        <w:numPr>
          <w:ilvl w:val="0"/>
          <w:numId w:val="12"/>
        </w:numPr>
        <w:tabs>
          <w:tab w:val="clear" w:pos="720"/>
        </w:tabs>
        <w:spacing w:before="0" w:after="100"/>
        <w:jc w:val="both"/>
        <w:rPr>
          <w:rFonts w:ascii="Arial" w:hAnsi="Arial" w:cs="Arial"/>
          <w:vanish/>
          <w:lang w:val="es-ES"/>
        </w:rPr>
      </w:pPr>
    </w:p>
    <w:p w14:paraId="502A0684" w14:textId="77777777" w:rsidR="00AF6E24" w:rsidRPr="004044E8" w:rsidRDefault="00AF6E24" w:rsidP="00FD0DF3">
      <w:pPr>
        <w:pStyle w:val="ListParagraph"/>
        <w:numPr>
          <w:ilvl w:val="0"/>
          <w:numId w:val="12"/>
        </w:numPr>
        <w:tabs>
          <w:tab w:val="clear" w:pos="720"/>
        </w:tabs>
        <w:spacing w:before="0" w:after="100"/>
        <w:jc w:val="both"/>
        <w:rPr>
          <w:rFonts w:ascii="Arial" w:hAnsi="Arial" w:cs="Arial"/>
          <w:vanish/>
          <w:lang w:val="es-ES"/>
        </w:rPr>
      </w:pPr>
    </w:p>
    <w:p w14:paraId="7CC7EFC5" w14:textId="31D3B7B5" w:rsidR="00572D6B" w:rsidRPr="004044E8" w:rsidRDefault="00572D6B" w:rsidP="00C02EF4">
      <w:pPr>
        <w:pStyle w:val="Estilo1"/>
        <w:numPr>
          <w:ilvl w:val="1"/>
          <w:numId w:val="12"/>
        </w:numPr>
        <w:rPr>
          <w:rFonts w:ascii="Arial" w:hAnsi="Arial" w:cs="Arial"/>
        </w:rPr>
      </w:pPr>
      <w:r w:rsidRPr="004044E8">
        <w:rPr>
          <w:rFonts w:ascii="Arial" w:hAnsi="Arial" w:cs="Arial"/>
        </w:rPr>
        <w:t xml:space="preserve">El programa tiene como objetivo general </w:t>
      </w:r>
      <w:r w:rsidR="004149BD" w:rsidRPr="004044E8">
        <w:rPr>
          <w:rFonts w:ascii="Arial" w:hAnsi="Arial" w:cs="Arial"/>
        </w:rPr>
        <w:t>reducir la carga fiscal para el estado derivada de la propiedad de EE.PP. Los objetivos específicos son: (i) incrementar el número de EE.PP. alineadas a los principios de gobernanza corporativa de la OCDE; incluyendo una gobernanza fiscal análoga a la del sector privado; y (</w:t>
      </w:r>
      <w:proofErr w:type="spellStart"/>
      <w:r w:rsidR="004149BD" w:rsidRPr="004044E8">
        <w:rPr>
          <w:rFonts w:ascii="Arial" w:hAnsi="Arial" w:cs="Arial"/>
        </w:rPr>
        <w:t>ii</w:t>
      </w:r>
      <w:proofErr w:type="spellEnd"/>
      <w:r w:rsidR="004149BD" w:rsidRPr="004044E8">
        <w:rPr>
          <w:rFonts w:ascii="Arial" w:hAnsi="Arial" w:cs="Arial"/>
        </w:rPr>
        <w:t>) aumentar la eficiencia de las EE.PP. de</w:t>
      </w:r>
      <w:r w:rsidR="003D4514" w:rsidRPr="004044E8">
        <w:rPr>
          <w:rFonts w:ascii="Arial" w:hAnsi="Arial" w:cs="Arial"/>
        </w:rPr>
        <w:t xml:space="preserve"> </w:t>
      </w:r>
      <w:r w:rsidR="004149BD" w:rsidRPr="004044E8">
        <w:rPr>
          <w:rFonts w:ascii="Arial" w:hAnsi="Arial" w:cs="Arial"/>
        </w:rPr>
        <w:t>l</w:t>
      </w:r>
      <w:r w:rsidR="003D4514" w:rsidRPr="004044E8">
        <w:rPr>
          <w:rFonts w:ascii="Arial" w:hAnsi="Arial" w:cs="Arial"/>
        </w:rPr>
        <w:t>os</w:t>
      </w:r>
      <w:r w:rsidR="004149BD" w:rsidRPr="004044E8">
        <w:rPr>
          <w:rFonts w:ascii="Arial" w:hAnsi="Arial" w:cs="Arial"/>
        </w:rPr>
        <w:t xml:space="preserve"> sector</w:t>
      </w:r>
      <w:r w:rsidR="003D4514" w:rsidRPr="004044E8">
        <w:rPr>
          <w:rFonts w:ascii="Arial" w:hAnsi="Arial" w:cs="Arial"/>
        </w:rPr>
        <w:t>es</w:t>
      </w:r>
      <w:r w:rsidR="004149BD" w:rsidRPr="004044E8">
        <w:rPr>
          <w:rFonts w:ascii="Arial" w:hAnsi="Arial" w:cs="Arial"/>
        </w:rPr>
        <w:t xml:space="preserve"> de </w:t>
      </w:r>
      <w:r w:rsidR="0043128E" w:rsidRPr="004044E8">
        <w:rPr>
          <w:rFonts w:ascii="Arial" w:hAnsi="Arial" w:cs="Arial"/>
          <w:lang w:val="es-EC"/>
        </w:rPr>
        <w:t>hidrocarburos, eléctrico</w:t>
      </w:r>
      <w:r w:rsidR="00DC285F" w:rsidRPr="004044E8">
        <w:rPr>
          <w:rFonts w:ascii="Arial" w:hAnsi="Arial" w:cs="Arial"/>
        </w:rPr>
        <w:t xml:space="preserve"> y aeronáutico</w:t>
      </w:r>
      <w:r w:rsidRPr="004044E8">
        <w:rPr>
          <w:rFonts w:ascii="Arial" w:hAnsi="Arial" w:cs="Arial"/>
        </w:rPr>
        <w:t>.</w:t>
      </w:r>
    </w:p>
    <w:p w14:paraId="607C8C29" w14:textId="3E862DE8" w:rsidR="00215A75" w:rsidRPr="004044E8" w:rsidRDefault="00215A75" w:rsidP="001C7188">
      <w:pPr>
        <w:pStyle w:val="Heading2"/>
        <w:rPr>
          <w:rFonts w:ascii="Arial" w:hAnsi="Arial" w:cs="Arial"/>
        </w:rPr>
      </w:pPr>
      <w:bookmarkStart w:id="27" w:name="_Toc424879195"/>
      <w:bookmarkStart w:id="28" w:name="_Toc454056451"/>
      <w:bookmarkStart w:id="29" w:name="_Toc10223106"/>
      <w:r w:rsidRPr="004044E8">
        <w:rPr>
          <w:rFonts w:ascii="Arial" w:hAnsi="Arial" w:cs="Arial"/>
        </w:rPr>
        <w:t>Estructura del Programa</w:t>
      </w:r>
      <w:bookmarkEnd w:id="27"/>
      <w:bookmarkEnd w:id="28"/>
      <w:bookmarkEnd w:id="29"/>
    </w:p>
    <w:p w14:paraId="5FFDCEDC" w14:textId="77777777" w:rsidR="003D4514" w:rsidRPr="004044E8" w:rsidRDefault="003D4514" w:rsidP="003D4514">
      <w:pPr>
        <w:pStyle w:val="Paragraph"/>
        <w:numPr>
          <w:ilvl w:val="1"/>
          <w:numId w:val="26"/>
        </w:numPr>
        <w:tabs>
          <w:tab w:val="clear" w:pos="2736"/>
        </w:tabs>
        <w:ind w:left="720" w:hanging="720"/>
        <w:rPr>
          <w:rFonts w:ascii="Arial" w:hAnsi="Arial" w:cs="Arial"/>
          <w:sz w:val="20"/>
        </w:rPr>
      </w:pPr>
      <w:bookmarkStart w:id="30" w:name="_Hlk525578881"/>
      <w:r w:rsidRPr="004044E8">
        <w:rPr>
          <w:rFonts w:ascii="Arial" w:hAnsi="Arial" w:cs="Arial"/>
          <w:b/>
          <w:sz w:val="20"/>
        </w:rPr>
        <w:t>Componente 1. Fortalecimiento del Marco de Gobernanza Corporativa y Fiscal de las EEPP (US$4,6 millones)</w:t>
      </w:r>
      <w:r w:rsidRPr="004044E8">
        <w:rPr>
          <w:rFonts w:ascii="Arial" w:hAnsi="Arial" w:cs="Arial"/>
          <w:sz w:val="20"/>
        </w:rPr>
        <w:t xml:space="preserve">. </w:t>
      </w:r>
    </w:p>
    <w:p w14:paraId="26F5C5CF" w14:textId="48658C18" w:rsidR="003D4514" w:rsidRPr="004044E8" w:rsidRDefault="003D4514" w:rsidP="00755C53">
      <w:pPr>
        <w:pStyle w:val="subpar"/>
        <w:numPr>
          <w:ilvl w:val="2"/>
          <w:numId w:val="44"/>
        </w:numPr>
        <w:rPr>
          <w:rFonts w:ascii="Arial" w:eastAsia="Arial" w:hAnsi="Arial" w:cs="Arial"/>
          <w:bCs/>
          <w:sz w:val="20"/>
        </w:rPr>
      </w:pPr>
      <w:r w:rsidRPr="004044E8">
        <w:rPr>
          <w:rFonts w:ascii="Arial" w:eastAsia="Arial" w:hAnsi="Arial" w:cs="Arial"/>
          <w:b/>
          <w:sz w:val="20"/>
          <w:lang w:val="es-ES"/>
        </w:rPr>
        <w:t>Subcomponente 1.1. Mejora e implementación del m</w:t>
      </w:r>
      <w:r w:rsidRPr="004044E8">
        <w:rPr>
          <w:rFonts w:ascii="Arial" w:eastAsia="Arial" w:hAnsi="Arial" w:cs="Arial"/>
          <w:b/>
          <w:sz w:val="20"/>
        </w:rPr>
        <w:t>arco normativo</w:t>
      </w:r>
      <w:r w:rsidRPr="004044E8">
        <w:rPr>
          <w:rFonts w:ascii="Arial" w:hAnsi="Arial" w:cs="Arial"/>
          <w:b/>
          <w:sz w:val="20"/>
        </w:rPr>
        <w:t xml:space="preserve">. </w:t>
      </w:r>
      <w:r w:rsidRPr="004044E8">
        <w:rPr>
          <w:rFonts w:ascii="Arial" w:hAnsi="Arial" w:cs="Arial"/>
          <w:sz w:val="20"/>
        </w:rPr>
        <w:t xml:space="preserve">(i) </w:t>
      </w:r>
      <w:r w:rsidRPr="004044E8">
        <w:rPr>
          <w:rFonts w:ascii="Arial" w:eastAsia="Arial" w:hAnsi="Arial" w:cs="Arial"/>
          <w:sz w:val="20"/>
          <w:u w:val="single"/>
        </w:rPr>
        <w:t>Marco normativo.</w:t>
      </w:r>
      <w:r w:rsidRPr="004044E8">
        <w:rPr>
          <w:rFonts w:ascii="Arial" w:eastAsia="Arial" w:hAnsi="Arial" w:cs="Arial"/>
          <w:sz w:val="20"/>
        </w:rPr>
        <w:t xml:space="preserve"> </w:t>
      </w:r>
      <w:r w:rsidRPr="004044E8">
        <w:rPr>
          <w:rFonts w:ascii="Arial" w:hAnsi="Arial" w:cs="Arial"/>
          <w:sz w:val="20"/>
        </w:rPr>
        <w:t>Se financiará</w:t>
      </w:r>
      <w:r w:rsidRPr="004044E8">
        <w:rPr>
          <w:rFonts w:ascii="Arial" w:eastAsia="Arial" w:hAnsi="Arial" w:cs="Arial"/>
          <w:sz w:val="20"/>
        </w:rPr>
        <w:t xml:space="preserve">: (a) </w:t>
      </w:r>
      <w:r w:rsidRPr="004044E8">
        <w:rPr>
          <w:rFonts w:ascii="Arial" w:hAnsi="Arial" w:cs="Arial"/>
          <w:sz w:val="20"/>
        </w:rPr>
        <w:t>socialización</w:t>
      </w:r>
      <w:r w:rsidRPr="004044E8">
        <w:rPr>
          <w:rFonts w:ascii="Arial" w:eastAsia="Arial" w:hAnsi="Arial" w:cs="Arial"/>
          <w:sz w:val="20"/>
          <w:lang w:val="es-ES"/>
        </w:rPr>
        <w:t xml:space="preserve"> de la nueva </w:t>
      </w:r>
      <w:r w:rsidRPr="004044E8">
        <w:rPr>
          <w:rFonts w:ascii="Arial" w:eastAsia="Arial" w:hAnsi="Arial" w:cs="Arial"/>
          <w:sz w:val="20"/>
        </w:rPr>
        <w:t>LOEP</w:t>
      </w:r>
      <w:r w:rsidRPr="009F019B">
        <w:rPr>
          <w:rStyle w:val="FootnoteReference"/>
          <w:rFonts w:ascii="Arial" w:eastAsia="Arial" w:hAnsi="Arial" w:cs="Arial"/>
          <w:sz w:val="20"/>
        </w:rPr>
        <w:footnoteReference w:id="3"/>
      </w:r>
      <w:r w:rsidRPr="009F019B">
        <w:rPr>
          <w:rFonts w:ascii="Arial" w:hAnsi="Arial" w:cs="Arial"/>
          <w:sz w:val="20"/>
          <w:vertAlign w:val="superscript"/>
        </w:rPr>
        <w:t>,</w:t>
      </w:r>
      <w:r w:rsidRPr="009F019B">
        <w:rPr>
          <w:rStyle w:val="FootnoteReference"/>
          <w:rFonts w:ascii="Arial" w:eastAsia="Calibri" w:hAnsi="Arial" w:cs="Arial"/>
          <w:sz w:val="20"/>
        </w:rPr>
        <w:footnoteReference w:id="4"/>
      </w:r>
      <w:r w:rsidRPr="009F019B">
        <w:rPr>
          <w:rFonts w:ascii="Arial" w:hAnsi="Arial" w:cs="Arial"/>
          <w:sz w:val="20"/>
          <w:vertAlign w:val="superscript"/>
        </w:rPr>
        <w:t>,</w:t>
      </w:r>
      <w:r w:rsidRPr="009F019B">
        <w:rPr>
          <w:rStyle w:val="FootnoteReference"/>
          <w:rFonts w:ascii="Arial" w:hAnsi="Arial" w:cs="Arial"/>
          <w:sz w:val="20"/>
        </w:rPr>
        <w:footnoteReference w:id="5"/>
      </w:r>
      <w:r w:rsidRPr="009F019B">
        <w:rPr>
          <w:rFonts w:ascii="Arial" w:eastAsia="Arial" w:hAnsi="Arial" w:cs="Arial"/>
          <w:sz w:val="20"/>
        </w:rPr>
        <w:t xml:space="preserve">, </w:t>
      </w:r>
      <w:r w:rsidRPr="009F019B">
        <w:rPr>
          <w:rFonts w:ascii="Arial" w:hAnsi="Arial" w:cs="Arial"/>
          <w:sz w:val="20"/>
        </w:rPr>
        <w:t>incluyendo los</w:t>
      </w:r>
      <w:r w:rsidRPr="004044E8">
        <w:rPr>
          <w:rFonts w:ascii="Arial" w:hAnsi="Arial" w:cs="Arial"/>
          <w:bCs/>
          <w:sz w:val="20"/>
        </w:rPr>
        <w:t xml:space="preserve"> objetivos para la participación de mujeres en los consejos directivos de las EEPP;</w:t>
      </w:r>
      <w:r w:rsidRPr="004044E8">
        <w:rPr>
          <w:rFonts w:ascii="Arial" w:eastAsia="Arial" w:hAnsi="Arial" w:cs="Arial"/>
          <w:sz w:val="20"/>
        </w:rPr>
        <w:t xml:space="preserve"> (b) elaboración del reglamento de la LOEP; (c) </w:t>
      </w:r>
      <w:r w:rsidRPr="004044E8">
        <w:rPr>
          <w:rFonts w:ascii="Arial" w:eastAsia="Arial" w:hAnsi="Arial" w:cs="Arial"/>
          <w:sz w:val="20"/>
          <w:lang w:val="es-ES"/>
        </w:rPr>
        <w:t xml:space="preserve">verificación de implementación </w:t>
      </w:r>
      <w:bookmarkStart w:id="31" w:name="_GoBack"/>
      <w:bookmarkEnd w:id="31"/>
      <w:r w:rsidRPr="004044E8">
        <w:rPr>
          <w:rFonts w:ascii="Arial" w:eastAsia="Arial" w:hAnsi="Arial" w:cs="Arial"/>
          <w:sz w:val="20"/>
          <w:lang w:val="es-ES"/>
        </w:rPr>
        <w:t xml:space="preserve">de la </w:t>
      </w:r>
      <w:r w:rsidRPr="004044E8">
        <w:rPr>
          <w:rFonts w:ascii="Arial" w:eastAsia="Arial" w:hAnsi="Arial" w:cs="Arial"/>
          <w:sz w:val="20"/>
        </w:rPr>
        <w:t>LOEP y elaboración de normativa técnica asociada</w:t>
      </w:r>
      <w:r w:rsidRPr="004044E8">
        <w:rPr>
          <w:rFonts w:ascii="Arial" w:hAnsi="Arial" w:cs="Arial"/>
          <w:sz w:val="20"/>
        </w:rPr>
        <w:t>; y (d) capacitación de funcionarios y empleados en las reformas de la LOEP (</w:t>
      </w:r>
      <w:proofErr w:type="spellStart"/>
      <w:r w:rsidRPr="004044E8">
        <w:rPr>
          <w:rFonts w:ascii="Arial" w:hAnsi="Arial" w:cs="Arial"/>
          <w:sz w:val="20"/>
        </w:rPr>
        <w:t>ii</w:t>
      </w:r>
      <w:proofErr w:type="spellEnd"/>
      <w:r w:rsidRPr="004044E8">
        <w:rPr>
          <w:rFonts w:ascii="Arial" w:hAnsi="Arial" w:cs="Arial"/>
          <w:sz w:val="20"/>
        </w:rPr>
        <w:t>) </w:t>
      </w:r>
      <w:r w:rsidRPr="004044E8">
        <w:rPr>
          <w:rFonts w:ascii="Arial" w:hAnsi="Arial" w:cs="Arial"/>
          <w:sz w:val="20"/>
          <w:u w:val="single"/>
        </w:rPr>
        <w:t>régimen de gobernanza fiscal</w:t>
      </w:r>
      <w:r w:rsidRPr="009F019B">
        <w:rPr>
          <w:rStyle w:val="FootnoteReference"/>
          <w:rFonts w:ascii="Arial" w:hAnsi="Arial" w:cs="Arial"/>
          <w:sz w:val="20"/>
        </w:rPr>
        <w:footnoteReference w:id="6"/>
      </w:r>
      <w:r w:rsidRPr="009F019B">
        <w:rPr>
          <w:rFonts w:ascii="Arial" w:hAnsi="Arial" w:cs="Arial"/>
          <w:sz w:val="20"/>
        </w:rPr>
        <w:t>. Se financiará: (a) diseño de la función recaudadora sobre EEPP en SRI y capacitación a funcionarios del SRI</w:t>
      </w:r>
      <w:r w:rsidRPr="009F019B">
        <w:rPr>
          <w:rFonts w:ascii="Arial" w:eastAsia="Arial" w:hAnsi="Arial" w:cs="Arial"/>
          <w:sz w:val="20"/>
        </w:rPr>
        <w:t xml:space="preserve">; (b) </w:t>
      </w:r>
      <w:r w:rsidRPr="004044E8">
        <w:rPr>
          <w:rFonts w:ascii="Arial" w:hAnsi="Arial" w:cs="Arial"/>
          <w:sz w:val="20"/>
        </w:rPr>
        <w:t xml:space="preserve">diseño de la función tributaria de las EEPP y capacitación </w:t>
      </w:r>
      <w:r w:rsidRPr="004044E8">
        <w:rPr>
          <w:rFonts w:ascii="Arial" w:eastAsia="Arial" w:hAnsi="Arial" w:cs="Arial"/>
          <w:bCs/>
          <w:sz w:val="20"/>
        </w:rPr>
        <w:t>para enfrentar responsabilidades tributarias</w:t>
      </w:r>
      <w:r w:rsidRPr="004044E8">
        <w:rPr>
          <w:rFonts w:ascii="Arial" w:hAnsi="Arial" w:cs="Arial"/>
          <w:sz w:val="20"/>
        </w:rPr>
        <w:t xml:space="preserve"> a empleados de </w:t>
      </w:r>
      <w:r w:rsidRPr="004044E8">
        <w:rPr>
          <w:rFonts w:ascii="Arial" w:eastAsia="Arial" w:hAnsi="Arial" w:cs="Arial"/>
          <w:bCs/>
          <w:sz w:val="20"/>
        </w:rPr>
        <w:t xml:space="preserve">EEPP; y (c) </w:t>
      </w:r>
      <w:r w:rsidRPr="004044E8">
        <w:rPr>
          <w:rFonts w:ascii="Arial" w:eastAsia="Arial" w:hAnsi="Arial" w:cs="Arial"/>
          <w:bCs/>
          <w:sz w:val="20"/>
          <w:lang w:val="es-ES"/>
        </w:rPr>
        <w:t xml:space="preserve">diseño del régimen fiscal de las empresas en sector hidrocarburos; y </w:t>
      </w:r>
      <w:r w:rsidRPr="004044E8">
        <w:rPr>
          <w:rFonts w:ascii="Arial" w:eastAsia="Arial" w:hAnsi="Arial" w:cs="Arial"/>
          <w:bCs/>
          <w:sz w:val="20"/>
        </w:rPr>
        <w:t>(</w:t>
      </w:r>
      <w:proofErr w:type="spellStart"/>
      <w:r w:rsidRPr="004044E8">
        <w:rPr>
          <w:rFonts w:ascii="Arial" w:eastAsia="Arial" w:hAnsi="Arial" w:cs="Arial"/>
          <w:bCs/>
          <w:sz w:val="20"/>
        </w:rPr>
        <w:t>iii</w:t>
      </w:r>
      <w:proofErr w:type="spellEnd"/>
      <w:r w:rsidRPr="004044E8">
        <w:rPr>
          <w:rFonts w:ascii="Arial" w:eastAsia="Arial" w:hAnsi="Arial" w:cs="Arial"/>
          <w:bCs/>
          <w:sz w:val="20"/>
        </w:rPr>
        <w:t>) </w:t>
      </w:r>
      <w:r w:rsidRPr="004044E8">
        <w:rPr>
          <w:rFonts w:ascii="Arial" w:eastAsia="Arial" w:hAnsi="Arial" w:cs="Arial"/>
          <w:bCs/>
          <w:sz w:val="20"/>
          <w:u w:val="single"/>
        </w:rPr>
        <w:t xml:space="preserve">Transparencia y rendición de cuentas. </w:t>
      </w:r>
      <w:r w:rsidRPr="004044E8">
        <w:rPr>
          <w:rFonts w:ascii="Arial" w:hAnsi="Arial" w:cs="Arial"/>
          <w:sz w:val="20"/>
        </w:rPr>
        <w:t>Se financiará</w:t>
      </w:r>
      <w:r w:rsidRPr="004044E8">
        <w:rPr>
          <w:rFonts w:ascii="Arial" w:eastAsia="Arial" w:hAnsi="Arial" w:cs="Arial"/>
          <w:bCs/>
          <w:sz w:val="20"/>
        </w:rPr>
        <w:t xml:space="preserve">: (a) </w:t>
      </w:r>
      <w:r w:rsidRPr="004044E8">
        <w:rPr>
          <w:rFonts w:ascii="Arial" w:hAnsi="Arial" w:cs="Arial"/>
          <w:sz w:val="20"/>
        </w:rPr>
        <w:t>capacitación a e</w:t>
      </w:r>
      <w:r w:rsidRPr="004044E8">
        <w:rPr>
          <w:rFonts w:ascii="Arial" w:eastAsia="Arial" w:hAnsi="Arial" w:cs="Arial"/>
          <w:bCs/>
          <w:sz w:val="20"/>
        </w:rPr>
        <w:t>mpleados de las EEPP en Normas Internacionales de Información Financiera (NIIF) y reporte de EEFF; (b) elaboración de un informe con los criterios para la precalificación de auditoras externas; y (c) apoyo técnico para la obtención del certificado ISO</w:t>
      </w:r>
      <w:r w:rsidRPr="004044E8">
        <w:rPr>
          <w:rFonts w:ascii="Arial" w:eastAsia="Arial" w:hAnsi="Arial" w:cs="Arial"/>
          <w:bCs/>
          <w:sz w:val="20"/>
        </w:rPr>
        <w:noBreakHyphen/>
        <w:t>7001 de las EEPP.</w:t>
      </w:r>
    </w:p>
    <w:p w14:paraId="3DB261A7" w14:textId="77777777" w:rsidR="003D4514" w:rsidRPr="004044E8" w:rsidRDefault="003D4514" w:rsidP="00755C53">
      <w:pPr>
        <w:pStyle w:val="subpar"/>
        <w:numPr>
          <w:ilvl w:val="2"/>
          <w:numId w:val="44"/>
        </w:numPr>
        <w:rPr>
          <w:rFonts w:ascii="Arial" w:hAnsi="Arial" w:cs="Arial"/>
          <w:sz w:val="20"/>
        </w:rPr>
      </w:pPr>
      <w:r w:rsidRPr="004044E8">
        <w:rPr>
          <w:rFonts w:ascii="Arial" w:hAnsi="Arial" w:cs="Arial"/>
          <w:b/>
          <w:sz w:val="20"/>
        </w:rPr>
        <w:t xml:space="preserve">Subcomponente 1.2. Rediseño de la función propietaria y de gestión. </w:t>
      </w:r>
      <w:r w:rsidRPr="004044E8">
        <w:rPr>
          <w:rFonts w:ascii="Arial" w:hAnsi="Arial" w:cs="Arial"/>
          <w:sz w:val="20"/>
        </w:rPr>
        <w:t>(i) </w:t>
      </w:r>
      <w:r w:rsidRPr="004044E8">
        <w:rPr>
          <w:rFonts w:ascii="Arial" w:hAnsi="Arial" w:cs="Arial"/>
          <w:sz w:val="20"/>
          <w:u w:val="single"/>
        </w:rPr>
        <w:t>Apoyo a la implementación de la nueva entidad de gestión propietaria de las EEPP que sustituiría a EMCO</w:t>
      </w:r>
      <w:r w:rsidRPr="009F019B">
        <w:rPr>
          <w:rStyle w:val="FootnoteReference"/>
          <w:rFonts w:ascii="Arial" w:hAnsi="Arial" w:cs="Arial"/>
          <w:sz w:val="20"/>
        </w:rPr>
        <w:footnoteReference w:id="7"/>
      </w:r>
      <w:r w:rsidRPr="009F019B">
        <w:rPr>
          <w:rFonts w:ascii="Arial" w:hAnsi="Arial" w:cs="Arial"/>
          <w:sz w:val="20"/>
        </w:rPr>
        <w:t xml:space="preserve">. </w:t>
      </w:r>
      <w:bookmarkStart w:id="32" w:name="_Hlk11291574"/>
      <w:r w:rsidRPr="009F019B">
        <w:rPr>
          <w:rFonts w:ascii="Arial" w:hAnsi="Arial" w:cs="Arial"/>
          <w:sz w:val="20"/>
        </w:rPr>
        <w:t>Se financiará</w:t>
      </w:r>
      <w:bookmarkEnd w:id="32"/>
      <w:r w:rsidRPr="009F019B">
        <w:rPr>
          <w:rFonts w:ascii="Arial" w:hAnsi="Arial" w:cs="Arial"/>
          <w:sz w:val="20"/>
        </w:rPr>
        <w:t xml:space="preserve">: (a) </w:t>
      </w:r>
      <w:r w:rsidRPr="009F019B">
        <w:rPr>
          <w:rFonts w:ascii="Arial" w:hAnsi="Arial" w:cs="Arial"/>
          <w:sz w:val="20"/>
          <w:lang w:val="es-ES"/>
        </w:rPr>
        <w:t>supervisión de medidas de implementación de la nueva entidad propieta</w:t>
      </w:r>
      <w:r w:rsidRPr="004044E8">
        <w:rPr>
          <w:rFonts w:ascii="Arial" w:hAnsi="Arial" w:cs="Arial"/>
          <w:sz w:val="20"/>
          <w:lang w:val="es-ES"/>
        </w:rPr>
        <w:t xml:space="preserve">ria de EEPP y </w:t>
      </w:r>
      <w:r w:rsidRPr="004044E8">
        <w:rPr>
          <w:rFonts w:ascii="Arial" w:hAnsi="Arial" w:cs="Arial"/>
          <w:sz w:val="20"/>
        </w:rPr>
        <w:t xml:space="preserve">elaboración del estatuto orgánico; (b) capacitación a los empleados de la nueva entidad, incluyendo el diseño de una estrategia de gestión del cambio; (c) socialización; y (d) diseño </w:t>
      </w:r>
      <w:r w:rsidRPr="004044E8">
        <w:rPr>
          <w:rFonts w:ascii="Arial" w:hAnsi="Arial" w:cs="Arial"/>
          <w:sz w:val="20"/>
          <w:lang w:val="es-ES"/>
        </w:rPr>
        <w:t>de contrato de gestión del desempeño entre entidad propietaria y EEPP</w:t>
      </w:r>
      <w:r w:rsidRPr="004044E8">
        <w:rPr>
          <w:rFonts w:ascii="Arial" w:hAnsi="Arial" w:cs="Arial"/>
          <w:sz w:val="20"/>
        </w:rPr>
        <w:t>; (</w:t>
      </w:r>
      <w:proofErr w:type="spellStart"/>
      <w:r w:rsidRPr="004044E8">
        <w:rPr>
          <w:rFonts w:ascii="Arial" w:hAnsi="Arial" w:cs="Arial"/>
          <w:sz w:val="20"/>
        </w:rPr>
        <w:t>ii</w:t>
      </w:r>
      <w:proofErr w:type="spellEnd"/>
      <w:r w:rsidRPr="004044E8">
        <w:rPr>
          <w:rFonts w:ascii="Arial" w:hAnsi="Arial" w:cs="Arial"/>
          <w:sz w:val="20"/>
        </w:rPr>
        <w:t>) </w:t>
      </w:r>
      <w:r w:rsidRPr="004044E8">
        <w:rPr>
          <w:rFonts w:ascii="Arial" w:hAnsi="Arial" w:cs="Arial"/>
          <w:sz w:val="20"/>
          <w:u w:val="single"/>
        </w:rPr>
        <w:t xml:space="preserve">fortalecimiento de la </w:t>
      </w:r>
      <w:r w:rsidRPr="004044E8">
        <w:rPr>
          <w:rFonts w:ascii="Arial" w:hAnsi="Arial" w:cs="Arial"/>
          <w:bCs/>
          <w:sz w:val="20"/>
          <w:u w:val="single"/>
          <w:lang w:val="es-EC"/>
        </w:rPr>
        <w:t>DNEP</w:t>
      </w:r>
      <w:r w:rsidRPr="004044E8">
        <w:rPr>
          <w:rFonts w:ascii="Arial" w:hAnsi="Arial" w:cs="Arial"/>
          <w:bCs/>
          <w:sz w:val="20"/>
          <w:lang w:val="es-EC"/>
        </w:rPr>
        <w:t xml:space="preserve">. </w:t>
      </w:r>
      <w:r w:rsidRPr="004044E8">
        <w:rPr>
          <w:rFonts w:ascii="Arial" w:hAnsi="Arial" w:cs="Arial"/>
          <w:sz w:val="20"/>
        </w:rPr>
        <w:t>Se financiará</w:t>
      </w:r>
      <w:r w:rsidRPr="004044E8">
        <w:rPr>
          <w:rFonts w:ascii="Arial" w:hAnsi="Arial" w:cs="Arial"/>
          <w:bCs/>
          <w:sz w:val="20"/>
          <w:lang w:val="es-EC"/>
        </w:rPr>
        <w:t>: (</w:t>
      </w:r>
      <w:r w:rsidRPr="004044E8">
        <w:rPr>
          <w:rFonts w:ascii="Arial" w:hAnsi="Arial" w:cs="Arial"/>
          <w:sz w:val="20"/>
        </w:rPr>
        <w:t>a) desarrollo de estudios y sistemas de costes de producción para asistir la formulación presupuestaria; (b) desarrollo de sistemas de certificación de capacidad de pago; (c) desarrollo de software para la generación de estadísticas financieras a través de sistemas de reporte especializados; y (d) capacitación a funcionarios en sectores estratégicos</w:t>
      </w:r>
      <w:r w:rsidRPr="009F019B">
        <w:rPr>
          <w:rStyle w:val="FootnoteReference"/>
          <w:rFonts w:ascii="Arial" w:hAnsi="Arial" w:cs="Arial"/>
          <w:sz w:val="20"/>
        </w:rPr>
        <w:footnoteReference w:id="8"/>
      </w:r>
      <w:r w:rsidRPr="009F019B">
        <w:rPr>
          <w:rFonts w:ascii="Arial" w:hAnsi="Arial" w:cs="Arial"/>
          <w:sz w:val="20"/>
        </w:rPr>
        <w:t>; y (</w:t>
      </w:r>
      <w:proofErr w:type="spellStart"/>
      <w:r w:rsidRPr="009F019B">
        <w:rPr>
          <w:rFonts w:ascii="Arial" w:hAnsi="Arial" w:cs="Arial"/>
          <w:sz w:val="20"/>
        </w:rPr>
        <w:t>iii</w:t>
      </w:r>
      <w:proofErr w:type="spellEnd"/>
      <w:r w:rsidRPr="009F019B">
        <w:rPr>
          <w:rFonts w:ascii="Arial" w:hAnsi="Arial" w:cs="Arial"/>
          <w:sz w:val="20"/>
        </w:rPr>
        <w:t>) </w:t>
      </w:r>
      <w:r w:rsidRPr="009F019B">
        <w:rPr>
          <w:rFonts w:ascii="Arial" w:hAnsi="Arial" w:cs="Arial"/>
          <w:sz w:val="20"/>
          <w:u w:val="single"/>
        </w:rPr>
        <w:t>apoyo a los GAD</w:t>
      </w:r>
      <w:r w:rsidRPr="004044E8">
        <w:rPr>
          <w:rFonts w:ascii="Arial" w:hAnsi="Arial" w:cs="Arial"/>
          <w:sz w:val="20"/>
        </w:rPr>
        <w:t>. Se financiará: (a) asistencia técnica en la adopción de las reformas de la LOEP en sus EEPP</w:t>
      </w:r>
      <w:r w:rsidRPr="009F019B">
        <w:rPr>
          <w:rStyle w:val="FootnoteReference"/>
          <w:rFonts w:ascii="Arial" w:hAnsi="Arial" w:cs="Arial"/>
          <w:sz w:val="20"/>
        </w:rPr>
        <w:footnoteReference w:id="9"/>
      </w:r>
      <w:r w:rsidRPr="009F019B">
        <w:rPr>
          <w:rFonts w:ascii="Arial" w:hAnsi="Arial" w:cs="Arial"/>
          <w:sz w:val="20"/>
        </w:rPr>
        <w:t xml:space="preserve">; y (b) desarrollo del </w:t>
      </w:r>
      <w:r w:rsidRPr="009F019B">
        <w:rPr>
          <w:rFonts w:ascii="Arial" w:hAnsi="Arial" w:cs="Arial"/>
          <w:sz w:val="20"/>
          <w:lang w:val="es-ES"/>
        </w:rPr>
        <w:t>análisis de sostenibilidad financiera de EEPP de los GAD</w:t>
      </w:r>
      <w:r w:rsidRPr="004044E8">
        <w:rPr>
          <w:rFonts w:ascii="Arial" w:hAnsi="Arial" w:cs="Arial"/>
          <w:sz w:val="20"/>
        </w:rPr>
        <w:t>.</w:t>
      </w:r>
    </w:p>
    <w:p w14:paraId="7F591A22" w14:textId="77777777" w:rsidR="003D4514" w:rsidRPr="004044E8" w:rsidRDefault="003D4514" w:rsidP="003D4514">
      <w:pPr>
        <w:pStyle w:val="Paragraph"/>
        <w:numPr>
          <w:ilvl w:val="1"/>
          <w:numId w:val="26"/>
        </w:numPr>
        <w:tabs>
          <w:tab w:val="clear" w:pos="2736"/>
        </w:tabs>
        <w:ind w:left="720" w:hanging="720"/>
        <w:rPr>
          <w:rFonts w:ascii="Arial" w:hAnsi="Arial" w:cs="Arial"/>
          <w:sz w:val="20"/>
        </w:rPr>
      </w:pPr>
      <w:r w:rsidRPr="004044E8">
        <w:rPr>
          <w:rFonts w:ascii="Arial" w:hAnsi="Arial" w:cs="Arial"/>
          <w:b/>
          <w:sz w:val="20"/>
        </w:rPr>
        <w:t xml:space="preserve">Componente 2. Optimización de la cartera de EEPP (US$70,8 millones). </w:t>
      </w:r>
      <w:bookmarkStart w:id="33" w:name="_Hlk10140873"/>
    </w:p>
    <w:p w14:paraId="184C7BB9" w14:textId="77777777" w:rsidR="003D4514" w:rsidRPr="004044E8" w:rsidRDefault="003D4514" w:rsidP="00755C53">
      <w:pPr>
        <w:pStyle w:val="subpar"/>
        <w:numPr>
          <w:ilvl w:val="2"/>
          <w:numId w:val="45"/>
        </w:numPr>
        <w:rPr>
          <w:rFonts w:ascii="Arial" w:hAnsi="Arial" w:cs="Arial"/>
          <w:sz w:val="20"/>
        </w:rPr>
      </w:pPr>
      <w:r w:rsidRPr="004044E8">
        <w:rPr>
          <w:rFonts w:ascii="Arial" w:hAnsi="Arial" w:cs="Arial"/>
          <w:b/>
          <w:sz w:val="20"/>
        </w:rPr>
        <w:t xml:space="preserve">Subcomponente 2.1. Rediseño de EEPP. </w:t>
      </w:r>
      <w:r w:rsidRPr="004044E8">
        <w:rPr>
          <w:rFonts w:ascii="Arial" w:hAnsi="Arial" w:cs="Arial"/>
          <w:sz w:val="20"/>
        </w:rPr>
        <w:t xml:space="preserve">(i) </w:t>
      </w:r>
      <w:r w:rsidRPr="004044E8">
        <w:rPr>
          <w:rFonts w:ascii="Arial" w:hAnsi="Arial" w:cs="Arial"/>
          <w:sz w:val="20"/>
          <w:u w:val="single"/>
        </w:rPr>
        <w:t xml:space="preserve">Apoyo a la </w:t>
      </w:r>
      <w:r w:rsidRPr="004044E8">
        <w:rPr>
          <w:rFonts w:ascii="Arial" w:eastAsia="Arial" w:hAnsi="Arial" w:cs="Arial"/>
          <w:bCs/>
          <w:sz w:val="20"/>
          <w:u w:val="single"/>
        </w:rPr>
        <w:t>fusión de Petroamazonas y Petroecuador</w:t>
      </w:r>
      <w:r w:rsidRPr="004044E8">
        <w:rPr>
          <w:rFonts w:ascii="Arial" w:eastAsia="Arial" w:hAnsi="Arial" w:cs="Arial"/>
          <w:bCs/>
          <w:sz w:val="20"/>
        </w:rPr>
        <w:t xml:space="preserve">. </w:t>
      </w:r>
      <w:r w:rsidRPr="004044E8">
        <w:rPr>
          <w:rFonts w:ascii="Arial" w:hAnsi="Arial" w:cs="Arial"/>
          <w:sz w:val="20"/>
        </w:rPr>
        <w:t>Se financiará</w:t>
      </w:r>
      <w:r w:rsidRPr="004044E8">
        <w:rPr>
          <w:rFonts w:ascii="Arial" w:eastAsia="Arial" w:hAnsi="Arial" w:cs="Arial"/>
          <w:bCs/>
          <w:sz w:val="20"/>
        </w:rPr>
        <w:t>: (a) </w:t>
      </w:r>
      <w:r w:rsidRPr="004044E8">
        <w:rPr>
          <w:rFonts w:ascii="Arial" w:hAnsi="Arial" w:cs="Arial"/>
          <w:sz w:val="20"/>
        </w:rPr>
        <w:t xml:space="preserve">elaboración de la </w:t>
      </w:r>
      <w:r w:rsidRPr="004044E8">
        <w:rPr>
          <w:rFonts w:ascii="Arial" w:eastAsia="Arial" w:hAnsi="Arial" w:cs="Arial"/>
          <w:bCs/>
          <w:sz w:val="20"/>
        </w:rPr>
        <w:t>estrategia de fusión</w:t>
      </w:r>
      <w:r w:rsidRPr="004044E8">
        <w:rPr>
          <w:rFonts w:ascii="Arial" w:hAnsi="Arial" w:cs="Arial"/>
          <w:sz w:val="20"/>
        </w:rPr>
        <w:t>; (b) implementación de la fusión (incluyendo diseño e implementación de una estrategia de gestión del cambio)</w:t>
      </w:r>
      <w:r w:rsidRPr="009F019B">
        <w:rPr>
          <w:rStyle w:val="FootnoteReference"/>
          <w:rFonts w:ascii="Arial" w:hAnsi="Arial" w:cs="Arial"/>
          <w:sz w:val="20"/>
        </w:rPr>
        <w:footnoteReference w:id="10"/>
      </w:r>
      <w:r w:rsidRPr="009F019B">
        <w:rPr>
          <w:rFonts w:ascii="Arial" w:hAnsi="Arial" w:cs="Arial"/>
          <w:sz w:val="20"/>
        </w:rPr>
        <w:t xml:space="preserve">; (c) asistencia técnica </w:t>
      </w:r>
      <w:r w:rsidRPr="009F019B">
        <w:rPr>
          <w:rFonts w:ascii="Arial" w:hAnsi="Arial" w:cs="Arial"/>
          <w:sz w:val="20"/>
          <w:lang w:val="es-ES"/>
        </w:rPr>
        <w:t>sobre cadena de valor (exploració</w:t>
      </w:r>
      <w:r w:rsidRPr="004044E8">
        <w:rPr>
          <w:rFonts w:ascii="Arial" w:hAnsi="Arial" w:cs="Arial"/>
          <w:sz w:val="20"/>
          <w:lang w:val="es-ES"/>
        </w:rPr>
        <w:t xml:space="preserve">n y producción petrolera) para mejorar la eficiencia de la fusión; (d) </w:t>
      </w:r>
      <w:r w:rsidRPr="004044E8">
        <w:rPr>
          <w:rFonts w:ascii="Arial" w:hAnsi="Arial" w:cs="Arial"/>
          <w:sz w:val="20"/>
        </w:rPr>
        <w:t xml:space="preserve">implementación del Sistema informático de </w:t>
      </w:r>
      <w:r w:rsidRPr="004044E8">
        <w:rPr>
          <w:rFonts w:ascii="Arial" w:hAnsi="Arial" w:cs="Arial"/>
          <w:sz w:val="20"/>
        </w:rPr>
        <w:lastRenderedPageBreak/>
        <w:t>gestión (SAP); (e) asesoría legal en la fusión; (</w:t>
      </w:r>
      <w:proofErr w:type="spellStart"/>
      <w:r w:rsidRPr="004044E8">
        <w:rPr>
          <w:rFonts w:ascii="Arial" w:hAnsi="Arial" w:cs="Arial"/>
          <w:sz w:val="20"/>
        </w:rPr>
        <w:t>ii</w:t>
      </w:r>
      <w:proofErr w:type="spellEnd"/>
      <w:r w:rsidRPr="004044E8">
        <w:rPr>
          <w:rFonts w:ascii="Arial" w:hAnsi="Arial" w:cs="Arial"/>
          <w:sz w:val="20"/>
        </w:rPr>
        <w:t>) </w:t>
      </w:r>
      <w:r w:rsidRPr="004044E8">
        <w:rPr>
          <w:rFonts w:ascii="Arial" w:hAnsi="Arial" w:cs="Arial"/>
          <w:sz w:val="20"/>
          <w:u w:val="single"/>
        </w:rPr>
        <w:t>optimización del funcionamiento de la CELEC y CNEL</w:t>
      </w:r>
      <w:r w:rsidRPr="004044E8">
        <w:rPr>
          <w:rFonts w:ascii="Arial" w:hAnsi="Arial" w:cs="Arial"/>
          <w:sz w:val="20"/>
        </w:rPr>
        <w:t>. Se financiará una consultoría que incluya: (a) diagnóstico institucional y propuesta coordinada de gestión del sector eléctrico, incluyendo el diseño de una estrategia de gestión del cambio; (b) implementación de las reformas a la LOEP; (c) estudios de costes de producción, con estimación de valor de activos</w:t>
      </w:r>
      <w:r w:rsidRPr="004044E8">
        <w:rPr>
          <w:rFonts w:ascii="Arial" w:eastAsia="Arial" w:hAnsi="Arial" w:cs="Arial"/>
          <w:bCs/>
          <w:sz w:val="20"/>
        </w:rPr>
        <w:t>; y (</w:t>
      </w:r>
      <w:proofErr w:type="spellStart"/>
      <w:r w:rsidRPr="004044E8">
        <w:rPr>
          <w:rFonts w:ascii="Arial" w:eastAsia="Arial" w:hAnsi="Arial" w:cs="Arial"/>
          <w:bCs/>
          <w:sz w:val="20"/>
        </w:rPr>
        <w:t>iii</w:t>
      </w:r>
      <w:proofErr w:type="spellEnd"/>
      <w:r w:rsidRPr="004044E8">
        <w:rPr>
          <w:rFonts w:ascii="Arial" w:eastAsia="Arial" w:hAnsi="Arial" w:cs="Arial"/>
          <w:bCs/>
          <w:sz w:val="20"/>
        </w:rPr>
        <w:t xml:space="preserve">) </w:t>
      </w:r>
      <w:r w:rsidRPr="004044E8">
        <w:rPr>
          <w:rFonts w:ascii="Arial" w:eastAsia="Arial" w:hAnsi="Arial" w:cs="Arial"/>
          <w:bCs/>
          <w:sz w:val="20"/>
          <w:u w:val="single"/>
        </w:rPr>
        <w:t>valoración patrimonial de Tame</w:t>
      </w:r>
      <w:r w:rsidRPr="004044E8">
        <w:rPr>
          <w:rFonts w:ascii="Arial" w:eastAsia="Arial" w:hAnsi="Arial" w:cs="Arial"/>
          <w:bCs/>
          <w:sz w:val="20"/>
        </w:rPr>
        <w:t xml:space="preserve">. Se financiará: (a) </w:t>
      </w:r>
      <w:r w:rsidRPr="004044E8">
        <w:rPr>
          <w:rFonts w:ascii="Arial" w:hAnsi="Arial" w:cs="Arial"/>
          <w:sz w:val="20"/>
        </w:rPr>
        <w:t>evaluación de pertinencia de propiedad estatal, análisis de mercado, y estrategia de puesta en valor</w:t>
      </w:r>
      <w:r w:rsidRPr="009F019B">
        <w:rPr>
          <w:rStyle w:val="FootnoteReference"/>
          <w:rFonts w:ascii="Arial" w:hAnsi="Arial" w:cs="Arial"/>
          <w:sz w:val="20"/>
        </w:rPr>
        <w:footnoteReference w:id="11"/>
      </w:r>
      <w:r w:rsidRPr="009F019B">
        <w:rPr>
          <w:rFonts w:ascii="Arial" w:hAnsi="Arial" w:cs="Arial"/>
          <w:sz w:val="20"/>
        </w:rPr>
        <w:t xml:space="preserve">; y (b) elaboración de los </w:t>
      </w:r>
      <w:r w:rsidRPr="009F019B">
        <w:rPr>
          <w:rFonts w:ascii="Arial" w:hAnsi="Arial" w:cs="Arial"/>
          <w:sz w:val="20"/>
          <w:lang w:val="es-ES"/>
        </w:rPr>
        <w:t>Estados Financieros con las NIIF 2017-2018</w:t>
      </w:r>
      <w:r w:rsidRPr="004044E8">
        <w:rPr>
          <w:rFonts w:ascii="Arial" w:hAnsi="Arial" w:cs="Arial"/>
          <w:sz w:val="20"/>
        </w:rPr>
        <w:t xml:space="preserve">. </w:t>
      </w:r>
      <w:bookmarkStart w:id="34" w:name="_Hlk10215320"/>
    </w:p>
    <w:p w14:paraId="68D6C3AD" w14:textId="2DAD726D" w:rsidR="004149BD" w:rsidRPr="009F019B" w:rsidRDefault="003D4514" w:rsidP="00755C53">
      <w:pPr>
        <w:pStyle w:val="subpar"/>
        <w:numPr>
          <w:ilvl w:val="2"/>
          <w:numId w:val="45"/>
        </w:numPr>
        <w:rPr>
          <w:rFonts w:ascii="Arial" w:hAnsi="Arial" w:cs="Arial"/>
        </w:rPr>
      </w:pPr>
      <w:r w:rsidRPr="004044E8">
        <w:rPr>
          <w:rFonts w:ascii="Arial" w:hAnsi="Arial" w:cs="Arial"/>
          <w:b/>
          <w:sz w:val="20"/>
        </w:rPr>
        <w:t xml:space="preserve">Subcomponente 2.2. Mejora de la gestión y optimización del TH. </w:t>
      </w:r>
      <w:r w:rsidRPr="004044E8">
        <w:rPr>
          <w:rFonts w:ascii="Arial" w:hAnsi="Arial" w:cs="Arial"/>
          <w:sz w:val="20"/>
        </w:rPr>
        <w:t>Se financiará: (i) desvinculaciones del personal derivado de las consultorías de optimización financiadas por el Programa, de las EEPP EMCO, Petroecuador, Petroamazonas, CELEC, CNEL y Tame.</w:t>
      </w:r>
      <w:r w:rsidRPr="004044E8">
        <w:rPr>
          <w:rFonts w:ascii="Arial" w:hAnsi="Arial" w:cs="Arial"/>
        </w:rPr>
        <w:t xml:space="preserve"> </w:t>
      </w:r>
      <w:r w:rsidRPr="004044E8">
        <w:rPr>
          <w:rFonts w:ascii="Arial" w:hAnsi="Arial" w:cs="Arial"/>
          <w:sz w:val="20"/>
        </w:rPr>
        <w:t>Para ello, se apoyará el financiamiento de desvinculaciones</w:t>
      </w:r>
      <w:r w:rsidRPr="009F019B">
        <w:rPr>
          <w:sz w:val="20"/>
        </w:rPr>
        <w:footnoteReference w:id="12"/>
      </w:r>
      <w:r w:rsidRPr="009F019B">
        <w:rPr>
          <w:rFonts w:ascii="Arial" w:hAnsi="Arial" w:cs="Arial"/>
          <w:sz w:val="20"/>
        </w:rPr>
        <w:t xml:space="preserve"> priorizadas en las modalidades: (a) obligatoria por edad (más de 70 años)</w:t>
      </w:r>
      <w:r w:rsidRPr="009F019B">
        <w:rPr>
          <w:sz w:val="20"/>
        </w:rPr>
        <w:footnoteReference w:id="13"/>
      </w:r>
      <w:r w:rsidRPr="009F019B">
        <w:rPr>
          <w:rFonts w:ascii="Arial" w:hAnsi="Arial" w:cs="Arial"/>
          <w:sz w:val="20"/>
        </w:rPr>
        <w:t>; (b) voluntaria por enfermedad catastrófica, invalidez o discapacidad</w:t>
      </w:r>
      <w:r w:rsidRPr="009F019B">
        <w:rPr>
          <w:sz w:val="20"/>
        </w:rPr>
        <w:footnoteReference w:id="14"/>
      </w:r>
      <w:r w:rsidRPr="009F019B">
        <w:rPr>
          <w:rFonts w:ascii="Arial" w:hAnsi="Arial" w:cs="Arial"/>
          <w:sz w:val="20"/>
        </w:rPr>
        <w:t>; (c) renuncia voluntaria</w:t>
      </w:r>
      <w:r w:rsidRPr="009F019B">
        <w:rPr>
          <w:sz w:val="20"/>
        </w:rPr>
        <w:footnoteReference w:id="15"/>
      </w:r>
      <w:r w:rsidRPr="009F019B">
        <w:rPr>
          <w:rFonts w:ascii="Arial" w:hAnsi="Arial" w:cs="Arial"/>
          <w:sz w:val="20"/>
          <w:vertAlign w:val="superscript"/>
        </w:rPr>
        <w:t>;</w:t>
      </w:r>
      <w:r w:rsidRPr="009F019B">
        <w:rPr>
          <w:rFonts w:ascii="Arial" w:hAnsi="Arial" w:cs="Arial"/>
          <w:sz w:val="20"/>
        </w:rPr>
        <w:t xml:space="preserve"> y (d) supresión de puestos</w:t>
      </w:r>
      <w:r w:rsidRPr="009F019B">
        <w:rPr>
          <w:sz w:val="20"/>
        </w:rPr>
        <w:footnoteReference w:id="16"/>
      </w:r>
      <w:r w:rsidRPr="009F019B">
        <w:rPr>
          <w:rFonts w:ascii="Arial" w:hAnsi="Arial" w:cs="Arial"/>
          <w:sz w:val="20"/>
          <w:vertAlign w:val="superscript"/>
        </w:rPr>
        <w:t>,</w:t>
      </w:r>
      <w:r w:rsidRPr="009F019B">
        <w:rPr>
          <w:sz w:val="20"/>
        </w:rPr>
        <w:footnoteReference w:id="17"/>
      </w:r>
      <w:r w:rsidRPr="009F019B">
        <w:rPr>
          <w:rFonts w:ascii="Arial" w:hAnsi="Arial" w:cs="Arial"/>
          <w:sz w:val="20"/>
          <w:vertAlign w:val="superscript"/>
        </w:rPr>
        <w:t>,</w:t>
      </w:r>
      <w:r w:rsidRPr="009F019B">
        <w:rPr>
          <w:rFonts w:ascii="Arial" w:hAnsi="Arial" w:cs="Arial"/>
          <w:sz w:val="20"/>
        </w:rPr>
        <w:t xml:space="preserve"> las cuales deberán cumplir con los requisitos de elegibilidad y demás requerimientos establecidos para tal fin en el Reglamento Operativo del Programa (ROP). Dichas modalidades se encuentran avaladas por el marco legal vigente (Ley Orgánica de Servicio</w:t>
      </w:r>
      <w:r w:rsidRPr="004044E8">
        <w:rPr>
          <w:rFonts w:ascii="Arial" w:hAnsi="Arial" w:cs="Arial"/>
          <w:sz w:val="20"/>
        </w:rPr>
        <w:t xml:space="preserve"> Público (LOSEP) y LOEP</w:t>
      </w:r>
      <w:r w:rsidRPr="009F019B">
        <w:rPr>
          <w:sz w:val="20"/>
        </w:rPr>
        <w:footnoteReference w:id="18"/>
      </w:r>
      <w:r w:rsidRPr="009F019B">
        <w:rPr>
          <w:rFonts w:ascii="Arial" w:hAnsi="Arial" w:cs="Arial"/>
          <w:sz w:val="20"/>
        </w:rPr>
        <w:t xml:space="preserve">). Estas jubilaciones beneficiarán a </w:t>
      </w:r>
      <w:r w:rsidR="0043128E" w:rsidRPr="009F019B">
        <w:rPr>
          <w:rFonts w:ascii="Arial" w:hAnsi="Arial" w:cs="Arial"/>
          <w:sz w:val="20"/>
        </w:rPr>
        <w:t xml:space="preserve">aproximadamente </w:t>
      </w:r>
      <w:r w:rsidRPr="004044E8">
        <w:rPr>
          <w:rFonts w:ascii="Arial" w:hAnsi="Arial" w:cs="Arial"/>
          <w:sz w:val="20"/>
        </w:rPr>
        <w:t>3.350 empleados de dichas EEPP; con una bonificación promedio de US$30.000;</w:t>
      </w:r>
      <w:r w:rsidRPr="004044E8">
        <w:rPr>
          <w:rFonts w:ascii="Arial" w:hAnsi="Arial" w:cs="Arial"/>
        </w:rPr>
        <w:t xml:space="preserve"> </w:t>
      </w:r>
      <w:r w:rsidRPr="004044E8">
        <w:rPr>
          <w:rFonts w:ascii="Arial" w:hAnsi="Arial" w:cs="Arial"/>
          <w:sz w:val="20"/>
        </w:rPr>
        <w:t>y (</w:t>
      </w:r>
      <w:proofErr w:type="spellStart"/>
      <w:r w:rsidRPr="004044E8">
        <w:rPr>
          <w:rFonts w:ascii="Arial" w:hAnsi="Arial" w:cs="Arial"/>
          <w:sz w:val="20"/>
        </w:rPr>
        <w:t>ii</w:t>
      </w:r>
      <w:proofErr w:type="spellEnd"/>
      <w:r w:rsidRPr="004044E8">
        <w:rPr>
          <w:rFonts w:ascii="Arial" w:hAnsi="Arial" w:cs="Arial"/>
          <w:sz w:val="20"/>
        </w:rPr>
        <w:t>) implementación de la estrategia de comunicación (pública e interna) que facilite la comprensión de la reforma y beneficios para el ciudadano</w:t>
      </w:r>
      <w:r w:rsidRPr="009F019B">
        <w:rPr>
          <w:sz w:val="20"/>
        </w:rPr>
        <w:footnoteReference w:id="19"/>
      </w:r>
      <w:bookmarkEnd w:id="30"/>
      <w:bookmarkEnd w:id="33"/>
      <w:bookmarkEnd w:id="34"/>
      <w:r w:rsidR="00052B26" w:rsidRPr="009F019B">
        <w:rPr>
          <w:rFonts w:ascii="Arial" w:hAnsi="Arial" w:cs="Arial"/>
          <w:sz w:val="20"/>
        </w:rPr>
        <w:t>.</w:t>
      </w:r>
    </w:p>
    <w:p w14:paraId="097186BA" w14:textId="240FC253" w:rsidR="00AB0D7A" w:rsidRPr="004044E8" w:rsidRDefault="005505C0" w:rsidP="00C02EF4">
      <w:pPr>
        <w:pStyle w:val="Estilo1"/>
        <w:rPr>
          <w:rFonts w:ascii="Arial" w:hAnsi="Arial" w:cs="Arial"/>
        </w:rPr>
      </w:pPr>
      <w:r w:rsidRPr="004044E8">
        <w:rPr>
          <w:rFonts w:ascii="Arial" w:hAnsi="Arial" w:cs="Arial"/>
        </w:rPr>
        <w:t xml:space="preserve">El detalle del alcance de los </w:t>
      </w:r>
      <w:r w:rsidR="005D5BD0" w:rsidRPr="004044E8">
        <w:rPr>
          <w:rFonts w:ascii="Arial" w:hAnsi="Arial" w:cs="Arial"/>
        </w:rPr>
        <w:t>c</w:t>
      </w:r>
      <w:r w:rsidRPr="004044E8">
        <w:rPr>
          <w:rFonts w:ascii="Arial" w:hAnsi="Arial" w:cs="Arial"/>
        </w:rPr>
        <w:t xml:space="preserve">omponentes se muestra en el Anexo ‘El Programa’ del Contrato de Préstamo </w:t>
      </w:r>
      <w:r w:rsidR="00823551" w:rsidRPr="004044E8">
        <w:rPr>
          <w:rFonts w:ascii="Arial" w:hAnsi="Arial" w:cs="Arial"/>
        </w:rPr>
        <w:t>XXXX</w:t>
      </w:r>
      <w:r w:rsidR="00A038B9" w:rsidRPr="004044E8">
        <w:rPr>
          <w:rFonts w:ascii="Arial" w:hAnsi="Arial" w:cs="Arial"/>
        </w:rPr>
        <w:t>/OC-EC</w:t>
      </w:r>
      <w:r w:rsidRPr="009F019B">
        <w:rPr>
          <w:rFonts w:ascii="Arial" w:hAnsi="Arial" w:cs="Arial"/>
        </w:rPr>
        <w:t xml:space="preserve">.  </w:t>
      </w:r>
      <w:r w:rsidR="003C4255" w:rsidRPr="009F019B">
        <w:rPr>
          <w:rFonts w:ascii="Arial" w:hAnsi="Arial" w:cs="Arial"/>
        </w:rPr>
        <w:t xml:space="preserve">Los productos que se financian en cada componente se encuentran detallados en </w:t>
      </w:r>
      <w:r w:rsidR="00DB7771" w:rsidRPr="004044E8">
        <w:rPr>
          <w:rFonts w:ascii="Arial" w:hAnsi="Arial" w:cs="Arial"/>
        </w:rPr>
        <w:t>la Matriz de Resultados del Programa (</w:t>
      </w:r>
      <w:proofErr w:type="spellStart"/>
      <w:r w:rsidR="00DB7771" w:rsidRPr="004044E8">
        <w:rPr>
          <w:rFonts w:ascii="Arial" w:hAnsi="Arial" w:cs="Arial"/>
        </w:rPr>
        <w:t>M</w:t>
      </w:r>
      <w:r w:rsidR="00423D32" w:rsidRPr="004044E8">
        <w:rPr>
          <w:rFonts w:ascii="Arial" w:hAnsi="Arial" w:cs="Arial"/>
        </w:rPr>
        <w:t>d</w:t>
      </w:r>
      <w:r w:rsidR="00DB7771" w:rsidRPr="004044E8">
        <w:rPr>
          <w:rFonts w:ascii="Arial" w:hAnsi="Arial" w:cs="Arial"/>
        </w:rPr>
        <w:t>R</w:t>
      </w:r>
      <w:proofErr w:type="spellEnd"/>
      <w:r w:rsidR="00DB7771" w:rsidRPr="004044E8">
        <w:rPr>
          <w:rFonts w:ascii="Arial" w:hAnsi="Arial" w:cs="Arial"/>
        </w:rPr>
        <w:t>)</w:t>
      </w:r>
      <w:r w:rsidR="005D5BD0" w:rsidRPr="004044E8">
        <w:rPr>
          <w:rFonts w:ascii="Arial" w:hAnsi="Arial" w:cs="Arial"/>
        </w:rPr>
        <w:t xml:space="preserve">. </w:t>
      </w:r>
    </w:p>
    <w:p w14:paraId="634A5546" w14:textId="1052525D" w:rsidR="00CE538C" w:rsidRPr="004044E8" w:rsidRDefault="00CE538C" w:rsidP="001C7188">
      <w:pPr>
        <w:pStyle w:val="Heading2"/>
        <w:rPr>
          <w:rFonts w:ascii="Arial" w:hAnsi="Arial" w:cs="Arial"/>
        </w:rPr>
      </w:pPr>
      <w:bookmarkStart w:id="35" w:name="_Toc454056452"/>
      <w:bookmarkStart w:id="36" w:name="_Toc10223107"/>
      <w:bookmarkStart w:id="37" w:name="_Toc424879196"/>
      <w:r w:rsidRPr="004044E8">
        <w:rPr>
          <w:rFonts w:ascii="Arial" w:hAnsi="Arial" w:cs="Arial"/>
        </w:rPr>
        <w:t xml:space="preserve">Costo del Programa y </w:t>
      </w:r>
      <w:r w:rsidR="007E4D6C" w:rsidRPr="004044E8">
        <w:rPr>
          <w:rFonts w:ascii="Arial" w:hAnsi="Arial" w:cs="Arial"/>
        </w:rPr>
        <w:t>reprogramaciones</w:t>
      </w:r>
      <w:bookmarkEnd w:id="35"/>
      <w:bookmarkEnd w:id="36"/>
      <w:r w:rsidR="007E4D6C" w:rsidRPr="004044E8">
        <w:rPr>
          <w:rFonts w:ascii="Arial" w:hAnsi="Arial" w:cs="Arial"/>
        </w:rPr>
        <w:t xml:space="preserve"> </w:t>
      </w:r>
      <w:bookmarkEnd w:id="37"/>
    </w:p>
    <w:p w14:paraId="35B6581D" w14:textId="08468EE7" w:rsidR="00195A77" w:rsidRPr="004044E8" w:rsidRDefault="00CE538C" w:rsidP="00C02EF4">
      <w:pPr>
        <w:pStyle w:val="Estilo1"/>
        <w:rPr>
          <w:rFonts w:ascii="Arial" w:hAnsi="Arial" w:cs="Arial"/>
        </w:rPr>
      </w:pPr>
      <w:r w:rsidRPr="004044E8">
        <w:rPr>
          <w:rFonts w:ascii="Arial" w:hAnsi="Arial" w:cs="Arial"/>
        </w:rPr>
        <w:t xml:space="preserve">El costo </w:t>
      </w:r>
      <w:r w:rsidR="00195A77" w:rsidRPr="004044E8">
        <w:rPr>
          <w:rFonts w:ascii="Arial" w:hAnsi="Arial" w:cs="Arial"/>
        </w:rPr>
        <w:t xml:space="preserve">total </w:t>
      </w:r>
      <w:r w:rsidRPr="004044E8">
        <w:rPr>
          <w:rFonts w:ascii="Arial" w:hAnsi="Arial" w:cs="Arial"/>
        </w:rPr>
        <w:t>estimado del Programa</w:t>
      </w:r>
      <w:r w:rsidR="005D5BD0" w:rsidRPr="009F019B">
        <w:rPr>
          <w:rStyle w:val="FootnoteReference"/>
          <w:rFonts w:ascii="Arial" w:hAnsi="Arial" w:cs="Arial"/>
        </w:rPr>
        <w:footnoteReference w:id="20"/>
      </w:r>
      <w:r w:rsidRPr="009F019B">
        <w:rPr>
          <w:rFonts w:ascii="Arial" w:hAnsi="Arial" w:cs="Arial"/>
        </w:rPr>
        <w:t xml:space="preserve"> </w:t>
      </w:r>
      <w:r w:rsidR="008C2281" w:rsidRPr="009F019B">
        <w:rPr>
          <w:rFonts w:ascii="Arial" w:hAnsi="Arial" w:cs="Arial"/>
        </w:rPr>
        <w:t>es de U</w:t>
      </w:r>
      <w:r w:rsidR="00195A77" w:rsidRPr="004044E8">
        <w:rPr>
          <w:rFonts w:ascii="Arial" w:hAnsi="Arial" w:cs="Arial"/>
        </w:rPr>
        <w:t>$</w:t>
      </w:r>
      <w:r w:rsidR="004149BD" w:rsidRPr="004044E8">
        <w:rPr>
          <w:rFonts w:ascii="Arial" w:hAnsi="Arial" w:cs="Arial"/>
        </w:rPr>
        <w:t>78</w:t>
      </w:r>
      <w:r w:rsidR="00B57428" w:rsidRPr="004044E8">
        <w:rPr>
          <w:rFonts w:ascii="Arial" w:hAnsi="Arial" w:cs="Arial"/>
        </w:rPr>
        <w:t>,</w:t>
      </w:r>
      <w:r w:rsidR="004149BD" w:rsidRPr="004044E8">
        <w:rPr>
          <w:rFonts w:ascii="Arial" w:hAnsi="Arial" w:cs="Arial"/>
        </w:rPr>
        <w:t>84</w:t>
      </w:r>
      <w:r w:rsidR="008C2281" w:rsidRPr="004044E8">
        <w:rPr>
          <w:rFonts w:ascii="Arial" w:hAnsi="Arial" w:cs="Arial"/>
        </w:rPr>
        <w:t xml:space="preserve"> millones, de</w:t>
      </w:r>
      <w:r w:rsidR="00195A77" w:rsidRPr="004044E8">
        <w:rPr>
          <w:rFonts w:ascii="Arial" w:hAnsi="Arial" w:cs="Arial"/>
        </w:rPr>
        <w:t xml:space="preserve"> los cuales U$</w:t>
      </w:r>
      <w:r w:rsidR="004149BD" w:rsidRPr="004044E8">
        <w:rPr>
          <w:rFonts w:ascii="Arial" w:hAnsi="Arial" w:cs="Arial"/>
        </w:rPr>
        <w:t>75</w:t>
      </w:r>
      <w:r w:rsidR="000372CE" w:rsidRPr="004044E8">
        <w:rPr>
          <w:rFonts w:ascii="Arial" w:hAnsi="Arial" w:cs="Arial"/>
        </w:rPr>
        <w:t xml:space="preserve"> </w:t>
      </w:r>
      <w:r w:rsidR="00195A77" w:rsidRPr="004044E8">
        <w:rPr>
          <w:rFonts w:ascii="Arial" w:hAnsi="Arial" w:cs="Arial"/>
        </w:rPr>
        <w:t>millones s</w:t>
      </w:r>
      <w:r w:rsidR="0071762A" w:rsidRPr="004044E8">
        <w:rPr>
          <w:rFonts w:ascii="Arial" w:hAnsi="Arial" w:cs="Arial"/>
        </w:rPr>
        <w:t xml:space="preserve">erán </w:t>
      </w:r>
      <w:r w:rsidR="00195A77" w:rsidRPr="004044E8">
        <w:rPr>
          <w:rFonts w:ascii="Arial" w:hAnsi="Arial" w:cs="Arial"/>
        </w:rPr>
        <w:t xml:space="preserve">financiados por el BID </w:t>
      </w:r>
      <w:r w:rsidR="00B57428" w:rsidRPr="004044E8">
        <w:rPr>
          <w:rFonts w:ascii="Arial" w:hAnsi="Arial" w:cs="Arial"/>
        </w:rPr>
        <w:t xml:space="preserve">y US$ </w:t>
      </w:r>
      <w:r w:rsidR="004149BD" w:rsidRPr="004044E8">
        <w:rPr>
          <w:rFonts w:ascii="Arial" w:hAnsi="Arial" w:cs="Arial"/>
        </w:rPr>
        <w:t>3</w:t>
      </w:r>
      <w:r w:rsidR="00B57428" w:rsidRPr="004044E8">
        <w:rPr>
          <w:rFonts w:ascii="Arial" w:hAnsi="Arial" w:cs="Arial"/>
        </w:rPr>
        <w:t>,</w:t>
      </w:r>
      <w:r w:rsidR="004149BD" w:rsidRPr="004044E8">
        <w:rPr>
          <w:rFonts w:ascii="Arial" w:hAnsi="Arial" w:cs="Arial"/>
        </w:rPr>
        <w:t>84</w:t>
      </w:r>
      <w:r w:rsidR="00B57428" w:rsidRPr="004044E8">
        <w:rPr>
          <w:rFonts w:ascii="Arial" w:hAnsi="Arial" w:cs="Arial"/>
        </w:rPr>
        <w:t xml:space="preserve"> millones con a</w:t>
      </w:r>
      <w:r w:rsidR="00195A77" w:rsidRPr="004044E8">
        <w:rPr>
          <w:rFonts w:ascii="Arial" w:hAnsi="Arial" w:cs="Arial"/>
        </w:rPr>
        <w:t xml:space="preserve">porte </w:t>
      </w:r>
      <w:r w:rsidR="00AB1983" w:rsidRPr="004044E8">
        <w:rPr>
          <w:rFonts w:ascii="Arial" w:hAnsi="Arial" w:cs="Arial"/>
        </w:rPr>
        <w:t>l</w:t>
      </w:r>
      <w:r w:rsidR="00195A77" w:rsidRPr="004044E8">
        <w:rPr>
          <w:rFonts w:ascii="Arial" w:hAnsi="Arial" w:cs="Arial"/>
        </w:rPr>
        <w:t>ocal</w:t>
      </w:r>
      <w:r w:rsidR="008C2281" w:rsidRPr="004044E8">
        <w:rPr>
          <w:rFonts w:ascii="Arial" w:hAnsi="Arial" w:cs="Arial"/>
        </w:rPr>
        <w:t>.</w:t>
      </w:r>
      <w:r w:rsidR="00C73FAE" w:rsidRPr="004044E8">
        <w:rPr>
          <w:rFonts w:ascii="Arial" w:hAnsi="Arial" w:cs="Arial"/>
        </w:rPr>
        <w:t xml:space="preserve"> El costo del Programa presupuestado vigente, corresponderá al de la última programación o reprogramación que cuente con la No Objeción escrita del Banco.</w:t>
      </w:r>
    </w:p>
    <w:p w14:paraId="7395230D" w14:textId="27B17BA9" w:rsidR="00C73FAE" w:rsidRPr="004044E8" w:rsidRDefault="00C73FAE" w:rsidP="001C7188">
      <w:pPr>
        <w:pStyle w:val="Heading2"/>
        <w:rPr>
          <w:rFonts w:ascii="Arial" w:hAnsi="Arial" w:cs="Arial"/>
        </w:rPr>
      </w:pPr>
      <w:bookmarkStart w:id="38" w:name="_Toc10223108"/>
      <w:r w:rsidRPr="004044E8">
        <w:rPr>
          <w:rFonts w:ascii="Arial" w:hAnsi="Arial" w:cs="Arial"/>
        </w:rPr>
        <w:t>Modificaciones y reasignaciones</w:t>
      </w:r>
      <w:bookmarkEnd w:id="38"/>
    </w:p>
    <w:p w14:paraId="5263C588" w14:textId="0E6F8031" w:rsidR="00452008" w:rsidRPr="004044E8" w:rsidRDefault="008332F2" w:rsidP="00C02EF4">
      <w:pPr>
        <w:pStyle w:val="Estilo1"/>
        <w:rPr>
          <w:rFonts w:ascii="Arial" w:hAnsi="Arial" w:cs="Arial"/>
        </w:rPr>
      </w:pPr>
      <w:r w:rsidRPr="004044E8">
        <w:rPr>
          <w:rFonts w:ascii="Arial" w:hAnsi="Arial" w:cs="Arial"/>
        </w:rPr>
        <w:t>Únicamente e</w:t>
      </w:r>
      <w:r w:rsidR="007E4D6C" w:rsidRPr="004044E8">
        <w:rPr>
          <w:rFonts w:ascii="Arial" w:hAnsi="Arial" w:cs="Arial"/>
        </w:rPr>
        <w:t>l</w:t>
      </w:r>
      <w:r w:rsidR="00586810" w:rsidRPr="004044E8">
        <w:rPr>
          <w:rFonts w:ascii="Arial" w:hAnsi="Arial" w:cs="Arial"/>
        </w:rPr>
        <w:t xml:space="preserve"> </w:t>
      </w:r>
      <w:r w:rsidRPr="004044E8">
        <w:rPr>
          <w:rFonts w:ascii="Arial" w:hAnsi="Arial" w:cs="Arial"/>
        </w:rPr>
        <w:t>MEF</w:t>
      </w:r>
      <w:r w:rsidR="00550B74" w:rsidRPr="004044E8">
        <w:rPr>
          <w:rFonts w:ascii="Arial" w:hAnsi="Arial" w:cs="Arial"/>
        </w:rPr>
        <w:t>,</w:t>
      </w:r>
      <w:r w:rsidR="008C2281" w:rsidRPr="004044E8">
        <w:rPr>
          <w:rFonts w:ascii="Arial" w:hAnsi="Arial" w:cs="Arial"/>
        </w:rPr>
        <w:t xml:space="preserve"> </w:t>
      </w:r>
      <w:r w:rsidR="007E4D6C" w:rsidRPr="004044E8">
        <w:rPr>
          <w:rFonts w:ascii="Arial" w:hAnsi="Arial" w:cs="Arial"/>
        </w:rPr>
        <w:t xml:space="preserve">podrá solicitar al </w:t>
      </w:r>
      <w:r w:rsidR="00452008" w:rsidRPr="004044E8">
        <w:rPr>
          <w:rFonts w:ascii="Arial" w:hAnsi="Arial" w:cs="Arial"/>
        </w:rPr>
        <w:t xml:space="preserve">BID reasignaciones y modificaciones a la estructura de costos de los componentes del Programa, las mismas que deberán estar justificadas con la documentación financiera y técnica respectiva y las herramientas de gestión actualizadas. Cuando se trate de modificaciones o reasignaciones entre componentes de inversión, se deberán adjuntar la justificación técnica elaborada por el </w:t>
      </w:r>
      <w:r w:rsidR="0095227D" w:rsidRPr="004044E8">
        <w:rPr>
          <w:rFonts w:ascii="Arial" w:hAnsi="Arial" w:cs="Arial"/>
        </w:rPr>
        <w:t xml:space="preserve">OE </w:t>
      </w:r>
      <w:r w:rsidR="00452008" w:rsidRPr="004044E8">
        <w:rPr>
          <w:rFonts w:ascii="Arial" w:hAnsi="Arial" w:cs="Arial"/>
        </w:rPr>
        <w:t xml:space="preserve">y la respectiva autorización de la Subsecretaría de Financiamiento Público del MEF.  Para que dichas modificaciones entren en vigencia se deberá contar con la No objeción y consentimiento por escrito del BID. Toda modificación importante en los planes, especificaciones, calendario de inversiones, presupuestos, reglamentos y otros documentos que el </w:t>
      </w:r>
      <w:r w:rsidR="00452008" w:rsidRPr="004044E8">
        <w:rPr>
          <w:rFonts w:ascii="Arial" w:hAnsi="Arial" w:cs="Arial"/>
        </w:rPr>
        <w:lastRenderedPageBreak/>
        <w:t>Banco apruebe, y todo cambio sustancial en los contratos financiados con recursos del Préstamo requieren consentimiento escrito del Banco el cual deberá ser solicitado por</w:t>
      </w:r>
      <w:r w:rsidR="00DB434D" w:rsidRPr="004044E8">
        <w:rPr>
          <w:rFonts w:ascii="Arial" w:hAnsi="Arial" w:cs="Arial"/>
        </w:rPr>
        <w:t xml:space="preserve"> escrito por</w:t>
      </w:r>
      <w:r w:rsidR="00452008" w:rsidRPr="004044E8">
        <w:rPr>
          <w:rFonts w:ascii="Arial" w:hAnsi="Arial" w:cs="Arial"/>
        </w:rPr>
        <w:t xml:space="preserve"> el ME</w:t>
      </w:r>
      <w:r w:rsidR="004149BD" w:rsidRPr="004044E8">
        <w:rPr>
          <w:rFonts w:ascii="Arial" w:hAnsi="Arial" w:cs="Arial"/>
        </w:rPr>
        <w:t>F</w:t>
      </w:r>
      <w:r w:rsidR="00452008" w:rsidRPr="004044E8">
        <w:rPr>
          <w:rFonts w:ascii="Arial" w:hAnsi="Arial" w:cs="Arial"/>
        </w:rPr>
        <w:t>.</w:t>
      </w:r>
    </w:p>
    <w:p w14:paraId="70D27794" w14:textId="7D23CEFE" w:rsidR="00E141FC" w:rsidRPr="004044E8" w:rsidRDefault="00452008" w:rsidP="00C02EF4">
      <w:pPr>
        <w:pStyle w:val="Estilo1"/>
        <w:rPr>
          <w:rFonts w:ascii="Arial" w:hAnsi="Arial" w:cs="Arial"/>
        </w:rPr>
      </w:pPr>
      <w:r w:rsidRPr="004044E8">
        <w:rPr>
          <w:rFonts w:ascii="Arial" w:hAnsi="Arial" w:cs="Arial"/>
        </w:rPr>
        <w:t>En caso de contradicción o inconsistencias entre las disposiciones del contrato de Préstamo y cualquier plan especificación, calendario de inversiones, presupuesto, reglamento u otro documento que apruebe el Banco</w:t>
      </w:r>
      <w:r w:rsidR="00423D32" w:rsidRPr="004044E8">
        <w:rPr>
          <w:rFonts w:ascii="Arial" w:hAnsi="Arial" w:cs="Arial"/>
        </w:rPr>
        <w:t xml:space="preserve">, las disposiciones del contrato de Préstamo prevalecerán sobre dichos documentos. </w:t>
      </w:r>
    </w:p>
    <w:p w14:paraId="6EE18DED" w14:textId="6ECAE739" w:rsidR="00DC52B2" w:rsidRPr="004044E8" w:rsidRDefault="00DC52B2" w:rsidP="00FA4527">
      <w:pPr>
        <w:pStyle w:val="Heading1"/>
        <w:rPr>
          <w:rFonts w:ascii="Arial" w:hAnsi="Arial" w:cs="Arial"/>
        </w:rPr>
      </w:pPr>
      <w:bookmarkStart w:id="39" w:name="_Toc428278753"/>
      <w:bookmarkStart w:id="40" w:name="_Toc424879197"/>
      <w:bookmarkStart w:id="41" w:name="_Toc454056453"/>
      <w:bookmarkStart w:id="42" w:name="_Toc10223109"/>
      <w:bookmarkEnd w:id="39"/>
      <w:r w:rsidRPr="004044E8">
        <w:rPr>
          <w:rFonts w:ascii="Arial" w:hAnsi="Arial" w:cs="Arial"/>
        </w:rPr>
        <w:lastRenderedPageBreak/>
        <w:t>Esquema de Ejecución del Programa</w:t>
      </w:r>
      <w:bookmarkEnd w:id="40"/>
      <w:bookmarkEnd w:id="41"/>
      <w:bookmarkEnd w:id="42"/>
    </w:p>
    <w:p w14:paraId="16C9E8AE" w14:textId="77777777" w:rsidR="00BE4B24" w:rsidRPr="004044E8" w:rsidRDefault="00BE4B24" w:rsidP="001C7188">
      <w:pPr>
        <w:pStyle w:val="Heading2"/>
        <w:numPr>
          <w:ilvl w:val="0"/>
          <w:numId w:val="5"/>
        </w:numPr>
        <w:rPr>
          <w:rFonts w:ascii="Arial" w:hAnsi="Arial" w:cs="Arial"/>
        </w:rPr>
      </w:pPr>
      <w:bookmarkStart w:id="43" w:name="_Toc424879199"/>
      <w:bookmarkStart w:id="44" w:name="_Toc454056454"/>
      <w:bookmarkStart w:id="45" w:name="_Toc10223110"/>
      <w:r w:rsidRPr="004044E8">
        <w:rPr>
          <w:rFonts w:ascii="Arial" w:hAnsi="Arial" w:cs="Arial"/>
        </w:rPr>
        <w:t>Entidades responsables de la ejecución del Programa</w:t>
      </w:r>
      <w:bookmarkEnd w:id="43"/>
      <w:bookmarkEnd w:id="44"/>
      <w:bookmarkEnd w:id="45"/>
    </w:p>
    <w:p w14:paraId="1D0371AC" w14:textId="77777777" w:rsidR="00AF6E24" w:rsidRPr="004044E8" w:rsidRDefault="00AF6E24" w:rsidP="00FD0DF3">
      <w:pPr>
        <w:pStyle w:val="ListParagraph"/>
        <w:numPr>
          <w:ilvl w:val="0"/>
          <w:numId w:val="13"/>
        </w:numPr>
        <w:tabs>
          <w:tab w:val="clear" w:pos="720"/>
        </w:tabs>
        <w:spacing w:before="0" w:after="100"/>
        <w:jc w:val="both"/>
        <w:rPr>
          <w:rFonts w:ascii="Arial" w:hAnsi="Arial" w:cs="Arial"/>
          <w:vanish/>
          <w:lang w:val="es-ES"/>
        </w:rPr>
      </w:pPr>
    </w:p>
    <w:p w14:paraId="2E7BAFC9" w14:textId="77777777" w:rsidR="00AF6E24" w:rsidRPr="004044E8" w:rsidRDefault="00AF6E24" w:rsidP="00FD0DF3">
      <w:pPr>
        <w:pStyle w:val="ListParagraph"/>
        <w:numPr>
          <w:ilvl w:val="0"/>
          <w:numId w:val="15"/>
        </w:numPr>
        <w:tabs>
          <w:tab w:val="clear" w:pos="720"/>
        </w:tabs>
        <w:spacing w:before="0" w:after="100"/>
        <w:jc w:val="both"/>
        <w:rPr>
          <w:rFonts w:ascii="Arial" w:hAnsi="Arial" w:cs="Arial"/>
          <w:vanish/>
          <w:lang w:val="es-ES"/>
        </w:rPr>
      </w:pPr>
    </w:p>
    <w:p w14:paraId="3A484FD6" w14:textId="77777777" w:rsidR="00AF6E24" w:rsidRPr="004044E8" w:rsidRDefault="00AF6E24" w:rsidP="00FD0DF3">
      <w:pPr>
        <w:pStyle w:val="ListParagraph"/>
        <w:numPr>
          <w:ilvl w:val="0"/>
          <w:numId w:val="15"/>
        </w:numPr>
        <w:tabs>
          <w:tab w:val="clear" w:pos="720"/>
        </w:tabs>
        <w:spacing w:before="0" w:after="100"/>
        <w:jc w:val="both"/>
        <w:rPr>
          <w:rFonts w:ascii="Arial" w:hAnsi="Arial" w:cs="Arial"/>
          <w:vanish/>
          <w:lang w:val="es-ES"/>
        </w:rPr>
      </w:pPr>
    </w:p>
    <w:p w14:paraId="3B754B8B" w14:textId="77777777" w:rsidR="00AF6E24" w:rsidRPr="004044E8" w:rsidRDefault="00AF6E24" w:rsidP="00FD0DF3">
      <w:pPr>
        <w:pStyle w:val="ListParagraph"/>
        <w:numPr>
          <w:ilvl w:val="0"/>
          <w:numId w:val="15"/>
        </w:numPr>
        <w:tabs>
          <w:tab w:val="clear" w:pos="720"/>
        </w:tabs>
        <w:spacing w:before="0" w:after="100"/>
        <w:jc w:val="both"/>
        <w:rPr>
          <w:rFonts w:ascii="Arial" w:hAnsi="Arial" w:cs="Arial"/>
          <w:vanish/>
          <w:lang w:val="es-ES"/>
        </w:rPr>
      </w:pPr>
    </w:p>
    <w:p w14:paraId="5BBDFFA6" w14:textId="0E27C520" w:rsidR="00227DDD" w:rsidRPr="004044E8" w:rsidRDefault="00227DDD" w:rsidP="00C02EF4">
      <w:pPr>
        <w:pStyle w:val="Estilo1"/>
        <w:numPr>
          <w:ilvl w:val="1"/>
          <w:numId w:val="15"/>
        </w:numPr>
        <w:rPr>
          <w:rFonts w:ascii="Arial" w:hAnsi="Arial" w:cs="Arial"/>
        </w:rPr>
      </w:pPr>
      <w:r w:rsidRPr="004044E8">
        <w:rPr>
          <w:rFonts w:ascii="Arial" w:hAnsi="Arial" w:cs="Arial"/>
        </w:rPr>
        <w:t>El prestatario será la República del Ecuador, representada por el MEF. El Organismo Ejecutor (OE) del programa es el MEF a través de la Dirección Nacional de Empresas Públicas (DNEP) y los Organismo</w:t>
      </w:r>
      <w:r w:rsidR="0011162C" w:rsidRPr="004044E8">
        <w:rPr>
          <w:rFonts w:ascii="Arial" w:hAnsi="Arial" w:cs="Arial"/>
        </w:rPr>
        <w:t>s</w:t>
      </w:r>
      <w:r w:rsidRPr="004044E8">
        <w:rPr>
          <w:rFonts w:ascii="Arial" w:hAnsi="Arial" w:cs="Arial"/>
        </w:rPr>
        <w:t xml:space="preserve"> Subejecutores (OSE) son: (i) EMCO, o la </w:t>
      </w:r>
      <w:r w:rsidRPr="004044E8">
        <w:rPr>
          <w:rFonts w:ascii="Arial" w:hAnsi="Arial" w:cs="Arial"/>
          <w:lang w:val="es-ES_tradnl"/>
        </w:rPr>
        <w:t>nueva entidad que la sustituya; (</w:t>
      </w:r>
      <w:proofErr w:type="spellStart"/>
      <w:r w:rsidRPr="004044E8">
        <w:rPr>
          <w:rFonts w:ascii="Arial" w:hAnsi="Arial" w:cs="Arial"/>
          <w:lang w:val="es-ES_tradnl"/>
        </w:rPr>
        <w:t>ii</w:t>
      </w:r>
      <w:proofErr w:type="spellEnd"/>
      <w:r w:rsidRPr="004044E8">
        <w:rPr>
          <w:rFonts w:ascii="Arial" w:hAnsi="Arial" w:cs="Arial"/>
          <w:lang w:val="es-ES_tradnl"/>
        </w:rPr>
        <w:t xml:space="preserve">) </w:t>
      </w:r>
      <w:r w:rsidRPr="004044E8">
        <w:rPr>
          <w:rFonts w:ascii="Arial" w:hAnsi="Arial" w:cs="Arial"/>
        </w:rPr>
        <w:t xml:space="preserve">el </w:t>
      </w:r>
      <w:bookmarkStart w:id="46" w:name="_Hlk10466301"/>
      <w:r w:rsidRPr="004044E8">
        <w:rPr>
          <w:rFonts w:ascii="Arial" w:hAnsi="Arial" w:cs="Arial"/>
        </w:rPr>
        <w:t>MERNNR</w:t>
      </w:r>
      <w:bookmarkEnd w:id="46"/>
      <w:r w:rsidRPr="004044E8">
        <w:rPr>
          <w:rFonts w:ascii="Arial" w:hAnsi="Arial" w:cs="Arial"/>
        </w:rPr>
        <w:t>; (</w:t>
      </w:r>
      <w:proofErr w:type="spellStart"/>
      <w:r w:rsidRPr="004044E8">
        <w:rPr>
          <w:rFonts w:ascii="Arial" w:hAnsi="Arial" w:cs="Arial"/>
        </w:rPr>
        <w:t>iii</w:t>
      </w:r>
      <w:proofErr w:type="spellEnd"/>
      <w:r w:rsidRPr="004044E8">
        <w:rPr>
          <w:rFonts w:ascii="Arial" w:hAnsi="Arial" w:cs="Arial"/>
        </w:rPr>
        <w:t>) el Ministerio de Transporte (MTOP); y (</w:t>
      </w:r>
      <w:proofErr w:type="spellStart"/>
      <w:r w:rsidRPr="004044E8">
        <w:rPr>
          <w:rFonts w:ascii="Arial" w:hAnsi="Arial" w:cs="Arial"/>
        </w:rPr>
        <w:t>iv</w:t>
      </w:r>
      <w:proofErr w:type="spellEnd"/>
      <w:r w:rsidRPr="004044E8">
        <w:rPr>
          <w:rFonts w:ascii="Arial" w:hAnsi="Arial" w:cs="Arial"/>
        </w:rPr>
        <w:t xml:space="preserve">) las EE.PP. Petroecuador, Petroamazonas, CELEC, CNEL y Tame. El MEF ha sido el OE de las operaciones </w:t>
      </w:r>
      <w:r w:rsidR="00B96394" w:rsidRPr="004044E8">
        <w:rPr>
          <w:rFonts w:ascii="Arial" w:hAnsi="Arial" w:cs="Arial"/>
          <w:lang w:val="es-EC"/>
        </w:rPr>
        <w:t xml:space="preserve">2653/OC-EC, </w:t>
      </w:r>
      <w:r w:rsidRPr="004044E8">
        <w:rPr>
          <w:rFonts w:ascii="Arial" w:hAnsi="Arial" w:cs="Arial"/>
        </w:rPr>
        <w:t>3073/OC-EC, 3726/OC-EC, 4614/OC-EC, 4670/OC-EC, y 4364/OC-EC, y cuenta con experiencia en la ejecución de programas BID. El OE, debido a su actual carga de trabajo y la naturaleza especifica de los objetivos del Programa, será fortalecido con apoyo técnico y administrativo que permita asumir las responsabilidades adicionales de planificación, ejecución, monitoreo y control.</w:t>
      </w:r>
    </w:p>
    <w:p w14:paraId="5E85A5E8" w14:textId="4B2DDAC6" w:rsidR="00AF6E24" w:rsidRPr="004044E8" w:rsidRDefault="00CB60C3" w:rsidP="00C02EF4">
      <w:pPr>
        <w:pStyle w:val="Estilo1"/>
        <w:numPr>
          <w:ilvl w:val="1"/>
          <w:numId w:val="15"/>
        </w:numPr>
        <w:rPr>
          <w:rFonts w:ascii="Arial" w:hAnsi="Arial" w:cs="Arial"/>
        </w:rPr>
      </w:pPr>
      <w:r w:rsidRPr="004044E8">
        <w:rPr>
          <w:rFonts w:ascii="Arial" w:hAnsi="Arial" w:cs="Arial"/>
        </w:rPr>
        <w:t xml:space="preserve">El MEF será el responsable de la ejecución de todo el Programa, y en particular, junto con EMCO (o la entidad que la sustituya) de la ejecución de actividades bajo el Componente 1. </w:t>
      </w:r>
      <w:r w:rsidR="00AF6E24" w:rsidRPr="004044E8">
        <w:rPr>
          <w:rFonts w:ascii="Arial" w:hAnsi="Arial" w:cs="Arial"/>
        </w:rPr>
        <w:t>El M</w:t>
      </w:r>
      <w:r w:rsidR="00227DDD" w:rsidRPr="004044E8">
        <w:rPr>
          <w:rFonts w:ascii="Arial" w:hAnsi="Arial" w:cs="Arial"/>
        </w:rPr>
        <w:t>EF</w:t>
      </w:r>
      <w:r w:rsidR="00AF6E24" w:rsidRPr="004044E8">
        <w:rPr>
          <w:rFonts w:ascii="Arial" w:hAnsi="Arial" w:cs="Arial"/>
        </w:rPr>
        <w:t xml:space="preserve"> ejecutará </w:t>
      </w:r>
      <w:r w:rsidR="0011162C" w:rsidRPr="004044E8">
        <w:rPr>
          <w:rFonts w:ascii="Arial" w:hAnsi="Arial" w:cs="Arial"/>
        </w:rPr>
        <w:t xml:space="preserve">el Programa </w:t>
      </w:r>
      <w:r w:rsidR="00AF6E24" w:rsidRPr="004044E8">
        <w:rPr>
          <w:rFonts w:ascii="Arial" w:hAnsi="Arial" w:cs="Arial"/>
        </w:rPr>
        <w:t xml:space="preserve">a través de la </w:t>
      </w:r>
      <w:r w:rsidR="00227DDD" w:rsidRPr="004044E8">
        <w:rPr>
          <w:rFonts w:ascii="Arial" w:hAnsi="Arial" w:cs="Arial"/>
        </w:rPr>
        <w:t>DNEP</w:t>
      </w:r>
      <w:r w:rsidR="00AF6E24" w:rsidRPr="004044E8">
        <w:rPr>
          <w:rFonts w:ascii="Arial" w:hAnsi="Arial" w:cs="Arial"/>
        </w:rPr>
        <w:t xml:space="preserve">, mediante un </w:t>
      </w:r>
      <w:r w:rsidR="00AF6E24" w:rsidRPr="004044E8">
        <w:rPr>
          <w:rFonts w:ascii="Arial" w:hAnsi="Arial" w:cs="Arial"/>
          <w:u w:val="single"/>
        </w:rPr>
        <w:t>Equipo de Gestión (</w:t>
      </w:r>
      <w:r w:rsidR="00BF1EAC" w:rsidRPr="004044E8">
        <w:rPr>
          <w:rFonts w:ascii="Arial" w:hAnsi="Arial" w:cs="Arial"/>
          <w:u w:val="single"/>
        </w:rPr>
        <w:t>EDG</w:t>
      </w:r>
      <w:r w:rsidR="00AF6E24" w:rsidRPr="004044E8">
        <w:rPr>
          <w:rFonts w:ascii="Arial" w:hAnsi="Arial" w:cs="Arial"/>
          <w:u w:val="single"/>
        </w:rPr>
        <w:t>) creado para el efecto</w:t>
      </w:r>
      <w:r w:rsidR="00AF6E24" w:rsidRPr="004044E8">
        <w:rPr>
          <w:rFonts w:ascii="Arial" w:hAnsi="Arial" w:cs="Arial"/>
        </w:rPr>
        <w:t xml:space="preserve">.  </w:t>
      </w:r>
    </w:p>
    <w:p w14:paraId="60D8C23F" w14:textId="76BD4687" w:rsidR="00791C0D" w:rsidRPr="004044E8" w:rsidRDefault="00791C0D" w:rsidP="001C7188">
      <w:pPr>
        <w:pStyle w:val="Heading2"/>
        <w:numPr>
          <w:ilvl w:val="0"/>
          <w:numId w:val="5"/>
        </w:numPr>
        <w:rPr>
          <w:rFonts w:ascii="Arial" w:hAnsi="Arial" w:cs="Arial"/>
          <w:lang w:val="es-ES"/>
        </w:rPr>
      </w:pPr>
      <w:bookmarkStart w:id="47" w:name="_Toc10223111"/>
      <w:r w:rsidRPr="004044E8">
        <w:rPr>
          <w:rFonts w:ascii="Arial" w:hAnsi="Arial" w:cs="Arial"/>
          <w:lang w:val="es-ES"/>
        </w:rPr>
        <w:t>Los Equipos de Gestión del Programa (</w:t>
      </w:r>
      <w:r w:rsidR="00BF1EAC" w:rsidRPr="004044E8">
        <w:rPr>
          <w:rFonts w:ascii="Arial" w:hAnsi="Arial" w:cs="Arial"/>
          <w:lang w:val="es-ES"/>
        </w:rPr>
        <w:t>EDG</w:t>
      </w:r>
      <w:r w:rsidRPr="004044E8">
        <w:rPr>
          <w:rFonts w:ascii="Arial" w:hAnsi="Arial" w:cs="Arial"/>
          <w:lang w:val="es-ES"/>
        </w:rPr>
        <w:t>)</w:t>
      </w:r>
      <w:bookmarkEnd w:id="47"/>
    </w:p>
    <w:p w14:paraId="07DDFA21" w14:textId="2A62D052" w:rsidR="00791C0D" w:rsidRPr="004044E8" w:rsidRDefault="00791C0D" w:rsidP="00C02EF4">
      <w:pPr>
        <w:pStyle w:val="Estilo1"/>
        <w:numPr>
          <w:ilvl w:val="1"/>
          <w:numId w:val="15"/>
        </w:numPr>
        <w:rPr>
          <w:rFonts w:ascii="Arial" w:hAnsi="Arial" w:cs="Arial"/>
        </w:rPr>
      </w:pPr>
      <w:r w:rsidRPr="004044E8">
        <w:rPr>
          <w:rFonts w:ascii="Arial" w:hAnsi="Arial" w:cs="Arial"/>
        </w:rPr>
        <w:t xml:space="preserve">Para la ejecución del Programa el OE y </w:t>
      </w:r>
      <w:r w:rsidR="0011162C" w:rsidRPr="004044E8">
        <w:rPr>
          <w:rFonts w:ascii="Arial" w:hAnsi="Arial" w:cs="Arial"/>
        </w:rPr>
        <w:t>los</w:t>
      </w:r>
      <w:r w:rsidRPr="004044E8">
        <w:rPr>
          <w:rFonts w:ascii="Arial" w:hAnsi="Arial" w:cs="Arial"/>
        </w:rPr>
        <w:t xml:space="preserve"> OSE conformarán </w:t>
      </w:r>
      <w:r w:rsidR="00BF1EAC" w:rsidRPr="004044E8">
        <w:rPr>
          <w:rFonts w:ascii="Arial" w:hAnsi="Arial" w:cs="Arial"/>
        </w:rPr>
        <w:t>EDG</w:t>
      </w:r>
      <w:r w:rsidRPr="004044E8">
        <w:rPr>
          <w:rFonts w:ascii="Arial" w:hAnsi="Arial" w:cs="Arial"/>
        </w:rPr>
        <w:t xml:space="preserve">, los cuales serán: (i) el </w:t>
      </w:r>
      <w:r w:rsidR="00BF1EAC" w:rsidRPr="004044E8">
        <w:rPr>
          <w:rFonts w:ascii="Arial" w:hAnsi="Arial" w:cs="Arial"/>
        </w:rPr>
        <w:t>EDG</w:t>
      </w:r>
      <w:r w:rsidR="003D0B0C" w:rsidRPr="004044E8">
        <w:rPr>
          <w:rFonts w:ascii="Arial" w:hAnsi="Arial" w:cs="Arial"/>
        </w:rPr>
        <w:t>-</w:t>
      </w:r>
      <w:r w:rsidRPr="004044E8">
        <w:rPr>
          <w:rFonts w:ascii="Arial" w:hAnsi="Arial" w:cs="Arial"/>
        </w:rPr>
        <w:t>MEF; (</w:t>
      </w:r>
      <w:proofErr w:type="spellStart"/>
      <w:r w:rsidRPr="004044E8">
        <w:rPr>
          <w:rFonts w:ascii="Arial" w:hAnsi="Arial" w:cs="Arial"/>
        </w:rPr>
        <w:t>ii</w:t>
      </w:r>
      <w:proofErr w:type="spellEnd"/>
      <w:r w:rsidRPr="004044E8">
        <w:rPr>
          <w:rFonts w:ascii="Arial" w:hAnsi="Arial" w:cs="Arial"/>
        </w:rPr>
        <w:t xml:space="preserve">) </w:t>
      </w:r>
      <w:r w:rsidR="00BF1EAC" w:rsidRPr="004044E8">
        <w:rPr>
          <w:rFonts w:ascii="Arial" w:hAnsi="Arial" w:cs="Arial"/>
        </w:rPr>
        <w:t>EDG</w:t>
      </w:r>
      <w:r w:rsidRPr="004044E8">
        <w:rPr>
          <w:rFonts w:ascii="Arial" w:hAnsi="Arial" w:cs="Arial"/>
        </w:rPr>
        <w:t>-MERNNR; (</w:t>
      </w:r>
      <w:proofErr w:type="spellStart"/>
      <w:r w:rsidRPr="004044E8">
        <w:rPr>
          <w:rFonts w:ascii="Arial" w:hAnsi="Arial" w:cs="Arial"/>
        </w:rPr>
        <w:t>iii</w:t>
      </w:r>
      <w:proofErr w:type="spellEnd"/>
      <w:r w:rsidRPr="004044E8">
        <w:rPr>
          <w:rFonts w:ascii="Arial" w:hAnsi="Arial" w:cs="Arial"/>
        </w:rPr>
        <w:t xml:space="preserve">) </w:t>
      </w:r>
      <w:r w:rsidR="00BF1EAC" w:rsidRPr="004044E8">
        <w:rPr>
          <w:rFonts w:ascii="Arial" w:hAnsi="Arial" w:cs="Arial"/>
        </w:rPr>
        <w:t>EDG</w:t>
      </w:r>
      <w:r w:rsidRPr="004044E8">
        <w:rPr>
          <w:rFonts w:ascii="Arial" w:hAnsi="Arial" w:cs="Arial"/>
        </w:rPr>
        <w:t>-MTOP; y (</w:t>
      </w:r>
      <w:proofErr w:type="spellStart"/>
      <w:r w:rsidRPr="004044E8">
        <w:rPr>
          <w:rFonts w:ascii="Arial" w:hAnsi="Arial" w:cs="Arial"/>
        </w:rPr>
        <w:t>iv</w:t>
      </w:r>
      <w:proofErr w:type="spellEnd"/>
      <w:r w:rsidRPr="004044E8">
        <w:rPr>
          <w:rFonts w:ascii="Arial" w:hAnsi="Arial" w:cs="Arial"/>
        </w:rPr>
        <w:t xml:space="preserve">) </w:t>
      </w:r>
      <w:r w:rsidR="00BF1EAC" w:rsidRPr="004044E8">
        <w:rPr>
          <w:rFonts w:ascii="Arial" w:hAnsi="Arial" w:cs="Arial"/>
        </w:rPr>
        <w:t>EDG</w:t>
      </w:r>
      <w:r w:rsidRPr="004044E8">
        <w:rPr>
          <w:rFonts w:ascii="Arial" w:hAnsi="Arial" w:cs="Arial"/>
        </w:rPr>
        <w:t>-EMCO. Cada EDG deberá estar conformado al menos por: (i) un coordinador; (</w:t>
      </w:r>
      <w:proofErr w:type="spellStart"/>
      <w:r w:rsidRPr="004044E8">
        <w:rPr>
          <w:rFonts w:ascii="Arial" w:hAnsi="Arial" w:cs="Arial"/>
        </w:rPr>
        <w:t>ii</w:t>
      </w:r>
      <w:proofErr w:type="spellEnd"/>
      <w:r w:rsidRPr="004044E8">
        <w:rPr>
          <w:rFonts w:ascii="Arial" w:hAnsi="Arial" w:cs="Arial"/>
        </w:rPr>
        <w:t>) un especialista financiero; (</w:t>
      </w:r>
      <w:proofErr w:type="spellStart"/>
      <w:r w:rsidRPr="004044E8">
        <w:rPr>
          <w:rFonts w:ascii="Arial" w:hAnsi="Arial" w:cs="Arial"/>
        </w:rPr>
        <w:t>ii</w:t>
      </w:r>
      <w:proofErr w:type="spellEnd"/>
      <w:r w:rsidRPr="004044E8">
        <w:rPr>
          <w:rFonts w:ascii="Arial" w:hAnsi="Arial" w:cs="Arial"/>
        </w:rPr>
        <w:t>) un especialista de adquisiciones; (</w:t>
      </w:r>
      <w:proofErr w:type="spellStart"/>
      <w:r w:rsidRPr="004044E8">
        <w:rPr>
          <w:rFonts w:ascii="Arial" w:hAnsi="Arial" w:cs="Arial"/>
        </w:rPr>
        <w:t>ii</w:t>
      </w:r>
      <w:proofErr w:type="spellEnd"/>
      <w:r w:rsidRPr="004044E8">
        <w:rPr>
          <w:rFonts w:ascii="Arial" w:hAnsi="Arial" w:cs="Arial"/>
        </w:rPr>
        <w:t xml:space="preserve">) un especialista de monitoreo y seguimiento. La conformación de los miembros del </w:t>
      </w:r>
      <w:r w:rsidR="00BF1EAC" w:rsidRPr="004044E8">
        <w:rPr>
          <w:rFonts w:ascii="Arial" w:hAnsi="Arial" w:cs="Arial"/>
        </w:rPr>
        <w:t>EDG</w:t>
      </w:r>
      <w:r w:rsidRPr="004044E8">
        <w:rPr>
          <w:rFonts w:ascii="Arial" w:hAnsi="Arial" w:cs="Arial"/>
        </w:rPr>
        <w:t xml:space="preserve"> estará a cargo de la máxima autoridad de la institución o su delegado para el efecto, de acuerdo a lo establecido en este ROP. Cada institución deberá notificar oficialmente al MEF y al Banco, respecto de la designación de los miembros de los </w:t>
      </w:r>
      <w:r w:rsidR="00BF1EAC" w:rsidRPr="004044E8">
        <w:rPr>
          <w:rFonts w:ascii="Arial" w:hAnsi="Arial" w:cs="Arial"/>
        </w:rPr>
        <w:t>EDG</w:t>
      </w:r>
      <w:r w:rsidRPr="004044E8">
        <w:rPr>
          <w:rFonts w:ascii="Arial" w:hAnsi="Arial" w:cs="Arial"/>
        </w:rPr>
        <w:t xml:space="preserve">. La composición específica y las funciones de los </w:t>
      </w:r>
      <w:r w:rsidR="00BF1EAC" w:rsidRPr="004044E8">
        <w:rPr>
          <w:rFonts w:ascii="Arial" w:hAnsi="Arial" w:cs="Arial"/>
        </w:rPr>
        <w:t>EDG</w:t>
      </w:r>
      <w:r w:rsidRPr="004044E8">
        <w:rPr>
          <w:rFonts w:ascii="Arial" w:hAnsi="Arial" w:cs="Arial"/>
        </w:rPr>
        <w:t xml:space="preserve"> se describen en la sección V del presente ROP: "Estructura Administrativa para la Gestión del Programa”.</w:t>
      </w:r>
      <w:r w:rsidR="00B96394" w:rsidRPr="004044E8">
        <w:rPr>
          <w:rFonts w:ascii="Arial" w:hAnsi="Arial" w:cs="Arial"/>
        </w:rPr>
        <w:t xml:space="preserve"> Las Empresas Petroecuador, Petroamazonas, CELEC, CNEL y Tame tendrán un delegado</w:t>
      </w:r>
      <w:r w:rsidR="00B96394" w:rsidRPr="004044E8">
        <w:rPr>
          <w:rFonts w:ascii="Arial" w:hAnsi="Arial" w:cs="Arial"/>
          <w:b/>
        </w:rPr>
        <w:t xml:space="preserve"> </w:t>
      </w:r>
      <w:r w:rsidR="00B96394" w:rsidRPr="004044E8">
        <w:rPr>
          <w:rFonts w:ascii="Arial" w:hAnsi="Arial" w:cs="Arial"/>
        </w:rPr>
        <w:t>que trabajar</w:t>
      </w:r>
      <w:r w:rsidR="00C02EF4" w:rsidRPr="004044E8">
        <w:rPr>
          <w:rFonts w:ascii="Arial" w:hAnsi="Arial" w:cs="Arial"/>
        </w:rPr>
        <w:t>á</w:t>
      </w:r>
      <w:r w:rsidR="00B96394" w:rsidRPr="004044E8">
        <w:rPr>
          <w:rFonts w:ascii="Arial" w:hAnsi="Arial" w:cs="Arial"/>
        </w:rPr>
        <w:t xml:space="preserve"> en coordinación con el EDG del ministerio del ramo</w:t>
      </w:r>
      <w:r w:rsidR="003D0B0C" w:rsidRPr="004044E8">
        <w:rPr>
          <w:rFonts w:ascii="Arial" w:hAnsi="Arial" w:cs="Arial"/>
        </w:rPr>
        <w:t xml:space="preserve"> </w:t>
      </w:r>
      <w:r w:rsidR="00B96394" w:rsidRPr="004044E8">
        <w:rPr>
          <w:rFonts w:ascii="Arial" w:hAnsi="Arial" w:cs="Arial"/>
        </w:rPr>
        <w:t xml:space="preserve">EDG-MERNNR y EDG-MTOP para las consultorías que contratan los ministerios y con el EDG-MEF para </w:t>
      </w:r>
      <w:r w:rsidR="00C02EF4" w:rsidRPr="004044E8">
        <w:rPr>
          <w:rFonts w:ascii="Arial" w:hAnsi="Arial" w:cs="Arial"/>
        </w:rPr>
        <w:t>el desembolso y monitoreo de las desvinculaciones</w:t>
      </w:r>
      <w:r w:rsidR="00B96394" w:rsidRPr="004044E8">
        <w:rPr>
          <w:rFonts w:ascii="Arial" w:hAnsi="Arial" w:cs="Arial"/>
        </w:rPr>
        <w:t>.</w:t>
      </w:r>
    </w:p>
    <w:p w14:paraId="6DBE9A6C" w14:textId="28090BC0" w:rsidR="00F6350C" w:rsidRPr="004044E8" w:rsidRDefault="00F6350C" w:rsidP="001C7188">
      <w:pPr>
        <w:pStyle w:val="Heading2"/>
        <w:numPr>
          <w:ilvl w:val="0"/>
          <w:numId w:val="5"/>
        </w:numPr>
        <w:rPr>
          <w:rFonts w:ascii="Arial" w:hAnsi="Arial" w:cs="Arial"/>
        </w:rPr>
      </w:pPr>
      <w:bookmarkStart w:id="48" w:name="_Toc10223112"/>
      <w:r w:rsidRPr="004044E8">
        <w:rPr>
          <w:rFonts w:ascii="Arial" w:hAnsi="Arial" w:cs="Arial"/>
        </w:rPr>
        <w:t xml:space="preserve">Responsabilidades Generales del OE y </w:t>
      </w:r>
      <w:r w:rsidR="00C3786F" w:rsidRPr="004044E8">
        <w:rPr>
          <w:rFonts w:ascii="Arial" w:hAnsi="Arial" w:cs="Arial"/>
        </w:rPr>
        <w:t xml:space="preserve">los </w:t>
      </w:r>
      <w:r w:rsidRPr="004044E8">
        <w:rPr>
          <w:rFonts w:ascii="Arial" w:hAnsi="Arial" w:cs="Arial"/>
        </w:rPr>
        <w:t xml:space="preserve">OSE para la </w:t>
      </w:r>
      <w:r w:rsidR="009A5302" w:rsidRPr="004044E8">
        <w:rPr>
          <w:rFonts w:ascii="Arial" w:hAnsi="Arial" w:cs="Arial"/>
        </w:rPr>
        <w:t>Ejecución</w:t>
      </w:r>
      <w:r w:rsidRPr="004044E8">
        <w:rPr>
          <w:rFonts w:ascii="Arial" w:hAnsi="Arial" w:cs="Arial"/>
        </w:rPr>
        <w:t xml:space="preserve"> del Programa</w:t>
      </w:r>
      <w:bookmarkEnd w:id="48"/>
    </w:p>
    <w:p w14:paraId="528E944F" w14:textId="3BE9ADB7" w:rsidR="00F6350C" w:rsidRPr="004044E8" w:rsidRDefault="00F6350C" w:rsidP="00C02EF4">
      <w:pPr>
        <w:pStyle w:val="Estilo1"/>
        <w:numPr>
          <w:ilvl w:val="1"/>
          <w:numId w:val="15"/>
        </w:numPr>
        <w:rPr>
          <w:rFonts w:ascii="Arial" w:hAnsi="Arial" w:cs="Arial"/>
        </w:rPr>
      </w:pPr>
      <w:r w:rsidRPr="009F019B">
        <w:rPr>
          <w:rFonts w:ascii="Arial" w:hAnsi="Arial" w:cs="Arial"/>
          <w:noProof/>
        </w:rPr>
        <mc:AlternateContent>
          <mc:Choice Requires="wpg">
            <w:drawing>
              <wp:anchor distT="0" distB="0" distL="114300" distR="114300" simplePos="0" relativeHeight="251662336" behindDoc="0" locked="0" layoutInCell="1" allowOverlap="1" wp14:anchorId="7EA72836" wp14:editId="4E3DE21F">
                <wp:simplePos x="0" y="0"/>
                <wp:positionH relativeFrom="page">
                  <wp:posOffset>7409815</wp:posOffset>
                </wp:positionH>
                <wp:positionV relativeFrom="paragraph">
                  <wp:posOffset>815340</wp:posOffset>
                </wp:positionV>
                <wp:extent cx="1270" cy="2294255"/>
                <wp:effectExtent l="8890" t="5080" r="8890" b="571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294255"/>
                          <a:chOff x="11669" y="1284"/>
                          <a:chExt cx="2" cy="3613"/>
                        </a:xfrm>
                      </wpg:grpSpPr>
                      <wps:wsp>
                        <wps:cNvPr id="16" name="Freeform 17"/>
                        <wps:cNvSpPr>
                          <a:spLocks/>
                        </wps:cNvSpPr>
                        <wps:spPr bwMode="auto">
                          <a:xfrm>
                            <a:off x="11669" y="1284"/>
                            <a:ext cx="2" cy="3613"/>
                          </a:xfrm>
                          <a:custGeom>
                            <a:avLst/>
                            <a:gdLst>
                              <a:gd name="T0" fmla="+- 0 4897 1284"/>
                              <a:gd name="T1" fmla="*/ 4897 h 3613"/>
                              <a:gd name="T2" fmla="+- 0 1284 1284"/>
                              <a:gd name="T3" fmla="*/ 1284 h 3613"/>
                            </a:gdLst>
                            <a:ahLst/>
                            <a:cxnLst>
                              <a:cxn ang="0">
                                <a:pos x="0" y="T1"/>
                              </a:cxn>
                              <a:cxn ang="0">
                                <a:pos x="0" y="T3"/>
                              </a:cxn>
                            </a:cxnLst>
                            <a:rect l="0" t="0" r="r" b="b"/>
                            <a:pathLst>
                              <a:path h="3613">
                                <a:moveTo>
                                  <a:pt x="0" y="3613"/>
                                </a:moveTo>
                                <a:lnTo>
                                  <a:pt x="0" y="0"/>
                                </a:lnTo>
                              </a:path>
                            </a:pathLst>
                          </a:custGeom>
                          <a:noFill/>
                          <a:ln w="60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1B30DF" id="Group 15" o:spid="_x0000_s1026" style="position:absolute;margin-left:583.45pt;margin-top:64.2pt;width:.1pt;height:180.65pt;z-index:251662336;mso-position-horizontal-relative:page" coordorigin="11669,1284" coordsize="2,3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">
                <v:shape id="Freeform 17" o:spid="_x0000_s1027" style="position:absolute;left:11669;top:1284;width:2;height:3613;visibility:visible;mso-wrap-style:square;v-text-anchor:top" coordsize="2,3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" path="m,3613l,e" filled="f" strokeweight=".16842mm">
                  <v:path arrowok="t" o:connecttype="custom" o:connectlocs="0,4897;0,1284" o:connectangles="0,0"/>
                </v:shape>
                <w10:wrap anchorx="page"/>
              </v:group>
            </w:pict>
          </mc:Fallback>
        </mc:AlternateContent>
      </w:r>
      <w:r w:rsidRPr="009F019B">
        <w:rPr>
          <w:rFonts w:ascii="Arial" w:hAnsi="Arial" w:cs="Arial"/>
        </w:rPr>
        <w:t>Ejecutar el Programa, de acuerdo con los objetivos del mismo, con la diligencia econ</w:t>
      </w:r>
      <w:r w:rsidR="009A5302" w:rsidRPr="009F019B">
        <w:rPr>
          <w:rFonts w:ascii="Arial" w:hAnsi="Arial" w:cs="Arial"/>
        </w:rPr>
        <w:t>ó</w:t>
      </w:r>
      <w:r w:rsidRPr="004044E8">
        <w:rPr>
          <w:rFonts w:ascii="Arial" w:hAnsi="Arial" w:cs="Arial"/>
        </w:rPr>
        <w:t xml:space="preserve">mica, financiera, administrativa y </w:t>
      </w:r>
      <w:r w:rsidR="009A5302" w:rsidRPr="004044E8">
        <w:rPr>
          <w:rFonts w:ascii="Arial" w:hAnsi="Arial" w:cs="Arial"/>
        </w:rPr>
        <w:t>técnica</w:t>
      </w:r>
      <w:r w:rsidRPr="004044E8">
        <w:rPr>
          <w:rFonts w:ascii="Arial" w:hAnsi="Arial" w:cs="Arial"/>
        </w:rPr>
        <w:t xml:space="preserve"> eficiente</w:t>
      </w:r>
      <w:r w:rsidR="008A16FA" w:rsidRPr="004044E8">
        <w:rPr>
          <w:rFonts w:ascii="Arial" w:hAnsi="Arial" w:cs="Arial"/>
        </w:rPr>
        <w:t>,</w:t>
      </w:r>
      <w:r w:rsidRPr="004044E8">
        <w:rPr>
          <w:rFonts w:ascii="Arial" w:hAnsi="Arial" w:cs="Arial"/>
        </w:rPr>
        <w:t xml:space="preserve"> y de acuerdo con las disposiciones del contrato de </w:t>
      </w:r>
      <w:r w:rsidR="009A5302" w:rsidRPr="004044E8">
        <w:rPr>
          <w:rFonts w:ascii="Arial" w:hAnsi="Arial" w:cs="Arial"/>
        </w:rPr>
        <w:t>Préstamo</w:t>
      </w:r>
      <w:r w:rsidRPr="004044E8">
        <w:rPr>
          <w:rFonts w:ascii="Arial" w:hAnsi="Arial" w:cs="Arial"/>
        </w:rPr>
        <w:t xml:space="preserve"> y con los planes, especificaciones, cronogramas de inversiones, presupuestos, reglamentos y otros documentos pertinentes al Programa, aprobados por el Banco.</w:t>
      </w:r>
    </w:p>
    <w:p w14:paraId="2014B6DB" w14:textId="42658960" w:rsidR="00F6350C" w:rsidRPr="004044E8" w:rsidRDefault="00F6350C" w:rsidP="00C02EF4">
      <w:pPr>
        <w:pStyle w:val="Estilo1"/>
        <w:numPr>
          <w:ilvl w:val="1"/>
          <w:numId w:val="15"/>
        </w:numPr>
        <w:rPr>
          <w:rFonts w:ascii="Arial" w:hAnsi="Arial" w:cs="Arial"/>
        </w:rPr>
      </w:pPr>
      <w:r w:rsidRPr="004044E8">
        <w:rPr>
          <w:rFonts w:ascii="Arial" w:hAnsi="Arial" w:cs="Arial"/>
        </w:rPr>
        <w:t>Mantener controles inte</w:t>
      </w:r>
      <w:r w:rsidR="009A5302" w:rsidRPr="004044E8">
        <w:rPr>
          <w:rFonts w:ascii="Arial" w:hAnsi="Arial" w:cs="Arial"/>
        </w:rPr>
        <w:t>rn</w:t>
      </w:r>
      <w:r w:rsidRPr="004044E8">
        <w:rPr>
          <w:rFonts w:ascii="Arial" w:hAnsi="Arial" w:cs="Arial"/>
        </w:rPr>
        <w:t>os tendientes a asegurar razonablemente, que: (i) los recursos del Programa sean utilizados para los prop</w:t>
      </w:r>
      <w:r w:rsidR="00671B73" w:rsidRPr="004044E8">
        <w:rPr>
          <w:rFonts w:ascii="Arial" w:hAnsi="Arial" w:cs="Arial"/>
        </w:rPr>
        <w:t>ó</w:t>
      </w:r>
      <w:r w:rsidRPr="004044E8">
        <w:rPr>
          <w:rFonts w:ascii="Arial" w:hAnsi="Arial" w:cs="Arial"/>
        </w:rPr>
        <w:t xml:space="preserve">sitos del contrato de </w:t>
      </w:r>
      <w:r w:rsidR="009A5302" w:rsidRPr="004044E8">
        <w:rPr>
          <w:rFonts w:ascii="Arial" w:hAnsi="Arial" w:cs="Arial"/>
        </w:rPr>
        <w:t>Préstamo</w:t>
      </w:r>
      <w:r w:rsidRPr="004044E8">
        <w:rPr>
          <w:rFonts w:ascii="Arial" w:hAnsi="Arial" w:cs="Arial"/>
        </w:rPr>
        <w:t>, con especial atenci</w:t>
      </w:r>
      <w:r w:rsidR="00671B73" w:rsidRPr="004044E8">
        <w:rPr>
          <w:rFonts w:ascii="Arial" w:hAnsi="Arial" w:cs="Arial"/>
        </w:rPr>
        <w:t>ó</w:t>
      </w:r>
      <w:r w:rsidRPr="004044E8">
        <w:rPr>
          <w:rFonts w:ascii="Arial" w:hAnsi="Arial" w:cs="Arial"/>
        </w:rPr>
        <w:t xml:space="preserve">n a los principios de </w:t>
      </w:r>
      <w:r w:rsidR="009A5302" w:rsidRPr="004044E8">
        <w:rPr>
          <w:rFonts w:ascii="Arial" w:hAnsi="Arial" w:cs="Arial"/>
        </w:rPr>
        <w:t>economía</w:t>
      </w:r>
      <w:r w:rsidRPr="004044E8">
        <w:rPr>
          <w:rFonts w:ascii="Arial" w:hAnsi="Arial" w:cs="Arial"/>
        </w:rPr>
        <w:t>, eficiencia y transparencia bajo las norma</w:t>
      </w:r>
      <w:r w:rsidR="009A5302" w:rsidRPr="004044E8">
        <w:rPr>
          <w:rFonts w:ascii="Arial" w:hAnsi="Arial" w:cs="Arial"/>
        </w:rPr>
        <w:t>s</w:t>
      </w:r>
      <w:r w:rsidRPr="004044E8">
        <w:rPr>
          <w:rFonts w:ascii="Arial" w:hAnsi="Arial" w:cs="Arial"/>
        </w:rPr>
        <w:t xml:space="preserve"> de financiamiento exte</w:t>
      </w:r>
      <w:r w:rsidR="009A5302" w:rsidRPr="004044E8">
        <w:rPr>
          <w:rFonts w:ascii="Arial" w:hAnsi="Arial" w:cs="Arial"/>
        </w:rPr>
        <w:t>rn</w:t>
      </w:r>
      <w:r w:rsidRPr="004044E8">
        <w:rPr>
          <w:rFonts w:ascii="Arial" w:hAnsi="Arial" w:cs="Arial"/>
        </w:rPr>
        <w:t>o que rigen dicho contrato; (</w:t>
      </w:r>
      <w:proofErr w:type="spellStart"/>
      <w:r w:rsidRPr="004044E8">
        <w:rPr>
          <w:rFonts w:ascii="Arial" w:hAnsi="Arial" w:cs="Arial"/>
        </w:rPr>
        <w:t>ii</w:t>
      </w:r>
      <w:proofErr w:type="spellEnd"/>
      <w:r w:rsidRPr="004044E8">
        <w:rPr>
          <w:rFonts w:ascii="Arial" w:hAnsi="Arial" w:cs="Arial"/>
        </w:rPr>
        <w:t>) los activos del Programa sean adecuadamente custodiados, protegidos, conservados y salvaguardados; (</w:t>
      </w:r>
      <w:proofErr w:type="spellStart"/>
      <w:r w:rsidRPr="004044E8">
        <w:rPr>
          <w:rFonts w:ascii="Arial" w:hAnsi="Arial" w:cs="Arial"/>
        </w:rPr>
        <w:t>ii</w:t>
      </w:r>
      <w:proofErr w:type="spellEnd"/>
      <w:r w:rsidRPr="004044E8">
        <w:rPr>
          <w:rFonts w:ascii="Arial" w:hAnsi="Arial" w:cs="Arial"/>
        </w:rPr>
        <w:t>) la</w:t>
      </w:r>
      <w:r w:rsidR="009A5302" w:rsidRPr="004044E8">
        <w:rPr>
          <w:rFonts w:ascii="Arial" w:hAnsi="Arial" w:cs="Arial"/>
        </w:rPr>
        <w:t>s</w:t>
      </w:r>
      <w:r w:rsidRPr="004044E8">
        <w:rPr>
          <w:rFonts w:ascii="Arial" w:hAnsi="Arial" w:cs="Arial"/>
        </w:rPr>
        <w:t xml:space="preserve"> transacciones, decisiones y actividades del programa sean debi</w:t>
      </w:r>
      <w:r w:rsidR="009A5302" w:rsidRPr="004044E8">
        <w:rPr>
          <w:rFonts w:ascii="Arial" w:hAnsi="Arial" w:cs="Arial"/>
        </w:rPr>
        <w:t>d</w:t>
      </w:r>
      <w:r w:rsidRPr="004044E8">
        <w:rPr>
          <w:rFonts w:ascii="Arial" w:hAnsi="Arial" w:cs="Arial"/>
        </w:rPr>
        <w:t>amente autorizada</w:t>
      </w:r>
      <w:r w:rsidR="009A5302" w:rsidRPr="004044E8">
        <w:rPr>
          <w:rFonts w:ascii="Arial" w:hAnsi="Arial" w:cs="Arial"/>
        </w:rPr>
        <w:t>s</w:t>
      </w:r>
      <w:r w:rsidRPr="004044E8">
        <w:rPr>
          <w:rFonts w:ascii="Arial" w:hAnsi="Arial" w:cs="Arial"/>
        </w:rPr>
        <w:t xml:space="preserve"> y ejecutada</w:t>
      </w:r>
      <w:r w:rsidR="009A5302" w:rsidRPr="004044E8">
        <w:rPr>
          <w:rFonts w:ascii="Arial" w:hAnsi="Arial" w:cs="Arial"/>
        </w:rPr>
        <w:t xml:space="preserve">s </w:t>
      </w:r>
      <w:r w:rsidRPr="004044E8">
        <w:rPr>
          <w:rFonts w:ascii="Arial" w:hAnsi="Arial" w:cs="Arial"/>
        </w:rPr>
        <w:t>de acuerdo con la</w:t>
      </w:r>
      <w:r w:rsidR="009A5302" w:rsidRPr="004044E8">
        <w:rPr>
          <w:rFonts w:ascii="Arial" w:hAnsi="Arial" w:cs="Arial"/>
        </w:rPr>
        <w:t>s</w:t>
      </w:r>
      <w:r w:rsidRPr="004044E8">
        <w:rPr>
          <w:rFonts w:ascii="Arial" w:hAnsi="Arial" w:cs="Arial"/>
        </w:rPr>
        <w:t xml:space="preserve"> disposiciones </w:t>
      </w:r>
      <w:r w:rsidR="009A5302" w:rsidRPr="004044E8">
        <w:rPr>
          <w:rFonts w:ascii="Arial" w:hAnsi="Arial" w:cs="Arial"/>
        </w:rPr>
        <w:t>d</w:t>
      </w:r>
      <w:r w:rsidRPr="004044E8">
        <w:rPr>
          <w:rFonts w:ascii="Arial" w:hAnsi="Arial" w:cs="Arial"/>
        </w:rPr>
        <w:t xml:space="preserve">el contrato de </w:t>
      </w:r>
      <w:r w:rsidR="009A5302" w:rsidRPr="004044E8">
        <w:rPr>
          <w:rFonts w:ascii="Arial" w:hAnsi="Arial" w:cs="Arial"/>
        </w:rPr>
        <w:t>Préstamo</w:t>
      </w:r>
      <w:r w:rsidRPr="004044E8">
        <w:rPr>
          <w:rFonts w:ascii="Arial" w:hAnsi="Arial" w:cs="Arial"/>
        </w:rPr>
        <w:t xml:space="preserve"> y de cualquier otro contrato relacionado con el Programa; y (</w:t>
      </w:r>
      <w:proofErr w:type="spellStart"/>
      <w:r w:rsidRPr="004044E8">
        <w:rPr>
          <w:rFonts w:ascii="Arial" w:hAnsi="Arial" w:cs="Arial"/>
        </w:rPr>
        <w:t>iv</w:t>
      </w:r>
      <w:proofErr w:type="spellEnd"/>
      <w:r w:rsidRPr="004044E8">
        <w:rPr>
          <w:rFonts w:ascii="Arial" w:hAnsi="Arial" w:cs="Arial"/>
        </w:rPr>
        <w:t>) las transacciones sean apropiadamente documentada</w:t>
      </w:r>
      <w:r w:rsidR="009A5302" w:rsidRPr="004044E8">
        <w:rPr>
          <w:rFonts w:ascii="Arial" w:hAnsi="Arial" w:cs="Arial"/>
        </w:rPr>
        <w:t>s</w:t>
      </w:r>
      <w:r w:rsidRPr="004044E8">
        <w:rPr>
          <w:rFonts w:ascii="Arial" w:hAnsi="Arial" w:cs="Arial"/>
        </w:rPr>
        <w:t xml:space="preserve"> y sean registradas de fo</w:t>
      </w:r>
      <w:r w:rsidR="009A5302" w:rsidRPr="004044E8">
        <w:rPr>
          <w:rFonts w:ascii="Arial" w:hAnsi="Arial" w:cs="Arial"/>
        </w:rPr>
        <w:t>rm</w:t>
      </w:r>
      <w:r w:rsidRPr="004044E8">
        <w:rPr>
          <w:rFonts w:ascii="Arial" w:hAnsi="Arial" w:cs="Arial"/>
        </w:rPr>
        <w:t>a que puedan producirse informes y reportes oportunos y confiables.</w:t>
      </w:r>
    </w:p>
    <w:p w14:paraId="55B7B132" w14:textId="69FB7E1F" w:rsidR="00F6350C" w:rsidRPr="004044E8" w:rsidRDefault="00F6350C" w:rsidP="00DE3867">
      <w:pPr>
        <w:pStyle w:val="Estilo1"/>
        <w:numPr>
          <w:ilvl w:val="1"/>
          <w:numId w:val="15"/>
        </w:numPr>
        <w:rPr>
          <w:rFonts w:ascii="Arial" w:hAnsi="Arial" w:cs="Arial"/>
        </w:rPr>
      </w:pPr>
      <w:r w:rsidRPr="004044E8">
        <w:rPr>
          <w:rFonts w:ascii="Arial" w:hAnsi="Arial" w:cs="Arial"/>
        </w:rPr>
        <w:t>Mantener un sistema de gesti</w:t>
      </w:r>
      <w:r w:rsidR="005963C6" w:rsidRPr="004044E8">
        <w:rPr>
          <w:rFonts w:ascii="Arial" w:hAnsi="Arial" w:cs="Arial"/>
        </w:rPr>
        <w:t>ó</w:t>
      </w:r>
      <w:r w:rsidRPr="004044E8">
        <w:rPr>
          <w:rFonts w:ascii="Arial" w:hAnsi="Arial" w:cs="Arial"/>
        </w:rPr>
        <w:t>n financiera aceptable y confiable que permita oportunamente, en lo que concie</w:t>
      </w:r>
      <w:r w:rsidR="00671B73" w:rsidRPr="004044E8">
        <w:rPr>
          <w:rFonts w:ascii="Arial" w:hAnsi="Arial" w:cs="Arial"/>
        </w:rPr>
        <w:t>rn</w:t>
      </w:r>
      <w:r w:rsidRPr="004044E8">
        <w:rPr>
          <w:rFonts w:ascii="Arial" w:hAnsi="Arial" w:cs="Arial"/>
        </w:rPr>
        <w:t>e a los recursos del Programa: (i) la planificaci</w:t>
      </w:r>
      <w:r w:rsidR="00671B73" w:rsidRPr="004044E8">
        <w:rPr>
          <w:rFonts w:ascii="Arial" w:hAnsi="Arial" w:cs="Arial"/>
        </w:rPr>
        <w:t>ó</w:t>
      </w:r>
      <w:r w:rsidRPr="004044E8">
        <w:rPr>
          <w:rFonts w:ascii="Arial" w:hAnsi="Arial" w:cs="Arial"/>
        </w:rPr>
        <w:t>n financiera; (b) el registro contable, presupuestario y financiero; (</w:t>
      </w:r>
      <w:proofErr w:type="spellStart"/>
      <w:r w:rsidRPr="004044E8">
        <w:rPr>
          <w:rFonts w:ascii="Arial" w:hAnsi="Arial" w:cs="Arial"/>
        </w:rPr>
        <w:t>ii</w:t>
      </w:r>
      <w:proofErr w:type="spellEnd"/>
      <w:r w:rsidR="00671B73" w:rsidRPr="004044E8">
        <w:rPr>
          <w:rFonts w:ascii="Arial" w:hAnsi="Arial" w:cs="Arial"/>
        </w:rPr>
        <w:t>)</w:t>
      </w:r>
      <w:r w:rsidRPr="004044E8">
        <w:rPr>
          <w:rFonts w:ascii="Arial" w:hAnsi="Arial" w:cs="Arial"/>
        </w:rPr>
        <w:t xml:space="preserve"> la administraci</w:t>
      </w:r>
      <w:r w:rsidR="005963C6" w:rsidRPr="004044E8">
        <w:rPr>
          <w:rFonts w:ascii="Arial" w:hAnsi="Arial" w:cs="Arial"/>
        </w:rPr>
        <w:t>ó</w:t>
      </w:r>
      <w:r w:rsidRPr="004044E8">
        <w:rPr>
          <w:rFonts w:ascii="Arial" w:hAnsi="Arial" w:cs="Arial"/>
        </w:rPr>
        <w:t>n de contratos; (</w:t>
      </w:r>
      <w:proofErr w:type="spellStart"/>
      <w:r w:rsidRPr="004044E8">
        <w:rPr>
          <w:rFonts w:ascii="Arial" w:hAnsi="Arial" w:cs="Arial"/>
        </w:rPr>
        <w:t>iv</w:t>
      </w:r>
      <w:proofErr w:type="spellEnd"/>
      <w:r w:rsidRPr="004044E8">
        <w:rPr>
          <w:rFonts w:ascii="Arial" w:hAnsi="Arial" w:cs="Arial"/>
        </w:rPr>
        <w:t>) la realizaci</w:t>
      </w:r>
      <w:r w:rsidR="00671B73" w:rsidRPr="004044E8">
        <w:rPr>
          <w:rFonts w:ascii="Arial" w:hAnsi="Arial" w:cs="Arial"/>
        </w:rPr>
        <w:t>ó</w:t>
      </w:r>
      <w:r w:rsidRPr="004044E8">
        <w:rPr>
          <w:rFonts w:ascii="Arial" w:hAnsi="Arial" w:cs="Arial"/>
        </w:rPr>
        <w:t>n de pagos; y (v) la emisi</w:t>
      </w:r>
      <w:r w:rsidR="00671B73" w:rsidRPr="004044E8">
        <w:rPr>
          <w:rFonts w:ascii="Arial" w:hAnsi="Arial" w:cs="Arial"/>
        </w:rPr>
        <w:t>ó</w:t>
      </w:r>
      <w:r w:rsidRPr="004044E8">
        <w:rPr>
          <w:rFonts w:ascii="Arial" w:hAnsi="Arial" w:cs="Arial"/>
        </w:rPr>
        <w:t>n de informes de auditor</w:t>
      </w:r>
      <w:r w:rsidR="00671B73" w:rsidRPr="004044E8">
        <w:rPr>
          <w:rFonts w:ascii="Arial" w:hAnsi="Arial" w:cs="Arial"/>
        </w:rPr>
        <w:t>í</w:t>
      </w:r>
      <w:r w:rsidRPr="004044E8">
        <w:rPr>
          <w:rFonts w:ascii="Arial" w:hAnsi="Arial" w:cs="Arial"/>
        </w:rPr>
        <w:t xml:space="preserve">a financiera y de otros informes relacionados con los recursos del </w:t>
      </w:r>
      <w:r w:rsidR="00DA2CDF" w:rsidRPr="004044E8">
        <w:rPr>
          <w:rFonts w:ascii="Arial" w:hAnsi="Arial" w:cs="Arial"/>
        </w:rPr>
        <w:t>Préstamo y</w:t>
      </w:r>
      <w:r w:rsidRPr="004044E8">
        <w:rPr>
          <w:rFonts w:ascii="Arial" w:hAnsi="Arial" w:cs="Arial"/>
        </w:rPr>
        <w:t xml:space="preserve"> del Aporte Local</w:t>
      </w:r>
      <w:r w:rsidR="00DA2CDF" w:rsidRPr="004044E8">
        <w:rPr>
          <w:rFonts w:ascii="Arial" w:hAnsi="Arial" w:cs="Arial"/>
        </w:rPr>
        <w:t>.</w:t>
      </w:r>
    </w:p>
    <w:p w14:paraId="2E810F03" w14:textId="6CC31ACA" w:rsidR="00F6350C" w:rsidRPr="004044E8" w:rsidRDefault="00F6350C" w:rsidP="00DE3867">
      <w:pPr>
        <w:pStyle w:val="Estilo1"/>
        <w:numPr>
          <w:ilvl w:val="1"/>
          <w:numId w:val="15"/>
        </w:numPr>
        <w:rPr>
          <w:rFonts w:ascii="Arial" w:hAnsi="Arial" w:cs="Arial"/>
        </w:rPr>
      </w:pPr>
      <w:r w:rsidRPr="004044E8">
        <w:rPr>
          <w:rFonts w:ascii="Arial" w:hAnsi="Arial" w:cs="Arial"/>
        </w:rPr>
        <w:t xml:space="preserve">Conservar los documentos y registros </w:t>
      </w:r>
      <w:r w:rsidR="00DA2CDF" w:rsidRPr="004044E8">
        <w:rPr>
          <w:rFonts w:ascii="Arial" w:hAnsi="Arial" w:cs="Arial"/>
        </w:rPr>
        <w:t>físicos</w:t>
      </w:r>
      <w:r w:rsidRPr="004044E8">
        <w:rPr>
          <w:rFonts w:ascii="Arial" w:hAnsi="Arial" w:cs="Arial"/>
        </w:rPr>
        <w:t xml:space="preserve"> y digitales del Proyecto per un </w:t>
      </w:r>
      <w:r w:rsidR="007161DA" w:rsidRPr="004044E8">
        <w:rPr>
          <w:rFonts w:ascii="Arial" w:hAnsi="Arial" w:cs="Arial"/>
        </w:rPr>
        <w:t>periodo mínimo</w:t>
      </w:r>
      <w:r w:rsidRPr="004044E8">
        <w:rPr>
          <w:rFonts w:ascii="Arial" w:hAnsi="Arial" w:cs="Arial"/>
        </w:rPr>
        <w:t xml:space="preserve"> de tres (3) a</w:t>
      </w:r>
      <w:r w:rsidR="008A16FA" w:rsidRPr="004044E8">
        <w:rPr>
          <w:rFonts w:ascii="Arial" w:hAnsi="Arial" w:cs="Arial"/>
        </w:rPr>
        <w:t>ñ</w:t>
      </w:r>
      <w:r w:rsidRPr="004044E8">
        <w:rPr>
          <w:rFonts w:ascii="Arial" w:hAnsi="Arial" w:cs="Arial"/>
        </w:rPr>
        <w:t xml:space="preserve">os </w:t>
      </w:r>
      <w:r w:rsidR="00DA2CDF" w:rsidRPr="004044E8">
        <w:rPr>
          <w:rFonts w:ascii="Arial" w:hAnsi="Arial" w:cs="Arial"/>
        </w:rPr>
        <w:t>después</w:t>
      </w:r>
      <w:r w:rsidRPr="004044E8">
        <w:rPr>
          <w:rFonts w:ascii="Arial" w:hAnsi="Arial" w:cs="Arial"/>
        </w:rPr>
        <w:t xml:space="preserve"> del vencimiento del Plaz</w:t>
      </w:r>
      <w:r w:rsidR="008A16FA" w:rsidRPr="004044E8">
        <w:rPr>
          <w:rFonts w:ascii="Arial" w:hAnsi="Arial" w:cs="Arial"/>
        </w:rPr>
        <w:t>o</w:t>
      </w:r>
      <w:r w:rsidRPr="004044E8">
        <w:rPr>
          <w:rFonts w:ascii="Arial" w:hAnsi="Arial" w:cs="Arial"/>
        </w:rPr>
        <w:t xml:space="preserve"> Original de Desembolsos o cualquiera de sus extensiones. Estos documentos y registros </w:t>
      </w:r>
      <w:r w:rsidR="00DA2CDF" w:rsidRPr="004044E8">
        <w:rPr>
          <w:rFonts w:ascii="Arial" w:hAnsi="Arial" w:cs="Arial"/>
        </w:rPr>
        <w:t>deberán</w:t>
      </w:r>
      <w:r w:rsidRPr="004044E8">
        <w:rPr>
          <w:rFonts w:ascii="Arial" w:hAnsi="Arial" w:cs="Arial"/>
        </w:rPr>
        <w:t xml:space="preserve"> ser adecuados para: (i) respaldar la</w:t>
      </w:r>
      <w:r w:rsidR="00DA2CDF" w:rsidRPr="004044E8">
        <w:rPr>
          <w:rFonts w:ascii="Arial" w:hAnsi="Arial" w:cs="Arial"/>
        </w:rPr>
        <w:t>s</w:t>
      </w:r>
      <w:r w:rsidRPr="004044E8">
        <w:rPr>
          <w:rFonts w:ascii="Arial" w:hAnsi="Arial" w:cs="Arial"/>
        </w:rPr>
        <w:t xml:space="preserve"> activi</w:t>
      </w:r>
      <w:r w:rsidR="00DA2CDF" w:rsidRPr="004044E8">
        <w:rPr>
          <w:rFonts w:ascii="Arial" w:hAnsi="Arial" w:cs="Arial"/>
        </w:rPr>
        <w:t>d</w:t>
      </w:r>
      <w:r w:rsidRPr="004044E8">
        <w:rPr>
          <w:rFonts w:ascii="Arial" w:hAnsi="Arial" w:cs="Arial"/>
        </w:rPr>
        <w:t>ades, decisiones y transacciones relativa</w:t>
      </w:r>
      <w:r w:rsidR="00C02EF4" w:rsidRPr="004044E8">
        <w:rPr>
          <w:rFonts w:ascii="Arial" w:hAnsi="Arial" w:cs="Arial"/>
        </w:rPr>
        <w:t>s</w:t>
      </w:r>
      <w:r w:rsidRPr="004044E8">
        <w:rPr>
          <w:rFonts w:ascii="Arial" w:hAnsi="Arial" w:cs="Arial"/>
        </w:rPr>
        <w:t xml:space="preserve"> al Proyecto, incluidos todos los </w:t>
      </w:r>
      <w:r w:rsidR="00DA2CDF" w:rsidRPr="004044E8">
        <w:rPr>
          <w:rFonts w:ascii="Arial" w:hAnsi="Arial" w:cs="Arial"/>
        </w:rPr>
        <w:t>gastos</w:t>
      </w:r>
      <w:r w:rsidRPr="004044E8">
        <w:rPr>
          <w:rFonts w:ascii="Arial" w:hAnsi="Arial" w:cs="Arial"/>
        </w:rPr>
        <w:t xml:space="preserve"> incurridos; y (</w:t>
      </w:r>
      <w:proofErr w:type="spellStart"/>
      <w:r w:rsidRPr="004044E8">
        <w:rPr>
          <w:rFonts w:ascii="Arial" w:hAnsi="Arial" w:cs="Arial"/>
        </w:rPr>
        <w:t>ii</w:t>
      </w:r>
      <w:proofErr w:type="spellEnd"/>
      <w:r w:rsidRPr="004044E8">
        <w:rPr>
          <w:rFonts w:ascii="Arial" w:hAnsi="Arial" w:cs="Arial"/>
        </w:rPr>
        <w:t>) evidenciar la correlaci</w:t>
      </w:r>
      <w:r w:rsidR="005963C6" w:rsidRPr="004044E8">
        <w:rPr>
          <w:rFonts w:ascii="Arial" w:hAnsi="Arial" w:cs="Arial"/>
        </w:rPr>
        <w:t>ó</w:t>
      </w:r>
      <w:r w:rsidRPr="004044E8">
        <w:rPr>
          <w:rFonts w:ascii="Arial" w:hAnsi="Arial" w:cs="Arial"/>
        </w:rPr>
        <w:t>n de ga</w:t>
      </w:r>
      <w:r w:rsidR="00DA2CDF" w:rsidRPr="004044E8">
        <w:rPr>
          <w:rFonts w:ascii="Arial" w:hAnsi="Arial" w:cs="Arial"/>
        </w:rPr>
        <w:t>s</w:t>
      </w:r>
      <w:r w:rsidRPr="004044E8">
        <w:rPr>
          <w:rFonts w:ascii="Arial" w:hAnsi="Arial" w:cs="Arial"/>
        </w:rPr>
        <w:t xml:space="preserve">tos incurridos con cargo al </w:t>
      </w:r>
      <w:r w:rsidR="00DA2CDF" w:rsidRPr="004044E8">
        <w:rPr>
          <w:rFonts w:ascii="Arial" w:hAnsi="Arial" w:cs="Arial"/>
        </w:rPr>
        <w:t>Préstamo</w:t>
      </w:r>
      <w:r w:rsidRPr="004044E8">
        <w:rPr>
          <w:rFonts w:ascii="Arial" w:hAnsi="Arial" w:cs="Arial"/>
        </w:rPr>
        <w:t xml:space="preserve"> con el respectivo desembolso efectuado por el Banco</w:t>
      </w:r>
      <w:r w:rsidR="009A5302" w:rsidRPr="004044E8">
        <w:rPr>
          <w:rFonts w:ascii="Arial" w:hAnsi="Arial" w:cs="Arial"/>
        </w:rPr>
        <w:t>.</w:t>
      </w:r>
    </w:p>
    <w:p w14:paraId="197CBF76" w14:textId="77777777" w:rsidR="00F6350C" w:rsidRPr="004044E8" w:rsidRDefault="00F6350C" w:rsidP="00DE3867">
      <w:pPr>
        <w:pStyle w:val="Estilo1"/>
        <w:numPr>
          <w:ilvl w:val="0"/>
          <w:numId w:val="0"/>
        </w:numPr>
        <w:ind w:left="720"/>
        <w:rPr>
          <w:rFonts w:ascii="Arial" w:hAnsi="Arial" w:cs="Arial"/>
        </w:rPr>
      </w:pPr>
    </w:p>
    <w:p w14:paraId="34B65E47" w14:textId="6E2D3EB5" w:rsidR="001A7286" w:rsidRPr="004044E8" w:rsidRDefault="001A7286" w:rsidP="001C7188">
      <w:pPr>
        <w:pStyle w:val="Heading2"/>
        <w:rPr>
          <w:rFonts w:ascii="Arial" w:hAnsi="Arial" w:cs="Arial"/>
        </w:rPr>
      </w:pPr>
      <w:bookmarkStart w:id="49" w:name="_Toc10223113"/>
      <w:r w:rsidRPr="004044E8">
        <w:rPr>
          <w:rFonts w:ascii="Arial" w:hAnsi="Arial" w:cs="Arial"/>
        </w:rPr>
        <w:t>Mecanismos de Coordinación</w:t>
      </w:r>
      <w:bookmarkEnd w:id="49"/>
    </w:p>
    <w:p w14:paraId="0E9626EC" w14:textId="60CB68D4" w:rsidR="003D2A98" w:rsidRPr="004044E8" w:rsidRDefault="003D2A98" w:rsidP="00EA653C">
      <w:pPr>
        <w:pStyle w:val="Heading3"/>
        <w:rPr>
          <w:rFonts w:ascii="Arial" w:hAnsi="Arial" w:cs="Arial"/>
        </w:rPr>
      </w:pPr>
      <w:r w:rsidRPr="004044E8">
        <w:rPr>
          <w:rFonts w:ascii="Arial" w:hAnsi="Arial" w:cs="Arial"/>
        </w:rPr>
        <w:t xml:space="preserve">Convenios Interinstitucionales </w:t>
      </w:r>
    </w:p>
    <w:p w14:paraId="0109BEF1" w14:textId="679755BA" w:rsidR="00C17714" w:rsidRPr="004044E8" w:rsidRDefault="00EA6188" w:rsidP="00C02EF4">
      <w:pPr>
        <w:pStyle w:val="Estilo1"/>
        <w:rPr>
          <w:rFonts w:ascii="Arial" w:hAnsi="Arial" w:cs="Arial"/>
        </w:rPr>
      </w:pPr>
      <w:r w:rsidRPr="004044E8">
        <w:rPr>
          <w:rFonts w:ascii="Arial" w:hAnsi="Arial" w:cs="Arial"/>
        </w:rPr>
        <w:t>El M</w:t>
      </w:r>
      <w:r w:rsidR="00C23921" w:rsidRPr="004044E8">
        <w:rPr>
          <w:rFonts w:ascii="Arial" w:hAnsi="Arial" w:cs="Arial"/>
        </w:rPr>
        <w:t>EF</w:t>
      </w:r>
      <w:r w:rsidRPr="004044E8">
        <w:rPr>
          <w:rFonts w:ascii="Arial" w:hAnsi="Arial" w:cs="Arial"/>
        </w:rPr>
        <w:t xml:space="preserve"> trabajará muy de cerca con l</w:t>
      </w:r>
      <w:r w:rsidR="008A16FA" w:rsidRPr="004044E8">
        <w:rPr>
          <w:rFonts w:ascii="Arial" w:hAnsi="Arial" w:cs="Arial"/>
        </w:rPr>
        <w:t>o</w:t>
      </w:r>
      <w:r w:rsidRPr="004044E8">
        <w:rPr>
          <w:rFonts w:ascii="Arial" w:hAnsi="Arial" w:cs="Arial"/>
        </w:rPr>
        <w:t xml:space="preserve">s </w:t>
      </w:r>
      <w:r w:rsidR="00C23921" w:rsidRPr="004044E8">
        <w:rPr>
          <w:rFonts w:ascii="Arial" w:hAnsi="Arial" w:cs="Arial"/>
        </w:rPr>
        <w:t>OSE.</w:t>
      </w:r>
      <w:r w:rsidRPr="004044E8">
        <w:rPr>
          <w:rFonts w:ascii="Arial" w:hAnsi="Arial" w:cs="Arial"/>
        </w:rPr>
        <w:t xml:space="preserve"> Para esto se firmarán </w:t>
      </w:r>
      <w:r w:rsidRPr="004044E8">
        <w:rPr>
          <w:rFonts w:ascii="Arial" w:hAnsi="Arial" w:cs="Arial"/>
          <w:b/>
          <w:u w:val="single"/>
        </w:rPr>
        <w:t xml:space="preserve">convenios </w:t>
      </w:r>
      <w:r w:rsidR="00C23921" w:rsidRPr="004044E8">
        <w:rPr>
          <w:rFonts w:ascii="Arial" w:hAnsi="Arial" w:cs="Arial"/>
          <w:b/>
          <w:u w:val="single"/>
        </w:rPr>
        <w:t>subsidiarios entre el MEF y l</w:t>
      </w:r>
      <w:r w:rsidR="00E26F3E" w:rsidRPr="004044E8">
        <w:rPr>
          <w:rFonts w:ascii="Arial" w:hAnsi="Arial" w:cs="Arial"/>
          <w:b/>
          <w:u w:val="single"/>
        </w:rPr>
        <w:t>o</w:t>
      </w:r>
      <w:r w:rsidR="00C23921" w:rsidRPr="004044E8">
        <w:rPr>
          <w:rFonts w:ascii="Arial" w:hAnsi="Arial" w:cs="Arial"/>
          <w:b/>
          <w:u w:val="single"/>
        </w:rPr>
        <w:t>s OSE</w:t>
      </w:r>
      <w:r w:rsidR="00E26F3E" w:rsidRPr="004044E8">
        <w:rPr>
          <w:rFonts w:ascii="Arial" w:hAnsi="Arial" w:cs="Arial"/>
          <w:b/>
          <w:u w:val="single"/>
        </w:rPr>
        <w:t xml:space="preserve"> (MERNNR y MTOP)</w:t>
      </w:r>
      <w:r w:rsidR="0000333A" w:rsidRPr="004044E8">
        <w:rPr>
          <w:rFonts w:ascii="Arial" w:hAnsi="Arial" w:cs="Arial"/>
          <w:b/>
          <w:u w:val="single"/>
          <w:lang w:val="es-EC"/>
        </w:rPr>
        <w:t xml:space="preserve">, </w:t>
      </w:r>
      <w:r w:rsidR="0000333A" w:rsidRPr="004044E8">
        <w:rPr>
          <w:rFonts w:ascii="Arial" w:hAnsi="Arial" w:cs="Arial"/>
          <w:lang w:val="es-EC"/>
        </w:rPr>
        <w:t>los cuales serán anexos del ROP una vez que se encuentren suscritos</w:t>
      </w:r>
      <w:r w:rsidR="00C17714" w:rsidRPr="004044E8">
        <w:rPr>
          <w:rFonts w:ascii="Arial" w:hAnsi="Arial" w:cs="Arial"/>
          <w:lang w:val="es-EC"/>
        </w:rPr>
        <w:t>.</w:t>
      </w:r>
      <w:r w:rsidR="00C17714" w:rsidRPr="004044E8">
        <w:rPr>
          <w:rFonts w:ascii="Arial" w:hAnsi="Arial" w:cs="Arial"/>
          <w:b/>
          <w:u w:val="single"/>
          <w:lang w:val="es-EC"/>
        </w:rPr>
        <w:t xml:space="preserve"> </w:t>
      </w:r>
    </w:p>
    <w:p w14:paraId="22D55504" w14:textId="5724A305" w:rsidR="009D4748" w:rsidRPr="004044E8" w:rsidRDefault="009D4748" w:rsidP="009D4748">
      <w:pPr>
        <w:pStyle w:val="Heading3"/>
        <w:rPr>
          <w:rFonts w:ascii="Arial" w:hAnsi="Arial" w:cs="Arial"/>
        </w:rPr>
      </w:pPr>
      <w:r w:rsidRPr="004044E8">
        <w:rPr>
          <w:rFonts w:ascii="Arial" w:hAnsi="Arial" w:cs="Arial"/>
        </w:rPr>
        <w:t xml:space="preserve">Convenios </w:t>
      </w:r>
      <w:r w:rsidR="006302C6" w:rsidRPr="004044E8">
        <w:rPr>
          <w:rFonts w:ascii="Arial" w:hAnsi="Arial" w:cs="Arial"/>
        </w:rPr>
        <w:t>de Cumplimiento de Objetivos</w:t>
      </w:r>
      <w:r w:rsidRPr="004044E8">
        <w:rPr>
          <w:rFonts w:ascii="Arial" w:hAnsi="Arial" w:cs="Arial"/>
        </w:rPr>
        <w:t xml:space="preserve"> </w:t>
      </w:r>
    </w:p>
    <w:p w14:paraId="6D2B3C8A" w14:textId="33C0BEC0" w:rsidR="009D4748" w:rsidRPr="004044E8" w:rsidRDefault="00E26F3E" w:rsidP="00C02EF4">
      <w:pPr>
        <w:pStyle w:val="Estilo1"/>
        <w:rPr>
          <w:rFonts w:ascii="Arial" w:hAnsi="Arial" w:cs="Arial"/>
        </w:rPr>
      </w:pPr>
      <w:r w:rsidRPr="004044E8">
        <w:rPr>
          <w:rFonts w:ascii="Arial" w:hAnsi="Arial" w:cs="Arial"/>
        </w:rPr>
        <w:t>S</w:t>
      </w:r>
      <w:r w:rsidR="009D4748" w:rsidRPr="004044E8">
        <w:rPr>
          <w:rFonts w:ascii="Arial" w:hAnsi="Arial" w:cs="Arial"/>
        </w:rPr>
        <w:t xml:space="preserve">e firmarán convenios </w:t>
      </w:r>
      <w:r w:rsidRPr="004044E8">
        <w:rPr>
          <w:rFonts w:ascii="Arial" w:hAnsi="Arial" w:cs="Arial"/>
        </w:rPr>
        <w:t>de Cumplimiento de Objetivos</w:t>
      </w:r>
      <w:r w:rsidR="009D4748" w:rsidRPr="004044E8">
        <w:rPr>
          <w:rFonts w:ascii="Arial" w:hAnsi="Arial" w:cs="Arial"/>
        </w:rPr>
        <w:t xml:space="preserve"> entre el MEF y l</w:t>
      </w:r>
      <w:r w:rsidR="007161DA" w:rsidRPr="004044E8">
        <w:rPr>
          <w:rFonts w:ascii="Arial" w:hAnsi="Arial" w:cs="Arial"/>
        </w:rPr>
        <w:t>o</w:t>
      </w:r>
      <w:r w:rsidR="009D4748" w:rsidRPr="004044E8">
        <w:rPr>
          <w:rFonts w:ascii="Arial" w:hAnsi="Arial" w:cs="Arial"/>
        </w:rPr>
        <w:t>s OSE</w:t>
      </w:r>
      <w:r w:rsidRPr="004044E8">
        <w:rPr>
          <w:rFonts w:ascii="Arial" w:hAnsi="Arial" w:cs="Arial"/>
        </w:rPr>
        <w:t xml:space="preserve"> (EMCO, Petroecuador, Petroamazonas, CELEC, CNEL y Tame)</w:t>
      </w:r>
      <w:r w:rsidR="009D4748" w:rsidRPr="004044E8">
        <w:rPr>
          <w:rFonts w:ascii="Arial" w:hAnsi="Arial" w:cs="Arial"/>
        </w:rPr>
        <w:t xml:space="preserve">, los cuales serán anexos del ROP una vez que se encuentren suscritos. </w:t>
      </w:r>
    </w:p>
    <w:p w14:paraId="477D1888" w14:textId="7E884431" w:rsidR="0048142F" w:rsidRPr="004044E8" w:rsidRDefault="0048142F" w:rsidP="00C02EF4">
      <w:pPr>
        <w:pStyle w:val="Estilo1"/>
        <w:numPr>
          <w:ilvl w:val="0"/>
          <w:numId w:val="0"/>
        </w:numPr>
        <w:ind w:left="720"/>
        <w:rPr>
          <w:rFonts w:ascii="Arial" w:hAnsi="Arial" w:cs="Arial"/>
        </w:rPr>
      </w:pPr>
      <w:r w:rsidRPr="004044E8">
        <w:rPr>
          <w:rFonts w:ascii="Arial" w:hAnsi="Arial" w:cs="Arial"/>
        </w:rPr>
        <w:t>Recursos</w:t>
      </w:r>
    </w:p>
    <w:p w14:paraId="2522FE56" w14:textId="15FE4A22" w:rsidR="0048142F" w:rsidRPr="004044E8" w:rsidRDefault="0048142F" w:rsidP="00C02EF4">
      <w:pPr>
        <w:pStyle w:val="Estilo1"/>
        <w:rPr>
          <w:rFonts w:ascii="Arial" w:hAnsi="Arial" w:cs="Arial"/>
        </w:rPr>
      </w:pPr>
      <w:r w:rsidRPr="004044E8">
        <w:rPr>
          <w:rFonts w:ascii="Arial" w:hAnsi="Arial" w:cs="Arial"/>
        </w:rPr>
        <w:t>Para a</w:t>
      </w:r>
      <w:r w:rsidR="00106F8A" w:rsidRPr="004044E8">
        <w:rPr>
          <w:rFonts w:ascii="Arial" w:hAnsi="Arial" w:cs="Arial"/>
        </w:rPr>
        <w:t>segurar</w:t>
      </w:r>
      <w:r w:rsidRPr="004044E8">
        <w:rPr>
          <w:rFonts w:ascii="Arial" w:hAnsi="Arial" w:cs="Arial"/>
        </w:rPr>
        <w:t xml:space="preserve"> que los recursos del </w:t>
      </w:r>
      <w:r w:rsidR="00DA2CDF" w:rsidRPr="004044E8">
        <w:rPr>
          <w:rFonts w:ascii="Arial" w:hAnsi="Arial" w:cs="Arial"/>
        </w:rPr>
        <w:t>préstamo</w:t>
      </w:r>
      <w:r w:rsidRPr="004044E8">
        <w:rPr>
          <w:rFonts w:ascii="Arial" w:hAnsi="Arial" w:cs="Arial"/>
        </w:rPr>
        <w:t xml:space="preserve"> sean registrados de manera oportuna en el Programa y utilizados en los </w:t>
      </w:r>
      <w:r w:rsidR="00DA2CDF" w:rsidRPr="004044E8">
        <w:rPr>
          <w:rFonts w:ascii="Arial" w:hAnsi="Arial" w:cs="Arial"/>
        </w:rPr>
        <w:t>términos</w:t>
      </w:r>
      <w:r w:rsidRPr="004044E8">
        <w:rPr>
          <w:rFonts w:ascii="Arial" w:hAnsi="Arial" w:cs="Arial"/>
        </w:rPr>
        <w:t xml:space="preserve"> y prop</w:t>
      </w:r>
      <w:r w:rsidR="00106F8A" w:rsidRPr="004044E8">
        <w:rPr>
          <w:rFonts w:ascii="Arial" w:hAnsi="Arial" w:cs="Arial"/>
        </w:rPr>
        <w:t>ó</w:t>
      </w:r>
      <w:r w:rsidRPr="004044E8">
        <w:rPr>
          <w:rFonts w:ascii="Arial" w:hAnsi="Arial" w:cs="Arial"/>
        </w:rPr>
        <w:t xml:space="preserve">sitos acordados en el contrato de </w:t>
      </w:r>
      <w:r w:rsidR="00DA2CDF" w:rsidRPr="004044E8">
        <w:rPr>
          <w:rFonts w:ascii="Arial" w:hAnsi="Arial" w:cs="Arial"/>
        </w:rPr>
        <w:t>Préstamo</w:t>
      </w:r>
      <w:r w:rsidRPr="004044E8">
        <w:rPr>
          <w:rFonts w:ascii="Arial" w:hAnsi="Arial" w:cs="Arial"/>
        </w:rPr>
        <w:t>, se maneja el siguiente mecanismo:</w:t>
      </w:r>
    </w:p>
    <w:p w14:paraId="4A83F66B" w14:textId="39E36EF2" w:rsidR="0048142F" w:rsidRPr="004044E8" w:rsidRDefault="0048142F" w:rsidP="00DE3867">
      <w:pPr>
        <w:pStyle w:val="numeradorom"/>
        <w:numPr>
          <w:ilvl w:val="2"/>
          <w:numId w:val="27"/>
        </w:numPr>
        <w:rPr>
          <w:rFonts w:ascii="Arial" w:hAnsi="Arial" w:cs="Arial"/>
        </w:rPr>
      </w:pPr>
      <w:r w:rsidRPr="004044E8">
        <w:rPr>
          <w:rFonts w:ascii="Arial" w:hAnsi="Arial" w:cs="Arial"/>
        </w:rPr>
        <w:t xml:space="preserve">Los recursos del </w:t>
      </w:r>
      <w:r w:rsidR="00DA2CDF" w:rsidRPr="004044E8">
        <w:rPr>
          <w:rFonts w:ascii="Arial" w:hAnsi="Arial" w:cs="Arial"/>
        </w:rPr>
        <w:t>Préstamo</w:t>
      </w:r>
      <w:r w:rsidRPr="004044E8">
        <w:rPr>
          <w:rFonts w:ascii="Arial" w:hAnsi="Arial" w:cs="Arial"/>
        </w:rPr>
        <w:t xml:space="preserve"> entregados por el BID, por concepto de anticipos </w:t>
      </w:r>
      <w:r w:rsidR="00DA2CDF" w:rsidRPr="004044E8">
        <w:rPr>
          <w:rFonts w:ascii="Arial" w:hAnsi="Arial" w:cs="Arial"/>
        </w:rPr>
        <w:t>serán</w:t>
      </w:r>
      <w:r w:rsidRPr="004044E8">
        <w:rPr>
          <w:rFonts w:ascii="Arial" w:hAnsi="Arial" w:cs="Arial"/>
        </w:rPr>
        <w:t xml:space="preserve"> acreditados a la cuenta </w:t>
      </w:r>
      <w:r w:rsidR="00DA2CDF" w:rsidRPr="004044E8">
        <w:rPr>
          <w:rFonts w:ascii="Arial" w:hAnsi="Arial" w:cs="Arial"/>
        </w:rPr>
        <w:t>apertura da</w:t>
      </w:r>
      <w:r w:rsidRPr="004044E8">
        <w:rPr>
          <w:rFonts w:ascii="Arial" w:hAnsi="Arial" w:cs="Arial"/>
        </w:rPr>
        <w:t xml:space="preserve"> para los fines </w:t>
      </w:r>
      <w:r w:rsidR="00DA2CDF" w:rsidRPr="004044E8">
        <w:rPr>
          <w:rFonts w:ascii="Arial" w:hAnsi="Arial" w:cs="Arial"/>
        </w:rPr>
        <w:t>específicos</w:t>
      </w:r>
      <w:r w:rsidRPr="004044E8">
        <w:rPr>
          <w:rFonts w:ascii="Arial" w:hAnsi="Arial" w:cs="Arial"/>
        </w:rPr>
        <w:t xml:space="preserve"> del Programa EC-L12</w:t>
      </w:r>
      <w:r w:rsidR="001A2376" w:rsidRPr="004044E8">
        <w:rPr>
          <w:rFonts w:ascii="Arial" w:hAnsi="Arial" w:cs="Arial"/>
        </w:rPr>
        <w:t>51</w:t>
      </w:r>
      <w:r w:rsidRPr="004044E8">
        <w:rPr>
          <w:rFonts w:ascii="Arial" w:hAnsi="Arial" w:cs="Arial"/>
        </w:rPr>
        <w:t xml:space="preserve">, que forma parte de la Cuenta </w:t>
      </w:r>
      <w:r w:rsidR="00DA2CDF" w:rsidRPr="004044E8">
        <w:rPr>
          <w:rFonts w:ascii="Arial" w:hAnsi="Arial" w:cs="Arial"/>
        </w:rPr>
        <w:t>Única</w:t>
      </w:r>
      <w:r w:rsidRPr="004044E8">
        <w:rPr>
          <w:rFonts w:ascii="Arial" w:hAnsi="Arial" w:cs="Arial"/>
        </w:rPr>
        <w:t xml:space="preserve"> del Tesoro (CUT), de manera que los fondos que se encuentran en la CUT y todos los pagos realizados por</w:t>
      </w:r>
      <w:r w:rsidR="00106F8A" w:rsidRPr="004044E8">
        <w:rPr>
          <w:rFonts w:ascii="Arial" w:hAnsi="Arial" w:cs="Arial"/>
        </w:rPr>
        <w:t xml:space="preserve"> </w:t>
      </w:r>
      <w:r w:rsidRPr="004044E8">
        <w:rPr>
          <w:rFonts w:ascii="Arial" w:hAnsi="Arial" w:cs="Arial"/>
        </w:rPr>
        <w:t xml:space="preserve">el OE y OSE relacionados con el Programa </w:t>
      </w:r>
      <w:r w:rsidR="00DA2CDF" w:rsidRPr="004044E8">
        <w:rPr>
          <w:rFonts w:ascii="Arial" w:hAnsi="Arial" w:cs="Arial"/>
        </w:rPr>
        <w:t>saldrán</w:t>
      </w:r>
      <w:r w:rsidRPr="004044E8">
        <w:rPr>
          <w:rFonts w:ascii="Arial" w:hAnsi="Arial" w:cs="Arial"/>
        </w:rPr>
        <w:t xml:space="preserve"> de la CUT.</w:t>
      </w:r>
    </w:p>
    <w:p w14:paraId="43914428" w14:textId="0462A119" w:rsidR="0048142F" w:rsidRPr="004044E8" w:rsidRDefault="0048142F" w:rsidP="00DE3867">
      <w:pPr>
        <w:pStyle w:val="numeradorom"/>
        <w:rPr>
          <w:rFonts w:ascii="Arial" w:hAnsi="Arial" w:cs="Arial"/>
        </w:rPr>
      </w:pPr>
      <w:r w:rsidRPr="004044E8">
        <w:rPr>
          <w:rFonts w:ascii="Arial" w:hAnsi="Arial" w:cs="Arial"/>
        </w:rPr>
        <w:t xml:space="preserve">Para garantizar el uso de los recursos del </w:t>
      </w:r>
      <w:r w:rsidR="00DA2CDF" w:rsidRPr="004044E8">
        <w:rPr>
          <w:rFonts w:ascii="Arial" w:hAnsi="Arial" w:cs="Arial"/>
        </w:rPr>
        <w:t>préstamo</w:t>
      </w:r>
      <w:r w:rsidRPr="004044E8">
        <w:rPr>
          <w:rFonts w:ascii="Arial" w:hAnsi="Arial" w:cs="Arial"/>
        </w:rPr>
        <w:t xml:space="preserve"> el OE y los OSE son responsables de establecer en cada instituci</w:t>
      </w:r>
      <w:r w:rsidR="00106F8A" w:rsidRPr="004044E8">
        <w:rPr>
          <w:rFonts w:ascii="Arial" w:hAnsi="Arial" w:cs="Arial"/>
        </w:rPr>
        <w:t>ó</w:t>
      </w:r>
      <w:r w:rsidRPr="004044E8">
        <w:rPr>
          <w:rFonts w:ascii="Arial" w:hAnsi="Arial" w:cs="Arial"/>
        </w:rPr>
        <w:t xml:space="preserve">n una estructura </w:t>
      </w:r>
      <w:r w:rsidR="00DA2CDF" w:rsidRPr="004044E8">
        <w:rPr>
          <w:rFonts w:ascii="Arial" w:hAnsi="Arial" w:cs="Arial"/>
        </w:rPr>
        <w:t>programática</w:t>
      </w:r>
      <w:r w:rsidRPr="004044E8">
        <w:rPr>
          <w:rFonts w:ascii="Arial" w:hAnsi="Arial" w:cs="Arial"/>
        </w:rPr>
        <w:t xml:space="preserve"> para cada uno de los Proyectos de </w:t>
      </w:r>
      <w:r w:rsidR="007161DA" w:rsidRPr="004044E8">
        <w:rPr>
          <w:rFonts w:ascii="Arial" w:hAnsi="Arial" w:cs="Arial"/>
        </w:rPr>
        <w:t>I</w:t>
      </w:r>
      <w:r w:rsidR="00DA2CDF" w:rsidRPr="004044E8">
        <w:rPr>
          <w:rFonts w:ascii="Arial" w:hAnsi="Arial" w:cs="Arial"/>
        </w:rPr>
        <w:t>nversión</w:t>
      </w:r>
      <w:r w:rsidRPr="004044E8">
        <w:rPr>
          <w:rFonts w:ascii="Arial" w:hAnsi="Arial" w:cs="Arial"/>
        </w:rPr>
        <w:t xml:space="preserve"> Priorizados a </w:t>
      </w:r>
      <w:r w:rsidR="00DA2CDF" w:rsidRPr="004044E8">
        <w:rPr>
          <w:rFonts w:ascii="Arial" w:hAnsi="Arial" w:cs="Arial"/>
        </w:rPr>
        <w:t>través</w:t>
      </w:r>
      <w:r w:rsidRPr="004044E8">
        <w:rPr>
          <w:rFonts w:ascii="Arial" w:hAnsi="Arial" w:cs="Arial"/>
        </w:rPr>
        <w:t xml:space="preserve"> de los cuales se ejecutan los recursos del Programa, guardando relaci</w:t>
      </w:r>
      <w:r w:rsidR="00106F8A" w:rsidRPr="004044E8">
        <w:rPr>
          <w:rFonts w:ascii="Arial" w:hAnsi="Arial" w:cs="Arial"/>
        </w:rPr>
        <w:t>ó</w:t>
      </w:r>
      <w:r w:rsidRPr="004044E8">
        <w:rPr>
          <w:rFonts w:ascii="Arial" w:hAnsi="Arial" w:cs="Arial"/>
        </w:rPr>
        <w:t>n con la estructura del Programa EC-L12</w:t>
      </w:r>
      <w:r w:rsidR="00106F8A" w:rsidRPr="004044E8">
        <w:rPr>
          <w:rFonts w:ascii="Arial" w:hAnsi="Arial" w:cs="Arial"/>
        </w:rPr>
        <w:t>51</w:t>
      </w:r>
      <w:r w:rsidRPr="004044E8">
        <w:rPr>
          <w:rFonts w:ascii="Arial" w:hAnsi="Arial" w:cs="Arial"/>
        </w:rPr>
        <w:t>. La consistencia de la creaci</w:t>
      </w:r>
      <w:r w:rsidR="00106F8A" w:rsidRPr="004044E8">
        <w:rPr>
          <w:rFonts w:ascii="Arial" w:hAnsi="Arial" w:cs="Arial"/>
        </w:rPr>
        <w:t>ó</w:t>
      </w:r>
      <w:r w:rsidRPr="004044E8">
        <w:rPr>
          <w:rFonts w:ascii="Arial" w:hAnsi="Arial" w:cs="Arial"/>
        </w:rPr>
        <w:t xml:space="preserve">n de la estructura </w:t>
      </w:r>
      <w:r w:rsidR="00DA2CDF" w:rsidRPr="004044E8">
        <w:rPr>
          <w:rFonts w:ascii="Arial" w:hAnsi="Arial" w:cs="Arial"/>
        </w:rPr>
        <w:t>programática</w:t>
      </w:r>
      <w:r w:rsidRPr="004044E8">
        <w:rPr>
          <w:rFonts w:ascii="Arial" w:hAnsi="Arial" w:cs="Arial"/>
        </w:rPr>
        <w:t xml:space="preserve"> del Programa </w:t>
      </w:r>
      <w:r w:rsidR="00DA2CDF" w:rsidRPr="004044E8">
        <w:rPr>
          <w:rFonts w:ascii="Arial" w:hAnsi="Arial" w:cs="Arial"/>
        </w:rPr>
        <w:t>podrá</w:t>
      </w:r>
      <w:r w:rsidRPr="004044E8">
        <w:rPr>
          <w:rFonts w:ascii="Arial" w:hAnsi="Arial" w:cs="Arial"/>
        </w:rPr>
        <w:t xml:space="preserve"> ser revisada y observada por el EDG-MEF, en su calidad de OE.</w:t>
      </w:r>
    </w:p>
    <w:p w14:paraId="36F091D7" w14:textId="41B139FE" w:rsidR="0048142F" w:rsidRPr="004044E8" w:rsidRDefault="0048142F" w:rsidP="00DE3867">
      <w:pPr>
        <w:pStyle w:val="numeradorom"/>
        <w:rPr>
          <w:rFonts w:ascii="Arial" w:hAnsi="Arial" w:cs="Arial"/>
        </w:rPr>
      </w:pPr>
      <w:r w:rsidRPr="004044E8">
        <w:rPr>
          <w:rFonts w:ascii="Arial" w:hAnsi="Arial" w:cs="Arial"/>
        </w:rPr>
        <w:t xml:space="preserve">La estructura </w:t>
      </w:r>
      <w:r w:rsidR="00DA2CDF" w:rsidRPr="004044E8">
        <w:rPr>
          <w:rFonts w:ascii="Arial" w:hAnsi="Arial" w:cs="Arial"/>
        </w:rPr>
        <w:t>Programática</w:t>
      </w:r>
      <w:r w:rsidRPr="004044E8">
        <w:rPr>
          <w:rFonts w:ascii="Arial" w:hAnsi="Arial" w:cs="Arial"/>
        </w:rPr>
        <w:t xml:space="preserve"> consiste en a</w:t>
      </w:r>
      <w:r w:rsidR="00106F8A" w:rsidRPr="004044E8">
        <w:rPr>
          <w:rFonts w:ascii="Arial" w:hAnsi="Arial" w:cs="Arial"/>
        </w:rPr>
        <w:t>si</w:t>
      </w:r>
      <w:r w:rsidRPr="004044E8">
        <w:rPr>
          <w:rFonts w:ascii="Arial" w:hAnsi="Arial" w:cs="Arial"/>
        </w:rPr>
        <w:t>gnar presupuestariamente: (i) Programa; (</w:t>
      </w:r>
      <w:proofErr w:type="spellStart"/>
      <w:r w:rsidRPr="004044E8">
        <w:rPr>
          <w:rFonts w:ascii="Arial" w:hAnsi="Arial" w:cs="Arial"/>
        </w:rPr>
        <w:t>ii</w:t>
      </w:r>
      <w:proofErr w:type="spellEnd"/>
      <w:r w:rsidRPr="004044E8">
        <w:rPr>
          <w:rFonts w:ascii="Arial" w:hAnsi="Arial" w:cs="Arial"/>
        </w:rPr>
        <w:t xml:space="preserve">) Proyecto de </w:t>
      </w:r>
      <w:r w:rsidR="00DA2CDF" w:rsidRPr="004044E8">
        <w:rPr>
          <w:rFonts w:ascii="Arial" w:hAnsi="Arial" w:cs="Arial"/>
        </w:rPr>
        <w:t>inversión</w:t>
      </w:r>
      <w:r w:rsidRPr="004044E8">
        <w:rPr>
          <w:rFonts w:ascii="Arial" w:hAnsi="Arial" w:cs="Arial"/>
        </w:rPr>
        <w:t>; (</w:t>
      </w:r>
      <w:proofErr w:type="spellStart"/>
      <w:r w:rsidRPr="004044E8">
        <w:rPr>
          <w:rFonts w:ascii="Arial" w:hAnsi="Arial" w:cs="Arial"/>
        </w:rPr>
        <w:t>ii</w:t>
      </w:r>
      <w:proofErr w:type="spellEnd"/>
      <w:r w:rsidRPr="004044E8">
        <w:rPr>
          <w:rFonts w:ascii="Arial" w:hAnsi="Arial" w:cs="Arial"/>
        </w:rPr>
        <w:t>) Actividad; (</w:t>
      </w:r>
      <w:proofErr w:type="spellStart"/>
      <w:r w:rsidRPr="004044E8">
        <w:rPr>
          <w:rFonts w:ascii="Arial" w:hAnsi="Arial" w:cs="Arial"/>
        </w:rPr>
        <w:t>iv</w:t>
      </w:r>
      <w:proofErr w:type="spellEnd"/>
      <w:r w:rsidRPr="004044E8">
        <w:rPr>
          <w:rFonts w:ascii="Arial" w:hAnsi="Arial" w:cs="Arial"/>
        </w:rPr>
        <w:t xml:space="preserve">) </w:t>
      </w:r>
      <w:r w:rsidR="007161DA" w:rsidRPr="004044E8">
        <w:rPr>
          <w:rFonts w:ascii="Arial" w:hAnsi="Arial" w:cs="Arial"/>
        </w:rPr>
        <w:t>Í</w:t>
      </w:r>
      <w:r w:rsidR="00DA2CDF" w:rsidRPr="004044E8">
        <w:rPr>
          <w:rFonts w:ascii="Arial" w:hAnsi="Arial" w:cs="Arial"/>
        </w:rPr>
        <w:t>tem</w:t>
      </w:r>
      <w:r w:rsidRPr="004044E8">
        <w:rPr>
          <w:rFonts w:ascii="Arial" w:hAnsi="Arial" w:cs="Arial"/>
        </w:rPr>
        <w:t xml:space="preserve">; y (v) </w:t>
      </w:r>
      <w:r w:rsidR="007161DA" w:rsidRPr="004044E8">
        <w:rPr>
          <w:rFonts w:ascii="Arial" w:hAnsi="Arial" w:cs="Arial"/>
        </w:rPr>
        <w:t>F</w:t>
      </w:r>
      <w:r w:rsidRPr="004044E8">
        <w:rPr>
          <w:rFonts w:ascii="Arial" w:hAnsi="Arial" w:cs="Arial"/>
        </w:rPr>
        <w:t xml:space="preserve">uente. El "Programa" se </w:t>
      </w:r>
      <w:r w:rsidR="00AB265D" w:rsidRPr="004044E8">
        <w:rPr>
          <w:rFonts w:ascii="Arial" w:hAnsi="Arial" w:cs="Arial"/>
        </w:rPr>
        <w:t>relacionará</w:t>
      </w:r>
      <w:r w:rsidRPr="004044E8">
        <w:rPr>
          <w:rFonts w:ascii="Arial" w:hAnsi="Arial" w:cs="Arial"/>
        </w:rPr>
        <w:t xml:space="preserve"> con los Programa</w:t>
      </w:r>
      <w:r w:rsidR="00106F8A" w:rsidRPr="004044E8">
        <w:rPr>
          <w:rFonts w:ascii="Arial" w:hAnsi="Arial" w:cs="Arial"/>
        </w:rPr>
        <w:t>s</w:t>
      </w:r>
      <w:r w:rsidRPr="004044E8">
        <w:rPr>
          <w:rFonts w:ascii="Arial" w:hAnsi="Arial" w:cs="Arial"/>
        </w:rPr>
        <w:t xml:space="preserve"> presupuestarios </w:t>
      </w:r>
      <w:r w:rsidR="00106F8A" w:rsidRPr="004044E8">
        <w:rPr>
          <w:rFonts w:ascii="Arial" w:hAnsi="Arial" w:cs="Arial"/>
        </w:rPr>
        <w:t>i</w:t>
      </w:r>
      <w:r w:rsidRPr="004044E8">
        <w:rPr>
          <w:rFonts w:ascii="Arial" w:hAnsi="Arial" w:cs="Arial"/>
        </w:rPr>
        <w:t>nstitucionales a</w:t>
      </w:r>
      <w:r w:rsidR="00106F8A" w:rsidRPr="004044E8">
        <w:rPr>
          <w:rFonts w:ascii="Arial" w:hAnsi="Arial" w:cs="Arial"/>
        </w:rPr>
        <w:t>l</w:t>
      </w:r>
      <w:r w:rsidRPr="004044E8">
        <w:rPr>
          <w:rFonts w:ascii="Arial" w:hAnsi="Arial" w:cs="Arial"/>
        </w:rPr>
        <w:t>ienados a los objetivos de cada entidad; los "Proyectos" co</w:t>
      </w:r>
      <w:r w:rsidR="00106F8A" w:rsidRPr="004044E8">
        <w:rPr>
          <w:rFonts w:ascii="Arial" w:hAnsi="Arial" w:cs="Arial"/>
        </w:rPr>
        <w:t>rr</w:t>
      </w:r>
      <w:r w:rsidRPr="004044E8">
        <w:rPr>
          <w:rFonts w:ascii="Arial" w:hAnsi="Arial" w:cs="Arial"/>
        </w:rPr>
        <w:t xml:space="preserve">esponden a los Proyectos de </w:t>
      </w:r>
      <w:r w:rsidR="00DA2CDF" w:rsidRPr="004044E8">
        <w:rPr>
          <w:rFonts w:ascii="Arial" w:hAnsi="Arial" w:cs="Arial"/>
        </w:rPr>
        <w:t>inversión</w:t>
      </w:r>
      <w:r w:rsidRPr="004044E8">
        <w:rPr>
          <w:rFonts w:ascii="Arial" w:hAnsi="Arial" w:cs="Arial"/>
        </w:rPr>
        <w:t xml:space="preserve"> priorizados a </w:t>
      </w:r>
      <w:r w:rsidR="00DA2CDF" w:rsidRPr="004044E8">
        <w:rPr>
          <w:rFonts w:ascii="Arial" w:hAnsi="Arial" w:cs="Arial"/>
        </w:rPr>
        <w:t>través</w:t>
      </w:r>
      <w:r w:rsidRPr="004044E8">
        <w:rPr>
          <w:rFonts w:ascii="Arial" w:hAnsi="Arial" w:cs="Arial"/>
        </w:rPr>
        <w:t xml:space="preserve"> de los cuales se ejecutan los recursos del Programa, siendo clave en la estructura la identificaci</w:t>
      </w:r>
      <w:r w:rsidR="00106F8A" w:rsidRPr="004044E8">
        <w:rPr>
          <w:rFonts w:ascii="Arial" w:hAnsi="Arial" w:cs="Arial"/>
        </w:rPr>
        <w:t>ó</w:t>
      </w:r>
      <w:r w:rsidRPr="004044E8">
        <w:rPr>
          <w:rFonts w:ascii="Arial" w:hAnsi="Arial" w:cs="Arial"/>
        </w:rPr>
        <w:t>n del C</w:t>
      </w:r>
      <w:r w:rsidR="00106F8A" w:rsidRPr="004044E8">
        <w:rPr>
          <w:rFonts w:ascii="Arial" w:hAnsi="Arial" w:cs="Arial"/>
        </w:rPr>
        <w:t>ó</w:t>
      </w:r>
      <w:r w:rsidRPr="004044E8">
        <w:rPr>
          <w:rFonts w:ascii="Arial" w:hAnsi="Arial" w:cs="Arial"/>
        </w:rPr>
        <w:t xml:space="preserve">digo </w:t>
      </w:r>
      <w:r w:rsidR="00DA2CDF" w:rsidRPr="004044E8">
        <w:rPr>
          <w:rFonts w:ascii="Arial" w:hAnsi="Arial" w:cs="Arial"/>
        </w:rPr>
        <w:t>Único</w:t>
      </w:r>
      <w:r w:rsidRPr="004044E8">
        <w:rPr>
          <w:rFonts w:ascii="Arial" w:hAnsi="Arial" w:cs="Arial"/>
        </w:rPr>
        <w:t xml:space="preserve"> de Proyecto (CUP) de cada Proyecto de </w:t>
      </w:r>
      <w:r w:rsidR="00DA2CDF" w:rsidRPr="004044E8">
        <w:rPr>
          <w:rFonts w:ascii="Arial" w:hAnsi="Arial" w:cs="Arial"/>
        </w:rPr>
        <w:t>inversión</w:t>
      </w:r>
      <w:r w:rsidRPr="004044E8">
        <w:rPr>
          <w:rFonts w:ascii="Arial" w:hAnsi="Arial" w:cs="Arial"/>
        </w:rPr>
        <w:t xml:space="preserve">. Cada "Proyecto de </w:t>
      </w:r>
      <w:r w:rsidR="00DA2CDF" w:rsidRPr="004044E8">
        <w:rPr>
          <w:rFonts w:ascii="Arial" w:hAnsi="Arial" w:cs="Arial"/>
        </w:rPr>
        <w:t>inversión</w:t>
      </w:r>
      <w:r w:rsidRPr="004044E8">
        <w:rPr>
          <w:rFonts w:ascii="Arial" w:hAnsi="Arial" w:cs="Arial"/>
        </w:rPr>
        <w:t>", debe encontrarse priorizado por SENPLADES y en el PAI, siendo responsabilidad de los OE y de los OSE asegurar esta condici</w:t>
      </w:r>
      <w:r w:rsidR="00106F8A" w:rsidRPr="004044E8">
        <w:rPr>
          <w:rFonts w:ascii="Arial" w:hAnsi="Arial" w:cs="Arial"/>
        </w:rPr>
        <w:t>ó</w:t>
      </w:r>
      <w:r w:rsidRPr="004044E8">
        <w:rPr>
          <w:rFonts w:ascii="Arial" w:hAnsi="Arial" w:cs="Arial"/>
        </w:rPr>
        <w:t>n.</w:t>
      </w:r>
    </w:p>
    <w:p w14:paraId="5CE1D7D1" w14:textId="41426A5E" w:rsidR="0048142F" w:rsidRPr="004044E8" w:rsidRDefault="0048142F" w:rsidP="00DE3867">
      <w:pPr>
        <w:pStyle w:val="numeradorom"/>
        <w:rPr>
          <w:rFonts w:ascii="Arial" w:hAnsi="Arial" w:cs="Arial"/>
        </w:rPr>
      </w:pPr>
      <w:r w:rsidRPr="004044E8">
        <w:rPr>
          <w:rFonts w:ascii="Arial" w:hAnsi="Arial" w:cs="Arial"/>
        </w:rPr>
        <w:t>A cada CUP, se encuentran a</w:t>
      </w:r>
      <w:r w:rsidR="00106F8A" w:rsidRPr="004044E8">
        <w:rPr>
          <w:rFonts w:ascii="Arial" w:hAnsi="Arial" w:cs="Arial"/>
        </w:rPr>
        <w:t>sociadas</w:t>
      </w:r>
      <w:r w:rsidRPr="004044E8">
        <w:rPr>
          <w:rFonts w:ascii="Arial" w:hAnsi="Arial" w:cs="Arial"/>
        </w:rPr>
        <w:t xml:space="preserve"> la</w:t>
      </w:r>
      <w:r w:rsidR="00106F8A" w:rsidRPr="004044E8">
        <w:rPr>
          <w:rFonts w:ascii="Arial" w:hAnsi="Arial" w:cs="Arial"/>
        </w:rPr>
        <w:t xml:space="preserve">s </w:t>
      </w:r>
      <w:r w:rsidRPr="004044E8">
        <w:rPr>
          <w:rFonts w:ascii="Arial" w:hAnsi="Arial" w:cs="Arial"/>
        </w:rPr>
        <w:t xml:space="preserve">actividades y que vienen a ser los componentes de los "Proyectos de </w:t>
      </w:r>
      <w:r w:rsidR="00DA2CDF" w:rsidRPr="004044E8">
        <w:rPr>
          <w:rFonts w:ascii="Arial" w:hAnsi="Arial" w:cs="Arial"/>
        </w:rPr>
        <w:t>inversión</w:t>
      </w:r>
      <w:r w:rsidRPr="004044E8">
        <w:rPr>
          <w:rFonts w:ascii="Arial" w:hAnsi="Arial" w:cs="Arial"/>
        </w:rPr>
        <w:t xml:space="preserve">", el </w:t>
      </w:r>
      <w:r w:rsidR="00AB265D" w:rsidRPr="004044E8">
        <w:rPr>
          <w:rFonts w:ascii="Arial" w:hAnsi="Arial" w:cs="Arial"/>
        </w:rPr>
        <w:t>ítem</w:t>
      </w:r>
      <w:r w:rsidRPr="004044E8">
        <w:rPr>
          <w:rFonts w:ascii="Arial" w:hAnsi="Arial" w:cs="Arial"/>
        </w:rPr>
        <w:t xml:space="preserve"> es la cla</w:t>
      </w:r>
      <w:r w:rsidR="00106F8A" w:rsidRPr="004044E8">
        <w:rPr>
          <w:rFonts w:ascii="Arial" w:hAnsi="Arial" w:cs="Arial"/>
        </w:rPr>
        <w:t>s</w:t>
      </w:r>
      <w:r w:rsidRPr="004044E8">
        <w:rPr>
          <w:rFonts w:ascii="Arial" w:hAnsi="Arial" w:cs="Arial"/>
        </w:rPr>
        <w:t>ificaci</w:t>
      </w:r>
      <w:r w:rsidR="00106F8A" w:rsidRPr="004044E8">
        <w:rPr>
          <w:rFonts w:ascii="Arial" w:hAnsi="Arial" w:cs="Arial"/>
        </w:rPr>
        <w:t>ó</w:t>
      </w:r>
      <w:r w:rsidRPr="004044E8">
        <w:rPr>
          <w:rFonts w:ascii="Arial" w:hAnsi="Arial" w:cs="Arial"/>
        </w:rPr>
        <w:t>n presupuestaria para los distintos ga</w:t>
      </w:r>
      <w:r w:rsidR="001A2376" w:rsidRPr="004044E8">
        <w:rPr>
          <w:rFonts w:ascii="Arial" w:hAnsi="Arial" w:cs="Arial"/>
        </w:rPr>
        <w:t>s</w:t>
      </w:r>
      <w:r w:rsidRPr="004044E8">
        <w:rPr>
          <w:rFonts w:ascii="Arial" w:hAnsi="Arial" w:cs="Arial"/>
        </w:rPr>
        <w:t xml:space="preserve">tos y que </w:t>
      </w:r>
      <w:r w:rsidR="001A2376" w:rsidRPr="004044E8">
        <w:rPr>
          <w:rFonts w:ascii="Arial" w:hAnsi="Arial" w:cs="Arial"/>
        </w:rPr>
        <w:t xml:space="preserve">será </w:t>
      </w:r>
      <w:r w:rsidRPr="004044E8">
        <w:rPr>
          <w:rFonts w:ascii="Arial" w:hAnsi="Arial" w:cs="Arial"/>
        </w:rPr>
        <w:t>donde se registra los pagos relacionados con las contrataciones del Programa. Finalmente, la fuente comprende el organismo (para el BID</w:t>
      </w:r>
      <w:r w:rsidR="001A2376" w:rsidRPr="004044E8">
        <w:rPr>
          <w:rFonts w:ascii="Arial" w:hAnsi="Arial" w:cs="Arial"/>
        </w:rPr>
        <w:t xml:space="preserve"> </w:t>
      </w:r>
      <w:r w:rsidRPr="004044E8">
        <w:rPr>
          <w:rFonts w:ascii="Arial" w:hAnsi="Arial" w:cs="Arial"/>
        </w:rPr>
        <w:t>es el 2002) y el</w:t>
      </w:r>
      <w:r w:rsidR="001A2376" w:rsidRPr="004044E8">
        <w:rPr>
          <w:rFonts w:ascii="Arial" w:hAnsi="Arial" w:cs="Arial"/>
        </w:rPr>
        <w:t xml:space="preserve"> </w:t>
      </w:r>
      <w:r w:rsidRPr="004044E8">
        <w:rPr>
          <w:rFonts w:ascii="Arial" w:hAnsi="Arial" w:cs="Arial"/>
        </w:rPr>
        <w:t xml:space="preserve">correlativo que </w:t>
      </w:r>
      <w:r w:rsidR="00DA2CDF" w:rsidRPr="004044E8">
        <w:rPr>
          <w:rFonts w:ascii="Arial" w:hAnsi="Arial" w:cs="Arial"/>
        </w:rPr>
        <w:t>será</w:t>
      </w:r>
      <w:r w:rsidRPr="004044E8">
        <w:rPr>
          <w:rFonts w:ascii="Arial" w:hAnsi="Arial" w:cs="Arial"/>
        </w:rPr>
        <w:t xml:space="preserve"> registrado en el libro de deuda</w:t>
      </w:r>
      <w:r w:rsidR="001A2376" w:rsidRPr="004044E8">
        <w:rPr>
          <w:rFonts w:ascii="Arial" w:hAnsi="Arial" w:cs="Arial"/>
        </w:rPr>
        <w:t>.</w:t>
      </w:r>
    </w:p>
    <w:p w14:paraId="1F9442D8" w14:textId="77777777" w:rsidR="001A2376" w:rsidRPr="004044E8" w:rsidRDefault="001A2376" w:rsidP="001A2376">
      <w:pPr>
        <w:spacing w:before="44" w:line="222" w:lineRule="exact"/>
        <w:ind w:left="117"/>
        <w:rPr>
          <w:rFonts w:ascii="Arial" w:hAnsi="Arial" w:cs="Arial"/>
          <w:b/>
          <w:spacing w:val="-8"/>
          <w:sz w:val="23"/>
          <w:u w:val="single"/>
        </w:rPr>
      </w:pPr>
      <w:r w:rsidRPr="004044E8">
        <w:rPr>
          <w:rFonts w:ascii="Arial" w:hAnsi="Arial" w:cs="Arial"/>
          <w:b/>
          <w:spacing w:val="-8"/>
          <w:sz w:val="23"/>
          <w:u w:val="single"/>
        </w:rPr>
        <w:t>No Objeciones</w:t>
      </w:r>
    </w:p>
    <w:p w14:paraId="2A20EA1D" w14:textId="470AA362" w:rsidR="001A2376" w:rsidRPr="004044E8" w:rsidRDefault="001A2376" w:rsidP="00C02EF4">
      <w:pPr>
        <w:pStyle w:val="Estilo1"/>
        <w:rPr>
          <w:rFonts w:ascii="Arial" w:hAnsi="Arial" w:cs="Arial"/>
        </w:rPr>
      </w:pPr>
      <w:r w:rsidRPr="009F019B">
        <w:rPr>
          <w:rFonts w:ascii="Arial" w:hAnsi="Arial" w:cs="Arial"/>
          <w:noProof/>
        </w:rPr>
        <mc:AlternateContent>
          <mc:Choice Requires="wpg">
            <w:drawing>
              <wp:anchor distT="0" distB="0" distL="114300" distR="114300" simplePos="0" relativeHeight="251659264" behindDoc="0" locked="0" layoutInCell="1" allowOverlap="1" wp14:anchorId="6C0F2DCF" wp14:editId="0D0176A9">
                <wp:simplePos x="0" y="0"/>
                <wp:positionH relativeFrom="page">
                  <wp:posOffset>7362190</wp:posOffset>
                </wp:positionH>
                <wp:positionV relativeFrom="paragraph">
                  <wp:posOffset>201930</wp:posOffset>
                </wp:positionV>
                <wp:extent cx="17145" cy="3220085"/>
                <wp:effectExtent l="8890" t="2540" r="2540" b="635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 cy="3220085"/>
                          <a:chOff x="11594" y="318"/>
                          <a:chExt cx="27" cy="5071"/>
                        </a:xfrm>
                      </wpg:grpSpPr>
                      <wpg:grpSp>
                        <wpg:cNvPr id="9" name="Group 3"/>
                        <wpg:cNvGrpSpPr>
                          <a:grpSpLocks/>
                        </wpg:cNvGrpSpPr>
                        <wpg:grpSpPr bwMode="auto">
                          <a:xfrm>
                            <a:off x="11599" y="323"/>
                            <a:ext cx="2" cy="1606"/>
                            <a:chOff x="11599" y="323"/>
                            <a:chExt cx="2" cy="1606"/>
                          </a:xfrm>
                        </wpg:grpSpPr>
                        <wps:wsp>
                          <wps:cNvPr id="10" name="Freeform 4"/>
                          <wps:cNvSpPr>
                            <a:spLocks/>
                          </wps:cNvSpPr>
                          <wps:spPr bwMode="auto">
                            <a:xfrm>
                              <a:off x="11599" y="323"/>
                              <a:ext cx="2" cy="1606"/>
                            </a:xfrm>
                            <a:custGeom>
                              <a:avLst/>
                              <a:gdLst>
                                <a:gd name="T0" fmla="+- 0 1929 323"/>
                                <a:gd name="T1" fmla="*/ 1929 h 1606"/>
                                <a:gd name="T2" fmla="+- 0 323 323"/>
                                <a:gd name="T3" fmla="*/ 323 h 1606"/>
                              </a:gdLst>
                              <a:ahLst/>
                              <a:cxnLst>
                                <a:cxn ang="0">
                                  <a:pos x="0" y="T1"/>
                                </a:cxn>
                                <a:cxn ang="0">
                                  <a:pos x="0" y="T3"/>
                                </a:cxn>
                              </a:cxnLst>
                              <a:rect l="0" t="0" r="r" b="b"/>
                              <a:pathLst>
                                <a:path h="1606">
                                  <a:moveTo>
                                    <a:pt x="0" y="1606"/>
                                  </a:moveTo>
                                  <a:lnTo>
                                    <a:pt x="0" y="0"/>
                                  </a:lnTo>
                                </a:path>
                              </a:pathLst>
                            </a:custGeom>
                            <a:noFill/>
                            <a:ln w="60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 name="Group 5"/>
                        <wpg:cNvGrpSpPr>
                          <a:grpSpLocks/>
                        </wpg:cNvGrpSpPr>
                        <wpg:grpSpPr bwMode="auto">
                          <a:xfrm>
                            <a:off x="11615" y="1131"/>
                            <a:ext cx="2" cy="4253"/>
                            <a:chOff x="11615" y="1131"/>
                            <a:chExt cx="2" cy="4253"/>
                          </a:xfrm>
                        </wpg:grpSpPr>
                        <wps:wsp>
                          <wps:cNvPr id="12" name="Freeform 6"/>
                          <wps:cNvSpPr>
                            <a:spLocks/>
                          </wps:cNvSpPr>
                          <wps:spPr bwMode="auto">
                            <a:xfrm>
                              <a:off x="11615" y="1131"/>
                              <a:ext cx="2" cy="4253"/>
                            </a:xfrm>
                            <a:custGeom>
                              <a:avLst/>
                              <a:gdLst>
                                <a:gd name="T0" fmla="+- 0 5384 1131"/>
                                <a:gd name="T1" fmla="*/ 5384 h 4253"/>
                                <a:gd name="T2" fmla="+- 0 1131 1131"/>
                                <a:gd name="T3" fmla="*/ 1131 h 4253"/>
                              </a:gdLst>
                              <a:ahLst/>
                              <a:cxnLst>
                                <a:cxn ang="0">
                                  <a:pos x="0" y="T1"/>
                                </a:cxn>
                                <a:cxn ang="0">
                                  <a:pos x="0" y="T3"/>
                                </a:cxn>
                              </a:cxnLst>
                              <a:rect l="0" t="0" r="r" b="b"/>
                              <a:pathLst>
                                <a:path h="4253">
                                  <a:moveTo>
                                    <a:pt x="0" y="4253"/>
                                  </a:moveTo>
                                  <a:lnTo>
                                    <a:pt x="0" y="0"/>
                                  </a:lnTo>
                                </a:path>
                              </a:pathLst>
                            </a:custGeom>
                            <a:noFill/>
                            <a:ln w="60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57B8ED9" id="Group 8" o:spid="_x0000_s1026" style="position:absolute;margin-left:579.7pt;margin-top:15.9pt;width:1.35pt;height:253.55pt;z-index:251659264;mso-position-horizontal-relative:page" coordorigin="11594,318" coordsize="27,50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">
                <v:group id="Group 3" o:spid="_x0000_s1027" style="position:absolute;left:11599;top:323;width:2;height:1606" coordorigin="11599,323" coordsize="2,1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4" o:spid="_x0000_s1028" style="position:absolute;left:11599;top:323;width:2;height:1606;visibility:visible;mso-wrap-style:square;v-text-anchor:top" coordsize="2,1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" path="m,1606l,e" filled="f" strokeweight=".16794mm">
                    <v:path arrowok="t" o:connecttype="custom" o:connectlocs="0,1929;0,323" o:connectangles="0,0"/>
                  </v:shape>
                </v:group>
                <v:group id="Group 5" o:spid="_x0000_s1029" style="position:absolute;left:11615;top:1131;width:2;height:4253" coordorigin="11615,1131" coordsize="2,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6" o:spid="_x0000_s1030" style="position:absolute;left:11615;top:1131;width:2;height:4253;visibility:visible;mso-wrap-style:square;v-text-anchor:top" coordsize="2,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" path="m,4253l,e" filled="f" strokeweight=".16794mm">
                    <v:path arrowok="t" o:connecttype="custom" o:connectlocs="0,5384;0,1131" o:connectangles="0,0"/>
                  </v:shape>
                </v:group>
                <w10:wrap anchorx="page"/>
              </v:group>
            </w:pict>
          </mc:Fallback>
        </mc:AlternateContent>
      </w:r>
      <w:r w:rsidRPr="009F019B">
        <w:rPr>
          <w:rFonts w:ascii="Arial" w:hAnsi="Arial" w:cs="Arial"/>
        </w:rPr>
        <w:t xml:space="preserve">Todas las </w:t>
      </w:r>
      <w:r w:rsidR="006E18A0" w:rsidRPr="009F019B">
        <w:rPr>
          <w:rFonts w:ascii="Arial" w:hAnsi="Arial" w:cs="Arial"/>
        </w:rPr>
        <w:t>N</w:t>
      </w:r>
      <w:r w:rsidRPr="004044E8">
        <w:rPr>
          <w:rFonts w:ascii="Arial" w:hAnsi="Arial" w:cs="Arial"/>
        </w:rPr>
        <w:t xml:space="preserve">o Objeciones solicitadas al BID se realizarán a través del </w:t>
      </w:r>
      <w:r w:rsidR="00BF1EAC" w:rsidRPr="004044E8">
        <w:rPr>
          <w:rFonts w:ascii="Arial" w:hAnsi="Arial" w:cs="Arial"/>
        </w:rPr>
        <w:t>EDG</w:t>
      </w:r>
      <w:r w:rsidR="00C02EF4" w:rsidRPr="004044E8">
        <w:rPr>
          <w:rFonts w:ascii="Arial" w:hAnsi="Arial" w:cs="Arial"/>
        </w:rPr>
        <w:t>-MEF</w:t>
      </w:r>
      <w:r w:rsidRPr="004044E8">
        <w:rPr>
          <w:rFonts w:ascii="Arial" w:hAnsi="Arial" w:cs="Arial"/>
        </w:rPr>
        <w:t>, exceptuando las No</w:t>
      </w:r>
      <w:r w:rsidRPr="009F019B">
        <w:rPr>
          <w:rFonts w:ascii="Arial" w:hAnsi="Arial" w:cs="Arial"/>
          <w:noProof/>
        </w:rPr>
        <mc:AlternateContent>
          <mc:Choice Requires="wpg">
            <w:drawing>
              <wp:anchor distT="0" distB="0" distL="114300" distR="114300" simplePos="0" relativeHeight="251660288" behindDoc="0" locked="0" layoutInCell="1" allowOverlap="1" wp14:anchorId="1D5D4E5F" wp14:editId="5E126CE6">
                <wp:simplePos x="0" y="0"/>
                <wp:positionH relativeFrom="page">
                  <wp:posOffset>7386320</wp:posOffset>
                </wp:positionH>
                <wp:positionV relativeFrom="paragraph">
                  <wp:posOffset>4108450</wp:posOffset>
                </wp:positionV>
                <wp:extent cx="30480" cy="5107305"/>
                <wp:effectExtent l="4445" t="8255" r="3175" b="889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80" cy="5107305"/>
                          <a:chOff x="11632" y="6470"/>
                          <a:chExt cx="48" cy="8043"/>
                        </a:xfrm>
                      </wpg:grpSpPr>
                      <wpg:grpSp>
                        <wpg:cNvPr id="2" name="Group 8"/>
                        <wpg:cNvGrpSpPr>
                          <a:grpSpLocks/>
                        </wpg:cNvGrpSpPr>
                        <wpg:grpSpPr bwMode="auto">
                          <a:xfrm>
                            <a:off x="11637" y="6474"/>
                            <a:ext cx="2" cy="2390"/>
                            <a:chOff x="11637" y="6474"/>
                            <a:chExt cx="2" cy="2390"/>
                          </a:xfrm>
                        </wpg:grpSpPr>
                        <wps:wsp>
                          <wps:cNvPr id="3" name="Freeform 9"/>
                          <wps:cNvSpPr>
                            <a:spLocks/>
                          </wps:cNvSpPr>
                          <wps:spPr bwMode="auto">
                            <a:xfrm>
                              <a:off x="11637" y="6474"/>
                              <a:ext cx="2" cy="2390"/>
                            </a:xfrm>
                            <a:custGeom>
                              <a:avLst/>
                              <a:gdLst>
                                <a:gd name="T0" fmla="+- 0 8864 6474"/>
                                <a:gd name="T1" fmla="*/ 8864 h 2390"/>
                                <a:gd name="T2" fmla="+- 0 6474 6474"/>
                                <a:gd name="T3" fmla="*/ 6474 h 2390"/>
                              </a:gdLst>
                              <a:ahLst/>
                              <a:cxnLst>
                                <a:cxn ang="0">
                                  <a:pos x="0" y="T1"/>
                                </a:cxn>
                                <a:cxn ang="0">
                                  <a:pos x="0" y="T3"/>
                                </a:cxn>
                              </a:cxnLst>
                              <a:rect l="0" t="0" r="r" b="b"/>
                              <a:pathLst>
                                <a:path h="2390">
                                  <a:moveTo>
                                    <a:pt x="0" y="2390"/>
                                  </a:moveTo>
                                  <a:lnTo>
                                    <a:pt x="0" y="0"/>
                                  </a:lnTo>
                                </a:path>
                              </a:pathLst>
                            </a:custGeom>
                            <a:noFill/>
                            <a:ln w="60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 name="Group 10"/>
                        <wpg:cNvGrpSpPr>
                          <a:grpSpLocks/>
                        </wpg:cNvGrpSpPr>
                        <wpg:grpSpPr bwMode="auto">
                          <a:xfrm>
                            <a:off x="11656" y="7315"/>
                            <a:ext cx="2" cy="6581"/>
                            <a:chOff x="11656" y="7315"/>
                            <a:chExt cx="2" cy="6581"/>
                          </a:xfrm>
                        </wpg:grpSpPr>
                        <wps:wsp>
                          <wps:cNvPr id="5" name="Freeform 11"/>
                          <wps:cNvSpPr>
                            <a:spLocks/>
                          </wps:cNvSpPr>
                          <wps:spPr bwMode="auto">
                            <a:xfrm>
                              <a:off x="11656" y="7315"/>
                              <a:ext cx="2" cy="6581"/>
                            </a:xfrm>
                            <a:custGeom>
                              <a:avLst/>
                              <a:gdLst>
                                <a:gd name="T0" fmla="+- 0 13896 7315"/>
                                <a:gd name="T1" fmla="*/ 13896 h 6581"/>
                                <a:gd name="T2" fmla="+- 0 7315 7315"/>
                                <a:gd name="T3" fmla="*/ 7315 h 6581"/>
                              </a:gdLst>
                              <a:ahLst/>
                              <a:cxnLst>
                                <a:cxn ang="0">
                                  <a:pos x="0" y="T1"/>
                                </a:cxn>
                                <a:cxn ang="0">
                                  <a:pos x="0" y="T3"/>
                                </a:cxn>
                              </a:cxnLst>
                              <a:rect l="0" t="0" r="r" b="b"/>
                              <a:pathLst>
                                <a:path h="6581">
                                  <a:moveTo>
                                    <a:pt x="0" y="6581"/>
                                  </a:moveTo>
                                  <a:lnTo>
                                    <a:pt x="0" y="0"/>
                                  </a:lnTo>
                                </a:path>
                              </a:pathLst>
                            </a:custGeom>
                            <a:noFill/>
                            <a:ln w="60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 name="Group 12"/>
                        <wpg:cNvGrpSpPr>
                          <a:grpSpLocks/>
                        </wpg:cNvGrpSpPr>
                        <wpg:grpSpPr bwMode="auto">
                          <a:xfrm>
                            <a:off x="11675" y="12180"/>
                            <a:ext cx="2" cy="2328"/>
                            <a:chOff x="11675" y="12180"/>
                            <a:chExt cx="2" cy="2328"/>
                          </a:xfrm>
                        </wpg:grpSpPr>
                        <wps:wsp>
                          <wps:cNvPr id="7" name="Freeform 13"/>
                          <wps:cNvSpPr>
                            <a:spLocks/>
                          </wps:cNvSpPr>
                          <wps:spPr bwMode="auto">
                            <a:xfrm>
                              <a:off x="11675" y="12180"/>
                              <a:ext cx="2" cy="2328"/>
                            </a:xfrm>
                            <a:custGeom>
                              <a:avLst/>
                              <a:gdLst>
                                <a:gd name="T0" fmla="+- 0 14507 12180"/>
                                <a:gd name="T1" fmla="*/ 14507 h 2328"/>
                                <a:gd name="T2" fmla="+- 0 12180 12180"/>
                                <a:gd name="T3" fmla="*/ 12180 h 2328"/>
                              </a:gdLst>
                              <a:ahLst/>
                              <a:cxnLst>
                                <a:cxn ang="0">
                                  <a:pos x="0" y="T1"/>
                                </a:cxn>
                                <a:cxn ang="0">
                                  <a:pos x="0" y="T3"/>
                                </a:cxn>
                              </a:cxnLst>
                              <a:rect l="0" t="0" r="r" b="b"/>
                              <a:pathLst>
                                <a:path h="2328">
                                  <a:moveTo>
                                    <a:pt x="0" y="2327"/>
                                  </a:moveTo>
                                  <a:lnTo>
                                    <a:pt x="0" y="0"/>
                                  </a:lnTo>
                                </a:path>
                              </a:pathLst>
                            </a:custGeom>
                            <a:noFill/>
                            <a:ln w="60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D4BCBDB" id="Group 1" o:spid="_x0000_s1026" style="position:absolute;margin-left:581.6pt;margin-top:323.5pt;width:2.4pt;height:402.15pt;z-index:251660288;mso-position-horizontal-relative:page" coordorigin="11632,6470" coordsize="48,8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">
                <v:group id="Group 8" o:spid="_x0000_s1027" style="position:absolute;left:11637;top:6474;width:2;height:2390" coordorigin="11637,6474" coordsize="2,2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9" o:spid="_x0000_s1028" style="position:absolute;left:11637;top:6474;width:2;height:2390;visibility:visible;mso-wrap-style:square;v-text-anchor:top" coordsize="2,2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" path="m,2390l,e" filled="f" strokeweight=".16794mm">
                    <v:path arrowok="t" o:connecttype="custom" o:connectlocs="0,8864;0,6474" o:connectangles="0,0"/>
                  </v:shape>
                </v:group>
                <v:group id="Group 10" o:spid="_x0000_s1029" style="position:absolute;left:11656;top:7315;width:2;height:6581" coordorigin="11656,7315" coordsize="2,6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11" o:spid="_x0000_s1030" style="position:absolute;left:11656;top:7315;width:2;height:6581;visibility:visible;mso-wrap-style:square;v-text-anchor:top" coordsize="2,6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" path="m,6581l,e" filled="f" strokeweight=".16794mm">
                    <v:path arrowok="t" o:connecttype="custom" o:connectlocs="0,13896;0,7315" o:connectangles="0,0"/>
                  </v:shape>
                </v:group>
                <v:group id="Group 12" o:spid="_x0000_s1031" style="position:absolute;left:11675;top:12180;width:2;height:2328" coordorigin="11675,12180" coordsize="2,2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13" o:spid="_x0000_s1032" style="position:absolute;left:11675;top:12180;width:2;height:2328;visibility:visible;mso-wrap-style:square;v-text-anchor:top" coordsize="2,2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" path="m,2327l,e" filled="f" strokeweight=".16794mm">
                    <v:path arrowok="t" o:connecttype="custom" o:connectlocs="0,14507;0,12180" o:connectangles="0,0"/>
                  </v:shape>
                </v:group>
                <w10:wrap anchorx="page"/>
              </v:group>
            </w:pict>
          </mc:Fallback>
        </mc:AlternateContent>
      </w:r>
      <w:r w:rsidRPr="009F019B">
        <w:rPr>
          <w:rFonts w:ascii="Arial" w:hAnsi="Arial" w:cs="Arial"/>
        </w:rPr>
        <w:t xml:space="preserve"> Objeciones a los procesos de adquisiciones de las actividades de</w:t>
      </w:r>
      <w:r w:rsidR="00341F99" w:rsidRPr="009F019B">
        <w:rPr>
          <w:rFonts w:ascii="Arial" w:hAnsi="Arial" w:cs="Arial"/>
        </w:rPr>
        <w:t xml:space="preserve"> EMCO, el</w:t>
      </w:r>
      <w:r w:rsidRPr="004044E8">
        <w:rPr>
          <w:rFonts w:ascii="Arial" w:hAnsi="Arial" w:cs="Arial"/>
        </w:rPr>
        <w:t xml:space="preserve"> MERNNR y el MTOP y todas las acciones contractuales que se deriven de cada proceso.</w:t>
      </w:r>
    </w:p>
    <w:p w14:paraId="386C396B" w14:textId="77777777" w:rsidR="001A2376" w:rsidRPr="004044E8" w:rsidRDefault="001A2376" w:rsidP="00C02EF4">
      <w:pPr>
        <w:pStyle w:val="Estilo1"/>
        <w:numPr>
          <w:ilvl w:val="0"/>
          <w:numId w:val="0"/>
        </w:numPr>
        <w:ind w:left="720"/>
        <w:rPr>
          <w:rFonts w:ascii="Arial" w:hAnsi="Arial" w:cs="Arial"/>
        </w:rPr>
      </w:pPr>
    </w:p>
    <w:p w14:paraId="22856A54" w14:textId="4F833D1F" w:rsidR="00A8130D" w:rsidRPr="004044E8" w:rsidRDefault="00993D51" w:rsidP="00FA4527">
      <w:pPr>
        <w:pStyle w:val="Heading1"/>
        <w:rPr>
          <w:rFonts w:ascii="Arial" w:hAnsi="Arial" w:cs="Arial"/>
        </w:rPr>
      </w:pPr>
      <w:bookmarkStart w:id="50" w:name="_Toc454056457"/>
      <w:bookmarkStart w:id="51" w:name="_Toc10223114"/>
      <w:r w:rsidRPr="004044E8">
        <w:rPr>
          <w:rFonts w:ascii="Arial" w:hAnsi="Arial" w:cs="Arial"/>
        </w:rPr>
        <w:lastRenderedPageBreak/>
        <w:t xml:space="preserve">Gestión </w:t>
      </w:r>
      <w:r w:rsidR="00A8130D" w:rsidRPr="004044E8">
        <w:rPr>
          <w:rFonts w:ascii="Arial" w:hAnsi="Arial" w:cs="Arial"/>
        </w:rPr>
        <w:t>del Programa</w:t>
      </w:r>
      <w:bookmarkEnd w:id="50"/>
      <w:bookmarkEnd w:id="51"/>
    </w:p>
    <w:p w14:paraId="7F82402B" w14:textId="769C2FBB" w:rsidR="000D4367" w:rsidRPr="004044E8" w:rsidRDefault="000D4367" w:rsidP="001C7188">
      <w:pPr>
        <w:pStyle w:val="Heading2"/>
        <w:numPr>
          <w:ilvl w:val="0"/>
          <w:numId w:val="6"/>
        </w:numPr>
        <w:rPr>
          <w:rFonts w:ascii="Arial" w:hAnsi="Arial" w:cs="Arial"/>
        </w:rPr>
      </w:pPr>
      <w:bookmarkStart w:id="52" w:name="_Toc424879203"/>
      <w:bookmarkStart w:id="53" w:name="_Toc454056458"/>
      <w:bookmarkStart w:id="54" w:name="_Toc10223115"/>
      <w:r w:rsidRPr="004044E8">
        <w:rPr>
          <w:rFonts w:ascii="Arial" w:hAnsi="Arial" w:cs="Arial"/>
        </w:rPr>
        <w:t>Gestión para Resultados del Programa</w:t>
      </w:r>
      <w:bookmarkEnd w:id="52"/>
      <w:bookmarkEnd w:id="53"/>
      <w:bookmarkEnd w:id="54"/>
    </w:p>
    <w:p w14:paraId="7FB190D7" w14:textId="77777777" w:rsidR="00B648AC" w:rsidRPr="004044E8" w:rsidRDefault="00B648AC" w:rsidP="00FD0DF3">
      <w:pPr>
        <w:pStyle w:val="ListParagraph"/>
        <w:numPr>
          <w:ilvl w:val="0"/>
          <w:numId w:val="16"/>
        </w:numPr>
        <w:tabs>
          <w:tab w:val="clear" w:pos="720"/>
        </w:tabs>
        <w:spacing w:before="0" w:after="100"/>
        <w:jc w:val="both"/>
        <w:rPr>
          <w:rFonts w:ascii="Arial" w:hAnsi="Arial" w:cs="Arial"/>
          <w:vanish/>
          <w:lang w:val="es-ES"/>
        </w:rPr>
      </w:pPr>
    </w:p>
    <w:p w14:paraId="798A7C23" w14:textId="77777777" w:rsidR="00B648AC" w:rsidRPr="004044E8" w:rsidRDefault="00B648AC" w:rsidP="00FD0DF3">
      <w:pPr>
        <w:pStyle w:val="ListParagraph"/>
        <w:numPr>
          <w:ilvl w:val="0"/>
          <w:numId w:val="16"/>
        </w:numPr>
        <w:tabs>
          <w:tab w:val="clear" w:pos="720"/>
        </w:tabs>
        <w:spacing w:before="0" w:after="100"/>
        <w:jc w:val="both"/>
        <w:rPr>
          <w:rFonts w:ascii="Arial" w:hAnsi="Arial" w:cs="Arial"/>
          <w:vanish/>
          <w:lang w:val="es-ES"/>
        </w:rPr>
      </w:pPr>
    </w:p>
    <w:p w14:paraId="53F01AD7" w14:textId="77777777" w:rsidR="00B648AC" w:rsidRPr="004044E8" w:rsidRDefault="00B648AC" w:rsidP="00FD0DF3">
      <w:pPr>
        <w:pStyle w:val="ListParagraph"/>
        <w:numPr>
          <w:ilvl w:val="0"/>
          <w:numId w:val="16"/>
        </w:numPr>
        <w:tabs>
          <w:tab w:val="clear" w:pos="720"/>
        </w:tabs>
        <w:spacing w:before="0" w:after="100"/>
        <w:jc w:val="both"/>
        <w:rPr>
          <w:rFonts w:ascii="Arial" w:hAnsi="Arial" w:cs="Arial"/>
          <w:vanish/>
          <w:lang w:val="es-ES"/>
        </w:rPr>
      </w:pPr>
    </w:p>
    <w:p w14:paraId="3DCF3570" w14:textId="77777777" w:rsidR="00B648AC" w:rsidRPr="004044E8" w:rsidRDefault="00B648AC" w:rsidP="00FD0DF3">
      <w:pPr>
        <w:pStyle w:val="ListParagraph"/>
        <w:numPr>
          <w:ilvl w:val="0"/>
          <w:numId w:val="16"/>
        </w:numPr>
        <w:tabs>
          <w:tab w:val="clear" w:pos="720"/>
        </w:tabs>
        <w:spacing w:before="0" w:after="100"/>
        <w:jc w:val="both"/>
        <w:rPr>
          <w:rFonts w:ascii="Arial" w:hAnsi="Arial" w:cs="Arial"/>
          <w:vanish/>
          <w:lang w:val="es-ES"/>
        </w:rPr>
      </w:pPr>
    </w:p>
    <w:p w14:paraId="1EBE6096" w14:textId="18FA2089" w:rsidR="00B648AC" w:rsidRPr="004044E8" w:rsidRDefault="00B648AC" w:rsidP="00C02EF4">
      <w:pPr>
        <w:pStyle w:val="Estilo1"/>
        <w:numPr>
          <w:ilvl w:val="1"/>
          <w:numId w:val="16"/>
        </w:numPr>
        <w:rPr>
          <w:rFonts w:ascii="Arial" w:hAnsi="Arial" w:cs="Arial"/>
        </w:rPr>
      </w:pPr>
      <w:r w:rsidRPr="004044E8">
        <w:rPr>
          <w:rFonts w:ascii="Arial" w:hAnsi="Arial" w:cs="Arial"/>
        </w:rPr>
        <w:t>La gestión del Programa estará encaminada al cumplimiento de resultados. Por lo tanto, el conjunto de actividades y productos deberá articularse sobre la base de la cadena de resultados, que se establece en la Matriz de Resultados del Programa (</w:t>
      </w:r>
      <w:proofErr w:type="spellStart"/>
      <w:r w:rsidRPr="004044E8">
        <w:rPr>
          <w:rFonts w:ascii="Arial" w:hAnsi="Arial" w:cs="Arial"/>
        </w:rPr>
        <w:t>MdR</w:t>
      </w:r>
      <w:proofErr w:type="spellEnd"/>
      <w:r w:rsidRPr="004044E8">
        <w:rPr>
          <w:rFonts w:ascii="Arial" w:hAnsi="Arial" w:cs="Arial"/>
        </w:rPr>
        <w:t xml:space="preserve">). Será responsabilidad del </w:t>
      </w:r>
      <w:r w:rsidR="003D0B0C" w:rsidRPr="004044E8">
        <w:rPr>
          <w:rFonts w:ascii="Arial" w:hAnsi="Arial" w:cs="Arial"/>
        </w:rPr>
        <w:t>EDG-MEF</w:t>
      </w:r>
      <w:r w:rsidRPr="004044E8">
        <w:rPr>
          <w:rFonts w:ascii="Arial" w:hAnsi="Arial" w:cs="Arial"/>
        </w:rPr>
        <w:t xml:space="preserve">, mantener la coherencia e integralidad entre las actividades, los productos y los resultados del Programa establecidos en las herramientas de gestión del Programa, las cuales son: </w:t>
      </w:r>
    </w:p>
    <w:p w14:paraId="27A5FC1F" w14:textId="2F736A40" w:rsidR="00B97A56" w:rsidRPr="004044E8" w:rsidRDefault="00420166" w:rsidP="00EA653C">
      <w:pPr>
        <w:pStyle w:val="Heading3"/>
        <w:rPr>
          <w:rFonts w:ascii="Arial" w:hAnsi="Arial" w:cs="Arial"/>
        </w:rPr>
      </w:pPr>
      <w:r w:rsidRPr="004044E8">
        <w:rPr>
          <w:rFonts w:ascii="Arial" w:hAnsi="Arial" w:cs="Arial"/>
        </w:rPr>
        <w:t>La Matriz de Resultados (</w:t>
      </w:r>
      <w:proofErr w:type="spellStart"/>
      <w:r w:rsidRPr="004044E8">
        <w:rPr>
          <w:rFonts w:ascii="Arial" w:hAnsi="Arial" w:cs="Arial"/>
        </w:rPr>
        <w:t>M</w:t>
      </w:r>
      <w:r w:rsidR="00B97A56" w:rsidRPr="004044E8">
        <w:rPr>
          <w:rFonts w:ascii="Arial" w:hAnsi="Arial" w:cs="Arial"/>
        </w:rPr>
        <w:t>d</w:t>
      </w:r>
      <w:r w:rsidRPr="004044E8">
        <w:rPr>
          <w:rFonts w:ascii="Arial" w:hAnsi="Arial" w:cs="Arial"/>
        </w:rPr>
        <w:t>R</w:t>
      </w:r>
      <w:proofErr w:type="spellEnd"/>
      <w:r w:rsidRPr="004044E8">
        <w:rPr>
          <w:rFonts w:ascii="Arial" w:hAnsi="Arial" w:cs="Arial"/>
        </w:rPr>
        <w:t>)</w:t>
      </w:r>
      <w:r w:rsidR="00B97A56" w:rsidRPr="004044E8">
        <w:rPr>
          <w:rFonts w:ascii="Arial" w:hAnsi="Arial" w:cs="Arial"/>
        </w:rPr>
        <w:t xml:space="preserve"> </w:t>
      </w:r>
    </w:p>
    <w:p w14:paraId="715E8FCC" w14:textId="0B91AA31" w:rsidR="00BB2B88" w:rsidRPr="004044E8" w:rsidRDefault="00B97A56" w:rsidP="00C02EF4">
      <w:pPr>
        <w:pStyle w:val="Estilo1"/>
        <w:rPr>
          <w:rFonts w:ascii="Arial" w:hAnsi="Arial" w:cs="Arial"/>
        </w:rPr>
      </w:pPr>
      <w:r w:rsidRPr="004044E8">
        <w:rPr>
          <w:rFonts w:ascii="Arial" w:hAnsi="Arial" w:cs="Arial"/>
        </w:rPr>
        <w:t xml:space="preserve">La </w:t>
      </w:r>
      <w:proofErr w:type="spellStart"/>
      <w:r w:rsidRPr="004044E8">
        <w:rPr>
          <w:rFonts w:ascii="Arial" w:hAnsi="Arial" w:cs="Arial"/>
        </w:rPr>
        <w:t>MdR</w:t>
      </w:r>
      <w:proofErr w:type="spellEnd"/>
      <w:r w:rsidRPr="004044E8">
        <w:rPr>
          <w:rFonts w:ascii="Arial" w:hAnsi="Arial" w:cs="Arial"/>
        </w:rPr>
        <w:t>, contiene</w:t>
      </w:r>
      <w:r w:rsidR="00420166" w:rsidRPr="004044E8">
        <w:rPr>
          <w:rFonts w:ascii="Arial" w:hAnsi="Arial" w:cs="Arial"/>
        </w:rPr>
        <w:t xml:space="preserve"> la línea de base y las metas físicas de los productos </w:t>
      </w:r>
      <w:r w:rsidR="00A94B31" w:rsidRPr="004044E8">
        <w:rPr>
          <w:rFonts w:ascii="Arial" w:hAnsi="Arial" w:cs="Arial"/>
        </w:rPr>
        <w:t>del Programa</w:t>
      </w:r>
      <w:r w:rsidR="00420166" w:rsidRPr="004044E8">
        <w:rPr>
          <w:rFonts w:ascii="Arial" w:hAnsi="Arial" w:cs="Arial"/>
        </w:rPr>
        <w:t xml:space="preserve">. Es la base para realizar el seguimiento físico </w:t>
      </w:r>
      <w:r w:rsidR="00A94B31" w:rsidRPr="004044E8">
        <w:rPr>
          <w:rFonts w:ascii="Arial" w:hAnsi="Arial" w:cs="Arial"/>
        </w:rPr>
        <w:t>del Programa</w:t>
      </w:r>
      <w:r w:rsidR="00420166" w:rsidRPr="004044E8">
        <w:rPr>
          <w:rFonts w:ascii="Arial" w:hAnsi="Arial" w:cs="Arial"/>
        </w:rPr>
        <w:t xml:space="preserve"> y establecer las pautas para su evaluación. </w:t>
      </w:r>
      <w:r w:rsidR="00BB2B88" w:rsidRPr="004044E8">
        <w:rPr>
          <w:rFonts w:ascii="Arial" w:hAnsi="Arial" w:cs="Arial"/>
        </w:rPr>
        <w:t>Se presenta como parte de la Propuesta de Desarrollo de la Operación (POD) y durante el periodo de ejecución se refleja en la matriz del Reporte de Monitoreo del Programa (PMR). Se focaliza en los: (i) productos; (</w:t>
      </w:r>
      <w:proofErr w:type="spellStart"/>
      <w:r w:rsidR="00BB2B88" w:rsidRPr="004044E8">
        <w:rPr>
          <w:rFonts w:ascii="Arial" w:hAnsi="Arial" w:cs="Arial"/>
        </w:rPr>
        <w:t>ii</w:t>
      </w:r>
      <w:proofErr w:type="spellEnd"/>
      <w:r w:rsidR="00BB2B88" w:rsidRPr="004044E8">
        <w:rPr>
          <w:rFonts w:ascii="Arial" w:hAnsi="Arial" w:cs="Arial"/>
        </w:rPr>
        <w:t>) resultados, e (</w:t>
      </w:r>
      <w:proofErr w:type="spellStart"/>
      <w:r w:rsidR="00BB2B88" w:rsidRPr="004044E8">
        <w:rPr>
          <w:rFonts w:ascii="Arial" w:hAnsi="Arial" w:cs="Arial"/>
        </w:rPr>
        <w:t>iii</w:t>
      </w:r>
      <w:proofErr w:type="spellEnd"/>
      <w:r w:rsidR="00BB2B88" w:rsidRPr="004044E8">
        <w:rPr>
          <w:rFonts w:ascii="Arial" w:hAnsi="Arial" w:cs="Arial"/>
        </w:rPr>
        <w:t xml:space="preserve">) impacto, prioritarios de la operación. La </w:t>
      </w:r>
      <w:proofErr w:type="spellStart"/>
      <w:r w:rsidR="00BB2B88" w:rsidRPr="004044E8">
        <w:rPr>
          <w:rFonts w:ascii="Arial" w:hAnsi="Arial" w:cs="Arial"/>
        </w:rPr>
        <w:t>MdR</w:t>
      </w:r>
      <w:proofErr w:type="spellEnd"/>
      <w:r w:rsidR="00BB2B88" w:rsidRPr="004044E8">
        <w:rPr>
          <w:rFonts w:ascii="Arial" w:hAnsi="Arial" w:cs="Arial"/>
        </w:rPr>
        <w:t xml:space="preserve"> es la herramienta que se usar</w:t>
      </w:r>
      <w:r w:rsidR="008E31AB" w:rsidRPr="004044E8">
        <w:rPr>
          <w:rFonts w:ascii="Arial" w:hAnsi="Arial" w:cs="Arial"/>
        </w:rPr>
        <w:t>á</w:t>
      </w:r>
      <w:r w:rsidR="00BB2B88" w:rsidRPr="004044E8">
        <w:rPr>
          <w:rFonts w:ascii="Arial" w:hAnsi="Arial" w:cs="Arial"/>
        </w:rPr>
        <w:t xml:space="preserve"> para establecer si el proyecto cumplió con sus objetivos de desarrollo. </w:t>
      </w:r>
      <w:r w:rsidR="008E31AB" w:rsidRPr="004044E8">
        <w:rPr>
          <w:rFonts w:ascii="Arial" w:hAnsi="Arial" w:cs="Arial"/>
        </w:rPr>
        <w:t xml:space="preserve"> Será responsabilidad del </w:t>
      </w:r>
      <w:r w:rsidR="003D0B0C" w:rsidRPr="004044E8">
        <w:rPr>
          <w:rFonts w:ascii="Arial" w:hAnsi="Arial" w:cs="Arial"/>
        </w:rPr>
        <w:t>EDG-MEF</w:t>
      </w:r>
      <w:r w:rsidR="008E31AB" w:rsidRPr="004044E8">
        <w:rPr>
          <w:rFonts w:ascii="Arial" w:hAnsi="Arial" w:cs="Arial"/>
        </w:rPr>
        <w:t xml:space="preserve"> documentar, las modificaciones efectuadas en la </w:t>
      </w:r>
      <w:proofErr w:type="spellStart"/>
      <w:r w:rsidR="008E31AB" w:rsidRPr="004044E8">
        <w:rPr>
          <w:rFonts w:ascii="Arial" w:hAnsi="Arial" w:cs="Arial"/>
        </w:rPr>
        <w:t>MdR</w:t>
      </w:r>
      <w:proofErr w:type="spellEnd"/>
      <w:r w:rsidR="008E31AB" w:rsidRPr="004044E8">
        <w:rPr>
          <w:rFonts w:ascii="Arial" w:hAnsi="Arial" w:cs="Arial"/>
        </w:rPr>
        <w:t xml:space="preserve">, los procedimientos utilizados para medir los indicadores de resultados establecidos en la </w:t>
      </w:r>
      <w:proofErr w:type="spellStart"/>
      <w:r w:rsidR="008E31AB" w:rsidRPr="004044E8">
        <w:rPr>
          <w:rFonts w:ascii="Arial" w:hAnsi="Arial" w:cs="Arial"/>
        </w:rPr>
        <w:t>MdR</w:t>
      </w:r>
      <w:proofErr w:type="spellEnd"/>
      <w:r w:rsidR="008E31AB" w:rsidRPr="004044E8">
        <w:rPr>
          <w:rFonts w:ascii="Arial" w:hAnsi="Arial" w:cs="Arial"/>
        </w:rPr>
        <w:t xml:space="preserve"> y las revisiones de metas, con miras a facilitar las evaluaciones de medio término y de cierre del Programa.</w:t>
      </w:r>
    </w:p>
    <w:p w14:paraId="5492A2E1" w14:textId="77777777" w:rsidR="00B97A56" w:rsidRPr="004044E8" w:rsidRDefault="002B1C77" w:rsidP="00EA653C">
      <w:pPr>
        <w:pStyle w:val="Heading3"/>
        <w:rPr>
          <w:rFonts w:ascii="Arial" w:hAnsi="Arial" w:cs="Arial"/>
        </w:rPr>
      </w:pPr>
      <w:r w:rsidRPr="004044E8">
        <w:rPr>
          <w:rFonts w:ascii="Arial" w:hAnsi="Arial" w:cs="Arial"/>
        </w:rPr>
        <w:t xml:space="preserve">El Reporte de Monitoreo del Programa (PMR) </w:t>
      </w:r>
    </w:p>
    <w:p w14:paraId="2C12C968" w14:textId="49F47769" w:rsidR="002B1C77" w:rsidRPr="004044E8" w:rsidRDefault="00B97A56" w:rsidP="00C02EF4">
      <w:pPr>
        <w:pStyle w:val="Estilo1"/>
        <w:rPr>
          <w:rFonts w:ascii="Arial" w:hAnsi="Arial" w:cs="Arial"/>
        </w:rPr>
      </w:pPr>
      <w:r w:rsidRPr="004044E8">
        <w:rPr>
          <w:rFonts w:ascii="Arial" w:hAnsi="Arial" w:cs="Arial"/>
        </w:rPr>
        <w:t xml:space="preserve">El PMR </w:t>
      </w:r>
      <w:r w:rsidR="002B1C77" w:rsidRPr="004044E8">
        <w:rPr>
          <w:rFonts w:ascii="Arial" w:hAnsi="Arial" w:cs="Arial"/>
        </w:rPr>
        <w:t>se basa en</w:t>
      </w:r>
      <w:r w:rsidR="005B0E0E" w:rsidRPr="004044E8">
        <w:rPr>
          <w:rFonts w:ascii="Arial" w:hAnsi="Arial" w:cs="Arial"/>
        </w:rPr>
        <w:t xml:space="preserve"> la</w:t>
      </w:r>
      <w:r w:rsidR="002B1C77" w:rsidRPr="004044E8">
        <w:rPr>
          <w:rFonts w:ascii="Arial" w:hAnsi="Arial" w:cs="Arial"/>
        </w:rPr>
        <w:t xml:space="preserve"> </w:t>
      </w:r>
      <w:proofErr w:type="spellStart"/>
      <w:r w:rsidR="002B1C77" w:rsidRPr="004044E8">
        <w:rPr>
          <w:rFonts w:ascii="Arial" w:hAnsi="Arial" w:cs="Arial"/>
        </w:rPr>
        <w:t>MdR</w:t>
      </w:r>
      <w:proofErr w:type="spellEnd"/>
      <w:r w:rsidR="002B1C77" w:rsidRPr="004044E8">
        <w:rPr>
          <w:rFonts w:ascii="Arial" w:hAnsi="Arial" w:cs="Arial"/>
        </w:rPr>
        <w:t xml:space="preserve"> y se constituye en la fuente oficial y primordial de información periódica sobre el avance físico y financiero de la ejecución del proyecto.</w:t>
      </w:r>
      <w:r w:rsidR="002B1C77" w:rsidRPr="004044E8">
        <w:rPr>
          <w:rFonts w:ascii="Arial" w:hAnsi="Arial" w:cs="Arial"/>
          <w:b/>
        </w:rPr>
        <w:t xml:space="preserve"> </w:t>
      </w:r>
      <w:r w:rsidR="002B1C77" w:rsidRPr="004044E8">
        <w:rPr>
          <w:rFonts w:ascii="Arial" w:hAnsi="Arial" w:cs="Arial"/>
        </w:rPr>
        <w:t>El PMR tiene por objeto reportar los logros del año en curso (cifras actuales) y revisar las metas "planeadas" de años futuros. De esta manera, detecta las posibles desviaciones entre las unidades físicas y financieras programadas y logradas e identifica las acciones para potenciar el cumplimiento de metas y costos</w:t>
      </w:r>
      <w:r w:rsidR="002B1C77" w:rsidRPr="009F019B">
        <w:rPr>
          <w:rStyle w:val="FootnoteReference"/>
          <w:rFonts w:ascii="Arial" w:hAnsi="Arial" w:cs="Arial"/>
        </w:rPr>
        <w:footnoteReference w:id="21"/>
      </w:r>
      <w:r w:rsidR="002B1C77" w:rsidRPr="009F019B">
        <w:rPr>
          <w:rFonts w:ascii="Arial" w:hAnsi="Arial" w:cs="Arial"/>
        </w:rPr>
        <w:t>. Asimismo, el PMR es un mecanismo para monitorear el desempeño del proyecto e indispensable para preparar el Informe de Terminación de Proyecto (PCR). El PMR se actualiza como mínimo cada seis meses y debe ser presentado semestralmente al Banco como parte del paquete de herramientas de gestión del</w:t>
      </w:r>
      <w:r w:rsidR="00E01627" w:rsidRPr="004044E8">
        <w:rPr>
          <w:rFonts w:ascii="Arial" w:hAnsi="Arial" w:cs="Arial"/>
        </w:rPr>
        <w:t xml:space="preserve"> Informe Semestral de Progreso del Programa (</w:t>
      </w:r>
      <w:r w:rsidR="002B1C77" w:rsidRPr="004044E8">
        <w:rPr>
          <w:rFonts w:ascii="Arial" w:hAnsi="Arial" w:cs="Arial"/>
        </w:rPr>
        <w:t>ISP</w:t>
      </w:r>
      <w:r w:rsidR="00E01627" w:rsidRPr="004044E8">
        <w:rPr>
          <w:rFonts w:ascii="Arial" w:hAnsi="Arial" w:cs="Arial"/>
        </w:rPr>
        <w:t>)</w:t>
      </w:r>
      <w:r w:rsidR="002B1C77" w:rsidRPr="004044E8">
        <w:rPr>
          <w:rFonts w:ascii="Arial" w:hAnsi="Arial" w:cs="Arial"/>
        </w:rPr>
        <w:t>.</w:t>
      </w:r>
    </w:p>
    <w:p w14:paraId="6BADA758" w14:textId="12E734A2" w:rsidR="00B97A56" w:rsidRPr="004044E8" w:rsidRDefault="00420166" w:rsidP="00EA653C">
      <w:pPr>
        <w:pStyle w:val="Heading3"/>
        <w:rPr>
          <w:rFonts w:ascii="Arial" w:hAnsi="Arial" w:cs="Arial"/>
        </w:rPr>
      </w:pPr>
      <w:r w:rsidRPr="004044E8">
        <w:rPr>
          <w:rFonts w:ascii="Arial" w:hAnsi="Arial" w:cs="Arial"/>
        </w:rPr>
        <w:t xml:space="preserve">El Plan de Ejecución </w:t>
      </w:r>
      <w:r w:rsidR="00623D64" w:rsidRPr="004044E8">
        <w:rPr>
          <w:rFonts w:ascii="Arial" w:hAnsi="Arial" w:cs="Arial"/>
        </w:rPr>
        <w:t xml:space="preserve">Plurianual </w:t>
      </w:r>
      <w:r w:rsidR="00A94B31" w:rsidRPr="004044E8">
        <w:rPr>
          <w:rFonts w:ascii="Arial" w:hAnsi="Arial" w:cs="Arial"/>
        </w:rPr>
        <w:t>del Programa</w:t>
      </w:r>
      <w:r w:rsidRPr="004044E8">
        <w:rPr>
          <w:rFonts w:ascii="Arial" w:hAnsi="Arial" w:cs="Arial"/>
        </w:rPr>
        <w:t xml:space="preserve"> (PEP)</w:t>
      </w:r>
    </w:p>
    <w:p w14:paraId="2CF08AD5" w14:textId="5146ECD4" w:rsidR="00CB7A13" w:rsidRPr="004044E8" w:rsidRDefault="00B97A56" w:rsidP="00C02EF4">
      <w:pPr>
        <w:pStyle w:val="Estilo1"/>
        <w:rPr>
          <w:rFonts w:ascii="Arial" w:hAnsi="Arial" w:cs="Arial"/>
        </w:rPr>
      </w:pPr>
      <w:r w:rsidRPr="004044E8">
        <w:rPr>
          <w:rFonts w:ascii="Arial" w:hAnsi="Arial" w:cs="Arial"/>
        </w:rPr>
        <w:t xml:space="preserve">El PEP, </w:t>
      </w:r>
      <w:r w:rsidR="00CB7A13" w:rsidRPr="004044E8">
        <w:rPr>
          <w:rFonts w:ascii="Arial" w:hAnsi="Arial" w:cs="Arial"/>
        </w:rPr>
        <w:t>es la base de expectativas globales de ejecución financiera por componente, año y fuente de financiamiento, por el tiempo que dure el Programa. El PEP enumera las acciones que se van a realizar durante todo el periodo de ejecución de la operación para alcanzar los resultados esperados del programa.</w:t>
      </w:r>
      <w:r w:rsidR="00623D64" w:rsidRPr="004044E8">
        <w:rPr>
          <w:rFonts w:ascii="Arial" w:hAnsi="Arial" w:cs="Arial"/>
        </w:rPr>
        <w:t xml:space="preserve"> El PEP deberá comprender la planificación completa del Proyecto de conformidad con la estructura de los productos esperados según la </w:t>
      </w:r>
      <w:proofErr w:type="spellStart"/>
      <w:r w:rsidR="00623D64" w:rsidRPr="004044E8">
        <w:rPr>
          <w:rFonts w:ascii="Arial" w:hAnsi="Arial" w:cs="Arial"/>
        </w:rPr>
        <w:t>MdR</w:t>
      </w:r>
      <w:proofErr w:type="spellEnd"/>
      <w:r w:rsidR="00623D64" w:rsidRPr="004044E8">
        <w:rPr>
          <w:rFonts w:ascii="Arial" w:hAnsi="Arial" w:cs="Arial"/>
        </w:rPr>
        <w:t xml:space="preserve">. </w:t>
      </w:r>
      <w:r w:rsidR="00CB7A13" w:rsidRPr="004044E8">
        <w:rPr>
          <w:rFonts w:ascii="Arial" w:hAnsi="Arial" w:cs="Arial"/>
        </w:rPr>
        <w:t xml:space="preserve"> El PEP especifica los montos y los tiempos de los que se dispone para cada uno de los productos y actividades del programa y señala los distintos cronogramas para la consecución de cada uno de los productos, con lo cual se puede considerar como una versión simplificada de un POA multianual. El PEP inicial se prepara en la fase de diseño del proyecto y como anexo a la Propuesta de Desarrollo de la Operación (POD). </w:t>
      </w:r>
      <w:r w:rsidR="00CB7A13" w:rsidRPr="004044E8">
        <w:rPr>
          <w:rFonts w:ascii="Arial" w:hAnsi="Arial" w:cs="Arial"/>
          <w:u w:val="single"/>
        </w:rPr>
        <w:t>En la fase de elegibilidad luego de la aprobación del contrato de préstamo respectivo se actualiza y genera el PEP Final</w:t>
      </w:r>
      <w:r w:rsidR="00CB7A13" w:rsidRPr="004044E8">
        <w:rPr>
          <w:rFonts w:ascii="Arial" w:hAnsi="Arial" w:cs="Arial"/>
        </w:rPr>
        <w:t xml:space="preserve">, </w:t>
      </w:r>
      <w:r w:rsidR="00CB7A13" w:rsidRPr="004044E8">
        <w:rPr>
          <w:rFonts w:ascii="Arial" w:hAnsi="Arial" w:cs="Arial"/>
          <w:u w:val="single"/>
        </w:rPr>
        <w:t xml:space="preserve">que se presenta al Banco como parte del Informe Inicial del proyecto. </w:t>
      </w:r>
      <w:r w:rsidR="00CB7A13" w:rsidRPr="004044E8">
        <w:rPr>
          <w:rFonts w:ascii="Arial" w:hAnsi="Arial" w:cs="Arial"/>
        </w:rPr>
        <w:t xml:space="preserve"> En la medida que los proyectos se vean afectados por factores externos que pongan en riesgo el logro de los objetivos, resultados e indicadores, el PEP podrá ser modificado, con el debido registro documentado de las razones de los cambios. Será responsabilidad del </w:t>
      </w:r>
      <w:r w:rsidR="00755BF5" w:rsidRPr="004044E8">
        <w:rPr>
          <w:rFonts w:ascii="Arial" w:hAnsi="Arial" w:cs="Arial"/>
        </w:rPr>
        <w:t>EDG-MEF</w:t>
      </w:r>
      <w:r w:rsidR="00CB7A13" w:rsidRPr="004044E8">
        <w:rPr>
          <w:rFonts w:ascii="Arial" w:hAnsi="Arial" w:cs="Arial"/>
        </w:rPr>
        <w:t xml:space="preserve"> documentar, las actualizaciones y modificaciones efectuadas; cualquier cambio en el PEP que provoca una nueva ruta crítica para el préstamo deberá contar con la “no objeción” previa del Banco. El PEP deberá ser presentado al Banco como parte del paquete de herramientas de gestión del ISP, junto con el PMR, POA, PA y PF para cada año de ejecución.</w:t>
      </w:r>
    </w:p>
    <w:p w14:paraId="15AA29E5" w14:textId="3710048B" w:rsidR="00B97A56" w:rsidRPr="004044E8" w:rsidRDefault="00420166" w:rsidP="00EA653C">
      <w:pPr>
        <w:pStyle w:val="Heading3"/>
        <w:rPr>
          <w:rFonts w:ascii="Arial" w:hAnsi="Arial" w:cs="Arial"/>
        </w:rPr>
      </w:pPr>
      <w:r w:rsidRPr="004044E8">
        <w:rPr>
          <w:rFonts w:ascii="Arial" w:hAnsi="Arial" w:cs="Arial"/>
        </w:rPr>
        <w:t xml:space="preserve">El Plan Operativo Anual (POA) </w:t>
      </w:r>
    </w:p>
    <w:p w14:paraId="2DFE838F" w14:textId="18C9E4AC" w:rsidR="00420166" w:rsidRPr="004044E8" w:rsidRDefault="00B97A56" w:rsidP="00C02EF4">
      <w:pPr>
        <w:pStyle w:val="Estilo1"/>
        <w:rPr>
          <w:rFonts w:ascii="Arial" w:hAnsi="Arial" w:cs="Arial"/>
        </w:rPr>
      </w:pPr>
      <w:r w:rsidRPr="004044E8">
        <w:rPr>
          <w:rFonts w:ascii="Arial" w:hAnsi="Arial" w:cs="Arial"/>
        </w:rPr>
        <w:t xml:space="preserve">El POA, </w:t>
      </w:r>
      <w:r w:rsidR="009C7542" w:rsidRPr="004044E8">
        <w:rPr>
          <w:rFonts w:ascii="Arial" w:hAnsi="Arial" w:cs="Arial"/>
        </w:rPr>
        <w:t xml:space="preserve">detalla las actividades, metas, medios y responsables esperados del Programa para un año calendario específico de ejecución.  El POA es una herramienta de planificación a nivel de actividades, que permite dar seguimiento a la ejecución; se desprende del PEP y establece con detalle la ejecución del proyecto para el año fiscal que se esté planificando; es un instrumento dinámico y abarca todos los aspectos de la ejecución. El POA contiene un cronograma de ejecución de actividades </w:t>
      </w:r>
      <w:r w:rsidR="009C7542" w:rsidRPr="004044E8">
        <w:rPr>
          <w:rFonts w:ascii="Arial" w:hAnsi="Arial" w:cs="Arial"/>
        </w:rPr>
        <w:lastRenderedPageBreak/>
        <w:t>relacionadas fundamentalmente con el alcance de los componentes, subcomponentes y productos del proyecto, la planificación de la gestión de adquisiciones de bienes y servicios (determinante de los tiempos), la planificación de las necesidades de recursos financieros (directamente resultante de la secuencia de adquisiciones que permite anticipar el nivel de desembolsos y “</w:t>
      </w:r>
      <w:r w:rsidR="009C7542" w:rsidRPr="004044E8">
        <w:rPr>
          <w:rFonts w:ascii="Arial" w:hAnsi="Arial" w:cs="Arial"/>
          <w:i/>
        </w:rPr>
        <w:t xml:space="preserve">cash </w:t>
      </w:r>
      <w:proofErr w:type="spellStart"/>
      <w:r w:rsidR="009C7542" w:rsidRPr="004044E8">
        <w:rPr>
          <w:rFonts w:ascii="Arial" w:hAnsi="Arial" w:cs="Arial"/>
          <w:i/>
        </w:rPr>
        <w:t>flow</w:t>
      </w:r>
      <w:proofErr w:type="spellEnd"/>
      <w:r w:rsidR="009C7542" w:rsidRPr="004044E8">
        <w:rPr>
          <w:rFonts w:ascii="Arial" w:hAnsi="Arial" w:cs="Arial"/>
        </w:rPr>
        <w:t>” requerido, así como el cumplimiento de las salvaguardias ambientales y sociales, la ejecución de las acciones de mitigación de riesgos, las actividades de gestión del proyecto y el monitoreo y evaluación del mismo.</w:t>
      </w:r>
      <w:r w:rsidR="002330E0" w:rsidRPr="004044E8">
        <w:rPr>
          <w:rFonts w:ascii="Arial" w:hAnsi="Arial" w:cs="Arial"/>
        </w:rPr>
        <w:t xml:space="preserve"> El primer POA alcanzará un período de al menos 18 meses. </w:t>
      </w:r>
      <w:r w:rsidR="009C7542" w:rsidRPr="004044E8">
        <w:rPr>
          <w:rFonts w:ascii="Arial" w:hAnsi="Arial" w:cs="Arial"/>
        </w:rPr>
        <w:t xml:space="preserve"> </w:t>
      </w:r>
      <w:r w:rsidR="0073095D" w:rsidRPr="004044E8">
        <w:rPr>
          <w:rFonts w:ascii="Arial" w:hAnsi="Arial" w:cs="Arial"/>
          <w:u w:val="single"/>
        </w:rPr>
        <w:t xml:space="preserve">Será responsabilidad del </w:t>
      </w:r>
      <w:r w:rsidR="00BF1EAC" w:rsidRPr="004044E8">
        <w:rPr>
          <w:rFonts w:ascii="Arial" w:hAnsi="Arial" w:cs="Arial"/>
          <w:u w:val="single"/>
        </w:rPr>
        <w:t>EDG</w:t>
      </w:r>
      <w:r w:rsidR="00755BF5" w:rsidRPr="004044E8">
        <w:rPr>
          <w:rFonts w:ascii="Arial" w:hAnsi="Arial" w:cs="Arial"/>
          <w:u w:val="single"/>
        </w:rPr>
        <w:t>-MEF</w:t>
      </w:r>
      <w:r w:rsidR="0073095D" w:rsidRPr="004044E8">
        <w:rPr>
          <w:rFonts w:ascii="Arial" w:hAnsi="Arial" w:cs="Arial"/>
          <w:u w:val="single"/>
        </w:rPr>
        <w:t xml:space="preserve"> documentar, las actualizaciones y modificaciones efectuadas</w:t>
      </w:r>
      <w:r w:rsidR="0073095D" w:rsidRPr="004044E8">
        <w:rPr>
          <w:rFonts w:ascii="Arial" w:hAnsi="Arial" w:cs="Arial"/>
        </w:rPr>
        <w:t>, c</w:t>
      </w:r>
      <w:r w:rsidR="009C7542" w:rsidRPr="004044E8">
        <w:rPr>
          <w:rFonts w:ascii="Arial" w:hAnsi="Arial" w:cs="Arial"/>
        </w:rPr>
        <w:t>ualquier cambio en el POA que provoque una</w:t>
      </w:r>
      <w:r w:rsidR="0073095D" w:rsidRPr="004044E8">
        <w:rPr>
          <w:rFonts w:ascii="Arial" w:hAnsi="Arial" w:cs="Arial"/>
        </w:rPr>
        <w:t xml:space="preserve"> nueva </w:t>
      </w:r>
      <w:r w:rsidR="009C7542" w:rsidRPr="004044E8">
        <w:rPr>
          <w:rFonts w:ascii="Arial" w:hAnsi="Arial" w:cs="Arial"/>
        </w:rPr>
        <w:t>ruta crítica para el préstamo deberá contar con la “no objeción” previa del Banco. Este instrumento se constituye en el insumo principal para la formulación del presupuesto del proyecto de cada año.  El POA deberá ser presentado al Banco como parte del paquete de herramientas de gestión del ISP, junto con el PMR, PEP, PA y PF para cada año de ejecución.</w:t>
      </w:r>
      <w:r w:rsidR="00420166" w:rsidRPr="004044E8">
        <w:rPr>
          <w:rFonts w:ascii="Arial" w:hAnsi="Arial" w:cs="Arial"/>
        </w:rPr>
        <w:t xml:space="preserve"> </w:t>
      </w:r>
    </w:p>
    <w:p w14:paraId="35423ABB" w14:textId="77777777" w:rsidR="00B97A56" w:rsidRPr="004044E8" w:rsidRDefault="00420166" w:rsidP="00EA653C">
      <w:pPr>
        <w:pStyle w:val="Heading3"/>
        <w:rPr>
          <w:rFonts w:ascii="Arial" w:hAnsi="Arial" w:cs="Arial"/>
        </w:rPr>
      </w:pPr>
      <w:r w:rsidRPr="004044E8">
        <w:rPr>
          <w:rFonts w:ascii="Arial" w:hAnsi="Arial" w:cs="Arial"/>
        </w:rPr>
        <w:t xml:space="preserve">El Plan de Adquisiciones (PA), </w:t>
      </w:r>
    </w:p>
    <w:p w14:paraId="1809BE6C" w14:textId="67F0DF6B" w:rsidR="00420166" w:rsidRPr="004044E8" w:rsidRDefault="00B97A56" w:rsidP="00C02EF4">
      <w:pPr>
        <w:pStyle w:val="Estilo1"/>
        <w:rPr>
          <w:rFonts w:ascii="Arial" w:hAnsi="Arial" w:cs="Arial"/>
        </w:rPr>
      </w:pPr>
      <w:r w:rsidRPr="004044E8">
        <w:rPr>
          <w:rFonts w:ascii="Arial" w:hAnsi="Arial" w:cs="Arial"/>
        </w:rPr>
        <w:t xml:space="preserve">El PA, se utiliza </w:t>
      </w:r>
      <w:r w:rsidR="00420166" w:rsidRPr="004044E8">
        <w:rPr>
          <w:rFonts w:ascii="Arial" w:hAnsi="Arial" w:cs="Arial"/>
        </w:rPr>
        <w:t xml:space="preserve">para el control y supervisión de las adquisiciones y contrataciones </w:t>
      </w:r>
      <w:r w:rsidR="00A94B31" w:rsidRPr="004044E8">
        <w:rPr>
          <w:rFonts w:ascii="Arial" w:hAnsi="Arial" w:cs="Arial"/>
        </w:rPr>
        <w:t>del Programa</w:t>
      </w:r>
      <w:r w:rsidR="00420166" w:rsidRPr="004044E8">
        <w:rPr>
          <w:rFonts w:ascii="Arial" w:hAnsi="Arial" w:cs="Arial"/>
        </w:rPr>
        <w:t xml:space="preserve">, contiene las adquisiciones previstas para los primeros 18 meses de ejecución y sus actualizaciones anuales. </w:t>
      </w:r>
    </w:p>
    <w:p w14:paraId="2028EA7A" w14:textId="2116ECC9" w:rsidR="00B97A56" w:rsidRPr="004044E8" w:rsidRDefault="00B97A56" w:rsidP="00EA653C">
      <w:pPr>
        <w:pStyle w:val="Heading3"/>
        <w:rPr>
          <w:rFonts w:ascii="Arial" w:hAnsi="Arial" w:cs="Arial"/>
        </w:rPr>
      </w:pPr>
      <w:r w:rsidRPr="004044E8">
        <w:rPr>
          <w:rFonts w:ascii="Arial" w:hAnsi="Arial" w:cs="Arial"/>
        </w:rPr>
        <w:t xml:space="preserve">El </w:t>
      </w:r>
      <w:r w:rsidR="00B733B7" w:rsidRPr="004044E8">
        <w:rPr>
          <w:rFonts w:ascii="Arial" w:hAnsi="Arial" w:cs="Arial"/>
        </w:rPr>
        <w:t>Plan Financiero (PF)</w:t>
      </w:r>
      <w:r w:rsidRPr="004044E8">
        <w:rPr>
          <w:rFonts w:ascii="Arial" w:hAnsi="Arial" w:cs="Arial"/>
        </w:rPr>
        <w:t xml:space="preserve"> y la</w:t>
      </w:r>
      <w:r w:rsidR="00420166" w:rsidRPr="004044E8">
        <w:rPr>
          <w:rFonts w:ascii="Arial" w:hAnsi="Arial" w:cs="Arial"/>
        </w:rPr>
        <w:t xml:space="preserve"> Proyección Anual de Flujo de Caja</w:t>
      </w:r>
    </w:p>
    <w:p w14:paraId="48DAF4EC" w14:textId="0177CAC2" w:rsidR="00420166" w:rsidRPr="004044E8" w:rsidRDefault="00B97A56" w:rsidP="00C02EF4">
      <w:pPr>
        <w:pStyle w:val="Estilo1"/>
        <w:rPr>
          <w:rFonts w:ascii="Arial" w:hAnsi="Arial" w:cs="Arial"/>
        </w:rPr>
      </w:pPr>
      <w:r w:rsidRPr="004044E8">
        <w:rPr>
          <w:rFonts w:ascii="Arial" w:hAnsi="Arial" w:cs="Arial"/>
        </w:rPr>
        <w:t>El PF y el CF, traducen</w:t>
      </w:r>
      <w:r w:rsidR="00420166" w:rsidRPr="004044E8">
        <w:rPr>
          <w:rFonts w:ascii="Arial" w:hAnsi="Arial" w:cs="Arial"/>
        </w:rPr>
        <w:t xml:space="preserve"> el POA y el PA a flujos de efectivo que serán necesarios para llevar a cabo las actividades, adquisiciones y metas planeadas para el año; permite también estimar la magnitud y periodicidad de los desembolsos </w:t>
      </w:r>
      <w:r w:rsidR="00A94B31" w:rsidRPr="004044E8">
        <w:rPr>
          <w:rFonts w:ascii="Arial" w:hAnsi="Arial" w:cs="Arial"/>
        </w:rPr>
        <w:t>del Préstamo</w:t>
      </w:r>
      <w:r w:rsidR="00420166" w:rsidRPr="004044E8">
        <w:rPr>
          <w:rFonts w:ascii="Arial" w:hAnsi="Arial" w:cs="Arial"/>
        </w:rPr>
        <w:t xml:space="preserve"> para el mismo período. </w:t>
      </w:r>
    </w:p>
    <w:p w14:paraId="79E28C47" w14:textId="77777777" w:rsidR="00B97A56" w:rsidRPr="004044E8" w:rsidRDefault="00420166" w:rsidP="00EA653C">
      <w:pPr>
        <w:pStyle w:val="Heading3"/>
        <w:rPr>
          <w:rFonts w:ascii="Arial" w:hAnsi="Arial" w:cs="Arial"/>
        </w:rPr>
      </w:pPr>
      <w:r w:rsidRPr="004044E8">
        <w:rPr>
          <w:rFonts w:ascii="Arial" w:hAnsi="Arial" w:cs="Arial"/>
        </w:rPr>
        <w:t>Las Matrices de</w:t>
      </w:r>
      <w:r w:rsidR="00C5181F" w:rsidRPr="004044E8">
        <w:rPr>
          <w:rFonts w:ascii="Arial" w:hAnsi="Arial" w:cs="Arial"/>
        </w:rPr>
        <w:t xml:space="preserve"> Gestión de </w:t>
      </w:r>
      <w:r w:rsidRPr="004044E8">
        <w:rPr>
          <w:rFonts w:ascii="Arial" w:hAnsi="Arial" w:cs="Arial"/>
        </w:rPr>
        <w:t>Riesgos</w:t>
      </w:r>
      <w:r w:rsidR="00C5181F" w:rsidRPr="004044E8">
        <w:rPr>
          <w:rFonts w:ascii="Arial" w:hAnsi="Arial" w:cs="Arial"/>
        </w:rPr>
        <w:t xml:space="preserve"> del Programa</w:t>
      </w:r>
      <w:r w:rsidRPr="004044E8">
        <w:rPr>
          <w:rFonts w:ascii="Arial" w:hAnsi="Arial" w:cs="Arial"/>
        </w:rPr>
        <w:t xml:space="preserve"> (GRP)</w:t>
      </w:r>
    </w:p>
    <w:p w14:paraId="0EE4EC43" w14:textId="2ACA29EE" w:rsidR="0073095D" w:rsidRPr="004044E8" w:rsidRDefault="00B97A56" w:rsidP="00C02EF4">
      <w:pPr>
        <w:pStyle w:val="Estilo1"/>
        <w:rPr>
          <w:rFonts w:ascii="Arial" w:hAnsi="Arial" w:cs="Arial"/>
        </w:rPr>
      </w:pPr>
      <w:r w:rsidRPr="004044E8">
        <w:rPr>
          <w:rFonts w:ascii="Arial" w:hAnsi="Arial" w:cs="Arial"/>
        </w:rPr>
        <w:t xml:space="preserve">La GRP, se compone de </w:t>
      </w:r>
      <w:r w:rsidR="0073095D" w:rsidRPr="004044E8">
        <w:rPr>
          <w:rFonts w:ascii="Arial" w:hAnsi="Arial" w:cs="Arial"/>
        </w:rPr>
        <w:t>las matrices de Registro de Riesgos y Factores de Probabilidad (RRF), Matriz de Evaluación de Riesgos (MER); Matriz de Mitigación de Riesgos (MMR). El GRP será actualizado al menos una vez al año al inicio de cada gestión, en un taller conjunto con el Banco, y formará parte del paquete de herramientas de gestión del ISP.</w:t>
      </w:r>
    </w:p>
    <w:p w14:paraId="65C28B10" w14:textId="5155215F" w:rsidR="0073095D" w:rsidRPr="004044E8" w:rsidRDefault="0073095D" w:rsidP="00C02EF4">
      <w:pPr>
        <w:pStyle w:val="Estilo1"/>
        <w:rPr>
          <w:rFonts w:ascii="Arial" w:hAnsi="Arial" w:cs="Arial"/>
        </w:rPr>
      </w:pPr>
      <w:r w:rsidRPr="004044E8">
        <w:rPr>
          <w:rFonts w:ascii="Arial" w:hAnsi="Arial" w:cs="Arial"/>
        </w:rPr>
        <w:t xml:space="preserve">Cualquier cambio en las Herramientas de Gestión del Programa deberá ser presentado al BID por parte del </w:t>
      </w:r>
      <w:r w:rsidR="00755BF5" w:rsidRPr="004044E8">
        <w:rPr>
          <w:rFonts w:ascii="Arial" w:hAnsi="Arial" w:cs="Arial"/>
        </w:rPr>
        <w:t>EDG-MEF</w:t>
      </w:r>
      <w:r w:rsidRPr="004044E8">
        <w:rPr>
          <w:rFonts w:ascii="Arial" w:hAnsi="Arial" w:cs="Arial"/>
        </w:rPr>
        <w:t xml:space="preserve">.  Cada modificación, deberá contar con la respectiva justificación y análisis de impacto en el cumplimiento de la </w:t>
      </w:r>
      <w:proofErr w:type="spellStart"/>
      <w:r w:rsidRPr="004044E8">
        <w:rPr>
          <w:rFonts w:ascii="Arial" w:hAnsi="Arial" w:cs="Arial"/>
        </w:rPr>
        <w:t>MdR</w:t>
      </w:r>
      <w:proofErr w:type="spellEnd"/>
      <w:r w:rsidRPr="004044E8">
        <w:rPr>
          <w:rFonts w:ascii="Arial" w:hAnsi="Arial" w:cs="Arial"/>
        </w:rPr>
        <w:t xml:space="preserve">. </w:t>
      </w:r>
    </w:p>
    <w:p w14:paraId="3B41C179" w14:textId="5D0B936B" w:rsidR="004E5673" w:rsidRPr="004044E8" w:rsidRDefault="00F14560" w:rsidP="001C7188">
      <w:pPr>
        <w:pStyle w:val="Heading2"/>
        <w:rPr>
          <w:rFonts w:ascii="Arial" w:hAnsi="Arial" w:cs="Arial"/>
        </w:rPr>
      </w:pPr>
      <w:bookmarkStart w:id="55" w:name="_Toc454056459"/>
      <w:bookmarkStart w:id="56" w:name="_Toc10223116"/>
      <w:r w:rsidRPr="004044E8">
        <w:rPr>
          <w:rFonts w:ascii="Arial" w:hAnsi="Arial" w:cs="Arial"/>
        </w:rPr>
        <w:t xml:space="preserve">Gestión de </w:t>
      </w:r>
      <w:r w:rsidR="004B3A82" w:rsidRPr="004044E8">
        <w:rPr>
          <w:rFonts w:ascii="Arial" w:hAnsi="Arial" w:cs="Arial"/>
        </w:rPr>
        <w:t>Adquisiciones y Contrataciones</w:t>
      </w:r>
      <w:r w:rsidR="00413872" w:rsidRPr="004044E8">
        <w:rPr>
          <w:rFonts w:ascii="Arial" w:hAnsi="Arial" w:cs="Arial"/>
        </w:rPr>
        <w:t xml:space="preserve"> del Programa</w:t>
      </w:r>
      <w:bookmarkEnd w:id="55"/>
      <w:bookmarkEnd w:id="56"/>
    </w:p>
    <w:p w14:paraId="6A9E3E8C" w14:textId="640AB16A" w:rsidR="00C0182F" w:rsidRPr="004044E8" w:rsidRDefault="00C0182F" w:rsidP="00EA653C">
      <w:pPr>
        <w:pStyle w:val="Heading3"/>
        <w:rPr>
          <w:rFonts w:ascii="Arial" w:hAnsi="Arial" w:cs="Arial"/>
        </w:rPr>
      </w:pPr>
      <w:r w:rsidRPr="004044E8">
        <w:rPr>
          <w:rFonts w:ascii="Arial" w:hAnsi="Arial" w:cs="Arial"/>
        </w:rPr>
        <w:t>Políticas</w:t>
      </w:r>
      <w:r w:rsidR="00DE13F8" w:rsidRPr="004044E8">
        <w:rPr>
          <w:rFonts w:ascii="Arial" w:hAnsi="Arial" w:cs="Arial"/>
        </w:rPr>
        <w:t xml:space="preserve"> de adquisiciones</w:t>
      </w:r>
      <w:r w:rsidR="00C1333D" w:rsidRPr="004044E8">
        <w:rPr>
          <w:rFonts w:ascii="Arial" w:hAnsi="Arial" w:cs="Arial"/>
        </w:rPr>
        <w:t xml:space="preserve"> </w:t>
      </w:r>
      <w:r w:rsidR="00910D9D" w:rsidRPr="004044E8">
        <w:rPr>
          <w:rFonts w:ascii="Arial" w:hAnsi="Arial" w:cs="Arial"/>
        </w:rPr>
        <w:t xml:space="preserve"> </w:t>
      </w:r>
    </w:p>
    <w:p w14:paraId="6D306EA9" w14:textId="36A1906D" w:rsidR="00844601" w:rsidRPr="004044E8" w:rsidRDefault="000A1F91" w:rsidP="00C02EF4">
      <w:pPr>
        <w:pStyle w:val="Estilo1"/>
        <w:rPr>
          <w:rFonts w:ascii="Arial" w:hAnsi="Arial" w:cs="Arial"/>
        </w:rPr>
      </w:pPr>
      <w:r w:rsidRPr="004044E8">
        <w:rPr>
          <w:rFonts w:ascii="Arial" w:hAnsi="Arial" w:cs="Arial"/>
        </w:rPr>
        <w:t xml:space="preserve">Las </w:t>
      </w:r>
      <w:r w:rsidR="00844601" w:rsidRPr="004044E8">
        <w:rPr>
          <w:rStyle w:val="Estilo1Car"/>
          <w:rFonts w:ascii="Arial" w:hAnsi="Arial" w:cs="Arial"/>
        </w:rPr>
        <w:t>adquisiciones y contrataciones, financiadas total o parcialmente por recursos del</w:t>
      </w:r>
      <w:r w:rsidR="00844601" w:rsidRPr="004044E8">
        <w:rPr>
          <w:rFonts w:ascii="Arial" w:hAnsi="Arial" w:cs="Arial"/>
        </w:rPr>
        <w:t xml:space="preserve"> Préstamo, se ejecutarán conforme a lo dispuesto por: (i) el contrato de Préstamo; (</w:t>
      </w:r>
      <w:proofErr w:type="spellStart"/>
      <w:r w:rsidR="00844601" w:rsidRPr="004044E8">
        <w:rPr>
          <w:rFonts w:ascii="Arial" w:hAnsi="Arial" w:cs="Arial"/>
        </w:rPr>
        <w:t>ii</w:t>
      </w:r>
      <w:proofErr w:type="spellEnd"/>
      <w:r w:rsidR="00844601" w:rsidRPr="004044E8">
        <w:rPr>
          <w:rFonts w:ascii="Arial" w:hAnsi="Arial" w:cs="Arial"/>
        </w:rPr>
        <w:t>) el ROP; (</w:t>
      </w:r>
      <w:proofErr w:type="spellStart"/>
      <w:r w:rsidR="00844601" w:rsidRPr="004044E8">
        <w:rPr>
          <w:rFonts w:ascii="Arial" w:hAnsi="Arial" w:cs="Arial"/>
        </w:rPr>
        <w:t>iii</w:t>
      </w:r>
      <w:proofErr w:type="spellEnd"/>
      <w:r w:rsidR="00844601" w:rsidRPr="004044E8">
        <w:rPr>
          <w:rFonts w:ascii="Arial" w:hAnsi="Arial" w:cs="Arial"/>
        </w:rPr>
        <w:t>) las Políticas de Adquisiciones de Obras y Bienes Financiados por el BID (GN-2349-9); (</w:t>
      </w:r>
      <w:proofErr w:type="spellStart"/>
      <w:r w:rsidR="00844601" w:rsidRPr="004044E8">
        <w:rPr>
          <w:rFonts w:ascii="Arial" w:hAnsi="Arial" w:cs="Arial"/>
        </w:rPr>
        <w:t>iv</w:t>
      </w:r>
      <w:proofErr w:type="spellEnd"/>
      <w:r w:rsidR="00844601" w:rsidRPr="004044E8">
        <w:rPr>
          <w:rFonts w:ascii="Arial" w:hAnsi="Arial" w:cs="Arial"/>
        </w:rPr>
        <w:t>) las Políticas para la Selección y Contratación de Consultores Financiados por el BID (GN-2350-9); y la</w:t>
      </w:r>
      <w:r w:rsidR="004C4D0B" w:rsidRPr="004044E8">
        <w:rPr>
          <w:rFonts w:ascii="Arial" w:hAnsi="Arial" w:cs="Arial"/>
        </w:rPr>
        <w:t xml:space="preserve"> Ley Orgánica del Sistema Nacional de Contratación Pública (</w:t>
      </w:r>
      <w:r w:rsidR="00844601" w:rsidRPr="004044E8">
        <w:rPr>
          <w:rFonts w:ascii="Arial" w:hAnsi="Arial" w:cs="Arial"/>
        </w:rPr>
        <w:t>L</w:t>
      </w:r>
      <w:r w:rsidR="002A1A33" w:rsidRPr="004044E8">
        <w:rPr>
          <w:rFonts w:ascii="Arial" w:hAnsi="Arial" w:cs="Arial"/>
        </w:rPr>
        <w:t>OSNCP</w:t>
      </w:r>
      <w:r w:rsidR="004C4D0B" w:rsidRPr="004044E8">
        <w:rPr>
          <w:rFonts w:ascii="Arial" w:hAnsi="Arial" w:cs="Arial"/>
        </w:rPr>
        <w:t>)</w:t>
      </w:r>
      <w:r w:rsidR="001A2376" w:rsidRPr="004044E8">
        <w:rPr>
          <w:rFonts w:ascii="Arial" w:hAnsi="Arial" w:cs="Arial"/>
        </w:rPr>
        <w:t>.</w:t>
      </w:r>
    </w:p>
    <w:p w14:paraId="27B5240C" w14:textId="77777777" w:rsidR="00D555CA" w:rsidRPr="004044E8" w:rsidRDefault="00D555CA" w:rsidP="00C02EF4">
      <w:pPr>
        <w:pStyle w:val="Estilo1"/>
        <w:rPr>
          <w:rFonts w:ascii="Arial" w:hAnsi="Arial" w:cs="Arial"/>
        </w:rPr>
      </w:pPr>
      <w:r w:rsidRPr="004044E8">
        <w:rPr>
          <w:rFonts w:ascii="Arial" w:hAnsi="Arial" w:cs="Arial"/>
        </w:rPr>
        <w:t>Cuando las políticas de adquisiciones y de selección y contratación del BID, fuesen modificadas por el Banco, las adquisiciones y contrataciones se llevarán a cabo de acuerdo con las políticas modificadas, una vez que éstas sean puestas en conocimiento del Prestatario y éste acepte por escrito su aplicación.</w:t>
      </w:r>
    </w:p>
    <w:p w14:paraId="39C59AB7" w14:textId="77777777" w:rsidR="002A1A33" w:rsidRPr="004044E8" w:rsidRDefault="002A1A33" w:rsidP="00EA653C">
      <w:pPr>
        <w:pStyle w:val="Heading3"/>
        <w:rPr>
          <w:rFonts w:ascii="Arial" w:hAnsi="Arial" w:cs="Arial"/>
        </w:rPr>
      </w:pPr>
      <w:r w:rsidRPr="004044E8">
        <w:rPr>
          <w:rFonts w:ascii="Arial" w:hAnsi="Arial" w:cs="Arial"/>
        </w:rPr>
        <w:t>Programación de las adquisiciones</w:t>
      </w:r>
    </w:p>
    <w:p w14:paraId="6CCD1E3E" w14:textId="11A2F388" w:rsidR="002A1A33" w:rsidRPr="004044E8" w:rsidRDefault="002A1A33" w:rsidP="00C02EF4">
      <w:pPr>
        <w:pStyle w:val="Estilo1"/>
        <w:rPr>
          <w:rFonts w:ascii="Arial" w:hAnsi="Arial" w:cs="Arial"/>
        </w:rPr>
      </w:pPr>
      <w:r w:rsidRPr="004044E8">
        <w:rPr>
          <w:rFonts w:ascii="Arial" w:hAnsi="Arial" w:cs="Arial"/>
        </w:rPr>
        <w:t>El Plan de Adquisiciones (PA), acordado por el OE</w:t>
      </w:r>
      <w:r w:rsidR="0077481E" w:rsidRPr="004044E8">
        <w:rPr>
          <w:rFonts w:ascii="Arial" w:hAnsi="Arial" w:cs="Arial"/>
        </w:rPr>
        <w:t xml:space="preserve">, </w:t>
      </w:r>
      <w:r w:rsidR="00AF7CE7" w:rsidRPr="004044E8">
        <w:rPr>
          <w:rFonts w:ascii="Arial" w:hAnsi="Arial" w:cs="Arial"/>
        </w:rPr>
        <w:t xml:space="preserve">los </w:t>
      </w:r>
      <w:r w:rsidR="0077481E" w:rsidRPr="004044E8">
        <w:rPr>
          <w:rFonts w:ascii="Arial" w:hAnsi="Arial" w:cs="Arial"/>
        </w:rPr>
        <w:t>OSE</w:t>
      </w:r>
      <w:r w:rsidRPr="004044E8">
        <w:rPr>
          <w:rFonts w:ascii="Arial" w:hAnsi="Arial" w:cs="Arial"/>
        </w:rPr>
        <w:t xml:space="preserve"> y el Banco, es el instrumento que sintetiza el conjunto de todas las adquisiciones y contrataciones a ser desarrolladas en el Programa. El PA, contiene el detalle de los métodos de licitación o contratación y revisión de </w:t>
      </w:r>
      <w:r w:rsidRPr="004044E8">
        <w:rPr>
          <w:rFonts w:ascii="Arial" w:hAnsi="Arial" w:cs="Arial"/>
          <w:u w:val="single"/>
        </w:rPr>
        <w:t>todas las adquisiciones y contrataciones del Programa</w:t>
      </w:r>
      <w:r w:rsidRPr="004044E8">
        <w:rPr>
          <w:rFonts w:ascii="Arial" w:hAnsi="Arial" w:cs="Arial"/>
        </w:rPr>
        <w:t xml:space="preserve">, y se construye sobre la base del PEP y POA del Programa aprobados, siendo responsabilidad del </w:t>
      </w:r>
      <w:r w:rsidR="00755BF5" w:rsidRPr="004044E8">
        <w:rPr>
          <w:rFonts w:ascii="Arial" w:hAnsi="Arial" w:cs="Arial"/>
        </w:rPr>
        <w:t xml:space="preserve">EDG-MEF </w:t>
      </w:r>
      <w:r w:rsidRPr="004044E8">
        <w:rPr>
          <w:rFonts w:ascii="Arial" w:hAnsi="Arial" w:cs="Arial"/>
        </w:rPr>
        <w:t xml:space="preserve">su actualización y seguimiento. </w:t>
      </w:r>
      <w:r w:rsidR="002359FB" w:rsidRPr="004044E8">
        <w:rPr>
          <w:rFonts w:ascii="Arial" w:hAnsi="Arial" w:cs="Arial"/>
        </w:rPr>
        <w:t>Para la gestión del PA e</w:t>
      </w:r>
      <w:r w:rsidR="00E473BE" w:rsidRPr="004044E8">
        <w:rPr>
          <w:rFonts w:ascii="Arial" w:hAnsi="Arial" w:cs="Arial"/>
        </w:rPr>
        <w:t xml:space="preserve">l </w:t>
      </w:r>
      <w:r w:rsidRPr="004044E8">
        <w:rPr>
          <w:rFonts w:ascii="Arial" w:hAnsi="Arial" w:cs="Arial"/>
        </w:rPr>
        <w:t>OE utili</w:t>
      </w:r>
      <w:r w:rsidR="00E473BE" w:rsidRPr="004044E8">
        <w:rPr>
          <w:rFonts w:ascii="Arial" w:hAnsi="Arial" w:cs="Arial"/>
        </w:rPr>
        <w:t xml:space="preserve">zará </w:t>
      </w:r>
      <w:r w:rsidRPr="004044E8">
        <w:rPr>
          <w:rFonts w:ascii="Arial" w:hAnsi="Arial" w:cs="Arial"/>
        </w:rPr>
        <w:t xml:space="preserve">el sistema virtual “Sistema de Ejecución de Planes de Adquisición (SEPA)”. </w:t>
      </w:r>
    </w:p>
    <w:p w14:paraId="140E2078" w14:textId="22C1EFE5" w:rsidR="002A1A33" w:rsidRPr="004044E8" w:rsidRDefault="002A1A33" w:rsidP="00C02EF4">
      <w:pPr>
        <w:pStyle w:val="Estilo1"/>
        <w:rPr>
          <w:rFonts w:ascii="Arial" w:hAnsi="Arial" w:cs="Arial"/>
        </w:rPr>
      </w:pPr>
      <w:r w:rsidRPr="004044E8">
        <w:rPr>
          <w:rFonts w:ascii="Arial" w:hAnsi="Arial" w:cs="Arial"/>
        </w:rPr>
        <w:t>El P</w:t>
      </w:r>
      <w:r w:rsidR="002359FB" w:rsidRPr="004044E8">
        <w:rPr>
          <w:rFonts w:ascii="Arial" w:hAnsi="Arial" w:cs="Arial"/>
        </w:rPr>
        <w:t>A</w:t>
      </w:r>
      <w:r w:rsidRPr="004044E8">
        <w:rPr>
          <w:rFonts w:ascii="Arial" w:hAnsi="Arial" w:cs="Arial"/>
        </w:rPr>
        <w:t xml:space="preserve"> inicial será por los primeros 18 meses y se actualizará empleando </w:t>
      </w:r>
      <w:proofErr w:type="spellStart"/>
      <w:r w:rsidRPr="004044E8">
        <w:rPr>
          <w:rFonts w:ascii="Arial" w:hAnsi="Arial" w:cs="Arial"/>
        </w:rPr>
        <w:t>el</w:t>
      </w:r>
      <w:proofErr w:type="spellEnd"/>
      <w:r w:rsidRPr="004044E8">
        <w:rPr>
          <w:rFonts w:ascii="Arial" w:hAnsi="Arial" w:cs="Arial"/>
        </w:rPr>
        <w:t xml:space="preserve"> SEPA.  El PA deberá actualizarse para las evaluaciones anuales previstas y antes del fin de cada año calendario, junto con el POA, o con mayor frecuencia; cuando se presenten cambios que afecten el método de contratación, la denominación o el tipo de contratación, cubriendo los 12 meses siguientes del período de ejecución del Programa. </w:t>
      </w:r>
      <w:r w:rsidRPr="004044E8">
        <w:rPr>
          <w:rFonts w:ascii="Arial" w:hAnsi="Arial" w:cs="Arial"/>
          <w:u w:val="single"/>
        </w:rPr>
        <w:t>Cualquier propuesta de cambio y/o revisión del PA debe ser presentada</w:t>
      </w:r>
      <w:r w:rsidR="009E5EB0" w:rsidRPr="004044E8">
        <w:rPr>
          <w:rFonts w:ascii="Arial" w:hAnsi="Arial" w:cs="Arial"/>
          <w:u w:val="single"/>
        </w:rPr>
        <w:t xml:space="preserve"> </w:t>
      </w:r>
      <w:r w:rsidRPr="004044E8">
        <w:rPr>
          <w:rFonts w:ascii="Arial" w:hAnsi="Arial" w:cs="Arial"/>
          <w:u w:val="single"/>
        </w:rPr>
        <w:t>al Banco para su revisión y aprobación</w:t>
      </w:r>
      <w:r w:rsidRPr="004044E8">
        <w:rPr>
          <w:rFonts w:ascii="Arial" w:hAnsi="Arial" w:cs="Arial"/>
        </w:rPr>
        <w:t xml:space="preserve">.  </w:t>
      </w:r>
      <w:r w:rsidRPr="004044E8">
        <w:rPr>
          <w:rFonts w:ascii="Arial" w:hAnsi="Arial" w:cs="Arial"/>
          <w:u w:val="single"/>
        </w:rPr>
        <w:t>Todas las adquisiciones del Programa, se realizarán de conformidad con lo establecido en el PA vigente, por lo tanto, un requisito previo para iniciar cualquier proceso de adquisición, será la constatación del proceso dentro del PA</w:t>
      </w:r>
      <w:r w:rsidRPr="004044E8">
        <w:rPr>
          <w:rFonts w:ascii="Arial" w:hAnsi="Arial" w:cs="Arial"/>
        </w:rPr>
        <w:t>.</w:t>
      </w:r>
    </w:p>
    <w:p w14:paraId="1FB858EA" w14:textId="77777777" w:rsidR="002A1A33" w:rsidRPr="004044E8" w:rsidRDefault="002A1A33" w:rsidP="00EA653C">
      <w:pPr>
        <w:pStyle w:val="Heading3"/>
        <w:rPr>
          <w:rFonts w:ascii="Arial" w:hAnsi="Arial" w:cs="Arial"/>
        </w:rPr>
      </w:pPr>
      <w:r w:rsidRPr="004044E8">
        <w:rPr>
          <w:rFonts w:ascii="Arial" w:hAnsi="Arial" w:cs="Arial"/>
        </w:rPr>
        <w:lastRenderedPageBreak/>
        <w:t>Acuerdos y requisitos para la ejecución de las adquisiciones y contrataciones del Programa</w:t>
      </w:r>
    </w:p>
    <w:p w14:paraId="7E37D894" w14:textId="3E58849A" w:rsidR="002A1A33" w:rsidRPr="009F019B" w:rsidRDefault="002A1A33" w:rsidP="00C02EF4">
      <w:pPr>
        <w:pStyle w:val="Estilo1"/>
        <w:rPr>
          <w:rFonts w:ascii="Arial" w:hAnsi="Arial" w:cs="Arial"/>
        </w:rPr>
      </w:pPr>
      <w:r w:rsidRPr="004044E8">
        <w:rPr>
          <w:rFonts w:ascii="Arial" w:hAnsi="Arial" w:cs="Arial"/>
        </w:rPr>
        <w:t>Los acuerdos y requisitos específicos para la ejecución de las adquisiciones y contrataciones</w:t>
      </w:r>
      <w:r w:rsidR="00A47953" w:rsidRPr="009F019B">
        <w:rPr>
          <w:rStyle w:val="FootnoteReference"/>
          <w:rFonts w:ascii="Arial" w:hAnsi="Arial" w:cs="Arial"/>
        </w:rPr>
        <w:footnoteReference w:id="22"/>
      </w:r>
      <w:r w:rsidRPr="009F019B">
        <w:rPr>
          <w:rFonts w:ascii="Arial" w:hAnsi="Arial" w:cs="Arial"/>
        </w:rPr>
        <w:t xml:space="preserve"> son: </w:t>
      </w:r>
    </w:p>
    <w:p w14:paraId="27810D13" w14:textId="77777777" w:rsidR="009D0801" w:rsidRPr="004044E8" w:rsidRDefault="002359FB" w:rsidP="009D0801">
      <w:pPr>
        <w:pStyle w:val="Heading4"/>
        <w:rPr>
          <w:rFonts w:ascii="Arial" w:hAnsi="Arial" w:cs="Arial"/>
        </w:rPr>
      </w:pPr>
      <w:r w:rsidRPr="004044E8">
        <w:rPr>
          <w:rFonts w:ascii="Arial" w:hAnsi="Arial" w:cs="Arial"/>
        </w:rPr>
        <w:t>Adquisiciones de obras, bienes y servicios diferentes de consultoría</w:t>
      </w:r>
    </w:p>
    <w:p w14:paraId="53E41E34" w14:textId="03BF8D81" w:rsidR="002359FB" w:rsidRPr="009F019B" w:rsidRDefault="002359FB" w:rsidP="00C02EF4">
      <w:pPr>
        <w:pStyle w:val="Estilo1"/>
        <w:rPr>
          <w:rFonts w:ascii="Arial" w:hAnsi="Arial" w:cs="Arial"/>
        </w:rPr>
      </w:pPr>
      <w:r w:rsidRPr="004044E8">
        <w:rPr>
          <w:rFonts w:ascii="Arial" w:hAnsi="Arial" w:cs="Arial"/>
        </w:rPr>
        <w:t>Los contratos de Obras, Bienes y Servicios Diferentes de Consultoría</w:t>
      </w:r>
      <w:r w:rsidRPr="009F019B">
        <w:rPr>
          <w:rStyle w:val="FootnoteReference"/>
          <w:rFonts w:ascii="Arial" w:hAnsi="Arial" w:cs="Arial"/>
        </w:rPr>
        <w:footnoteReference w:id="23"/>
      </w:r>
      <w:r w:rsidRPr="009F019B">
        <w:rPr>
          <w:rFonts w:ascii="Arial" w:hAnsi="Arial" w:cs="Arial"/>
        </w:rPr>
        <w:t xml:space="preserve"> generados bajo el proyecto y sujetos Licitación Pública Internacional (LPI)</w:t>
      </w:r>
      <w:r w:rsidRPr="009F019B">
        <w:rPr>
          <w:rStyle w:val="FootnoteReference"/>
          <w:rFonts w:ascii="Arial" w:hAnsi="Arial" w:cs="Arial"/>
        </w:rPr>
        <w:footnoteReference w:id="24"/>
      </w:r>
      <w:r w:rsidRPr="009F019B">
        <w:rPr>
          <w:rFonts w:ascii="Arial" w:hAnsi="Arial" w:cs="Arial"/>
        </w:rPr>
        <w:t xml:space="preserve"> serán en el marco del umbral previsto en la página </w:t>
      </w:r>
      <w:hyperlink r:id="rId14" w:history="1">
        <w:r w:rsidR="009840E3" w:rsidRPr="009F019B">
          <w:rPr>
            <w:rStyle w:val="Hyperlink"/>
            <w:rFonts w:ascii="Arial" w:hAnsi="Arial" w:cs="Arial"/>
          </w:rPr>
          <w:t>www.</w:t>
        </w:r>
        <w:r w:rsidR="009840E3" w:rsidRPr="004044E8">
          <w:rPr>
            <w:rStyle w:val="Hyperlink"/>
            <w:rFonts w:ascii="Arial" w:hAnsi="Arial" w:cs="Arial"/>
          </w:rPr>
          <w:t>iadb.org/procurement</w:t>
        </w:r>
      </w:hyperlink>
      <w:r w:rsidRPr="004044E8">
        <w:rPr>
          <w:rStyle w:val="FootnoteReference"/>
          <w:rFonts w:ascii="Arial" w:hAnsi="Arial" w:cs="Arial"/>
        </w:rPr>
        <w:footnoteReference w:id="25"/>
      </w:r>
      <w:r w:rsidRPr="009F019B">
        <w:rPr>
          <w:rFonts w:ascii="Arial" w:hAnsi="Arial" w:cs="Arial"/>
        </w:rPr>
        <w:t xml:space="preserve"> del Banco. Las LPI se ejecutarán utilizando los Documentos Estándar de Licitaciones (DEL) emitidos por el BID</w:t>
      </w:r>
      <w:r w:rsidR="009840E3" w:rsidRPr="009F019B">
        <w:rPr>
          <w:rStyle w:val="FootnoteReference"/>
          <w:rFonts w:ascii="Arial" w:hAnsi="Arial" w:cs="Arial"/>
        </w:rPr>
        <w:footnoteReference w:id="26"/>
      </w:r>
      <w:r w:rsidRPr="009F019B">
        <w:rPr>
          <w:rFonts w:ascii="Arial" w:hAnsi="Arial" w:cs="Arial"/>
        </w:rPr>
        <w:t>. Los procesos de selección directa (en caso de existir) deberán ser claramente identificados en el PA.</w:t>
      </w:r>
    </w:p>
    <w:p w14:paraId="064BFBCD" w14:textId="77777777" w:rsidR="009D0801" w:rsidRPr="009F019B" w:rsidRDefault="009840E3" w:rsidP="009D0801">
      <w:pPr>
        <w:pStyle w:val="Heading4"/>
        <w:rPr>
          <w:rFonts w:ascii="Arial" w:hAnsi="Arial" w:cs="Arial"/>
        </w:rPr>
      </w:pPr>
      <w:r w:rsidRPr="004044E8">
        <w:rPr>
          <w:rFonts w:ascii="Arial" w:hAnsi="Arial" w:cs="Arial"/>
        </w:rPr>
        <w:t>Selección y Contratación de Consultores</w:t>
      </w:r>
      <w:r w:rsidRPr="009F019B">
        <w:rPr>
          <w:rStyle w:val="FootnoteReference"/>
          <w:rFonts w:ascii="Arial" w:hAnsi="Arial" w:cs="Arial"/>
          <w:b w:val="0"/>
        </w:rPr>
        <w:footnoteReference w:id="27"/>
      </w:r>
    </w:p>
    <w:p w14:paraId="5CE0A02C" w14:textId="2D252D6A" w:rsidR="009840E3" w:rsidRPr="009F019B" w:rsidRDefault="009840E3" w:rsidP="00C02EF4">
      <w:pPr>
        <w:pStyle w:val="Estilo1"/>
        <w:rPr>
          <w:rFonts w:ascii="Arial" w:hAnsi="Arial" w:cs="Arial"/>
        </w:rPr>
      </w:pPr>
      <w:r w:rsidRPr="009F019B">
        <w:rPr>
          <w:rFonts w:ascii="Arial" w:hAnsi="Arial" w:cs="Arial"/>
        </w:rPr>
        <w:t>Los contratos de Servicios de Consultoría se ejecutarán utilizando la Solicitud Estándar de Propuestas (SEP)</w:t>
      </w:r>
      <w:r w:rsidRPr="009F019B">
        <w:rPr>
          <w:rStyle w:val="FootnoteReference"/>
          <w:rFonts w:ascii="Arial" w:hAnsi="Arial" w:cs="Arial"/>
        </w:rPr>
        <w:footnoteReference w:id="28"/>
      </w:r>
      <w:r w:rsidRPr="009F019B">
        <w:rPr>
          <w:rFonts w:ascii="Arial" w:hAnsi="Arial" w:cs="Arial"/>
        </w:rPr>
        <w:t xml:space="preserve"> emitida o acordada con el Banco. De igual forma se identificarán los procesos de selección que serán contratados de forma directa. Para la selección y contratación de servicios de consultoría, se podrá utilizar cualquiera de los métodos descritos en las Políticas de Consultores, siempre que dicho método haya sido identificado para la respectiva contratación en el PA aprobado por el BID.  El umbral que determina la integración de la lista corta con consultores internacionales</w:t>
      </w:r>
      <w:r w:rsidRPr="009F019B">
        <w:rPr>
          <w:rStyle w:val="FootnoteReference"/>
          <w:rFonts w:ascii="Arial" w:hAnsi="Arial" w:cs="Arial"/>
        </w:rPr>
        <w:footnoteReference w:id="29"/>
      </w:r>
      <w:r w:rsidRPr="009F019B">
        <w:rPr>
          <w:rFonts w:ascii="Arial" w:hAnsi="Arial" w:cs="Arial"/>
        </w:rPr>
        <w:t xml:space="preserve"> será puesto a disposición del Programa, en la página </w:t>
      </w:r>
      <w:hyperlink r:id="rId15" w:history="1">
        <w:r w:rsidRPr="009F019B">
          <w:rPr>
            <w:rStyle w:val="Hyperlink"/>
            <w:rFonts w:ascii="Arial" w:hAnsi="Arial" w:cs="Arial"/>
          </w:rPr>
          <w:t>www.iadb.org/procurement</w:t>
        </w:r>
      </w:hyperlink>
      <w:r w:rsidRPr="009F019B">
        <w:rPr>
          <w:rFonts w:ascii="Arial" w:hAnsi="Arial" w:cs="Arial"/>
        </w:rPr>
        <w:t xml:space="preserve">.  </w:t>
      </w:r>
    </w:p>
    <w:p w14:paraId="2B327945" w14:textId="7A5ABBA7" w:rsidR="009D0801" w:rsidRPr="004044E8" w:rsidRDefault="009840E3" w:rsidP="009D0801">
      <w:pPr>
        <w:pStyle w:val="Heading4"/>
        <w:rPr>
          <w:rFonts w:ascii="Arial" w:hAnsi="Arial" w:cs="Arial"/>
        </w:rPr>
      </w:pPr>
      <w:r w:rsidRPr="004044E8">
        <w:rPr>
          <w:rFonts w:ascii="Arial" w:hAnsi="Arial" w:cs="Arial"/>
        </w:rPr>
        <w:t xml:space="preserve">Selección de los consultores individuales </w:t>
      </w:r>
    </w:p>
    <w:p w14:paraId="638E89F8" w14:textId="3CBFF54E" w:rsidR="009840E3" w:rsidRPr="004044E8" w:rsidRDefault="009840E3" w:rsidP="00C02EF4">
      <w:pPr>
        <w:pStyle w:val="Estilo1"/>
        <w:rPr>
          <w:rFonts w:ascii="Arial" w:hAnsi="Arial" w:cs="Arial"/>
        </w:rPr>
      </w:pPr>
      <w:r w:rsidRPr="004044E8">
        <w:rPr>
          <w:rFonts w:ascii="Arial" w:hAnsi="Arial" w:cs="Arial"/>
        </w:rPr>
        <w:t xml:space="preserve">En los casos identificados en los Planes de adquisiciones aprobados, la contratación de consultores individuales deberá seguir lo establecido en las Políticas de Consultores, GN-2350-9, Sección V, párrafos del 5.1 al 5.4. </w:t>
      </w:r>
    </w:p>
    <w:p w14:paraId="2E1A4A2D" w14:textId="77777777" w:rsidR="00B17871" w:rsidRPr="004044E8" w:rsidRDefault="00AB4E55" w:rsidP="00B17871">
      <w:pPr>
        <w:pStyle w:val="Heading4"/>
        <w:rPr>
          <w:rFonts w:ascii="Arial" w:hAnsi="Arial" w:cs="Arial"/>
        </w:rPr>
      </w:pPr>
      <w:r w:rsidRPr="004044E8">
        <w:rPr>
          <w:rFonts w:ascii="Arial" w:hAnsi="Arial" w:cs="Arial"/>
        </w:rPr>
        <w:t>Capacitación</w:t>
      </w:r>
    </w:p>
    <w:p w14:paraId="2E6B45D0" w14:textId="27BE6F1A" w:rsidR="00AB4E55" w:rsidRPr="004044E8" w:rsidRDefault="004C759B" w:rsidP="00C02EF4">
      <w:pPr>
        <w:pStyle w:val="Estilo1"/>
        <w:rPr>
          <w:rFonts w:ascii="Arial" w:hAnsi="Arial" w:cs="Arial"/>
        </w:rPr>
      </w:pPr>
      <w:r w:rsidRPr="004044E8">
        <w:rPr>
          <w:rFonts w:ascii="Arial" w:hAnsi="Arial" w:cs="Arial"/>
        </w:rPr>
        <w:t xml:space="preserve">Las contrataciones de capacitaciones serán registradas en </w:t>
      </w:r>
      <w:r w:rsidR="00AB4E55" w:rsidRPr="004044E8">
        <w:rPr>
          <w:rFonts w:ascii="Arial" w:hAnsi="Arial" w:cs="Arial"/>
        </w:rPr>
        <w:t xml:space="preserve">el PA.     </w:t>
      </w:r>
    </w:p>
    <w:p w14:paraId="159BD422" w14:textId="19DBE889" w:rsidR="00B17871" w:rsidRPr="004044E8" w:rsidRDefault="004C759B" w:rsidP="00B17871">
      <w:pPr>
        <w:pStyle w:val="Heading4"/>
        <w:rPr>
          <w:rFonts w:ascii="Arial" w:hAnsi="Arial" w:cs="Arial"/>
        </w:rPr>
      </w:pPr>
      <w:r w:rsidRPr="004044E8">
        <w:rPr>
          <w:rFonts w:ascii="Arial" w:hAnsi="Arial" w:cs="Arial"/>
        </w:rPr>
        <w:t>Uso de sistema nacional de adquisiciones</w:t>
      </w:r>
    </w:p>
    <w:p w14:paraId="19E7E286" w14:textId="66F20629" w:rsidR="002359FB" w:rsidRPr="004044E8" w:rsidRDefault="00F83868" w:rsidP="00C02EF4">
      <w:pPr>
        <w:pStyle w:val="Estilo1"/>
        <w:rPr>
          <w:rFonts w:ascii="Arial" w:hAnsi="Arial" w:cs="Arial"/>
        </w:rPr>
      </w:pPr>
      <w:r w:rsidRPr="004044E8">
        <w:rPr>
          <w:rFonts w:ascii="Arial" w:hAnsi="Arial" w:cs="Arial"/>
        </w:rPr>
        <w:t xml:space="preserve">Los procesos financiados totalmente (100%) con recursos de contrapartida local, se regirán íntegramente bajo lo dispuesto en la LOSNCP y su Reglamento. Las adquisiciones y contrataciones, financiadas total o parcialmente con recursos del Préstamo, se regirán por las disposiciones del Contrato de Préstamo y este Reglamento Operativo, en lo no previsto en dichos instrumentos se aplicará la Ley Orgánica del Sistema Nacional de Contratación Pública (LOSNCP), en concordancia con el Art. 3 de dicho cuerpo legal. </w:t>
      </w:r>
      <w:r w:rsidR="004C759B" w:rsidRPr="004044E8">
        <w:rPr>
          <w:rFonts w:ascii="Arial" w:hAnsi="Arial" w:cs="Arial"/>
        </w:rPr>
        <w:t>El PA del programa y sus actualizaciones indicará qué contrataciones se ejecutarán a través de los sistemas nacionales aprobados.</w:t>
      </w:r>
    </w:p>
    <w:p w14:paraId="16294B2B" w14:textId="49356BAA" w:rsidR="00B17871" w:rsidRPr="004044E8" w:rsidRDefault="004C759B" w:rsidP="00B17871">
      <w:pPr>
        <w:pStyle w:val="Heading4"/>
        <w:rPr>
          <w:rFonts w:ascii="Arial" w:hAnsi="Arial" w:cs="Arial"/>
        </w:rPr>
      </w:pPr>
      <w:r w:rsidRPr="004044E8">
        <w:rPr>
          <w:rFonts w:ascii="Arial" w:hAnsi="Arial" w:cs="Arial"/>
        </w:rPr>
        <w:t>Adquisiciones anticipadas y financiamiento retroactivo</w:t>
      </w:r>
    </w:p>
    <w:p w14:paraId="2269A1E9" w14:textId="0AFB6997" w:rsidR="004C759B" w:rsidRPr="004044E8" w:rsidRDefault="004C759B" w:rsidP="00C02EF4">
      <w:pPr>
        <w:pStyle w:val="Estilo1"/>
        <w:rPr>
          <w:rFonts w:ascii="Arial" w:hAnsi="Arial" w:cs="Arial"/>
        </w:rPr>
      </w:pPr>
      <w:r w:rsidRPr="004044E8">
        <w:rPr>
          <w:rFonts w:ascii="Arial" w:hAnsi="Arial" w:cs="Arial"/>
        </w:rPr>
        <w:t>El Banco podrá financiar retroactivamente con cargo a los recursos del préstamo, gastos elegibles efectuados por el prestatario para actividades previstas en el programa hasta por la suma de US$</w:t>
      </w:r>
      <w:r w:rsidR="00E26F3E" w:rsidRPr="004044E8">
        <w:rPr>
          <w:rFonts w:ascii="Arial" w:hAnsi="Arial" w:cs="Arial"/>
        </w:rPr>
        <w:t>15</w:t>
      </w:r>
      <w:r w:rsidRPr="004044E8">
        <w:rPr>
          <w:rFonts w:ascii="Arial" w:hAnsi="Arial" w:cs="Arial"/>
        </w:rPr>
        <w:t xml:space="preserve"> millones (20% del monto propuesto del préstamo), siempre que se hayan cumplido requisitos sustancialmente análogos a los establecidos en el contrato de préstamo. De gastos elegibles efectuados por el prestatario. Dichos gastos deberán haberse efectuado a partir de la aprobación del perfil de proyecto y hasta la aprobación del préstamo por parte del Directorio del Banco, pero en ningún caso se incluirán gastos efectuados más de 18 meses antes de la fecha de aprobación del préstamo.</w:t>
      </w:r>
    </w:p>
    <w:p w14:paraId="7FE453B0" w14:textId="4326DE81" w:rsidR="00B17871" w:rsidRPr="004044E8" w:rsidRDefault="004C759B" w:rsidP="00B17871">
      <w:pPr>
        <w:pStyle w:val="Heading4"/>
        <w:rPr>
          <w:rFonts w:ascii="Arial" w:hAnsi="Arial" w:cs="Arial"/>
        </w:rPr>
      </w:pPr>
      <w:r w:rsidRPr="004044E8">
        <w:rPr>
          <w:rFonts w:ascii="Arial" w:hAnsi="Arial" w:cs="Arial"/>
        </w:rPr>
        <w:t xml:space="preserve">Preferencia nacional </w:t>
      </w:r>
    </w:p>
    <w:p w14:paraId="1697CAD8" w14:textId="5DF2F67B" w:rsidR="002A1A33" w:rsidRPr="009F019B" w:rsidRDefault="00B17871" w:rsidP="00C02EF4">
      <w:pPr>
        <w:pStyle w:val="Estilo1"/>
        <w:rPr>
          <w:rFonts w:ascii="Arial" w:hAnsi="Arial" w:cs="Arial"/>
        </w:rPr>
      </w:pPr>
      <w:r w:rsidRPr="004044E8">
        <w:rPr>
          <w:rFonts w:ascii="Arial" w:hAnsi="Arial" w:cs="Arial"/>
        </w:rPr>
        <w:t>L</w:t>
      </w:r>
      <w:r w:rsidR="004C759B" w:rsidRPr="004044E8">
        <w:rPr>
          <w:rFonts w:ascii="Arial" w:hAnsi="Arial" w:cs="Arial"/>
        </w:rPr>
        <w:t>as ofertas de bienes con origen en el país del prestatario tendrán una preferencia de precio</w:t>
      </w:r>
      <w:r w:rsidR="004C759B" w:rsidRPr="009F019B">
        <w:rPr>
          <w:rStyle w:val="FootnoteReference"/>
          <w:rFonts w:ascii="Arial" w:hAnsi="Arial" w:cs="Arial"/>
        </w:rPr>
        <w:footnoteReference w:id="30"/>
      </w:r>
      <w:r w:rsidR="004C759B" w:rsidRPr="009F019B">
        <w:rPr>
          <w:rFonts w:ascii="Arial" w:hAnsi="Arial" w:cs="Arial"/>
        </w:rPr>
        <w:t xml:space="preserve"> equivalente al 15% en contratos sujetos a la LPI.</w:t>
      </w:r>
    </w:p>
    <w:p w14:paraId="4A581447" w14:textId="202F2C90" w:rsidR="00B17871" w:rsidRPr="004044E8" w:rsidRDefault="00FD6DA0" w:rsidP="00B17871">
      <w:pPr>
        <w:pStyle w:val="Heading4"/>
        <w:rPr>
          <w:rFonts w:ascii="Arial" w:hAnsi="Arial" w:cs="Arial"/>
        </w:rPr>
      </w:pPr>
      <w:r w:rsidRPr="009F019B">
        <w:rPr>
          <w:rFonts w:ascii="Arial" w:hAnsi="Arial" w:cs="Arial"/>
        </w:rPr>
        <w:lastRenderedPageBreak/>
        <w:t>Otros</w:t>
      </w:r>
    </w:p>
    <w:p w14:paraId="7905E445" w14:textId="4CE6B91B" w:rsidR="004C759B" w:rsidRPr="004044E8" w:rsidRDefault="00FD6DA0" w:rsidP="00C02EF4">
      <w:pPr>
        <w:pStyle w:val="Estilo1"/>
        <w:rPr>
          <w:rFonts w:ascii="Arial" w:hAnsi="Arial" w:cs="Arial"/>
        </w:rPr>
      </w:pPr>
      <w:r w:rsidRPr="004044E8">
        <w:rPr>
          <w:rFonts w:ascii="Arial" w:hAnsi="Arial" w:cs="Arial"/>
        </w:rPr>
        <w:t xml:space="preserve">No se prevén otros procedimientos especiales </w:t>
      </w:r>
      <w:r w:rsidR="00DC7BC4" w:rsidRPr="004044E8">
        <w:rPr>
          <w:rFonts w:ascii="Arial" w:hAnsi="Arial" w:cs="Arial"/>
        </w:rPr>
        <w:t>o gastos</w:t>
      </w:r>
      <w:r w:rsidRPr="004044E8">
        <w:rPr>
          <w:rFonts w:ascii="Arial" w:hAnsi="Arial" w:cs="Arial"/>
        </w:rPr>
        <w:t xml:space="preserve"> diferentes a los establecidos en el PA.</w:t>
      </w:r>
    </w:p>
    <w:p w14:paraId="138027D4" w14:textId="1CBCC534" w:rsidR="00B54323" w:rsidRPr="004044E8" w:rsidRDefault="00B54323" w:rsidP="00B17871">
      <w:pPr>
        <w:pStyle w:val="Heading4"/>
        <w:rPr>
          <w:rFonts w:ascii="Arial" w:hAnsi="Arial" w:cs="Arial"/>
        </w:rPr>
      </w:pPr>
      <w:r w:rsidRPr="004044E8">
        <w:rPr>
          <w:rFonts w:ascii="Arial" w:hAnsi="Arial" w:cs="Arial"/>
        </w:rPr>
        <w:t>Umbrales o Montos Límites</w:t>
      </w:r>
    </w:p>
    <w:p w14:paraId="1AFB786C" w14:textId="7A9D0351" w:rsidR="0026136D" w:rsidRPr="004044E8" w:rsidRDefault="0026136D" w:rsidP="00C02EF4">
      <w:pPr>
        <w:pStyle w:val="Estilo1"/>
        <w:rPr>
          <w:rFonts w:ascii="Arial" w:hAnsi="Arial" w:cs="Arial"/>
        </w:rPr>
      </w:pPr>
      <w:r w:rsidRPr="004044E8">
        <w:rPr>
          <w:rFonts w:ascii="Arial" w:hAnsi="Arial" w:cs="Arial"/>
        </w:rPr>
        <w:t xml:space="preserve">Los umbrales o montos límites </w:t>
      </w:r>
      <w:r w:rsidR="00910D9D" w:rsidRPr="004044E8">
        <w:rPr>
          <w:rFonts w:ascii="Arial" w:hAnsi="Arial" w:cs="Arial"/>
        </w:rPr>
        <w:t>de</w:t>
      </w:r>
      <w:r w:rsidRPr="004044E8">
        <w:rPr>
          <w:rFonts w:ascii="Arial" w:hAnsi="Arial" w:cs="Arial"/>
        </w:rPr>
        <w:t xml:space="preserve"> LPI</w:t>
      </w:r>
      <w:r w:rsidR="000A1F91" w:rsidRPr="004044E8">
        <w:rPr>
          <w:rFonts w:ascii="Arial" w:hAnsi="Arial" w:cs="Arial"/>
        </w:rPr>
        <w:t xml:space="preserve">, estarán </w:t>
      </w:r>
      <w:r w:rsidR="00B54323" w:rsidRPr="004044E8">
        <w:rPr>
          <w:rFonts w:ascii="Arial" w:hAnsi="Arial" w:cs="Arial"/>
        </w:rPr>
        <w:t xml:space="preserve">dentro de lo </w:t>
      </w:r>
      <w:r w:rsidR="000A1F91" w:rsidRPr="004044E8">
        <w:rPr>
          <w:rFonts w:ascii="Arial" w:hAnsi="Arial" w:cs="Arial"/>
        </w:rPr>
        <w:t xml:space="preserve">previsto en la página </w:t>
      </w:r>
      <w:hyperlink r:id="rId16" w:history="1">
        <w:r w:rsidR="000A1F91" w:rsidRPr="009F019B">
          <w:rPr>
            <w:rStyle w:val="Hyperlink"/>
            <w:rFonts w:ascii="Arial" w:hAnsi="Arial" w:cs="Arial"/>
          </w:rPr>
          <w:t>www.iadb.org/procurement</w:t>
        </w:r>
      </w:hyperlink>
      <w:r w:rsidR="000A1F91" w:rsidRPr="009F019B">
        <w:rPr>
          <w:rFonts w:ascii="Arial" w:hAnsi="Arial" w:cs="Arial"/>
        </w:rPr>
        <w:t xml:space="preserve"> </w:t>
      </w:r>
      <w:r w:rsidR="00FD6DA0" w:rsidRPr="009F019B">
        <w:rPr>
          <w:rFonts w:ascii="Arial" w:hAnsi="Arial" w:cs="Arial"/>
        </w:rPr>
        <w:t xml:space="preserve"> y </w:t>
      </w:r>
      <w:r w:rsidR="00B17871" w:rsidRPr="004044E8">
        <w:rPr>
          <w:rFonts w:ascii="Arial" w:hAnsi="Arial" w:cs="Arial"/>
        </w:rPr>
        <w:t>son</w:t>
      </w:r>
      <w:r w:rsidR="00FD6DA0" w:rsidRPr="004044E8">
        <w:rPr>
          <w:rFonts w:ascii="Arial" w:hAnsi="Arial" w:cs="Arial"/>
        </w:rPr>
        <w:t>:</w:t>
      </w:r>
    </w:p>
    <w:p w14:paraId="13D739FA" w14:textId="018DF6AC" w:rsidR="00D555CA" w:rsidRPr="004044E8" w:rsidRDefault="00D555CA" w:rsidP="00D555CA">
      <w:pPr>
        <w:pStyle w:val="Caption"/>
        <w:keepNext/>
        <w:rPr>
          <w:rFonts w:ascii="Arial" w:hAnsi="Arial" w:cs="Arial"/>
        </w:rPr>
      </w:pPr>
      <w:bookmarkStart w:id="57" w:name="_Toc454056477"/>
      <w:bookmarkStart w:id="58" w:name="_Toc537156"/>
      <w:r w:rsidRPr="004044E8">
        <w:rPr>
          <w:rFonts w:ascii="Arial" w:hAnsi="Arial" w:cs="Arial"/>
        </w:rPr>
        <w:t xml:space="preserve">Tabla </w:t>
      </w:r>
      <w:r w:rsidR="00972E0E" w:rsidRPr="009F019B">
        <w:rPr>
          <w:rFonts w:ascii="Arial" w:hAnsi="Arial" w:cs="Arial"/>
          <w:noProof/>
        </w:rPr>
        <w:fldChar w:fldCharType="begin"/>
      </w:r>
      <w:r w:rsidR="00972E0E" w:rsidRPr="004044E8">
        <w:rPr>
          <w:rFonts w:ascii="Arial" w:hAnsi="Arial" w:cs="Arial"/>
          <w:noProof/>
        </w:rPr>
        <w:instrText xml:space="preserve"> SEQ Tabla \* ARABIC </w:instrText>
      </w:r>
      <w:r w:rsidR="00972E0E" w:rsidRPr="004044E8">
        <w:rPr>
          <w:rFonts w:ascii="Arial" w:hAnsi="Arial" w:cs="Arial"/>
          <w:noProof/>
        </w:rPr>
        <w:fldChar w:fldCharType="separate"/>
      </w:r>
      <w:r w:rsidR="004D4A3A" w:rsidRPr="009F019B">
        <w:rPr>
          <w:rFonts w:ascii="Arial" w:hAnsi="Arial" w:cs="Arial"/>
          <w:noProof/>
        </w:rPr>
        <w:t>1</w:t>
      </w:r>
      <w:r w:rsidR="00972E0E" w:rsidRPr="009F019B">
        <w:rPr>
          <w:rFonts w:ascii="Arial" w:hAnsi="Arial" w:cs="Arial"/>
          <w:noProof/>
        </w:rPr>
        <w:fldChar w:fldCharType="end"/>
      </w:r>
      <w:r w:rsidRPr="009F019B">
        <w:rPr>
          <w:rFonts w:ascii="Arial" w:hAnsi="Arial" w:cs="Arial"/>
        </w:rPr>
        <w:t xml:space="preserve">. Montos Límites </w:t>
      </w:r>
      <w:r w:rsidR="005375AC" w:rsidRPr="009F019B">
        <w:rPr>
          <w:rFonts w:ascii="Arial" w:hAnsi="Arial" w:cs="Arial"/>
        </w:rPr>
        <w:t>Adquisiciones</w:t>
      </w:r>
      <w:r w:rsidRPr="004044E8">
        <w:rPr>
          <w:rFonts w:ascii="Arial" w:hAnsi="Arial" w:cs="Arial"/>
        </w:rPr>
        <w:t xml:space="preserve"> US$</w:t>
      </w:r>
      <w:bookmarkEnd w:id="57"/>
      <w:bookmarkEnd w:id="58"/>
    </w:p>
    <w:tbl>
      <w:tblPr>
        <w:tblStyle w:val="PlainTable2"/>
        <w:tblW w:w="4962" w:type="dxa"/>
        <w:jc w:val="center"/>
        <w:tblLayout w:type="fixed"/>
        <w:tblLook w:val="0000" w:firstRow="0" w:lastRow="0" w:firstColumn="0" w:lastColumn="0" w:noHBand="0" w:noVBand="0"/>
      </w:tblPr>
      <w:tblGrid>
        <w:gridCol w:w="1654"/>
        <w:gridCol w:w="1654"/>
        <w:gridCol w:w="1654"/>
      </w:tblGrid>
      <w:tr w:rsidR="00D555CA" w:rsidRPr="004044E8" w14:paraId="5CF91093" w14:textId="77777777" w:rsidTr="00DE3867">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0" w:type="dxa"/>
          </w:tcPr>
          <w:p w14:paraId="4D7DD28E" w14:textId="77777777" w:rsidR="00D555CA" w:rsidRPr="004044E8" w:rsidRDefault="00D555CA" w:rsidP="00FD6DA0">
            <w:pPr>
              <w:keepNext/>
              <w:autoSpaceDE w:val="0"/>
              <w:snapToGrid w:val="0"/>
              <w:spacing w:before="20" w:after="20"/>
              <w:jc w:val="center"/>
              <w:rPr>
                <w:rFonts w:ascii="Arial" w:hAnsi="Arial" w:cs="Arial"/>
                <w:b/>
                <w:szCs w:val="20"/>
                <w:lang w:val="es-AR"/>
              </w:rPr>
            </w:pPr>
            <w:r w:rsidRPr="004044E8">
              <w:rPr>
                <w:rFonts w:ascii="Arial" w:hAnsi="Arial" w:cs="Arial"/>
                <w:b/>
                <w:szCs w:val="20"/>
                <w:lang w:val="es-AR"/>
              </w:rPr>
              <w:t>Obras</w:t>
            </w:r>
          </w:p>
        </w:tc>
        <w:tc>
          <w:tcPr>
            <w:cnfStyle w:val="000001000000" w:firstRow="0" w:lastRow="0" w:firstColumn="0" w:lastColumn="0" w:oddVBand="0" w:evenVBand="1" w:oddHBand="0" w:evenHBand="0" w:firstRowFirstColumn="0" w:firstRowLastColumn="0" w:lastRowFirstColumn="0" w:lastRowLastColumn="0"/>
            <w:tcW w:w="0" w:type="dxa"/>
          </w:tcPr>
          <w:p w14:paraId="6F0368A6" w14:textId="77777777" w:rsidR="00D555CA" w:rsidRPr="004044E8" w:rsidRDefault="00D555CA" w:rsidP="00FD6DA0">
            <w:pPr>
              <w:keepNext/>
              <w:autoSpaceDE w:val="0"/>
              <w:snapToGrid w:val="0"/>
              <w:spacing w:before="20" w:after="20"/>
              <w:jc w:val="center"/>
              <w:rPr>
                <w:rFonts w:ascii="Arial" w:hAnsi="Arial" w:cs="Arial"/>
                <w:b/>
                <w:szCs w:val="20"/>
                <w:lang w:val="es-AR"/>
              </w:rPr>
            </w:pPr>
            <w:r w:rsidRPr="004044E8">
              <w:rPr>
                <w:rFonts w:ascii="Arial" w:hAnsi="Arial" w:cs="Arial"/>
                <w:b/>
                <w:szCs w:val="20"/>
                <w:lang w:val="es-AR"/>
              </w:rPr>
              <w:t>Bienes</w:t>
            </w:r>
          </w:p>
        </w:tc>
        <w:tc>
          <w:tcPr>
            <w:cnfStyle w:val="000010000000" w:firstRow="0" w:lastRow="0" w:firstColumn="0" w:lastColumn="0" w:oddVBand="1" w:evenVBand="0" w:oddHBand="0" w:evenHBand="0" w:firstRowFirstColumn="0" w:firstRowLastColumn="0" w:lastRowFirstColumn="0" w:lastRowLastColumn="0"/>
            <w:tcW w:w="0" w:type="dxa"/>
          </w:tcPr>
          <w:p w14:paraId="70D2AB0D" w14:textId="77777777" w:rsidR="00D555CA" w:rsidRPr="004044E8" w:rsidRDefault="00D555CA" w:rsidP="00FD6DA0">
            <w:pPr>
              <w:keepNext/>
              <w:autoSpaceDE w:val="0"/>
              <w:snapToGrid w:val="0"/>
              <w:spacing w:before="20" w:after="20"/>
              <w:jc w:val="center"/>
              <w:rPr>
                <w:rFonts w:ascii="Arial" w:hAnsi="Arial" w:cs="Arial"/>
                <w:b/>
                <w:szCs w:val="20"/>
                <w:lang w:val="es-AR"/>
              </w:rPr>
            </w:pPr>
            <w:r w:rsidRPr="004044E8">
              <w:rPr>
                <w:rFonts w:ascii="Arial" w:hAnsi="Arial" w:cs="Arial"/>
                <w:b/>
                <w:szCs w:val="20"/>
                <w:lang w:val="es-AR"/>
              </w:rPr>
              <w:t>Consultoría</w:t>
            </w:r>
          </w:p>
        </w:tc>
      </w:tr>
      <w:tr w:rsidR="00FD6DA0" w:rsidRPr="004044E8" w14:paraId="57DEC66F" w14:textId="77777777" w:rsidTr="00DE3867">
        <w:trPr>
          <w:jc w:val="center"/>
        </w:trPr>
        <w:tc>
          <w:tcPr>
            <w:cnfStyle w:val="000010000000" w:firstRow="0" w:lastRow="0" w:firstColumn="0" w:lastColumn="0" w:oddVBand="1" w:evenVBand="0" w:oddHBand="0" w:evenHBand="0" w:firstRowFirstColumn="0" w:firstRowLastColumn="0" w:lastRowFirstColumn="0" w:lastRowLastColumn="0"/>
            <w:tcW w:w="0" w:type="dxa"/>
          </w:tcPr>
          <w:p w14:paraId="524B8378" w14:textId="53A67734" w:rsidR="00FD6DA0" w:rsidRPr="004044E8" w:rsidRDefault="00FD6DA0" w:rsidP="00FD6DA0">
            <w:pPr>
              <w:keepNext/>
              <w:autoSpaceDE w:val="0"/>
              <w:snapToGrid w:val="0"/>
              <w:spacing w:before="20" w:after="20"/>
              <w:jc w:val="center"/>
              <w:rPr>
                <w:rFonts w:ascii="Arial" w:hAnsi="Arial" w:cs="Arial"/>
                <w:szCs w:val="20"/>
                <w:lang w:val="es-AR"/>
              </w:rPr>
            </w:pPr>
            <w:r w:rsidRPr="004044E8">
              <w:rPr>
                <w:rFonts w:ascii="Arial" w:hAnsi="Arial" w:cs="Arial"/>
                <w:szCs w:val="20"/>
                <w:lang w:val="es-AR"/>
              </w:rPr>
              <w:t>LPI</w:t>
            </w:r>
          </w:p>
        </w:tc>
        <w:tc>
          <w:tcPr>
            <w:cnfStyle w:val="000001000000" w:firstRow="0" w:lastRow="0" w:firstColumn="0" w:lastColumn="0" w:oddVBand="0" w:evenVBand="1" w:oddHBand="0" w:evenHBand="0" w:firstRowFirstColumn="0" w:firstRowLastColumn="0" w:lastRowFirstColumn="0" w:lastRowLastColumn="0"/>
            <w:tcW w:w="0" w:type="dxa"/>
          </w:tcPr>
          <w:p w14:paraId="5A0E8268" w14:textId="2368A588" w:rsidR="00FD6DA0" w:rsidRPr="004044E8" w:rsidRDefault="00FD6DA0" w:rsidP="00FD6DA0">
            <w:pPr>
              <w:keepNext/>
              <w:autoSpaceDE w:val="0"/>
              <w:snapToGrid w:val="0"/>
              <w:spacing w:before="20" w:after="20"/>
              <w:jc w:val="center"/>
              <w:rPr>
                <w:rFonts w:ascii="Arial" w:hAnsi="Arial" w:cs="Arial"/>
                <w:szCs w:val="20"/>
                <w:lang w:val="es-AR"/>
              </w:rPr>
            </w:pPr>
            <w:r w:rsidRPr="004044E8">
              <w:rPr>
                <w:rFonts w:ascii="Arial" w:hAnsi="Arial" w:cs="Arial"/>
                <w:szCs w:val="20"/>
                <w:lang w:val="es-AR"/>
              </w:rPr>
              <w:t>LPI</w:t>
            </w:r>
          </w:p>
        </w:tc>
        <w:tc>
          <w:tcPr>
            <w:cnfStyle w:val="000010000000" w:firstRow="0" w:lastRow="0" w:firstColumn="0" w:lastColumn="0" w:oddVBand="1" w:evenVBand="0" w:oddHBand="0" w:evenHBand="0" w:firstRowFirstColumn="0" w:firstRowLastColumn="0" w:lastRowFirstColumn="0" w:lastRowLastColumn="0"/>
            <w:tcW w:w="0" w:type="dxa"/>
          </w:tcPr>
          <w:p w14:paraId="4D9E959F" w14:textId="06EAA2EA" w:rsidR="00FD6DA0" w:rsidRPr="004044E8" w:rsidRDefault="00FD6DA0" w:rsidP="00FD6DA0">
            <w:pPr>
              <w:keepNext/>
              <w:autoSpaceDE w:val="0"/>
              <w:snapToGrid w:val="0"/>
              <w:spacing w:before="20" w:after="20"/>
              <w:jc w:val="center"/>
              <w:rPr>
                <w:rFonts w:ascii="Arial" w:hAnsi="Arial" w:cs="Arial"/>
                <w:szCs w:val="20"/>
                <w:lang w:val="es-AR"/>
              </w:rPr>
            </w:pPr>
            <w:r w:rsidRPr="004044E8">
              <w:rPr>
                <w:rFonts w:ascii="Arial" w:hAnsi="Arial" w:cs="Arial"/>
                <w:szCs w:val="20"/>
                <w:lang w:val="es-AR"/>
              </w:rPr>
              <w:t>Publicidad</w:t>
            </w:r>
            <w:r w:rsidRPr="004044E8">
              <w:rPr>
                <w:rFonts w:ascii="Arial" w:eastAsia="Calibri" w:hAnsi="Arial" w:cs="Arial"/>
                <w:szCs w:val="20"/>
              </w:rPr>
              <w:t xml:space="preserve"> </w:t>
            </w:r>
            <w:r w:rsidRPr="004044E8">
              <w:rPr>
                <w:rFonts w:ascii="Arial" w:hAnsi="Arial" w:cs="Arial"/>
                <w:szCs w:val="20"/>
                <w:lang w:val="es-AR"/>
              </w:rPr>
              <w:t>internacional</w:t>
            </w:r>
            <w:r w:rsidRPr="004044E8">
              <w:rPr>
                <w:rFonts w:ascii="Arial" w:eastAsia="Calibri" w:hAnsi="Arial" w:cs="Arial"/>
                <w:szCs w:val="20"/>
              </w:rPr>
              <w:t xml:space="preserve"> </w:t>
            </w:r>
            <w:r w:rsidRPr="004044E8">
              <w:rPr>
                <w:rFonts w:ascii="Arial" w:hAnsi="Arial" w:cs="Arial"/>
                <w:szCs w:val="20"/>
                <w:lang w:val="es-AR"/>
              </w:rPr>
              <w:t>consultoría</w:t>
            </w:r>
          </w:p>
        </w:tc>
      </w:tr>
      <w:tr w:rsidR="00FD6DA0" w:rsidRPr="004044E8" w14:paraId="4B23EE3B" w14:textId="77777777" w:rsidTr="00DE3867">
        <w:trPr>
          <w:cnfStyle w:val="000000100000" w:firstRow="0" w:lastRow="0" w:firstColumn="0" w:lastColumn="0" w:oddVBand="0" w:evenVBand="0" w:oddHBand="1" w:evenHBand="0" w:firstRowFirstColumn="0" w:firstRowLastColumn="0" w:lastRowFirstColumn="0" w:lastRowLastColumn="0"/>
          <w:trHeight w:val="301"/>
          <w:jc w:val="center"/>
        </w:trPr>
        <w:tc>
          <w:tcPr>
            <w:cnfStyle w:val="000010000000" w:firstRow="0" w:lastRow="0" w:firstColumn="0" w:lastColumn="0" w:oddVBand="1" w:evenVBand="0" w:oddHBand="0" w:evenHBand="0" w:firstRowFirstColumn="0" w:firstRowLastColumn="0" w:lastRowFirstColumn="0" w:lastRowLastColumn="0"/>
            <w:tcW w:w="0" w:type="dxa"/>
          </w:tcPr>
          <w:p w14:paraId="401F3D34" w14:textId="35E2133C" w:rsidR="00FD6DA0" w:rsidRPr="004044E8" w:rsidRDefault="00FD6DA0" w:rsidP="00FD6DA0">
            <w:pPr>
              <w:keepNext/>
              <w:autoSpaceDE w:val="0"/>
              <w:snapToGrid w:val="0"/>
              <w:spacing w:before="20" w:after="20"/>
              <w:jc w:val="center"/>
              <w:rPr>
                <w:rFonts w:ascii="Arial" w:hAnsi="Arial" w:cs="Arial"/>
                <w:szCs w:val="20"/>
              </w:rPr>
            </w:pPr>
            <w:r w:rsidRPr="004044E8">
              <w:rPr>
                <w:rFonts w:ascii="Arial" w:hAnsi="Arial" w:cs="Arial"/>
                <w:szCs w:val="20"/>
                <w:u w:val="single"/>
                <w:lang w:val="es-ES"/>
              </w:rPr>
              <w:t>&gt;</w:t>
            </w:r>
            <w:r w:rsidRPr="004044E8">
              <w:rPr>
                <w:rFonts w:ascii="Arial" w:hAnsi="Arial" w:cs="Arial"/>
                <w:szCs w:val="20"/>
              </w:rPr>
              <w:t>3.000.000</w:t>
            </w:r>
          </w:p>
        </w:tc>
        <w:tc>
          <w:tcPr>
            <w:cnfStyle w:val="000001000000" w:firstRow="0" w:lastRow="0" w:firstColumn="0" w:lastColumn="0" w:oddVBand="0" w:evenVBand="1" w:oddHBand="0" w:evenHBand="0" w:firstRowFirstColumn="0" w:firstRowLastColumn="0" w:lastRowFirstColumn="0" w:lastRowLastColumn="0"/>
            <w:tcW w:w="0" w:type="dxa"/>
          </w:tcPr>
          <w:p w14:paraId="4978CB63" w14:textId="0C4FC399" w:rsidR="00FD6DA0" w:rsidRPr="004044E8" w:rsidRDefault="00FD6DA0" w:rsidP="00FD6DA0">
            <w:pPr>
              <w:keepNext/>
              <w:autoSpaceDE w:val="0"/>
              <w:snapToGrid w:val="0"/>
              <w:spacing w:before="20" w:after="20"/>
              <w:jc w:val="center"/>
              <w:rPr>
                <w:rFonts w:ascii="Arial" w:hAnsi="Arial" w:cs="Arial"/>
                <w:szCs w:val="20"/>
              </w:rPr>
            </w:pPr>
            <w:r w:rsidRPr="004044E8">
              <w:rPr>
                <w:rFonts w:ascii="Arial" w:hAnsi="Arial" w:cs="Arial"/>
                <w:szCs w:val="20"/>
                <w:u w:val="single"/>
                <w:lang w:val="es-ES"/>
              </w:rPr>
              <w:t>&gt;</w:t>
            </w:r>
            <w:r w:rsidRPr="004044E8">
              <w:rPr>
                <w:rFonts w:ascii="Arial" w:hAnsi="Arial" w:cs="Arial"/>
                <w:szCs w:val="20"/>
                <w:lang w:val="es-ES"/>
              </w:rPr>
              <w:t xml:space="preserve"> 2</w:t>
            </w:r>
            <w:r w:rsidRPr="004044E8">
              <w:rPr>
                <w:rFonts w:ascii="Arial" w:hAnsi="Arial" w:cs="Arial"/>
                <w:szCs w:val="20"/>
              </w:rPr>
              <w:t>50.000</w:t>
            </w:r>
          </w:p>
        </w:tc>
        <w:tc>
          <w:tcPr>
            <w:cnfStyle w:val="000010000000" w:firstRow="0" w:lastRow="0" w:firstColumn="0" w:lastColumn="0" w:oddVBand="1" w:evenVBand="0" w:oddHBand="0" w:evenHBand="0" w:firstRowFirstColumn="0" w:firstRowLastColumn="0" w:lastRowFirstColumn="0" w:lastRowLastColumn="0"/>
            <w:tcW w:w="0" w:type="dxa"/>
          </w:tcPr>
          <w:p w14:paraId="63FBBA38" w14:textId="037FD695" w:rsidR="00FD6DA0" w:rsidRPr="004044E8" w:rsidRDefault="00FD6DA0" w:rsidP="00FD6DA0">
            <w:pPr>
              <w:keepNext/>
              <w:autoSpaceDE w:val="0"/>
              <w:snapToGrid w:val="0"/>
              <w:spacing w:before="20" w:after="20"/>
              <w:jc w:val="center"/>
              <w:rPr>
                <w:rFonts w:ascii="Arial" w:hAnsi="Arial" w:cs="Arial"/>
                <w:szCs w:val="20"/>
              </w:rPr>
            </w:pPr>
            <w:r w:rsidRPr="004044E8">
              <w:rPr>
                <w:rFonts w:ascii="Arial" w:hAnsi="Arial" w:cs="Arial"/>
                <w:szCs w:val="20"/>
                <w:u w:val="single"/>
                <w:lang w:val="es-ES"/>
              </w:rPr>
              <w:t>&gt;</w:t>
            </w:r>
            <w:r w:rsidRPr="004044E8">
              <w:rPr>
                <w:rFonts w:ascii="Arial" w:hAnsi="Arial" w:cs="Arial"/>
                <w:szCs w:val="20"/>
              </w:rPr>
              <w:t>200.000</w:t>
            </w:r>
          </w:p>
        </w:tc>
      </w:tr>
    </w:tbl>
    <w:p w14:paraId="24BBE96C" w14:textId="77777777" w:rsidR="00AD7FC6" w:rsidRPr="004044E8" w:rsidRDefault="00AD7FC6" w:rsidP="00D555CA">
      <w:pPr>
        <w:pStyle w:val="NoSpacing"/>
        <w:spacing w:after="120"/>
        <w:rPr>
          <w:rFonts w:ascii="Arial" w:hAnsi="Arial" w:cs="Arial"/>
        </w:rPr>
      </w:pPr>
    </w:p>
    <w:p w14:paraId="599301E3" w14:textId="6F408EE6" w:rsidR="00054B27" w:rsidRPr="004044E8" w:rsidRDefault="00054B27" w:rsidP="00B17871">
      <w:pPr>
        <w:pStyle w:val="Heading4"/>
        <w:rPr>
          <w:rFonts w:ascii="Arial" w:hAnsi="Arial" w:cs="Arial"/>
        </w:rPr>
      </w:pPr>
      <w:r w:rsidRPr="004044E8">
        <w:rPr>
          <w:rFonts w:ascii="Arial" w:hAnsi="Arial" w:cs="Arial"/>
        </w:rPr>
        <w:t xml:space="preserve">Métodos de Supervisión </w:t>
      </w:r>
      <w:r w:rsidR="005354D0" w:rsidRPr="004044E8">
        <w:rPr>
          <w:rFonts w:ascii="Arial" w:hAnsi="Arial" w:cs="Arial"/>
        </w:rPr>
        <w:t>de adquisiciones</w:t>
      </w:r>
    </w:p>
    <w:p w14:paraId="248B8790" w14:textId="77777777" w:rsidR="000A6354" w:rsidRPr="009F019B" w:rsidRDefault="000A6354" w:rsidP="00C02EF4">
      <w:pPr>
        <w:pStyle w:val="Estilo1"/>
        <w:rPr>
          <w:rFonts w:ascii="Arial" w:hAnsi="Arial" w:cs="Arial"/>
        </w:rPr>
      </w:pPr>
      <w:r w:rsidRPr="004044E8">
        <w:rPr>
          <w:rFonts w:ascii="Arial" w:hAnsi="Arial" w:cs="Arial"/>
        </w:rPr>
        <w:t>El método de supervisión de las adquisiciones será el que defina el Banco. Será ex post, salvo en aquellos casos en que se justifique una supervisión ex ante. Cuando las adquisiciones se ejecuten a través del sistema nacional, la supervisión también se llevará a cabo por medio del sistema del país</w:t>
      </w:r>
      <w:r w:rsidRPr="009F019B">
        <w:rPr>
          <w:rStyle w:val="FootnoteReference"/>
          <w:rFonts w:ascii="Arial" w:hAnsi="Arial" w:cs="Arial"/>
        </w:rPr>
        <w:footnoteReference w:id="31"/>
      </w:r>
      <w:r w:rsidRPr="009F019B">
        <w:rPr>
          <w:rFonts w:ascii="Arial" w:hAnsi="Arial" w:cs="Arial"/>
        </w:rPr>
        <w:t xml:space="preserve"> y/o según se acuerde con el Banco. </w:t>
      </w:r>
    </w:p>
    <w:p w14:paraId="33923073" w14:textId="6A95E990" w:rsidR="00FD2217" w:rsidRPr="009F019B" w:rsidRDefault="00B54323" w:rsidP="00C02EF4">
      <w:pPr>
        <w:pStyle w:val="Estilo1"/>
        <w:rPr>
          <w:rFonts w:ascii="Arial" w:hAnsi="Arial" w:cs="Arial"/>
        </w:rPr>
      </w:pPr>
      <w:r w:rsidRPr="004044E8">
        <w:rPr>
          <w:rFonts w:ascii="Arial" w:hAnsi="Arial" w:cs="Arial"/>
        </w:rPr>
        <w:t>En el Plan de Adquisiciones (PA) se indicará cuál de las modalidades de revisión aplicará para cada contratación o proceso de selección, esto es, (i) ex post, (</w:t>
      </w:r>
      <w:proofErr w:type="spellStart"/>
      <w:r w:rsidRPr="004044E8">
        <w:rPr>
          <w:rFonts w:ascii="Arial" w:hAnsi="Arial" w:cs="Arial"/>
        </w:rPr>
        <w:t>ii</w:t>
      </w:r>
      <w:proofErr w:type="spellEnd"/>
      <w:r w:rsidRPr="004044E8">
        <w:rPr>
          <w:rFonts w:ascii="Arial" w:hAnsi="Arial" w:cs="Arial"/>
        </w:rPr>
        <w:t>) ex ante o (</w:t>
      </w:r>
      <w:proofErr w:type="spellStart"/>
      <w:r w:rsidRPr="004044E8">
        <w:rPr>
          <w:rFonts w:ascii="Arial" w:hAnsi="Arial" w:cs="Arial"/>
        </w:rPr>
        <w:t>iii</w:t>
      </w:r>
      <w:proofErr w:type="spellEnd"/>
      <w:r w:rsidRPr="004044E8">
        <w:rPr>
          <w:rFonts w:ascii="Arial" w:hAnsi="Arial" w:cs="Arial"/>
        </w:rPr>
        <w:t xml:space="preserve">) sistema nacional.  </w:t>
      </w:r>
      <w:r w:rsidR="00FD2217" w:rsidRPr="004044E8">
        <w:rPr>
          <w:rFonts w:ascii="Arial" w:hAnsi="Arial" w:cs="Arial"/>
        </w:rPr>
        <w:t>Las revisiones ex post serán cada 12 meses</w:t>
      </w:r>
      <w:r w:rsidR="000A6354" w:rsidRPr="004044E8">
        <w:rPr>
          <w:rFonts w:ascii="Arial" w:hAnsi="Arial" w:cs="Arial"/>
        </w:rPr>
        <w:t xml:space="preserve"> de acuerdo con el Plan de supervisión del Proyecto</w:t>
      </w:r>
      <w:r w:rsidR="00FD2217" w:rsidRPr="004044E8">
        <w:rPr>
          <w:rFonts w:ascii="Arial" w:hAnsi="Arial" w:cs="Arial"/>
        </w:rPr>
        <w:t xml:space="preserve">. Los reportes de revisión </w:t>
      </w:r>
      <w:proofErr w:type="spellStart"/>
      <w:r w:rsidR="00FD2217" w:rsidRPr="004044E8">
        <w:rPr>
          <w:rFonts w:ascii="Arial" w:hAnsi="Arial" w:cs="Arial"/>
        </w:rPr>
        <w:t>ex-post</w:t>
      </w:r>
      <w:proofErr w:type="spellEnd"/>
      <w:r w:rsidR="00FD2217" w:rsidRPr="004044E8">
        <w:rPr>
          <w:rFonts w:ascii="Arial" w:hAnsi="Arial" w:cs="Arial"/>
        </w:rPr>
        <w:t xml:space="preserve"> incluirán al menos una visita de inspección física</w:t>
      </w:r>
      <w:r w:rsidR="00FD2217" w:rsidRPr="009F019B">
        <w:rPr>
          <w:rStyle w:val="FootnoteReference"/>
          <w:rFonts w:ascii="Arial" w:hAnsi="Arial" w:cs="Arial"/>
        </w:rPr>
        <w:footnoteReference w:id="32"/>
      </w:r>
      <w:r w:rsidR="00FD2217" w:rsidRPr="009F019B">
        <w:rPr>
          <w:rFonts w:ascii="Arial" w:hAnsi="Arial" w:cs="Arial"/>
        </w:rPr>
        <w:t xml:space="preserve"> escogida de los procesos de adquisiciones sujetos a la revisión ex post.  </w:t>
      </w:r>
    </w:p>
    <w:p w14:paraId="142E346C" w14:textId="380E8DB3" w:rsidR="000A6354" w:rsidRPr="004044E8" w:rsidRDefault="000A6354" w:rsidP="00C02EF4">
      <w:pPr>
        <w:pStyle w:val="Estilo1"/>
        <w:rPr>
          <w:rFonts w:ascii="Arial" w:hAnsi="Arial" w:cs="Arial"/>
        </w:rPr>
      </w:pPr>
      <w:r w:rsidRPr="004044E8">
        <w:rPr>
          <w:rFonts w:ascii="Arial" w:hAnsi="Arial" w:cs="Arial"/>
        </w:rPr>
        <w:t xml:space="preserve">Los límites para la revisión ex post aplica el Banco en función de la capacidad fiduciaria de ejecución del OE </w:t>
      </w:r>
      <w:r w:rsidR="00B202AA" w:rsidRPr="004044E8">
        <w:rPr>
          <w:rFonts w:ascii="Arial" w:hAnsi="Arial" w:cs="Arial"/>
        </w:rPr>
        <w:t>y serán</w:t>
      </w:r>
      <w:r w:rsidRPr="004044E8">
        <w:rPr>
          <w:rFonts w:ascii="Arial" w:hAnsi="Arial" w:cs="Arial"/>
        </w:rPr>
        <w:t>:</w:t>
      </w:r>
    </w:p>
    <w:p w14:paraId="14463B72" w14:textId="7E4C0ED3" w:rsidR="000A6354" w:rsidRPr="009F019B" w:rsidRDefault="000A6354" w:rsidP="000A6354">
      <w:pPr>
        <w:pStyle w:val="Caption"/>
        <w:keepNext/>
        <w:rPr>
          <w:rFonts w:ascii="Arial" w:hAnsi="Arial" w:cs="Arial"/>
        </w:rPr>
      </w:pPr>
      <w:bookmarkStart w:id="59" w:name="_Toc499198640"/>
      <w:bookmarkStart w:id="60" w:name="_Toc537157"/>
      <w:r w:rsidRPr="004044E8">
        <w:rPr>
          <w:rFonts w:ascii="Arial" w:hAnsi="Arial" w:cs="Arial"/>
        </w:rPr>
        <w:t xml:space="preserve">Tabla </w:t>
      </w:r>
      <w:r w:rsidR="00B96394" w:rsidRPr="009F019B">
        <w:rPr>
          <w:rFonts w:ascii="Arial" w:hAnsi="Arial" w:cs="Arial"/>
        </w:rPr>
        <w:fldChar w:fldCharType="begin"/>
      </w:r>
      <w:r w:rsidR="00B96394" w:rsidRPr="004044E8">
        <w:rPr>
          <w:rFonts w:ascii="Arial" w:hAnsi="Arial" w:cs="Arial"/>
        </w:rPr>
        <w:instrText xml:space="preserve"> SEQ Tabla \* ARABIC </w:instrText>
      </w:r>
      <w:r w:rsidR="00B96394" w:rsidRPr="004044E8">
        <w:rPr>
          <w:rFonts w:ascii="Arial" w:hAnsi="Arial" w:cs="Arial"/>
        </w:rPr>
        <w:fldChar w:fldCharType="separate"/>
      </w:r>
      <w:r w:rsidRPr="009F019B">
        <w:rPr>
          <w:rFonts w:ascii="Arial" w:hAnsi="Arial" w:cs="Arial"/>
        </w:rPr>
        <w:t>2</w:t>
      </w:r>
      <w:r w:rsidR="00B96394" w:rsidRPr="009F019B">
        <w:rPr>
          <w:rFonts w:ascii="Arial" w:hAnsi="Arial" w:cs="Arial"/>
        </w:rPr>
        <w:fldChar w:fldCharType="end"/>
      </w:r>
      <w:r w:rsidRPr="009F019B">
        <w:rPr>
          <w:rFonts w:ascii="Arial" w:hAnsi="Arial" w:cs="Arial"/>
        </w:rPr>
        <w:t xml:space="preserve">. Límite de Revisión </w:t>
      </w:r>
      <w:proofErr w:type="spellStart"/>
      <w:r w:rsidRPr="009F019B">
        <w:rPr>
          <w:rFonts w:ascii="Arial" w:hAnsi="Arial" w:cs="Arial"/>
        </w:rPr>
        <w:t>Ex-post</w:t>
      </w:r>
      <w:proofErr w:type="spellEnd"/>
      <w:r w:rsidRPr="009F019B">
        <w:rPr>
          <w:rFonts w:ascii="Arial" w:hAnsi="Arial" w:cs="Arial"/>
        </w:rPr>
        <w:t xml:space="preserve"> (US dólares)</w:t>
      </w:r>
      <w:bookmarkEnd w:id="59"/>
      <w:bookmarkEnd w:id="60"/>
    </w:p>
    <w:tbl>
      <w:tblPr>
        <w:tblStyle w:val="Tablaconcuadrcula1"/>
        <w:tblW w:w="4583" w:type="pct"/>
        <w:jc w:val="center"/>
        <w:tblLook w:val="01E0" w:firstRow="1" w:lastRow="1" w:firstColumn="1" w:lastColumn="1" w:noHBand="0" w:noVBand="0"/>
      </w:tblPr>
      <w:tblGrid>
        <w:gridCol w:w="2019"/>
        <w:gridCol w:w="2020"/>
        <w:gridCol w:w="2244"/>
        <w:gridCol w:w="2021"/>
      </w:tblGrid>
      <w:tr w:rsidR="000A6354" w:rsidRPr="004044E8" w14:paraId="616BA857" w14:textId="77777777" w:rsidTr="00DE3867">
        <w:trPr>
          <w:trHeight w:val="141"/>
          <w:jc w:val="center"/>
        </w:trPr>
        <w:tc>
          <w:tcPr>
            <w:tcW w:w="1216" w:type="pct"/>
          </w:tcPr>
          <w:p w14:paraId="656342C1" w14:textId="77777777" w:rsidR="000A6354" w:rsidRPr="004044E8" w:rsidRDefault="000A6354" w:rsidP="008D2B18">
            <w:pPr>
              <w:spacing w:before="120"/>
              <w:jc w:val="center"/>
              <w:rPr>
                <w:rFonts w:ascii="Arial" w:eastAsia="Batang" w:hAnsi="Arial" w:cs="Arial"/>
                <w:b/>
                <w:spacing w:val="0"/>
                <w:u w:val="single"/>
                <w:lang w:val="es-ES_tradnl" w:eastAsia="ko-KR"/>
              </w:rPr>
            </w:pPr>
            <w:r w:rsidRPr="004044E8">
              <w:rPr>
                <w:rFonts w:ascii="Arial" w:eastAsia="Batang" w:hAnsi="Arial" w:cs="Arial"/>
                <w:b/>
                <w:spacing w:val="0"/>
                <w:u w:val="single"/>
                <w:lang w:val="es-ES_tradnl" w:eastAsia="ko-KR"/>
              </w:rPr>
              <w:t>Obras</w:t>
            </w:r>
          </w:p>
        </w:tc>
        <w:tc>
          <w:tcPr>
            <w:tcW w:w="1216" w:type="pct"/>
          </w:tcPr>
          <w:p w14:paraId="2C04C4C0" w14:textId="77777777" w:rsidR="000A6354" w:rsidRPr="009F019B" w:rsidRDefault="000A6354" w:rsidP="008D2B18">
            <w:pPr>
              <w:spacing w:before="120"/>
              <w:jc w:val="center"/>
              <w:rPr>
                <w:rFonts w:ascii="Arial" w:eastAsia="Batang" w:hAnsi="Arial" w:cs="Arial"/>
                <w:b/>
                <w:spacing w:val="0"/>
                <w:u w:val="single"/>
                <w:lang w:val="es-ES_tradnl" w:eastAsia="ko-KR"/>
              </w:rPr>
            </w:pPr>
            <w:r w:rsidRPr="004044E8">
              <w:rPr>
                <w:rFonts w:ascii="Arial" w:eastAsia="Batang" w:hAnsi="Arial" w:cs="Arial"/>
                <w:b/>
                <w:spacing w:val="0"/>
                <w:u w:val="single"/>
                <w:lang w:val="es-ES_tradnl" w:eastAsia="ko-KR"/>
              </w:rPr>
              <w:t>Bienes</w:t>
            </w:r>
            <w:r w:rsidRPr="009F019B">
              <w:rPr>
                <w:rStyle w:val="FootnoteReference"/>
                <w:rFonts w:ascii="Arial" w:eastAsia="Batang" w:hAnsi="Arial" w:cs="Arial"/>
                <w:b/>
                <w:spacing w:val="0"/>
                <w:u w:val="single"/>
                <w:lang w:val="es-ES_tradnl" w:eastAsia="ko-KR"/>
              </w:rPr>
              <w:footnoteReference w:id="33"/>
            </w:r>
          </w:p>
        </w:tc>
        <w:tc>
          <w:tcPr>
            <w:tcW w:w="1351" w:type="pct"/>
          </w:tcPr>
          <w:p w14:paraId="4DFCBD09" w14:textId="77777777" w:rsidR="000A6354" w:rsidRPr="004044E8" w:rsidRDefault="000A6354" w:rsidP="008D2B18">
            <w:pPr>
              <w:spacing w:before="120"/>
              <w:jc w:val="center"/>
              <w:rPr>
                <w:rFonts w:ascii="Arial" w:eastAsia="Batang" w:hAnsi="Arial" w:cs="Arial"/>
                <w:b/>
                <w:spacing w:val="0"/>
                <w:u w:val="single"/>
                <w:lang w:val="es-ES_tradnl" w:eastAsia="ko-KR"/>
              </w:rPr>
            </w:pPr>
            <w:r w:rsidRPr="009F019B">
              <w:rPr>
                <w:rFonts w:ascii="Arial" w:eastAsia="Batang" w:hAnsi="Arial" w:cs="Arial"/>
                <w:b/>
                <w:spacing w:val="0"/>
                <w:u w:val="single"/>
                <w:lang w:val="es-ES_tradnl" w:eastAsia="ko-KR"/>
              </w:rPr>
              <w:t>Servicios de Consultoría</w:t>
            </w:r>
          </w:p>
        </w:tc>
        <w:tc>
          <w:tcPr>
            <w:tcW w:w="1217" w:type="pct"/>
          </w:tcPr>
          <w:p w14:paraId="73ECE074" w14:textId="77777777" w:rsidR="000A6354" w:rsidRPr="004044E8" w:rsidRDefault="000A6354" w:rsidP="008D2B18">
            <w:pPr>
              <w:spacing w:before="120"/>
              <w:jc w:val="center"/>
              <w:rPr>
                <w:rFonts w:ascii="Arial" w:eastAsia="Batang" w:hAnsi="Arial" w:cs="Arial"/>
                <w:b/>
                <w:spacing w:val="0"/>
                <w:u w:val="single"/>
                <w:lang w:val="es-ES_tradnl" w:eastAsia="ko-KR"/>
              </w:rPr>
            </w:pPr>
            <w:r w:rsidRPr="004044E8">
              <w:rPr>
                <w:rFonts w:ascii="Arial" w:eastAsia="Batang" w:hAnsi="Arial" w:cs="Arial"/>
                <w:b/>
                <w:spacing w:val="0"/>
                <w:u w:val="single"/>
                <w:lang w:val="es-ES_tradnl" w:eastAsia="ko-KR"/>
              </w:rPr>
              <w:t>Consultoría Individual</w:t>
            </w:r>
          </w:p>
        </w:tc>
      </w:tr>
      <w:tr w:rsidR="000A6354" w:rsidRPr="004044E8" w14:paraId="5A97A3B8" w14:textId="77777777" w:rsidTr="00DE3867">
        <w:trPr>
          <w:trHeight w:val="141"/>
          <w:jc w:val="center"/>
        </w:trPr>
        <w:tc>
          <w:tcPr>
            <w:tcW w:w="1216" w:type="pct"/>
          </w:tcPr>
          <w:p w14:paraId="7A260883" w14:textId="77777777" w:rsidR="000A6354" w:rsidRPr="004044E8" w:rsidRDefault="000A6354" w:rsidP="008D2B18">
            <w:pPr>
              <w:spacing w:before="60" w:after="60"/>
              <w:jc w:val="center"/>
              <w:rPr>
                <w:rFonts w:ascii="Arial" w:eastAsia="Batang" w:hAnsi="Arial" w:cs="Arial"/>
                <w:spacing w:val="0"/>
                <w:lang w:val="es-ES_tradnl" w:eastAsia="ko-KR"/>
              </w:rPr>
            </w:pPr>
            <w:r w:rsidRPr="004044E8">
              <w:rPr>
                <w:rFonts w:ascii="Arial" w:eastAsia="Batang" w:hAnsi="Arial" w:cs="Arial"/>
                <w:spacing w:val="0"/>
                <w:lang w:val="es-ES_tradnl" w:eastAsia="ko-KR"/>
              </w:rPr>
              <w:t>&lt; 3.000.000</w:t>
            </w:r>
          </w:p>
        </w:tc>
        <w:tc>
          <w:tcPr>
            <w:tcW w:w="1216" w:type="pct"/>
          </w:tcPr>
          <w:p w14:paraId="202193E9" w14:textId="77777777" w:rsidR="000A6354" w:rsidRPr="004044E8" w:rsidRDefault="000A6354" w:rsidP="008D2B18">
            <w:pPr>
              <w:spacing w:before="60" w:after="60"/>
              <w:jc w:val="center"/>
              <w:rPr>
                <w:rFonts w:ascii="Arial" w:eastAsia="Batang" w:hAnsi="Arial" w:cs="Arial"/>
                <w:spacing w:val="0"/>
                <w:lang w:val="es-ES_tradnl" w:eastAsia="ko-KR"/>
              </w:rPr>
            </w:pPr>
            <w:r w:rsidRPr="004044E8">
              <w:rPr>
                <w:rFonts w:ascii="Arial" w:eastAsia="Batang" w:hAnsi="Arial" w:cs="Arial"/>
                <w:spacing w:val="0"/>
                <w:lang w:val="es-ES_tradnl" w:eastAsia="ko-KR"/>
              </w:rPr>
              <w:t>&lt;250.000</w:t>
            </w:r>
          </w:p>
        </w:tc>
        <w:tc>
          <w:tcPr>
            <w:tcW w:w="1351" w:type="pct"/>
          </w:tcPr>
          <w:p w14:paraId="4334111C" w14:textId="77777777" w:rsidR="000A6354" w:rsidRPr="004044E8" w:rsidRDefault="000A6354" w:rsidP="008D2B18">
            <w:pPr>
              <w:spacing w:before="60" w:after="60"/>
              <w:jc w:val="center"/>
              <w:rPr>
                <w:rFonts w:ascii="Arial" w:eastAsia="Batang" w:hAnsi="Arial" w:cs="Arial"/>
                <w:spacing w:val="0"/>
                <w:lang w:val="es-ES_tradnl" w:eastAsia="ko-KR"/>
              </w:rPr>
            </w:pPr>
            <w:r w:rsidRPr="004044E8">
              <w:rPr>
                <w:rFonts w:ascii="Arial" w:eastAsia="Batang" w:hAnsi="Arial" w:cs="Arial"/>
                <w:spacing w:val="0"/>
                <w:lang w:val="es-ES_tradnl" w:eastAsia="ko-KR"/>
              </w:rPr>
              <w:t>&lt; 200.000</w:t>
            </w:r>
          </w:p>
        </w:tc>
        <w:tc>
          <w:tcPr>
            <w:tcW w:w="1217" w:type="pct"/>
          </w:tcPr>
          <w:p w14:paraId="3F81333E" w14:textId="77777777" w:rsidR="000A6354" w:rsidRPr="004044E8" w:rsidRDefault="000A6354" w:rsidP="008D2B18">
            <w:pPr>
              <w:spacing w:before="60" w:after="60"/>
              <w:jc w:val="center"/>
              <w:rPr>
                <w:rFonts w:ascii="Arial" w:eastAsia="Batang" w:hAnsi="Arial" w:cs="Arial"/>
                <w:spacing w:val="0"/>
                <w:lang w:val="es-ES_tradnl" w:eastAsia="ko-KR"/>
              </w:rPr>
            </w:pPr>
            <w:r w:rsidRPr="004044E8">
              <w:rPr>
                <w:rFonts w:ascii="Arial" w:eastAsia="Batang" w:hAnsi="Arial" w:cs="Arial"/>
                <w:spacing w:val="0"/>
                <w:lang w:val="es-ES_tradnl" w:eastAsia="ko-KR"/>
              </w:rPr>
              <w:t>&lt; 50.000</w:t>
            </w:r>
          </w:p>
        </w:tc>
      </w:tr>
    </w:tbl>
    <w:p w14:paraId="01792390" w14:textId="77777777" w:rsidR="000A6354" w:rsidRPr="004044E8" w:rsidRDefault="000A6354" w:rsidP="00B17871">
      <w:pPr>
        <w:pStyle w:val="Heading4"/>
        <w:rPr>
          <w:rFonts w:ascii="Arial" w:hAnsi="Arial" w:cs="Arial"/>
        </w:rPr>
      </w:pPr>
      <w:r w:rsidRPr="004044E8">
        <w:rPr>
          <w:rFonts w:ascii="Arial" w:hAnsi="Arial" w:cs="Arial"/>
        </w:rPr>
        <w:t>Registros y Archivos</w:t>
      </w:r>
    </w:p>
    <w:p w14:paraId="1F5604DC" w14:textId="77777777" w:rsidR="000A6354" w:rsidRPr="004044E8" w:rsidRDefault="000A6354" w:rsidP="00C02EF4">
      <w:pPr>
        <w:pStyle w:val="Estilo1"/>
        <w:rPr>
          <w:rFonts w:ascii="Arial" w:hAnsi="Arial" w:cs="Arial"/>
        </w:rPr>
      </w:pPr>
      <w:r w:rsidRPr="004044E8">
        <w:rPr>
          <w:rFonts w:ascii="Arial" w:hAnsi="Arial" w:cs="Arial"/>
        </w:rPr>
        <w:t>El OE y/o los OSE deberán mantener los registros actualizados y los archivos debidamente ordenados con la documentación inherente a adquisiciones y contrataciones en una carpeta única, que sea perfectamente diferenciable de los procesos financiados con recursos del aporte local o financiados con recursos distintos al programa. Para la preparación y archivo de los reportes del proyecto se utilizarán formatos o procedimientos que han sido acordados y serán descritos en el ROP.</w:t>
      </w:r>
    </w:p>
    <w:p w14:paraId="69DB3B9C" w14:textId="77777777" w:rsidR="000A6354" w:rsidRPr="004044E8" w:rsidRDefault="000A6354" w:rsidP="00B17871">
      <w:pPr>
        <w:pStyle w:val="Heading4"/>
        <w:rPr>
          <w:rFonts w:ascii="Arial" w:hAnsi="Arial" w:cs="Arial"/>
        </w:rPr>
      </w:pPr>
      <w:r w:rsidRPr="004044E8">
        <w:rPr>
          <w:rFonts w:ascii="Arial" w:hAnsi="Arial" w:cs="Arial"/>
        </w:rPr>
        <w:t>Aspectos Generales</w:t>
      </w:r>
    </w:p>
    <w:p w14:paraId="1A8AD186" w14:textId="77777777" w:rsidR="000A6354" w:rsidRPr="004044E8" w:rsidRDefault="000A6354" w:rsidP="00C02EF4">
      <w:pPr>
        <w:pStyle w:val="Estilo1"/>
        <w:rPr>
          <w:rFonts w:ascii="Arial" w:hAnsi="Arial" w:cs="Arial"/>
        </w:rPr>
      </w:pPr>
      <w:r w:rsidRPr="004044E8">
        <w:rPr>
          <w:rFonts w:ascii="Arial" w:hAnsi="Arial" w:cs="Arial"/>
        </w:rPr>
        <w:t xml:space="preserve">El IVA e impuestos, correspondientes a las adquisiciones y contrataciones del Programa, no podrán ser financiados con recursos del Préstamo. Estos importes se financiarán 100% con recursos locales. </w:t>
      </w:r>
    </w:p>
    <w:p w14:paraId="79202F8A" w14:textId="77777777" w:rsidR="00AC0865" w:rsidRPr="004044E8" w:rsidRDefault="00AC0865" w:rsidP="00B17871">
      <w:pPr>
        <w:pStyle w:val="Heading4"/>
        <w:rPr>
          <w:rFonts w:ascii="Arial" w:hAnsi="Arial" w:cs="Arial"/>
        </w:rPr>
      </w:pPr>
      <w:r w:rsidRPr="004044E8">
        <w:rPr>
          <w:rFonts w:ascii="Arial" w:hAnsi="Arial" w:cs="Arial"/>
        </w:rPr>
        <w:t>Disposiciones especiales</w:t>
      </w:r>
    </w:p>
    <w:p w14:paraId="62CCBDE3" w14:textId="2272C4C9" w:rsidR="00AC0865" w:rsidRPr="004044E8" w:rsidRDefault="00AC0865" w:rsidP="00C02EF4">
      <w:pPr>
        <w:pStyle w:val="Estilo1"/>
        <w:rPr>
          <w:rStyle w:val="Hyperlink"/>
          <w:rFonts w:ascii="Arial" w:hAnsi="Arial" w:cs="Arial"/>
          <w:color w:val="auto"/>
          <w:u w:val="none"/>
        </w:rPr>
      </w:pPr>
      <w:r w:rsidRPr="004044E8">
        <w:rPr>
          <w:rFonts w:ascii="Arial" w:hAnsi="Arial" w:cs="Arial"/>
        </w:rPr>
        <w:t xml:space="preserve">Con la finalidad de reducir los riesgos de prácticas prohibidas, en la gestión de adquisiciones, se deberá atender las </w:t>
      </w:r>
      <w:r w:rsidR="00035979" w:rsidRPr="004044E8">
        <w:rPr>
          <w:rFonts w:ascii="Arial" w:hAnsi="Arial" w:cs="Arial"/>
        </w:rPr>
        <w:t xml:space="preserve">políticas </w:t>
      </w:r>
      <w:r w:rsidRPr="004044E8">
        <w:rPr>
          <w:rFonts w:ascii="Arial" w:hAnsi="Arial" w:cs="Arial"/>
        </w:rPr>
        <w:t>2349-9 y 2350-9 en cuanto a prácticas prohibidas (listas de empresas y personas físicas inelegibles de organismos multilaterales).</w:t>
      </w:r>
    </w:p>
    <w:p w14:paraId="0D0C8405" w14:textId="41887696" w:rsidR="004B3A82" w:rsidRPr="004044E8" w:rsidRDefault="00F14560" w:rsidP="001C7188">
      <w:pPr>
        <w:pStyle w:val="Heading2"/>
        <w:rPr>
          <w:rFonts w:ascii="Arial" w:hAnsi="Arial" w:cs="Arial"/>
        </w:rPr>
      </w:pPr>
      <w:bookmarkStart w:id="61" w:name="_Toc454056460"/>
      <w:bookmarkStart w:id="62" w:name="_Toc10223117"/>
      <w:r w:rsidRPr="004044E8">
        <w:rPr>
          <w:rFonts w:ascii="Arial" w:hAnsi="Arial" w:cs="Arial"/>
        </w:rPr>
        <w:t xml:space="preserve">Gestión </w:t>
      </w:r>
      <w:r w:rsidR="004B3A82" w:rsidRPr="004044E8">
        <w:rPr>
          <w:rFonts w:ascii="Arial" w:hAnsi="Arial" w:cs="Arial"/>
        </w:rPr>
        <w:t>Financier</w:t>
      </w:r>
      <w:r w:rsidRPr="004044E8">
        <w:rPr>
          <w:rFonts w:ascii="Arial" w:hAnsi="Arial" w:cs="Arial"/>
        </w:rPr>
        <w:t>a</w:t>
      </w:r>
      <w:r w:rsidR="00413872" w:rsidRPr="004044E8">
        <w:rPr>
          <w:rFonts w:ascii="Arial" w:hAnsi="Arial" w:cs="Arial"/>
        </w:rPr>
        <w:t xml:space="preserve"> del Programa</w:t>
      </w:r>
      <w:bookmarkEnd w:id="61"/>
      <w:bookmarkEnd w:id="62"/>
    </w:p>
    <w:p w14:paraId="18C9A4A3" w14:textId="77777777" w:rsidR="003B37CB" w:rsidRPr="004044E8" w:rsidRDefault="003B37CB" w:rsidP="00EA653C">
      <w:pPr>
        <w:pStyle w:val="Heading3"/>
        <w:rPr>
          <w:rFonts w:ascii="Arial" w:hAnsi="Arial" w:cs="Arial"/>
        </w:rPr>
      </w:pPr>
      <w:r w:rsidRPr="004044E8">
        <w:rPr>
          <w:rFonts w:ascii="Arial" w:hAnsi="Arial" w:cs="Arial"/>
        </w:rPr>
        <w:t xml:space="preserve">Políticas de la Gestión Financiera </w:t>
      </w:r>
    </w:p>
    <w:p w14:paraId="0ABDCC26" w14:textId="20413D9A" w:rsidR="003B37CB" w:rsidRPr="004044E8" w:rsidRDefault="003B37CB" w:rsidP="00C02EF4">
      <w:pPr>
        <w:pStyle w:val="Estilo1"/>
        <w:rPr>
          <w:rFonts w:ascii="Arial" w:hAnsi="Arial" w:cs="Arial"/>
        </w:rPr>
      </w:pPr>
      <w:r w:rsidRPr="004044E8">
        <w:rPr>
          <w:rFonts w:ascii="Arial" w:hAnsi="Arial" w:cs="Arial"/>
        </w:rPr>
        <w:t>La gestión financiera del Programa, se ejecutará conforme a lo dispuesto en: (i) el Contrato de Préstamo XXXX/OC-EC</w:t>
      </w:r>
      <w:r w:rsidRPr="009F019B">
        <w:rPr>
          <w:rFonts w:ascii="Arial" w:hAnsi="Arial" w:cs="Arial"/>
        </w:rPr>
        <w:t>, y su ROP; (</w:t>
      </w:r>
      <w:proofErr w:type="spellStart"/>
      <w:r w:rsidRPr="009F019B">
        <w:rPr>
          <w:rFonts w:ascii="Arial" w:hAnsi="Arial" w:cs="Arial"/>
        </w:rPr>
        <w:t>ii</w:t>
      </w:r>
      <w:proofErr w:type="spellEnd"/>
      <w:r w:rsidRPr="009F019B">
        <w:rPr>
          <w:rFonts w:ascii="Arial" w:hAnsi="Arial" w:cs="Arial"/>
        </w:rPr>
        <w:t>) la Política de Gestión Financiera BID OP-273; (</w:t>
      </w:r>
      <w:proofErr w:type="spellStart"/>
      <w:r w:rsidRPr="009F019B">
        <w:rPr>
          <w:rFonts w:ascii="Arial" w:hAnsi="Arial" w:cs="Arial"/>
        </w:rPr>
        <w:t>iii</w:t>
      </w:r>
      <w:proofErr w:type="spellEnd"/>
      <w:r w:rsidRPr="009F019B">
        <w:rPr>
          <w:rFonts w:ascii="Arial" w:hAnsi="Arial" w:cs="Arial"/>
        </w:rPr>
        <w:t xml:space="preserve">)  la Guía de </w:t>
      </w:r>
      <w:r w:rsidRPr="009F019B">
        <w:rPr>
          <w:rFonts w:ascii="Arial" w:hAnsi="Arial" w:cs="Arial"/>
        </w:rPr>
        <w:lastRenderedPageBreak/>
        <w:t>Desembolsos del BID; (</w:t>
      </w:r>
      <w:proofErr w:type="spellStart"/>
      <w:r w:rsidRPr="009F019B">
        <w:rPr>
          <w:rFonts w:ascii="Arial" w:hAnsi="Arial" w:cs="Arial"/>
        </w:rPr>
        <w:t>iv</w:t>
      </w:r>
      <w:proofErr w:type="spellEnd"/>
      <w:r w:rsidRPr="009F019B">
        <w:rPr>
          <w:rFonts w:ascii="Arial" w:hAnsi="Arial" w:cs="Arial"/>
        </w:rPr>
        <w:t>) la Guía de Informes Financieros y Auditoría Externa de las operaciones financiadas por el BID; (v) el Código Orgánico de Planificación y Finanzas Públicas (COPLAFIP) y su reglamento; y, (vi) las Normas Técnicas de Control Interno de la Contraloría Genera</w:t>
      </w:r>
      <w:r w:rsidRPr="004044E8">
        <w:rPr>
          <w:rFonts w:ascii="Arial" w:hAnsi="Arial" w:cs="Arial"/>
        </w:rPr>
        <w:t>l del Estado (CGE) y el sistema de pagos interbancarios del Banco Central del Ecuador (BCE).</w:t>
      </w:r>
    </w:p>
    <w:p w14:paraId="2E4D737F" w14:textId="4127EC74" w:rsidR="003B37CB" w:rsidRPr="009F019B" w:rsidRDefault="003B37CB" w:rsidP="00C02EF4">
      <w:pPr>
        <w:pStyle w:val="Estilo1"/>
        <w:rPr>
          <w:rFonts w:ascii="Arial" w:hAnsi="Arial" w:cs="Arial"/>
        </w:rPr>
      </w:pPr>
      <w:r w:rsidRPr="004044E8">
        <w:rPr>
          <w:rFonts w:ascii="Arial" w:hAnsi="Arial" w:cs="Arial"/>
        </w:rPr>
        <w:t>El COPLAFIP, establece las normas generales que rigen la programación, formulación, aprobación, ejecución, control, evaluación y liquidación de los presupuestos. Estas normas son aplicadas a la ejecución de los programas que financia el BID. El sistema integrado e-SIGEF, instrumentaliza y estandariza la aplicación de estas normas generales en el Estado</w:t>
      </w:r>
      <w:r w:rsidRPr="009F019B">
        <w:rPr>
          <w:rStyle w:val="FootnoteReference"/>
          <w:rFonts w:ascii="Arial" w:hAnsi="Arial" w:cs="Arial"/>
        </w:rPr>
        <w:footnoteReference w:id="34"/>
      </w:r>
      <w:r w:rsidRPr="009F019B">
        <w:rPr>
          <w:rFonts w:ascii="Arial" w:hAnsi="Arial" w:cs="Arial"/>
        </w:rPr>
        <w:t>.</w:t>
      </w:r>
    </w:p>
    <w:p w14:paraId="0033E859" w14:textId="0521F0EB" w:rsidR="004F7B39" w:rsidRPr="004044E8" w:rsidRDefault="004F7B39" w:rsidP="00EA653C">
      <w:pPr>
        <w:pStyle w:val="Heading3"/>
        <w:rPr>
          <w:rFonts w:ascii="Arial" w:hAnsi="Arial" w:cs="Arial"/>
        </w:rPr>
      </w:pPr>
      <w:r w:rsidRPr="004044E8">
        <w:rPr>
          <w:rFonts w:ascii="Arial" w:hAnsi="Arial" w:cs="Arial"/>
        </w:rPr>
        <w:t xml:space="preserve"> Programación y Presupuesto</w:t>
      </w:r>
    </w:p>
    <w:p w14:paraId="6F457345" w14:textId="13B392F1" w:rsidR="003B37CB" w:rsidRPr="004044E8" w:rsidRDefault="000E0EF0" w:rsidP="00C02EF4">
      <w:pPr>
        <w:pStyle w:val="Estilo1"/>
        <w:rPr>
          <w:rFonts w:ascii="Arial" w:hAnsi="Arial" w:cs="Arial"/>
        </w:rPr>
      </w:pPr>
      <w:r w:rsidRPr="004044E8">
        <w:rPr>
          <w:rFonts w:ascii="Arial" w:hAnsi="Arial" w:cs="Arial"/>
        </w:rPr>
        <w:t xml:space="preserve">La programación y presupuesto se gestionarán en función a cada uno de los Proyectos de Inversión Priorizados a través de los cuales se ejecutan los recursos del Crédito, siendo responsabilidad del OE y de los OSE la gestión de presupuesto de los proyectos a su cargo. En el caso del Componente 2 y las actividades de administración del Programa, la programación la realizará el </w:t>
      </w:r>
      <w:r w:rsidR="00755BF5" w:rsidRPr="004044E8">
        <w:rPr>
          <w:rFonts w:ascii="Arial" w:hAnsi="Arial" w:cs="Arial"/>
        </w:rPr>
        <w:t>EDG-MEF</w:t>
      </w:r>
      <w:r w:rsidRPr="004044E8">
        <w:rPr>
          <w:rFonts w:ascii="Arial" w:hAnsi="Arial" w:cs="Arial"/>
        </w:rPr>
        <w:t>, sobre la base de la información proporcionada por los OSE, respecto de las actividades a ellos encargadas y posteriormente se coordinará para el traspaso del presupuesto a</w:t>
      </w:r>
      <w:r w:rsidR="00C02EF4" w:rsidRPr="004044E8">
        <w:rPr>
          <w:rFonts w:ascii="Arial" w:hAnsi="Arial" w:cs="Arial"/>
        </w:rPr>
        <w:t xml:space="preserve"> EMCO, a</w:t>
      </w:r>
      <w:r w:rsidRPr="004044E8">
        <w:rPr>
          <w:rFonts w:ascii="Arial" w:hAnsi="Arial" w:cs="Arial"/>
        </w:rPr>
        <w:t>l MERNNR y al MTOP</w:t>
      </w:r>
      <w:r w:rsidR="00411357" w:rsidRPr="004044E8">
        <w:rPr>
          <w:rFonts w:ascii="Arial" w:hAnsi="Arial" w:cs="Arial"/>
        </w:rPr>
        <w:t xml:space="preserve">. </w:t>
      </w:r>
    </w:p>
    <w:p w14:paraId="41EB7333" w14:textId="59563B67" w:rsidR="00241BFE" w:rsidRPr="004044E8" w:rsidRDefault="0065306F" w:rsidP="00C02EF4">
      <w:pPr>
        <w:pStyle w:val="Estilo1"/>
        <w:rPr>
          <w:rFonts w:ascii="Arial" w:hAnsi="Arial" w:cs="Arial"/>
        </w:rPr>
      </w:pPr>
      <w:r w:rsidRPr="004044E8">
        <w:rPr>
          <w:rFonts w:ascii="Arial" w:hAnsi="Arial" w:cs="Arial"/>
        </w:rPr>
        <w:t>El</w:t>
      </w:r>
      <w:r w:rsidR="00241BFE" w:rsidRPr="004044E8">
        <w:rPr>
          <w:rFonts w:ascii="Arial" w:hAnsi="Arial" w:cs="Arial"/>
        </w:rPr>
        <w:t xml:space="preserve"> </w:t>
      </w:r>
      <w:r w:rsidR="00755BF5" w:rsidRPr="004044E8">
        <w:rPr>
          <w:rFonts w:ascii="Arial" w:hAnsi="Arial" w:cs="Arial"/>
        </w:rPr>
        <w:t>EDG-MEF</w:t>
      </w:r>
      <w:r w:rsidR="00241BFE" w:rsidRPr="004044E8">
        <w:rPr>
          <w:rFonts w:ascii="Arial" w:hAnsi="Arial" w:cs="Arial"/>
        </w:rPr>
        <w:t xml:space="preserve"> llevará el presupuesto del Programa en el Plan</w:t>
      </w:r>
      <w:r w:rsidRPr="004044E8">
        <w:rPr>
          <w:rFonts w:ascii="Arial" w:hAnsi="Arial" w:cs="Arial"/>
        </w:rPr>
        <w:t xml:space="preserve"> Financiero (PF)</w:t>
      </w:r>
      <w:r w:rsidR="00241BFE" w:rsidRPr="004044E8">
        <w:rPr>
          <w:rFonts w:ascii="Arial" w:hAnsi="Arial" w:cs="Arial"/>
        </w:rPr>
        <w:t>. El PF,</w:t>
      </w:r>
      <w:r w:rsidRPr="004044E8">
        <w:rPr>
          <w:rFonts w:ascii="Arial" w:hAnsi="Arial" w:cs="Arial"/>
        </w:rPr>
        <w:t xml:space="preserve"> consolida los recursos financiados por el Préstamo y permite gestionar, planificar y controlar la oportunidad de los flujos de fondos, monitorear los costos efectuados para el logro de los productos y alimentar el PMR.  </w:t>
      </w:r>
      <w:r w:rsidR="004F7B39" w:rsidRPr="004044E8">
        <w:rPr>
          <w:rFonts w:ascii="Arial" w:hAnsi="Arial" w:cs="Arial"/>
        </w:rPr>
        <w:t xml:space="preserve">El PF del programa, lo elabora el </w:t>
      </w:r>
      <w:r w:rsidR="00755BF5" w:rsidRPr="004044E8">
        <w:rPr>
          <w:rFonts w:ascii="Arial" w:hAnsi="Arial" w:cs="Arial"/>
        </w:rPr>
        <w:t>EDG-MEF</w:t>
      </w:r>
      <w:r w:rsidR="004F7B39" w:rsidRPr="004044E8">
        <w:rPr>
          <w:rFonts w:ascii="Arial" w:hAnsi="Arial" w:cs="Arial"/>
        </w:rPr>
        <w:t>, sobre la base del PEP, POA y el PA aprobados por el BID</w:t>
      </w:r>
      <w:r w:rsidRPr="004044E8">
        <w:rPr>
          <w:rFonts w:ascii="Arial" w:hAnsi="Arial" w:cs="Arial"/>
        </w:rPr>
        <w:t>.</w:t>
      </w:r>
      <w:r w:rsidR="00241BFE" w:rsidRPr="004044E8">
        <w:rPr>
          <w:rFonts w:ascii="Arial" w:hAnsi="Arial" w:cs="Arial"/>
        </w:rPr>
        <w:t xml:space="preserve"> </w:t>
      </w:r>
    </w:p>
    <w:p w14:paraId="6CD00A02" w14:textId="0DED1F0A" w:rsidR="004F7B39" w:rsidRPr="004044E8" w:rsidRDefault="004F7B39" w:rsidP="00C02EF4">
      <w:pPr>
        <w:pStyle w:val="Estilo1"/>
        <w:rPr>
          <w:rFonts w:ascii="Arial" w:hAnsi="Arial" w:cs="Arial"/>
        </w:rPr>
      </w:pPr>
      <w:r w:rsidRPr="004044E8">
        <w:rPr>
          <w:rFonts w:ascii="Arial" w:hAnsi="Arial" w:cs="Arial"/>
        </w:rPr>
        <w:t xml:space="preserve">El </w:t>
      </w:r>
      <w:r w:rsidR="00755BF5" w:rsidRPr="004044E8">
        <w:rPr>
          <w:rFonts w:ascii="Arial" w:hAnsi="Arial" w:cs="Arial"/>
        </w:rPr>
        <w:t>EDG-MEF</w:t>
      </w:r>
      <w:r w:rsidRPr="004044E8">
        <w:rPr>
          <w:rFonts w:ascii="Arial" w:hAnsi="Arial" w:cs="Arial"/>
        </w:rPr>
        <w:t>, se asegurará que el PF, se encuentre preparado al inicio del Programa y se mantenga actualizado de acuerdo a la evolución de la ejecución del Programa, reflejando las necesidades reales de liquidez, para la entrega oportuna de los productos y</w:t>
      </w:r>
      <w:r w:rsidR="00247FB9" w:rsidRPr="004044E8">
        <w:rPr>
          <w:rFonts w:ascii="Arial" w:hAnsi="Arial" w:cs="Arial"/>
        </w:rPr>
        <w:t xml:space="preserve"> logro de </w:t>
      </w:r>
      <w:r w:rsidRPr="004044E8">
        <w:rPr>
          <w:rFonts w:ascii="Arial" w:hAnsi="Arial" w:cs="Arial"/>
        </w:rPr>
        <w:t xml:space="preserve">metas propuestas </w:t>
      </w:r>
      <w:r w:rsidR="00247FB9" w:rsidRPr="004044E8">
        <w:rPr>
          <w:rFonts w:ascii="Arial" w:hAnsi="Arial" w:cs="Arial"/>
        </w:rPr>
        <w:t xml:space="preserve">establecidas </w:t>
      </w:r>
      <w:r w:rsidRPr="004044E8">
        <w:rPr>
          <w:rFonts w:ascii="Arial" w:hAnsi="Arial" w:cs="Arial"/>
        </w:rPr>
        <w:t>en el cronograma.</w:t>
      </w:r>
      <w:r w:rsidR="002B5F77" w:rsidRPr="004044E8">
        <w:rPr>
          <w:rFonts w:ascii="Arial" w:hAnsi="Arial" w:cs="Arial"/>
        </w:rPr>
        <w:t xml:space="preserve"> </w:t>
      </w:r>
      <w:r w:rsidRPr="004044E8">
        <w:rPr>
          <w:rFonts w:ascii="Arial" w:hAnsi="Arial" w:cs="Arial"/>
        </w:rPr>
        <w:t xml:space="preserve">El PF anual del Programa, deberá ser comunicado al Banco dentro de las dos primeras semanas del inicio del ejercicio fiscal, será responsabilidad del </w:t>
      </w:r>
      <w:r w:rsidR="00755BF5" w:rsidRPr="004044E8">
        <w:rPr>
          <w:rFonts w:ascii="Arial" w:hAnsi="Arial" w:cs="Arial"/>
        </w:rPr>
        <w:t>EDG-MEF</w:t>
      </w:r>
      <w:r w:rsidR="0065306F" w:rsidRPr="004044E8">
        <w:rPr>
          <w:rFonts w:ascii="Arial" w:hAnsi="Arial" w:cs="Arial"/>
        </w:rPr>
        <w:t xml:space="preserve"> </w:t>
      </w:r>
      <w:r w:rsidRPr="004044E8">
        <w:rPr>
          <w:rFonts w:ascii="Arial" w:hAnsi="Arial" w:cs="Arial"/>
        </w:rPr>
        <w:t xml:space="preserve">velar por su cumplimiento y actualización. Toda modificación al PF, deberá ser </w:t>
      </w:r>
      <w:r w:rsidR="0065306F" w:rsidRPr="004044E8">
        <w:rPr>
          <w:rFonts w:ascii="Arial" w:hAnsi="Arial" w:cs="Arial"/>
        </w:rPr>
        <w:t xml:space="preserve">acordada y </w:t>
      </w:r>
      <w:r w:rsidRPr="004044E8">
        <w:rPr>
          <w:rFonts w:ascii="Arial" w:hAnsi="Arial" w:cs="Arial"/>
        </w:rPr>
        <w:t>notificada oportunamente al Banco</w:t>
      </w:r>
      <w:r w:rsidR="005F3034" w:rsidRPr="004044E8">
        <w:rPr>
          <w:rFonts w:ascii="Arial" w:hAnsi="Arial" w:cs="Arial"/>
        </w:rPr>
        <w:t xml:space="preserve"> por </w:t>
      </w:r>
      <w:r w:rsidR="00241BFE" w:rsidRPr="004044E8">
        <w:rPr>
          <w:rFonts w:ascii="Arial" w:hAnsi="Arial" w:cs="Arial"/>
        </w:rPr>
        <w:t>parte de</w:t>
      </w:r>
      <w:r w:rsidR="005F3034" w:rsidRPr="004044E8">
        <w:rPr>
          <w:rFonts w:ascii="Arial" w:hAnsi="Arial" w:cs="Arial"/>
        </w:rPr>
        <w:t xml:space="preserve">l </w:t>
      </w:r>
      <w:r w:rsidR="00755BF5" w:rsidRPr="004044E8">
        <w:rPr>
          <w:rFonts w:ascii="Arial" w:hAnsi="Arial" w:cs="Arial"/>
        </w:rPr>
        <w:t>EDG-MEF</w:t>
      </w:r>
      <w:r w:rsidRPr="004044E8">
        <w:rPr>
          <w:rFonts w:ascii="Arial" w:hAnsi="Arial" w:cs="Arial"/>
        </w:rPr>
        <w:t>.</w:t>
      </w:r>
      <w:r w:rsidR="00CF77EC" w:rsidRPr="004044E8">
        <w:rPr>
          <w:rFonts w:ascii="Arial" w:hAnsi="Arial" w:cs="Arial"/>
        </w:rPr>
        <w:t xml:space="preserve"> </w:t>
      </w:r>
    </w:p>
    <w:p w14:paraId="6B0D68FC" w14:textId="188BC741" w:rsidR="00D54D1F" w:rsidRPr="004044E8" w:rsidRDefault="00D54D1F" w:rsidP="00C02EF4">
      <w:pPr>
        <w:pStyle w:val="Estilo1"/>
        <w:rPr>
          <w:rFonts w:ascii="Arial" w:hAnsi="Arial" w:cs="Arial"/>
        </w:rPr>
      </w:pPr>
      <w:r w:rsidRPr="004044E8">
        <w:rPr>
          <w:rFonts w:ascii="Arial" w:hAnsi="Arial" w:cs="Arial"/>
        </w:rPr>
        <w:t xml:space="preserve">El OE y los OSE, realizaran ante SENPLADES, los trámites necesarios para obtener la actualización de la prioridad de los proyectos de ser el caso y la inclusión de sus proyectos en el Plan Anual de </w:t>
      </w:r>
      <w:proofErr w:type="spellStart"/>
      <w:r w:rsidRPr="004044E8">
        <w:rPr>
          <w:rFonts w:ascii="Arial" w:hAnsi="Arial" w:cs="Arial"/>
        </w:rPr>
        <w:t>lnversiones</w:t>
      </w:r>
      <w:proofErr w:type="spellEnd"/>
      <w:r w:rsidRPr="004044E8">
        <w:rPr>
          <w:rFonts w:ascii="Arial" w:hAnsi="Arial" w:cs="Arial"/>
        </w:rPr>
        <w:t xml:space="preserve"> (PAI) vigente </w:t>
      </w:r>
      <w:r w:rsidRPr="004044E8">
        <w:rPr>
          <w:rFonts w:ascii="Arial" w:hAnsi="Arial" w:cs="Arial"/>
          <w:i/>
        </w:rPr>
        <w:t xml:space="preserve">y </w:t>
      </w:r>
      <w:r w:rsidRPr="004044E8">
        <w:rPr>
          <w:rFonts w:ascii="Arial" w:hAnsi="Arial" w:cs="Arial"/>
        </w:rPr>
        <w:t>posteriores, hasta el plaza de ejecución del mismo. Cada EOG deberá coordinar que la dirección de planificación y financiera de su institución incluya las partidas presupuestarias requeridas para la ejecución del Programa en el presupuesto anual y se realicen los trámites pertinentes de avales, espacios y certificaciones presupuestarias ante las instituciones que competan.</w:t>
      </w:r>
    </w:p>
    <w:p w14:paraId="07E1B09E" w14:textId="77777777" w:rsidR="0065306F" w:rsidRPr="004044E8" w:rsidRDefault="0065306F" w:rsidP="00EA653C">
      <w:pPr>
        <w:pStyle w:val="Heading3"/>
        <w:rPr>
          <w:rFonts w:ascii="Arial" w:hAnsi="Arial" w:cs="Arial"/>
        </w:rPr>
      </w:pPr>
      <w:r w:rsidRPr="004044E8">
        <w:rPr>
          <w:rFonts w:ascii="Arial" w:hAnsi="Arial" w:cs="Arial"/>
        </w:rPr>
        <w:t>Contabilidad y Sistemas de Información</w:t>
      </w:r>
    </w:p>
    <w:p w14:paraId="708199CC" w14:textId="36A3864B" w:rsidR="00CA47DD" w:rsidRPr="004044E8" w:rsidRDefault="00F64CD1" w:rsidP="00C02EF4">
      <w:pPr>
        <w:pStyle w:val="Estilo1"/>
        <w:rPr>
          <w:rFonts w:ascii="Arial" w:hAnsi="Arial" w:cs="Arial"/>
        </w:rPr>
      </w:pPr>
      <w:r w:rsidRPr="004044E8">
        <w:rPr>
          <w:rFonts w:ascii="Arial" w:hAnsi="Arial" w:cs="Arial"/>
        </w:rPr>
        <w:t xml:space="preserve">La contabilidad del proyecto se llevará en el e-SIGEF o en el nuevo sistema que desarrolla el gobierno cuando comience a operar, donde se registrarán todos los compromisos y pagos del programa. El e-SIGEF, no permite la elaboración de informes específicos de los recursos suministrados por el BID, por ello es necesario que mediante informes separados se revele el estado y evolución del proyecto, por ello se requerirán de registros para llevar el detalle por componente y poder generar los informes financieros del programa; de igual manera se </w:t>
      </w:r>
      <w:r w:rsidR="00CA47DD" w:rsidRPr="004044E8">
        <w:rPr>
          <w:rFonts w:ascii="Arial" w:hAnsi="Arial" w:cs="Arial"/>
        </w:rPr>
        <w:t>operará mientras</w:t>
      </w:r>
      <w:r w:rsidRPr="004044E8">
        <w:rPr>
          <w:rFonts w:ascii="Arial" w:hAnsi="Arial" w:cs="Arial"/>
        </w:rPr>
        <w:t xml:space="preserve"> se verifica la confiabilidad del nuevo sistema y sus reportes.</w:t>
      </w:r>
      <w:r w:rsidR="004631F3" w:rsidRPr="004044E8">
        <w:rPr>
          <w:rFonts w:ascii="Arial" w:hAnsi="Arial" w:cs="Arial"/>
        </w:rPr>
        <w:t xml:space="preserve"> </w:t>
      </w:r>
      <w:r w:rsidR="00CA47DD" w:rsidRPr="004044E8">
        <w:rPr>
          <w:rFonts w:ascii="Arial" w:hAnsi="Arial" w:cs="Arial"/>
        </w:rPr>
        <w:t>Para este programa el Banco reconocerá la elaboración de informes financieros del proyecto en base al método del efectivo.</w:t>
      </w:r>
    </w:p>
    <w:p w14:paraId="1F75DB36" w14:textId="2407440C" w:rsidR="00CA47DD" w:rsidRPr="004044E8" w:rsidRDefault="00CA47DD" w:rsidP="00C02EF4">
      <w:pPr>
        <w:pStyle w:val="Estilo1"/>
        <w:rPr>
          <w:rFonts w:ascii="Arial" w:hAnsi="Arial" w:cs="Arial"/>
        </w:rPr>
      </w:pPr>
      <w:r w:rsidRPr="004044E8">
        <w:rPr>
          <w:rFonts w:ascii="Arial" w:hAnsi="Arial" w:cs="Arial"/>
        </w:rPr>
        <w:t xml:space="preserve">El </w:t>
      </w:r>
      <w:r w:rsidR="00755BF5" w:rsidRPr="004044E8">
        <w:rPr>
          <w:rFonts w:ascii="Arial" w:hAnsi="Arial" w:cs="Arial"/>
        </w:rPr>
        <w:t>EDG-MEF</w:t>
      </w:r>
      <w:r w:rsidRPr="004044E8">
        <w:rPr>
          <w:rFonts w:ascii="Arial" w:hAnsi="Arial" w:cs="Arial"/>
        </w:rPr>
        <w:t xml:space="preserve"> preparará la información financiera para la elaboración de los reportes e informes requeridos por el BID en los esquemas y formatos establecidos por el Banco para el efecto. Los reportes financieros del Programa deberán: (i) permitir identificar las sumas recibidas de las distintas fuentes (BID y Local); (</w:t>
      </w:r>
      <w:proofErr w:type="spellStart"/>
      <w:r w:rsidRPr="004044E8">
        <w:rPr>
          <w:rFonts w:ascii="Arial" w:hAnsi="Arial" w:cs="Arial"/>
        </w:rPr>
        <w:t>ii</w:t>
      </w:r>
      <w:proofErr w:type="spellEnd"/>
      <w:r w:rsidRPr="004044E8">
        <w:rPr>
          <w:rFonts w:ascii="Arial" w:hAnsi="Arial" w:cs="Arial"/>
        </w:rPr>
        <w:t>) consignar, de conformidad con el plan de cuentas del Programa, las inversiones por categoría, tanto con los recursos del financiamiento como con los demás fondos que deban aportarse para su ejecución; y (</w:t>
      </w:r>
      <w:proofErr w:type="spellStart"/>
      <w:r w:rsidRPr="004044E8">
        <w:rPr>
          <w:rFonts w:ascii="Arial" w:hAnsi="Arial" w:cs="Arial"/>
        </w:rPr>
        <w:t>iii</w:t>
      </w:r>
      <w:proofErr w:type="spellEnd"/>
      <w:r w:rsidRPr="004044E8">
        <w:rPr>
          <w:rFonts w:ascii="Arial" w:hAnsi="Arial" w:cs="Arial"/>
        </w:rPr>
        <w:t>) demostrar el costo de las inversiones en cada categoría y sub categoría.</w:t>
      </w:r>
    </w:p>
    <w:p w14:paraId="38B786DA" w14:textId="7AB98D2B" w:rsidR="007B6BE2" w:rsidRPr="004044E8" w:rsidRDefault="007B6BE2" w:rsidP="00EA653C">
      <w:pPr>
        <w:pStyle w:val="Heading3"/>
        <w:rPr>
          <w:rFonts w:ascii="Arial" w:hAnsi="Arial" w:cs="Arial"/>
        </w:rPr>
      </w:pPr>
      <w:r w:rsidRPr="004044E8">
        <w:rPr>
          <w:rFonts w:ascii="Arial" w:hAnsi="Arial" w:cs="Arial"/>
        </w:rPr>
        <w:t>Cuentas para el manejo de los recursos del Programa</w:t>
      </w:r>
    </w:p>
    <w:p w14:paraId="24E72E5B" w14:textId="77777777" w:rsidR="00184D45" w:rsidRPr="004044E8" w:rsidRDefault="00184D45" w:rsidP="00C02EF4">
      <w:pPr>
        <w:pStyle w:val="Estilo1"/>
        <w:rPr>
          <w:rFonts w:ascii="Arial" w:hAnsi="Arial" w:cs="Arial"/>
        </w:rPr>
      </w:pPr>
      <w:r w:rsidRPr="004044E8">
        <w:rPr>
          <w:rFonts w:ascii="Arial" w:hAnsi="Arial" w:cs="Arial"/>
        </w:rPr>
        <w:t xml:space="preserve">Desde el 2008 el Gobierno de Ecuador instauró el mecanismo de Cuenta Única del Tesoro Nacional (CUT) a través de la cual se unificó la gestión de la tesorería de todas las entidades que conforman el </w:t>
      </w:r>
      <w:r w:rsidRPr="004044E8">
        <w:rPr>
          <w:rFonts w:ascii="Arial" w:hAnsi="Arial" w:cs="Arial"/>
        </w:rPr>
        <w:lastRenderedPageBreak/>
        <w:t xml:space="preserve">gobierno central.  La implementación de este mecanismo no eliminó el sistema de cuentas especiales, o de propósito específico, que se manejan en el Banco Central del Ecuador (BCE) para recibir el financiamiento de préstamos multilaterales. El programa contará con una cuenta bancaria especial en el BCE, a donde se desembolsarán los fondos provenientes del financiamiento. </w:t>
      </w:r>
    </w:p>
    <w:p w14:paraId="5844A218" w14:textId="3340EA5F" w:rsidR="007B6BE2" w:rsidRPr="004044E8" w:rsidRDefault="007B6BE2" w:rsidP="00C02EF4">
      <w:pPr>
        <w:pStyle w:val="Estilo1"/>
        <w:rPr>
          <w:rFonts w:ascii="Arial" w:hAnsi="Arial" w:cs="Arial"/>
        </w:rPr>
      </w:pPr>
      <w:r w:rsidRPr="004044E8">
        <w:rPr>
          <w:rFonts w:ascii="Arial" w:hAnsi="Arial" w:cs="Arial"/>
        </w:rPr>
        <w:t>Todos los pagos del programa serán ejecutados a través del sistema e</w:t>
      </w:r>
      <w:r w:rsidR="003D4342" w:rsidRPr="004044E8">
        <w:rPr>
          <w:rFonts w:ascii="Arial" w:hAnsi="Arial" w:cs="Arial"/>
        </w:rPr>
        <w:t>-</w:t>
      </w:r>
      <w:r w:rsidRPr="004044E8">
        <w:rPr>
          <w:rFonts w:ascii="Arial" w:hAnsi="Arial" w:cs="Arial"/>
        </w:rPr>
        <w:t>S</w:t>
      </w:r>
      <w:r w:rsidR="00184D45" w:rsidRPr="004044E8">
        <w:rPr>
          <w:rFonts w:ascii="Arial" w:hAnsi="Arial" w:cs="Arial"/>
        </w:rPr>
        <w:t>IGEF</w:t>
      </w:r>
      <w:r w:rsidRPr="004044E8">
        <w:rPr>
          <w:rFonts w:ascii="Arial" w:hAnsi="Arial" w:cs="Arial"/>
        </w:rPr>
        <w:t xml:space="preserve"> </w:t>
      </w:r>
      <w:r w:rsidR="00184D45" w:rsidRPr="004044E8">
        <w:rPr>
          <w:rFonts w:ascii="Arial" w:hAnsi="Arial" w:cs="Arial"/>
        </w:rPr>
        <w:t xml:space="preserve">(o del nuevo sistema) </w:t>
      </w:r>
      <w:r w:rsidRPr="004044E8">
        <w:rPr>
          <w:rFonts w:ascii="Arial" w:hAnsi="Arial" w:cs="Arial"/>
        </w:rPr>
        <w:t>mediante débito a la CUT</w:t>
      </w:r>
      <w:r w:rsidR="00274211" w:rsidRPr="004044E8">
        <w:rPr>
          <w:rFonts w:ascii="Arial" w:hAnsi="Arial" w:cs="Arial"/>
        </w:rPr>
        <w:t>.</w:t>
      </w:r>
      <w:r w:rsidR="00303205" w:rsidRPr="004044E8">
        <w:rPr>
          <w:rFonts w:ascii="Arial" w:hAnsi="Arial" w:cs="Arial"/>
        </w:rPr>
        <w:t xml:space="preserve"> </w:t>
      </w:r>
    </w:p>
    <w:p w14:paraId="6C3A595A" w14:textId="5517892F" w:rsidR="007B6BE2" w:rsidRPr="004044E8" w:rsidRDefault="007B6BE2" w:rsidP="00EA653C">
      <w:pPr>
        <w:pStyle w:val="Heading3"/>
        <w:rPr>
          <w:rFonts w:ascii="Arial" w:hAnsi="Arial" w:cs="Arial"/>
        </w:rPr>
      </w:pPr>
      <w:r w:rsidRPr="004044E8">
        <w:rPr>
          <w:rFonts w:ascii="Arial" w:hAnsi="Arial" w:cs="Arial"/>
        </w:rPr>
        <w:t>Desembolsos y flujo de fondos</w:t>
      </w:r>
    </w:p>
    <w:p w14:paraId="36CA2A94" w14:textId="680A9E45" w:rsidR="00CF77EC" w:rsidRPr="004044E8" w:rsidRDefault="00CF77EC" w:rsidP="00C02EF4">
      <w:pPr>
        <w:pStyle w:val="Estilo1"/>
        <w:rPr>
          <w:rFonts w:ascii="Arial" w:hAnsi="Arial" w:cs="Arial"/>
        </w:rPr>
      </w:pPr>
      <w:r w:rsidRPr="004044E8">
        <w:rPr>
          <w:rFonts w:ascii="Arial" w:hAnsi="Arial" w:cs="Arial"/>
        </w:rPr>
        <w:t>El Banco efectuará los desembolsos del préstamo mediante la modalidad de anticipos de fondos según las necesidades reales de liquidez del proyecto conforme al plan financiero (PF)</w:t>
      </w:r>
      <w:r w:rsidRPr="009F019B">
        <w:rPr>
          <w:rStyle w:val="FootnoteReference"/>
          <w:rFonts w:ascii="Arial" w:hAnsi="Arial" w:cs="Arial"/>
        </w:rPr>
        <w:footnoteReference w:id="35"/>
      </w:r>
      <w:r w:rsidRPr="009F019B">
        <w:rPr>
          <w:rFonts w:ascii="Arial" w:hAnsi="Arial" w:cs="Arial"/>
        </w:rPr>
        <w:t xml:space="preserve"> y flujo de caja detallado que refleja las necesidades reales de recursos para el proyecto, para un periodo de hasta máximo seis (6) meses. A solicitud del prestatario, el Banco también podrá realizar pagos directos a proveedores o reembolsos de gastos.</w:t>
      </w:r>
    </w:p>
    <w:p w14:paraId="46064C95" w14:textId="1BD8434F" w:rsidR="00CF77EC" w:rsidRPr="004044E8" w:rsidRDefault="00087B43" w:rsidP="00C02EF4">
      <w:pPr>
        <w:pStyle w:val="Estilo1"/>
        <w:rPr>
          <w:rFonts w:ascii="Arial" w:hAnsi="Arial" w:cs="Arial"/>
        </w:rPr>
      </w:pPr>
      <w:r w:rsidRPr="004044E8">
        <w:rPr>
          <w:rFonts w:ascii="Arial" w:hAnsi="Arial" w:cs="Arial"/>
        </w:rPr>
        <w:t xml:space="preserve">La rendición de cuentas en relación con los anticipos se hace según lo establecido en la OP-273-6. </w:t>
      </w:r>
      <w:r w:rsidR="004E26E8" w:rsidRPr="004044E8">
        <w:rPr>
          <w:rFonts w:ascii="Arial" w:hAnsi="Arial" w:cs="Arial"/>
        </w:rPr>
        <w:t>Los desembolsos se justificarán en la próxima solicitud, de manera agregada incluidos todos los OSE, una vez que el saldo de anticipos correspondiente este ejecutado en un mínimo del 80%.</w:t>
      </w:r>
    </w:p>
    <w:p w14:paraId="06A36A86" w14:textId="2D9E729D" w:rsidR="00CF77EC" w:rsidRPr="004044E8" w:rsidRDefault="00DB6C6E" w:rsidP="00C02EF4">
      <w:pPr>
        <w:pStyle w:val="Estilo1"/>
        <w:rPr>
          <w:rFonts w:ascii="Arial" w:hAnsi="Arial" w:cs="Arial"/>
        </w:rPr>
      </w:pPr>
      <w:r w:rsidRPr="004044E8">
        <w:rPr>
          <w:rFonts w:ascii="Arial" w:hAnsi="Arial" w:cs="Arial"/>
        </w:rPr>
        <w:t>La revisión de la documentación soporte de los pagos efectuados es realizada en forma ex post al desembolso de los recursos por parte del Banco y/o los auditores externos.</w:t>
      </w:r>
    </w:p>
    <w:p w14:paraId="096A9CE4" w14:textId="77777777" w:rsidR="00DB6C6E" w:rsidRPr="004044E8" w:rsidRDefault="00DB6C6E" w:rsidP="00EA653C">
      <w:pPr>
        <w:pStyle w:val="Heading3"/>
        <w:rPr>
          <w:rFonts w:ascii="Arial" w:hAnsi="Arial" w:cs="Arial"/>
        </w:rPr>
      </w:pPr>
      <w:r w:rsidRPr="004044E8">
        <w:rPr>
          <w:rFonts w:ascii="Arial" w:hAnsi="Arial" w:cs="Arial"/>
        </w:rPr>
        <w:t xml:space="preserve">Control interno y auditoría interna </w:t>
      </w:r>
    </w:p>
    <w:p w14:paraId="360BD27F" w14:textId="07E28D8E" w:rsidR="00DB6C6E" w:rsidRPr="004044E8" w:rsidRDefault="00DB6C6E" w:rsidP="00C02EF4">
      <w:pPr>
        <w:pStyle w:val="Estilo1"/>
        <w:rPr>
          <w:rFonts w:ascii="Arial" w:hAnsi="Arial" w:cs="Arial"/>
        </w:rPr>
      </w:pPr>
      <w:r w:rsidRPr="004044E8">
        <w:rPr>
          <w:rFonts w:ascii="Arial" w:hAnsi="Arial" w:cs="Arial"/>
        </w:rPr>
        <w:t xml:space="preserve">La Constitución de la República del Ecuador establece que la CGE es el ente encargado de dirigir el sistema de control del sector público. Como parte de dicho sector, el OE </w:t>
      </w:r>
      <w:r w:rsidR="004E26E8" w:rsidRPr="004044E8">
        <w:rPr>
          <w:rFonts w:ascii="Arial" w:hAnsi="Arial" w:cs="Arial"/>
        </w:rPr>
        <w:t xml:space="preserve">y OSE </w:t>
      </w:r>
      <w:r w:rsidRPr="004044E8">
        <w:rPr>
          <w:rFonts w:ascii="Arial" w:hAnsi="Arial" w:cs="Arial"/>
        </w:rPr>
        <w:t>cuenta con un área de auditoría interna propia que depende directamente de la CGE, sin embargo, el Banco no utiliza sus servicios debido a que ésta no incluye dentro de sus planes de auditoría la revisión del Programa.</w:t>
      </w:r>
    </w:p>
    <w:p w14:paraId="60CFCEAF" w14:textId="77777777" w:rsidR="00DB6C6E" w:rsidRPr="004044E8" w:rsidRDefault="00DB6C6E" w:rsidP="00EA653C">
      <w:pPr>
        <w:pStyle w:val="Heading3"/>
        <w:rPr>
          <w:rFonts w:ascii="Arial" w:hAnsi="Arial" w:cs="Arial"/>
        </w:rPr>
      </w:pPr>
      <w:r w:rsidRPr="004044E8">
        <w:rPr>
          <w:rFonts w:ascii="Arial" w:hAnsi="Arial" w:cs="Arial"/>
        </w:rPr>
        <w:t>Control externo e informes</w:t>
      </w:r>
    </w:p>
    <w:p w14:paraId="6FAA6243" w14:textId="77777777" w:rsidR="00116BD6" w:rsidRPr="004044E8" w:rsidRDefault="00AB05F0" w:rsidP="00C02EF4">
      <w:pPr>
        <w:pStyle w:val="Estilo1"/>
        <w:rPr>
          <w:rFonts w:ascii="Arial" w:hAnsi="Arial" w:cs="Arial"/>
        </w:rPr>
      </w:pPr>
      <w:r w:rsidRPr="004044E8">
        <w:rPr>
          <w:rFonts w:ascii="Arial" w:hAnsi="Arial" w:cs="Arial"/>
        </w:rPr>
        <w:t xml:space="preserve">Debido a que la CGE no cuenta por el momento con la capacidad suficiente para ejercer el control externo sobre proyectos financiados con recursos de endeudamiento externo, la auditoría externa del proyecto será efectuada por auditores independientes aceptables por el Banco, de acuerdo con los requerimientos del BID (OP-273-6). </w:t>
      </w:r>
      <w:r w:rsidR="0008122D" w:rsidRPr="004044E8">
        <w:rPr>
          <w:rFonts w:ascii="Arial" w:hAnsi="Arial" w:cs="Arial"/>
        </w:rPr>
        <w:t xml:space="preserve"> </w:t>
      </w:r>
    </w:p>
    <w:p w14:paraId="69829493" w14:textId="67C5F501" w:rsidR="00DA2C2F" w:rsidRPr="004044E8" w:rsidRDefault="00AB05F0" w:rsidP="00C02EF4">
      <w:pPr>
        <w:pStyle w:val="Estilo1"/>
        <w:rPr>
          <w:rFonts w:ascii="Arial" w:hAnsi="Arial" w:cs="Arial"/>
        </w:rPr>
      </w:pPr>
      <w:r w:rsidRPr="004044E8">
        <w:rPr>
          <w:rFonts w:ascii="Arial" w:hAnsi="Arial" w:cs="Arial"/>
        </w:rPr>
        <w:t xml:space="preserve">La firma </w:t>
      </w:r>
      <w:r w:rsidR="0008122D" w:rsidRPr="004044E8">
        <w:rPr>
          <w:rFonts w:ascii="Arial" w:hAnsi="Arial" w:cs="Arial"/>
        </w:rPr>
        <w:t>auditora</w:t>
      </w:r>
      <w:r w:rsidR="00116BD6" w:rsidRPr="004044E8">
        <w:rPr>
          <w:rFonts w:ascii="Arial" w:hAnsi="Arial" w:cs="Arial"/>
        </w:rPr>
        <w:t xml:space="preserve"> será contratada </w:t>
      </w:r>
      <w:r w:rsidRPr="004044E8">
        <w:rPr>
          <w:rFonts w:ascii="Arial" w:hAnsi="Arial" w:cs="Arial"/>
        </w:rPr>
        <w:t xml:space="preserve">por el </w:t>
      </w:r>
      <w:r w:rsidR="00116BD6" w:rsidRPr="004044E8">
        <w:rPr>
          <w:rFonts w:ascii="Arial" w:hAnsi="Arial" w:cs="Arial"/>
        </w:rPr>
        <w:t>OE</w:t>
      </w:r>
      <w:r w:rsidRPr="004044E8">
        <w:rPr>
          <w:rFonts w:ascii="Arial" w:hAnsi="Arial" w:cs="Arial"/>
        </w:rPr>
        <w:t xml:space="preserve"> sobre la base de </w:t>
      </w:r>
      <w:r w:rsidR="0008122D" w:rsidRPr="004044E8">
        <w:rPr>
          <w:rFonts w:ascii="Arial" w:hAnsi="Arial" w:cs="Arial"/>
        </w:rPr>
        <w:t>T</w:t>
      </w:r>
      <w:r w:rsidRPr="004044E8">
        <w:rPr>
          <w:rFonts w:ascii="Arial" w:hAnsi="Arial" w:cs="Arial"/>
        </w:rPr>
        <w:t xml:space="preserve">érminos de </w:t>
      </w:r>
      <w:r w:rsidR="0008122D" w:rsidRPr="004044E8">
        <w:rPr>
          <w:rFonts w:ascii="Arial" w:hAnsi="Arial" w:cs="Arial"/>
        </w:rPr>
        <w:t>R</w:t>
      </w:r>
      <w:r w:rsidRPr="004044E8">
        <w:rPr>
          <w:rFonts w:ascii="Arial" w:hAnsi="Arial" w:cs="Arial"/>
        </w:rPr>
        <w:t xml:space="preserve">eferencia </w:t>
      </w:r>
      <w:r w:rsidR="0008122D" w:rsidRPr="004044E8">
        <w:rPr>
          <w:rFonts w:ascii="Arial" w:hAnsi="Arial" w:cs="Arial"/>
        </w:rPr>
        <w:t xml:space="preserve">(TDR) </w:t>
      </w:r>
      <w:r w:rsidRPr="004044E8">
        <w:rPr>
          <w:rFonts w:ascii="Arial" w:hAnsi="Arial" w:cs="Arial"/>
        </w:rPr>
        <w:t>previamente acordados con el BID</w:t>
      </w:r>
      <w:r w:rsidR="00116BD6" w:rsidRPr="004044E8">
        <w:rPr>
          <w:rFonts w:ascii="Arial" w:hAnsi="Arial" w:cs="Arial"/>
        </w:rPr>
        <w:t>, con cargo a los recursos del Programa, a más tardar cuatro (4) meses antes del cierre de cada ejercicio económico del Prestatario</w:t>
      </w:r>
      <w:r w:rsidR="00116BD6" w:rsidRPr="009F019B">
        <w:rPr>
          <w:rStyle w:val="FootnoteReference"/>
          <w:rFonts w:ascii="Arial" w:hAnsi="Arial" w:cs="Arial"/>
        </w:rPr>
        <w:footnoteReference w:id="36"/>
      </w:r>
      <w:r w:rsidR="00116BD6" w:rsidRPr="009F019B">
        <w:rPr>
          <w:rFonts w:ascii="Arial" w:hAnsi="Arial" w:cs="Arial"/>
        </w:rPr>
        <w:t>.  El último de estos informes será presentado dentro de los ciento veinte (120) días siguientes al vencimiento del Plazo Original de Desembolso o sus extensiones.</w:t>
      </w:r>
      <w:r w:rsidR="0008122D" w:rsidRPr="004044E8">
        <w:rPr>
          <w:rFonts w:ascii="Arial" w:hAnsi="Arial" w:cs="Arial"/>
        </w:rPr>
        <w:t xml:space="preserve">  </w:t>
      </w:r>
    </w:p>
    <w:p w14:paraId="7AB5707B" w14:textId="0B19859F" w:rsidR="00DB6C6E" w:rsidRPr="004044E8" w:rsidRDefault="00AB05F0" w:rsidP="00C02EF4">
      <w:pPr>
        <w:pStyle w:val="Estilo1"/>
        <w:rPr>
          <w:rFonts w:ascii="Arial" w:hAnsi="Arial" w:cs="Arial"/>
        </w:rPr>
      </w:pPr>
      <w:r w:rsidRPr="004044E8">
        <w:rPr>
          <w:rFonts w:ascii="Arial" w:hAnsi="Arial" w:cs="Arial"/>
        </w:rPr>
        <w:t>Durante la ejecución, los Informes financieros auditados se presentan</w:t>
      </w:r>
      <w:r w:rsidR="0008122D" w:rsidRPr="004044E8">
        <w:rPr>
          <w:rFonts w:ascii="Arial" w:hAnsi="Arial" w:cs="Arial"/>
        </w:rPr>
        <w:t xml:space="preserve"> </w:t>
      </w:r>
      <w:r w:rsidRPr="004044E8">
        <w:rPr>
          <w:rFonts w:ascii="Arial" w:hAnsi="Arial" w:cs="Arial"/>
        </w:rPr>
        <w:t xml:space="preserve">anualmente, dentro de los </w:t>
      </w:r>
      <w:r w:rsidR="0055168E" w:rsidRPr="004044E8">
        <w:rPr>
          <w:rFonts w:ascii="Arial" w:hAnsi="Arial" w:cs="Arial"/>
        </w:rPr>
        <w:t>ciento veinte (</w:t>
      </w:r>
      <w:r w:rsidRPr="004044E8">
        <w:rPr>
          <w:rFonts w:ascii="Arial" w:hAnsi="Arial" w:cs="Arial"/>
        </w:rPr>
        <w:t>120</w:t>
      </w:r>
      <w:r w:rsidR="0055168E" w:rsidRPr="004044E8">
        <w:rPr>
          <w:rFonts w:ascii="Arial" w:hAnsi="Arial" w:cs="Arial"/>
        </w:rPr>
        <w:t>)</w:t>
      </w:r>
      <w:r w:rsidRPr="004044E8">
        <w:rPr>
          <w:rFonts w:ascii="Arial" w:hAnsi="Arial" w:cs="Arial"/>
        </w:rPr>
        <w:t xml:space="preserve"> días siguientes a la fecha de cierre de cada</w:t>
      </w:r>
      <w:r w:rsidR="0008122D" w:rsidRPr="004044E8">
        <w:rPr>
          <w:rFonts w:ascii="Arial" w:hAnsi="Arial" w:cs="Arial"/>
        </w:rPr>
        <w:t xml:space="preserve"> </w:t>
      </w:r>
      <w:r w:rsidRPr="004044E8">
        <w:rPr>
          <w:rFonts w:ascii="Arial" w:hAnsi="Arial" w:cs="Arial"/>
        </w:rPr>
        <w:t xml:space="preserve">ejercicio económico, o de la fecha del último desembolso vigente. </w:t>
      </w:r>
      <w:r w:rsidR="0008122D" w:rsidRPr="004044E8">
        <w:rPr>
          <w:rFonts w:ascii="Arial" w:hAnsi="Arial" w:cs="Arial"/>
        </w:rPr>
        <w:t xml:space="preserve"> </w:t>
      </w:r>
      <w:r w:rsidRPr="004044E8">
        <w:rPr>
          <w:rFonts w:ascii="Arial" w:hAnsi="Arial" w:cs="Arial"/>
        </w:rPr>
        <w:t>Adicionalmente,</w:t>
      </w:r>
      <w:r w:rsidR="0008122D" w:rsidRPr="004044E8">
        <w:rPr>
          <w:rFonts w:ascii="Arial" w:hAnsi="Arial" w:cs="Arial"/>
        </w:rPr>
        <w:t xml:space="preserve"> </w:t>
      </w:r>
      <w:r w:rsidRPr="004044E8">
        <w:rPr>
          <w:rFonts w:ascii="Arial" w:hAnsi="Arial" w:cs="Arial"/>
        </w:rPr>
        <w:t>el BID podrá requerir del OE reportes o informes financieros no auditados</w:t>
      </w:r>
      <w:r w:rsidR="0008122D" w:rsidRPr="004044E8">
        <w:rPr>
          <w:rFonts w:ascii="Arial" w:hAnsi="Arial" w:cs="Arial"/>
        </w:rPr>
        <w:t xml:space="preserve"> </w:t>
      </w:r>
      <w:r w:rsidRPr="004044E8">
        <w:rPr>
          <w:rFonts w:ascii="Arial" w:hAnsi="Arial" w:cs="Arial"/>
        </w:rPr>
        <w:t xml:space="preserve">relacionados </w:t>
      </w:r>
      <w:r w:rsidR="0008122D" w:rsidRPr="004044E8">
        <w:rPr>
          <w:rFonts w:ascii="Arial" w:hAnsi="Arial" w:cs="Arial"/>
        </w:rPr>
        <w:t>con el Programa</w:t>
      </w:r>
      <w:r w:rsidRPr="004044E8">
        <w:rPr>
          <w:rFonts w:ascii="Arial" w:hAnsi="Arial" w:cs="Arial"/>
        </w:rPr>
        <w:t>.</w:t>
      </w:r>
    </w:p>
    <w:p w14:paraId="37C0898A" w14:textId="40BD13A9" w:rsidR="0008122D" w:rsidRPr="004044E8" w:rsidRDefault="0008122D" w:rsidP="00C02EF4">
      <w:pPr>
        <w:pStyle w:val="Estilo1"/>
        <w:rPr>
          <w:rFonts w:ascii="Arial" w:hAnsi="Arial" w:cs="Arial"/>
        </w:rPr>
      </w:pPr>
      <w:r w:rsidRPr="004044E8">
        <w:rPr>
          <w:rFonts w:ascii="Arial" w:hAnsi="Arial" w:cs="Arial"/>
        </w:rPr>
        <w:t xml:space="preserve">Los informes auditados del Programa deberán ser publicados en los sistemas del Banco de acuerdo con la política de acceso y divulgación de información vigente. </w:t>
      </w:r>
    </w:p>
    <w:p w14:paraId="38FBD1EF" w14:textId="71BA79A0" w:rsidR="00961BAE" w:rsidRPr="004044E8" w:rsidRDefault="00961BAE" w:rsidP="00EA653C">
      <w:pPr>
        <w:pStyle w:val="Heading3"/>
        <w:rPr>
          <w:rFonts w:ascii="Arial" w:hAnsi="Arial" w:cs="Arial"/>
        </w:rPr>
      </w:pPr>
      <w:bookmarkStart w:id="63" w:name="_Toc424879236"/>
      <w:r w:rsidRPr="004044E8">
        <w:rPr>
          <w:rFonts w:ascii="Arial" w:hAnsi="Arial" w:cs="Arial"/>
        </w:rPr>
        <w:t>Supervisión Fiduciaria</w:t>
      </w:r>
      <w:bookmarkEnd w:id="63"/>
    </w:p>
    <w:p w14:paraId="4C253A25" w14:textId="77777777" w:rsidR="00961BAE" w:rsidRPr="009F019B" w:rsidRDefault="00961BAE" w:rsidP="00961BAE">
      <w:pPr>
        <w:pStyle w:val="Caption"/>
        <w:keepNext/>
        <w:rPr>
          <w:rFonts w:ascii="Arial" w:hAnsi="Arial" w:cs="Arial"/>
        </w:rPr>
      </w:pPr>
      <w:bookmarkStart w:id="64" w:name="_Toc423361327"/>
      <w:bookmarkStart w:id="65" w:name="_Toc454056478"/>
      <w:bookmarkStart w:id="66" w:name="_Toc537158"/>
      <w:r w:rsidRPr="004044E8">
        <w:rPr>
          <w:rFonts w:ascii="Arial" w:hAnsi="Arial" w:cs="Arial"/>
        </w:rPr>
        <w:t xml:space="preserve">Tabla </w:t>
      </w:r>
      <w:r w:rsidR="00972E0E" w:rsidRPr="009F019B">
        <w:rPr>
          <w:rFonts w:ascii="Arial" w:hAnsi="Arial" w:cs="Arial"/>
          <w:noProof/>
        </w:rPr>
        <w:fldChar w:fldCharType="begin"/>
      </w:r>
      <w:r w:rsidR="00972E0E" w:rsidRPr="004044E8">
        <w:rPr>
          <w:rFonts w:ascii="Arial" w:hAnsi="Arial" w:cs="Arial"/>
          <w:noProof/>
        </w:rPr>
        <w:instrText xml:space="preserve"> SEQ Tabla \* ARABIC </w:instrText>
      </w:r>
      <w:r w:rsidR="00972E0E" w:rsidRPr="004044E8">
        <w:rPr>
          <w:rFonts w:ascii="Arial" w:hAnsi="Arial" w:cs="Arial"/>
          <w:noProof/>
        </w:rPr>
        <w:fldChar w:fldCharType="separate"/>
      </w:r>
      <w:r w:rsidR="004D4A3A" w:rsidRPr="009F019B">
        <w:rPr>
          <w:rFonts w:ascii="Arial" w:hAnsi="Arial" w:cs="Arial"/>
          <w:noProof/>
        </w:rPr>
        <w:t>2</w:t>
      </w:r>
      <w:r w:rsidR="00972E0E" w:rsidRPr="009F019B">
        <w:rPr>
          <w:rFonts w:ascii="Arial" w:hAnsi="Arial" w:cs="Arial"/>
          <w:noProof/>
        </w:rPr>
        <w:fldChar w:fldCharType="end"/>
      </w:r>
      <w:r w:rsidRPr="009F019B">
        <w:rPr>
          <w:rFonts w:ascii="Arial" w:hAnsi="Arial" w:cs="Arial"/>
        </w:rPr>
        <w:t>. Plan de Supervisión del Programa</w:t>
      </w:r>
      <w:bookmarkEnd w:id="64"/>
      <w:bookmarkEnd w:id="65"/>
      <w:bookmarkEnd w:id="66"/>
    </w:p>
    <w:tbl>
      <w:tblPr>
        <w:tblW w:w="9062" w:type="dxa"/>
        <w:jc w:val="center"/>
        <w:tblLayout w:type="fixed"/>
        <w:tblLook w:val="04A0" w:firstRow="1" w:lastRow="0" w:firstColumn="1" w:lastColumn="0" w:noHBand="0" w:noVBand="1"/>
      </w:tblPr>
      <w:tblGrid>
        <w:gridCol w:w="1408"/>
        <w:gridCol w:w="2048"/>
        <w:gridCol w:w="2214"/>
        <w:gridCol w:w="1696"/>
        <w:gridCol w:w="1696"/>
      </w:tblGrid>
      <w:tr w:rsidR="00961BAE" w:rsidRPr="004044E8" w14:paraId="3446728B" w14:textId="77777777" w:rsidTr="0008122D">
        <w:trPr>
          <w:trHeight w:val="160"/>
          <w:tblHeader/>
          <w:jc w:val="center"/>
        </w:trPr>
        <w:tc>
          <w:tcPr>
            <w:tcW w:w="1408"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4B346EF7" w14:textId="77777777" w:rsidR="00961BAE" w:rsidRPr="004044E8" w:rsidRDefault="00961BAE" w:rsidP="0008122D">
            <w:pPr>
              <w:spacing w:after="40"/>
              <w:jc w:val="center"/>
              <w:rPr>
                <w:rFonts w:ascii="Arial" w:hAnsi="Arial" w:cs="Arial"/>
                <w:b/>
                <w:szCs w:val="20"/>
                <w:u w:val="single"/>
                <w:lang w:val="es-ES_tradnl"/>
              </w:rPr>
            </w:pPr>
            <w:r w:rsidRPr="004044E8">
              <w:rPr>
                <w:rFonts w:ascii="Arial" w:hAnsi="Arial" w:cs="Arial"/>
                <w:b/>
                <w:szCs w:val="20"/>
                <w:u w:val="single"/>
                <w:lang w:val="es-ES_tradnl"/>
              </w:rPr>
              <w:t>Actividad de Supervisión</w:t>
            </w:r>
          </w:p>
        </w:tc>
        <w:tc>
          <w:tcPr>
            <w:tcW w:w="7654" w:type="dxa"/>
            <w:gridSpan w:val="4"/>
            <w:tcBorders>
              <w:top w:val="single" w:sz="8" w:space="0" w:color="auto"/>
              <w:left w:val="nil"/>
              <w:bottom w:val="single" w:sz="8" w:space="0" w:color="auto"/>
              <w:right w:val="single" w:sz="8" w:space="0" w:color="000000"/>
            </w:tcBorders>
            <w:shd w:val="clear" w:color="auto" w:fill="D9D9D9" w:themeFill="background1" w:themeFillShade="D9"/>
            <w:vAlign w:val="center"/>
            <w:hideMark/>
          </w:tcPr>
          <w:p w14:paraId="3591C52F" w14:textId="07AE30BF" w:rsidR="00961BAE" w:rsidRPr="004044E8" w:rsidRDefault="003E060C" w:rsidP="0008122D">
            <w:pPr>
              <w:spacing w:before="60" w:after="40"/>
              <w:jc w:val="center"/>
              <w:rPr>
                <w:rFonts w:ascii="Arial" w:hAnsi="Arial" w:cs="Arial"/>
                <w:b/>
                <w:szCs w:val="20"/>
                <w:lang w:val="es-ES_tradnl"/>
              </w:rPr>
            </w:pPr>
            <w:r w:rsidRPr="004044E8">
              <w:rPr>
                <w:rFonts w:ascii="Arial" w:hAnsi="Arial" w:cs="Arial"/>
                <w:b/>
                <w:szCs w:val="20"/>
                <w:lang w:val="es-ES_tradnl"/>
              </w:rPr>
              <w:t xml:space="preserve">PLAN DE </w:t>
            </w:r>
            <w:r w:rsidR="00963524" w:rsidRPr="004044E8">
              <w:rPr>
                <w:rFonts w:ascii="Arial" w:hAnsi="Arial" w:cs="Arial"/>
                <w:b/>
                <w:szCs w:val="20"/>
                <w:lang w:val="es-ES_tradnl"/>
              </w:rPr>
              <w:t>SUPERVISIÓN</w:t>
            </w:r>
          </w:p>
        </w:tc>
      </w:tr>
      <w:tr w:rsidR="00A810CC" w:rsidRPr="004044E8" w14:paraId="564133FF" w14:textId="77777777" w:rsidTr="0008122D">
        <w:trPr>
          <w:trHeight w:val="70"/>
          <w:tblHeader/>
          <w:jc w:val="center"/>
        </w:trPr>
        <w:tc>
          <w:tcPr>
            <w:tcW w:w="1408"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0DA50981" w14:textId="77777777" w:rsidR="00961BAE" w:rsidRPr="004044E8" w:rsidRDefault="00961BAE" w:rsidP="0008122D">
            <w:pPr>
              <w:spacing w:after="40"/>
              <w:jc w:val="center"/>
              <w:rPr>
                <w:rFonts w:ascii="Arial" w:hAnsi="Arial" w:cs="Arial"/>
                <w:b/>
                <w:szCs w:val="20"/>
                <w:lang w:val="es-ES_tradnl"/>
              </w:rPr>
            </w:pPr>
          </w:p>
        </w:tc>
        <w:tc>
          <w:tcPr>
            <w:tcW w:w="2048" w:type="dxa"/>
            <w:vMerge w:val="restart"/>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0F6A4686" w14:textId="77777777" w:rsidR="00961BAE" w:rsidRPr="004044E8" w:rsidRDefault="00961BAE" w:rsidP="0008122D">
            <w:pPr>
              <w:spacing w:after="40"/>
              <w:jc w:val="center"/>
              <w:rPr>
                <w:rFonts w:ascii="Arial" w:hAnsi="Arial" w:cs="Arial"/>
                <w:b/>
                <w:szCs w:val="20"/>
                <w:u w:val="single"/>
                <w:lang w:val="es-ES_tradnl"/>
              </w:rPr>
            </w:pPr>
            <w:r w:rsidRPr="004044E8">
              <w:rPr>
                <w:rFonts w:ascii="Arial" w:hAnsi="Arial" w:cs="Arial"/>
                <w:b/>
                <w:szCs w:val="20"/>
                <w:u w:val="single"/>
                <w:lang w:val="es-ES_tradnl"/>
              </w:rPr>
              <w:t>Naturaleza y alcance</w:t>
            </w:r>
          </w:p>
        </w:tc>
        <w:tc>
          <w:tcPr>
            <w:tcW w:w="2214" w:type="dxa"/>
            <w:vMerge w:val="restart"/>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7B20400B" w14:textId="5EB2124C" w:rsidR="00961BAE" w:rsidRPr="004044E8" w:rsidRDefault="00961BAE" w:rsidP="0008122D">
            <w:pPr>
              <w:spacing w:after="40"/>
              <w:jc w:val="center"/>
              <w:rPr>
                <w:rFonts w:ascii="Arial" w:hAnsi="Arial" w:cs="Arial"/>
                <w:b/>
                <w:szCs w:val="20"/>
                <w:u w:val="single"/>
                <w:lang w:val="es-ES_tradnl"/>
              </w:rPr>
            </w:pPr>
            <w:r w:rsidRPr="004044E8">
              <w:rPr>
                <w:rFonts w:ascii="Arial" w:hAnsi="Arial" w:cs="Arial"/>
                <w:b/>
                <w:szCs w:val="20"/>
                <w:u w:val="single"/>
                <w:lang w:val="es-ES_tradnl"/>
              </w:rPr>
              <w:t>F</w:t>
            </w:r>
            <w:r w:rsidR="003E060C" w:rsidRPr="004044E8">
              <w:rPr>
                <w:rFonts w:ascii="Arial" w:hAnsi="Arial" w:cs="Arial"/>
                <w:b/>
                <w:szCs w:val="20"/>
                <w:u w:val="single"/>
                <w:lang w:val="es-ES_tradnl"/>
              </w:rPr>
              <w:t>recuencia</w:t>
            </w:r>
          </w:p>
        </w:tc>
        <w:tc>
          <w:tcPr>
            <w:tcW w:w="3392" w:type="dxa"/>
            <w:gridSpan w:val="2"/>
            <w:tcBorders>
              <w:top w:val="single" w:sz="8" w:space="0" w:color="auto"/>
              <w:left w:val="nil"/>
              <w:bottom w:val="single" w:sz="8" w:space="0" w:color="auto"/>
              <w:right w:val="single" w:sz="8" w:space="0" w:color="000000"/>
            </w:tcBorders>
            <w:shd w:val="clear" w:color="auto" w:fill="D9D9D9" w:themeFill="background1" w:themeFillShade="D9"/>
            <w:vAlign w:val="center"/>
            <w:hideMark/>
          </w:tcPr>
          <w:p w14:paraId="1F45DD22" w14:textId="77777777" w:rsidR="00961BAE" w:rsidRPr="004044E8" w:rsidRDefault="00961BAE" w:rsidP="0008122D">
            <w:pPr>
              <w:spacing w:after="40"/>
              <w:jc w:val="center"/>
              <w:rPr>
                <w:rFonts w:ascii="Arial" w:hAnsi="Arial" w:cs="Arial"/>
                <w:b/>
                <w:szCs w:val="20"/>
                <w:u w:val="single"/>
                <w:lang w:val="es-ES_tradnl"/>
              </w:rPr>
            </w:pPr>
            <w:r w:rsidRPr="004044E8">
              <w:rPr>
                <w:rFonts w:ascii="Arial" w:hAnsi="Arial" w:cs="Arial"/>
                <w:b/>
                <w:szCs w:val="20"/>
                <w:u w:val="single"/>
                <w:lang w:val="es-ES_tradnl"/>
              </w:rPr>
              <w:t>Responsable</w:t>
            </w:r>
          </w:p>
        </w:tc>
      </w:tr>
      <w:tr w:rsidR="00A810CC" w:rsidRPr="004044E8" w14:paraId="3CF69134" w14:textId="77777777" w:rsidTr="0008122D">
        <w:trPr>
          <w:trHeight w:val="60"/>
          <w:tblHeader/>
          <w:jc w:val="center"/>
        </w:trPr>
        <w:tc>
          <w:tcPr>
            <w:tcW w:w="1408"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E74A4E4" w14:textId="77777777" w:rsidR="00961BAE" w:rsidRPr="004044E8" w:rsidRDefault="00961BAE" w:rsidP="0008122D">
            <w:pPr>
              <w:spacing w:after="40"/>
              <w:jc w:val="center"/>
              <w:rPr>
                <w:rFonts w:ascii="Arial" w:hAnsi="Arial" w:cs="Arial"/>
                <w:b/>
                <w:szCs w:val="20"/>
                <w:lang w:val="es-ES_tradnl"/>
              </w:rPr>
            </w:pPr>
          </w:p>
        </w:tc>
        <w:tc>
          <w:tcPr>
            <w:tcW w:w="2048"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7BE67DD7" w14:textId="77777777" w:rsidR="00961BAE" w:rsidRPr="004044E8" w:rsidRDefault="00961BAE" w:rsidP="0008122D">
            <w:pPr>
              <w:spacing w:after="40"/>
              <w:jc w:val="center"/>
              <w:rPr>
                <w:rFonts w:ascii="Arial" w:hAnsi="Arial" w:cs="Arial"/>
                <w:b/>
                <w:szCs w:val="20"/>
                <w:u w:val="single"/>
                <w:lang w:val="es-ES_tradnl"/>
              </w:rPr>
            </w:pPr>
          </w:p>
        </w:tc>
        <w:tc>
          <w:tcPr>
            <w:tcW w:w="2214"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54769817" w14:textId="77777777" w:rsidR="00961BAE" w:rsidRPr="004044E8" w:rsidRDefault="00961BAE" w:rsidP="0008122D">
            <w:pPr>
              <w:spacing w:after="40"/>
              <w:jc w:val="center"/>
              <w:rPr>
                <w:rFonts w:ascii="Arial" w:hAnsi="Arial" w:cs="Arial"/>
                <w:b/>
                <w:szCs w:val="20"/>
                <w:u w:val="single"/>
                <w:lang w:val="es-ES_tradnl"/>
              </w:rPr>
            </w:pPr>
          </w:p>
        </w:tc>
        <w:tc>
          <w:tcPr>
            <w:tcW w:w="1696" w:type="dxa"/>
            <w:tcBorders>
              <w:top w:val="nil"/>
              <w:left w:val="nil"/>
              <w:bottom w:val="single" w:sz="8" w:space="0" w:color="auto"/>
              <w:right w:val="single" w:sz="8" w:space="0" w:color="auto"/>
            </w:tcBorders>
            <w:shd w:val="clear" w:color="auto" w:fill="D9D9D9" w:themeFill="background1" w:themeFillShade="D9"/>
            <w:vAlign w:val="center"/>
            <w:hideMark/>
          </w:tcPr>
          <w:p w14:paraId="64B59547" w14:textId="77777777" w:rsidR="00961BAE" w:rsidRPr="004044E8" w:rsidRDefault="00961BAE" w:rsidP="0008122D">
            <w:pPr>
              <w:spacing w:after="40"/>
              <w:jc w:val="center"/>
              <w:rPr>
                <w:rFonts w:ascii="Arial" w:hAnsi="Arial" w:cs="Arial"/>
                <w:b/>
                <w:szCs w:val="20"/>
                <w:u w:val="single"/>
                <w:lang w:val="es-ES_tradnl"/>
              </w:rPr>
            </w:pPr>
            <w:r w:rsidRPr="004044E8">
              <w:rPr>
                <w:rFonts w:ascii="Arial" w:hAnsi="Arial" w:cs="Arial"/>
                <w:b/>
                <w:szCs w:val="20"/>
                <w:u w:val="single"/>
                <w:lang w:val="es-ES_tradnl"/>
              </w:rPr>
              <w:t>Banco</w:t>
            </w:r>
          </w:p>
        </w:tc>
        <w:tc>
          <w:tcPr>
            <w:tcW w:w="1696" w:type="dxa"/>
            <w:tcBorders>
              <w:top w:val="nil"/>
              <w:left w:val="nil"/>
              <w:bottom w:val="single" w:sz="8" w:space="0" w:color="auto"/>
              <w:right w:val="single" w:sz="8" w:space="0" w:color="auto"/>
            </w:tcBorders>
            <w:shd w:val="clear" w:color="auto" w:fill="D9D9D9" w:themeFill="background1" w:themeFillShade="D9"/>
            <w:vAlign w:val="center"/>
            <w:hideMark/>
          </w:tcPr>
          <w:p w14:paraId="252CA65A" w14:textId="40D95541" w:rsidR="00961BAE" w:rsidRPr="004044E8" w:rsidRDefault="0008122D" w:rsidP="0008122D">
            <w:pPr>
              <w:spacing w:after="40"/>
              <w:jc w:val="center"/>
              <w:rPr>
                <w:rFonts w:ascii="Arial" w:hAnsi="Arial" w:cs="Arial"/>
                <w:b/>
                <w:szCs w:val="20"/>
                <w:u w:val="single"/>
                <w:lang w:val="es-ES_tradnl"/>
              </w:rPr>
            </w:pPr>
            <w:r w:rsidRPr="004044E8">
              <w:rPr>
                <w:rFonts w:ascii="Arial" w:hAnsi="Arial" w:cs="Arial"/>
                <w:b/>
                <w:szCs w:val="20"/>
                <w:u w:val="single"/>
                <w:lang w:val="es-ES_tradnl"/>
              </w:rPr>
              <w:t>Otro</w:t>
            </w:r>
          </w:p>
        </w:tc>
      </w:tr>
      <w:tr w:rsidR="00961BAE" w:rsidRPr="004044E8" w14:paraId="21DEA1A6" w14:textId="77777777" w:rsidTr="0008122D">
        <w:trPr>
          <w:trHeight w:val="88"/>
          <w:jc w:val="center"/>
        </w:trPr>
        <w:tc>
          <w:tcPr>
            <w:tcW w:w="1408" w:type="dxa"/>
            <w:vMerge w:val="restart"/>
            <w:tcBorders>
              <w:top w:val="nil"/>
              <w:left w:val="single" w:sz="8" w:space="0" w:color="auto"/>
              <w:bottom w:val="single" w:sz="8" w:space="0" w:color="000000"/>
              <w:right w:val="single" w:sz="8" w:space="0" w:color="auto"/>
            </w:tcBorders>
            <w:shd w:val="clear" w:color="auto" w:fill="auto"/>
            <w:vAlign w:val="center"/>
            <w:hideMark/>
          </w:tcPr>
          <w:p w14:paraId="5A2D4ECE" w14:textId="05697860" w:rsidR="00961BAE" w:rsidRPr="004044E8" w:rsidRDefault="003E060C" w:rsidP="0008122D">
            <w:pPr>
              <w:spacing w:before="20" w:after="20"/>
              <w:jc w:val="center"/>
              <w:rPr>
                <w:rFonts w:ascii="Arial" w:hAnsi="Arial" w:cs="Arial"/>
                <w:b/>
                <w:szCs w:val="20"/>
                <w:u w:val="single"/>
                <w:lang w:val="es-ES_tradnl"/>
              </w:rPr>
            </w:pPr>
            <w:r w:rsidRPr="004044E8">
              <w:rPr>
                <w:rFonts w:ascii="Arial" w:hAnsi="Arial" w:cs="Arial"/>
                <w:b/>
                <w:szCs w:val="20"/>
                <w:u w:val="single"/>
                <w:lang w:val="es-ES_tradnl"/>
              </w:rPr>
              <w:t>Operacionales</w:t>
            </w:r>
          </w:p>
        </w:tc>
        <w:tc>
          <w:tcPr>
            <w:tcW w:w="2048" w:type="dxa"/>
            <w:tcBorders>
              <w:top w:val="nil"/>
              <w:left w:val="nil"/>
              <w:bottom w:val="nil"/>
              <w:right w:val="single" w:sz="8" w:space="0" w:color="auto"/>
            </w:tcBorders>
            <w:shd w:val="clear" w:color="auto" w:fill="auto"/>
            <w:vAlign w:val="center"/>
            <w:hideMark/>
          </w:tcPr>
          <w:p w14:paraId="173529A7" w14:textId="77777777"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Revisión del Informe de Progreso</w:t>
            </w:r>
          </w:p>
        </w:tc>
        <w:tc>
          <w:tcPr>
            <w:tcW w:w="2214" w:type="dxa"/>
            <w:tcBorders>
              <w:top w:val="nil"/>
              <w:left w:val="nil"/>
              <w:bottom w:val="nil"/>
              <w:right w:val="single" w:sz="8" w:space="0" w:color="auto"/>
            </w:tcBorders>
            <w:shd w:val="clear" w:color="auto" w:fill="auto"/>
            <w:vAlign w:val="center"/>
            <w:hideMark/>
          </w:tcPr>
          <w:p w14:paraId="6D8BA5F6" w14:textId="0FBB3659" w:rsidR="00961BAE" w:rsidRPr="004044E8" w:rsidRDefault="003E060C" w:rsidP="0008122D">
            <w:pPr>
              <w:spacing w:before="20" w:after="20"/>
              <w:jc w:val="center"/>
              <w:rPr>
                <w:rFonts w:ascii="Arial" w:hAnsi="Arial" w:cs="Arial"/>
                <w:szCs w:val="20"/>
                <w:lang w:val="es-ES_tradnl"/>
              </w:rPr>
            </w:pPr>
            <w:r w:rsidRPr="004044E8">
              <w:rPr>
                <w:rFonts w:ascii="Arial" w:hAnsi="Arial" w:cs="Arial"/>
                <w:szCs w:val="20"/>
                <w:lang w:val="es-ES_tradnl"/>
              </w:rPr>
              <w:t>Semestral</w:t>
            </w:r>
          </w:p>
        </w:tc>
        <w:tc>
          <w:tcPr>
            <w:tcW w:w="1696" w:type="dxa"/>
            <w:tcBorders>
              <w:top w:val="nil"/>
              <w:left w:val="nil"/>
              <w:bottom w:val="nil"/>
              <w:right w:val="single" w:sz="8" w:space="0" w:color="auto"/>
            </w:tcBorders>
            <w:shd w:val="clear" w:color="auto" w:fill="auto"/>
            <w:vAlign w:val="center"/>
            <w:hideMark/>
          </w:tcPr>
          <w:p w14:paraId="216AB459" w14:textId="5EB40936"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 xml:space="preserve">Equipo </w:t>
            </w:r>
            <w:r w:rsidR="0008122D" w:rsidRPr="004044E8">
              <w:rPr>
                <w:rFonts w:ascii="Arial" w:hAnsi="Arial" w:cs="Arial"/>
                <w:szCs w:val="20"/>
                <w:lang w:val="es-ES_tradnl"/>
              </w:rPr>
              <w:t>de Proyecto</w:t>
            </w:r>
          </w:p>
        </w:tc>
        <w:tc>
          <w:tcPr>
            <w:tcW w:w="1696" w:type="dxa"/>
            <w:tcBorders>
              <w:top w:val="nil"/>
              <w:left w:val="nil"/>
              <w:bottom w:val="nil"/>
              <w:right w:val="single" w:sz="8" w:space="0" w:color="auto"/>
            </w:tcBorders>
            <w:shd w:val="clear" w:color="auto" w:fill="auto"/>
            <w:vAlign w:val="center"/>
            <w:hideMark/>
          </w:tcPr>
          <w:p w14:paraId="1595760E" w14:textId="77777777" w:rsidR="00961BAE" w:rsidRPr="004044E8" w:rsidRDefault="00961BAE" w:rsidP="0008122D">
            <w:pPr>
              <w:spacing w:before="20" w:after="20"/>
              <w:jc w:val="center"/>
              <w:rPr>
                <w:rFonts w:ascii="Arial" w:hAnsi="Arial" w:cs="Arial"/>
                <w:szCs w:val="20"/>
                <w:lang w:val="es-ES_tradnl"/>
              </w:rPr>
            </w:pPr>
          </w:p>
        </w:tc>
      </w:tr>
      <w:tr w:rsidR="00A810CC" w:rsidRPr="004044E8" w14:paraId="11E9FE56" w14:textId="77777777" w:rsidTr="0008122D">
        <w:trPr>
          <w:trHeight w:val="295"/>
          <w:jc w:val="center"/>
        </w:trPr>
        <w:tc>
          <w:tcPr>
            <w:tcW w:w="1408" w:type="dxa"/>
            <w:vMerge/>
            <w:tcBorders>
              <w:top w:val="nil"/>
              <w:left w:val="single" w:sz="8" w:space="0" w:color="auto"/>
              <w:bottom w:val="single" w:sz="8" w:space="0" w:color="000000"/>
              <w:right w:val="single" w:sz="8" w:space="0" w:color="auto"/>
            </w:tcBorders>
            <w:vAlign w:val="center"/>
            <w:hideMark/>
          </w:tcPr>
          <w:p w14:paraId="74EC175F" w14:textId="77777777" w:rsidR="00961BAE" w:rsidRPr="004044E8" w:rsidRDefault="00961BAE" w:rsidP="0008122D">
            <w:pPr>
              <w:spacing w:before="20" w:after="20"/>
              <w:jc w:val="center"/>
              <w:rPr>
                <w:rFonts w:ascii="Arial" w:hAnsi="Arial" w:cs="Arial"/>
                <w:b/>
                <w:szCs w:val="20"/>
                <w:u w:val="single"/>
                <w:lang w:val="es-ES_tradnl"/>
              </w:rPr>
            </w:pPr>
          </w:p>
        </w:tc>
        <w:tc>
          <w:tcPr>
            <w:tcW w:w="2048" w:type="dxa"/>
            <w:tcBorders>
              <w:top w:val="single" w:sz="8" w:space="0" w:color="auto"/>
              <w:left w:val="nil"/>
              <w:bottom w:val="nil"/>
              <w:right w:val="single" w:sz="8" w:space="0" w:color="auto"/>
            </w:tcBorders>
            <w:shd w:val="clear" w:color="auto" w:fill="auto"/>
            <w:vAlign w:val="center"/>
            <w:hideMark/>
          </w:tcPr>
          <w:p w14:paraId="20498EF3" w14:textId="77777777"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Revisión de Cartera con el Ejecutor</w:t>
            </w:r>
          </w:p>
        </w:tc>
        <w:tc>
          <w:tcPr>
            <w:tcW w:w="2214" w:type="dxa"/>
            <w:tcBorders>
              <w:top w:val="single" w:sz="8" w:space="0" w:color="auto"/>
              <w:left w:val="nil"/>
              <w:bottom w:val="single" w:sz="8" w:space="0" w:color="auto"/>
              <w:right w:val="single" w:sz="8" w:space="0" w:color="auto"/>
            </w:tcBorders>
            <w:shd w:val="clear" w:color="auto" w:fill="auto"/>
            <w:vAlign w:val="center"/>
            <w:hideMark/>
          </w:tcPr>
          <w:p w14:paraId="40FDC86F" w14:textId="1336075E"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 xml:space="preserve">De acuerdo a los requerimientos del </w:t>
            </w:r>
            <w:r w:rsidR="0008122D" w:rsidRPr="004044E8">
              <w:rPr>
                <w:rFonts w:ascii="Arial" w:hAnsi="Arial" w:cs="Arial"/>
                <w:szCs w:val="20"/>
                <w:lang w:val="es-ES_tradnl"/>
              </w:rPr>
              <w:t>MEF</w:t>
            </w:r>
          </w:p>
        </w:tc>
        <w:tc>
          <w:tcPr>
            <w:tcW w:w="1696" w:type="dxa"/>
            <w:tcBorders>
              <w:top w:val="single" w:sz="8" w:space="0" w:color="auto"/>
              <w:left w:val="nil"/>
              <w:bottom w:val="nil"/>
              <w:right w:val="single" w:sz="8" w:space="0" w:color="auto"/>
            </w:tcBorders>
            <w:shd w:val="clear" w:color="auto" w:fill="auto"/>
            <w:vAlign w:val="center"/>
            <w:hideMark/>
          </w:tcPr>
          <w:p w14:paraId="62FF2117" w14:textId="7E426A0E" w:rsidR="00961BAE" w:rsidRPr="004044E8" w:rsidRDefault="0008122D" w:rsidP="0008122D">
            <w:pPr>
              <w:spacing w:before="20" w:after="20"/>
              <w:jc w:val="center"/>
              <w:rPr>
                <w:rFonts w:ascii="Arial" w:hAnsi="Arial" w:cs="Arial"/>
                <w:szCs w:val="20"/>
                <w:lang w:val="es-ES_tradnl"/>
              </w:rPr>
            </w:pPr>
            <w:r w:rsidRPr="004044E8">
              <w:rPr>
                <w:rFonts w:ascii="Arial" w:hAnsi="Arial" w:cs="Arial"/>
                <w:szCs w:val="20"/>
                <w:lang w:val="es-ES_tradnl"/>
              </w:rPr>
              <w:t>Equipo de Proyecto</w:t>
            </w:r>
          </w:p>
        </w:tc>
        <w:tc>
          <w:tcPr>
            <w:tcW w:w="1696" w:type="dxa"/>
            <w:tcBorders>
              <w:top w:val="single" w:sz="8" w:space="0" w:color="auto"/>
              <w:left w:val="nil"/>
              <w:bottom w:val="nil"/>
              <w:right w:val="single" w:sz="8" w:space="0" w:color="auto"/>
            </w:tcBorders>
            <w:shd w:val="clear" w:color="auto" w:fill="auto"/>
            <w:vAlign w:val="center"/>
            <w:hideMark/>
          </w:tcPr>
          <w:p w14:paraId="70A5563B" w14:textId="4CA50B17" w:rsidR="00961BAE" w:rsidRPr="004044E8" w:rsidRDefault="0008122D" w:rsidP="0008122D">
            <w:pPr>
              <w:spacing w:before="20" w:after="20"/>
              <w:jc w:val="center"/>
              <w:rPr>
                <w:rFonts w:ascii="Arial" w:hAnsi="Arial" w:cs="Arial"/>
                <w:szCs w:val="20"/>
                <w:lang w:val="es-ES_tradnl"/>
              </w:rPr>
            </w:pPr>
            <w:r w:rsidRPr="004044E8">
              <w:rPr>
                <w:rFonts w:ascii="Arial" w:hAnsi="Arial" w:cs="Arial"/>
                <w:szCs w:val="20"/>
                <w:lang w:val="es-ES_tradnl"/>
              </w:rPr>
              <w:t>Ejecutor</w:t>
            </w:r>
          </w:p>
        </w:tc>
      </w:tr>
      <w:tr w:rsidR="00A810CC" w:rsidRPr="004044E8" w14:paraId="38BD2521" w14:textId="77777777" w:rsidTr="0008122D">
        <w:trPr>
          <w:trHeight w:val="385"/>
          <w:jc w:val="center"/>
        </w:trPr>
        <w:tc>
          <w:tcPr>
            <w:tcW w:w="1408" w:type="dxa"/>
            <w:vMerge w:val="restart"/>
            <w:tcBorders>
              <w:top w:val="nil"/>
              <w:left w:val="single" w:sz="8" w:space="0" w:color="auto"/>
              <w:bottom w:val="nil"/>
              <w:right w:val="single" w:sz="8" w:space="0" w:color="auto"/>
            </w:tcBorders>
            <w:shd w:val="clear" w:color="auto" w:fill="auto"/>
            <w:vAlign w:val="center"/>
            <w:hideMark/>
          </w:tcPr>
          <w:p w14:paraId="58CEE81B" w14:textId="1D913066" w:rsidR="00961BAE" w:rsidRPr="004044E8" w:rsidRDefault="003E060C" w:rsidP="0008122D">
            <w:pPr>
              <w:spacing w:before="20" w:after="20"/>
              <w:jc w:val="center"/>
              <w:rPr>
                <w:rFonts w:ascii="Arial" w:hAnsi="Arial" w:cs="Arial"/>
                <w:b/>
                <w:szCs w:val="20"/>
                <w:u w:val="single"/>
                <w:lang w:val="es-ES_tradnl"/>
              </w:rPr>
            </w:pPr>
            <w:r w:rsidRPr="004044E8">
              <w:rPr>
                <w:rFonts w:ascii="Arial" w:hAnsi="Arial" w:cs="Arial"/>
                <w:b/>
                <w:szCs w:val="20"/>
                <w:u w:val="single"/>
                <w:lang w:val="es-ES_tradnl"/>
              </w:rPr>
              <w:lastRenderedPageBreak/>
              <w:t>Financiera</w:t>
            </w:r>
          </w:p>
        </w:tc>
        <w:tc>
          <w:tcPr>
            <w:tcW w:w="2048" w:type="dxa"/>
            <w:tcBorders>
              <w:top w:val="single" w:sz="8" w:space="0" w:color="auto"/>
              <w:left w:val="nil"/>
              <w:bottom w:val="single" w:sz="8" w:space="0" w:color="auto"/>
              <w:right w:val="single" w:sz="8" w:space="0" w:color="auto"/>
            </w:tcBorders>
            <w:shd w:val="clear" w:color="auto" w:fill="auto"/>
            <w:vAlign w:val="center"/>
          </w:tcPr>
          <w:p w14:paraId="14AB3CDC" w14:textId="77777777"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Revisión de programación de flujo de efectivo y desembolsos</w:t>
            </w:r>
          </w:p>
        </w:tc>
        <w:tc>
          <w:tcPr>
            <w:tcW w:w="2214" w:type="dxa"/>
            <w:tcBorders>
              <w:top w:val="nil"/>
              <w:left w:val="nil"/>
              <w:bottom w:val="single" w:sz="8" w:space="0" w:color="auto"/>
              <w:right w:val="nil"/>
            </w:tcBorders>
            <w:shd w:val="clear" w:color="auto" w:fill="auto"/>
            <w:vAlign w:val="center"/>
          </w:tcPr>
          <w:p w14:paraId="084A90BA" w14:textId="2B93DA6A"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Con cada solicitud de anticipo</w:t>
            </w:r>
            <w:r w:rsidR="007558C3" w:rsidRPr="004044E8">
              <w:rPr>
                <w:rFonts w:ascii="Arial" w:hAnsi="Arial" w:cs="Arial"/>
                <w:szCs w:val="20"/>
                <w:lang w:val="es-ES_tradnl"/>
              </w:rPr>
              <w:t xml:space="preserve"> y en las revisiones de cartera. </w:t>
            </w:r>
          </w:p>
        </w:tc>
        <w:tc>
          <w:tcPr>
            <w:tcW w:w="1696" w:type="dxa"/>
            <w:tcBorders>
              <w:top w:val="single" w:sz="8" w:space="0" w:color="auto"/>
              <w:left w:val="single" w:sz="8" w:space="0" w:color="auto"/>
              <w:bottom w:val="single" w:sz="8" w:space="0" w:color="auto"/>
              <w:right w:val="single" w:sz="8" w:space="0" w:color="auto"/>
            </w:tcBorders>
            <w:shd w:val="clear" w:color="auto" w:fill="auto"/>
            <w:vAlign w:val="center"/>
          </w:tcPr>
          <w:p w14:paraId="2F9EEA04" w14:textId="5054E2CD" w:rsidR="00961BAE" w:rsidRPr="004044E8" w:rsidRDefault="00912755" w:rsidP="0008122D">
            <w:pPr>
              <w:spacing w:before="20" w:after="20"/>
              <w:jc w:val="center"/>
              <w:rPr>
                <w:rFonts w:ascii="Arial" w:hAnsi="Arial" w:cs="Arial"/>
                <w:szCs w:val="20"/>
                <w:lang w:val="es-ES_tradnl"/>
              </w:rPr>
            </w:pPr>
            <w:r w:rsidRPr="004044E8">
              <w:rPr>
                <w:rFonts w:ascii="Arial" w:hAnsi="Arial" w:cs="Arial"/>
                <w:szCs w:val="20"/>
                <w:lang w:val="es-ES_tradnl"/>
              </w:rPr>
              <w:t>Equipo de Proyecto</w:t>
            </w:r>
          </w:p>
        </w:tc>
        <w:tc>
          <w:tcPr>
            <w:tcW w:w="1696" w:type="dxa"/>
            <w:tcBorders>
              <w:top w:val="single" w:sz="8" w:space="0" w:color="auto"/>
              <w:left w:val="nil"/>
              <w:bottom w:val="single" w:sz="8" w:space="0" w:color="auto"/>
              <w:right w:val="single" w:sz="8" w:space="0" w:color="auto"/>
            </w:tcBorders>
            <w:shd w:val="clear" w:color="auto" w:fill="auto"/>
            <w:vAlign w:val="center"/>
          </w:tcPr>
          <w:p w14:paraId="7E846900" w14:textId="526FFA64" w:rsidR="00961BAE" w:rsidRPr="004044E8" w:rsidRDefault="004E26E8" w:rsidP="0008122D">
            <w:pPr>
              <w:spacing w:before="20" w:after="20"/>
              <w:jc w:val="center"/>
              <w:rPr>
                <w:rFonts w:ascii="Arial" w:hAnsi="Arial" w:cs="Arial"/>
                <w:szCs w:val="20"/>
                <w:lang w:val="es-ES_tradnl"/>
              </w:rPr>
            </w:pPr>
            <w:r w:rsidRPr="004044E8">
              <w:rPr>
                <w:rFonts w:ascii="Arial" w:hAnsi="Arial" w:cs="Arial"/>
                <w:szCs w:val="20"/>
                <w:lang w:val="es-ES_tradnl"/>
              </w:rPr>
              <w:t>MEF/</w:t>
            </w:r>
            <w:r w:rsidRPr="004044E8">
              <w:rPr>
                <w:rFonts w:ascii="Arial" w:hAnsi="Arial" w:cs="Arial"/>
                <w:spacing w:val="0"/>
                <w:sz w:val="18"/>
                <w:szCs w:val="18"/>
                <w:lang w:val="es-ES"/>
              </w:rPr>
              <w:t xml:space="preserve"> </w:t>
            </w:r>
            <w:r w:rsidRPr="004044E8">
              <w:rPr>
                <w:rFonts w:ascii="Arial" w:hAnsi="Arial" w:cs="Arial"/>
                <w:szCs w:val="20"/>
                <w:lang w:val="es-ES"/>
              </w:rPr>
              <w:t>MERNNR/MTOP</w:t>
            </w:r>
            <w:r w:rsidR="002A0787" w:rsidRPr="004044E8">
              <w:rPr>
                <w:rFonts w:ascii="Arial" w:hAnsi="Arial" w:cs="Arial"/>
                <w:szCs w:val="20"/>
                <w:lang w:val="es-ES"/>
              </w:rPr>
              <w:t>/EMCO</w:t>
            </w:r>
          </w:p>
        </w:tc>
      </w:tr>
      <w:tr w:rsidR="00A810CC" w:rsidRPr="004044E8" w14:paraId="3E41AFFC" w14:textId="77777777" w:rsidTr="0008122D">
        <w:trPr>
          <w:trHeight w:val="385"/>
          <w:jc w:val="center"/>
        </w:trPr>
        <w:tc>
          <w:tcPr>
            <w:tcW w:w="1408" w:type="dxa"/>
            <w:vMerge/>
            <w:tcBorders>
              <w:top w:val="nil"/>
              <w:left w:val="single" w:sz="8" w:space="0" w:color="auto"/>
              <w:bottom w:val="nil"/>
              <w:right w:val="single" w:sz="8" w:space="0" w:color="auto"/>
            </w:tcBorders>
            <w:shd w:val="clear" w:color="auto" w:fill="auto"/>
            <w:vAlign w:val="center"/>
          </w:tcPr>
          <w:p w14:paraId="4B462DD7" w14:textId="77777777" w:rsidR="00961BAE" w:rsidRPr="004044E8" w:rsidRDefault="00961BAE" w:rsidP="0008122D">
            <w:pPr>
              <w:spacing w:before="20" w:after="20"/>
              <w:jc w:val="center"/>
              <w:rPr>
                <w:rFonts w:ascii="Arial" w:hAnsi="Arial" w:cs="Arial"/>
                <w:b/>
                <w:szCs w:val="20"/>
                <w:u w:val="single"/>
                <w:lang w:val="es-ES_tradnl"/>
              </w:rPr>
            </w:pPr>
          </w:p>
        </w:tc>
        <w:tc>
          <w:tcPr>
            <w:tcW w:w="2048" w:type="dxa"/>
            <w:tcBorders>
              <w:top w:val="single" w:sz="8" w:space="0" w:color="auto"/>
              <w:left w:val="nil"/>
              <w:bottom w:val="single" w:sz="8" w:space="0" w:color="auto"/>
              <w:right w:val="single" w:sz="8" w:space="0" w:color="auto"/>
            </w:tcBorders>
            <w:shd w:val="clear" w:color="auto" w:fill="auto"/>
            <w:vAlign w:val="center"/>
          </w:tcPr>
          <w:p w14:paraId="5E597C8D" w14:textId="55A6B38E"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 xml:space="preserve">Visitas de </w:t>
            </w:r>
            <w:r w:rsidR="00912755" w:rsidRPr="004044E8">
              <w:rPr>
                <w:rFonts w:ascii="Arial" w:hAnsi="Arial" w:cs="Arial"/>
                <w:szCs w:val="20"/>
                <w:lang w:val="es-ES_tradnl"/>
              </w:rPr>
              <w:t xml:space="preserve">supervisión </w:t>
            </w:r>
          </w:p>
        </w:tc>
        <w:tc>
          <w:tcPr>
            <w:tcW w:w="2214" w:type="dxa"/>
            <w:tcBorders>
              <w:top w:val="nil"/>
              <w:left w:val="nil"/>
              <w:bottom w:val="single" w:sz="8" w:space="0" w:color="auto"/>
              <w:right w:val="nil"/>
            </w:tcBorders>
            <w:shd w:val="clear" w:color="auto" w:fill="auto"/>
            <w:vAlign w:val="center"/>
          </w:tcPr>
          <w:p w14:paraId="2A0C1932" w14:textId="2B488815" w:rsidR="00961BAE" w:rsidRPr="004044E8" w:rsidRDefault="003E060C" w:rsidP="0008122D">
            <w:pPr>
              <w:spacing w:before="20" w:after="20"/>
              <w:jc w:val="center"/>
              <w:rPr>
                <w:rFonts w:ascii="Arial" w:hAnsi="Arial" w:cs="Arial"/>
                <w:szCs w:val="20"/>
                <w:lang w:val="es-ES_tradnl"/>
              </w:rPr>
            </w:pPr>
            <w:r w:rsidRPr="004044E8">
              <w:rPr>
                <w:rFonts w:ascii="Arial" w:hAnsi="Arial" w:cs="Arial"/>
                <w:szCs w:val="20"/>
                <w:lang w:val="es-ES_tradnl"/>
              </w:rPr>
              <w:t>Anual</w:t>
            </w:r>
          </w:p>
        </w:tc>
        <w:tc>
          <w:tcPr>
            <w:tcW w:w="1696" w:type="dxa"/>
            <w:tcBorders>
              <w:top w:val="single" w:sz="8" w:space="0" w:color="auto"/>
              <w:left w:val="single" w:sz="8" w:space="0" w:color="auto"/>
              <w:bottom w:val="single" w:sz="8" w:space="0" w:color="auto"/>
              <w:right w:val="single" w:sz="8" w:space="0" w:color="auto"/>
            </w:tcBorders>
            <w:shd w:val="clear" w:color="auto" w:fill="auto"/>
            <w:vAlign w:val="center"/>
          </w:tcPr>
          <w:p w14:paraId="2D2F6330" w14:textId="5EC01EE7" w:rsidR="00961BAE" w:rsidRPr="009F019B"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Especialista Fiduciario</w:t>
            </w:r>
            <w:r w:rsidR="00B81B5C" w:rsidRPr="009F019B">
              <w:rPr>
                <w:rStyle w:val="FootnoteReference"/>
                <w:rFonts w:ascii="Arial" w:hAnsi="Arial" w:cs="Arial"/>
                <w:szCs w:val="20"/>
                <w:lang w:val="es-ES_tradnl"/>
              </w:rPr>
              <w:footnoteReference w:id="37"/>
            </w:r>
          </w:p>
        </w:tc>
        <w:tc>
          <w:tcPr>
            <w:tcW w:w="1696" w:type="dxa"/>
            <w:tcBorders>
              <w:top w:val="single" w:sz="8" w:space="0" w:color="auto"/>
              <w:left w:val="nil"/>
              <w:bottom w:val="single" w:sz="8" w:space="0" w:color="auto"/>
              <w:right w:val="single" w:sz="8" w:space="0" w:color="auto"/>
            </w:tcBorders>
            <w:shd w:val="clear" w:color="auto" w:fill="auto"/>
            <w:vAlign w:val="center"/>
          </w:tcPr>
          <w:p w14:paraId="0DFD01FB" w14:textId="77777777" w:rsidR="00961BAE" w:rsidRPr="004044E8" w:rsidRDefault="00961BAE" w:rsidP="0008122D">
            <w:pPr>
              <w:spacing w:before="20" w:after="20"/>
              <w:jc w:val="center"/>
              <w:rPr>
                <w:rFonts w:ascii="Arial" w:hAnsi="Arial" w:cs="Arial"/>
                <w:szCs w:val="20"/>
                <w:lang w:val="es-ES_tradnl"/>
              </w:rPr>
            </w:pPr>
            <w:r w:rsidRPr="009F019B">
              <w:rPr>
                <w:rFonts w:ascii="Arial" w:hAnsi="Arial" w:cs="Arial"/>
                <w:szCs w:val="20"/>
                <w:lang w:val="es-ES_tradnl"/>
              </w:rPr>
              <w:t>Consultor /Auditor</w:t>
            </w:r>
          </w:p>
        </w:tc>
      </w:tr>
      <w:tr w:rsidR="00961BAE" w:rsidRPr="004044E8" w14:paraId="57ECFC6D" w14:textId="77777777" w:rsidTr="0008122D">
        <w:trPr>
          <w:trHeight w:val="447"/>
          <w:jc w:val="center"/>
        </w:trPr>
        <w:tc>
          <w:tcPr>
            <w:tcW w:w="1408" w:type="dxa"/>
            <w:vMerge/>
            <w:tcBorders>
              <w:top w:val="nil"/>
              <w:left w:val="single" w:sz="8" w:space="0" w:color="auto"/>
              <w:bottom w:val="nil"/>
              <w:right w:val="single" w:sz="8" w:space="0" w:color="auto"/>
            </w:tcBorders>
            <w:vAlign w:val="center"/>
            <w:hideMark/>
          </w:tcPr>
          <w:p w14:paraId="79091A0E" w14:textId="77777777" w:rsidR="00961BAE" w:rsidRPr="004044E8" w:rsidRDefault="00961BAE" w:rsidP="0008122D">
            <w:pPr>
              <w:spacing w:before="20" w:after="20"/>
              <w:jc w:val="center"/>
              <w:rPr>
                <w:rFonts w:ascii="Arial" w:hAnsi="Arial" w:cs="Arial"/>
                <w:b/>
                <w:color w:val="FF0000"/>
                <w:szCs w:val="20"/>
                <w:u w:val="single"/>
                <w:lang w:val="es-ES_tradnl"/>
              </w:rPr>
            </w:pPr>
          </w:p>
        </w:tc>
        <w:tc>
          <w:tcPr>
            <w:tcW w:w="2048" w:type="dxa"/>
            <w:vMerge w:val="restart"/>
            <w:tcBorders>
              <w:top w:val="nil"/>
              <w:left w:val="single" w:sz="8" w:space="0" w:color="auto"/>
              <w:bottom w:val="single" w:sz="8" w:space="0" w:color="000000"/>
              <w:right w:val="single" w:sz="8" w:space="0" w:color="auto"/>
            </w:tcBorders>
            <w:shd w:val="clear" w:color="auto" w:fill="auto"/>
            <w:vAlign w:val="center"/>
            <w:hideMark/>
          </w:tcPr>
          <w:p w14:paraId="6D397E2C" w14:textId="77433E3A" w:rsidR="00961BAE" w:rsidRPr="004044E8" w:rsidRDefault="00961BAE" w:rsidP="0008122D">
            <w:pPr>
              <w:spacing w:before="20" w:after="20"/>
              <w:jc w:val="center"/>
              <w:rPr>
                <w:rFonts w:ascii="Arial" w:hAnsi="Arial" w:cs="Arial"/>
                <w:szCs w:val="20"/>
                <w:lang w:val="es-ES_tradnl"/>
              </w:rPr>
            </w:pPr>
            <w:r w:rsidRPr="004044E8">
              <w:rPr>
                <w:rFonts w:ascii="Arial" w:eastAsia="Times New Roman" w:hAnsi="Arial" w:cs="Arial"/>
                <w:szCs w:val="20"/>
              </w:rPr>
              <w:t xml:space="preserve">Revisión de informes financieros auditados </w:t>
            </w:r>
          </w:p>
        </w:tc>
        <w:tc>
          <w:tcPr>
            <w:tcW w:w="2214" w:type="dxa"/>
            <w:vMerge w:val="restart"/>
            <w:tcBorders>
              <w:top w:val="nil"/>
              <w:left w:val="single" w:sz="8" w:space="0" w:color="auto"/>
              <w:bottom w:val="single" w:sz="8" w:space="0" w:color="000000"/>
              <w:right w:val="single" w:sz="8" w:space="0" w:color="auto"/>
            </w:tcBorders>
            <w:shd w:val="clear" w:color="auto" w:fill="auto"/>
            <w:vAlign w:val="center"/>
            <w:hideMark/>
          </w:tcPr>
          <w:p w14:paraId="51AA5E30" w14:textId="4B3830E9" w:rsidR="00961BAE" w:rsidRPr="004044E8" w:rsidRDefault="003E060C" w:rsidP="0008122D">
            <w:pPr>
              <w:spacing w:before="20" w:after="20"/>
              <w:jc w:val="center"/>
              <w:rPr>
                <w:rFonts w:ascii="Arial" w:hAnsi="Arial" w:cs="Arial"/>
                <w:szCs w:val="20"/>
                <w:lang w:val="es-ES_tradnl"/>
              </w:rPr>
            </w:pPr>
            <w:r w:rsidRPr="004044E8">
              <w:rPr>
                <w:rFonts w:ascii="Arial" w:hAnsi="Arial" w:cs="Arial"/>
                <w:szCs w:val="20"/>
                <w:lang w:val="es-ES_tradnl"/>
              </w:rPr>
              <w:t>Anual</w:t>
            </w:r>
          </w:p>
        </w:tc>
        <w:tc>
          <w:tcPr>
            <w:tcW w:w="1696" w:type="dxa"/>
            <w:vMerge w:val="restart"/>
            <w:tcBorders>
              <w:top w:val="nil"/>
              <w:left w:val="single" w:sz="8" w:space="0" w:color="auto"/>
              <w:bottom w:val="single" w:sz="8" w:space="0" w:color="000000"/>
              <w:right w:val="single" w:sz="8" w:space="0" w:color="auto"/>
            </w:tcBorders>
            <w:shd w:val="clear" w:color="auto" w:fill="auto"/>
            <w:vAlign w:val="center"/>
            <w:hideMark/>
          </w:tcPr>
          <w:p w14:paraId="0FEC2930" w14:textId="4295DAE0"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Especialista Fiduciario</w:t>
            </w:r>
            <w:r w:rsidR="00912755" w:rsidRPr="004044E8">
              <w:rPr>
                <w:rFonts w:ascii="Arial" w:hAnsi="Arial" w:cs="Arial"/>
                <w:szCs w:val="20"/>
                <w:lang w:val="es-ES_tradnl"/>
              </w:rPr>
              <w:t xml:space="preserve"> (EF) y </w:t>
            </w:r>
            <w:r w:rsidR="00AF7CE7" w:rsidRPr="004044E8">
              <w:rPr>
                <w:rFonts w:ascii="Arial" w:hAnsi="Arial" w:cs="Arial"/>
                <w:szCs w:val="20"/>
                <w:lang w:val="es-ES_tradnl"/>
              </w:rPr>
              <w:t>Je</w:t>
            </w:r>
            <w:r w:rsidR="00247FB9" w:rsidRPr="004044E8">
              <w:rPr>
                <w:rFonts w:ascii="Arial" w:hAnsi="Arial" w:cs="Arial"/>
                <w:szCs w:val="20"/>
                <w:lang w:val="es-ES_tradnl"/>
              </w:rPr>
              <w:t>fe</w:t>
            </w:r>
            <w:r w:rsidR="00912755" w:rsidRPr="004044E8">
              <w:rPr>
                <w:rFonts w:ascii="Arial" w:hAnsi="Arial" w:cs="Arial"/>
                <w:szCs w:val="20"/>
                <w:lang w:val="es-ES_tradnl"/>
              </w:rPr>
              <w:t xml:space="preserve"> del Equipo del Proyecto (JEP)</w:t>
            </w:r>
          </w:p>
        </w:tc>
        <w:tc>
          <w:tcPr>
            <w:tcW w:w="1696" w:type="dxa"/>
            <w:vMerge w:val="restart"/>
            <w:tcBorders>
              <w:top w:val="nil"/>
              <w:left w:val="single" w:sz="8" w:space="0" w:color="auto"/>
              <w:bottom w:val="single" w:sz="8" w:space="0" w:color="000000"/>
              <w:right w:val="single" w:sz="8" w:space="0" w:color="auto"/>
            </w:tcBorders>
            <w:shd w:val="clear" w:color="auto" w:fill="auto"/>
            <w:vAlign w:val="center"/>
            <w:hideMark/>
          </w:tcPr>
          <w:p w14:paraId="71F4D06E" w14:textId="77777777"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Consultor /Auditor</w:t>
            </w:r>
          </w:p>
        </w:tc>
      </w:tr>
      <w:tr w:rsidR="00961BAE" w:rsidRPr="004044E8" w14:paraId="7713BA8E" w14:textId="77777777" w:rsidTr="0008122D">
        <w:trPr>
          <w:trHeight w:val="447"/>
          <w:jc w:val="center"/>
        </w:trPr>
        <w:tc>
          <w:tcPr>
            <w:tcW w:w="1408" w:type="dxa"/>
            <w:vMerge/>
            <w:tcBorders>
              <w:top w:val="nil"/>
              <w:left w:val="single" w:sz="8" w:space="0" w:color="auto"/>
              <w:bottom w:val="nil"/>
              <w:right w:val="single" w:sz="8" w:space="0" w:color="auto"/>
            </w:tcBorders>
            <w:vAlign w:val="center"/>
            <w:hideMark/>
          </w:tcPr>
          <w:p w14:paraId="399CD42A" w14:textId="77777777" w:rsidR="00961BAE" w:rsidRPr="004044E8" w:rsidRDefault="00961BAE" w:rsidP="0008122D">
            <w:pPr>
              <w:spacing w:before="20" w:after="20"/>
              <w:jc w:val="center"/>
              <w:rPr>
                <w:rFonts w:ascii="Arial" w:hAnsi="Arial" w:cs="Arial"/>
                <w:b/>
                <w:color w:val="FF0000"/>
                <w:szCs w:val="20"/>
                <w:u w:val="single"/>
                <w:lang w:val="es-ES_tradnl"/>
              </w:rPr>
            </w:pPr>
          </w:p>
        </w:tc>
        <w:tc>
          <w:tcPr>
            <w:tcW w:w="2048" w:type="dxa"/>
            <w:vMerge/>
            <w:tcBorders>
              <w:top w:val="nil"/>
              <w:left w:val="single" w:sz="8" w:space="0" w:color="auto"/>
              <w:bottom w:val="single" w:sz="8" w:space="0" w:color="000000"/>
              <w:right w:val="single" w:sz="8" w:space="0" w:color="auto"/>
            </w:tcBorders>
            <w:vAlign w:val="center"/>
            <w:hideMark/>
          </w:tcPr>
          <w:p w14:paraId="50841EAE" w14:textId="77777777" w:rsidR="00961BAE" w:rsidRPr="004044E8" w:rsidRDefault="00961BAE" w:rsidP="0008122D">
            <w:pPr>
              <w:spacing w:before="20" w:after="20"/>
              <w:jc w:val="center"/>
              <w:rPr>
                <w:rFonts w:ascii="Arial" w:hAnsi="Arial" w:cs="Arial"/>
                <w:szCs w:val="20"/>
                <w:lang w:val="es-ES_tradnl"/>
              </w:rPr>
            </w:pPr>
          </w:p>
        </w:tc>
        <w:tc>
          <w:tcPr>
            <w:tcW w:w="2214" w:type="dxa"/>
            <w:vMerge/>
            <w:tcBorders>
              <w:top w:val="nil"/>
              <w:left w:val="single" w:sz="8" w:space="0" w:color="auto"/>
              <w:bottom w:val="single" w:sz="8" w:space="0" w:color="000000"/>
              <w:right w:val="single" w:sz="8" w:space="0" w:color="auto"/>
            </w:tcBorders>
            <w:vAlign w:val="center"/>
            <w:hideMark/>
          </w:tcPr>
          <w:p w14:paraId="7799E7BA" w14:textId="77777777" w:rsidR="00961BAE" w:rsidRPr="004044E8" w:rsidRDefault="00961BAE" w:rsidP="0008122D">
            <w:pPr>
              <w:spacing w:before="20" w:after="20"/>
              <w:jc w:val="center"/>
              <w:rPr>
                <w:rFonts w:ascii="Arial" w:hAnsi="Arial" w:cs="Arial"/>
                <w:szCs w:val="20"/>
                <w:lang w:val="es-ES_tradnl"/>
              </w:rPr>
            </w:pPr>
          </w:p>
        </w:tc>
        <w:tc>
          <w:tcPr>
            <w:tcW w:w="1696" w:type="dxa"/>
            <w:vMerge/>
            <w:tcBorders>
              <w:top w:val="nil"/>
              <w:left w:val="single" w:sz="8" w:space="0" w:color="auto"/>
              <w:bottom w:val="single" w:sz="8" w:space="0" w:color="000000"/>
              <w:right w:val="single" w:sz="8" w:space="0" w:color="auto"/>
            </w:tcBorders>
            <w:vAlign w:val="center"/>
            <w:hideMark/>
          </w:tcPr>
          <w:p w14:paraId="665BC7B3" w14:textId="77777777" w:rsidR="00961BAE" w:rsidRPr="004044E8" w:rsidRDefault="00961BAE" w:rsidP="0008122D">
            <w:pPr>
              <w:spacing w:before="20" w:after="20"/>
              <w:jc w:val="center"/>
              <w:rPr>
                <w:rFonts w:ascii="Arial" w:hAnsi="Arial" w:cs="Arial"/>
                <w:szCs w:val="20"/>
                <w:lang w:val="es-ES_tradnl"/>
              </w:rPr>
            </w:pPr>
          </w:p>
        </w:tc>
        <w:tc>
          <w:tcPr>
            <w:tcW w:w="1696" w:type="dxa"/>
            <w:vMerge/>
            <w:tcBorders>
              <w:top w:val="nil"/>
              <w:left w:val="single" w:sz="8" w:space="0" w:color="auto"/>
              <w:bottom w:val="single" w:sz="8" w:space="0" w:color="000000"/>
              <w:right w:val="single" w:sz="8" w:space="0" w:color="auto"/>
            </w:tcBorders>
            <w:vAlign w:val="center"/>
            <w:hideMark/>
          </w:tcPr>
          <w:p w14:paraId="6A09050D" w14:textId="77777777" w:rsidR="00961BAE" w:rsidRPr="004044E8" w:rsidRDefault="00961BAE" w:rsidP="0008122D">
            <w:pPr>
              <w:spacing w:before="20" w:after="20"/>
              <w:jc w:val="center"/>
              <w:rPr>
                <w:rFonts w:ascii="Arial" w:hAnsi="Arial" w:cs="Arial"/>
                <w:szCs w:val="20"/>
                <w:lang w:val="es-ES_tradnl"/>
              </w:rPr>
            </w:pPr>
          </w:p>
        </w:tc>
      </w:tr>
      <w:tr w:rsidR="00A810CC" w:rsidRPr="004044E8" w14:paraId="5BB3BBBF" w14:textId="77777777" w:rsidTr="0008122D">
        <w:trPr>
          <w:jc w:val="center"/>
        </w:trPr>
        <w:tc>
          <w:tcPr>
            <w:tcW w:w="140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544365E" w14:textId="5302D080" w:rsidR="00961BAE" w:rsidRPr="004044E8" w:rsidRDefault="003E060C" w:rsidP="0008122D">
            <w:pPr>
              <w:spacing w:before="20" w:after="20"/>
              <w:jc w:val="center"/>
              <w:rPr>
                <w:rFonts w:ascii="Arial" w:hAnsi="Arial" w:cs="Arial"/>
                <w:b/>
                <w:szCs w:val="20"/>
                <w:u w:val="single"/>
                <w:lang w:val="es-ES_tradnl"/>
              </w:rPr>
            </w:pPr>
            <w:r w:rsidRPr="004044E8">
              <w:rPr>
                <w:rFonts w:ascii="Arial" w:hAnsi="Arial" w:cs="Arial"/>
                <w:b/>
                <w:szCs w:val="20"/>
                <w:u w:val="single"/>
                <w:lang w:val="es-ES_tradnl"/>
              </w:rPr>
              <w:t>Adquisiciones</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14:paraId="64E67FE6" w14:textId="274317DE"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Revisión Ex</w:t>
            </w:r>
            <w:r w:rsidR="00912755" w:rsidRPr="004044E8">
              <w:rPr>
                <w:rFonts w:ascii="Arial" w:hAnsi="Arial" w:cs="Arial"/>
                <w:szCs w:val="20"/>
                <w:lang w:val="es-ES_tradnl"/>
              </w:rPr>
              <w:t xml:space="preserve"> </w:t>
            </w:r>
            <w:r w:rsidRPr="004044E8">
              <w:rPr>
                <w:rFonts w:ascii="Arial" w:hAnsi="Arial" w:cs="Arial"/>
                <w:szCs w:val="20"/>
                <w:lang w:val="es-ES_tradnl"/>
              </w:rPr>
              <w:t>-</w:t>
            </w:r>
            <w:r w:rsidR="00912755" w:rsidRPr="004044E8">
              <w:rPr>
                <w:rFonts w:ascii="Arial" w:hAnsi="Arial" w:cs="Arial"/>
                <w:szCs w:val="20"/>
                <w:lang w:val="es-ES_tradnl"/>
              </w:rPr>
              <w:t xml:space="preserve"> </w:t>
            </w:r>
            <w:r w:rsidRPr="004044E8">
              <w:rPr>
                <w:rFonts w:ascii="Arial" w:hAnsi="Arial" w:cs="Arial"/>
                <w:szCs w:val="20"/>
                <w:lang w:val="es-ES_tradnl"/>
              </w:rPr>
              <w:t>ante Adquisiciones</w:t>
            </w:r>
          </w:p>
        </w:tc>
        <w:tc>
          <w:tcPr>
            <w:tcW w:w="2214" w:type="dxa"/>
            <w:tcBorders>
              <w:top w:val="single" w:sz="8" w:space="0" w:color="auto"/>
              <w:left w:val="nil"/>
              <w:bottom w:val="nil"/>
              <w:right w:val="single" w:sz="8" w:space="0" w:color="auto"/>
            </w:tcBorders>
            <w:shd w:val="clear" w:color="auto" w:fill="auto"/>
            <w:vAlign w:val="center"/>
            <w:hideMark/>
          </w:tcPr>
          <w:p w14:paraId="79C58CE4" w14:textId="53F773B8"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Durante la ejecución del Programa.</w:t>
            </w:r>
          </w:p>
        </w:tc>
        <w:tc>
          <w:tcPr>
            <w:tcW w:w="1696" w:type="dxa"/>
            <w:tcBorders>
              <w:top w:val="single" w:sz="8" w:space="0" w:color="auto"/>
              <w:left w:val="nil"/>
              <w:bottom w:val="single" w:sz="8" w:space="0" w:color="auto"/>
              <w:right w:val="single" w:sz="8" w:space="0" w:color="auto"/>
            </w:tcBorders>
            <w:shd w:val="clear" w:color="auto" w:fill="auto"/>
            <w:vAlign w:val="center"/>
            <w:hideMark/>
          </w:tcPr>
          <w:p w14:paraId="2ABB0E13" w14:textId="2666A990"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JEP / Especialista Adquisiciones</w:t>
            </w:r>
            <w:r w:rsidR="00912755" w:rsidRPr="004044E8">
              <w:rPr>
                <w:rFonts w:ascii="Arial" w:hAnsi="Arial" w:cs="Arial"/>
                <w:szCs w:val="20"/>
                <w:lang w:val="es-ES_tradnl"/>
              </w:rPr>
              <w:t xml:space="preserve"> (EA)</w:t>
            </w:r>
          </w:p>
        </w:tc>
        <w:tc>
          <w:tcPr>
            <w:tcW w:w="1696" w:type="dxa"/>
            <w:tcBorders>
              <w:top w:val="single" w:sz="8" w:space="0" w:color="auto"/>
              <w:left w:val="nil"/>
              <w:bottom w:val="nil"/>
              <w:right w:val="single" w:sz="8" w:space="0" w:color="auto"/>
            </w:tcBorders>
            <w:shd w:val="clear" w:color="auto" w:fill="auto"/>
            <w:vAlign w:val="center"/>
            <w:hideMark/>
          </w:tcPr>
          <w:p w14:paraId="6517C37F" w14:textId="15D84981" w:rsidR="00961BAE" w:rsidRPr="004044E8" w:rsidRDefault="004E26E8" w:rsidP="0008122D">
            <w:pPr>
              <w:spacing w:before="20" w:after="20"/>
              <w:jc w:val="center"/>
              <w:rPr>
                <w:rFonts w:ascii="Arial" w:hAnsi="Arial" w:cs="Arial"/>
                <w:szCs w:val="20"/>
                <w:lang w:val="es-ES_tradnl"/>
              </w:rPr>
            </w:pPr>
            <w:r w:rsidRPr="004044E8">
              <w:rPr>
                <w:rFonts w:ascii="Arial" w:hAnsi="Arial" w:cs="Arial"/>
                <w:szCs w:val="20"/>
                <w:lang w:val="es-ES_tradnl"/>
              </w:rPr>
              <w:t>MEF/</w:t>
            </w:r>
            <w:r w:rsidRPr="004044E8">
              <w:rPr>
                <w:rFonts w:ascii="Arial" w:hAnsi="Arial" w:cs="Arial"/>
                <w:spacing w:val="0"/>
                <w:sz w:val="18"/>
                <w:szCs w:val="18"/>
                <w:lang w:val="es-ES"/>
              </w:rPr>
              <w:t xml:space="preserve"> </w:t>
            </w:r>
            <w:r w:rsidRPr="004044E8">
              <w:rPr>
                <w:rFonts w:ascii="Arial" w:hAnsi="Arial" w:cs="Arial"/>
                <w:szCs w:val="20"/>
                <w:lang w:val="es-ES"/>
              </w:rPr>
              <w:t>MERNNR/MTOP</w:t>
            </w:r>
            <w:r w:rsidR="002A0787" w:rsidRPr="004044E8">
              <w:rPr>
                <w:rFonts w:ascii="Arial" w:hAnsi="Arial" w:cs="Arial"/>
                <w:szCs w:val="20"/>
                <w:lang w:val="es-ES"/>
              </w:rPr>
              <w:t>/EMCO</w:t>
            </w:r>
          </w:p>
        </w:tc>
      </w:tr>
      <w:tr w:rsidR="00A810CC" w:rsidRPr="004044E8" w14:paraId="36077E12" w14:textId="77777777" w:rsidTr="0008122D">
        <w:trPr>
          <w:jc w:val="center"/>
        </w:trPr>
        <w:tc>
          <w:tcPr>
            <w:tcW w:w="1408" w:type="dxa"/>
            <w:vMerge/>
            <w:tcBorders>
              <w:top w:val="single" w:sz="8" w:space="0" w:color="auto"/>
              <w:left w:val="single" w:sz="8" w:space="0" w:color="auto"/>
              <w:bottom w:val="single" w:sz="8" w:space="0" w:color="000000"/>
              <w:right w:val="single" w:sz="8" w:space="0" w:color="auto"/>
            </w:tcBorders>
            <w:vAlign w:val="center"/>
            <w:hideMark/>
          </w:tcPr>
          <w:p w14:paraId="19367BB6" w14:textId="77777777" w:rsidR="00961BAE" w:rsidRPr="004044E8" w:rsidRDefault="00961BAE" w:rsidP="0008122D">
            <w:pPr>
              <w:spacing w:before="20" w:after="20"/>
              <w:jc w:val="center"/>
              <w:rPr>
                <w:rFonts w:ascii="Arial" w:hAnsi="Arial" w:cs="Arial"/>
                <w:b/>
                <w:szCs w:val="20"/>
                <w:u w:val="single"/>
                <w:lang w:val="es-ES_tradnl"/>
              </w:rPr>
            </w:pPr>
          </w:p>
        </w:tc>
        <w:tc>
          <w:tcPr>
            <w:tcW w:w="2048" w:type="dxa"/>
            <w:tcBorders>
              <w:top w:val="nil"/>
              <w:left w:val="nil"/>
              <w:bottom w:val="single" w:sz="8" w:space="0" w:color="auto"/>
              <w:right w:val="single" w:sz="8" w:space="0" w:color="auto"/>
            </w:tcBorders>
            <w:shd w:val="clear" w:color="auto" w:fill="auto"/>
            <w:vAlign w:val="center"/>
            <w:hideMark/>
          </w:tcPr>
          <w:p w14:paraId="5A34A91E" w14:textId="77777777"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Revisión Ex – post</w:t>
            </w:r>
          </w:p>
          <w:p w14:paraId="3148BFFD" w14:textId="77777777"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Adquisiciones</w:t>
            </w:r>
          </w:p>
        </w:tc>
        <w:tc>
          <w:tcPr>
            <w:tcW w:w="2214" w:type="dxa"/>
            <w:tcBorders>
              <w:top w:val="single" w:sz="8" w:space="0" w:color="auto"/>
              <w:left w:val="nil"/>
              <w:bottom w:val="single" w:sz="8" w:space="0" w:color="auto"/>
              <w:right w:val="single" w:sz="8" w:space="0" w:color="auto"/>
            </w:tcBorders>
            <w:shd w:val="clear" w:color="auto" w:fill="auto"/>
            <w:vAlign w:val="center"/>
            <w:hideMark/>
          </w:tcPr>
          <w:p w14:paraId="4EFA0974" w14:textId="5818BC07" w:rsidR="00961BAE" w:rsidRPr="004044E8" w:rsidRDefault="00912755" w:rsidP="0008122D">
            <w:pPr>
              <w:spacing w:before="20" w:after="20"/>
              <w:jc w:val="center"/>
              <w:rPr>
                <w:rFonts w:ascii="Arial" w:hAnsi="Arial" w:cs="Arial"/>
                <w:szCs w:val="20"/>
                <w:lang w:val="es-ES_tradnl"/>
              </w:rPr>
            </w:pPr>
            <w:r w:rsidRPr="004044E8">
              <w:rPr>
                <w:rFonts w:ascii="Arial" w:hAnsi="Arial" w:cs="Arial"/>
                <w:szCs w:val="20"/>
                <w:lang w:val="es-ES_tradnl"/>
              </w:rPr>
              <w:t>Según plan de supervisión</w:t>
            </w:r>
          </w:p>
        </w:tc>
        <w:tc>
          <w:tcPr>
            <w:tcW w:w="1696" w:type="dxa"/>
            <w:tcBorders>
              <w:top w:val="nil"/>
              <w:left w:val="nil"/>
              <w:bottom w:val="single" w:sz="8" w:space="0" w:color="auto"/>
              <w:right w:val="single" w:sz="8" w:space="0" w:color="auto"/>
            </w:tcBorders>
            <w:shd w:val="clear" w:color="auto" w:fill="auto"/>
            <w:vAlign w:val="center"/>
            <w:hideMark/>
          </w:tcPr>
          <w:p w14:paraId="694977FC" w14:textId="1855529E"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JEP /</w:t>
            </w:r>
            <w:r w:rsidR="00912755" w:rsidRPr="004044E8">
              <w:rPr>
                <w:rFonts w:ascii="Arial" w:hAnsi="Arial" w:cs="Arial"/>
                <w:szCs w:val="20"/>
                <w:lang w:val="es-ES_tradnl"/>
              </w:rPr>
              <w:t xml:space="preserve"> EA/ Analista de Operaciones (AO) </w:t>
            </w:r>
          </w:p>
        </w:tc>
        <w:tc>
          <w:tcPr>
            <w:tcW w:w="1696" w:type="dxa"/>
            <w:tcBorders>
              <w:top w:val="single" w:sz="8" w:space="0" w:color="auto"/>
              <w:left w:val="nil"/>
              <w:bottom w:val="nil"/>
              <w:right w:val="single" w:sz="8" w:space="0" w:color="auto"/>
            </w:tcBorders>
            <w:shd w:val="clear" w:color="auto" w:fill="auto"/>
            <w:vAlign w:val="center"/>
            <w:hideMark/>
          </w:tcPr>
          <w:p w14:paraId="428CFE60" w14:textId="4743F243"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Ejecutor</w:t>
            </w:r>
          </w:p>
        </w:tc>
      </w:tr>
      <w:tr w:rsidR="00A810CC" w:rsidRPr="004044E8" w14:paraId="7ACFF28A" w14:textId="77777777" w:rsidTr="0008122D">
        <w:trPr>
          <w:jc w:val="center"/>
        </w:trPr>
        <w:tc>
          <w:tcPr>
            <w:tcW w:w="1408" w:type="dxa"/>
            <w:vMerge/>
            <w:tcBorders>
              <w:top w:val="single" w:sz="8" w:space="0" w:color="auto"/>
              <w:left w:val="single" w:sz="8" w:space="0" w:color="auto"/>
              <w:bottom w:val="single" w:sz="8" w:space="0" w:color="000000"/>
              <w:right w:val="single" w:sz="8" w:space="0" w:color="auto"/>
            </w:tcBorders>
            <w:vAlign w:val="center"/>
            <w:hideMark/>
          </w:tcPr>
          <w:p w14:paraId="587C402B" w14:textId="77777777" w:rsidR="00961BAE" w:rsidRPr="004044E8" w:rsidRDefault="00961BAE" w:rsidP="0008122D">
            <w:pPr>
              <w:spacing w:before="20" w:after="20"/>
              <w:jc w:val="center"/>
              <w:rPr>
                <w:rFonts w:ascii="Arial" w:hAnsi="Arial" w:cs="Arial"/>
                <w:b/>
                <w:szCs w:val="20"/>
                <w:u w:val="single"/>
                <w:lang w:val="es-ES_tradnl"/>
              </w:rPr>
            </w:pPr>
          </w:p>
        </w:tc>
        <w:tc>
          <w:tcPr>
            <w:tcW w:w="2048" w:type="dxa"/>
            <w:tcBorders>
              <w:top w:val="nil"/>
              <w:left w:val="nil"/>
              <w:bottom w:val="single" w:sz="8" w:space="0" w:color="auto"/>
              <w:right w:val="single" w:sz="8" w:space="0" w:color="auto"/>
            </w:tcBorders>
            <w:shd w:val="clear" w:color="auto" w:fill="auto"/>
            <w:vAlign w:val="center"/>
            <w:hideMark/>
          </w:tcPr>
          <w:p w14:paraId="31B6A456" w14:textId="6F9F54B5"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Actualización P</w:t>
            </w:r>
            <w:r w:rsidR="00912755" w:rsidRPr="004044E8">
              <w:rPr>
                <w:rFonts w:ascii="Arial" w:hAnsi="Arial" w:cs="Arial"/>
                <w:szCs w:val="20"/>
                <w:lang w:val="es-ES_tradnl"/>
              </w:rPr>
              <w:t>A</w:t>
            </w:r>
          </w:p>
        </w:tc>
        <w:tc>
          <w:tcPr>
            <w:tcW w:w="2214" w:type="dxa"/>
            <w:tcBorders>
              <w:top w:val="single" w:sz="8" w:space="0" w:color="auto"/>
              <w:left w:val="nil"/>
              <w:bottom w:val="single" w:sz="8" w:space="0" w:color="auto"/>
              <w:right w:val="single" w:sz="8" w:space="0" w:color="auto"/>
            </w:tcBorders>
            <w:shd w:val="clear" w:color="auto" w:fill="auto"/>
            <w:vAlign w:val="center"/>
            <w:hideMark/>
          </w:tcPr>
          <w:p w14:paraId="46CB549A" w14:textId="37F66627" w:rsidR="00961BAE" w:rsidRPr="004044E8" w:rsidRDefault="003E060C" w:rsidP="0008122D">
            <w:pPr>
              <w:spacing w:before="20" w:after="20"/>
              <w:jc w:val="center"/>
              <w:rPr>
                <w:rFonts w:ascii="Arial" w:hAnsi="Arial" w:cs="Arial"/>
                <w:szCs w:val="20"/>
                <w:lang w:val="es-ES_tradnl"/>
              </w:rPr>
            </w:pPr>
            <w:r w:rsidRPr="004044E8">
              <w:rPr>
                <w:rFonts w:ascii="Arial" w:hAnsi="Arial" w:cs="Arial"/>
                <w:szCs w:val="20"/>
                <w:lang w:val="es-ES_tradnl"/>
              </w:rPr>
              <w:t>Anual</w:t>
            </w:r>
          </w:p>
        </w:tc>
        <w:tc>
          <w:tcPr>
            <w:tcW w:w="1696" w:type="dxa"/>
            <w:tcBorders>
              <w:top w:val="nil"/>
              <w:left w:val="nil"/>
              <w:bottom w:val="single" w:sz="8" w:space="0" w:color="auto"/>
              <w:right w:val="single" w:sz="8" w:space="0" w:color="auto"/>
            </w:tcBorders>
            <w:shd w:val="clear" w:color="auto" w:fill="auto"/>
            <w:vAlign w:val="center"/>
            <w:hideMark/>
          </w:tcPr>
          <w:p w14:paraId="01797E3A" w14:textId="7266D944" w:rsidR="00961BAE" w:rsidRPr="004044E8" w:rsidRDefault="00912755" w:rsidP="0008122D">
            <w:pPr>
              <w:spacing w:before="20" w:after="20"/>
              <w:jc w:val="center"/>
              <w:rPr>
                <w:rFonts w:ascii="Arial" w:hAnsi="Arial" w:cs="Arial"/>
                <w:szCs w:val="20"/>
                <w:lang w:val="es-ES_tradnl"/>
              </w:rPr>
            </w:pPr>
            <w:r w:rsidRPr="004044E8">
              <w:rPr>
                <w:rFonts w:ascii="Arial" w:hAnsi="Arial" w:cs="Arial"/>
                <w:szCs w:val="20"/>
                <w:lang w:val="es-ES_tradnl"/>
              </w:rPr>
              <w:t>JEP / EA/ AO</w:t>
            </w:r>
          </w:p>
        </w:tc>
        <w:tc>
          <w:tcPr>
            <w:tcW w:w="1696" w:type="dxa"/>
            <w:tcBorders>
              <w:top w:val="single" w:sz="8" w:space="0" w:color="auto"/>
              <w:left w:val="nil"/>
              <w:bottom w:val="nil"/>
              <w:right w:val="single" w:sz="8" w:space="0" w:color="auto"/>
            </w:tcBorders>
            <w:shd w:val="clear" w:color="auto" w:fill="auto"/>
            <w:vAlign w:val="center"/>
            <w:hideMark/>
          </w:tcPr>
          <w:p w14:paraId="2CEC283A" w14:textId="08BD68F8"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Ejecutor</w:t>
            </w:r>
          </w:p>
        </w:tc>
      </w:tr>
      <w:tr w:rsidR="00A810CC" w:rsidRPr="004044E8" w14:paraId="722C7818" w14:textId="77777777" w:rsidTr="0008122D">
        <w:trPr>
          <w:jc w:val="center"/>
        </w:trPr>
        <w:tc>
          <w:tcPr>
            <w:tcW w:w="1408" w:type="dxa"/>
            <w:vMerge w:val="restart"/>
            <w:tcBorders>
              <w:top w:val="nil"/>
              <w:left w:val="single" w:sz="8" w:space="0" w:color="auto"/>
              <w:bottom w:val="single" w:sz="8" w:space="0" w:color="000000"/>
              <w:right w:val="single" w:sz="8" w:space="0" w:color="auto"/>
            </w:tcBorders>
            <w:shd w:val="clear" w:color="auto" w:fill="auto"/>
            <w:vAlign w:val="center"/>
            <w:hideMark/>
          </w:tcPr>
          <w:p w14:paraId="169889B1" w14:textId="28AC2807" w:rsidR="00961BAE" w:rsidRPr="004044E8" w:rsidRDefault="003E060C" w:rsidP="0008122D">
            <w:pPr>
              <w:spacing w:before="20" w:after="20"/>
              <w:jc w:val="center"/>
              <w:rPr>
                <w:rFonts w:ascii="Arial" w:hAnsi="Arial" w:cs="Arial"/>
                <w:b/>
                <w:szCs w:val="20"/>
                <w:u w:val="single"/>
                <w:lang w:val="es-ES_tradnl"/>
              </w:rPr>
            </w:pPr>
            <w:r w:rsidRPr="004044E8">
              <w:rPr>
                <w:rFonts w:ascii="Arial" w:hAnsi="Arial" w:cs="Arial"/>
                <w:b/>
                <w:szCs w:val="20"/>
                <w:u w:val="single"/>
                <w:lang w:val="es-ES_tradnl"/>
              </w:rPr>
              <w:t>Cumplimiento</w:t>
            </w:r>
          </w:p>
        </w:tc>
        <w:tc>
          <w:tcPr>
            <w:tcW w:w="2048" w:type="dxa"/>
            <w:tcBorders>
              <w:top w:val="nil"/>
              <w:left w:val="nil"/>
              <w:bottom w:val="single" w:sz="8" w:space="0" w:color="auto"/>
              <w:right w:val="single" w:sz="8" w:space="0" w:color="auto"/>
            </w:tcBorders>
            <w:shd w:val="clear" w:color="auto" w:fill="auto"/>
            <w:vAlign w:val="center"/>
            <w:hideMark/>
          </w:tcPr>
          <w:p w14:paraId="74E6F63B" w14:textId="77777777"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Cumplimiento Condiciones Previas</w:t>
            </w:r>
          </w:p>
        </w:tc>
        <w:tc>
          <w:tcPr>
            <w:tcW w:w="2214" w:type="dxa"/>
            <w:tcBorders>
              <w:top w:val="nil"/>
              <w:left w:val="nil"/>
              <w:bottom w:val="single" w:sz="8" w:space="0" w:color="auto"/>
              <w:right w:val="single" w:sz="8" w:space="0" w:color="auto"/>
            </w:tcBorders>
            <w:shd w:val="clear" w:color="auto" w:fill="auto"/>
            <w:vAlign w:val="center"/>
            <w:hideMark/>
          </w:tcPr>
          <w:p w14:paraId="5B8138B5" w14:textId="2AE856D3" w:rsidR="00961BAE" w:rsidRPr="004044E8" w:rsidRDefault="003E060C" w:rsidP="0008122D">
            <w:pPr>
              <w:spacing w:before="20" w:after="20"/>
              <w:jc w:val="center"/>
              <w:rPr>
                <w:rFonts w:ascii="Arial" w:hAnsi="Arial" w:cs="Arial"/>
                <w:szCs w:val="20"/>
                <w:lang w:val="es-ES_tradnl"/>
              </w:rPr>
            </w:pPr>
            <w:r w:rsidRPr="004044E8">
              <w:rPr>
                <w:rFonts w:ascii="Arial" w:hAnsi="Arial" w:cs="Arial"/>
                <w:szCs w:val="20"/>
                <w:lang w:val="es-ES_tradnl"/>
              </w:rPr>
              <w:t>Una vez</w:t>
            </w:r>
          </w:p>
        </w:tc>
        <w:tc>
          <w:tcPr>
            <w:tcW w:w="1696" w:type="dxa"/>
            <w:tcBorders>
              <w:top w:val="nil"/>
              <w:left w:val="nil"/>
              <w:bottom w:val="single" w:sz="8" w:space="0" w:color="auto"/>
              <w:right w:val="single" w:sz="8" w:space="0" w:color="auto"/>
            </w:tcBorders>
            <w:shd w:val="clear" w:color="auto" w:fill="auto"/>
            <w:vAlign w:val="center"/>
            <w:hideMark/>
          </w:tcPr>
          <w:p w14:paraId="07695A97" w14:textId="2FD044AF"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 xml:space="preserve">Equipo </w:t>
            </w:r>
            <w:r w:rsidR="00912755" w:rsidRPr="004044E8">
              <w:rPr>
                <w:rFonts w:ascii="Arial" w:hAnsi="Arial" w:cs="Arial"/>
                <w:szCs w:val="20"/>
                <w:lang w:val="es-ES_tradnl"/>
              </w:rPr>
              <w:t>de Proyecto</w:t>
            </w:r>
          </w:p>
        </w:tc>
        <w:tc>
          <w:tcPr>
            <w:tcW w:w="1696" w:type="dxa"/>
            <w:tcBorders>
              <w:top w:val="single" w:sz="8" w:space="0" w:color="auto"/>
              <w:left w:val="nil"/>
              <w:bottom w:val="single" w:sz="8" w:space="0" w:color="auto"/>
              <w:right w:val="single" w:sz="8" w:space="0" w:color="auto"/>
            </w:tcBorders>
            <w:shd w:val="clear" w:color="auto" w:fill="auto"/>
            <w:vAlign w:val="center"/>
            <w:hideMark/>
          </w:tcPr>
          <w:p w14:paraId="6FC4F65E" w14:textId="68C7984B" w:rsidR="00961BAE" w:rsidRPr="004044E8" w:rsidRDefault="004E26E8" w:rsidP="0008122D">
            <w:pPr>
              <w:spacing w:before="20" w:after="20"/>
              <w:jc w:val="center"/>
              <w:rPr>
                <w:rFonts w:ascii="Arial" w:hAnsi="Arial" w:cs="Arial"/>
                <w:szCs w:val="20"/>
                <w:lang w:val="es-ES_tradnl"/>
              </w:rPr>
            </w:pPr>
            <w:r w:rsidRPr="004044E8">
              <w:rPr>
                <w:rFonts w:ascii="Arial" w:hAnsi="Arial" w:cs="Arial"/>
                <w:szCs w:val="20"/>
                <w:lang w:val="es-ES_tradnl"/>
              </w:rPr>
              <w:t>MEF/</w:t>
            </w:r>
            <w:r w:rsidRPr="004044E8">
              <w:rPr>
                <w:rFonts w:ascii="Arial" w:hAnsi="Arial" w:cs="Arial"/>
                <w:spacing w:val="0"/>
                <w:sz w:val="18"/>
                <w:szCs w:val="18"/>
                <w:lang w:val="es-ES"/>
              </w:rPr>
              <w:t xml:space="preserve"> </w:t>
            </w:r>
            <w:r w:rsidRPr="004044E8">
              <w:rPr>
                <w:rFonts w:ascii="Arial" w:hAnsi="Arial" w:cs="Arial"/>
                <w:szCs w:val="20"/>
                <w:lang w:val="es-ES"/>
              </w:rPr>
              <w:t>MERNNR/MTOP</w:t>
            </w:r>
            <w:r w:rsidR="002A0787" w:rsidRPr="004044E8">
              <w:rPr>
                <w:rFonts w:ascii="Arial" w:hAnsi="Arial" w:cs="Arial"/>
                <w:szCs w:val="20"/>
                <w:lang w:val="es-ES"/>
              </w:rPr>
              <w:t>/EMCO</w:t>
            </w:r>
          </w:p>
        </w:tc>
      </w:tr>
      <w:tr w:rsidR="00961BAE" w:rsidRPr="004044E8" w14:paraId="748D06E7" w14:textId="77777777" w:rsidTr="0008122D">
        <w:trPr>
          <w:jc w:val="center"/>
        </w:trPr>
        <w:tc>
          <w:tcPr>
            <w:tcW w:w="1408" w:type="dxa"/>
            <w:vMerge/>
            <w:tcBorders>
              <w:top w:val="nil"/>
              <w:left w:val="single" w:sz="8" w:space="0" w:color="auto"/>
              <w:bottom w:val="single" w:sz="8" w:space="0" w:color="000000"/>
              <w:right w:val="single" w:sz="8" w:space="0" w:color="auto"/>
            </w:tcBorders>
            <w:vAlign w:val="center"/>
            <w:hideMark/>
          </w:tcPr>
          <w:p w14:paraId="2F082BFA" w14:textId="77777777" w:rsidR="00961BAE" w:rsidRPr="004044E8" w:rsidRDefault="00961BAE" w:rsidP="0008122D">
            <w:pPr>
              <w:spacing w:before="20" w:after="20"/>
              <w:jc w:val="center"/>
              <w:rPr>
                <w:rFonts w:ascii="Arial" w:hAnsi="Arial" w:cs="Arial"/>
                <w:szCs w:val="20"/>
                <w:lang w:val="es-ES_tradnl"/>
              </w:rPr>
            </w:pPr>
          </w:p>
        </w:tc>
        <w:tc>
          <w:tcPr>
            <w:tcW w:w="2048" w:type="dxa"/>
            <w:tcBorders>
              <w:top w:val="nil"/>
              <w:left w:val="nil"/>
              <w:bottom w:val="single" w:sz="8" w:space="0" w:color="auto"/>
              <w:right w:val="single" w:sz="8" w:space="0" w:color="auto"/>
            </w:tcBorders>
            <w:shd w:val="clear" w:color="auto" w:fill="auto"/>
            <w:vAlign w:val="center"/>
            <w:hideMark/>
          </w:tcPr>
          <w:p w14:paraId="678BE804" w14:textId="77777777"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Revisión de priorización y Asignación Presupuestaria</w:t>
            </w:r>
          </w:p>
        </w:tc>
        <w:tc>
          <w:tcPr>
            <w:tcW w:w="2214" w:type="dxa"/>
            <w:tcBorders>
              <w:top w:val="nil"/>
              <w:left w:val="nil"/>
              <w:bottom w:val="single" w:sz="8" w:space="0" w:color="auto"/>
              <w:right w:val="single" w:sz="8" w:space="0" w:color="auto"/>
            </w:tcBorders>
            <w:shd w:val="clear" w:color="auto" w:fill="auto"/>
            <w:vAlign w:val="center"/>
            <w:hideMark/>
          </w:tcPr>
          <w:p w14:paraId="7D50C541" w14:textId="2FD11049" w:rsidR="00961BAE" w:rsidRPr="004044E8" w:rsidRDefault="003E060C" w:rsidP="0008122D">
            <w:pPr>
              <w:spacing w:before="20" w:after="20"/>
              <w:jc w:val="center"/>
              <w:rPr>
                <w:rFonts w:ascii="Arial" w:hAnsi="Arial" w:cs="Arial"/>
                <w:szCs w:val="20"/>
                <w:lang w:val="es-ES_tradnl"/>
              </w:rPr>
            </w:pPr>
            <w:r w:rsidRPr="004044E8">
              <w:rPr>
                <w:rFonts w:ascii="Arial" w:hAnsi="Arial" w:cs="Arial"/>
                <w:szCs w:val="20"/>
                <w:lang w:val="es-ES_tradnl"/>
              </w:rPr>
              <w:t xml:space="preserve">Anual </w:t>
            </w:r>
          </w:p>
        </w:tc>
        <w:tc>
          <w:tcPr>
            <w:tcW w:w="1696" w:type="dxa"/>
            <w:tcBorders>
              <w:top w:val="nil"/>
              <w:left w:val="nil"/>
              <w:bottom w:val="single" w:sz="8" w:space="0" w:color="auto"/>
              <w:right w:val="single" w:sz="8" w:space="0" w:color="auto"/>
            </w:tcBorders>
            <w:shd w:val="clear" w:color="auto" w:fill="auto"/>
            <w:vAlign w:val="center"/>
            <w:hideMark/>
          </w:tcPr>
          <w:p w14:paraId="1EAC4CB8" w14:textId="7E744D89"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E</w:t>
            </w:r>
            <w:r w:rsidR="00912755" w:rsidRPr="004044E8">
              <w:rPr>
                <w:rFonts w:ascii="Arial" w:hAnsi="Arial" w:cs="Arial"/>
                <w:szCs w:val="20"/>
                <w:lang w:val="es-ES_tradnl"/>
              </w:rPr>
              <w:t>F</w:t>
            </w:r>
            <w:r w:rsidRPr="004044E8">
              <w:rPr>
                <w:rFonts w:ascii="Arial" w:hAnsi="Arial" w:cs="Arial"/>
                <w:szCs w:val="20"/>
                <w:lang w:val="es-ES_tradnl"/>
              </w:rPr>
              <w:t>/JEP/</w:t>
            </w:r>
            <w:r w:rsidR="00912755" w:rsidRPr="004044E8">
              <w:rPr>
                <w:rFonts w:ascii="Arial" w:hAnsi="Arial" w:cs="Arial"/>
                <w:szCs w:val="20"/>
                <w:lang w:val="es-ES_tradnl"/>
              </w:rPr>
              <w:t xml:space="preserve"> AO</w:t>
            </w:r>
          </w:p>
        </w:tc>
        <w:tc>
          <w:tcPr>
            <w:tcW w:w="1696" w:type="dxa"/>
            <w:tcBorders>
              <w:top w:val="nil"/>
              <w:left w:val="nil"/>
              <w:bottom w:val="single" w:sz="8" w:space="0" w:color="auto"/>
              <w:right w:val="single" w:sz="8" w:space="0" w:color="auto"/>
            </w:tcBorders>
            <w:shd w:val="clear" w:color="auto" w:fill="auto"/>
            <w:vAlign w:val="center"/>
            <w:hideMark/>
          </w:tcPr>
          <w:p w14:paraId="5307FD4B" w14:textId="5A6ABC3B"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Ejecutor</w:t>
            </w:r>
            <w:r w:rsidR="004E26E8" w:rsidRPr="004044E8">
              <w:rPr>
                <w:rFonts w:ascii="Arial" w:hAnsi="Arial" w:cs="Arial"/>
                <w:szCs w:val="20"/>
                <w:lang w:val="es-ES_tradnl"/>
              </w:rPr>
              <w:t>es/SENPLAES/MEF</w:t>
            </w:r>
            <w:r w:rsidRPr="004044E8">
              <w:rPr>
                <w:rFonts w:ascii="Arial" w:hAnsi="Arial" w:cs="Arial"/>
                <w:szCs w:val="20"/>
                <w:lang w:val="es-ES_tradnl"/>
              </w:rPr>
              <w:t xml:space="preserve"> </w:t>
            </w:r>
          </w:p>
        </w:tc>
      </w:tr>
      <w:tr w:rsidR="00961BAE" w:rsidRPr="004044E8" w14:paraId="78190FD1" w14:textId="77777777" w:rsidTr="0008122D">
        <w:trPr>
          <w:jc w:val="center"/>
        </w:trPr>
        <w:tc>
          <w:tcPr>
            <w:tcW w:w="1408" w:type="dxa"/>
            <w:vMerge/>
            <w:tcBorders>
              <w:top w:val="nil"/>
              <w:left w:val="single" w:sz="8" w:space="0" w:color="auto"/>
              <w:bottom w:val="single" w:sz="8" w:space="0" w:color="000000"/>
              <w:right w:val="single" w:sz="8" w:space="0" w:color="auto"/>
            </w:tcBorders>
            <w:vAlign w:val="center"/>
            <w:hideMark/>
          </w:tcPr>
          <w:p w14:paraId="614EB1E5" w14:textId="77777777" w:rsidR="00961BAE" w:rsidRPr="004044E8" w:rsidRDefault="00961BAE" w:rsidP="0008122D">
            <w:pPr>
              <w:spacing w:before="20" w:after="20"/>
              <w:jc w:val="center"/>
              <w:rPr>
                <w:rFonts w:ascii="Arial" w:hAnsi="Arial" w:cs="Arial"/>
                <w:szCs w:val="20"/>
                <w:lang w:val="es-ES_tradnl"/>
              </w:rPr>
            </w:pPr>
          </w:p>
        </w:tc>
        <w:tc>
          <w:tcPr>
            <w:tcW w:w="2048" w:type="dxa"/>
            <w:tcBorders>
              <w:top w:val="nil"/>
              <w:left w:val="nil"/>
              <w:bottom w:val="single" w:sz="8" w:space="0" w:color="auto"/>
              <w:right w:val="single" w:sz="8" w:space="0" w:color="auto"/>
            </w:tcBorders>
            <w:shd w:val="clear" w:color="auto" w:fill="auto"/>
            <w:vAlign w:val="center"/>
            <w:hideMark/>
          </w:tcPr>
          <w:p w14:paraId="230B8046" w14:textId="149F6481" w:rsidR="00961BAE" w:rsidRPr="004044E8" w:rsidRDefault="00912755" w:rsidP="0008122D">
            <w:pPr>
              <w:spacing w:before="20" w:after="20"/>
              <w:jc w:val="center"/>
              <w:rPr>
                <w:rFonts w:ascii="Arial" w:hAnsi="Arial" w:cs="Arial"/>
                <w:szCs w:val="20"/>
                <w:lang w:val="es-ES_tradnl"/>
              </w:rPr>
            </w:pPr>
            <w:r w:rsidRPr="004044E8">
              <w:rPr>
                <w:rFonts w:ascii="Arial" w:eastAsia="Times New Roman" w:hAnsi="Arial" w:cs="Arial"/>
                <w:szCs w:val="20"/>
              </w:rPr>
              <w:t>Revisión de informes financieros auditados</w:t>
            </w:r>
          </w:p>
        </w:tc>
        <w:tc>
          <w:tcPr>
            <w:tcW w:w="2214" w:type="dxa"/>
            <w:tcBorders>
              <w:top w:val="nil"/>
              <w:left w:val="nil"/>
              <w:bottom w:val="single" w:sz="8" w:space="0" w:color="auto"/>
              <w:right w:val="single" w:sz="8" w:space="0" w:color="auto"/>
            </w:tcBorders>
            <w:shd w:val="clear" w:color="auto" w:fill="auto"/>
            <w:vAlign w:val="center"/>
            <w:hideMark/>
          </w:tcPr>
          <w:p w14:paraId="0B44CE5B" w14:textId="527EA5A9" w:rsidR="00961BAE" w:rsidRPr="004044E8" w:rsidRDefault="003E060C" w:rsidP="0008122D">
            <w:pPr>
              <w:spacing w:before="20" w:after="20"/>
              <w:jc w:val="center"/>
              <w:rPr>
                <w:rFonts w:ascii="Arial" w:hAnsi="Arial" w:cs="Arial"/>
                <w:szCs w:val="20"/>
                <w:lang w:val="es-ES_tradnl"/>
              </w:rPr>
            </w:pPr>
            <w:r w:rsidRPr="004044E8">
              <w:rPr>
                <w:rFonts w:ascii="Arial" w:hAnsi="Arial" w:cs="Arial"/>
                <w:szCs w:val="20"/>
                <w:lang w:val="es-ES_tradnl"/>
              </w:rPr>
              <w:t>Anual</w:t>
            </w:r>
          </w:p>
        </w:tc>
        <w:tc>
          <w:tcPr>
            <w:tcW w:w="1696" w:type="dxa"/>
            <w:tcBorders>
              <w:top w:val="nil"/>
              <w:left w:val="nil"/>
              <w:bottom w:val="single" w:sz="8" w:space="0" w:color="auto"/>
              <w:right w:val="single" w:sz="8" w:space="0" w:color="auto"/>
            </w:tcBorders>
            <w:shd w:val="clear" w:color="auto" w:fill="auto"/>
            <w:vAlign w:val="center"/>
            <w:hideMark/>
          </w:tcPr>
          <w:p w14:paraId="69AD3320" w14:textId="31B25E19"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JEP y E</w:t>
            </w:r>
            <w:r w:rsidR="00912755" w:rsidRPr="004044E8">
              <w:rPr>
                <w:rFonts w:ascii="Arial" w:hAnsi="Arial" w:cs="Arial"/>
                <w:szCs w:val="20"/>
                <w:lang w:val="es-ES_tradnl"/>
              </w:rPr>
              <w:t>F</w:t>
            </w:r>
          </w:p>
        </w:tc>
        <w:tc>
          <w:tcPr>
            <w:tcW w:w="1696" w:type="dxa"/>
            <w:tcBorders>
              <w:top w:val="nil"/>
              <w:left w:val="nil"/>
              <w:bottom w:val="single" w:sz="8" w:space="0" w:color="auto"/>
              <w:right w:val="single" w:sz="8" w:space="0" w:color="auto"/>
            </w:tcBorders>
            <w:shd w:val="clear" w:color="auto" w:fill="auto"/>
            <w:vAlign w:val="center"/>
            <w:hideMark/>
          </w:tcPr>
          <w:p w14:paraId="348F4A10" w14:textId="398D3FB2" w:rsidR="00961BAE" w:rsidRPr="004044E8" w:rsidRDefault="00961BAE" w:rsidP="0008122D">
            <w:pPr>
              <w:spacing w:before="20" w:after="20"/>
              <w:jc w:val="center"/>
              <w:rPr>
                <w:rFonts w:ascii="Arial" w:hAnsi="Arial" w:cs="Arial"/>
                <w:szCs w:val="20"/>
                <w:lang w:val="es-ES_tradnl"/>
              </w:rPr>
            </w:pPr>
            <w:r w:rsidRPr="004044E8">
              <w:rPr>
                <w:rFonts w:ascii="Arial" w:hAnsi="Arial" w:cs="Arial"/>
                <w:szCs w:val="20"/>
                <w:lang w:val="es-ES_tradnl"/>
              </w:rPr>
              <w:t>Ejecutor /Auditor</w:t>
            </w:r>
          </w:p>
        </w:tc>
      </w:tr>
    </w:tbl>
    <w:p w14:paraId="7480B41E" w14:textId="77777777" w:rsidR="00961BAE" w:rsidRPr="004044E8" w:rsidRDefault="00961BAE" w:rsidP="00961BAE">
      <w:pPr>
        <w:rPr>
          <w:rFonts w:ascii="Arial" w:hAnsi="Arial" w:cs="Arial"/>
        </w:rPr>
      </w:pPr>
    </w:p>
    <w:p w14:paraId="34383F57" w14:textId="4EDBD865" w:rsidR="004B3A82" w:rsidRPr="004044E8" w:rsidRDefault="00332421" w:rsidP="001C7188">
      <w:pPr>
        <w:pStyle w:val="Heading2"/>
        <w:rPr>
          <w:rFonts w:ascii="Arial" w:hAnsi="Arial" w:cs="Arial"/>
        </w:rPr>
      </w:pPr>
      <w:bookmarkStart w:id="67" w:name="_Toc454056461"/>
      <w:bookmarkStart w:id="68" w:name="_Toc10223118"/>
      <w:r w:rsidRPr="004044E8">
        <w:rPr>
          <w:rFonts w:ascii="Arial" w:hAnsi="Arial" w:cs="Arial"/>
        </w:rPr>
        <w:t xml:space="preserve">Gestión de </w:t>
      </w:r>
      <w:r w:rsidR="004B3A82" w:rsidRPr="004044E8">
        <w:rPr>
          <w:rFonts w:ascii="Arial" w:hAnsi="Arial" w:cs="Arial"/>
        </w:rPr>
        <w:t xml:space="preserve">Monitoreo </w:t>
      </w:r>
      <w:r w:rsidRPr="004044E8">
        <w:rPr>
          <w:rFonts w:ascii="Arial" w:hAnsi="Arial" w:cs="Arial"/>
        </w:rPr>
        <w:t>y Evaluación del Programa</w:t>
      </w:r>
      <w:bookmarkEnd w:id="67"/>
      <w:bookmarkEnd w:id="68"/>
    </w:p>
    <w:p w14:paraId="5D4DCA13" w14:textId="1FAD10B8" w:rsidR="00AF3B08" w:rsidRPr="004044E8" w:rsidRDefault="00AF3B08" w:rsidP="00C02EF4">
      <w:pPr>
        <w:pStyle w:val="Estilo1"/>
        <w:rPr>
          <w:rFonts w:ascii="Arial" w:hAnsi="Arial" w:cs="Arial"/>
        </w:rPr>
      </w:pPr>
      <w:r w:rsidRPr="004044E8">
        <w:rPr>
          <w:rFonts w:ascii="Arial" w:hAnsi="Arial" w:cs="Arial"/>
        </w:rPr>
        <w:t>El monitoreo de la ejecución del programa se concentrará en dos niveles: (i) el cumplimiento de la ejecución de las actividades del programa; y (</w:t>
      </w:r>
      <w:proofErr w:type="spellStart"/>
      <w:r w:rsidRPr="004044E8">
        <w:rPr>
          <w:rFonts w:ascii="Arial" w:hAnsi="Arial" w:cs="Arial"/>
        </w:rPr>
        <w:t>ii</w:t>
      </w:r>
      <w:proofErr w:type="spellEnd"/>
      <w:r w:rsidRPr="004044E8">
        <w:rPr>
          <w:rFonts w:ascii="Arial" w:hAnsi="Arial" w:cs="Arial"/>
        </w:rPr>
        <w:t xml:space="preserve">) el logro de los indicadores de producto y resultados contenidos en la Matriz de Resultado. </w:t>
      </w:r>
    </w:p>
    <w:p w14:paraId="0B8B4B9B" w14:textId="471A6F74" w:rsidR="00F509AE" w:rsidRPr="004044E8" w:rsidRDefault="00AF3B08" w:rsidP="00C02EF4">
      <w:pPr>
        <w:pStyle w:val="Estilo1"/>
        <w:rPr>
          <w:rFonts w:ascii="Arial" w:hAnsi="Arial" w:cs="Arial"/>
        </w:rPr>
      </w:pPr>
      <w:r w:rsidRPr="004044E8">
        <w:rPr>
          <w:rFonts w:ascii="Arial" w:hAnsi="Arial" w:cs="Arial"/>
        </w:rPr>
        <w:t xml:space="preserve">Para realizar la evaluación del programa se utilizará la </w:t>
      </w:r>
      <w:proofErr w:type="spellStart"/>
      <w:r w:rsidRPr="004044E8">
        <w:rPr>
          <w:rFonts w:ascii="Arial" w:hAnsi="Arial" w:cs="Arial"/>
        </w:rPr>
        <w:t>MdR</w:t>
      </w:r>
      <w:proofErr w:type="spellEnd"/>
      <w:r w:rsidRPr="004044E8">
        <w:rPr>
          <w:rFonts w:ascii="Arial" w:hAnsi="Arial" w:cs="Arial"/>
        </w:rPr>
        <w:t xml:space="preserve"> y el Plan de Monitoreo y Evaluación (PME) aprobado por el Banco.</w:t>
      </w:r>
      <w:r w:rsidR="00F509AE" w:rsidRPr="004044E8">
        <w:rPr>
          <w:rFonts w:ascii="Arial" w:hAnsi="Arial" w:cs="Arial"/>
        </w:rPr>
        <w:t xml:space="preserve"> </w:t>
      </w:r>
      <w:r w:rsidR="00794B36" w:rsidRPr="004044E8">
        <w:rPr>
          <w:rFonts w:ascii="Arial" w:hAnsi="Arial" w:cs="Arial"/>
        </w:rPr>
        <w:t>El Plan de Monitoreo se actualizará conforme a lo establecido en el Contrato de Préstamo y el ROP</w:t>
      </w:r>
    </w:p>
    <w:p w14:paraId="222FCA5C" w14:textId="77777777" w:rsidR="00F93E82" w:rsidRPr="004044E8" w:rsidRDefault="00347325" w:rsidP="00EA653C">
      <w:pPr>
        <w:pStyle w:val="Heading3"/>
        <w:rPr>
          <w:rFonts w:ascii="Arial" w:hAnsi="Arial" w:cs="Arial"/>
        </w:rPr>
      </w:pPr>
      <w:bookmarkStart w:id="69" w:name="_Toc424879204"/>
      <w:r w:rsidRPr="004044E8">
        <w:rPr>
          <w:rFonts w:ascii="Arial" w:hAnsi="Arial" w:cs="Arial"/>
        </w:rPr>
        <w:t>Responsable del Monitoreo</w:t>
      </w:r>
    </w:p>
    <w:p w14:paraId="68FBDC7D" w14:textId="0B8B59D2" w:rsidR="00347325" w:rsidRPr="004044E8" w:rsidRDefault="00347325" w:rsidP="00C02EF4">
      <w:pPr>
        <w:pStyle w:val="Estilo1"/>
        <w:rPr>
          <w:rFonts w:ascii="Arial" w:hAnsi="Arial" w:cs="Arial"/>
        </w:rPr>
      </w:pPr>
      <w:r w:rsidRPr="004044E8">
        <w:rPr>
          <w:rFonts w:ascii="Arial" w:hAnsi="Arial" w:cs="Arial"/>
        </w:rPr>
        <w:t>El ME</w:t>
      </w:r>
      <w:r w:rsidR="009D4748" w:rsidRPr="004044E8">
        <w:rPr>
          <w:rFonts w:ascii="Arial" w:hAnsi="Arial" w:cs="Arial"/>
        </w:rPr>
        <w:t>F</w:t>
      </w:r>
      <w:r w:rsidRPr="004044E8">
        <w:rPr>
          <w:rFonts w:ascii="Arial" w:hAnsi="Arial" w:cs="Arial"/>
        </w:rPr>
        <w:t xml:space="preserve"> como OE de la operación, será el responsable del proceso de monitoreo periódico y control de avance de la ejecución del Programa a través del </w:t>
      </w:r>
      <w:r w:rsidR="00755BF5" w:rsidRPr="004044E8">
        <w:rPr>
          <w:rFonts w:ascii="Arial" w:hAnsi="Arial" w:cs="Arial"/>
        </w:rPr>
        <w:t>EDG-MEF</w:t>
      </w:r>
      <w:r w:rsidRPr="004044E8">
        <w:rPr>
          <w:rFonts w:ascii="Arial" w:hAnsi="Arial" w:cs="Arial"/>
        </w:rPr>
        <w:t xml:space="preserve">.  La responsabilidad del cumplimiento de los arreglos y acuerdos para el seguimiento y </w:t>
      </w:r>
      <w:r w:rsidR="00AB265D" w:rsidRPr="004044E8">
        <w:rPr>
          <w:rFonts w:ascii="Arial" w:hAnsi="Arial" w:cs="Arial"/>
        </w:rPr>
        <w:t>evaluación</w:t>
      </w:r>
      <w:r w:rsidRPr="004044E8">
        <w:rPr>
          <w:rFonts w:ascii="Arial" w:hAnsi="Arial" w:cs="Arial"/>
        </w:rPr>
        <w:t xml:space="preserve"> será del</w:t>
      </w:r>
      <w:r w:rsidR="00B81B5C" w:rsidRPr="004044E8">
        <w:rPr>
          <w:rFonts w:ascii="Arial" w:hAnsi="Arial" w:cs="Arial"/>
        </w:rPr>
        <w:t xml:space="preserve"> </w:t>
      </w:r>
      <w:r w:rsidR="00E31741" w:rsidRPr="004044E8">
        <w:rPr>
          <w:rFonts w:ascii="Arial" w:hAnsi="Arial" w:cs="Arial"/>
        </w:rPr>
        <w:t>Coordinador</w:t>
      </w:r>
      <w:r w:rsidR="00B81B5C" w:rsidRPr="004044E8">
        <w:rPr>
          <w:rFonts w:ascii="Arial" w:hAnsi="Arial" w:cs="Arial"/>
        </w:rPr>
        <w:t xml:space="preserve"> del </w:t>
      </w:r>
      <w:r w:rsidRPr="004044E8">
        <w:rPr>
          <w:rFonts w:ascii="Arial" w:hAnsi="Arial" w:cs="Arial"/>
        </w:rPr>
        <w:t xml:space="preserve">Programa y del especialista en Planificación y Monitoreo del </w:t>
      </w:r>
      <w:r w:rsidR="00755BF5" w:rsidRPr="004044E8">
        <w:rPr>
          <w:rFonts w:ascii="Arial" w:hAnsi="Arial" w:cs="Arial"/>
        </w:rPr>
        <w:t>EDG-MEF</w:t>
      </w:r>
      <w:r w:rsidRPr="004044E8">
        <w:rPr>
          <w:rFonts w:ascii="Arial" w:hAnsi="Arial" w:cs="Arial"/>
        </w:rPr>
        <w:t>, quienes contarán con el apoyo técnico del BID.</w:t>
      </w:r>
      <w:r w:rsidR="00C74FE5" w:rsidRPr="004044E8">
        <w:rPr>
          <w:rFonts w:ascii="Arial" w:hAnsi="Arial" w:cs="Arial"/>
        </w:rPr>
        <w:t xml:space="preserve"> El monitoreo y evaluación se regirán sobre los acuerdos presentados en el Plan de monitoreo y evaluación anexo al Documento del Programa, aprobado por el BID</w:t>
      </w:r>
    </w:p>
    <w:p w14:paraId="6FD056EC" w14:textId="77777777" w:rsidR="00F93E82" w:rsidRPr="004044E8" w:rsidRDefault="00347325" w:rsidP="00EA653C">
      <w:pPr>
        <w:pStyle w:val="Heading3"/>
        <w:rPr>
          <w:rFonts w:ascii="Arial" w:hAnsi="Arial" w:cs="Arial"/>
        </w:rPr>
      </w:pPr>
      <w:r w:rsidRPr="004044E8">
        <w:rPr>
          <w:rFonts w:ascii="Arial" w:hAnsi="Arial" w:cs="Arial"/>
        </w:rPr>
        <w:t>Instrumentos</w:t>
      </w:r>
    </w:p>
    <w:p w14:paraId="214691F6" w14:textId="6419D3DE" w:rsidR="00347325" w:rsidRPr="004044E8" w:rsidRDefault="00347325" w:rsidP="00C02EF4">
      <w:pPr>
        <w:pStyle w:val="Estilo1"/>
        <w:rPr>
          <w:rFonts w:ascii="Arial" w:hAnsi="Arial" w:cs="Arial"/>
        </w:rPr>
      </w:pPr>
      <w:r w:rsidRPr="004044E8">
        <w:rPr>
          <w:rFonts w:ascii="Arial" w:hAnsi="Arial" w:cs="Arial"/>
        </w:rPr>
        <w:t>El sistema de monitoreo del programa estará conformado por los siguientes instrumentos: (i) el Reglamento Operativo del Programa (ROP); (</w:t>
      </w:r>
      <w:proofErr w:type="spellStart"/>
      <w:r w:rsidRPr="004044E8">
        <w:rPr>
          <w:rFonts w:ascii="Arial" w:hAnsi="Arial" w:cs="Arial"/>
        </w:rPr>
        <w:t>ii</w:t>
      </w:r>
      <w:proofErr w:type="spellEnd"/>
      <w:r w:rsidRPr="004044E8">
        <w:rPr>
          <w:rFonts w:ascii="Arial" w:hAnsi="Arial" w:cs="Arial"/>
        </w:rPr>
        <w:t>) Matriz de Resultados (</w:t>
      </w:r>
      <w:proofErr w:type="spellStart"/>
      <w:r w:rsidRPr="004044E8">
        <w:rPr>
          <w:rFonts w:ascii="Arial" w:hAnsi="Arial" w:cs="Arial"/>
        </w:rPr>
        <w:t>MdR</w:t>
      </w:r>
      <w:proofErr w:type="spellEnd"/>
      <w:r w:rsidRPr="004044E8">
        <w:rPr>
          <w:rFonts w:ascii="Arial" w:hAnsi="Arial" w:cs="Arial"/>
        </w:rPr>
        <w:t>); (</w:t>
      </w:r>
      <w:proofErr w:type="spellStart"/>
      <w:r w:rsidRPr="004044E8">
        <w:rPr>
          <w:rFonts w:ascii="Arial" w:hAnsi="Arial" w:cs="Arial"/>
        </w:rPr>
        <w:t>iii</w:t>
      </w:r>
      <w:proofErr w:type="spellEnd"/>
      <w:r w:rsidRPr="004044E8">
        <w:rPr>
          <w:rFonts w:ascii="Arial" w:hAnsi="Arial" w:cs="Arial"/>
        </w:rPr>
        <w:t>) Plan de Ejecución Plurianual (PEP); (</w:t>
      </w:r>
      <w:proofErr w:type="spellStart"/>
      <w:r w:rsidRPr="004044E8">
        <w:rPr>
          <w:rFonts w:ascii="Arial" w:hAnsi="Arial" w:cs="Arial"/>
        </w:rPr>
        <w:t>iv</w:t>
      </w:r>
      <w:proofErr w:type="spellEnd"/>
      <w:r w:rsidRPr="004044E8">
        <w:rPr>
          <w:rFonts w:ascii="Arial" w:hAnsi="Arial" w:cs="Arial"/>
        </w:rPr>
        <w:t xml:space="preserve">) Plan Operativo Anual (POA) vigente; (v); el Plan de Monitoreo y Evaluación </w:t>
      </w:r>
      <w:r w:rsidRPr="004044E8">
        <w:rPr>
          <w:rFonts w:ascii="Arial" w:hAnsi="Arial" w:cs="Arial"/>
        </w:rPr>
        <w:lastRenderedPageBreak/>
        <w:t>(PME); (vi) el Plan de Adquisiciones (PA) vigente; (</w:t>
      </w:r>
      <w:proofErr w:type="spellStart"/>
      <w:r w:rsidRPr="004044E8">
        <w:rPr>
          <w:rFonts w:ascii="Arial" w:hAnsi="Arial" w:cs="Arial"/>
        </w:rPr>
        <w:t>vii</w:t>
      </w:r>
      <w:proofErr w:type="spellEnd"/>
      <w:r w:rsidRPr="004044E8">
        <w:rPr>
          <w:rFonts w:ascii="Arial" w:hAnsi="Arial" w:cs="Arial"/>
        </w:rPr>
        <w:t>) el Análisis de Riesgo (GRP) y sus matrices; (</w:t>
      </w:r>
      <w:proofErr w:type="spellStart"/>
      <w:r w:rsidRPr="004044E8">
        <w:rPr>
          <w:rFonts w:ascii="Arial" w:hAnsi="Arial" w:cs="Arial"/>
        </w:rPr>
        <w:t>viii</w:t>
      </w:r>
      <w:proofErr w:type="spellEnd"/>
      <w:r w:rsidRPr="004044E8">
        <w:rPr>
          <w:rFonts w:ascii="Arial" w:hAnsi="Arial" w:cs="Arial"/>
        </w:rPr>
        <w:t>) Informe Inicial; (</w:t>
      </w:r>
      <w:proofErr w:type="spellStart"/>
      <w:r w:rsidRPr="004044E8">
        <w:rPr>
          <w:rFonts w:ascii="Arial" w:hAnsi="Arial" w:cs="Arial"/>
        </w:rPr>
        <w:t>ix</w:t>
      </w:r>
      <w:proofErr w:type="spellEnd"/>
      <w:r w:rsidRPr="004044E8">
        <w:rPr>
          <w:rFonts w:ascii="Arial" w:hAnsi="Arial" w:cs="Arial"/>
        </w:rPr>
        <w:t>) Informes de Monitoreo del Progreso (PMR); (x) Informes Semestrales de Progreso (ISP); (xi) Estados Financieros Auditados (EFA); (</w:t>
      </w:r>
      <w:proofErr w:type="spellStart"/>
      <w:r w:rsidRPr="004044E8">
        <w:rPr>
          <w:rFonts w:ascii="Arial" w:hAnsi="Arial" w:cs="Arial"/>
        </w:rPr>
        <w:t>xii</w:t>
      </w:r>
      <w:proofErr w:type="spellEnd"/>
      <w:r w:rsidRPr="004044E8">
        <w:rPr>
          <w:rFonts w:ascii="Arial" w:hAnsi="Arial" w:cs="Arial"/>
        </w:rPr>
        <w:t>) términos de referencia de consultorías; (</w:t>
      </w:r>
      <w:proofErr w:type="spellStart"/>
      <w:r w:rsidRPr="004044E8">
        <w:rPr>
          <w:rFonts w:ascii="Arial" w:hAnsi="Arial" w:cs="Arial"/>
        </w:rPr>
        <w:t>xiii</w:t>
      </w:r>
      <w:proofErr w:type="spellEnd"/>
      <w:r w:rsidRPr="004044E8">
        <w:rPr>
          <w:rFonts w:ascii="Arial" w:hAnsi="Arial" w:cs="Arial"/>
        </w:rPr>
        <w:t xml:space="preserve">) las ayudas de memoria, actas o informes resultantes de las misiones de administración y evaluación, visitas de inspección realizadas, reuniones de Cartera con el MEF y otras que sean pertinentes . </w:t>
      </w:r>
    </w:p>
    <w:p w14:paraId="6B142A8D" w14:textId="77777777" w:rsidR="00F93E82" w:rsidRPr="004044E8" w:rsidRDefault="00347325" w:rsidP="00EA653C">
      <w:pPr>
        <w:pStyle w:val="Heading3"/>
        <w:rPr>
          <w:rFonts w:ascii="Arial" w:hAnsi="Arial" w:cs="Arial"/>
        </w:rPr>
      </w:pPr>
      <w:r w:rsidRPr="004044E8">
        <w:rPr>
          <w:rFonts w:ascii="Arial" w:hAnsi="Arial" w:cs="Arial"/>
        </w:rPr>
        <w:t xml:space="preserve">Medios de verificación de los indicadores de la </w:t>
      </w:r>
      <w:proofErr w:type="spellStart"/>
      <w:r w:rsidRPr="004044E8">
        <w:rPr>
          <w:rFonts w:ascii="Arial" w:hAnsi="Arial" w:cs="Arial"/>
        </w:rPr>
        <w:t>MdR</w:t>
      </w:r>
      <w:proofErr w:type="spellEnd"/>
    </w:p>
    <w:p w14:paraId="209B4152" w14:textId="0F7D2576" w:rsidR="00C40CF6" w:rsidRPr="004044E8" w:rsidRDefault="004C23FC" w:rsidP="00C02EF4">
      <w:pPr>
        <w:pStyle w:val="Estilo1"/>
        <w:rPr>
          <w:rFonts w:ascii="Arial" w:hAnsi="Arial" w:cs="Arial"/>
        </w:rPr>
      </w:pPr>
      <w:r w:rsidRPr="004044E8">
        <w:rPr>
          <w:rFonts w:ascii="Arial" w:hAnsi="Arial" w:cs="Arial"/>
        </w:rPr>
        <w:t>Cu</w:t>
      </w:r>
      <w:r w:rsidR="00AA0855" w:rsidRPr="004044E8">
        <w:rPr>
          <w:rFonts w:ascii="Arial" w:hAnsi="Arial" w:cs="Arial"/>
        </w:rPr>
        <w:t>alquier modificación de l</w:t>
      </w:r>
      <w:r w:rsidRPr="004044E8">
        <w:rPr>
          <w:rFonts w:ascii="Arial" w:hAnsi="Arial" w:cs="Arial"/>
        </w:rPr>
        <w:t>a</w:t>
      </w:r>
      <w:r w:rsidR="00B63D22" w:rsidRPr="004044E8">
        <w:rPr>
          <w:rFonts w:ascii="Arial" w:hAnsi="Arial" w:cs="Arial"/>
        </w:rPr>
        <w:t xml:space="preserve"> metodología de medición, </w:t>
      </w:r>
      <w:r w:rsidRPr="004044E8">
        <w:rPr>
          <w:rFonts w:ascii="Arial" w:hAnsi="Arial" w:cs="Arial"/>
        </w:rPr>
        <w:t xml:space="preserve">unidades de medida, frecuencia de medición y fuentes de verificación para la medición y seguimiento de los indicadores de la </w:t>
      </w:r>
      <w:proofErr w:type="spellStart"/>
      <w:r w:rsidRPr="004044E8">
        <w:rPr>
          <w:rFonts w:ascii="Arial" w:hAnsi="Arial" w:cs="Arial"/>
        </w:rPr>
        <w:t>MdR</w:t>
      </w:r>
      <w:proofErr w:type="spellEnd"/>
      <w:r w:rsidRPr="004044E8">
        <w:rPr>
          <w:rFonts w:ascii="Arial" w:hAnsi="Arial" w:cs="Arial"/>
        </w:rPr>
        <w:t xml:space="preserve">, </w:t>
      </w:r>
      <w:r w:rsidR="00AA0855" w:rsidRPr="004044E8">
        <w:rPr>
          <w:rFonts w:ascii="Arial" w:hAnsi="Arial" w:cs="Arial"/>
        </w:rPr>
        <w:t>deberá</w:t>
      </w:r>
      <w:r w:rsidRPr="004044E8">
        <w:rPr>
          <w:rFonts w:ascii="Arial" w:hAnsi="Arial" w:cs="Arial"/>
        </w:rPr>
        <w:t>n</w:t>
      </w:r>
      <w:r w:rsidR="00AA0855" w:rsidRPr="004044E8">
        <w:rPr>
          <w:rFonts w:ascii="Arial" w:hAnsi="Arial" w:cs="Arial"/>
        </w:rPr>
        <w:t xml:space="preserve"> contar con el consentimiento escrito del B</w:t>
      </w:r>
      <w:r w:rsidRPr="004044E8">
        <w:rPr>
          <w:rFonts w:ascii="Arial" w:hAnsi="Arial" w:cs="Arial"/>
        </w:rPr>
        <w:t>ID</w:t>
      </w:r>
      <w:r w:rsidR="00C40CF6" w:rsidRPr="004044E8">
        <w:rPr>
          <w:rFonts w:ascii="Arial" w:hAnsi="Arial" w:cs="Arial"/>
        </w:rPr>
        <w:t xml:space="preserve">.  </w:t>
      </w:r>
    </w:p>
    <w:p w14:paraId="6920DCE1" w14:textId="7BCC2CA9" w:rsidR="008C5B98" w:rsidRPr="004044E8" w:rsidRDefault="008C5B98" w:rsidP="00EA653C">
      <w:pPr>
        <w:pStyle w:val="Heading3"/>
        <w:rPr>
          <w:rFonts w:ascii="Arial" w:hAnsi="Arial" w:cs="Arial"/>
        </w:rPr>
      </w:pPr>
      <w:r w:rsidRPr="004044E8">
        <w:rPr>
          <w:rFonts w:ascii="Arial" w:hAnsi="Arial" w:cs="Arial"/>
        </w:rPr>
        <w:t xml:space="preserve">El ISP y PMR </w:t>
      </w:r>
    </w:p>
    <w:p w14:paraId="407ED181" w14:textId="657281F8" w:rsidR="00347325" w:rsidRPr="004044E8" w:rsidRDefault="008C5B98" w:rsidP="00C02EF4">
      <w:pPr>
        <w:pStyle w:val="Estilo1"/>
        <w:rPr>
          <w:rFonts w:ascii="Arial" w:hAnsi="Arial" w:cs="Arial"/>
        </w:rPr>
      </w:pPr>
      <w:r w:rsidRPr="004044E8">
        <w:rPr>
          <w:rFonts w:ascii="Arial" w:hAnsi="Arial" w:cs="Arial"/>
        </w:rPr>
        <w:t xml:space="preserve">El ISP es el reporte contractual que </w:t>
      </w:r>
      <w:r w:rsidR="004D1F9F" w:rsidRPr="004044E8">
        <w:rPr>
          <w:rFonts w:ascii="Arial" w:hAnsi="Arial" w:cs="Arial"/>
        </w:rPr>
        <w:t xml:space="preserve">el OE </w:t>
      </w:r>
      <w:r w:rsidRPr="004044E8">
        <w:rPr>
          <w:rFonts w:ascii="Arial" w:hAnsi="Arial" w:cs="Arial"/>
        </w:rPr>
        <w:t xml:space="preserve">debe realizar semestralmente y constituirá la fuente oficial de información periódica sobre el avance del Programa. El objetivo del ISP es el de reportar el avance obtenido y detectar las desviaciones de la ejecución frente a lo programado, con la finalidad de identificar las acciones pertinentes para potenciar el cumplimiento de las metas y los costos de la Operación. El ISP incorpora el PMR como la herramienta de reporte de la información de la gestión en resultados y ejecución del Programa.  El </w:t>
      </w:r>
      <w:r w:rsidR="00755BF5" w:rsidRPr="004044E8">
        <w:rPr>
          <w:rFonts w:ascii="Arial" w:hAnsi="Arial" w:cs="Arial"/>
        </w:rPr>
        <w:t>EDG-MEF</w:t>
      </w:r>
      <w:r w:rsidR="007E512E" w:rsidRPr="004044E8">
        <w:rPr>
          <w:rFonts w:ascii="Arial" w:hAnsi="Arial" w:cs="Arial"/>
        </w:rPr>
        <w:t xml:space="preserve"> </w:t>
      </w:r>
      <w:r w:rsidRPr="004044E8">
        <w:rPr>
          <w:rFonts w:ascii="Arial" w:hAnsi="Arial" w:cs="Arial"/>
        </w:rPr>
        <w:t>debe remitir dos veces al año el ISP y el PMR del Programa</w:t>
      </w:r>
      <w:r w:rsidR="00F44D7D" w:rsidRPr="004044E8">
        <w:rPr>
          <w:rFonts w:ascii="Arial" w:hAnsi="Arial" w:cs="Arial"/>
        </w:rPr>
        <w:t xml:space="preserve"> correspondientes al cierre del semestre correspondiente</w:t>
      </w:r>
      <w:r w:rsidRPr="004044E8">
        <w:rPr>
          <w:rFonts w:ascii="Arial" w:hAnsi="Arial" w:cs="Arial"/>
        </w:rPr>
        <w:t xml:space="preserve">. El primer envío debe realizarse, durante los  </w:t>
      </w:r>
      <w:r w:rsidR="00F44D7D" w:rsidRPr="004044E8">
        <w:rPr>
          <w:rFonts w:ascii="Arial" w:hAnsi="Arial" w:cs="Arial"/>
        </w:rPr>
        <w:t>treinta</w:t>
      </w:r>
      <w:r w:rsidR="00717D0F" w:rsidRPr="004044E8">
        <w:rPr>
          <w:rFonts w:ascii="Arial" w:hAnsi="Arial" w:cs="Arial"/>
        </w:rPr>
        <w:t xml:space="preserve"> (30)</w:t>
      </w:r>
      <w:r w:rsidR="00F44D7D" w:rsidRPr="004044E8">
        <w:rPr>
          <w:rFonts w:ascii="Arial" w:hAnsi="Arial" w:cs="Arial"/>
        </w:rPr>
        <w:t xml:space="preserve"> </w:t>
      </w:r>
      <w:r w:rsidRPr="004044E8">
        <w:rPr>
          <w:rFonts w:ascii="Arial" w:hAnsi="Arial" w:cs="Arial"/>
        </w:rPr>
        <w:t>primeros</w:t>
      </w:r>
      <w:r w:rsidR="00F44D7D" w:rsidRPr="004044E8">
        <w:rPr>
          <w:rFonts w:ascii="Arial" w:hAnsi="Arial" w:cs="Arial"/>
        </w:rPr>
        <w:t xml:space="preserve"> días </w:t>
      </w:r>
      <w:r w:rsidRPr="004044E8">
        <w:rPr>
          <w:rFonts w:ascii="Arial" w:hAnsi="Arial" w:cs="Arial"/>
        </w:rPr>
        <w:t xml:space="preserve">del año y con corte a diciembre del año inmediato anterior y el segundo envío, durante los </w:t>
      </w:r>
      <w:r w:rsidR="00F44D7D" w:rsidRPr="004044E8">
        <w:rPr>
          <w:rFonts w:ascii="Arial" w:hAnsi="Arial" w:cs="Arial"/>
        </w:rPr>
        <w:t>treinta</w:t>
      </w:r>
      <w:r w:rsidR="00717D0F" w:rsidRPr="004044E8">
        <w:rPr>
          <w:rFonts w:ascii="Arial" w:hAnsi="Arial" w:cs="Arial"/>
        </w:rPr>
        <w:t xml:space="preserve"> (30)</w:t>
      </w:r>
      <w:r w:rsidR="00F44D7D" w:rsidRPr="004044E8">
        <w:rPr>
          <w:rFonts w:ascii="Arial" w:hAnsi="Arial" w:cs="Arial"/>
        </w:rPr>
        <w:t xml:space="preserve"> días </w:t>
      </w:r>
      <w:r w:rsidRPr="004044E8">
        <w:rPr>
          <w:rFonts w:ascii="Arial" w:hAnsi="Arial" w:cs="Arial"/>
        </w:rPr>
        <w:t xml:space="preserve">posteriores a junio del año en curso, fecha de corte de dicho informe.  En el ISP y PMR, se deben reportar los logros del Programa durante el periodo analizado a nivel de resultados y productos, adicionalmente proporcionar información sobre los principales cambios a la </w:t>
      </w:r>
      <w:proofErr w:type="spellStart"/>
      <w:r w:rsidRPr="004044E8">
        <w:rPr>
          <w:rFonts w:ascii="Arial" w:hAnsi="Arial" w:cs="Arial"/>
        </w:rPr>
        <w:t>MdR</w:t>
      </w:r>
      <w:proofErr w:type="spellEnd"/>
      <w:r w:rsidRPr="004044E8">
        <w:rPr>
          <w:rFonts w:ascii="Arial" w:hAnsi="Arial" w:cs="Arial"/>
        </w:rPr>
        <w:t xml:space="preserve"> y sus aprobaciones; los aspectos que han afectado la ejecución y sus causas; el estado y actualización de las matrices de gestión de riesgos y sus planes de mitigación; las principales lecciones aprendidas y los desafíos para el próximo período. </w:t>
      </w:r>
      <w:r w:rsidR="00F44D7D" w:rsidRPr="004044E8">
        <w:rPr>
          <w:rFonts w:ascii="Arial" w:hAnsi="Arial" w:cs="Arial"/>
        </w:rPr>
        <w:t xml:space="preserve">El ISP correspondiente al segundo semestre del año calendario deberá presentar una síntesis de los logros alcanzados por componentes, analizando los riesgos del Programa de acuerdo a la Matriz de Riesgo del mismo, debe presentar también una visión consolidada de las dificultades y lecciones aprendidas, así como las recomendaciones destinadas a retroalimentar el Programa. </w:t>
      </w:r>
      <w:r w:rsidRPr="004044E8">
        <w:rPr>
          <w:rFonts w:ascii="Arial" w:hAnsi="Arial" w:cs="Arial"/>
        </w:rPr>
        <w:t xml:space="preserve">Los anexos que deben incorporarse al ISP son: PMR, </w:t>
      </w:r>
      <w:proofErr w:type="spellStart"/>
      <w:r w:rsidRPr="004044E8">
        <w:rPr>
          <w:rFonts w:ascii="Arial" w:hAnsi="Arial" w:cs="Arial"/>
        </w:rPr>
        <w:t>MdR</w:t>
      </w:r>
      <w:proofErr w:type="spellEnd"/>
      <w:r w:rsidRPr="004044E8">
        <w:rPr>
          <w:rFonts w:ascii="Arial" w:hAnsi="Arial" w:cs="Arial"/>
        </w:rPr>
        <w:t>, Matrices GRP; PEP, POA, PA, Flujo de Caja y Programación de Desembolsos; EFA y reportes de uso del aporte local</w:t>
      </w:r>
      <w:r w:rsidR="00F44D7D" w:rsidRPr="004044E8">
        <w:rPr>
          <w:rFonts w:ascii="Arial" w:hAnsi="Arial" w:cs="Arial"/>
        </w:rPr>
        <w:t xml:space="preserve">. </w:t>
      </w:r>
    </w:p>
    <w:p w14:paraId="2B8CF869" w14:textId="1F01CCDD" w:rsidR="005758D3" w:rsidRPr="004044E8" w:rsidRDefault="00F4456A" w:rsidP="00C02EF4">
      <w:pPr>
        <w:pStyle w:val="Estilo1"/>
        <w:rPr>
          <w:rFonts w:ascii="Arial" w:hAnsi="Arial" w:cs="Arial"/>
        </w:rPr>
      </w:pPr>
      <w:r w:rsidRPr="004044E8">
        <w:rPr>
          <w:rFonts w:ascii="Arial" w:hAnsi="Arial" w:cs="Arial"/>
        </w:rPr>
        <w:t>El OE deber</w:t>
      </w:r>
      <w:r w:rsidR="00717D0F" w:rsidRPr="004044E8">
        <w:rPr>
          <w:rFonts w:ascii="Arial" w:hAnsi="Arial" w:cs="Arial"/>
        </w:rPr>
        <w:t>á</w:t>
      </w:r>
      <w:r w:rsidRPr="004044E8">
        <w:rPr>
          <w:rFonts w:ascii="Arial" w:hAnsi="Arial" w:cs="Arial"/>
        </w:rPr>
        <w:t xml:space="preserve"> participar en reuniones de revisión conjunta con el Banco, dentro de los treinta (30) </w:t>
      </w:r>
      <w:r w:rsidR="008D2558" w:rsidRPr="004044E8">
        <w:rPr>
          <w:rFonts w:ascii="Arial" w:hAnsi="Arial" w:cs="Arial"/>
        </w:rPr>
        <w:t>dí</w:t>
      </w:r>
      <w:r w:rsidRPr="004044E8">
        <w:rPr>
          <w:rFonts w:ascii="Arial" w:hAnsi="Arial" w:cs="Arial"/>
        </w:rPr>
        <w:t>as siguientes a la recepción de los ISP</w:t>
      </w:r>
      <w:r w:rsidR="008D5AFC" w:rsidRPr="004044E8">
        <w:rPr>
          <w:rFonts w:ascii="Arial" w:hAnsi="Arial" w:cs="Arial"/>
        </w:rPr>
        <w:t>.</w:t>
      </w:r>
      <w:r w:rsidR="00717D0F" w:rsidRPr="004044E8">
        <w:rPr>
          <w:rFonts w:ascii="Arial" w:hAnsi="Arial" w:cs="Arial"/>
        </w:rPr>
        <w:t xml:space="preserve"> El ISP correspondiente al segundo semestre de cada año comprenderá la propuesta de POA para el año siguiente, </w:t>
      </w:r>
      <w:r w:rsidR="00623D64" w:rsidRPr="004044E8">
        <w:rPr>
          <w:rFonts w:ascii="Arial" w:hAnsi="Arial" w:cs="Arial"/>
        </w:rPr>
        <w:t xml:space="preserve">el cual </w:t>
      </w:r>
      <w:r w:rsidR="00717D0F" w:rsidRPr="004044E8">
        <w:rPr>
          <w:rFonts w:ascii="Arial" w:hAnsi="Arial" w:cs="Arial"/>
        </w:rPr>
        <w:t>deberá ser acordado con el Banco en la reunión de evaluación conjunta correspondiente.</w:t>
      </w:r>
    </w:p>
    <w:p w14:paraId="4DE922EF" w14:textId="699F5796" w:rsidR="008C5B98" w:rsidRPr="004044E8" w:rsidRDefault="008C5B98" w:rsidP="00EA653C">
      <w:pPr>
        <w:pStyle w:val="Heading3"/>
        <w:rPr>
          <w:rFonts w:ascii="Arial" w:hAnsi="Arial" w:cs="Arial"/>
        </w:rPr>
      </w:pPr>
      <w:r w:rsidRPr="004044E8">
        <w:rPr>
          <w:rFonts w:ascii="Arial" w:hAnsi="Arial" w:cs="Arial"/>
        </w:rPr>
        <w:t>Misiones de administración o visitas de inspección</w:t>
      </w:r>
    </w:p>
    <w:p w14:paraId="1811664F" w14:textId="3274B5F5" w:rsidR="008C5B98" w:rsidRPr="004044E8" w:rsidRDefault="008C5B98" w:rsidP="00C02EF4">
      <w:pPr>
        <w:pStyle w:val="Estilo1"/>
        <w:rPr>
          <w:rFonts w:ascii="Arial" w:hAnsi="Arial" w:cs="Arial"/>
        </w:rPr>
      </w:pPr>
      <w:r w:rsidRPr="004044E8">
        <w:rPr>
          <w:rFonts w:ascii="Arial" w:hAnsi="Arial" w:cs="Arial"/>
        </w:rPr>
        <w:t xml:space="preserve">Se realizarán dependiendo de la importancia y complejidad de la ejecución, siguiendo el cronograma definido en el Plan de Supervisión. El equipo del Banco realizará visitas técnicas semestrales a los ejecutores para revisar el avance de actividades y hacer los ajustes que se deriven de su ejecución. Se harán visitas de supervisión fiduciaria anuales. Se tienen previstas auditorías externas contables y operacionales para validación del uso de los recursos del financiamiento y de los procesos y controles internos operativos que se implementarán en el OE. </w:t>
      </w:r>
    </w:p>
    <w:p w14:paraId="26706412" w14:textId="4613397B" w:rsidR="008C5B98" w:rsidRPr="004044E8" w:rsidRDefault="008C5B98" w:rsidP="00EA653C">
      <w:pPr>
        <w:pStyle w:val="Heading3"/>
        <w:rPr>
          <w:rFonts w:ascii="Arial" w:hAnsi="Arial" w:cs="Arial"/>
        </w:rPr>
      </w:pPr>
      <w:r w:rsidRPr="004044E8">
        <w:rPr>
          <w:rFonts w:ascii="Arial" w:hAnsi="Arial" w:cs="Arial"/>
        </w:rPr>
        <w:t xml:space="preserve">Reuniones de Cartera entre el MEF, el BID y </w:t>
      </w:r>
      <w:r w:rsidR="00EB35CE" w:rsidRPr="004044E8">
        <w:rPr>
          <w:rFonts w:ascii="Arial" w:hAnsi="Arial" w:cs="Arial"/>
        </w:rPr>
        <w:t xml:space="preserve">los </w:t>
      </w:r>
      <w:r w:rsidRPr="004044E8">
        <w:rPr>
          <w:rFonts w:ascii="Arial" w:hAnsi="Arial" w:cs="Arial"/>
        </w:rPr>
        <w:t>O</w:t>
      </w:r>
      <w:r w:rsidR="00EB35CE" w:rsidRPr="004044E8">
        <w:rPr>
          <w:rFonts w:ascii="Arial" w:hAnsi="Arial" w:cs="Arial"/>
        </w:rPr>
        <w:t>S</w:t>
      </w:r>
      <w:r w:rsidRPr="004044E8">
        <w:rPr>
          <w:rFonts w:ascii="Arial" w:hAnsi="Arial" w:cs="Arial"/>
        </w:rPr>
        <w:t>E</w:t>
      </w:r>
    </w:p>
    <w:p w14:paraId="6E8EA3DD" w14:textId="0BB5745D" w:rsidR="008C5B98" w:rsidRPr="004044E8" w:rsidRDefault="008C5B98" w:rsidP="00C02EF4">
      <w:pPr>
        <w:pStyle w:val="Estilo1"/>
        <w:rPr>
          <w:rFonts w:ascii="Arial" w:hAnsi="Arial" w:cs="Arial"/>
        </w:rPr>
      </w:pPr>
      <w:r w:rsidRPr="004044E8">
        <w:rPr>
          <w:rFonts w:ascii="Arial" w:hAnsi="Arial" w:cs="Arial"/>
        </w:rPr>
        <w:t>Como parte del proceso de seguimiento de los Proyectos, el BID ha previsto mantener al menos dos reuniones anuales con el MEF</w:t>
      </w:r>
      <w:r w:rsidR="00EB35CE" w:rsidRPr="004044E8">
        <w:rPr>
          <w:rFonts w:ascii="Arial" w:hAnsi="Arial" w:cs="Arial"/>
        </w:rPr>
        <w:t xml:space="preserve"> y los</w:t>
      </w:r>
      <w:r w:rsidRPr="004044E8">
        <w:rPr>
          <w:rFonts w:ascii="Arial" w:hAnsi="Arial" w:cs="Arial"/>
        </w:rPr>
        <w:t xml:space="preserve"> O</w:t>
      </w:r>
      <w:r w:rsidR="00EB35CE" w:rsidRPr="004044E8">
        <w:rPr>
          <w:rFonts w:ascii="Arial" w:hAnsi="Arial" w:cs="Arial"/>
        </w:rPr>
        <w:t>S</w:t>
      </w:r>
      <w:r w:rsidRPr="004044E8">
        <w:rPr>
          <w:rFonts w:ascii="Arial" w:hAnsi="Arial" w:cs="Arial"/>
        </w:rPr>
        <w:t xml:space="preserve">E, con el objetivo de: (i) presentar los avances del Proyecto por parte del </w:t>
      </w:r>
      <w:r w:rsidR="00755BF5" w:rsidRPr="004044E8">
        <w:rPr>
          <w:rFonts w:ascii="Arial" w:hAnsi="Arial" w:cs="Arial"/>
        </w:rPr>
        <w:t>EDG-MEF</w:t>
      </w:r>
      <w:r w:rsidRPr="004044E8">
        <w:rPr>
          <w:rFonts w:ascii="Arial" w:hAnsi="Arial" w:cs="Arial"/>
        </w:rPr>
        <w:t xml:space="preserve"> del ME</w:t>
      </w:r>
      <w:r w:rsidR="00755BF5" w:rsidRPr="004044E8">
        <w:rPr>
          <w:rFonts w:ascii="Arial" w:hAnsi="Arial" w:cs="Arial"/>
        </w:rPr>
        <w:t>F</w:t>
      </w:r>
      <w:r w:rsidRPr="004044E8">
        <w:rPr>
          <w:rFonts w:ascii="Arial" w:hAnsi="Arial" w:cs="Arial"/>
        </w:rPr>
        <w:t xml:space="preserve"> tanto de las metas físicas, financieras y de adquisiciones; (</w:t>
      </w:r>
      <w:proofErr w:type="spellStart"/>
      <w:r w:rsidRPr="004044E8">
        <w:rPr>
          <w:rFonts w:ascii="Arial" w:hAnsi="Arial" w:cs="Arial"/>
        </w:rPr>
        <w:t>ii</w:t>
      </w:r>
      <w:proofErr w:type="spellEnd"/>
      <w:r w:rsidRPr="004044E8">
        <w:rPr>
          <w:rFonts w:ascii="Arial" w:hAnsi="Arial" w:cs="Arial"/>
        </w:rPr>
        <w:t>) identificar potenciales problemas en la ejecución y de forma conjunta decidir acciones para superarlos; (</w:t>
      </w:r>
      <w:proofErr w:type="spellStart"/>
      <w:r w:rsidRPr="004044E8">
        <w:rPr>
          <w:rFonts w:ascii="Arial" w:hAnsi="Arial" w:cs="Arial"/>
        </w:rPr>
        <w:t>iii</w:t>
      </w:r>
      <w:proofErr w:type="spellEnd"/>
      <w:r w:rsidRPr="004044E8">
        <w:rPr>
          <w:rFonts w:ascii="Arial" w:hAnsi="Arial" w:cs="Arial"/>
        </w:rPr>
        <w:t>) presentar la proyección de desembolsos para el año vigente; (</w:t>
      </w:r>
      <w:proofErr w:type="spellStart"/>
      <w:r w:rsidRPr="004044E8">
        <w:rPr>
          <w:rFonts w:ascii="Arial" w:hAnsi="Arial" w:cs="Arial"/>
        </w:rPr>
        <w:t>iv</w:t>
      </w:r>
      <w:proofErr w:type="spellEnd"/>
      <w:r w:rsidRPr="004044E8">
        <w:rPr>
          <w:rFonts w:ascii="Arial" w:hAnsi="Arial" w:cs="Arial"/>
        </w:rPr>
        <w:t>) proponer un plan de acción para el año vigente. Dichas reuniones se realizan obligatoriamente durante enero y septiembre de cada año; y pueden realizarse en cualquier momento que se considere pertinente, según el desempeño de la ejecución de los proyectos o a pedido de los interesados.</w:t>
      </w:r>
    </w:p>
    <w:p w14:paraId="2E633D69" w14:textId="77777777" w:rsidR="00FE1AB7" w:rsidRPr="004044E8" w:rsidRDefault="00FE1AB7" w:rsidP="00EA653C">
      <w:pPr>
        <w:pStyle w:val="Heading3"/>
        <w:rPr>
          <w:rFonts w:ascii="Arial" w:hAnsi="Arial" w:cs="Arial"/>
        </w:rPr>
      </w:pPr>
      <w:r w:rsidRPr="004044E8">
        <w:rPr>
          <w:rFonts w:ascii="Arial" w:hAnsi="Arial" w:cs="Arial"/>
        </w:rPr>
        <w:t xml:space="preserve">Recopilación de datos e instrumentos </w:t>
      </w:r>
    </w:p>
    <w:p w14:paraId="3037A4FC" w14:textId="1B433053" w:rsidR="00FE1AB7" w:rsidRPr="004044E8" w:rsidRDefault="00FE1AB7" w:rsidP="00C02EF4">
      <w:pPr>
        <w:pStyle w:val="Estilo1"/>
        <w:rPr>
          <w:rFonts w:ascii="Arial" w:hAnsi="Arial" w:cs="Arial"/>
        </w:rPr>
      </w:pPr>
      <w:r w:rsidRPr="004044E8">
        <w:rPr>
          <w:rFonts w:ascii="Arial" w:hAnsi="Arial" w:cs="Arial"/>
        </w:rPr>
        <w:t xml:space="preserve">El </w:t>
      </w:r>
      <w:r w:rsidR="00755BF5" w:rsidRPr="004044E8">
        <w:rPr>
          <w:rFonts w:ascii="Arial" w:hAnsi="Arial" w:cs="Arial"/>
        </w:rPr>
        <w:t>EDG-MEF</w:t>
      </w:r>
      <w:r w:rsidR="006C219A" w:rsidRPr="004044E8">
        <w:rPr>
          <w:rFonts w:ascii="Arial" w:hAnsi="Arial" w:cs="Arial"/>
        </w:rPr>
        <w:t xml:space="preserve"> </w:t>
      </w:r>
      <w:r w:rsidRPr="004044E8">
        <w:rPr>
          <w:rFonts w:ascii="Arial" w:hAnsi="Arial" w:cs="Arial"/>
        </w:rPr>
        <w:t>será el responsable de preparar, compilar y consolidar toda la información del sistema de monitoreo y de la ejecución del Programa</w:t>
      </w:r>
      <w:r w:rsidR="008456EC" w:rsidRPr="004044E8">
        <w:rPr>
          <w:rFonts w:ascii="Arial" w:hAnsi="Arial" w:cs="Arial"/>
        </w:rPr>
        <w:t xml:space="preserve">, </w:t>
      </w:r>
      <w:r w:rsidR="008456EC" w:rsidRPr="004044E8">
        <w:rPr>
          <w:rFonts w:ascii="Arial" w:hAnsi="Arial" w:cs="Arial"/>
          <w:lang w:val="es-EC"/>
        </w:rPr>
        <w:t>que ser</w:t>
      </w:r>
      <w:r w:rsidR="00340290" w:rsidRPr="004044E8">
        <w:rPr>
          <w:rFonts w:ascii="Arial" w:hAnsi="Arial" w:cs="Arial"/>
          <w:lang w:val="es-EC"/>
        </w:rPr>
        <w:t>á</w:t>
      </w:r>
      <w:r w:rsidR="008456EC" w:rsidRPr="004044E8">
        <w:rPr>
          <w:rFonts w:ascii="Arial" w:hAnsi="Arial" w:cs="Arial"/>
          <w:lang w:val="es-EC"/>
        </w:rPr>
        <w:t xml:space="preserve"> proporcionada por los OSE</w:t>
      </w:r>
      <w:r w:rsidRPr="004044E8">
        <w:rPr>
          <w:rFonts w:ascii="Arial" w:hAnsi="Arial" w:cs="Arial"/>
        </w:rPr>
        <w:t xml:space="preserve"> y la presentará al Banco en los formatos y periodicidad que se requiera.</w:t>
      </w:r>
    </w:p>
    <w:p w14:paraId="61C12818" w14:textId="63965949" w:rsidR="00FE1AB7" w:rsidRPr="004044E8" w:rsidRDefault="00FE1AB7" w:rsidP="00C02EF4">
      <w:pPr>
        <w:pStyle w:val="Estilo1"/>
        <w:rPr>
          <w:rFonts w:ascii="Arial" w:hAnsi="Arial" w:cs="Arial"/>
        </w:rPr>
      </w:pPr>
      <w:r w:rsidRPr="004044E8">
        <w:rPr>
          <w:rFonts w:ascii="Arial" w:hAnsi="Arial" w:cs="Arial"/>
        </w:rPr>
        <w:lastRenderedPageBreak/>
        <w:t xml:space="preserve">El </w:t>
      </w:r>
      <w:r w:rsidR="00DA437D" w:rsidRPr="004044E8">
        <w:rPr>
          <w:rFonts w:ascii="Arial" w:hAnsi="Arial" w:cs="Arial"/>
        </w:rPr>
        <w:t>Especialista en Monitoreo y Evaluación (EME-</w:t>
      </w:r>
      <w:r w:rsidR="00BF1EAC" w:rsidRPr="004044E8">
        <w:rPr>
          <w:rFonts w:ascii="Arial" w:hAnsi="Arial" w:cs="Arial"/>
        </w:rPr>
        <w:t>EDG</w:t>
      </w:r>
      <w:r w:rsidR="00DA437D" w:rsidRPr="004044E8">
        <w:rPr>
          <w:rFonts w:ascii="Arial" w:hAnsi="Arial" w:cs="Arial"/>
        </w:rPr>
        <w:t>)</w:t>
      </w:r>
      <w:r w:rsidRPr="004044E8">
        <w:rPr>
          <w:rFonts w:ascii="Arial" w:hAnsi="Arial" w:cs="Arial"/>
        </w:rPr>
        <w:t xml:space="preserve"> preparará un plan de seguimiento en el que se detallará la fuente de información, datos, indicadores, estadísticas, formatos</w:t>
      </w:r>
      <w:r w:rsidR="00DA437D" w:rsidRPr="004044E8">
        <w:rPr>
          <w:rFonts w:ascii="Arial" w:hAnsi="Arial" w:cs="Arial"/>
        </w:rPr>
        <w:t xml:space="preserve">, metodología de cálculo utilizada por cada indicador y su línea de </w:t>
      </w:r>
      <w:r w:rsidR="00361638" w:rsidRPr="004044E8">
        <w:rPr>
          <w:rFonts w:ascii="Arial" w:hAnsi="Arial" w:cs="Arial"/>
        </w:rPr>
        <w:t>base y</w:t>
      </w:r>
      <w:r w:rsidRPr="004044E8">
        <w:rPr>
          <w:rFonts w:ascii="Arial" w:hAnsi="Arial" w:cs="Arial"/>
        </w:rPr>
        <w:t xml:space="preserve"> metodología a ser utilizada para la supervisión de cada una de las actividades del programa</w:t>
      </w:r>
      <w:r w:rsidR="00DA437D" w:rsidRPr="004044E8">
        <w:rPr>
          <w:rFonts w:ascii="Arial" w:hAnsi="Arial" w:cs="Arial"/>
        </w:rPr>
        <w:t>, el cual se deberá adjuntar al Informe Inicial del Programa</w:t>
      </w:r>
      <w:r w:rsidRPr="004044E8">
        <w:rPr>
          <w:rFonts w:ascii="Arial" w:hAnsi="Arial" w:cs="Arial"/>
        </w:rPr>
        <w:t>. Asimismo, preparará los informes semestrales de avance</w:t>
      </w:r>
      <w:r w:rsidR="00DA437D" w:rsidRPr="004044E8">
        <w:rPr>
          <w:rFonts w:ascii="Arial" w:hAnsi="Arial" w:cs="Arial"/>
        </w:rPr>
        <w:t xml:space="preserve"> (ISP)</w:t>
      </w:r>
      <w:r w:rsidRPr="004044E8">
        <w:rPr>
          <w:rFonts w:ascii="Arial" w:hAnsi="Arial" w:cs="Arial"/>
        </w:rPr>
        <w:t xml:space="preserve"> a ser revisados por el </w:t>
      </w:r>
      <w:r w:rsidR="00DA437D" w:rsidRPr="004044E8">
        <w:rPr>
          <w:rFonts w:ascii="Arial" w:hAnsi="Arial" w:cs="Arial"/>
        </w:rPr>
        <w:t>CP-</w:t>
      </w:r>
      <w:r w:rsidR="00BF1EAC" w:rsidRPr="004044E8">
        <w:rPr>
          <w:rFonts w:ascii="Arial" w:hAnsi="Arial" w:cs="Arial"/>
        </w:rPr>
        <w:t>EDG</w:t>
      </w:r>
      <w:r w:rsidRPr="004044E8">
        <w:rPr>
          <w:rFonts w:ascii="Arial" w:hAnsi="Arial" w:cs="Arial"/>
        </w:rPr>
        <w:t>, antes de su revisión por parte del Banco.  El E</w:t>
      </w:r>
      <w:r w:rsidR="00DA437D" w:rsidRPr="004044E8">
        <w:rPr>
          <w:rFonts w:ascii="Arial" w:hAnsi="Arial" w:cs="Arial"/>
        </w:rPr>
        <w:t>ME-</w:t>
      </w:r>
      <w:r w:rsidR="00BF1EAC" w:rsidRPr="004044E8">
        <w:rPr>
          <w:rFonts w:ascii="Arial" w:hAnsi="Arial" w:cs="Arial"/>
        </w:rPr>
        <w:t>EDG</w:t>
      </w:r>
      <w:r w:rsidRPr="004044E8">
        <w:rPr>
          <w:rFonts w:ascii="Arial" w:hAnsi="Arial" w:cs="Arial"/>
        </w:rPr>
        <w:t xml:space="preserve">, con el apoyo </w:t>
      </w:r>
      <w:r w:rsidR="00340290" w:rsidRPr="004044E8">
        <w:rPr>
          <w:rFonts w:ascii="Arial" w:hAnsi="Arial" w:cs="Arial"/>
        </w:rPr>
        <w:t xml:space="preserve">del </w:t>
      </w:r>
      <w:r w:rsidRPr="004044E8">
        <w:rPr>
          <w:rFonts w:ascii="Arial" w:hAnsi="Arial" w:cs="Arial"/>
        </w:rPr>
        <w:t xml:space="preserve">resto del </w:t>
      </w:r>
      <w:r w:rsidR="00BF1EAC" w:rsidRPr="004044E8">
        <w:rPr>
          <w:rFonts w:ascii="Arial" w:hAnsi="Arial" w:cs="Arial"/>
        </w:rPr>
        <w:t>EDG</w:t>
      </w:r>
      <w:r w:rsidR="00340290" w:rsidRPr="004044E8">
        <w:rPr>
          <w:rFonts w:ascii="Arial" w:hAnsi="Arial" w:cs="Arial"/>
        </w:rPr>
        <w:t xml:space="preserve"> y de los OSE</w:t>
      </w:r>
      <w:r w:rsidRPr="004044E8">
        <w:rPr>
          <w:rFonts w:ascii="Arial" w:hAnsi="Arial" w:cs="Arial"/>
        </w:rPr>
        <w:t>, se asegurará</w:t>
      </w:r>
      <w:r w:rsidR="00340290" w:rsidRPr="004044E8">
        <w:rPr>
          <w:rFonts w:ascii="Arial" w:hAnsi="Arial" w:cs="Arial"/>
        </w:rPr>
        <w:t>n</w:t>
      </w:r>
      <w:r w:rsidRPr="004044E8">
        <w:rPr>
          <w:rFonts w:ascii="Arial" w:hAnsi="Arial" w:cs="Arial"/>
        </w:rPr>
        <w:t xml:space="preserve"> </w:t>
      </w:r>
      <w:r w:rsidR="00340290" w:rsidRPr="004044E8">
        <w:rPr>
          <w:rFonts w:ascii="Arial" w:hAnsi="Arial" w:cs="Arial"/>
        </w:rPr>
        <w:t xml:space="preserve">de </w:t>
      </w:r>
      <w:r w:rsidRPr="004044E8">
        <w:rPr>
          <w:rFonts w:ascii="Arial" w:hAnsi="Arial" w:cs="Arial"/>
        </w:rPr>
        <w:t>que los instrumentos y datos necesarios para efectuar el seguimiento est</w:t>
      </w:r>
      <w:r w:rsidR="00DA437D" w:rsidRPr="004044E8">
        <w:rPr>
          <w:rFonts w:ascii="Arial" w:hAnsi="Arial" w:cs="Arial"/>
        </w:rPr>
        <w:t>é</w:t>
      </w:r>
      <w:r w:rsidRPr="004044E8">
        <w:rPr>
          <w:rFonts w:ascii="Arial" w:hAnsi="Arial" w:cs="Arial"/>
        </w:rPr>
        <w:t>n actualizados en aras de que el seguimiento se pueda realizar sin contratiempos</w:t>
      </w:r>
      <w:r w:rsidR="00340290" w:rsidRPr="004044E8">
        <w:rPr>
          <w:rFonts w:ascii="Arial" w:hAnsi="Arial" w:cs="Arial"/>
        </w:rPr>
        <w:t xml:space="preserve">, </w:t>
      </w:r>
      <w:r w:rsidRPr="004044E8">
        <w:rPr>
          <w:rFonts w:ascii="Arial" w:hAnsi="Arial" w:cs="Arial"/>
        </w:rPr>
        <w:t xml:space="preserve">. </w:t>
      </w:r>
    </w:p>
    <w:p w14:paraId="45602439" w14:textId="170529D9" w:rsidR="003E458A" w:rsidRPr="009F019B" w:rsidRDefault="00DA437D" w:rsidP="00C02EF4">
      <w:pPr>
        <w:pStyle w:val="Estilo1"/>
        <w:rPr>
          <w:rFonts w:ascii="Arial" w:hAnsi="Arial" w:cs="Arial"/>
        </w:rPr>
      </w:pPr>
      <w:r w:rsidRPr="004044E8">
        <w:rPr>
          <w:rFonts w:ascii="Arial" w:hAnsi="Arial" w:cs="Arial"/>
        </w:rPr>
        <w:t>El EME-</w:t>
      </w:r>
      <w:r w:rsidR="00BF1EAC" w:rsidRPr="004044E8">
        <w:rPr>
          <w:rFonts w:ascii="Arial" w:hAnsi="Arial" w:cs="Arial"/>
        </w:rPr>
        <w:t>EDG</w:t>
      </w:r>
      <w:r w:rsidRPr="004044E8">
        <w:rPr>
          <w:rFonts w:ascii="Arial" w:hAnsi="Arial" w:cs="Arial"/>
        </w:rPr>
        <w:t>, será el responsable último de gestionar los datos requeridos para el monitoreo de los indicadores, los cuales quedarán reflejados en los ISP</w:t>
      </w:r>
      <w:r w:rsidR="00340290" w:rsidRPr="004044E8">
        <w:rPr>
          <w:rFonts w:ascii="Arial" w:hAnsi="Arial" w:cs="Arial"/>
        </w:rPr>
        <w:t xml:space="preserve">, </w:t>
      </w:r>
      <w:r w:rsidR="00340290" w:rsidRPr="004044E8">
        <w:rPr>
          <w:rFonts w:ascii="Arial" w:hAnsi="Arial" w:cs="Arial"/>
          <w:lang w:val="es-EC"/>
        </w:rPr>
        <w:t>siendo responsabilidad de los OSE la entrega oportuna, completa y en los formatos establecidos de la información requerida por el MEF</w:t>
      </w:r>
      <w:r w:rsidRPr="004044E8">
        <w:rPr>
          <w:rFonts w:ascii="Arial" w:hAnsi="Arial" w:cs="Arial"/>
        </w:rPr>
        <w:t>.</w:t>
      </w:r>
      <w:r w:rsidR="003E458A" w:rsidRPr="004044E8">
        <w:rPr>
          <w:rFonts w:ascii="Arial" w:hAnsi="Arial" w:cs="Arial"/>
        </w:rPr>
        <w:t xml:space="preserve">  </w:t>
      </w:r>
    </w:p>
    <w:p w14:paraId="1A1F8363" w14:textId="79A9D0C4" w:rsidR="003E458A" w:rsidRPr="004044E8" w:rsidRDefault="003E458A" w:rsidP="00C02EF4">
      <w:pPr>
        <w:pStyle w:val="Estilo1"/>
        <w:rPr>
          <w:rFonts w:ascii="Arial" w:hAnsi="Arial" w:cs="Arial"/>
        </w:rPr>
      </w:pPr>
      <w:r w:rsidRPr="009F019B">
        <w:rPr>
          <w:rFonts w:ascii="Arial" w:hAnsi="Arial" w:cs="Arial"/>
        </w:rPr>
        <w:t xml:space="preserve">El </w:t>
      </w:r>
      <w:r w:rsidR="00755BF5" w:rsidRPr="004044E8">
        <w:rPr>
          <w:rFonts w:ascii="Arial" w:hAnsi="Arial" w:cs="Arial"/>
        </w:rPr>
        <w:t>EDG-MEF</w:t>
      </w:r>
      <w:r w:rsidRPr="004044E8">
        <w:rPr>
          <w:rFonts w:ascii="Arial" w:hAnsi="Arial" w:cs="Arial"/>
        </w:rPr>
        <w:t xml:space="preserve"> será el encargado de presentar un informe formal de la autoridad competente del ME</w:t>
      </w:r>
      <w:r w:rsidR="009D4748" w:rsidRPr="004044E8">
        <w:rPr>
          <w:rFonts w:ascii="Arial" w:hAnsi="Arial" w:cs="Arial"/>
        </w:rPr>
        <w:t>F</w:t>
      </w:r>
      <w:r w:rsidRPr="004044E8">
        <w:rPr>
          <w:rFonts w:ascii="Arial" w:hAnsi="Arial" w:cs="Arial"/>
        </w:rPr>
        <w:t xml:space="preserve"> respecto al cumplimiento de los productos establecidos en la </w:t>
      </w:r>
      <w:proofErr w:type="spellStart"/>
      <w:r w:rsidRPr="004044E8">
        <w:rPr>
          <w:rFonts w:ascii="Arial" w:hAnsi="Arial" w:cs="Arial"/>
        </w:rPr>
        <w:t>MdR</w:t>
      </w:r>
      <w:proofErr w:type="spellEnd"/>
      <w:r w:rsidRPr="004044E8">
        <w:rPr>
          <w:rFonts w:ascii="Arial" w:hAnsi="Arial" w:cs="Arial"/>
        </w:rPr>
        <w:t>, dando cumplimiento al medio de verificación establecido.</w:t>
      </w:r>
    </w:p>
    <w:p w14:paraId="54A7F1A5" w14:textId="5F2E670E" w:rsidR="003E458A" w:rsidRPr="004044E8" w:rsidRDefault="003E458A" w:rsidP="00C02EF4">
      <w:pPr>
        <w:pStyle w:val="Estilo1"/>
        <w:rPr>
          <w:rFonts w:ascii="Arial" w:hAnsi="Arial" w:cs="Arial"/>
        </w:rPr>
      </w:pPr>
      <w:r w:rsidRPr="004044E8">
        <w:rPr>
          <w:rFonts w:ascii="Arial" w:hAnsi="Arial" w:cs="Arial"/>
        </w:rPr>
        <w:t xml:space="preserve">El </w:t>
      </w:r>
      <w:r w:rsidR="00755BF5" w:rsidRPr="004044E8">
        <w:rPr>
          <w:rFonts w:ascii="Arial" w:hAnsi="Arial" w:cs="Arial"/>
        </w:rPr>
        <w:t>EDG-MEF</w:t>
      </w:r>
      <w:r w:rsidRPr="004044E8">
        <w:rPr>
          <w:rFonts w:ascii="Arial" w:hAnsi="Arial" w:cs="Arial"/>
        </w:rPr>
        <w:t xml:space="preserve"> estará encargado del monitoreo y seguimiento de los Indicadores de Tracking presentados en la </w:t>
      </w:r>
      <w:proofErr w:type="spellStart"/>
      <w:r w:rsidRPr="004044E8">
        <w:rPr>
          <w:rFonts w:ascii="Arial" w:hAnsi="Arial" w:cs="Arial"/>
        </w:rPr>
        <w:t>MdR</w:t>
      </w:r>
      <w:proofErr w:type="spellEnd"/>
      <w:r w:rsidRPr="004044E8">
        <w:rPr>
          <w:rFonts w:ascii="Arial" w:hAnsi="Arial" w:cs="Arial"/>
        </w:rPr>
        <w:t>, así como de definir la línea de base y metas esperadas para dichos indicadores. También deberá incluir un reporte del avance anual de dichos indicadores en el ISP.</w:t>
      </w:r>
    </w:p>
    <w:p w14:paraId="7FB75D76" w14:textId="77777777" w:rsidR="003E458A" w:rsidRPr="004044E8" w:rsidRDefault="003E458A" w:rsidP="00C02EF4">
      <w:pPr>
        <w:pStyle w:val="Estilo1"/>
        <w:rPr>
          <w:rFonts w:ascii="Arial" w:hAnsi="Arial" w:cs="Arial"/>
        </w:rPr>
      </w:pPr>
      <w:r w:rsidRPr="004044E8">
        <w:rPr>
          <w:rFonts w:ascii="Arial" w:hAnsi="Arial" w:cs="Arial"/>
        </w:rPr>
        <w:t>Los mecanismos e instrumentos que se usarán para informar acerca de los resultados del seguimiento serán una fuente de información para las evaluaciones intermedias y el PCR</w:t>
      </w:r>
    </w:p>
    <w:p w14:paraId="15BC202A" w14:textId="77777777" w:rsidR="00FE1AB7" w:rsidRPr="004044E8" w:rsidRDefault="00FE1AB7" w:rsidP="00EA653C">
      <w:pPr>
        <w:pStyle w:val="Heading3"/>
        <w:rPr>
          <w:rFonts w:ascii="Arial" w:hAnsi="Arial" w:cs="Arial"/>
        </w:rPr>
      </w:pPr>
      <w:r w:rsidRPr="004044E8">
        <w:rPr>
          <w:rFonts w:ascii="Arial" w:hAnsi="Arial" w:cs="Arial"/>
        </w:rPr>
        <w:t>Evaluación del Programa</w:t>
      </w:r>
    </w:p>
    <w:p w14:paraId="65775301" w14:textId="34B51A86" w:rsidR="00545760" w:rsidRPr="004044E8" w:rsidRDefault="00545760" w:rsidP="00C02EF4">
      <w:pPr>
        <w:pStyle w:val="Estilo1"/>
        <w:rPr>
          <w:rFonts w:ascii="Arial" w:hAnsi="Arial" w:cs="Arial"/>
        </w:rPr>
      </w:pPr>
      <w:r w:rsidRPr="004044E8">
        <w:rPr>
          <w:rFonts w:ascii="Arial" w:hAnsi="Arial" w:cs="Arial"/>
        </w:rPr>
        <w:t>El OE realizará una evaluación de medio término y un</w:t>
      </w:r>
      <w:r w:rsidR="004B2B99" w:rsidRPr="004044E8">
        <w:rPr>
          <w:rFonts w:ascii="Arial" w:hAnsi="Arial" w:cs="Arial"/>
        </w:rPr>
        <w:t xml:space="preserve"> reporte de cierre del Programa (PCR) al </w:t>
      </w:r>
      <w:r w:rsidRPr="004044E8">
        <w:rPr>
          <w:rFonts w:ascii="Arial" w:hAnsi="Arial" w:cs="Arial"/>
        </w:rPr>
        <w:t xml:space="preserve">final del proyecto. Los TDR para estas evaluaciones serán acordadas con el Banco antes de la contratación. El </w:t>
      </w:r>
      <w:r w:rsidR="00755BF5" w:rsidRPr="004044E8">
        <w:rPr>
          <w:rFonts w:ascii="Arial" w:hAnsi="Arial" w:cs="Arial"/>
        </w:rPr>
        <w:t>EDG-MEF</w:t>
      </w:r>
      <w:r w:rsidRPr="004044E8">
        <w:rPr>
          <w:rFonts w:ascii="Arial" w:hAnsi="Arial" w:cs="Arial"/>
        </w:rPr>
        <w:t xml:space="preserve"> también </w:t>
      </w:r>
      <w:r w:rsidR="004B2B99" w:rsidRPr="004044E8">
        <w:rPr>
          <w:rFonts w:ascii="Arial" w:hAnsi="Arial" w:cs="Arial"/>
        </w:rPr>
        <w:t xml:space="preserve">contratará </w:t>
      </w:r>
      <w:r w:rsidRPr="004044E8">
        <w:rPr>
          <w:rFonts w:ascii="Arial" w:hAnsi="Arial" w:cs="Arial"/>
        </w:rPr>
        <w:t xml:space="preserve">una evaluación </w:t>
      </w:r>
      <w:r w:rsidR="004B2B99" w:rsidRPr="004044E8">
        <w:rPr>
          <w:rFonts w:ascii="Arial" w:hAnsi="Arial" w:cs="Arial"/>
        </w:rPr>
        <w:t xml:space="preserve">Final del Programa </w:t>
      </w:r>
      <w:r w:rsidRPr="004044E8">
        <w:rPr>
          <w:rFonts w:ascii="Arial" w:hAnsi="Arial" w:cs="Arial"/>
        </w:rPr>
        <w:t>una vez concluida la ejecución del proyecto.</w:t>
      </w:r>
    </w:p>
    <w:p w14:paraId="4D2C2692" w14:textId="1F504517" w:rsidR="000874BA" w:rsidRPr="004044E8" w:rsidRDefault="000874BA" w:rsidP="000874BA">
      <w:pPr>
        <w:pStyle w:val="Heading4"/>
        <w:rPr>
          <w:rFonts w:ascii="Arial" w:hAnsi="Arial" w:cs="Arial"/>
        </w:rPr>
      </w:pPr>
      <w:r w:rsidRPr="004044E8">
        <w:rPr>
          <w:rFonts w:ascii="Arial" w:hAnsi="Arial" w:cs="Arial"/>
        </w:rPr>
        <w:t>Evaluación de Medio Término</w:t>
      </w:r>
    </w:p>
    <w:p w14:paraId="64948556" w14:textId="0C1421DF" w:rsidR="00545760" w:rsidRPr="004044E8" w:rsidRDefault="000874BA" w:rsidP="00C02EF4">
      <w:pPr>
        <w:pStyle w:val="Estilo1"/>
        <w:rPr>
          <w:rFonts w:ascii="Arial" w:hAnsi="Arial" w:cs="Arial"/>
        </w:rPr>
      </w:pPr>
      <w:r w:rsidRPr="004044E8">
        <w:rPr>
          <w:rFonts w:ascii="Arial" w:hAnsi="Arial" w:cs="Arial"/>
        </w:rPr>
        <w:t xml:space="preserve">La evaluación de medio término </w:t>
      </w:r>
      <w:r w:rsidR="00135D82" w:rsidRPr="004044E8">
        <w:rPr>
          <w:rFonts w:ascii="Arial" w:hAnsi="Arial" w:cs="Arial"/>
        </w:rPr>
        <w:t>cuyo reporte se enviará al Banco dentro del plazo de noventa (90) días contados a partir de la fecha en que se haya desembolsado</w:t>
      </w:r>
      <w:r w:rsidR="0037143A" w:rsidRPr="004044E8">
        <w:rPr>
          <w:rFonts w:ascii="Arial" w:hAnsi="Arial" w:cs="Arial"/>
        </w:rPr>
        <w:t xml:space="preserve"> el sesenta por ciento (60%) de los recursos del Préstamo o cuando haya transcurrido treinta (30) meses de ejecución del Proyecto, lo que ocurra primero. </w:t>
      </w:r>
      <w:r w:rsidR="00545760" w:rsidRPr="004044E8">
        <w:rPr>
          <w:rFonts w:ascii="Arial" w:hAnsi="Arial" w:cs="Arial"/>
        </w:rPr>
        <w:t>El objetivo de esta evaluaci</w:t>
      </w:r>
      <w:r w:rsidR="00CC09B4" w:rsidRPr="004044E8">
        <w:rPr>
          <w:rFonts w:ascii="Arial" w:hAnsi="Arial" w:cs="Arial"/>
        </w:rPr>
        <w:t xml:space="preserve">ón, de carácter </w:t>
      </w:r>
      <w:r w:rsidR="00CA3085" w:rsidRPr="004044E8">
        <w:rPr>
          <w:rFonts w:ascii="Arial" w:hAnsi="Arial" w:cs="Arial"/>
        </w:rPr>
        <w:t>descriptivo, será</w:t>
      </w:r>
      <w:r w:rsidR="00545760" w:rsidRPr="004044E8">
        <w:rPr>
          <w:rFonts w:ascii="Arial" w:hAnsi="Arial" w:cs="Arial"/>
        </w:rPr>
        <w:t xml:space="preserve"> determinar el avance del proyecto, el logro de indicadores, resultados y metas</w:t>
      </w:r>
      <w:r w:rsidR="00CC09B4" w:rsidRPr="004044E8">
        <w:rPr>
          <w:rFonts w:ascii="Arial" w:hAnsi="Arial" w:cs="Arial"/>
        </w:rPr>
        <w:t xml:space="preserve"> planteadas en la </w:t>
      </w:r>
      <w:proofErr w:type="spellStart"/>
      <w:r w:rsidR="00CC09B4" w:rsidRPr="004044E8">
        <w:rPr>
          <w:rFonts w:ascii="Arial" w:hAnsi="Arial" w:cs="Arial"/>
        </w:rPr>
        <w:t>MdR</w:t>
      </w:r>
      <w:proofErr w:type="spellEnd"/>
      <w:r w:rsidR="00CC09B4" w:rsidRPr="004044E8">
        <w:rPr>
          <w:rFonts w:ascii="Arial" w:hAnsi="Arial" w:cs="Arial"/>
        </w:rPr>
        <w:t xml:space="preserve"> original y en los PMR.</w:t>
      </w:r>
      <w:r w:rsidR="00465252" w:rsidRPr="004044E8">
        <w:rPr>
          <w:rFonts w:ascii="Arial" w:hAnsi="Arial" w:cs="Arial"/>
        </w:rPr>
        <w:t xml:space="preserve"> </w:t>
      </w:r>
      <w:r w:rsidR="00CC09B4" w:rsidRPr="004044E8">
        <w:rPr>
          <w:rFonts w:ascii="Arial" w:hAnsi="Arial" w:cs="Arial"/>
        </w:rPr>
        <w:t xml:space="preserve"> La </w:t>
      </w:r>
      <w:r w:rsidR="00465252" w:rsidRPr="004044E8">
        <w:rPr>
          <w:rFonts w:ascii="Arial" w:hAnsi="Arial" w:cs="Arial"/>
        </w:rPr>
        <w:t>evaluación</w:t>
      </w:r>
      <w:r w:rsidR="00CC09B4" w:rsidRPr="004044E8">
        <w:rPr>
          <w:rFonts w:ascii="Arial" w:hAnsi="Arial" w:cs="Arial"/>
        </w:rPr>
        <w:t xml:space="preserve"> incluirá un análisis de la implementación del Programa, la identificación de restricciones que han afectado a las soluciones adoptadas y a los resultados obtenidos, y cómo se han resuelto. Se analizará la cadena de resultados y se revisará que los nexos esperados entre productos y resultados/impactos van direccionados hacia el alcance de los resultados propuestos por el Proyecto. </w:t>
      </w:r>
      <w:r w:rsidR="00545760" w:rsidRPr="004044E8">
        <w:rPr>
          <w:rFonts w:ascii="Arial" w:hAnsi="Arial" w:cs="Arial"/>
        </w:rPr>
        <w:t>Durante la evaluación de medio término se realizarán recomendaciones para la ejecución del proyecto y el logro de los objetivos.</w:t>
      </w:r>
    </w:p>
    <w:p w14:paraId="1C7E31F0" w14:textId="45272A30" w:rsidR="00361638" w:rsidRPr="004044E8" w:rsidRDefault="000874BA" w:rsidP="000874BA">
      <w:pPr>
        <w:pStyle w:val="Heading4"/>
        <w:rPr>
          <w:rFonts w:ascii="Arial" w:hAnsi="Arial" w:cs="Arial"/>
        </w:rPr>
      </w:pPr>
      <w:r w:rsidRPr="004044E8">
        <w:rPr>
          <w:rFonts w:ascii="Arial" w:hAnsi="Arial" w:cs="Arial"/>
        </w:rPr>
        <w:t>Evaluación Final</w:t>
      </w:r>
      <w:r w:rsidR="00552488" w:rsidRPr="004044E8">
        <w:rPr>
          <w:rFonts w:ascii="Arial" w:hAnsi="Arial" w:cs="Arial"/>
        </w:rPr>
        <w:t xml:space="preserve"> del Programa</w:t>
      </w:r>
      <w:r w:rsidRPr="004044E8">
        <w:rPr>
          <w:rFonts w:ascii="Arial" w:hAnsi="Arial" w:cs="Arial"/>
        </w:rPr>
        <w:t xml:space="preserve"> </w:t>
      </w:r>
    </w:p>
    <w:p w14:paraId="4E8E8358" w14:textId="26EFB80D" w:rsidR="00001755" w:rsidRPr="004044E8" w:rsidRDefault="00545760" w:rsidP="00C02EF4">
      <w:pPr>
        <w:pStyle w:val="Estilo1"/>
        <w:rPr>
          <w:rFonts w:ascii="Arial" w:hAnsi="Arial" w:cs="Arial"/>
        </w:rPr>
      </w:pPr>
      <w:r w:rsidRPr="004044E8">
        <w:rPr>
          <w:rFonts w:ascii="Arial" w:hAnsi="Arial" w:cs="Arial"/>
        </w:rPr>
        <w:t xml:space="preserve">La evaluación final </w:t>
      </w:r>
      <w:r w:rsidR="00552488" w:rsidRPr="004044E8">
        <w:rPr>
          <w:rFonts w:ascii="Arial" w:hAnsi="Arial" w:cs="Arial"/>
        </w:rPr>
        <w:t xml:space="preserve">del Programa </w:t>
      </w:r>
      <w:r w:rsidR="00001755" w:rsidRPr="004044E8">
        <w:rPr>
          <w:rFonts w:ascii="Arial" w:hAnsi="Arial" w:cs="Arial"/>
        </w:rPr>
        <w:t>cuyo reporte se enviará al Banco dentro de plazo de noventa (90) días contados a partir de la fecha en que se haya desembolsado el noventa y cinco por ciento (95%) de los recursos del Préstamo. La evaluación final, de carácter descriptivo, consistirá en un análisis exhaustivo del Proyecto, similar al formato del Informe de Terminación del Proyecto (PCR por sus siglas en inglés)</w:t>
      </w:r>
      <w:r w:rsidR="00097C74" w:rsidRPr="009F019B">
        <w:rPr>
          <w:rStyle w:val="FootnoteReference"/>
          <w:rFonts w:ascii="Arial" w:hAnsi="Arial" w:cs="Arial"/>
        </w:rPr>
        <w:footnoteReference w:id="38"/>
      </w:r>
      <w:r w:rsidR="00001755" w:rsidRPr="009F019B">
        <w:rPr>
          <w:rFonts w:ascii="Arial" w:hAnsi="Arial" w:cs="Arial"/>
        </w:rPr>
        <w:t xml:space="preserve"> incluyendo los aspectos mencionados para la evaluación intermedia; y el impacto mediante metodologías experimentales (aleatorización por pares), de diferencias en el tiempo y de análisis de atribución, dependiendo de la variable a monitorear.</w:t>
      </w:r>
      <w:r w:rsidR="00097C74" w:rsidRPr="004044E8">
        <w:rPr>
          <w:rFonts w:ascii="Arial" w:hAnsi="Arial" w:cs="Arial"/>
        </w:rPr>
        <w:t xml:space="preserve">  Lo que permitirá contar con evidencia específica sobre la efectividad de este tipo de intervenciones.  Los detalles metodológicos de la Evaluación final se muestran en el Plan de Monitoreo y Evaluación anexo al POD aprobado por el Banco.</w:t>
      </w:r>
    </w:p>
    <w:p w14:paraId="1A8BC39A" w14:textId="39B5FE36" w:rsidR="000874BA" w:rsidRPr="004044E8" w:rsidRDefault="000874BA" w:rsidP="00C02EF4">
      <w:pPr>
        <w:pStyle w:val="Estilo1"/>
        <w:rPr>
          <w:rFonts w:ascii="Arial" w:hAnsi="Arial" w:cs="Arial"/>
        </w:rPr>
      </w:pPr>
      <w:r w:rsidRPr="004044E8">
        <w:rPr>
          <w:rFonts w:ascii="Arial" w:hAnsi="Arial" w:cs="Arial"/>
        </w:rPr>
        <w:t xml:space="preserve">La evaluación final analizará el impacto mediante metodologías experimentales (aleatorización por pares), de diferencias en el tiempo y de análisis de atribución, dependiendo de la variable a monitorear. </w:t>
      </w:r>
    </w:p>
    <w:p w14:paraId="64A81619" w14:textId="2AD0ABDB" w:rsidR="00EA49CC" w:rsidRPr="004044E8" w:rsidRDefault="004A2C67" w:rsidP="00FA4527">
      <w:pPr>
        <w:pStyle w:val="Heading1"/>
        <w:rPr>
          <w:rFonts w:ascii="Arial" w:hAnsi="Arial" w:cs="Arial"/>
        </w:rPr>
      </w:pPr>
      <w:bookmarkStart w:id="70" w:name="_Toc454056462"/>
      <w:bookmarkStart w:id="71" w:name="_Toc10223119"/>
      <w:r w:rsidRPr="004044E8">
        <w:rPr>
          <w:rFonts w:ascii="Arial" w:hAnsi="Arial" w:cs="Arial"/>
        </w:rPr>
        <w:lastRenderedPageBreak/>
        <w:t xml:space="preserve">Estructura </w:t>
      </w:r>
      <w:r w:rsidR="00EA49CC" w:rsidRPr="004044E8">
        <w:rPr>
          <w:rFonts w:ascii="Arial" w:hAnsi="Arial" w:cs="Arial"/>
        </w:rPr>
        <w:t>Administra</w:t>
      </w:r>
      <w:r w:rsidRPr="004044E8">
        <w:rPr>
          <w:rFonts w:ascii="Arial" w:hAnsi="Arial" w:cs="Arial"/>
        </w:rPr>
        <w:t>tiva</w:t>
      </w:r>
      <w:r w:rsidR="00197CAF" w:rsidRPr="004044E8">
        <w:rPr>
          <w:rFonts w:ascii="Arial" w:hAnsi="Arial" w:cs="Arial"/>
        </w:rPr>
        <w:t xml:space="preserve"> </w:t>
      </w:r>
      <w:r w:rsidR="00391896" w:rsidRPr="004044E8">
        <w:rPr>
          <w:rFonts w:ascii="Arial" w:hAnsi="Arial" w:cs="Arial"/>
        </w:rPr>
        <w:t xml:space="preserve">para la </w:t>
      </w:r>
      <w:r w:rsidR="00E87B61" w:rsidRPr="004044E8">
        <w:rPr>
          <w:rFonts w:ascii="Arial" w:hAnsi="Arial" w:cs="Arial"/>
        </w:rPr>
        <w:t xml:space="preserve">Gestión </w:t>
      </w:r>
      <w:r w:rsidR="00EA49CC" w:rsidRPr="004044E8">
        <w:rPr>
          <w:rFonts w:ascii="Arial" w:hAnsi="Arial" w:cs="Arial"/>
        </w:rPr>
        <w:t>el Programa</w:t>
      </w:r>
      <w:bookmarkEnd w:id="69"/>
      <w:bookmarkEnd w:id="70"/>
      <w:bookmarkEnd w:id="71"/>
    </w:p>
    <w:p w14:paraId="7FB38158" w14:textId="77777777" w:rsidR="001274C4" w:rsidRPr="004044E8" w:rsidRDefault="001274C4" w:rsidP="00FD0DF3">
      <w:pPr>
        <w:pStyle w:val="Heading2"/>
        <w:numPr>
          <w:ilvl w:val="0"/>
          <w:numId w:val="28"/>
        </w:numPr>
        <w:rPr>
          <w:rFonts w:ascii="Arial" w:hAnsi="Arial" w:cs="Arial"/>
        </w:rPr>
      </w:pPr>
      <w:bookmarkStart w:id="72" w:name="_Toc10223120"/>
      <w:bookmarkStart w:id="73" w:name="_Toc424879205"/>
      <w:bookmarkStart w:id="74" w:name="_Toc446407144"/>
      <w:r w:rsidRPr="004044E8">
        <w:rPr>
          <w:rFonts w:ascii="Arial" w:hAnsi="Arial" w:cs="Arial"/>
        </w:rPr>
        <w:t>Funciones y Responsabilidades del MEF como Ejecutor del Programa</w:t>
      </w:r>
      <w:bookmarkEnd w:id="72"/>
    </w:p>
    <w:p w14:paraId="247604B5" w14:textId="77777777" w:rsidR="001274C4" w:rsidRPr="004044E8" w:rsidRDefault="001274C4" w:rsidP="00C02EF4">
      <w:pPr>
        <w:pStyle w:val="numeradorom"/>
        <w:numPr>
          <w:ilvl w:val="2"/>
          <w:numId w:val="29"/>
        </w:numPr>
        <w:rPr>
          <w:rFonts w:ascii="Arial" w:hAnsi="Arial" w:cs="Arial"/>
        </w:rPr>
      </w:pPr>
      <w:r w:rsidRPr="004044E8">
        <w:rPr>
          <w:rFonts w:ascii="Arial" w:hAnsi="Arial" w:cs="Arial"/>
        </w:rPr>
        <w:t xml:space="preserve">Asegurar el cumplimiento de las cláusulas establecidas en el contrato de Préstamo, el ROP y dar cumplimiento de las condiciones generales y específicas previas al primer desembolso. </w:t>
      </w:r>
    </w:p>
    <w:p w14:paraId="5E9F516B" w14:textId="11D9DE85" w:rsidR="001274C4" w:rsidRPr="004044E8" w:rsidRDefault="001274C4" w:rsidP="00C02EF4">
      <w:pPr>
        <w:pStyle w:val="numeradorom"/>
        <w:rPr>
          <w:rFonts w:ascii="Arial" w:hAnsi="Arial" w:cs="Arial"/>
        </w:rPr>
      </w:pPr>
      <w:r w:rsidRPr="004044E8">
        <w:rPr>
          <w:rFonts w:ascii="Arial" w:hAnsi="Arial" w:cs="Arial"/>
        </w:rPr>
        <w:t>Conformar un Equipo de Gestión del Programa (</w:t>
      </w:r>
      <w:r w:rsidR="00BF1EAC" w:rsidRPr="004044E8">
        <w:rPr>
          <w:rFonts w:ascii="Arial" w:hAnsi="Arial" w:cs="Arial"/>
        </w:rPr>
        <w:t>EDG</w:t>
      </w:r>
      <w:r w:rsidRPr="004044E8">
        <w:rPr>
          <w:rFonts w:ascii="Arial" w:hAnsi="Arial" w:cs="Arial"/>
        </w:rPr>
        <w:t>) e informar al Banco de su composición.</w:t>
      </w:r>
    </w:p>
    <w:p w14:paraId="21036285" w14:textId="35B6E9C1" w:rsidR="001274C4" w:rsidRPr="004044E8" w:rsidRDefault="001274C4" w:rsidP="00C02EF4">
      <w:pPr>
        <w:pStyle w:val="numeradorom"/>
        <w:rPr>
          <w:rFonts w:ascii="Arial" w:hAnsi="Arial" w:cs="Arial"/>
        </w:rPr>
      </w:pPr>
      <w:r w:rsidRPr="004044E8">
        <w:rPr>
          <w:rFonts w:ascii="Arial" w:hAnsi="Arial" w:cs="Arial"/>
        </w:rPr>
        <w:t xml:space="preserve">Fortalecer al </w:t>
      </w:r>
      <w:r w:rsidR="00755BF5" w:rsidRPr="004044E8">
        <w:rPr>
          <w:rFonts w:ascii="Arial" w:hAnsi="Arial" w:cs="Arial"/>
        </w:rPr>
        <w:t>EDG-MEF</w:t>
      </w:r>
      <w:r w:rsidRPr="004044E8">
        <w:rPr>
          <w:rFonts w:ascii="Arial" w:hAnsi="Arial" w:cs="Arial"/>
        </w:rPr>
        <w:t xml:space="preserve"> a fin de que asuma la responsabilidad de la coordinación global de la ejecución y seguimiento del Programa.</w:t>
      </w:r>
    </w:p>
    <w:p w14:paraId="19E74A55" w14:textId="77777777" w:rsidR="001274C4" w:rsidRPr="004044E8" w:rsidRDefault="001274C4" w:rsidP="00C02EF4">
      <w:pPr>
        <w:pStyle w:val="numeradorom"/>
        <w:rPr>
          <w:rFonts w:ascii="Arial" w:hAnsi="Arial" w:cs="Arial"/>
        </w:rPr>
      </w:pPr>
      <w:r w:rsidRPr="004044E8">
        <w:rPr>
          <w:rFonts w:ascii="Arial" w:hAnsi="Arial" w:cs="Arial"/>
        </w:rPr>
        <w:t>Asegurar la Priorización y el espacio presupuestario del Proyecto de Inversión a través del cual se ejecutarán las actividades contempladas en el Programa.</w:t>
      </w:r>
    </w:p>
    <w:p w14:paraId="591B5354" w14:textId="77777777" w:rsidR="001274C4" w:rsidRPr="004044E8" w:rsidRDefault="001274C4" w:rsidP="00C02EF4">
      <w:pPr>
        <w:pStyle w:val="numeradorom"/>
        <w:rPr>
          <w:rFonts w:ascii="Arial" w:hAnsi="Arial" w:cs="Arial"/>
        </w:rPr>
      </w:pPr>
      <w:r w:rsidRPr="004044E8">
        <w:rPr>
          <w:rFonts w:ascii="Arial" w:hAnsi="Arial" w:cs="Arial"/>
        </w:rPr>
        <w:t>Contratar y presentar al Banco las evaluaciones y las auditorias del Programa.</w:t>
      </w:r>
    </w:p>
    <w:p w14:paraId="08589D0E" w14:textId="77777777" w:rsidR="001274C4" w:rsidRPr="004044E8" w:rsidRDefault="001274C4" w:rsidP="00A56329">
      <w:pPr>
        <w:pStyle w:val="numeradorom"/>
        <w:rPr>
          <w:rFonts w:ascii="Arial" w:hAnsi="Arial" w:cs="Arial"/>
        </w:rPr>
      </w:pPr>
      <w:r w:rsidRPr="004044E8">
        <w:rPr>
          <w:rFonts w:ascii="Arial" w:hAnsi="Arial" w:cs="Arial"/>
        </w:rPr>
        <w:t xml:space="preserve">Facilitar los mecanismos necesarios para agilizar y garantizar la ejecución oportuna de los productos del Programa. </w:t>
      </w:r>
    </w:p>
    <w:p w14:paraId="4A8DC5E7" w14:textId="77777777" w:rsidR="001274C4" w:rsidRPr="004044E8" w:rsidRDefault="001274C4" w:rsidP="00DE3867">
      <w:pPr>
        <w:pStyle w:val="numeradorom"/>
        <w:rPr>
          <w:rFonts w:ascii="Arial" w:hAnsi="Arial" w:cs="Arial"/>
        </w:rPr>
      </w:pPr>
      <w:r w:rsidRPr="004044E8">
        <w:rPr>
          <w:rFonts w:ascii="Arial" w:hAnsi="Arial" w:cs="Arial"/>
        </w:rPr>
        <w:t xml:space="preserve">Facilitar los requerimientos de información, mecanismos y periodos de rendición de cuentas para mantener actualizado el estado de avance del Programa. </w:t>
      </w:r>
    </w:p>
    <w:p w14:paraId="3BEE0204" w14:textId="407E7B4E" w:rsidR="001274C4" w:rsidRPr="009F019B" w:rsidRDefault="001274C4" w:rsidP="00DE3867">
      <w:pPr>
        <w:pStyle w:val="numeradorom"/>
        <w:rPr>
          <w:rFonts w:ascii="Arial" w:hAnsi="Arial" w:cs="Arial"/>
        </w:rPr>
      </w:pPr>
      <w:r w:rsidRPr="004044E8">
        <w:rPr>
          <w:rFonts w:ascii="Arial" w:hAnsi="Arial" w:cs="Arial"/>
        </w:rPr>
        <w:t xml:space="preserve">Apoyar al </w:t>
      </w:r>
      <w:r w:rsidR="00755BF5" w:rsidRPr="004044E8">
        <w:rPr>
          <w:rFonts w:ascii="Arial" w:hAnsi="Arial" w:cs="Arial"/>
        </w:rPr>
        <w:t>EDG-MEF</w:t>
      </w:r>
      <w:r w:rsidRPr="004044E8">
        <w:rPr>
          <w:rFonts w:ascii="Arial" w:hAnsi="Arial" w:cs="Arial"/>
        </w:rPr>
        <w:t xml:space="preserve"> en la provisión de los siguientes servicios: (i) asesoría jurídica en normativas y procedimientos; (</w:t>
      </w:r>
      <w:proofErr w:type="spellStart"/>
      <w:r w:rsidRPr="004044E8">
        <w:rPr>
          <w:rFonts w:ascii="Arial" w:hAnsi="Arial" w:cs="Arial"/>
        </w:rPr>
        <w:t>ii</w:t>
      </w:r>
      <w:proofErr w:type="spellEnd"/>
      <w:r w:rsidRPr="004044E8">
        <w:rPr>
          <w:rFonts w:ascii="Arial" w:hAnsi="Arial" w:cs="Arial"/>
        </w:rPr>
        <w:t>) apoyo financiero y contable; (</w:t>
      </w:r>
      <w:proofErr w:type="spellStart"/>
      <w:r w:rsidRPr="004044E8">
        <w:rPr>
          <w:rFonts w:ascii="Arial" w:hAnsi="Arial" w:cs="Arial"/>
        </w:rPr>
        <w:t>iii</w:t>
      </w:r>
      <w:proofErr w:type="spellEnd"/>
      <w:r w:rsidRPr="004044E8">
        <w:rPr>
          <w:rFonts w:ascii="Arial" w:hAnsi="Arial" w:cs="Arial"/>
        </w:rPr>
        <w:t>) servicios informáticos; (</w:t>
      </w:r>
      <w:proofErr w:type="spellStart"/>
      <w:r w:rsidRPr="004044E8">
        <w:rPr>
          <w:rFonts w:ascii="Arial" w:hAnsi="Arial" w:cs="Arial"/>
        </w:rPr>
        <w:t>iv</w:t>
      </w:r>
      <w:proofErr w:type="spellEnd"/>
      <w:r w:rsidRPr="004044E8">
        <w:rPr>
          <w:rFonts w:ascii="Arial" w:hAnsi="Arial" w:cs="Arial"/>
        </w:rPr>
        <w:t>) administración del talento humano; y (v) servicios de logística</w:t>
      </w:r>
      <w:r w:rsidRPr="009F019B">
        <w:rPr>
          <w:rStyle w:val="FootnoteReference"/>
          <w:rFonts w:ascii="Arial" w:hAnsi="Arial" w:cs="Arial"/>
        </w:rPr>
        <w:footnoteReference w:id="39"/>
      </w:r>
      <w:r w:rsidRPr="009F019B">
        <w:rPr>
          <w:rFonts w:ascii="Arial" w:hAnsi="Arial" w:cs="Arial"/>
        </w:rPr>
        <w:t xml:space="preserve">. </w:t>
      </w:r>
    </w:p>
    <w:p w14:paraId="34D017CA" w14:textId="13A1E017" w:rsidR="001274C4" w:rsidRPr="004044E8" w:rsidRDefault="001274C4" w:rsidP="001C7188">
      <w:pPr>
        <w:pStyle w:val="Heading2"/>
        <w:rPr>
          <w:rFonts w:ascii="Arial" w:hAnsi="Arial" w:cs="Arial"/>
        </w:rPr>
      </w:pPr>
      <w:bookmarkStart w:id="75" w:name="_Toc10223121"/>
      <w:r w:rsidRPr="004044E8">
        <w:rPr>
          <w:rFonts w:ascii="Arial" w:hAnsi="Arial" w:cs="Arial"/>
        </w:rPr>
        <w:t>El Equipo de Gestión del Programa (</w:t>
      </w:r>
      <w:r w:rsidR="00BF1EAC" w:rsidRPr="004044E8">
        <w:rPr>
          <w:rFonts w:ascii="Arial" w:hAnsi="Arial" w:cs="Arial"/>
        </w:rPr>
        <w:t>EDG</w:t>
      </w:r>
      <w:r w:rsidRPr="004044E8">
        <w:rPr>
          <w:rFonts w:ascii="Arial" w:hAnsi="Arial" w:cs="Arial"/>
        </w:rPr>
        <w:t>)</w:t>
      </w:r>
      <w:bookmarkEnd w:id="75"/>
    </w:p>
    <w:p w14:paraId="2E2D6D09" w14:textId="1637634F" w:rsidR="001274C4" w:rsidRPr="004044E8" w:rsidRDefault="001274C4" w:rsidP="00C02EF4">
      <w:pPr>
        <w:pStyle w:val="Estilo1"/>
        <w:rPr>
          <w:rFonts w:ascii="Arial" w:hAnsi="Arial" w:cs="Arial"/>
        </w:rPr>
      </w:pPr>
      <w:r w:rsidRPr="004044E8">
        <w:rPr>
          <w:rFonts w:ascii="Arial" w:hAnsi="Arial" w:cs="Arial"/>
        </w:rPr>
        <w:t xml:space="preserve">El </w:t>
      </w:r>
      <w:r w:rsidR="00755BF5" w:rsidRPr="004044E8">
        <w:rPr>
          <w:rFonts w:ascii="Arial" w:hAnsi="Arial" w:cs="Arial"/>
        </w:rPr>
        <w:t>EDG-MEF</w:t>
      </w:r>
      <w:r w:rsidRPr="004044E8">
        <w:rPr>
          <w:rFonts w:ascii="Arial" w:hAnsi="Arial" w:cs="Arial"/>
        </w:rPr>
        <w:t xml:space="preserve">, coordinará la ejecución integral y el seguimiento del Programa y actuará como contraparte ante el Banco y como representante del Programa ante otros Organismos que participen en la ejecución del mismo. El </w:t>
      </w:r>
      <w:r w:rsidR="00755BF5" w:rsidRPr="004044E8">
        <w:rPr>
          <w:rFonts w:ascii="Arial" w:hAnsi="Arial" w:cs="Arial"/>
        </w:rPr>
        <w:t>EDG-MEF</w:t>
      </w:r>
      <w:r w:rsidRPr="004044E8">
        <w:rPr>
          <w:rFonts w:ascii="Arial" w:hAnsi="Arial" w:cs="Arial"/>
        </w:rPr>
        <w:t xml:space="preserve"> estará constituido por un Coordinador del Proyecto (CP-</w:t>
      </w:r>
      <w:r w:rsidR="00BF1EAC" w:rsidRPr="004044E8">
        <w:rPr>
          <w:rFonts w:ascii="Arial" w:hAnsi="Arial" w:cs="Arial"/>
        </w:rPr>
        <w:t>EDG</w:t>
      </w:r>
      <w:r w:rsidRPr="004044E8">
        <w:rPr>
          <w:rFonts w:ascii="Arial" w:hAnsi="Arial" w:cs="Arial"/>
        </w:rPr>
        <w:t>), un Especialista de Adquisiciones (EA-</w:t>
      </w:r>
      <w:r w:rsidR="00BF1EAC" w:rsidRPr="004044E8">
        <w:rPr>
          <w:rFonts w:ascii="Arial" w:hAnsi="Arial" w:cs="Arial"/>
        </w:rPr>
        <w:t>EDG</w:t>
      </w:r>
      <w:r w:rsidRPr="004044E8">
        <w:rPr>
          <w:rFonts w:ascii="Arial" w:hAnsi="Arial" w:cs="Arial"/>
        </w:rPr>
        <w:t>), un Especialista Financiero (EF-</w:t>
      </w:r>
      <w:r w:rsidR="00BF1EAC" w:rsidRPr="004044E8">
        <w:rPr>
          <w:rFonts w:ascii="Arial" w:hAnsi="Arial" w:cs="Arial"/>
        </w:rPr>
        <w:t>EDG</w:t>
      </w:r>
      <w:r w:rsidRPr="004044E8">
        <w:rPr>
          <w:rFonts w:ascii="Arial" w:hAnsi="Arial" w:cs="Arial"/>
        </w:rPr>
        <w:t>), un Especialista en Monitoreo y Evaluación (EME-</w:t>
      </w:r>
      <w:r w:rsidR="00BF1EAC" w:rsidRPr="004044E8">
        <w:rPr>
          <w:rFonts w:ascii="Arial" w:hAnsi="Arial" w:cs="Arial"/>
        </w:rPr>
        <w:t>EDG</w:t>
      </w:r>
      <w:r w:rsidRPr="004044E8">
        <w:rPr>
          <w:rFonts w:ascii="Arial" w:hAnsi="Arial" w:cs="Arial"/>
        </w:rPr>
        <w:t>) y un Especialista de Procesos (EP-</w:t>
      </w:r>
      <w:r w:rsidR="00BF1EAC" w:rsidRPr="004044E8">
        <w:rPr>
          <w:rFonts w:ascii="Arial" w:hAnsi="Arial" w:cs="Arial"/>
        </w:rPr>
        <w:t>EDG</w:t>
      </w:r>
      <w:r w:rsidRPr="004044E8">
        <w:rPr>
          <w:rFonts w:ascii="Arial" w:hAnsi="Arial" w:cs="Arial"/>
        </w:rPr>
        <w:t>).</w:t>
      </w:r>
    </w:p>
    <w:p w14:paraId="1FBCC524" w14:textId="167005F6" w:rsidR="001274C4" w:rsidRPr="004044E8" w:rsidRDefault="001274C4" w:rsidP="00C02EF4">
      <w:pPr>
        <w:pStyle w:val="Estilo1"/>
        <w:rPr>
          <w:rFonts w:ascii="Arial" w:hAnsi="Arial" w:cs="Arial"/>
        </w:rPr>
      </w:pPr>
      <w:r w:rsidRPr="004044E8">
        <w:rPr>
          <w:rFonts w:ascii="Arial" w:hAnsi="Arial" w:cs="Arial"/>
        </w:rPr>
        <w:t xml:space="preserve">El </w:t>
      </w:r>
      <w:r w:rsidR="00BF1EAC" w:rsidRPr="004044E8">
        <w:rPr>
          <w:rFonts w:ascii="Arial" w:hAnsi="Arial" w:cs="Arial"/>
        </w:rPr>
        <w:t>EDG</w:t>
      </w:r>
      <w:r w:rsidRPr="004044E8">
        <w:rPr>
          <w:rFonts w:ascii="Arial" w:hAnsi="Arial" w:cs="Arial"/>
        </w:rPr>
        <w:t xml:space="preserve"> será designado conforme a TDR y perfiles aprobados previamente por el Banco, su conformación será condición previa al primer desembolso. Cualquier modificación en la composición del </w:t>
      </w:r>
      <w:r w:rsidR="00BF1EAC" w:rsidRPr="004044E8">
        <w:rPr>
          <w:rFonts w:ascii="Arial" w:hAnsi="Arial" w:cs="Arial"/>
        </w:rPr>
        <w:t>EDG</w:t>
      </w:r>
      <w:r w:rsidRPr="004044E8">
        <w:rPr>
          <w:rFonts w:ascii="Arial" w:hAnsi="Arial" w:cs="Arial"/>
        </w:rPr>
        <w:t xml:space="preserve"> deberá ser notificado al Banco para su aprobación. </w:t>
      </w:r>
    </w:p>
    <w:p w14:paraId="27E3CBDF" w14:textId="75BA0B81" w:rsidR="001274C4" w:rsidRPr="004044E8" w:rsidRDefault="001274C4" w:rsidP="001C7188">
      <w:pPr>
        <w:pStyle w:val="Heading2"/>
        <w:rPr>
          <w:rFonts w:ascii="Arial" w:hAnsi="Arial" w:cs="Arial"/>
        </w:rPr>
      </w:pPr>
      <w:bookmarkStart w:id="76" w:name="_Toc10223122"/>
      <w:r w:rsidRPr="004044E8">
        <w:rPr>
          <w:rFonts w:ascii="Arial" w:hAnsi="Arial" w:cs="Arial"/>
        </w:rPr>
        <w:t xml:space="preserve">Funciones y Responsabilidades del </w:t>
      </w:r>
      <w:r w:rsidR="00755BF5" w:rsidRPr="004044E8">
        <w:rPr>
          <w:rFonts w:ascii="Arial" w:hAnsi="Arial" w:cs="Arial"/>
        </w:rPr>
        <w:t>EDG-MEF</w:t>
      </w:r>
      <w:r w:rsidRPr="004044E8">
        <w:rPr>
          <w:rFonts w:ascii="Arial" w:hAnsi="Arial" w:cs="Arial"/>
        </w:rPr>
        <w:t xml:space="preserve"> para la Ejecución del Programa</w:t>
      </w:r>
      <w:bookmarkEnd w:id="76"/>
    </w:p>
    <w:p w14:paraId="69110306" w14:textId="77777777" w:rsidR="001274C4" w:rsidRPr="004044E8" w:rsidRDefault="001274C4" w:rsidP="00C02EF4">
      <w:pPr>
        <w:pStyle w:val="numeradorom"/>
        <w:numPr>
          <w:ilvl w:val="2"/>
          <w:numId w:val="14"/>
        </w:numPr>
        <w:rPr>
          <w:rFonts w:ascii="Arial" w:hAnsi="Arial" w:cs="Arial"/>
        </w:rPr>
      </w:pPr>
      <w:r w:rsidRPr="004044E8">
        <w:rPr>
          <w:rFonts w:ascii="Arial" w:hAnsi="Arial" w:cs="Arial"/>
        </w:rPr>
        <w:t xml:space="preserve">Dar cumplimiento a las funciones descritas en el numeral 4.03 del Anexo Único del Contrato de Préstamo </w:t>
      </w:r>
    </w:p>
    <w:p w14:paraId="4CADF54A" w14:textId="77777777" w:rsidR="001274C4" w:rsidRPr="004044E8" w:rsidRDefault="001274C4" w:rsidP="00C02EF4">
      <w:pPr>
        <w:pStyle w:val="numeradorom"/>
        <w:rPr>
          <w:rFonts w:ascii="Arial" w:hAnsi="Arial" w:cs="Arial"/>
        </w:rPr>
      </w:pPr>
      <w:r w:rsidRPr="004044E8">
        <w:rPr>
          <w:rFonts w:ascii="Arial" w:hAnsi="Arial" w:cs="Arial"/>
        </w:rPr>
        <w:t xml:space="preserve">Ejecutar el Programa de acuerdo con los objetivos del mismo y a las disposiciones del Contrato de Préstamo, los planes, especificaciones, cronogramas, presupuestos, reglamentos y demás documentos pertinentes al Programa, aprobados por el Banco, a fin de contribuir con el cumplimiento de los resultados esperados. </w:t>
      </w:r>
    </w:p>
    <w:p w14:paraId="48A7F83E" w14:textId="77777777" w:rsidR="001274C4" w:rsidRPr="004044E8" w:rsidRDefault="001274C4" w:rsidP="00C02EF4">
      <w:pPr>
        <w:pStyle w:val="numeradorom"/>
        <w:rPr>
          <w:rFonts w:ascii="Arial" w:hAnsi="Arial" w:cs="Arial"/>
        </w:rPr>
      </w:pPr>
      <w:r w:rsidRPr="004044E8">
        <w:rPr>
          <w:rFonts w:ascii="Arial" w:hAnsi="Arial" w:cs="Arial"/>
        </w:rPr>
        <w:t>Mantener controles internos tendientes a asegurar razonablemente, que: (i) los recursos del Programa sean utilizados para los propósitos del contrato de Préstamo, con especial atención a los principios de economía, eficiencia y transparencia bajo las normas de financiamiento externo que rigen dicho contrato; (</w:t>
      </w:r>
      <w:proofErr w:type="spellStart"/>
      <w:r w:rsidRPr="004044E8">
        <w:rPr>
          <w:rFonts w:ascii="Arial" w:hAnsi="Arial" w:cs="Arial"/>
        </w:rPr>
        <w:t>ii</w:t>
      </w:r>
      <w:proofErr w:type="spellEnd"/>
      <w:r w:rsidRPr="004044E8">
        <w:rPr>
          <w:rFonts w:ascii="Arial" w:hAnsi="Arial" w:cs="Arial"/>
        </w:rPr>
        <w:t>) los activos del Programa sean adecuadamente custodiados, protegidos, conservados y salvaguardados; (</w:t>
      </w:r>
      <w:proofErr w:type="spellStart"/>
      <w:r w:rsidRPr="004044E8">
        <w:rPr>
          <w:rFonts w:ascii="Arial" w:hAnsi="Arial" w:cs="Arial"/>
        </w:rPr>
        <w:t>iii</w:t>
      </w:r>
      <w:proofErr w:type="spellEnd"/>
      <w:r w:rsidRPr="004044E8">
        <w:rPr>
          <w:rFonts w:ascii="Arial" w:hAnsi="Arial" w:cs="Arial"/>
        </w:rPr>
        <w:t>) las transacciones, decisiones y actividades del programa sean debidamente autorizadas y ejecutadas de acuerdo con las disposiciones del Contrato de Préstamo y de cualquier otro contrato relacionado con el Programa; y (</w:t>
      </w:r>
      <w:proofErr w:type="spellStart"/>
      <w:r w:rsidRPr="004044E8">
        <w:rPr>
          <w:rFonts w:ascii="Arial" w:hAnsi="Arial" w:cs="Arial"/>
        </w:rPr>
        <w:t>iv</w:t>
      </w:r>
      <w:proofErr w:type="spellEnd"/>
      <w:r w:rsidRPr="004044E8">
        <w:rPr>
          <w:rFonts w:ascii="Arial" w:hAnsi="Arial" w:cs="Arial"/>
        </w:rPr>
        <w:t>) las transacciones sean apropiadamente documentadas y sean registradas de forma que puedan producirse informes y reportes oportunos y confiables.</w:t>
      </w:r>
    </w:p>
    <w:p w14:paraId="6EEB2CA0" w14:textId="77777777" w:rsidR="001274C4" w:rsidRPr="004044E8" w:rsidRDefault="001274C4" w:rsidP="00C02EF4">
      <w:pPr>
        <w:pStyle w:val="numeradorom"/>
        <w:rPr>
          <w:rFonts w:ascii="Arial" w:hAnsi="Arial" w:cs="Arial"/>
        </w:rPr>
      </w:pPr>
      <w:r w:rsidRPr="004044E8">
        <w:rPr>
          <w:rFonts w:ascii="Arial" w:hAnsi="Arial" w:cs="Arial"/>
        </w:rPr>
        <w:t>Mantener un sistema de gestión financiera aceptable y confiable que permita oportunamente, en lo que concierne a los recursos del Programa: (i) la planificación financiera; (</w:t>
      </w:r>
      <w:proofErr w:type="spellStart"/>
      <w:r w:rsidRPr="004044E8">
        <w:rPr>
          <w:rFonts w:ascii="Arial" w:hAnsi="Arial" w:cs="Arial"/>
        </w:rPr>
        <w:t>ii</w:t>
      </w:r>
      <w:proofErr w:type="spellEnd"/>
      <w:r w:rsidRPr="004044E8">
        <w:rPr>
          <w:rFonts w:ascii="Arial" w:hAnsi="Arial" w:cs="Arial"/>
        </w:rPr>
        <w:t>) el registro contable, presupuestario y financiero; (</w:t>
      </w:r>
      <w:proofErr w:type="spellStart"/>
      <w:r w:rsidRPr="004044E8">
        <w:rPr>
          <w:rFonts w:ascii="Arial" w:hAnsi="Arial" w:cs="Arial"/>
        </w:rPr>
        <w:t>iii</w:t>
      </w:r>
      <w:proofErr w:type="spellEnd"/>
      <w:r w:rsidRPr="004044E8">
        <w:rPr>
          <w:rFonts w:ascii="Arial" w:hAnsi="Arial" w:cs="Arial"/>
        </w:rPr>
        <w:t>) la administración de contratos; (</w:t>
      </w:r>
      <w:proofErr w:type="spellStart"/>
      <w:r w:rsidRPr="004044E8">
        <w:rPr>
          <w:rFonts w:ascii="Arial" w:hAnsi="Arial" w:cs="Arial"/>
        </w:rPr>
        <w:t>iv</w:t>
      </w:r>
      <w:proofErr w:type="spellEnd"/>
      <w:r w:rsidRPr="004044E8">
        <w:rPr>
          <w:rFonts w:ascii="Arial" w:hAnsi="Arial" w:cs="Arial"/>
        </w:rPr>
        <w:t xml:space="preserve">) la realización de pagos; y (v) la emisión de informes de auditoría financiera y de otros informes relacionados con </w:t>
      </w:r>
      <w:r w:rsidRPr="004044E8">
        <w:rPr>
          <w:rFonts w:ascii="Arial" w:hAnsi="Arial" w:cs="Arial"/>
        </w:rPr>
        <w:lastRenderedPageBreak/>
        <w:t>los recursos del Préstamo, del Aporte Local y de otras fuentes de financiamiento del Proyecto, si fuera el caso.</w:t>
      </w:r>
    </w:p>
    <w:p w14:paraId="4F1BE89D" w14:textId="77777777" w:rsidR="001274C4" w:rsidRPr="004044E8" w:rsidRDefault="001274C4" w:rsidP="00C02EF4">
      <w:pPr>
        <w:pStyle w:val="numeradorom"/>
        <w:rPr>
          <w:rFonts w:ascii="Arial" w:hAnsi="Arial" w:cs="Arial"/>
        </w:rPr>
      </w:pPr>
      <w:r w:rsidRPr="004044E8">
        <w:rPr>
          <w:rFonts w:ascii="Arial" w:hAnsi="Arial" w:cs="Arial"/>
        </w:rPr>
        <w:t>Elaborar los informes (técnicos y financieros) que deban presentarse al Banco</w:t>
      </w:r>
      <w:r w:rsidRPr="009F019B">
        <w:rPr>
          <w:rStyle w:val="FootnoteReference"/>
          <w:rFonts w:ascii="Arial" w:hAnsi="Arial" w:cs="Arial"/>
        </w:rPr>
        <w:footnoteReference w:id="40"/>
      </w:r>
      <w:r w:rsidRPr="009F019B">
        <w:rPr>
          <w:rFonts w:ascii="Arial" w:hAnsi="Arial" w:cs="Arial"/>
        </w:rPr>
        <w:t xml:space="preserve">, así como proveer a éste de la información relativa al control operacional y financiero del programa que se requiere, incluyendo las solicitudes de desembolso, sus respectivas justificaciones y preparación de estados financieros. </w:t>
      </w:r>
    </w:p>
    <w:p w14:paraId="7CB7BDDA" w14:textId="77777777" w:rsidR="001274C4" w:rsidRPr="004044E8" w:rsidRDefault="001274C4" w:rsidP="00C02EF4">
      <w:pPr>
        <w:pStyle w:val="numeradorom"/>
        <w:rPr>
          <w:rFonts w:ascii="Arial" w:hAnsi="Arial" w:cs="Arial"/>
        </w:rPr>
      </w:pPr>
      <w:r w:rsidRPr="004044E8">
        <w:rPr>
          <w:rFonts w:ascii="Arial" w:hAnsi="Arial" w:cs="Arial"/>
        </w:rPr>
        <w:t xml:space="preserve">Solicitar, gestionar y dar seguimiento a los desembolsos del Banco y coordinar la disponibilidad presupuestaria (avales y certificaciones presupuestarias) para la ejecución del Programa y el pago de proveedores. </w:t>
      </w:r>
    </w:p>
    <w:p w14:paraId="2FFB46D6" w14:textId="77777777" w:rsidR="001274C4" w:rsidRPr="004044E8" w:rsidRDefault="001274C4" w:rsidP="00A56329">
      <w:pPr>
        <w:pStyle w:val="numeradorom"/>
        <w:rPr>
          <w:rFonts w:ascii="Arial" w:hAnsi="Arial" w:cs="Arial"/>
        </w:rPr>
      </w:pPr>
      <w:r w:rsidRPr="004044E8">
        <w:rPr>
          <w:rFonts w:ascii="Arial" w:hAnsi="Arial" w:cs="Arial"/>
        </w:rPr>
        <w:t xml:space="preserve">Coordinar, gestionar y supervisar las actividades referentes a los procesos de adquisiciones para la contratación de bienes, de servicios diferentes a consultoría, de las obras, consultorías firmas e individuos, y auditorías. </w:t>
      </w:r>
    </w:p>
    <w:p w14:paraId="55D95649" w14:textId="77777777" w:rsidR="001274C4" w:rsidRPr="004044E8" w:rsidRDefault="001274C4" w:rsidP="00DE3867">
      <w:pPr>
        <w:pStyle w:val="numeradorom"/>
        <w:rPr>
          <w:rFonts w:ascii="Arial" w:hAnsi="Arial" w:cs="Arial"/>
        </w:rPr>
      </w:pPr>
      <w:r w:rsidRPr="004044E8">
        <w:rPr>
          <w:rFonts w:ascii="Arial" w:hAnsi="Arial" w:cs="Arial"/>
        </w:rPr>
        <w:t>Implementar las recomendaciones de las consultorías contratadas de apoyo al Programa, incluyendo las de evaluación intermedia y final, y de las auditorias;</w:t>
      </w:r>
    </w:p>
    <w:p w14:paraId="0DD0007F" w14:textId="77777777" w:rsidR="001274C4" w:rsidRPr="004044E8" w:rsidRDefault="001274C4" w:rsidP="00DE3867">
      <w:pPr>
        <w:pStyle w:val="numeradorom"/>
        <w:rPr>
          <w:rFonts w:ascii="Arial" w:hAnsi="Arial" w:cs="Arial"/>
        </w:rPr>
      </w:pPr>
      <w:r w:rsidRPr="004044E8">
        <w:rPr>
          <w:rFonts w:ascii="Arial" w:hAnsi="Arial" w:cs="Arial"/>
        </w:rPr>
        <w:t>Conservar los documentos y registros físicos y digitales del Proyecto por un período mínimo de tres (3) años después del vencimiento del Plazo Original de Desembolsos o cualquiera de sus extensiones. Estos documentos y registros deberán ser adecuados para: (i) respaldar las actividades, decisiones y transacciones relativas al Proyecto, incluidos todos los gastos incurridos; y (</w:t>
      </w:r>
      <w:proofErr w:type="spellStart"/>
      <w:r w:rsidRPr="004044E8">
        <w:rPr>
          <w:rFonts w:ascii="Arial" w:hAnsi="Arial" w:cs="Arial"/>
        </w:rPr>
        <w:t>ii</w:t>
      </w:r>
      <w:proofErr w:type="spellEnd"/>
      <w:r w:rsidRPr="004044E8">
        <w:rPr>
          <w:rFonts w:ascii="Arial" w:hAnsi="Arial" w:cs="Arial"/>
        </w:rPr>
        <w:t>) evidenciar la correlación de gastos incurridos con cargo al Préstamo con el respectivo desembolso efectuado por el Banco.</w:t>
      </w:r>
    </w:p>
    <w:p w14:paraId="7FAFB0AB" w14:textId="77777777" w:rsidR="001274C4" w:rsidRPr="004044E8" w:rsidRDefault="001274C4" w:rsidP="00DE3867">
      <w:pPr>
        <w:pStyle w:val="numeradorom"/>
        <w:rPr>
          <w:rFonts w:ascii="Arial" w:hAnsi="Arial" w:cs="Arial"/>
        </w:rPr>
      </w:pPr>
      <w:r w:rsidRPr="004044E8">
        <w:rPr>
          <w:rFonts w:ascii="Arial" w:hAnsi="Arial" w:cs="Arial"/>
        </w:rPr>
        <w:t>Cumplir toda otra tarea que le corresponda de acuerdo con lo dispuesto en el Contrato de Préstamo y el presente ROP.</w:t>
      </w:r>
    </w:p>
    <w:p w14:paraId="4FE5B2D1" w14:textId="6728737D" w:rsidR="00661363" w:rsidRPr="004044E8" w:rsidRDefault="00701174" w:rsidP="001C7188">
      <w:pPr>
        <w:pStyle w:val="Heading2"/>
        <w:rPr>
          <w:rFonts w:ascii="Arial" w:hAnsi="Arial" w:cs="Arial"/>
        </w:rPr>
      </w:pPr>
      <w:bookmarkStart w:id="77" w:name="_Toc10223123"/>
      <w:r w:rsidRPr="004044E8">
        <w:rPr>
          <w:rFonts w:ascii="Arial" w:hAnsi="Arial" w:cs="Arial"/>
        </w:rPr>
        <w:t xml:space="preserve">Funciones </w:t>
      </w:r>
      <w:r w:rsidR="000A0046" w:rsidRPr="004044E8">
        <w:rPr>
          <w:rFonts w:ascii="Arial" w:hAnsi="Arial" w:cs="Arial"/>
        </w:rPr>
        <w:t>y Responsabilidades de</w:t>
      </w:r>
      <w:r w:rsidR="00911A1C" w:rsidRPr="004044E8">
        <w:rPr>
          <w:rFonts w:ascii="Arial" w:hAnsi="Arial" w:cs="Arial"/>
        </w:rPr>
        <w:t xml:space="preserve"> los miembros del </w:t>
      </w:r>
      <w:r w:rsidR="00BF1EAC" w:rsidRPr="004044E8">
        <w:rPr>
          <w:rFonts w:ascii="Arial" w:hAnsi="Arial" w:cs="Arial"/>
        </w:rPr>
        <w:t>EDG</w:t>
      </w:r>
      <w:bookmarkEnd w:id="77"/>
      <w:r w:rsidR="00911A1C" w:rsidRPr="004044E8">
        <w:rPr>
          <w:rFonts w:ascii="Arial" w:hAnsi="Arial" w:cs="Arial"/>
        </w:rPr>
        <w:t xml:space="preserve"> </w:t>
      </w:r>
    </w:p>
    <w:p w14:paraId="5ACAFD02" w14:textId="77777777" w:rsidR="00701342" w:rsidRPr="004044E8" w:rsidRDefault="00701342" w:rsidP="00FD0DF3">
      <w:pPr>
        <w:pStyle w:val="ListParagraph"/>
        <w:numPr>
          <w:ilvl w:val="0"/>
          <w:numId w:val="17"/>
        </w:numPr>
        <w:tabs>
          <w:tab w:val="clear" w:pos="720"/>
        </w:tabs>
        <w:spacing w:before="0" w:after="100"/>
        <w:jc w:val="both"/>
        <w:rPr>
          <w:rFonts w:ascii="Arial" w:hAnsi="Arial" w:cs="Arial"/>
          <w:vanish/>
          <w:lang w:val="es-ES"/>
        </w:rPr>
      </w:pPr>
    </w:p>
    <w:p w14:paraId="104B9644" w14:textId="77777777" w:rsidR="00701342" w:rsidRPr="004044E8" w:rsidRDefault="00701342" w:rsidP="00FD0DF3">
      <w:pPr>
        <w:pStyle w:val="ListParagraph"/>
        <w:numPr>
          <w:ilvl w:val="0"/>
          <w:numId w:val="18"/>
        </w:numPr>
        <w:tabs>
          <w:tab w:val="clear" w:pos="720"/>
        </w:tabs>
        <w:spacing w:before="0" w:after="100"/>
        <w:jc w:val="both"/>
        <w:rPr>
          <w:rFonts w:ascii="Arial" w:hAnsi="Arial" w:cs="Arial"/>
          <w:vanish/>
          <w:lang w:val="es-ES"/>
        </w:rPr>
      </w:pPr>
    </w:p>
    <w:p w14:paraId="59BE029E" w14:textId="77777777" w:rsidR="00701342" w:rsidRPr="004044E8" w:rsidRDefault="00701342" w:rsidP="00FD0DF3">
      <w:pPr>
        <w:pStyle w:val="ListParagraph"/>
        <w:numPr>
          <w:ilvl w:val="0"/>
          <w:numId w:val="18"/>
        </w:numPr>
        <w:tabs>
          <w:tab w:val="clear" w:pos="720"/>
        </w:tabs>
        <w:spacing w:before="0" w:after="100"/>
        <w:jc w:val="both"/>
        <w:rPr>
          <w:rFonts w:ascii="Arial" w:hAnsi="Arial" w:cs="Arial"/>
          <w:vanish/>
          <w:lang w:val="es-ES"/>
        </w:rPr>
      </w:pPr>
    </w:p>
    <w:p w14:paraId="1FD4E9E9" w14:textId="77777777" w:rsidR="00701342" w:rsidRPr="004044E8" w:rsidRDefault="00701342" w:rsidP="00FD0DF3">
      <w:pPr>
        <w:pStyle w:val="ListParagraph"/>
        <w:numPr>
          <w:ilvl w:val="0"/>
          <w:numId w:val="18"/>
        </w:numPr>
        <w:tabs>
          <w:tab w:val="clear" w:pos="720"/>
        </w:tabs>
        <w:spacing w:before="0" w:after="100"/>
        <w:jc w:val="both"/>
        <w:rPr>
          <w:rFonts w:ascii="Arial" w:hAnsi="Arial" w:cs="Arial"/>
          <w:vanish/>
          <w:lang w:val="es-ES"/>
        </w:rPr>
      </w:pPr>
    </w:p>
    <w:p w14:paraId="1551C7C9" w14:textId="77777777" w:rsidR="00701342" w:rsidRPr="004044E8" w:rsidRDefault="00701342" w:rsidP="00FD0DF3">
      <w:pPr>
        <w:pStyle w:val="ListParagraph"/>
        <w:numPr>
          <w:ilvl w:val="0"/>
          <w:numId w:val="18"/>
        </w:numPr>
        <w:tabs>
          <w:tab w:val="clear" w:pos="720"/>
        </w:tabs>
        <w:spacing w:before="0" w:after="100"/>
        <w:jc w:val="both"/>
        <w:rPr>
          <w:rFonts w:ascii="Arial" w:hAnsi="Arial" w:cs="Arial"/>
          <w:vanish/>
          <w:lang w:val="es-ES"/>
        </w:rPr>
      </w:pPr>
    </w:p>
    <w:p w14:paraId="6CB22F05" w14:textId="77777777" w:rsidR="00701342" w:rsidRPr="004044E8" w:rsidRDefault="00701342" w:rsidP="00FD0DF3">
      <w:pPr>
        <w:pStyle w:val="ListParagraph"/>
        <w:numPr>
          <w:ilvl w:val="0"/>
          <w:numId w:val="18"/>
        </w:numPr>
        <w:tabs>
          <w:tab w:val="clear" w:pos="720"/>
        </w:tabs>
        <w:spacing w:before="0" w:after="100"/>
        <w:jc w:val="both"/>
        <w:rPr>
          <w:rFonts w:ascii="Arial" w:hAnsi="Arial" w:cs="Arial"/>
          <w:vanish/>
          <w:lang w:val="es-ES"/>
        </w:rPr>
      </w:pPr>
    </w:p>
    <w:p w14:paraId="58589A9E" w14:textId="4BBBADCC" w:rsidR="00701342" w:rsidRPr="004044E8" w:rsidRDefault="00701342" w:rsidP="00C02EF4">
      <w:pPr>
        <w:pStyle w:val="Estilo1"/>
        <w:numPr>
          <w:ilvl w:val="1"/>
          <w:numId w:val="17"/>
        </w:numPr>
        <w:rPr>
          <w:rFonts w:ascii="Arial" w:hAnsi="Arial" w:cs="Arial"/>
        </w:rPr>
      </w:pPr>
      <w:r w:rsidRPr="004044E8">
        <w:rPr>
          <w:rFonts w:ascii="Arial" w:hAnsi="Arial" w:cs="Arial"/>
        </w:rPr>
        <w:t xml:space="preserve">El </w:t>
      </w:r>
      <w:r w:rsidR="00755BF5" w:rsidRPr="004044E8">
        <w:rPr>
          <w:rFonts w:ascii="Arial" w:hAnsi="Arial" w:cs="Arial"/>
        </w:rPr>
        <w:t>EDG-MEF</w:t>
      </w:r>
      <w:r w:rsidRPr="004044E8">
        <w:rPr>
          <w:rFonts w:ascii="Arial" w:hAnsi="Arial" w:cs="Arial"/>
        </w:rPr>
        <w:t xml:space="preserve"> estará constituido por un Coordinador o Gerente del Programa  (CP-</w:t>
      </w:r>
      <w:r w:rsidR="00BF1EAC" w:rsidRPr="004044E8">
        <w:rPr>
          <w:rFonts w:ascii="Arial" w:hAnsi="Arial" w:cs="Arial"/>
        </w:rPr>
        <w:t>EDG</w:t>
      </w:r>
      <w:r w:rsidRPr="004044E8">
        <w:rPr>
          <w:rFonts w:ascii="Arial" w:hAnsi="Arial" w:cs="Arial"/>
        </w:rPr>
        <w:t>), un Especialista en Monitoreo y Evaluación (EME-</w:t>
      </w:r>
      <w:r w:rsidR="00BF1EAC" w:rsidRPr="004044E8">
        <w:rPr>
          <w:rFonts w:ascii="Arial" w:hAnsi="Arial" w:cs="Arial"/>
        </w:rPr>
        <w:t>EDG</w:t>
      </w:r>
      <w:r w:rsidRPr="004044E8">
        <w:rPr>
          <w:rFonts w:ascii="Arial" w:hAnsi="Arial" w:cs="Arial"/>
        </w:rPr>
        <w:t>), un Especialista de Adquisiciones (EA-</w:t>
      </w:r>
      <w:r w:rsidR="00BF1EAC" w:rsidRPr="004044E8">
        <w:rPr>
          <w:rFonts w:ascii="Arial" w:hAnsi="Arial" w:cs="Arial"/>
        </w:rPr>
        <w:t>EDG</w:t>
      </w:r>
      <w:r w:rsidRPr="004044E8">
        <w:rPr>
          <w:rFonts w:ascii="Arial" w:hAnsi="Arial" w:cs="Arial"/>
        </w:rPr>
        <w:t>), un Especialista Financiero (EF-</w:t>
      </w:r>
      <w:r w:rsidR="00BF1EAC" w:rsidRPr="004044E8">
        <w:rPr>
          <w:rFonts w:ascii="Arial" w:hAnsi="Arial" w:cs="Arial"/>
        </w:rPr>
        <w:t>EDG</w:t>
      </w:r>
      <w:r w:rsidRPr="004044E8">
        <w:rPr>
          <w:rFonts w:ascii="Arial" w:hAnsi="Arial" w:cs="Arial"/>
        </w:rPr>
        <w:t xml:space="preserve">), que tendrán las siguientes funciones y responsabilidades: </w:t>
      </w:r>
    </w:p>
    <w:p w14:paraId="31FDDE31" w14:textId="596370DF" w:rsidR="00911A1C" w:rsidRPr="004044E8" w:rsidRDefault="007C4D3E" w:rsidP="00EA653C">
      <w:pPr>
        <w:pStyle w:val="Heading3"/>
        <w:rPr>
          <w:rFonts w:ascii="Arial" w:hAnsi="Arial" w:cs="Arial"/>
          <w:lang w:eastAsia="es-ES"/>
        </w:rPr>
      </w:pPr>
      <w:r w:rsidRPr="004044E8">
        <w:rPr>
          <w:rFonts w:ascii="Arial" w:hAnsi="Arial" w:cs="Arial"/>
          <w:lang w:eastAsia="es-ES"/>
        </w:rPr>
        <w:t xml:space="preserve">Coordinador </w:t>
      </w:r>
      <w:r w:rsidR="0041285F" w:rsidRPr="004044E8">
        <w:rPr>
          <w:rFonts w:ascii="Arial" w:hAnsi="Arial" w:cs="Arial"/>
          <w:lang w:eastAsia="es-ES"/>
        </w:rPr>
        <w:t xml:space="preserve">General o Gerente </w:t>
      </w:r>
      <w:r w:rsidRPr="004044E8">
        <w:rPr>
          <w:rFonts w:ascii="Arial" w:hAnsi="Arial" w:cs="Arial"/>
          <w:lang w:eastAsia="es-ES"/>
        </w:rPr>
        <w:t>del Programa (CP-</w:t>
      </w:r>
      <w:r w:rsidR="00BF1EAC" w:rsidRPr="004044E8">
        <w:rPr>
          <w:rFonts w:ascii="Arial" w:hAnsi="Arial" w:cs="Arial"/>
          <w:lang w:eastAsia="es-ES"/>
        </w:rPr>
        <w:t>EDG</w:t>
      </w:r>
      <w:r w:rsidRPr="004044E8">
        <w:rPr>
          <w:rFonts w:ascii="Arial" w:hAnsi="Arial" w:cs="Arial"/>
          <w:lang w:eastAsia="es-ES"/>
        </w:rPr>
        <w:t>)</w:t>
      </w:r>
    </w:p>
    <w:p w14:paraId="5D206F8D" w14:textId="77777777" w:rsidR="007C4D3E" w:rsidRPr="004044E8" w:rsidRDefault="007C4D3E" w:rsidP="00C02EF4">
      <w:pPr>
        <w:pStyle w:val="numeradorom"/>
        <w:numPr>
          <w:ilvl w:val="2"/>
          <w:numId w:val="19"/>
        </w:numPr>
        <w:rPr>
          <w:rFonts w:ascii="Arial" w:hAnsi="Arial" w:cs="Arial"/>
          <w:lang w:eastAsia="es-ES"/>
        </w:rPr>
      </w:pPr>
      <w:r w:rsidRPr="004044E8">
        <w:rPr>
          <w:rFonts w:ascii="Arial" w:hAnsi="Arial" w:cs="Arial"/>
          <w:lang w:eastAsia="es-ES"/>
        </w:rPr>
        <w:t xml:space="preserve">Gestionar la ejecución del Programa, enfocado en el logro de los productos y resultados establecidos en la </w:t>
      </w:r>
      <w:proofErr w:type="spellStart"/>
      <w:r w:rsidRPr="004044E8">
        <w:rPr>
          <w:rFonts w:ascii="Arial" w:hAnsi="Arial" w:cs="Arial"/>
          <w:lang w:eastAsia="es-ES"/>
        </w:rPr>
        <w:t>MdR</w:t>
      </w:r>
      <w:proofErr w:type="spellEnd"/>
      <w:r w:rsidRPr="004044E8">
        <w:rPr>
          <w:rFonts w:ascii="Arial" w:hAnsi="Arial" w:cs="Arial"/>
          <w:lang w:eastAsia="es-ES"/>
        </w:rPr>
        <w:t>, asegurando el cumplimiento de presupuestos, cronogramas, calidad y satisfacción de los interesados, dando cumplimiento a lo estipulado en el Contrato de Préstamo, el ROP y demás normas y políticas que rigen la ejecución del Programa.</w:t>
      </w:r>
    </w:p>
    <w:p w14:paraId="40645B79" w14:textId="77777777" w:rsidR="007C4D3E" w:rsidRPr="004044E8" w:rsidRDefault="007C4D3E" w:rsidP="00C02EF4">
      <w:pPr>
        <w:pStyle w:val="numeradorom"/>
        <w:rPr>
          <w:rFonts w:ascii="Arial" w:hAnsi="Arial" w:cs="Arial"/>
          <w:lang w:eastAsia="es-ES"/>
        </w:rPr>
      </w:pPr>
      <w:r w:rsidRPr="004044E8">
        <w:rPr>
          <w:rFonts w:ascii="Arial" w:hAnsi="Arial" w:cs="Arial"/>
          <w:lang w:eastAsia="es-ES"/>
        </w:rPr>
        <w:t xml:space="preserve">Coordinar, gestionar y supervisar: la planificación integral del programa; la gestión financiera, de adquisiciones; de riesgos, de comunicación, de seguimiento, monitoreo y control; la evaluación y los sistemas de información y archivo, de acuerdo a lo dispuesto en el Contrato de Préstamo, el ROP y a las necesidades de ejecución del Programa.  </w:t>
      </w:r>
    </w:p>
    <w:p w14:paraId="65161655" w14:textId="13E1A6C3" w:rsidR="007C4D3E" w:rsidRPr="004044E8" w:rsidRDefault="007C4D3E" w:rsidP="00C02EF4">
      <w:pPr>
        <w:pStyle w:val="numeradorom"/>
        <w:rPr>
          <w:rFonts w:ascii="Arial" w:hAnsi="Arial" w:cs="Arial"/>
          <w:lang w:eastAsia="es-ES"/>
        </w:rPr>
      </w:pPr>
      <w:r w:rsidRPr="004044E8">
        <w:rPr>
          <w:rFonts w:ascii="Arial" w:hAnsi="Arial" w:cs="Arial"/>
          <w:lang w:eastAsia="es-ES"/>
        </w:rPr>
        <w:t xml:space="preserve">Coordinar la ejecución de las actividades que involucran la participación de </w:t>
      </w:r>
      <w:r w:rsidR="001A7368" w:rsidRPr="004044E8">
        <w:rPr>
          <w:rFonts w:ascii="Arial" w:hAnsi="Arial" w:cs="Arial"/>
          <w:lang w:eastAsia="es-ES"/>
        </w:rPr>
        <w:t>otros Organismos</w:t>
      </w:r>
      <w:r w:rsidRPr="004044E8">
        <w:rPr>
          <w:rFonts w:ascii="Arial" w:hAnsi="Arial" w:cs="Arial"/>
          <w:lang w:eastAsia="es-ES"/>
        </w:rPr>
        <w:t xml:space="preserve">, para lograr los productos y resultados establecidos en la </w:t>
      </w:r>
      <w:proofErr w:type="spellStart"/>
      <w:r w:rsidRPr="004044E8">
        <w:rPr>
          <w:rFonts w:ascii="Arial" w:hAnsi="Arial" w:cs="Arial"/>
          <w:lang w:eastAsia="es-ES"/>
        </w:rPr>
        <w:t>MdR</w:t>
      </w:r>
      <w:proofErr w:type="spellEnd"/>
      <w:r w:rsidRPr="004044E8">
        <w:rPr>
          <w:rFonts w:ascii="Arial" w:hAnsi="Arial" w:cs="Arial"/>
          <w:lang w:eastAsia="es-ES"/>
        </w:rPr>
        <w:t>. Servir de nexo de coordinación con el BID, para asegurar la adecuada ejecución del Programa</w:t>
      </w:r>
    </w:p>
    <w:p w14:paraId="1B63B1DE" w14:textId="77777777" w:rsidR="007C4D3E" w:rsidRPr="004044E8" w:rsidRDefault="007C4D3E" w:rsidP="00C02EF4">
      <w:pPr>
        <w:pStyle w:val="numeradorom"/>
        <w:rPr>
          <w:rFonts w:ascii="Arial" w:hAnsi="Arial" w:cs="Arial"/>
          <w:lang w:eastAsia="es-ES"/>
        </w:rPr>
      </w:pPr>
      <w:r w:rsidRPr="004044E8">
        <w:rPr>
          <w:rFonts w:ascii="Arial" w:hAnsi="Arial" w:cs="Arial"/>
          <w:lang w:eastAsia="es-ES"/>
        </w:rPr>
        <w:t>Coordinar, supervisar, preparar y presentar para No objeción del Banco, las herramientas de planificación y gestión del Programa; los Informes Semestrales de Progreso (ISP); el ROP, sus modificaciones y/o actualizaciones; y demás informes administrativos, trámites e instrumentos de gestión fiduciaria (adquisiciones y financieros) que se requieran en los plazos y estructuras establecidos en las normas e instrumentos que rigen la ejecución del Programa.</w:t>
      </w:r>
    </w:p>
    <w:p w14:paraId="5AAB5635" w14:textId="18236C5C" w:rsidR="007C4D3E" w:rsidRPr="004044E8" w:rsidRDefault="007C4D3E" w:rsidP="00C02EF4">
      <w:pPr>
        <w:pStyle w:val="numeradorom"/>
        <w:rPr>
          <w:rFonts w:ascii="Arial" w:hAnsi="Arial" w:cs="Arial"/>
          <w:lang w:eastAsia="es-ES"/>
        </w:rPr>
      </w:pPr>
      <w:r w:rsidRPr="004044E8">
        <w:rPr>
          <w:rFonts w:ascii="Arial" w:hAnsi="Arial" w:cs="Arial"/>
          <w:lang w:eastAsia="es-ES"/>
        </w:rPr>
        <w:t>Coordinar con los</w:t>
      </w:r>
      <w:r w:rsidR="00F502E0" w:rsidRPr="004044E8">
        <w:rPr>
          <w:rFonts w:ascii="Arial" w:hAnsi="Arial" w:cs="Arial"/>
          <w:lang w:eastAsia="es-ES"/>
        </w:rPr>
        <w:t xml:space="preserve"> otros Organismos involucrados en la gestión de la VUI</w:t>
      </w:r>
      <w:r w:rsidRPr="004044E8">
        <w:rPr>
          <w:rFonts w:ascii="Arial" w:hAnsi="Arial" w:cs="Arial"/>
          <w:lang w:eastAsia="es-ES"/>
        </w:rPr>
        <w:t>, la presentación de la información, documentación y reportes requeridos por las autoridades del M</w:t>
      </w:r>
      <w:r w:rsidR="00F502E0" w:rsidRPr="004044E8">
        <w:rPr>
          <w:rFonts w:ascii="Arial" w:hAnsi="Arial" w:cs="Arial"/>
          <w:lang w:eastAsia="es-ES"/>
        </w:rPr>
        <w:t>E</w:t>
      </w:r>
      <w:r w:rsidR="00340290" w:rsidRPr="004044E8">
        <w:rPr>
          <w:rFonts w:ascii="Arial" w:hAnsi="Arial" w:cs="Arial"/>
          <w:lang w:eastAsia="es-ES"/>
        </w:rPr>
        <w:t>F</w:t>
      </w:r>
      <w:r w:rsidR="00F502E0" w:rsidRPr="004044E8">
        <w:rPr>
          <w:rFonts w:ascii="Arial" w:hAnsi="Arial" w:cs="Arial"/>
          <w:lang w:eastAsia="es-ES"/>
        </w:rPr>
        <w:t xml:space="preserve"> </w:t>
      </w:r>
      <w:r w:rsidRPr="004044E8">
        <w:rPr>
          <w:rFonts w:ascii="Arial" w:hAnsi="Arial" w:cs="Arial"/>
          <w:lang w:eastAsia="es-ES"/>
        </w:rPr>
        <w:t xml:space="preserve">y el BANCO, respecto de las actividades </w:t>
      </w:r>
      <w:r w:rsidR="00F502E0" w:rsidRPr="004044E8">
        <w:rPr>
          <w:rFonts w:ascii="Arial" w:hAnsi="Arial" w:cs="Arial"/>
          <w:lang w:eastAsia="es-ES"/>
        </w:rPr>
        <w:t xml:space="preserve">relacionadas con </w:t>
      </w:r>
      <w:r w:rsidRPr="004044E8">
        <w:rPr>
          <w:rFonts w:ascii="Arial" w:hAnsi="Arial" w:cs="Arial"/>
          <w:lang w:eastAsia="es-ES"/>
        </w:rPr>
        <w:t>el proyecto, en los plazos y estructura previstas en las normas que rigen la ejecución del Programa.</w:t>
      </w:r>
    </w:p>
    <w:p w14:paraId="7A1710CF" w14:textId="77777777" w:rsidR="007C4D3E" w:rsidRPr="004044E8" w:rsidRDefault="007C4D3E" w:rsidP="00A56329">
      <w:pPr>
        <w:pStyle w:val="numeradorom"/>
        <w:rPr>
          <w:rFonts w:ascii="Arial" w:hAnsi="Arial" w:cs="Arial"/>
          <w:lang w:eastAsia="es-ES"/>
        </w:rPr>
      </w:pPr>
      <w:r w:rsidRPr="004044E8">
        <w:rPr>
          <w:rFonts w:ascii="Arial" w:hAnsi="Arial" w:cs="Arial"/>
          <w:lang w:eastAsia="es-ES"/>
        </w:rPr>
        <w:t xml:space="preserve">Coordinar y gestionar la asignación de los recursos y del presupuesto asignado para la ejecución integral del Programa. </w:t>
      </w:r>
    </w:p>
    <w:p w14:paraId="61ECC211" w14:textId="77777777" w:rsidR="007C4D3E" w:rsidRPr="004044E8" w:rsidRDefault="007C4D3E" w:rsidP="00DE3867">
      <w:pPr>
        <w:pStyle w:val="numeradorom"/>
        <w:rPr>
          <w:rFonts w:ascii="Arial" w:hAnsi="Arial" w:cs="Arial"/>
          <w:lang w:eastAsia="es-ES"/>
        </w:rPr>
      </w:pPr>
      <w:r w:rsidRPr="004044E8">
        <w:rPr>
          <w:rFonts w:ascii="Arial" w:hAnsi="Arial" w:cs="Arial"/>
          <w:lang w:eastAsia="es-ES"/>
        </w:rPr>
        <w:lastRenderedPageBreak/>
        <w:t>Aprobar y preparar para remisión al Banco, las solicitudes de desembolso y justificación de gastos elegibles, los Informes de Ejecución Financiera del Programa (programación de gastos) que acompañarán las solicitudes de desembolso del Programa y solicitar la no objeción de los mismos.</w:t>
      </w:r>
    </w:p>
    <w:p w14:paraId="52DE0388" w14:textId="6BD6975C" w:rsidR="007C4D3E" w:rsidRPr="004044E8" w:rsidRDefault="007C4D3E" w:rsidP="00DE3867">
      <w:pPr>
        <w:pStyle w:val="numeradorom"/>
        <w:rPr>
          <w:rFonts w:ascii="Arial" w:hAnsi="Arial" w:cs="Arial"/>
          <w:lang w:eastAsia="es-ES"/>
        </w:rPr>
      </w:pPr>
      <w:r w:rsidRPr="004044E8">
        <w:rPr>
          <w:rFonts w:ascii="Arial" w:hAnsi="Arial" w:cs="Arial"/>
          <w:lang w:eastAsia="es-ES"/>
        </w:rPr>
        <w:t>Firmar y Aprobar los Estados Financieros Consolidados del Programa elaborados por el Especialista Financiero del Programa.</w:t>
      </w:r>
    </w:p>
    <w:p w14:paraId="22799989" w14:textId="35DA2BC3" w:rsidR="00F502E0" w:rsidRPr="004044E8" w:rsidRDefault="00F502E0" w:rsidP="00DE3867">
      <w:pPr>
        <w:pStyle w:val="numeradorom"/>
        <w:rPr>
          <w:rFonts w:ascii="Arial" w:hAnsi="Arial" w:cs="Arial"/>
          <w:lang w:eastAsia="es-ES"/>
        </w:rPr>
      </w:pPr>
      <w:r w:rsidRPr="004044E8">
        <w:rPr>
          <w:rFonts w:ascii="Arial" w:hAnsi="Arial" w:cs="Arial"/>
          <w:lang w:eastAsia="es-ES"/>
        </w:rPr>
        <w:t xml:space="preserve">Coordinar con otros programas o asistencias técnicas del </w:t>
      </w:r>
      <w:r w:rsidR="00106D2C" w:rsidRPr="004044E8">
        <w:rPr>
          <w:rFonts w:ascii="Arial" w:hAnsi="Arial" w:cs="Arial"/>
          <w:lang w:eastAsia="es-ES"/>
        </w:rPr>
        <w:t>Banco, relacionados</w:t>
      </w:r>
      <w:r w:rsidRPr="004044E8">
        <w:rPr>
          <w:rFonts w:ascii="Arial" w:hAnsi="Arial" w:cs="Arial"/>
          <w:lang w:eastAsia="es-ES"/>
        </w:rPr>
        <w:t xml:space="preserve"> con el Programa y con el </w:t>
      </w:r>
      <w:r w:rsidR="00340290" w:rsidRPr="004044E8">
        <w:rPr>
          <w:rFonts w:ascii="Arial" w:hAnsi="Arial" w:cs="Arial"/>
          <w:lang w:eastAsia="es-ES"/>
        </w:rPr>
        <w:t>MEFF</w:t>
      </w:r>
      <w:r w:rsidRPr="004044E8">
        <w:rPr>
          <w:rFonts w:ascii="Arial" w:hAnsi="Arial" w:cs="Arial"/>
          <w:lang w:eastAsia="es-ES"/>
        </w:rPr>
        <w:t xml:space="preserve"> con la finalidad de asegurar el logro de los resultados esperados</w:t>
      </w:r>
    </w:p>
    <w:p w14:paraId="45AAA1EA" w14:textId="1E1CECD6" w:rsidR="007C4D3E" w:rsidRPr="004044E8" w:rsidRDefault="007C4D3E" w:rsidP="00DE3867">
      <w:pPr>
        <w:pStyle w:val="numeradorom"/>
        <w:rPr>
          <w:rFonts w:ascii="Arial" w:hAnsi="Arial" w:cs="Arial"/>
          <w:lang w:eastAsia="es-ES"/>
        </w:rPr>
      </w:pPr>
      <w:r w:rsidRPr="004044E8">
        <w:rPr>
          <w:rFonts w:ascii="Arial" w:hAnsi="Arial" w:cs="Arial"/>
          <w:lang w:eastAsia="es-ES"/>
        </w:rPr>
        <w:t>Las demás funciones establecidas para la ejecución de los proyectos financiados por el BID, que no se contrapongan con lo establecido en el Contrato de Préstamo del Programa, ni en</w:t>
      </w:r>
      <w:r w:rsidR="00106D2C" w:rsidRPr="004044E8">
        <w:rPr>
          <w:rFonts w:ascii="Arial" w:hAnsi="Arial" w:cs="Arial"/>
          <w:lang w:eastAsia="es-ES"/>
        </w:rPr>
        <w:t xml:space="preserve"> el ROP</w:t>
      </w:r>
      <w:r w:rsidRPr="004044E8">
        <w:rPr>
          <w:rFonts w:ascii="Arial" w:hAnsi="Arial" w:cs="Arial"/>
          <w:lang w:eastAsia="es-ES"/>
        </w:rPr>
        <w:t>.</w:t>
      </w:r>
    </w:p>
    <w:p w14:paraId="3F4AF749" w14:textId="066ECBFA" w:rsidR="007C4D3E" w:rsidRPr="004044E8" w:rsidRDefault="007C4D3E" w:rsidP="00EA653C">
      <w:pPr>
        <w:pStyle w:val="Heading3"/>
        <w:rPr>
          <w:rFonts w:ascii="Arial" w:hAnsi="Arial" w:cs="Arial"/>
        </w:rPr>
      </w:pPr>
      <w:r w:rsidRPr="004044E8">
        <w:rPr>
          <w:rFonts w:ascii="Arial" w:hAnsi="Arial" w:cs="Arial"/>
        </w:rPr>
        <w:t>Especialista en Monitoreo y Evaluación (EME-</w:t>
      </w:r>
      <w:r w:rsidR="00BF1EAC" w:rsidRPr="004044E8">
        <w:rPr>
          <w:rFonts w:ascii="Arial" w:hAnsi="Arial" w:cs="Arial"/>
        </w:rPr>
        <w:t>EDG</w:t>
      </w:r>
      <w:r w:rsidRPr="004044E8">
        <w:rPr>
          <w:rFonts w:ascii="Arial" w:hAnsi="Arial" w:cs="Arial"/>
        </w:rPr>
        <w:t>)</w:t>
      </w:r>
    </w:p>
    <w:p w14:paraId="0C329834" w14:textId="76EA69A7" w:rsidR="007C4D3E" w:rsidRPr="004044E8" w:rsidRDefault="007C4D3E" w:rsidP="00C02EF4">
      <w:pPr>
        <w:pStyle w:val="numeradorom"/>
        <w:numPr>
          <w:ilvl w:val="2"/>
          <w:numId w:val="20"/>
        </w:numPr>
        <w:rPr>
          <w:rFonts w:ascii="Arial" w:hAnsi="Arial" w:cs="Arial"/>
          <w:lang w:eastAsia="es-ES"/>
        </w:rPr>
      </w:pPr>
      <w:r w:rsidRPr="004044E8">
        <w:rPr>
          <w:rFonts w:ascii="Arial" w:hAnsi="Arial" w:cs="Arial"/>
          <w:lang w:eastAsia="es-ES"/>
        </w:rPr>
        <w:t xml:space="preserve">Coordinar con </w:t>
      </w:r>
      <w:r w:rsidR="00AE4EC9" w:rsidRPr="004044E8">
        <w:rPr>
          <w:rFonts w:ascii="Arial" w:hAnsi="Arial" w:cs="Arial"/>
          <w:lang w:eastAsia="es-ES"/>
        </w:rPr>
        <w:t xml:space="preserve">el </w:t>
      </w:r>
      <w:r w:rsidR="00755BF5" w:rsidRPr="004044E8">
        <w:rPr>
          <w:rFonts w:ascii="Arial" w:hAnsi="Arial" w:cs="Arial"/>
        </w:rPr>
        <w:t>EDG-MEF</w:t>
      </w:r>
      <w:r w:rsidR="00340290" w:rsidRPr="004044E8">
        <w:rPr>
          <w:rFonts w:ascii="Arial" w:hAnsi="Arial" w:cs="Arial"/>
          <w:lang w:eastAsia="es-ES"/>
        </w:rPr>
        <w:t>, y los OSE (</w:t>
      </w:r>
      <w:r w:rsidR="00340290" w:rsidRPr="004044E8">
        <w:rPr>
          <w:rFonts w:ascii="Arial" w:hAnsi="Arial" w:cs="Arial"/>
          <w:lang w:val="es-EC" w:eastAsia="es-ES"/>
        </w:rPr>
        <w:t>MERNNR y MTOP)</w:t>
      </w:r>
      <w:r w:rsidRPr="004044E8">
        <w:rPr>
          <w:rFonts w:ascii="Arial" w:hAnsi="Arial" w:cs="Arial"/>
          <w:lang w:eastAsia="es-ES"/>
        </w:rPr>
        <w:t>: (i) la planificación, coordinación técnica y ejecución de actividades del POA; (</w:t>
      </w:r>
      <w:proofErr w:type="spellStart"/>
      <w:r w:rsidRPr="004044E8">
        <w:rPr>
          <w:rFonts w:ascii="Arial" w:hAnsi="Arial" w:cs="Arial"/>
          <w:lang w:eastAsia="es-ES"/>
        </w:rPr>
        <w:t>ii</w:t>
      </w:r>
      <w:proofErr w:type="spellEnd"/>
      <w:r w:rsidRPr="004044E8">
        <w:rPr>
          <w:rFonts w:ascii="Arial" w:hAnsi="Arial" w:cs="Arial"/>
          <w:lang w:eastAsia="es-ES"/>
        </w:rPr>
        <w:t xml:space="preserve">) el seguimiento al cumplimiento y avance de los productos y metas del Programa de acuerdo a la </w:t>
      </w:r>
      <w:proofErr w:type="spellStart"/>
      <w:r w:rsidRPr="004044E8">
        <w:rPr>
          <w:rFonts w:ascii="Arial" w:hAnsi="Arial" w:cs="Arial"/>
          <w:lang w:eastAsia="es-ES"/>
        </w:rPr>
        <w:t>MdR</w:t>
      </w:r>
      <w:proofErr w:type="spellEnd"/>
      <w:r w:rsidRPr="004044E8">
        <w:rPr>
          <w:rFonts w:ascii="Arial" w:hAnsi="Arial" w:cs="Arial"/>
          <w:lang w:eastAsia="es-ES"/>
        </w:rPr>
        <w:t>; (</w:t>
      </w:r>
      <w:proofErr w:type="spellStart"/>
      <w:r w:rsidRPr="004044E8">
        <w:rPr>
          <w:rFonts w:ascii="Arial" w:hAnsi="Arial" w:cs="Arial"/>
          <w:lang w:eastAsia="es-ES"/>
        </w:rPr>
        <w:t>iii</w:t>
      </w:r>
      <w:proofErr w:type="spellEnd"/>
      <w:r w:rsidRPr="004044E8">
        <w:rPr>
          <w:rFonts w:ascii="Arial" w:hAnsi="Arial" w:cs="Arial"/>
          <w:lang w:eastAsia="es-ES"/>
        </w:rPr>
        <w:t>) la preparación y actualización de las herramientas de gestión del Programa; (</w:t>
      </w:r>
      <w:proofErr w:type="spellStart"/>
      <w:r w:rsidRPr="004044E8">
        <w:rPr>
          <w:rFonts w:ascii="Arial" w:hAnsi="Arial" w:cs="Arial"/>
          <w:lang w:eastAsia="es-ES"/>
        </w:rPr>
        <w:t>iv</w:t>
      </w:r>
      <w:proofErr w:type="spellEnd"/>
      <w:r w:rsidRPr="004044E8">
        <w:rPr>
          <w:rFonts w:ascii="Arial" w:hAnsi="Arial" w:cs="Arial"/>
          <w:lang w:eastAsia="es-ES"/>
        </w:rPr>
        <w:t>) la elaboración y presentación de los informes del Programa requeridos; (v) reuniones de seguimiento y avance de resultados, establecidas.</w:t>
      </w:r>
    </w:p>
    <w:p w14:paraId="0C05CBA6" w14:textId="6250E194" w:rsidR="007C4D3E" w:rsidRPr="004044E8" w:rsidRDefault="007C4D3E" w:rsidP="00C02EF4">
      <w:pPr>
        <w:pStyle w:val="numeradorom"/>
        <w:rPr>
          <w:rFonts w:ascii="Arial" w:hAnsi="Arial" w:cs="Arial"/>
          <w:lang w:eastAsia="es-ES"/>
        </w:rPr>
      </w:pPr>
      <w:r w:rsidRPr="004044E8">
        <w:rPr>
          <w:rFonts w:ascii="Arial" w:hAnsi="Arial" w:cs="Arial"/>
          <w:lang w:eastAsia="es-ES"/>
        </w:rPr>
        <w:t>Coordinar y poner en ejecución los sistemas de presentación de información, rendición de cuentas y monitoreo de las actividades, productos, resultados e impactos</w:t>
      </w:r>
      <w:r w:rsidR="004163FD" w:rsidRPr="004044E8">
        <w:rPr>
          <w:rFonts w:ascii="Arial" w:hAnsi="Arial" w:cs="Arial"/>
          <w:lang w:eastAsia="es-ES"/>
        </w:rPr>
        <w:t xml:space="preserve"> (indicadores)</w:t>
      </w:r>
      <w:r w:rsidRPr="004044E8">
        <w:rPr>
          <w:rFonts w:ascii="Arial" w:hAnsi="Arial" w:cs="Arial"/>
          <w:lang w:eastAsia="es-ES"/>
        </w:rPr>
        <w:t xml:space="preserve"> del Programa, </w:t>
      </w:r>
      <w:r w:rsidR="00620E63" w:rsidRPr="004044E8">
        <w:rPr>
          <w:rFonts w:ascii="Arial" w:hAnsi="Arial" w:cs="Arial"/>
          <w:lang w:val="es-EC" w:eastAsia="es-ES"/>
        </w:rPr>
        <w:t xml:space="preserve">acordados con los OSE, </w:t>
      </w:r>
      <w:r w:rsidRPr="004044E8">
        <w:rPr>
          <w:rFonts w:ascii="Arial" w:hAnsi="Arial" w:cs="Arial"/>
          <w:lang w:eastAsia="es-ES"/>
        </w:rPr>
        <w:t xml:space="preserve">teniendo en cuenta la </w:t>
      </w:r>
      <w:proofErr w:type="spellStart"/>
      <w:r w:rsidRPr="004044E8">
        <w:rPr>
          <w:rFonts w:ascii="Arial" w:hAnsi="Arial" w:cs="Arial"/>
          <w:lang w:eastAsia="es-ES"/>
        </w:rPr>
        <w:t>MdR</w:t>
      </w:r>
      <w:proofErr w:type="spellEnd"/>
      <w:r w:rsidRPr="004044E8">
        <w:rPr>
          <w:rFonts w:ascii="Arial" w:hAnsi="Arial" w:cs="Arial"/>
          <w:lang w:eastAsia="es-ES"/>
        </w:rPr>
        <w:t>, el Contrato de Préstamo y su ROP.</w:t>
      </w:r>
    </w:p>
    <w:p w14:paraId="55626117" w14:textId="79A6A6F6" w:rsidR="007C4D3E" w:rsidRPr="004044E8" w:rsidRDefault="007C4D3E" w:rsidP="00C02EF4">
      <w:pPr>
        <w:pStyle w:val="numeradorom"/>
        <w:rPr>
          <w:rFonts w:ascii="Arial" w:hAnsi="Arial" w:cs="Arial"/>
          <w:lang w:eastAsia="es-ES"/>
        </w:rPr>
      </w:pPr>
      <w:r w:rsidRPr="004044E8">
        <w:rPr>
          <w:rFonts w:ascii="Arial" w:hAnsi="Arial" w:cs="Arial"/>
          <w:lang w:eastAsia="es-ES"/>
        </w:rPr>
        <w:t>Definir los formatos y herramientas de monitoreo del Programa, tomando en consideración los lineamientos del BID establecidos para el efecto, así como capacitar a</w:t>
      </w:r>
      <w:r w:rsidR="004163FD" w:rsidRPr="004044E8">
        <w:rPr>
          <w:rFonts w:ascii="Arial" w:hAnsi="Arial" w:cs="Arial"/>
          <w:lang w:eastAsia="es-ES"/>
        </w:rPr>
        <w:t xml:space="preserve">l resto del </w:t>
      </w:r>
      <w:r w:rsidR="00755BF5" w:rsidRPr="004044E8">
        <w:rPr>
          <w:rFonts w:ascii="Arial" w:hAnsi="Arial" w:cs="Arial"/>
        </w:rPr>
        <w:t>EDG-MEF</w:t>
      </w:r>
      <w:r w:rsidR="004163FD" w:rsidRPr="004044E8">
        <w:rPr>
          <w:rFonts w:ascii="Arial" w:hAnsi="Arial" w:cs="Arial"/>
          <w:lang w:eastAsia="es-ES"/>
        </w:rPr>
        <w:t xml:space="preserve"> </w:t>
      </w:r>
      <w:r w:rsidRPr="004044E8">
        <w:rPr>
          <w:rFonts w:ascii="Arial" w:hAnsi="Arial" w:cs="Arial"/>
          <w:lang w:eastAsia="es-ES"/>
        </w:rPr>
        <w:t>para el uso y actualización de las herramientas.</w:t>
      </w:r>
    </w:p>
    <w:p w14:paraId="3A339BA1" w14:textId="4043008D" w:rsidR="007C4D3E" w:rsidRPr="004044E8" w:rsidRDefault="007C4D3E" w:rsidP="00C02EF4">
      <w:pPr>
        <w:pStyle w:val="numeradorom"/>
        <w:rPr>
          <w:rFonts w:ascii="Arial" w:hAnsi="Arial" w:cs="Arial"/>
          <w:lang w:eastAsia="es-ES"/>
        </w:rPr>
      </w:pPr>
      <w:r w:rsidRPr="004044E8">
        <w:rPr>
          <w:rFonts w:ascii="Arial" w:hAnsi="Arial" w:cs="Arial"/>
          <w:lang w:eastAsia="es-ES"/>
        </w:rPr>
        <w:t xml:space="preserve">Coordinar y </w:t>
      </w:r>
      <w:r w:rsidR="004163FD" w:rsidRPr="004044E8">
        <w:rPr>
          <w:rFonts w:ascii="Arial" w:hAnsi="Arial" w:cs="Arial"/>
          <w:lang w:eastAsia="es-ES"/>
        </w:rPr>
        <w:t xml:space="preserve">preparar </w:t>
      </w:r>
      <w:r w:rsidRPr="004044E8">
        <w:rPr>
          <w:rFonts w:ascii="Arial" w:hAnsi="Arial" w:cs="Arial"/>
          <w:lang w:eastAsia="es-ES"/>
        </w:rPr>
        <w:t>sobre la base de la información suministrada por el resto de miembros del</w:t>
      </w:r>
      <w:r w:rsidR="004163FD" w:rsidRPr="004044E8">
        <w:rPr>
          <w:rFonts w:ascii="Arial" w:hAnsi="Arial" w:cs="Arial"/>
          <w:lang w:eastAsia="es-ES"/>
        </w:rPr>
        <w:t xml:space="preserve"> </w:t>
      </w:r>
      <w:r w:rsidR="00755BF5" w:rsidRPr="004044E8">
        <w:rPr>
          <w:rFonts w:ascii="Arial" w:hAnsi="Arial" w:cs="Arial"/>
        </w:rPr>
        <w:t>EDG-MEF</w:t>
      </w:r>
      <w:r w:rsidRPr="004044E8">
        <w:rPr>
          <w:rFonts w:ascii="Arial" w:hAnsi="Arial" w:cs="Arial"/>
          <w:lang w:eastAsia="es-ES"/>
        </w:rPr>
        <w:t xml:space="preserve"> </w:t>
      </w:r>
      <w:r w:rsidR="00620E63" w:rsidRPr="004044E8">
        <w:rPr>
          <w:rFonts w:ascii="Arial" w:hAnsi="Arial" w:cs="Arial"/>
          <w:lang w:eastAsia="es-ES"/>
        </w:rPr>
        <w:t xml:space="preserve">y OSE </w:t>
      </w:r>
      <w:r w:rsidRPr="004044E8">
        <w:rPr>
          <w:rFonts w:ascii="Arial" w:hAnsi="Arial" w:cs="Arial"/>
          <w:lang w:eastAsia="es-ES"/>
        </w:rPr>
        <w:t>la siguiente información del Programa: (i) de monitoreo técnico, de adquisiciones y financiera del Programa en general; (</w:t>
      </w:r>
      <w:proofErr w:type="spellStart"/>
      <w:r w:rsidRPr="004044E8">
        <w:rPr>
          <w:rFonts w:ascii="Arial" w:hAnsi="Arial" w:cs="Arial"/>
          <w:lang w:eastAsia="es-ES"/>
        </w:rPr>
        <w:t>ii</w:t>
      </w:r>
      <w:proofErr w:type="spellEnd"/>
      <w:r w:rsidRPr="004044E8">
        <w:rPr>
          <w:rFonts w:ascii="Arial" w:hAnsi="Arial" w:cs="Arial"/>
          <w:lang w:eastAsia="es-ES"/>
        </w:rPr>
        <w:t xml:space="preserve">) monitoreo de la postulación del presupuesto requerido </w:t>
      </w:r>
      <w:r w:rsidR="00C9244A" w:rsidRPr="004044E8">
        <w:rPr>
          <w:rFonts w:ascii="Arial" w:hAnsi="Arial" w:cs="Arial"/>
          <w:lang w:eastAsia="es-ES"/>
        </w:rPr>
        <w:t xml:space="preserve">por el OE y los OSE </w:t>
      </w:r>
      <w:r w:rsidRPr="004044E8">
        <w:rPr>
          <w:rFonts w:ascii="Arial" w:hAnsi="Arial" w:cs="Arial"/>
          <w:lang w:eastAsia="es-ES"/>
        </w:rPr>
        <w:t>en el PAI del año respectivo</w:t>
      </w:r>
      <w:r w:rsidR="004163FD" w:rsidRPr="004044E8">
        <w:rPr>
          <w:rFonts w:ascii="Arial" w:hAnsi="Arial" w:cs="Arial"/>
          <w:lang w:eastAsia="es-ES"/>
        </w:rPr>
        <w:t xml:space="preserve"> del Proyecto de Inversión</w:t>
      </w:r>
      <w:r w:rsidRPr="004044E8">
        <w:rPr>
          <w:rFonts w:ascii="Arial" w:hAnsi="Arial" w:cs="Arial"/>
          <w:lang w:eastAsia="es-ES"/>
        </w:rPr>
        <w:t xml:space="preserve"> </w:t>
      </w:r>
      <w:r w:rsidR="00C9244A" w:rsidRPr="004044E8">
        <w:rPr>
          <w:rFonts w:ascii="Arial" w:hAnsi="Arial" w:cs="Arial"/>
          <w:lang w:eastAsia="es-ES"/>
        </w:rPr>
        <w:t>, para lo cual cada OSE, hasta el 5 de mayo de cada a</w:t>
      </w:r>
      <w:r w:rsidR="003D0B0C" w:rsidRPr="004044E8">
        <w:rPr>
          <w:rFonts w:ascii="Arial" w:hAnsi="Arial" w:cs="Arial"/>
          <w:lang w:eastAsia="es-ES"/>
        </w:rPr>
        <w:t>ñ</w:t>
      </w:r>
      <w:r w:rsidR="00C9244A" w:rsidRPr="004044E8">
        <w:rPr>
          <w:rFonts w:ascii="Arial" w:hAnsi="Arial" w:cs="Arial"/>
          <w:lang w:eastAsia="es-ES"/>
        </w:rPr>
        <w:t xml:space="preserve">o presentara al MEF el PEP actualizado de los componentes a su cargo, con el detalle de los productos, ·contratos, inversiones y resultados a ser alcanzados </w:t>
      </w:r>
      <w:r w:rsidRPr="004044E8">
        <w:rPr>
          <w:rFonts w:ascii="Arial" w:hAnsi="Arial" w:cs="Arial"/>
          <w:lang w:eastAsia="es-ES"/>
        </w:rPr>
        <w:t xml:space="preserve">y la postulación del presupuesto en el </w:t>
      </w:r>
      <w:proofErr w:type="spellStart"/>
      <w:r w:rsidRPr="004044E8">
        <w:rPr>
          <w:rFonts w:ascii="Arial" w:hAnsi="Arial" w:cs="Arial"/>
          <w:lang w:eastAsia="es-ES"/>
        </w:rPr>
        <w:t>SIPeIP</w:t>
      </w:r>
      <w:proofErr w:type="spellEnd"/>
      <w:r w:rsidRPr="004044E8">
        <w:rPr>
          <w:rFonts w:ascii="Arial" w:hAnsi="Arial" w:cs="Arial"/>
          <w:lang w:eastAsia="es-ES"/>
        </w:rPr>
        <w:t>; (</w:t>
      </w:r>
      <w:proofErr w:type="spellStart"/>
      <w:r w:rsidRPr="004044E8">
        <w:rPr>
          <w:rFonts w:ascii="Arial" w:hAnsi="Arial" w:cs="Arial"/>
          <w:lang w:eastAsia="es-ES"/>
        </w:rPr>
        <w:t>iii</w:t>
      </w:r>
      <w:proofErr w:type="spellEnd"/>
      <w:r w:rsidRPr="004044E8">
        <w:rPr>
          <w:rFonts w:ascii="Arial" w:hAnsi="Arial" w:cs="Arial"/>
          <w:lang w:eastAsia="es-ES"/>
        </w:rPr>
        <w:t>) monitorear  los ajustes en el PAI o en la actualización de prioridad de</w:t>
      </w:r>
      <w:r w:rsidR="004163FD" w:rsidRPr="004044E8">
        <w:rPr>
          <w:rFonts w:ascii="Arial" w:hAnsi="Arial" w:cs="Arial"/>
          <w:lang w:eastAsia="es-ES"/>
        </w:rPr>
        <w:t xml:space="preserve">l </w:t>
      </w:r>
      <w:r w:rsidRPr="004044E8">
        <w:rPr>
          <w:rFonts w:ascii="Arial" w:hAnsi="Arial" w:cs="Arial"/>
          <w:lang w:eastAsia="es-ES"/>
        </w:rPr>
        <w:t xml:space="preserve"> Proyecto financiados por el Programa, cuando corresponda; (</w:t>
      </w:r>
      <w:proofErr w:type="spellStart"/>
      <w:r w:rsidRPr="004044E8">
        <w:rPr>
          <w:rFonts w:ascii="Arial" w:hAnsi="Arial" w:cs="Arial"/>
          <w:lang w:eastAsia="es-ES"/>
        </w:rPr>
        <w:t>iv</w:t>
      </w:r>
      <w:proofErr w:type="spellEnd"/>
      <w:r w:rsidRPr="004044E8">
        <w:rPr>
          <w:rFonts w:ascii="Arial" w:hAnsi="Arial" w:cs="Arial"/>
          <w:lang w:eastAsia="es-ES"/>
        </w:rPr>
        <w:t xml:space="preserve">) preparar para </w:t>
      </w:r>
      <w:r w:rsidR="00C9244A" w:rsidRPr="004044E8">
        <w:rPr>
          <w:rFonts w:ascii="Arial" w:hAnsi="Arial" w:cs="Arial"/>
          <w:lang w:eastAsia="es-ES"/>
        </w:rPr>
        <w:t xml:space="preserve">manera coordinada con los OSE, para </w:t>
      </w:r>
      <w:r w:rsidRPr="004044E8">
        <w:rPr>
          <w:rFonts w:ascii="Arial" w:hAnsi="Arial" w:cs="Arial"/>
          <w:lang w:eastAsia="es-ES"/>
        </w:rPr>
        <w:t>presentar al BID la Programación de uso de recursos para el siguiente año</w:t>
      </w:r>
      <w:r w:rsidR="004163FD" w:rsidRPr="004044E8">
        <w:rPr>
          <w:rFonts w:ascii="Arial" w:hAnsi="Arial" w:cs="Arial"/>
          <w:lang w:eastAsia="es-ES"/>
        </w:rPr>
        <w:t xml:space="preserve"> (</w:t>
      </w:r>
      <w:r w:rsidRPr="004044E8">
        <w:rPr>
          <w:rFonts w:ascii="Arial" w:hAnsi="Arial" w:cs="Arial"/>
          <w:lang w:eastAsia="es-ES"/>
        </w:rPr>
        <w:t>PEP, POA, PA y Matriz de Riesgos actualizados con el detalle de los productos, contratos, inversiones y resultados a ser alcanzados</w:t>
      </w:r>
      <w:r w:rsidR="004163FD" w:rsidRPr="004044E8">
        <w:rPr>
          <w:rFonts w:ascii="Arial" w:hAnsi="Arial" w:cs="Arial"/>
          <w:lang w:eastAsia="es-ES"/>
        </w:rPr>
        <w:t>)</w:t>
      </w:r>
      <w:r w:rsidRPr="004044E8">
        <w:rPr>
          <w:rFonts w:ascii="Arial" w:hAnsi="Arial" w:cs="Arial"/>
          <w:lang w:eastAsia="es-ES"/>
        </w:rPr>
        <w:t>;</w:t>
      </w:r>
    </w:p>
    <w:p w14:paraId="68E63505" w14:textId="2579FD00" w:rsidR="007C4D3E" w:rsidRPr="004044E8" w:rsidRDefault="007C4D3E" w:rsidP="00C02EF4">
      <w:pPr>
        <w:pStyle w:val="numeradorom"/>
        <w:rPr>
          <w:rFonts w:ascii="Arial" w:hAnsi="Arial" w:cs="Arial"/>
          <w:lang w:eastAsia="es-ES"/>
        </w:rPr>
      </w:pPr>
      <w:r w:rsidRPr="004044E8">
        <w:rPr>
          <w:rFonts w:ascii="Arial" w:hAnsi="Arial" w:cs="Arial"/>
          <w:lang w:eastAsia="es-ES"/>
        </w:rPr>
        <w:t>Elaborar semestralmente los informes de avance del Programa</w:t>
      </w:r>
      <w:r w:rsidR="004163FD" w:rsidRPr="004044E8">
        <w:rPr>
          <w:rFonts w:ascii="Arial" w:hAnsi="Arial" w:cs="Arial"/>
          <w:lang w:eastAsia="es-ES"/>
        </w:rPr>
        <w:t xml:space="preserve"> (ISP) y </w:t>
      </w:r>
      <w:r w:rsidRPr="004044E8">
        <w:rPr>
          <w:rFonts w:ascii="Arial" w:hAnsi="Arial" w:cs="Arial"/>
          <w:lang w:eastAsia="es-ES"/>
        </w:rPr>
        <w:t xml:space="preserve">(PMR), en base a la información proporcionada por </w:t>
      </w:r>
      <w:r w:rsidR="004163FD" w:rsidRPr="004044E8">
        <w:rPr>
          <w:rFonts w:ascii="Arial" w:hAnsi="Arial" w:cs="Arial"/>
          <w:lang w:eastAsia="es-ES"/>
        </w:rPr>
        <w:t xml:space="preserve">el </w:t>
      </w:r>
      <w:r w:rsidR="00755BF5" w:rsidRPr="004044E8">
        <w:rPr>
          <w:rFonts w:ascii="Arial" w:hAnsi="Arial" w:cs="Arial"/>
        </w:rPr>
        <w:t>EDG-MEF</w:t>
      </w:r>
      <w:r w:rsidR="005F17B7" w:rsidRPr="004044E8">
        <w:rPr>
          <w:rFonts w:ascii="Arial" w:hAnsi="Arial" w:cs="Arial"/>
          <w:lang w:eastAsia="es-ES"/>
        </w:rPr>
        <w:t xml:space="preserve"> y los OSE</w:t>
      </w:r>
      <w:r w:rsidRPr="004044E8">
        <w:rPr>
          <w:rFonts w:ascii="Arial" w:hAnsi="Arial" w:cs="Arial"/>
          <w:lang w:eastAsia="es-ES"/>
        </w:rPr>
        <w:t>; elaborar los informes requeridos para las reuniones de seguimiento y avance de resultados, establecidas en el presente ROP y que requiera la Coordinación General del Programa, el Banco, o el MEF.</w:t>
      </w:r>
    </w:p>
    <w:p w14:paraId="628CF03C" w14:textId="77777777" w:rsidR="007C4D3E" w:rsidRPr="004044E8" w:rsidRDefault="007C4D3E" w:rsidP="00A56329">
      <w:pPr>
        <w:pStyle w:val="numeradorom"/>
        <w:rPr>
          <w:rFonts w:ascii="Arial" w:hAnsi="Arial" w:cs="Arial"/>
          <w:lang w:eastAsia="es-ES"/>
        </w:rPr>
      </w:pPr>
      <w:r w:rsidRPr="004044E8">
        <w:rPr>
          <w:rFonts w:ascii="Arial" w:hAnsi="Arial" w:cs="Arial"/>
          <w:lang w:eastAsia="es-ES"/>
        </w:rPr>
        <w:t>Coordinar y supervisar el mantenimiento periódico de la información para alimentar las herramientas que formen parte del Sistema de Monitoreo y Evaluación;</w:t>
      </w:r>
    </w:p>
    <w:p w14:paraId="53E90B75" w14:textId="77777777" w:rsidR="007C4D3E" w:rsidRPr="004044E8" w:rsidRDefault="007C4D3E" w:rsidP="00DE3867">
      <w:pPr>
        <w:pStyle w:val="numeradorom"/>
        <w:rPr>
          <w:rFonts w:ascii="Arial" w:hAnsi="Arial" w:cs="Arial"/>
          <w:lang w:eastAsia="es-ES"/>
        </w:rPr>
      </w:pPr>
      <w:r w:rsidRPr="004044E8">
        <w:rPr>
          <w:rFonts w:ascii="Arial" w:hAnsi="Arial" w:cs="Arial"/>
          <w:lang w:eastAsia="es-ES"/>
        </w:rPr>
        <w:t xml:space="preserve">Coordinar la ejecución de las evaluaciones externas del Programa (intermedia y final), incluido la preparación de sus términos de referencia; y el apoyo en el proceso de selección y contratación; </w:t>
      </w:r>
    </w:p>
    <w:p w14:paraId="2E69634B" w14:textId="77777777" w:rsidR="007C4D3E" w:rsidRPr="004044E8" w:rsidRDefault="007C4D3E" w:rsidP="00DE3867">
      <w:pPr>
        <w:pStyle w:val="numeradorom"/>
        <w:rPr>
          <w:rFonts w:ascii="Arial" w:hAnsi="Arial" w:cs="Arial"/>
          <w:lang w:eastAsia="es-ES"/>
        </w:rPr>
      </w:pPr>
      <w:r w:rsidRPr="004044E8">
        <w:rPr>
          <w:rFonts w:ascii="Arial" w:hAnsi="Arial" w:cs="Arial"/>
          <w:lang w:eastAsia="es-ES"/>
        </w:rPr>
        <w:t>Programar, organizar y supervisar técnicamente la evaluación del Programa;</w:t>
      </w:r>
    </w:p>
    <w:p w14:paraId="17FDB80F" w14:textId="05987DB1" w:rsidR="007C4D3E" w:rsidRPr="004044E8" w:rsidRDefault="007C4D3E" w:rsidP="00DE3867">
      <w:pPr>
        <w:pStyle w:val="numeradorom"/>
        <w:rPr>
          <w:rFonts w:ascii="Arial" w:hAnsi="Arial" w:cs="Arial"/>
          <w:lang w:eastAsia="es-ES"/>
        </w:rPr>
      </w:pPr>
      <w:r w:rsidRPr="004044E8">
        <w:rPr>
          <w:rFonts w:ascii="Arial" w:hAnsi="Arial" w:cs="Arial"/>
          <w:lang w:eastAsia="es-ES"/>
        </w:rPr>
        <w:t xml:space="preserve">Las demás funciones </w:t>
      </w:r>
      <w:r w:rsidR="004163FD" w:rsidRPr="004044E8">
        <w:rPr>
          <w:rFonts w:ascii="Arial" w:hAnsi="Arial" w:cs="Arial"/>
          <w:lang w:eastAsia="es-ES"/>
        </w:rPr>
        <w:t xml:space="preserve">descritas en el ROP y las </w:t>
      </w:r>
      <w:r w:rsidRPr="004044E8">
        <w:rPr>
          <w:rFonts w:ascii="Arial" w:hAnsi="Arial" w:cs="Arial"/>
          <w:lang w:eastAsia="es-ES"/>
        </w:rPr>
        <w:t xml:space="preserve">asignadas por el Coordinador General del </w:t>
      </w:r>
      <w:r w:rsidR="00755BF5" w:rsidRPr="004044E8">
        <w:rPr>
          <w:rFonts w:ascii="Arial" w:hAnsi="Arial" w:cs="Arial"/>
        </w:rPr>
        <w:t>EDG-MEF</w:t>
      </w:r>
      <w:r w:rsidRPr="004044E8">
        <w:rPr>
          <w:rFonts w:ascii="Arial" w:hAnsi="Arial" w:cs="Arial"/>
          <w:lang w:eastAsia="es-ES"/>
        </w:rPr>
        <w:t>, con la finalidad de dar cumplimiento al Programa.</w:t>
      </w:r>
    </w:p>
    <w:p w14:paraId="43910797" w14:textId="69CDC2E6" w:rsidR="007C4D3E" w:rsidRPr="004044E8" w:rsidRDefault="007C4D3E" w:rsidP="00EA653C">
      <w:pPr>
        <w:pStyle w:val="Heading3"/>
        <w:rPr>
          <w:rFonts w:ascii="Arial" w:hAnsi="Arial" w:cs="Arial"/>
        </w:rPr>
      </w:pPr>
      <w:r w:rsidRPr="004044E8">
        <w:rPr>
          <w:rFonts w:ascii="Arial" w:hAnsi="Arial" w:cs="Arial"/>
        </w:rPr>
        <w:t>Especialista de Adquisiciones (EA-</w:t>
      </w:r>
      <w:r w:rsidR="00BF1EAC" w:rsidRPr="004044E8">
        <w:rPr>
          <w:rFonts w:ascii="Arial" w:hAnsi="Arial" w:cs="Arial"/>
        </w:rPr>
        <w:t>EDG</w:t>
      </w:r>
      <w:r w:rsidRPr="004044E8">
        <w:rPr>
          <w:rFonts w:ascii="Arial" w:hAnsi="Arial" w:cs="Arial"/>
        </w:rPr>
        <w:t>)</w:t>
      </w:r>
    </w:p>
    <w:p w14:paraId="5E2C0EC6" w14:textId="77777777" w:rsidR="007C4D3E" w:rsidRPr="004044E8" w:rsidRDefault="007C4D3E" w:rsidP="00C02EF4">
      <w:pPr>
        <w:pStyle w:val="numeradorom"/>
        <w:numPr>
          <w:ilvl w:val="2"/>
          <w:numId w:val="21"/>
        </w:numPr>
        <w:rPr>
          <w:rFonts w:ascii="Arial" w:hAnsi="Arial" w:cs="Arial"/>
          <w:lang w:eastAsia="es-ES"/>
        </w:rPr>
      </w:pPr>
      <w:r w:rsidRPr="004044E8">
        <w:rPr>
          <w:rFonts w:ascii="Arial" w:hAnsi="Arial" w:cs="Arial"/>
          <w:lang w:eastAsia="es-ES"/>
        </w:rPr>
        <w:t xml:space="preserve">Aplicar y dar cumplimiento a las Normas, Políticas y Procesos de Adquisiciones y Contrataciones establecidos para la ejecución del Programa, que se detallan en el Contrato de Préstamo, las Políticas del Banco y el ROP. </w:t>
      </w:r>
    </w:p>
    <w:p w14:paraId="5B3F9F10" w14:textId="43209D61" w:rsidR="007C4D3E" w:rsidRPr="004044E8" w:rsidRDefault="007C4D3E" w:rsidP="00C02EF4">
      <w:pPr>
        <w:pStyle w:val="numeradorom"/>
        <w:rPr>
          <w:rFonts w:ascii="Arial" w:hAnsi="Arial" w:cs="Arial"/>
          <w:lang w:eastAsia="es-ES"/>
        </w:rPr>
      </w:pPr>
      <w:r w:rsidRPr="004044E8">
        <w:rPr>
          <w:rFonts w:ascii="Arial" w:hAnsi="Arial" w:cs="Arial"/>
          <w:lang w:eastAsia="es-ES"/>
        </w:rPr>
        <w:t>Consolidar y mantener actualizados: (i) el PA del Programa garantizando su calidad de información; (</w:t>
      </w:r>
      <w:proofErr w:type="spellStart"/>
      <w:r w:rsidRPr="004044E8">
        <w:rPr>
          <w:rFonts w:ascii="Arial" w:hAnsi="Arial" w:cs="Arial"/>
          <w:lang w:eastAsia="es-ES"/>
        </w:rPr>
        <w:t>ii</w:t>
      </w:r>
      <w:proofErr w:type="spellEnd"/>
      <w:r w:rsidRPr="004044E8">
        <w:rPr>
          <w:rFonts w:ascii="Arial" w:hAnsi="Arial" w:cs="Arial"/>
          <w:lang w:eastAsia="es-ES"/>
        </w:rPr>
        <w:t>) la documentación e informes consolidados de las adquisiciones del Programa, requeridos por el Coordinador General del Programa o el Banco.</w:t>
      </w:r>
    </w:p>
    <w:p w14:paraId="32C6208D" w14:textId="7CDFCCEE" w:rsidR="007C4D3E" w:rsidRPr="004044E8" w:rsidRDefault="007C4D3E" w:rsidP="00C02EF4">
      <w:pPr>
        <w:pStyle w:val="numeradorom"/>
        <w:rPr>
          <w:rFonts w:ascii="Arial" w:hAnsi="Arial" w:cs="Arial"/>
          <w:lang w:eastAsia="es-ES"/>
        </w:rPr>
      </w:pPr>
      <w:r w:rsidRPr="004044E8">
        <w:rPr>
          <w:rFonts w:ascii="Arial" w:hAnsi="Arial" w:cs="Arial"/>
          <w:lang w:eastAsia="es-ES"/>
        </w:rPr>
        <w:lastRenderedPageBreak/>
        <w:t>Apoyar en la preparación de la documentación precontractual necesaria, según corresponda a cada tipo de adquisición o contratación de las actividades del Programa, de acuerdo a las políticas y métodos definidos en el PA.</w:t>
      </w:r>
    </w:p>
    <w:p w14:paraId="75DB7EBC" w14:textId="00A92863" w:rsidR="007C4D3E" w:rsidRPr="004044E8" w:rsidRDefault="007C4D3E" w:rsidP="00C02EF4">
      <w:pPr>
        <w:pStyle w:val="numeradorom"/>
        <w:rPr>
          <w:rFonts w:ascii="Arial" w:hAnsi="Arial" w:cs="Arial"/>
          <w:lang w:eastAsia="es-ES"/>
        </w:rPr>
      </w:pPr>
      <w:r w:rsidRPr="004044E8">
        <w:rPr>
          <w:rFonts w:ascii="Arial" w:hAnsi="Arial" w:cs="Arial"/>
          <w:lang w:eastAsia="es-ES"/>
        </w:rPr>
        <w:t xml:space="preserve">Gestionar y dar seguimiento a los procesos de No Objeción emitidos por el Banco, según corresponda a cada tipo de adquisición o contratación del Programa. </w:t>
      </w:r>
    </w:p>
    <w:p w14:paraId="0099F760" w14:textId="77777777" w:rsidR="007C4D3E" w:rsidRPr="004044E8" w:rsidRDefault="007C4D3E" w:rsidP="00C02EF4">
      <w:pPr>
        <w:pStyle w:val="numeradorom"/>
        <w:rPr>
          <w:rFonts w:ascii="Arial" w:hAnsi="Arial" w:cs="Arial"/>
          <w:lang w:eastAsia="es-ES"/>
        </w:rPr>
      </w:pPr>
      <w:r w:rsidRPr="004044E8">
        <w:rPr>
          <w:rFonts w:ascii="Arial" w:hAnsi="Arial" w:cs="Arial"/>
          <w:lang w:eastAsia="es-ES"/>
        </w:rPr>
        <w:t xml:space="preserve">Supervisar la gestión fiduciaria y administrativa del Programa </w:t>
      </w:r>
    </w:p>
    <w:p w14:paraId="2DB3C1C4" w14:textId="1B61A9E5" w:rsidR="007C4D3E" w:rsidRPr="004044E8" w:rsidRDefault="007C4D3E" w:rsidP="00A56329">
      <w:pPr>
        <w:pStyle w:val="numeradorom"/>
        <w:rPr>
          <w:rFonts w:ascii="Arial" w:hAnsi="Arial" w:cs="Arial"/>
          <w:lang w:eastAsia="es-ES"/>
        </w:rPr>
      </w:pPr>
      <w:r w:rsidRPr="004044E8">
        <w:rPr>
          <w:rFonts w:ascii="Arial" w:hAnsi="Arial" w:cs="Arial"/>
          <w:lang w:eastAsia="es-ES"/>
        </w:rPr>
        <w:t xml:space="preserve">Dar seguimiento a la contratación y ejecución de las auditorías </w:t>
      </w:r>
      <w:r w:rsidR="00545521" w:rsidRPr="004044E8">
        <w:rPr>
          <w:rFonts w:ascii="Arial" w:hAnsi="Arial" w:cs="Arial"/>
          <w:lang w:eastAsia="es-ES"/>
        </w:rPr>
        <w:t>d</w:t>
      </w:r>
      <w:r w:rsidRPr="004044E8">
        <w:rPr>
          <w:rFonts w:ascii="Arial" w:hAnsi="Arial" w:cs="Arial"/>
          <w:lang w:eastAsia="es-ES"/>
        </w:rPr>
        <w:t>el Programa</w:t>
      </w:r>
    </w:p>
    <w:p w14:paraId="641D5644" w14:textId="18AC368D" w:rsidR="007C4D3E" w:rsidRPr="004044E8" w:rsidRDefault="007C4D3E" w:rsidP="00DE3867">
      <w:pPr>
        <w:pStyle w:val="numeradorom"/>
        <w:rPr>
          <w:rFonts w:ascii="Arial" w:hAnsi="Arial" w:cs="Arial"/>
          <w:lang w:eastAsia="es-ES"/>
        </w:rPr>
      </w:pPr>
      <w:r w:rsidRPr="004044E8">
        <w:rPr>
          <w:rFonts w:ascii="Arial" w:hAnsi="Arial" w:cs="Arial"/>
          <w:lang w:eastAsia="es-ES"/>
        </w:rPr>
        <w:t xml:space="preserve">Gestionar </w:t>
      </w:r>
      <w:r w:rsidR="003A2C48" w:rsidRPr="004044E8">
        <w:rPr>
          <w:rFonts w:ascii="Arial" w:hAnsi="Arial" w:cs="Arial"/>
          <w:lang w:eastAsia="es-ES"/>
        </w:rPr>
        <w:t xml:space="preserve">y coordinar </w:t>
      </w:r>
      <w:r w:rsidRPr="004044E8">
        <w:rPr>
          <w:rFonts w:ascii="Arial" w:hAnsi="Arial" w:cs="Arial"/>
          <w:lang w:eastAsia="es-ES"/>
        </w:rPr>
        <w:t xml:space="preserve">los procesos de adquisiciones de las actividades </w:t>
      </w:r>
      <w:r w:rsidR="003A2C48" w:rsidRPr="004044E8">
        <w:rPr>
          <w:rFonts w:ascii="Arial" w:hAnsi="Arial" w:cs="Arial"/>
          <w:lang w:eastAsia="es-ES"/>
        </w:rPr>
        <w:t>del Programa</w:t>
      </w:r>
      <w:r w:rsidRPr="004044E8">
        <w:rPr>
          <w:rFonts w:ascii="Arial" w:hAnsi="Arial" w:cs="Arial"/>
          <w:lang w:eastAsia="es-ES"/>
        </w:rPr>
        <w:t>.</w:t>
      </w:r>
    </w:p>
    <w:p w14:paraId="548360C8" w14:textId="4C2E69F8" w:rsidR="007C4D3E" w:rsidRPr="004044E8" w:rsidRDefault="007C4D3E" w:rsidP="00DE3867">
      <w:pPr>
        <w:pStyle w:val="numeradorom"/>
        <w:rPr>
          <w:rFonts w:ascii="Arial" w:hAnsi="Arial" w:cs="Arial"/>
          <w:lang w:eastAsia="es-ES"/>
        </w:rPr>
      </w:pPr>
      <w:r w:rsidRPr="004044E8">
        <w:rPr>
          <w:rFonts w:ascii="Arial" w:hAnsi="Arial" w:cs="Arial"/>
          <w:lang w:eastAsia="es-ES"/>
        </w:rPr>
        <w:t>Mantener un sistema de control y archivo documental y electrónico ordenado y completo de la información de sustento de los procesos de adquisiciones, contrataciones del Programa; y conocer y velar por el buen manejo de los procesos y sistemas de documentación, archivo y seguridad de los expedientes de contrataciones y adquisiciones relacionados con el Programa.</w:t>
      </w:r>
    </w:p>
    <w:p w14:paraId="31ACCEE5" w14:textId="67E4628D" w:rsidR="007C4D3E" w:rsidRPr="004044E8" w:rsidRDefault="007C4D3E" w:rsidP="00DE3867">
      <w:pPr>
        <w:pStyle w:val="numeradorom"/>
        <w:rPr>
          <w:rFonts w:ascii="Arial" w:hAnsi="Arial" w:cs="Arial"/>
          <w:lang w:eastAsia="es-ES"/>
        </w:rPr>
      </w:pPr>
      <w:r w:rsidRPr="004044E8">
        <w:rPr>
          <w:rFonts w:ascii="Arial" w:hAnsi="Arial" w:cs="Arial"/>
          <w:lang w:eastAsia="es-ES"/>
        </w:rPr>
        <w:t xml:space="preserve">Las demás funciones </w:t>
      </w:r>
      <w:r w:rsidR="003A2C48" w:rsidRPr="004044E8">
        <w:rPr>
          <w:rFonts w:ascii="Arial" w:hAnsi="Arial" w:cs="Arial"/>
          <w:lang w:eastAsia="es-ES"/>
        </w:rPr>
        <w:t xml:space="preserve">descritas en el ROP y las </w:t>
      </w:r>
      <w:r w:rsidRPr="004044E8">
        <w:rPr>
          <w:rFonts w:ascii="Arial" w:hAnsi="Arial" w:cs="Arial"/>
          <w:lang w:eastAsia="es-ES"/>
        </w:rPr>
        <w:t xml:space="preserve">asignadas por el </w:t>
      </w:r>
      <w:r w:rsidR="0041285F" w:rsidRPr="004044E8">
        <w:rPr>
          <w:rFonts w:ascii="Arial" w:hAnsi="Arial" w:cs="Arial"/>
          <w:lang w:eastAsia="es-ES"/>
        </w:rPr>
        <w:t xml:space="preserve">Coordinador </w:t>
      </w:r>
      <w:r w:rsidRPr="004044E8">
        <w:rPr>
          <w:rFonts w:ascii="Arial" w:hAnsi="Arial" w:cs="Arial"/>
          <w:lang w:eastAsia="es-ES"/>
        </w:rPr>
        <w:t>del EDG-M</w:t>
      </w:r>
      <w:r w:rsidR="00415CB3" w:rsidRPr="004044E8">
        <w:rPr>
          <w:rFonts w:ascii="Arial" w:hAnsi="Arial" w:cs="Arial"/>
          <w:lang w:eastAsia="es-ES"/>
        </w:rPr>
        <w:t>E</w:t>
      </w:r>
      <w:r w:rsidR="009D4748" w:rsidRPr="004044E8">
        <w:rPr>
          <w:rFonts w:ascii="Arial" w:hAnsi="Arial" w:cs="Arial"/>
          <w:lang w:eastAsia="es-ES"/>
        </w:rPr>
        <w:t>F</w:t>
      </w:r>
      <w:r w:rsidRPr="004044E8">
        <w:rPr>
          <w:rFonts w:ascii="Arial" w:hAnsi="Arial" w:cs="Arial"/>
          <w:lang w:eastAsia="es-ES"/>
        </w:rPr>
        <w:t>, con la finalidad de dar cumplimiento al Programa.</w:t>
      </w:r>
    </w:p>
    <w:p w14:paraId="7278C526" w14:textId="3E4FA2DE" w:rsidR="007C4D3E" w:rsidRPr="004044E8" w:rsidRDefault="007C4D3E" w:rsidP="00EA653C">
      <w:pPr>
        <w:pStyle w:val="Heading3"/>
        <w:rPr>
          <w:rFonts w:ascii="Arial" w:hAnsi="Arial" w:cs="Arial"/>
        </w:rPr>
      </w:pPr>
      <w:r w:rsidRPr="004044E8">
        <w:rPr>
          <w:rFonts w:ascii="Arial" w:hAnsi="Arial" w:cs="Arial"/>
        </w:rPr>
        <w:t>Especialista Financiero (EF-</w:t>
      </w:r>
      <w:r w:rsidR="00BF1EAC" w:rsidRPr="004044E8">
        <w:rPr>
          <w:rFonts w:ascii="Arial" w:hAnsi="Arial" w:cs="Arial"/>
        </w:rPr>
        <w:t>EDG</w:t>
      </w:r>
      <w:r w:rsidRPr="004044E8">
        <w:rPr>
          <w:rFonts w:ascii="Arial" w:hAnsi="Arial" w:cs="Arial"/>
        </w:rPr>
        <w:t>)</w:t>
      </w:r>
    </w:p>
    <w:p w14:paraId="2B782465" w14:textId="7D2AE8CD" w:rsidR="007C4D3E" w:rsidRPr="004044E8" w:rsidRDefault="007C4D3E" w:rsidP="00C02EF4">
      <w:pPr>
        <w:pStyle w:val="numeradorom"/>
        <w:numPr>
          <w:ilvl w:val="2"/>
          <w:numId w:val="22"/>
        </w:numPr>
        <w:rPr>
          <w:rFonts w:ascii="Arial" w:hAnsi="Arial" w:cs="Arial"/>
          <w:lang w:eastAsia="es-ES"/>
        </w:rPr>
      </w:pPr>
      <w:r w:rsidRPr="004044E8">
        <w:rPr>
          <w:rFonts w:ascii="Arial" w:hAnsi="Arial" w:cs="Arial"/>
          <w:lang w:eastAsia="es-ES"/>
        </w:rPr>
        <w:t>Coordinar, consolidar, preparar y presentar la programación del presupuesto, el Plan Financiero, la programación de desembolsos, las solicitudes de desembolsos, los Estados financieros consolidados del Programa y sus correspondientes Notas explicativas, y demás documentación e informes de avance financiero del Programa requeridos por el Coordin</w:t>
      </w:r>
      <w:r w:rsidR="006A1589" w:rsidRPr="004044E8">
        <w:rPr>
          <w:rFonts w:ascii="Arial" w:hAnsi="Arial" w:cs="Arial"/>
          <w:lang w:eastAsia="es-ES"/>
        </w:rPr>
        <w:t>a</w:t>
      </w:r>
      <w:r w:rsidRPr="004044E8">
        <w:rPr>
          <w:rFonts w:ascii="Arial" w:hAnsi="Arial" w:cs="Arial"/>
          <w:lang w:eastAsia="es-ES"/>
        </w:rPr>
        <w:t xml:space="preserve">dor General del </w:t>
      </w:r>
      <w:r w:rsidR="00755BF5" w:rsidRPr="004044E8">
        <w:rPr>
          <w:rFonts w:ascii="Arial" w:hAnsi="Arial" w:cs="Arial"/>
        </w:rPr>
        <w:t>EDG-MEF</w:t>
      </w:r>
      <w:r w:rsidR="005F17B7" w:rsidRPr="004044E8">
        <w:rPr>
          <w:rFonts w:ascii="Arial" w:hAnsi="Arial" w:cs="Arial"/>
          <w:lang w:eastAsia="es-ES"/>
        </w:rPr>
        <w:t xml:space="preserve"> en coordinación con los OSE,</w:t>
      </w:r>
      <w:r w:rsidR="00BA24B0" w:rsidRPr="004044E8">
        <w:rPr>
          <w:rFonts w:ascii="Arial" w:hAnsi="Arial" w:cs="Arial"/>
          <w:lang w:eastAsia="es-ES"/>
        </w:rPr>
        <w:t xml:space="preserve"> </w:t>
      </w:r>
      <w:r w:rsidRPr="004044E8">
        <w:rPr>
          <w:rFonts w:ascii="Arial" w:hAnsi="Arial" w:cs="Arial"/>
          <w:lang w:eastAsia="es-ES"/>
        </w:rPr>
        <w:t xml:space="preserve">y el BID, en la forma y periodicidad establecidos, en el Contrato de Préstamo y el ROP. </w:t>
      </w:r>
    </w:p>
    <w:p w14:paraId="3B19031E" w14:textId="5AACB7EF" w:rsidR="007C4D3E" w:rsidRPr="004044E8" w:rsidRDefault="007C4D3E" w:rsidP="00C02EF4">
      <w:pPr>
        <w:pStyle w:val="numeradorom"/>
        <w:rPr>
          <w:rFonts w:ascii="Arial" w:hAnsi="Arial" w:cs="Arial"/>
          <w:lang w:eastAsia="es-ES"/>
        </w:rPr>
      </w:pPr>
      <w:r w:rsidRPr="004044E8">
        <w:rPr>
          <w:rFonts w:ascii="Arial" w:hAnsi="Arial" w:cs="Arial"/>
          <w:lang w:eastAsia="es-ES"/>
        </w:rPr>
        <w:t>Consolidar mensualmente la información de la ejecución financiera del Programa con los reportes proporcionados por</w:t>
      </w:r>
      <w:r w:rsidR="00B53378" w:rsidRPr="004044E8">
        <w:rPr>
          <w:rFonts w:ascii="Arial" w:hAnsi="Arial" w:cs="Arial"/>
          <w:lang w:eastAsia="es-ES"/>
        </w:rPr>
        <w:t xml:space="preserve"> el M</w:t>
      </w:r>
      <w:r w:rsidR="005F17B7" w:rsidRPr="004044E8">
        <w:rPr>
          <w:rFonts w:ascii="Arial" w:hAnsi="Arial" w:cs="Arial"/>
          <w:lang w:eastAsia="es-ES"/>
        </w:rPr>
        <w:t>EF y los OSE</w:t>
      </w:r>
      <w:r w:rsidRPr="004044E8">
        <w:rPr>
          <w:rFonts w:ascii="Arial" w:hAnsi="Arial" w:cs="Arial"/>
          <w:lang w:eastAsia="es-ES"/>
        </w:rPr>
        <w:t>, para preparar y presentar los informes requeridos.</w:t>
      </w:r>
    </w:p>
    <w:p w14:paraId="49997A3A" w14:textId="77777777" w:rsidR="007C4D3E" w:rsidRPr="004044E8" w:rsidRDefault="007C4D3E" w:rsidP="00C02EF4">
      <w:pPr>
        <w:pStyle w:val="numeradorom"/>
        <w:rPr>
          <w:rFonts w:ascii="Arial" w:hAnsi="Arial" w:cs="Arial"/>
          <w:lang w:eastAsia="es-ES"/>
        </w:rPr>
      </w:pPr>
      <w:r w:rsidRPr="004044E8">
        <w:rPr>
          <w:rFonts w:ascii="Arial" w:hAnsi="Arial" w:cs="Arial"/>
          <w:lang w:eastAsia="es-ES"/>
        </w:rPr>
        <w:t>Conciliar mensualmente el saldo del Programa con los registros del Banco</w:t>
      </w:r>
    </w:p>
    <w:p w14:paraId="1FF2E53B" w14:textId="77777777" w:rsidR="007C4D3E" w:rsidRPr="004044E8" w:rsidRDefault="007C4D3E" w:rsidP="00C02EF4">
      <w:pPr>
        <w:pStyle w:val="numeradorom"/>
        <w:rPr>
          <w:rFonts w:ascii="Arial" w:hAnsi="Arial" w:cs="Arial"/>
          <w:lang w:eastAsia="es-ES"/>
        </w:rPr>
      </w:pPr>
      <w:r w:rsidRPr="004044E8">
        <w:rPr>
          <w:rFonts w:ascii="Arial" w:hAnsi="Arial" w:cs="Arial"/>
          <w:lang w:eastAsia="es-ES"/>
        </w:rPr>
        <w:t>Liderar técnicamente el proceso de contratación de las firmas auditoras del Programa y coordinar y facilitar la ejecución de sus actividades mediante la entrega de información oportuna y confiable.</w:t>
      </w:r>
    </w:p>
    <w:p w14:paraId="4450B9F6" w14:textId="250B8A04" w:rsidR="007C4D3E" w:rsidRPr="004044E8" w:rsidRDefault="007C4D3E" w:rsidP="00C02EF4">
      <w:pPr>
        <w:pStyle w:val="numeradorom"/>
        <w:rPr>
          <w:rFonts w:ascii="Arial" w:hAnsi="Arial" w:cs="Arial"/>
          <w:lang w:eastAsia="es-ES"/>
        </w:rPr>
      </w:pPr>
      <w:r w:rsidRPr="004044E8">
        <w:rPr>
          <w:rFonts w:ascii="Arial" w:hAnsi="Arial" w:cs="Arial"/>
          <w:lang w:eastAsia="es-ES"/>
        </w:rPr>
        <w:t>Proponer, implementar y actualizar el Plan de Cuentas del Programa en función de la normativa contable pertinente, de acuerdo</w:t>
      </w:r>
      <w:r w:rsidR="005F17B7" w:rsidRPr="004044E8">
        <w:rPr>
          <w:rFonts w:ascii="Arial" w:hAnsi="Arial" w:cs="Arial"/>
          <w:lang w:eastAsia="es-ES"/>
        </w:rPr>
        <w:t xml:space="preserve"> a cada OSE y</w:t>
      </w:r>
      <w:r w:rsidRPr="004044E8">
        <w:rPr>
          <w:rFonts w:ascii="Arial" w:hAnsi="Arial" w:cs="Arial"/>
          <w:lang w:eastAsia="es-ES"/>
        </w:rPr>
        <w:t xml:space="preserve"> </w:t>
      </w:r>
      <w:r w:rsidR="00B53378" w:rsidRPr="004044E8">
        <w:rPr>
          <w:rFonts w:ascii="Arial" w:hAnsi="Arial" w:cs="Arial"/>
          <w:lang w:eastAsia="es-ES"/>
        </w:rPr>
        <w:t>a las</w:t>
      </w:r>
      <w:r w:rsidRPr="004044E8">
        <w:rPr>
          <w:rFonts w:ascii="Arial" w:hAnsi="Arial" w:cs="Arial"/>
          <w:lang w:eastAsia="es-ES"/>
        </w:rPr>
        <w:t xml:space="preserve"> necesidades de registro y presentación de información del programa, dentro de lo establecido en la gestión financiera del Programa descrita en el ROP.</w:t>
      </w:r>
    </w:p>
    <w:p w14:paraId="67FAEEAD" w14:textId="2B38E132" w:rsidR="007C4D3E" w:rsidRPr="004044E8" w:rsidRDefault="007C4D3E" w:rsidP="00A56329">
      <w:pPr>
        <w:pStyle w:val="numeradorom"/>
        <w:rPr>
          <w:rFonts w:ascii="Arial" w:hAnsi="Arial" w:cs="Arial"/>
          <w:lang w:eastAsia="es-ES"/>
        </w:rPr>
      </w:pPr>
      <w:r w:rsidRPr="004044E8">
        <w:rPr>
          <w:rFonts w:ascii="Arial" w:hAnsi="Arial" w:cs="Arial"/>
          <w:lang w:eastAsia="es-ES"/>
        </w:rPr>
        <w:t xml:space="preserve">Preparar las solicitudes de desembolso del Programa (anticipos, reembolso, justificaciones) de las actividades del Programa, </w:t>
      </w:r>
      <w:r w:rsidR="005F17B7" w:rsidRPr="004044E8">
        <w:rPr>
          <w:rFonts w:ascii="Arial" w:hAnsi="Arial" w:cs="Arial"/>
          <w:lang w:eastAsia="es-ES"/>
        </w:rPr>
        <w:t xml:space="preserve">en coordinación con los OSE, </w:t>
      </w:r>
      <w:r w:rsidRPr="004044E8">
        <w:rPr>
          <w:rFonts w:ascii="Arial" w:hAnsi="Arial" w:cs="Arial"/>
          <w:lang w:eastAsia="es-ES"/>
        </w:rPr>
        <w:t xml:space="preserve">para su presentación al BID y remitirlo para la suscripción de la firma autorizada, así como gestionar la autorización respectiva del MEF. </w:t>
      </w:r>
    </w:p>
    <w:p w14:paraId="20A35AA9" w14:textId="324176EB" w:rsidR="007C4D3E" w:rsidRPr="004044E8" w:rsidRDefault="007C4D3E" w:rsidP="00DE3867">
      <w:pPr>
        <w:pStyle w:val="numeradorom"/>
        <w:rPr>
          <w:rFonts w:ascii="Arial" w:hAnsi="Arial" w:cs="Arial"/>
          <w:lang w:eastAsia="es-ES"/>
        </w:rPr>
      </w:pPr>
      <w:r w:rsidRPr="004044E8">
        <w:rPr>
          <w:rFonts w:ascii="Arial" w:hAnsi="Arial" w:cs="Arial"/>
          <w:lang w:eastAsia="es-ES"/>
        </w:rPr>
        <w:t xml:space="preserve">Coordinar con el MEF la gestión de los desembolsos del Programa, la aprobación de las reformas presupuestarias que correspondan y la transferencia de recursos y espacios presupuestarios </w:t>
      </w:r>
      <w:r w:rsidR="00B53378" w:rsidRPr="004044E8">
        <w:rPr>
          <w:rFonts w:ascii="Arial" w:hAnsi="Arial" w:cs="Arial"/>
          <w:lang w:eastAsia="es-ES"/>
        </w:rPr>
        <w:t xml:space="preserve">que </w:t>
      </w:r>
      <w:r w:rsidR="005F17B7" w:rsidRPr="004044E8">
        <w:rPr>
          <w:rFonts w:ascii="Arial" w:hAnsi="Arial" w:cs="Arial"/>
          <w:lang w:eastAsia="es-ES"/>
        </w:rPr>
        <w:t>para los OSE</w:t>
      </w:r>
      <w:r w:rsidRPr="004044E8">
        <w:rPr>
          <w:rFonts w:ascii="Arial" w:hAnsi="Arial" w:cs="Arial"/>
          <w:lang w:eastAsia="es-ES"/>
        </w:rPr>
        <w:t xml:space="preserve">. </w:t>
      </w:r>
    </w:p>
    <w:p w14:paraId="35D9C9E1" w14:textId="77777777" w:rsidR="007C4D3E" w:rsidRPr="004044E8" w:rsidRDefault="007C4D3E" w:rsidP="00DE3867">
      <w:pPr>
        <w:pStyle w:val="numeradorom"/>
        <w:rPr>
          <w:rFonts w:ascii="Arial" w:hAnsi="Arial" w:cs="Arial"/>
          <w:lang w:eastAsia="es-ES"/>
        </w:rPr>
      </w:pPr>
      <w:r w:rsidRPr="004044E8">
        <w:rPr>
          <w:rFonts w:ascii="Arial" w:hAnsi="Arial" w:cs="Arial"/>
          <w:lang w:eastAsia="es-ES"/>
        </w:rPr>
        <w:t>Gestionar y coordinar oportunamente la disponibilidad de recursos tanto del aporte BID como de la contraparte local.</w:t>
      </w:r>
    </w:p>
    <w:p w14:paraId="7F229753" w14:textId="44253857" w:rsidR="007C4D3E" w:rsidRPr="004044E8" w:rsidRDefault="007C4D3E" w:rsidP="00DE3867">
      <w:pPr>
        <w:pStyle w:val="numeradorom"/>
        <w:rPr>
          <w:rFonts w:ascii="Arial" w:hAnsi="Arial" w:cs="Arial"/>
          <w:lang w:eastAsia="es-ES"/>
        </w:rPr>
      </w:pPr>
      <w:r w:rsidRPr="004044E8">
        <w:rPr>
          <w:rFonts w:ascii="Arial" w:hAnsi="Arial" w:cs="Arial"/>
          <w:lang w:eastAsia="es-ES"/>
        </w:rPr>
        <w:t>Apoyar y Gestionar en la emisión de las certificaciones y avales presupuestarios necesarias correspondientes a los procesos precontractuales del programa</w:t>
      </w:r>
      <w:r w:rsidR="005F17B7" w:rsidRPr="004044E8">
        <w:rPr>
          <w:rFonts w:ascii="Arial" w:hAnsi="Arial" w:cs="Arial"/>
          <w:lang w:eastAsia="es-ES"/>
        </w:rPr>
        <w:t>, en coordinación con los OSE</w:t>
      </w:r>
      <w:r w:rsidRPr="004044E8">
        <w:rPr>
          <w:rFonts w:ascii="Arial" w:hAnsi="Arial" w:cs="Arial"/>
          <w:lang w:eastAsia="es-ES"/>
        </w:rPr>
        <w:t>.</w:t>
      </w:r>
    </w:p>
    <w:p w14:paraId="4D08DDF0" w14:textId="1A1A6F6D" w:rsidR="007C4D3E" w:rsidRPr="004044E8" w:rsidRDefault="007C4D3E" w:rsidP="00DE3867">
      <w:pPr>
        <w:pStyle w:val="numeradorom"/>
        <w:rPr>
          <w:rFonts w:ascii="Arial" w:hAnsi="Arial" w:cs="Arial"/>
          <w:lang w:eastAsia="es-ES"/>
        </w:rPr>
      </w:pPr>
      <w:r w:rsidRPr="004044E8">
        <w:rPr>
          <w:rFonts w:ascii="Arial" w:hAnsi="Arial" w:cs="Arial"/>
          <w:lang w:eastAsia="es-ES"/>
        </w:rPr>
        <w:t>Las demás funciones</w:t>
      </w:r>
      <w:r w:rsidR="00B53378" w:rsidRPr="004044E8">
        <w:rPr>
          <w:rFonts w:ascii="Arial" w:hAnsi="Arial" w:cs="Arial"/>
          <w:lang w:eastAsia="es-ES"/>
        </w:rPr>
        <w:t xml:space="preserve"> descritas en el ROP y las </w:t>
      </w:r>
      <w:r w:rsidRPr="004044E8">
        <w:rPr>
          <w:rFonts w:ascii="Arial" w:hAnsi="Arial" w:cs="Arial"/>
          <w:lang w:eastAsia="es-ES"/>
        </w:rPr>
        <w:t xml:space="preserve">asignadas por el Coordinador General del </w:t>
      </w:r>
      <w:r w:rsidR="00BF1EAC" w:rsidRPr="004044E8">
        <w:rPr>
          <w:rFonts w:ascii="Arial" w:hAnsi="Arial" w:cs="Arial"/>
          <w:lang w:eastAsia="es-ES"/>
        </w:rPr>
        <w:t>EDG</w:t>
      </w:r>
      <w:r w:rsidRPr="004044E8">
        <w:rPr>
          <w:rFonts w:ascii="Arial" w:hAnsi="Arial" w:cs="Arial"/>
          <w:lang w:eastAsia="es-ES"/>
        </w:rPr>
        <w:t xml:space="preserve">, con la finalidad de dar cumplimiento al </w:t>
      </w:r>
      <w:r w:rsidR="00B53378" w:rsidRPr="004044E8">
        <w:rPr>
          <w:rFonts w:ascii="Arial" w:hAnsi="Arial" w:cs="Arial"/>
          <w:lang w:eastAsia="es-ES"/>
        </w:rPr>
        <w:t>Programa.</w:t>
      </w:r>
      <w:r w:rsidRPr="004044E8">
        <w:rPr>
          <w:rFonts w:ascii="Arial" w:hAnsi="Arial" w:cs="Arial"/>
          <w:lang w:eastAsia="es-ES"/>
        </w:rPr>
        <w:t xml:space="preserve"> </w:t>
      </w:r>
    </w:p>
    <w:p w14:paraId="6A8FCD75" w14:textId="77777777" w:rsidR="00701342" w:rsidRPr="004044E8" w:rsidRDefault="00701342" w:rsidP="007C4D3E">
      <w:pPr>
        <w:rPr>
          <w:rFonts w:ascii="Arial" w:hAnsi="Arial" w:cs="Arial"/>
          <w:lang w:val="es-ES"/>
        </w:rPr>
      </w:pPr>
    </w:p>
    <w:p w14:paraId="5354713A" w14:textId="2975528A" w:rsidR="00F7387C" w:rsidRPr="004044E8" w:rsidRDefault="00F7387C" w:rsidP="001C7188">
      <w:pPr>
        <w:pStyle w:val="Heading2"/>
        <w:numPr>
          <w:ilvl w:val="0"/>
          <w:numId w:val="9"/>
        </w:numPr>
        <w:rPr>
          <w:rFonts w:ascii="Arial" w:hAnsi="Arial" w:cs="Arial"/>
        </w:rPr>
      </w:pPr>
      <w:bookmarkStart w:id="78" w:name="_Toc424879206"/>
      <w:bookmarkStart w:id="79" w:name="_Toc488537059"/>
      <w:bookmarkStart w:id="80" w:name="_Toc499198625"/>
      <w:bookmarkStart w:id="81" w:name="_Toc10223124"/>
      <w:bookmarkStart w:id="82" w:name="_Toc454056464"/>
      <w:bookmarkEnd w:id="73"/>
      <w:bookmarkEnd w:id="74"/>
      <w:r w:rsidRPr="004044E8">
        <w:rPr>
          <w:rFonts w:ascii="Arial" w:hAnsi="Arial" w:cs="Arial"/>
        </w:rPr>
        <w:t xml:space="preserve">Perfiles básicos de los miembros el </w:t>
      </w:r>
      <w:bookmarkEnd w:id="78"/>
      <w:bookmarkEnd w:id="79"/>
      <w:bookmarkEnd w:id="80"/>
      <w:bookmarkEnd w:id="81"/>
      <w:r w:rsidR="00755BF5" w:rsidRPr="004044E8">
        <w:rPr>
          <w:rFonts w:ascii="Arial" w:hAnsi="Arial" w:cs="Arial"/>
        </w:rPr>
        <w:t>EDG-MEF</w:t>
      </w:r>
    </w:p>
    <w:p w14:paraId="0FE6D722" w14:textId="387D490A" w:rsidR="00F7387C" w:rsidRPr="004044E8" w:rsidRDefault="00F7387C" w:rsidP="00F7387C">
      <w:pPr>
        <w:pStyle w:val="Caption"/>
        <w:keepNext/>
        <w:rPr>
          <w:rFonts w:ascii="Arial" w:hAnsi="Arial" w:cs="Arial"/>
        </w:rPr>
      </w:pPr>
      <w:bookmarkStart w:id="83" w:name="_Toc438654256"/>
      <w:bookmarkStart w:id="84" w:name="_Toc499198645"/>
      <w:bookmarkStart w:id="85" w:name="_Toc537160"/>
      <w:r w:rsidRPr="004044E8">
        <w:rPr>
          <w:rFonts w:ascii="Arial" w:hAnsi="Arial" w:cs="Arial"/>
        </w:rPr>
        <w:t xml:space="preserve">Tabla </w:t>
      </w:r>
      <w:r w:rsidRPr="009F019B">
        <w:rPr>
          <w:rFonts w:ascii="Arial" w:hAnsi="Arial" w:cs="Arial"/>
          <w:noProof/>
        </w:rPr>
        <w:fldChar w:fldCharType="begin"/>
      </w:r>
      <w:r w:rsidRPr="004044E8">
        <w:rPr>
          <w:rFonts w:ascii="Arial" w:hAnsi="Arial" w:cs="Arial"/>
          <w:noProof/>
        </w:rPr>
        <w:instrText xml:space="preserve"> SEQ Tabla \* ARABIC </w:instrText>
      </w:r>
      <w:r w:rsidRPr="004044E8">
        <w:rPr>
          <w:rFonts w:ascii="Arial" w:hAnsi="Arial" w:cs="Arial"/>
          <w:noProof/>
        </w:rPr>
        <w:fldChar w:fldCharType="separate"/>
      </w:r>
      <w:r w:rsidRPr="009F019B">
        <w:rPr>
          <w:rFonts w:ascii="Arial" w:hAnsi="Arial" w:cs="Arial"/>
          <w:noProof/>
        </w:rPr>
        <w:t>7</w:t>
      </w:r>
      <w:r w:rsidRPr="009F019B">
        <w:rPr>
          <w:rFonts w:ascii="Arial" w:hAnsi="Arial" w:cs="Arial"/>
          <w:noProof/>
        </w:rPr>
        <w:fldChar w:fldCharType="end"/>
      </w:r>
      <w:r w:rsidRPr="009F019B">
        <w:rPr>
          <w:rFonts w:ascii="Arial" w:hAnsi="Arial" w:cs="Arial"/>
        </w:rPr>
        <w:t xml:space="preserve">. Perfiles Básicos del </w:t>
      </w:r>
      <w:r w:rsidR="00BF1EAC" w:rsidRPr="009F019B">
        <w:rPr>
          <w:rFonts w:ascii="Arial" w:hAnsi="Arial" w:cs="Arial"/>
        </w:rPr>
        <w:t>EDG</w:t>
      </w:r>
      <w:r w:rsidRPr="004044E8">
        <w:rPr>
          <w:rFonts w:ascii="Arial" w:hAnsi="Arial" w:cs="Arial"/>
        </w:rPr>
        <w:t xml:space="preserve"> y referencias remunerativas</w:t>
      </w:r>
      <w:bookmarkEnd w:id="83"/>
      <w:bookmarkEnd w:id="84"/>
      <w:bookmarkEnd w:id="85"/>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4536"/>
        <w:gridCol w:w="2410"/>
      </w:tblGrid>
      <w:tr w:rsidR="00F7387C" w:rsidRPr="004044E8" w14:paraId="344D4985" w14:textId="77777777" w:rsidTr="00F7387C">
        <w:tc>
          <w:tcPr>
            <w:tcW w:w="2263" w:type="dxa"/>
            <w:shd w:val="clear" w:color="auto" w:fill="D9D9D9"/>
            <w:vAlign w:val="center"/>
          </w:tcPr>
          <w:p w14:paraId="25D7F118" w14:textId="77777777" w:rsidR="00F7387C" w:rsidRPr="004044E8" w:rsidRDefault="00F7387C" w:rsidP="00883B5B">
            <w:pPr>
              <w:jc w:val="center"/>
              <w:rPr>
                <w:rFonts w:ascii="Arial" w:hAnsi="Arial" w:cs="Arial"/>
                <w:sz w:val="16"/>
              </w:rPr>
            </w:pPr>
            <w:r w:rsidRPr="004044E8">
              <w:rPr>
                <w:rFonts w:ascii="Arial" w:hAnsi="Arial" w:cs="Arial"/>
                <w:sz w:val="16"/>
              </w:rPr>
              <w:t>Miembro</w:t>
            </w:r>
          </w:p>
        </w:tc>
        <w:tc>
          <w:tcPr>
            <w:tcW w:w="4536" w:type="dxa"/>
            <w:shd w:val="clear" w:color="auto" w:fill="D9D9D9"/>
            <w:vAlign w:val="center"/>
          </w:tcPr>
          <w:p w14:paraId="6848F2F8" w14:textId="77777777" w:rsidR="00F7387C" w:rsidRPr="004044E8" w:rsidRDefault="00F7387C" w:rsidP="00883B5B">
            <w:pPr>
              <w:jc w:val="center"/>
              <w:rPr>
                <w:rFonts w:ascii="Arial" w:hAnsi="Arial" w:cs="Arial"/>
                <w:sz w:val="16"/>
              </w:rPr>
            </w:pPr>
            <w:r w:rsidRPr="004044E8">
              <w:rPr>
                <w:rFonts w:ascii="Arial" w:hAnsi="Arial" w:cs="Arial"/>
                <w:sz w:val="16"/>
              </w:rPr>
              <w:t>Perfil Básico</w:t>
            </w:r>
          </w:p>
        </w:tc>
        <w:tc>
          <w:tcPr>
            <w:tcW w:w="2410" w:type="dxa"/>
            <w:shd w:val="clear" w:color="auto" w:fill="D9D9D9"/>
            <w:vAlign w:val="center"/>
          </w:tcPr>
          <w:p w14:paraId="519DF859" w14:textId="77777777" w:rsidR="00F7387C" w:rsidRPr="004044E8" w:rsidRDefault="00F7387C" w:rsidP="00883B5B">
            <w:pPr>
              <w:jc w:val="center"/>
              <w:rPr>
                <w:rFonts w:ascii="Arial" w:hAnsi="Arial" w:cs="Arial"/>
                <w:sz w:val="16"/>
              </w:rPr>
            </w:pPr>
            <w:r w:rsidRPr="004044E8">
              <w:rPr>
                <w:rFonts w:ascii="Arial" w:hAnsi="Arial" w:cs="Arial"/>
                <w:sz w:val="16"/>
              </w:rPr>
              <w:t>Referencias Remunerativas (*)</w:t>
            </w:r>
          </w:p>
        </w:tc>
      </w:tr>
      <w:tr w:rsidR="00F7387C" w:rsidRPr="004044E8" w14:paraId="1E451344" w14:textId="77777777" w:rsidTr="00F7387C">
        <w:tc>
          <w:tcPr>
            <w:tcW w:w="2263" w:type="dxa"/>
          </w:tcPr>
          <w:p w14:paraId="140A4F55" w14:textId="77777777" w:rsidR="00F7387C" w:rsidRPr="004044E8" w:rsidRDefault="00F7387C" w:rsidP="00883B5B">
            <w:pPr>
              <w:jc w:val="left"/>
              <w:rPr>
                <w:rFonts w:ascii="Arial" w:hAnsi="Arial" w:cs="Arial"/>
                <w:sz w:val="16"/>
              </w:rPr>
            </w:pPr>
            <w:r w:rsidRPr="004044E8">
              <w:rPr>
                <w:rFonts w:ascii="Arial" w:hAnsi="Arial" w:cs="Arial"/>
                <w:sz w:val="16"/>
              </w:rPr>
              <w:t>Coordinador del Programa</w:t>
            </w:r>
          </w:p>
        </w:tc>
        <w:tc>
          <w:tcPr>
            <w:tcW w:w="4536" w:type="dxa"/>
          </w:tcPr>
          <w:p w14:paraId="6A922573" w14:textId="776B3779" w:rsidR="00F7387C" w:rsidRPr="004044E8" w:rsidRDefault="00F7387C" w:rsidP="00883B5B">
            <w:pPr>
              <w:rPr>
                <w:rFonts w:ascii="Arial" w:hAnsi="Arial" w:cs="Arial"/>
                <w:sz w:val="16"/>
              </w:rPr>
            </w:pPr>
            <w:r w:rsidRPr="004044E8">
              <w:rPr>
                <w:rFonts w:ascii="Arial" w:hAnsi="Arial" w:cs="Arial"/>
                <w:sz w:val="16"/>
              </w:rPr>
              <w:t>Título de Tercer Nivel en</w:t>
            </w:r>
            <w:r w:rsidR="00770D4A" w:rsidRPr="004044E8">
              <w:rPr>
                <w:rFonts w:ascii="Arial" w:hAnsi="Arial" w:cs="Arial"/>
                <w:sz w:val="16"/>
              </w:rPr>
              <w:t xml:space="preserve"> Comercio Internacional, </w:t>
            </w:r>
            <w:r w:rsidRPr="004044E8">
              <w:rPr>
                <w:rFonts w:ascii="Arial" w:hAnsi="Arial" w:cs="Arial"/>
                <w:sz w:val="16"/>
              </w:rPr>
              <w:t xml:space="preserve">Economía, Ingeniería Comercial, Administración de Empresas, Experiencia General de 5 años en ejecución de Proyectos y Experiencia </w:t>
            </w:r>
            <w:r w:rsidRPr="004044E8">
              <w:rPr>
                <w:rFonts w:ascii="Arial" w:hAnsi="Arial" w:cs="Arial"/>
                <w:sz w:val="16"/>
              </w:rPr>
              <w:lastRenderedPageBreak/>
              <w:t>Específica de 3 años en Proyectos de inversión; de los cuales 2 deberán ser bajo financiamiento BID.</w:t>
            </w:r>
          </w:p>
        </w:tc>
        <w:tc>
          <w:tcPr>
            <w:tcW w:w="2410" w:type="dxa"/>
          </w:tcPr>
          <w:p w14:paraId="03B3A81D" w14:textId="35D3B5F9" w:rsidR="00F7387C" w:rsidRPr="004044E8" w:rsidRDefault="00F7387C" w:rsidP="00883B5B">
            <w:pPr>
              <w:rPr>
                <w:rFonts w:ascii="Arial" w:hAnsi="Arial" w:cs="Arial"/>
                <w:sz w:val="16"/>
              </w:rPr>
            </w:pPr>
            <w:r w:rsidRPr="004044E8">
              <w:rPr>
                <w:rFonts w:ascii="Arial" w:hAnsi="Arial" w:cs="Arial"/>
                <w:sz w:val="16"/>
              </w:rPr>
              <w:lastRenderedPageBreak/>
              <w:t xml:space="preserve">Gerente de Proyecto </w:t>
            </w:r>
            <w:r w:rsidR="000316AA" w:rsidRPr="004044E8">
              <w:rPr>
                <w:rFonts w:ascii="Arial" w:hAnsi="Arial" w:cs="Arial"/>
                <w:sz w:val="16"/>
              </w:rPr>
              <w:t>2</w:t>
            </w:r>
            <w:r w:rsidRPr="004044E8">
              <w:rPr>
                <w:rFonts w:ascii="Arial" w:hAnsi="Arial" w:cs="Arial"/>
                <w:sz w:val="16"/>
              </w:rPr>
              <w:t xml:space="preserve"> </w:t>
            </w:r>
          </w:p>
        </w:tc>
      </w:tr>
      <w:tr w:rsidR="00F7387C" w:rsidRPr="004044E8" w14:paraId="57BDDF01" w14:textId="77777777" w:rsidTr="00F7387C">
        <w:tc>
          <w:tcPr>
            <w:tcW w:w="2263" w:type="dxa"/>
          </w:tcPr>
          <w:p w14:paraId="3B93EAFF" w14:textId="77777777" w:rsidR="00F7387C" w:rsidRPr="004044E8" w:rsidRDefault="00F7387C" w:rsidP="00883B5B">
            <w:pPr>
              <w:jc w:val="left"/>
              <w:rPr>
                <w:rFonts w:ascii="Arial" w:hAnsi="Arial" w:cs="Arial"/>
                <w:sz w:val="16"/>
              </w:rPr>
            </w:pPr>
            <w:r w:rsidRPr="004044E8">
              <w:rPr>
                <w:rFonts w:ascii="Arial" w:hAnsi="Arial" w:cs="Arial"/>
                <w:sz w:val="16"/>
              </w:rPr>
              <w:t>Especialista de Adquisiciones</w:t>
            </w:r>
          </w:p>
        </w:tc>
        <w:tc>
          <w:tcPr>
            <w:tcW w:w="4536" w:type="dxa"/>
          </w:tcPr>
          <w:p w14:paraId="34AAFD6C" w14:textId="77777777" w:rsidR="00F7387C" w:rsidRPr="004044E8" w:rsidRDefault="00F7387C" w:rsidP="00883B5B">
            <w:pPr>
              <w:rPr>
                <w:rFonts w:ascii="Arial" w:hAnsi="Arial" w:cs="Arial"/>
                <w:sz w:val="16"/>
              </w:rPr>
            </w:pPr>
            <w:r w:rsidRPr="004044E8">
              <w:rPr>
                <w:rFonts w:ascii="Arial" w:hAnsi="Arial" w:cs="Arial"/>
                <w:sz w:val="16"/>
              </w:rPr>
              <w:t>Título de Tercer Nivel en Economía, Ingeniería Comercial, Administración de Empresas, Comercio exterior o carreras afines, Experiencia General de 5 años en áreas de compras públicas, Experiencia Específica de 3 años en Adquisiciones de Proyectos financiados por el BID.</w:t>
            </w:r>
          </w:p>
        </w:tc>
        <w:tc>
          <w:tcPr>
            <w:tcW w:w="2410" w:type="dxa"/>
          </w:tcPr>
          <w:p w14:paraId="1EC8E856" w14:textId="7E0F09A0" w:rsidR="00F7387C" w:rsidRPr="004044E8" w:rsidRDefault="00F7387C" w:rsidP="00883B5B">
            <w:pPr>
              <w:rPr>
                <w:rFonts w:ascii="Arial" w:hAnsi="Arial" w:cs="Arial"/>
                <w:sz w:val="16"/>
              </w:rPr>
            </w:pPr>
            <w:r w:rsidRPr="004044E8">
              <w:rPr>
                <w:rFonts w:ascii="Arial" w:hAnsi="Arial" w:cs="Arial"/>
                <w:sz w:val="16"/>
              </w:rPr>
              <w:t xml:space="preserve">Servidor Público </w:t>
            </w:r>
            <w:r w:rsidR="000316AA" w:rsidRPr="004044E8">
              <w:rPr>
                <w:rFonts w:ascii="Arial" w:hAnsi="Arial" w:cs="Arial"/>
                <w:sz w:val="16"/>
              </w:rPr>
              <w:t>7</w:t>
            </w:r>
            <w:r w:rsidRPr="004044E8">
              <w:rPr>
                <w:rFonts w:ascii="Arial" w:hAnsi="Arial" w:cs="Arial"/>
                <w:sz w:val="16"/>
              </w:rPr>
              <w:t xml:space="preserve"> o de acuerdo con el perfil del consultor</w:t>
            </w:r>
          </w:p>
          <w:p w14:paraId="4139B19B" w14:textId="77777777" w:rsidR="00F7387C" w:rsidRPr="004044E8" w:rsidRDefault="00F7387C" w:rsidP="00883B5B">
            <w:pPr>
              <w:rPr>
                <w:rFonts w:ascii="Arial" w:hAnsi="Arial" w:cs="Arial"/>
                <w:sz w:val="16"/>
              </w:rPr>
            </w:pPr>
            <w:r w:rsidRPr="004044E8">
              <w:rPr>
                <w:rFonts w:ascii="Arial" w:hAnsi="Arial" w:cs="Arial"/>
                <w:sz w:val="16"/>
              </w:rPr>
              <w:t>(ejecución y supervisión de procesos)</w:t>
            </w:r>
          </w:p>
          <w:p w14:paraId="1C85E564" w14:textId="39C63E5C" w:rsidR="00415CB3" w:rsidRPr="004044E8" w:rsidRDefault="00415CB3" w:rsidP="00883B5B">
            <w:pPr>
              <w:rPr>
                <w:rFonts w:ascii="Arial" w:hAnsi="Arial" w:cs="Arial"/>
                <w:sz w:val="16"/>
              </w:rPr>
            </w:pPr>
          </w:p>
        </w:tc>
      </w:tr>
      <w:tr w:rsidR="00F7387C" w:rsidRPr="004044E8" w14:paraId="59AA15F6" w14:textId="77777777" w:rsidTr="00F7387C">
        <w:tc>
          <w:tcPr>
            <w:tcW w:w="2263" w:type="dxa"/>
          </w:tcPr>
          <w:p w14:paraId="2A21139D" w14:textId="77777777" w:rsidR="00F7387C" w:rsidRPr="004044E8" w:rsidRDefault="00F7387C" w:rsidP="00883B5B">
            <w:pPr>
              <w:jc w:val="left"/>
              <w:rPr>
                <w:rFonts w:ascii="Arial" w:hAnsi="Arial" w:cs="Arial"/>
                <w:sz w:val="16"/>
              </w:rPr>
            </w:pPr>
            <w:r w:rsidRPr="004044E8">
              <w:rPr>
                <w:rFonts w:ascii="Arial" w:hAnsi="Arial" w:cs="Arial"/>
                <w:sz w:val="16"/>
              </w:rPr>
              <w:t>Especialista Financiero</w:t>
            </w:r>
          </w:p>
        </w:tc>
        <w:tc>
          <w:tcPr>
            <w:tcW w:w="4536" w:type="dxa"/>
          </w:tcPr>
          <w:p w14:paraId="51FA373D" w14:textId="2A135D0A" w:rsidR="00F7387C" w:rsidRPr="004044E8" w:rsidRDefault="00F7387C" w:rsidP="00883B5B">
            <w:pPr>
              <w:rPr>
                <w:rFonts w:ascii="Arial" w:hAnsi="Arial" w:cs="Arial"/>
                <w:sz w:val="16"/>
              </w:rPr>
            </w:pPr>
            <w:r w:rsidRPr="004044E8">
              <w:rPr>
                <w:rFonts w:ascii="Arial" w:hAnsi="Arial" w:cs="Arial"/>
                <w:sz w:val="16"/>
              </w:rPr>
              <w:t xml:space="preserve">Título de Tercer Nivel en Economía, Experiencia General de 5 años en Coordinación Financiera de Proyectos, Experiencia Específica de </w:t>
            </w:r>
            <w:r w:rsidR="00002527" w:rsidRPr="004044E8">
              <w:rPr>
                <w:rFonts w:ascii="Arial" w:hAnsi="Arial" w:cs="Arial"/>
                <w:sz w:val="16"/>
              </w:rPr>
              <w:t>3</w:t>
            </w:r>
            <w:r w:rsidRPr="004044E8">
              <w:rPr>
                <w:rFonts w:ascii="Arial" w:hAnsi="Arial" w:cs="Arial"/>
                <w:sz w:val="16"/>
              </w:rPr>
              <w:t xml:space="preserve"> años en Coordinación Financiera de Proyectos financiados por el BID.</w:t>
            </w:r>
          </w:p>
        </w:tc>
        <w:tc>
          <w:tcPr>
            <w:tcW w:w="2410" w:type="dxa"/>
          </w:tcPr>
          <w:p w14:paraId="07260AC3" w14:textId="554C578A" w:rsidR="00F7387C" w:rsidRPr="004044E8" w:rsidRDefault="00F7387C" w:rsidP="00883B5B">
            <w:pPr>
              <w:rPr>
                <w:rFonts w:ascii="Arial" w:hAnsi="Arial" w:cs="Arial"/>
                <w:sz w:val="16"/>
              </w:rPr>
            </w:pPr>
            <w:r w:rsidRPr="004044E8">
              <w:rPr>
                <w:rFonts w:ascii="Arial" w:hAnsi="Arial" w:cs="Arial"/>
                <w:sz w:val="16"/>
              </w:rPr>
              <w:t xml:space="preserve">Servidor Público </w:t>
            </w:r>
            <w:r w:rsidR="000316AA" w:rsidRPr="004044E8">
              <w:rPr>
                <w:rFonts w:ascii="Arial" w:hAnsi="Arial" w:cs="Arial"/>
                <w:sz w:val="16"/>
              </w:rPr>
              <w:t>7</w:t>
            </w:r>
            <w:r w:rsidRPr="004044E8">
              <w:rPr>
                <w:rFonts w:ascii="Arial" w:hAnsi="Arial" w:cs="Arial"/>
                <w:sz w:val="16"/>
              </w:rPr>
              <w:t xml:space="preserve"> o de acuerdo con el perfil del consultor</w:t>
            </w:r>
          </w:p>
          <w:p w14:paraId="59778805" w14:textId="77777777" w:rsidR="00F7387C" w:rsidRPr="004044E8" w:rsidRDefault="00F7387C" w:rsidP="00883B5B">
            <w:pPr>
              <w:rPr>
                <w:rFonts w:ascii="Arial" w:hAnsi="Arial" w:cs="Arial"/>
                <w:sz w:val="16"/>
              </w:rPr>
            </w:pPr>
            <w:r w:rsidRPr="004044E8">
              <w:rPr>
                <w:rFonts w:ascii="Arial" w:hAnsi="Arial" w:cs="Arial"/>
                <w:sz w:val="16"/>
              </w:rPr>
              <w:t>(ejecución y supervisión de procesos internos y externos)</w:t>
            </w:r>
          </w:p>
        </w:tc>
      </w:tr>
      <w:tr w:rsidR="00F7387C" w:rsidRPr="004044E8" w14:paraId="2567BCAF" w14:textId="77777777" w:rsidTr="00F7387C">
        <w:tc>
          <w:tcPr>
            <w:tcW w:w="2263" w:type="dxa"/>
          </w:tcPr>
          <w:p w14:paraId="6D1958A7" w14:textId="77777777" w:rsidR="00F7387C" w:rsidRPr="004044E8" w:rsidRDefault="00F7387C" w:rsidP="00883B5B">
            <w:pPr>
              <w:jc w:val="left"/>
              <w:rPr>
                <w:rFonts w:ascii="Arial" w:hAnsi="Arial" w:cs="Arial"/>
                <w:sz w:val="16"/>
              </w:rPr>
            </w:pPr>
            <w:r w:rsidRPr="004044E8">
              <w:rPr>
                <w:rFonts w:ascii="Arial" w:hAnsi="Arial" w:cs="Arial"/>
                <w:sz w:val="16"/>
              </w:rPr>
              <w:t>Especialista en Monitoreo y Seguimiento</w:t>
            </w:r>
          </w:p>
        </w:tc>
        <w:tc>
          <w:tcPr>
            <w:tcW w:w="4536" w:type="dxa"/>
          </w:tcPr>
          <w:p w14:paraId="006AFA27" w14:textId="77777777" w:rsidR="00F7387C" w:rsidRPr="004044E8" w:rsidRDefault="00F7387C" w:rsidP="00883B5B">
            <w:pPr>
              <w:rPr>
                <w:rFonts w:ascii="Arial" w:hAnsi="Arial" w:cs="Arial"/>
                <w:sz w:val="16"/>
              </w:rPr>
            </w:pPr>
            <w:r w:rsidRPr="004044E8">
              <w:rPr>
                <w:rFonts w:ascii="Arial" w:hAnsi="Arial" w:cs="Arial"/>
                <w:sz w:val="16"/>
              </w:rPr>
              <w:t>Título de Tercer Nivel en Economía, Ingeniería Comercial o carreras afines, Experiencia General de 5 años en Monitoreo y Evaluación Proyectos, Experiencia Específica de 3 años en Evaluación y Monitoreo de Proyectos financiados por el BID. Conocimiento en manejo de MS Project y tablas dinámicas de MS Excel.</w:t>
            </w:r>
          </w:p>
        </w:tc>
        <w:tc>
          <w:tcPr>
            <w:tcW w:w="2410" w:type="dxa"/>
          </w:tcPr>
          <w:p w14:paraId="230B6AD5" w14:textId="6E22193F" w:rsidR="00F7387C" w:rsidRPr="004044E8" w:rsidRDefault="00F7387C" w:rsidP="00883B5B">
            <w:pPr>
              <w:rPr>
                <w:rFonts w:ascii="Arial" w:hAnsi="Arial" w:cs="Arial"/>
                <w:sz w:val="16"/>
              </w:rPr>
            </w:pPr>
            <w:r w:rsidRPr="004044E8">
              <w:rPr>
                <w:rFonts w:ascii="Arial" w:hAnsi="Arial" w:cs="Arial"/>
                <w:sz w:val="16"/>
              </w:rPr>
              <w:t xml:space="preserve">Servidor Público </w:t>
            </w:r>
            <w:r w:rsidR="000316AA" w:rsidRPr="004044E8">
              <w:rPr>
                <w:rFonts w:ascii="Arial" w:hAnsi="Arial" w:cs="Arial"/>
                <w:sz w:val="16"/>
              </w:rPr>
              <w:t>7</w:t>
            </w:r>
            <w:r w:rsidRPr="004044E8">
              <w:rPr>
                <w:rFonts w:ascii="Arial" w:hAnsi="Arial" w:cs="Arial"/>
                <w:sz w:val="16"/>
              </w:rPr>
              <w:t xml:space="preserve"> o de acuerdo con el perfil del consultor</w:t>
            </w:r>
          </w:p>
          <w:p w14:paraId="080E3DDB" w14:textId="77777777" w:rsidR="00F7387C" w:rsidRPr="004044E8" w:rsidRDefault="00F7387C" w:rsidP="00883B5B">
            <w:pPr>
              <w:rPr>
                <w:rFonts w:ascii="Arial" w:hAnsi="Arial" w:cs="Arial"/>
                <w:sz w:val="16"/>
              </w:rPr>
            </w:pPr>
            <w:r w:rsidRPr="004044E8">
              <w:rPr>
                <w:rFonts w:ascii="Arial" w:hAnsi="Arial" w:cs="Arial"/>
                <w:sz w:val="16"/>
              </w:rPr>
              <w:t>(ejecución y supervisión de procesos internos y externos)</w:t>
            </w:r>
          </w:p>
        </w:tc>
      </w:tr>
    </w:tbl>
    <w:p w14:paraId="17BE57A9" w14:textId="752A197B" w:rsidR="00F7387C" w:rsidRPr="004044E8" w:rsidRDefault="00F7387C" w:rsidP="00F7387C">
      <w:pPr>
        <w:rPr>
          <w:rFonts w:ascii="Arial" w:hAnsi="Arial" w:cs="Arial"/>
          <w:sz w:val="16"/>
          <w:szCs w:val="16"/>
        </w:rPr>
      </w:pPr>
      <w:r w:rsidRPr="004044E8">
        <w:rPr>
          <w:rFonts w:ascii="Arial" w:hAnsi="Arial" w:cs="Arial"/>
          <w:sz w:val="16"/>
          <w:szCs w:val="16"/>
        </w:rPr>
        <w:t xml:space="preserve">(*): Referenciado a estructura de puestos del </w:t>
      </w:r>
      <w:r w:rsidR="00002527" w:rsidRPr="004044E8">
        <w:rPr>
          <w:rFonts w:ascii="Arial" w:hAnsi="Arial" w:cs="Arial"/>
          <w:sz w:val="16"/>
          <w:szCs w:val="16"/>
        </w:rPr>
        <w:t>Sector Público</w:t>
      </w:r>
      <w:r w:rsidRPr="004044E8">
        <w:rPr>
          <w:rFonts w:ascii="Arial" w:hAnsi="Arial" w:cs="Arial"/>
          <w:sz w:val="16"/>
          <w:szCs w:val="16"/>
        </w:rPr>
        <w:t xml:space="preserve">. </w:t>
      </w:r>
    </w:p>
    <w:p w14:paraId="38D1DFF2" w14:textId="5D310345" w:rsidR="00556949" w:rsidRPr="004044E8" w:rsidRDefault="00556949" w:rsidP="001C7188">
      <w:pPr>
        <w:pStyle w:val="Heading2"/>
        <w:rPr>
          <w:rFonts w:ascii="Arial" w:hAnsi="Arial" w:cs="Arial"/>
        </w:rPr>
      </w:pPr>
      <w:bookmarkStart w:id="86" w:name="_Toc10223125"/>
      <w:r w:rsidRPr="004044E8">
        <w:rPr>
          <w:rFonts w:ascii="Arial" w:hAnsi="Arial" w:cs="Arial"/>
        </w:rPr>
        <w:t xml:space="preserve">Funciones y Responsabilidades del </w:t>
      </w:r>
      <w:r w:rsidRPr="004044E8">
        <w:rPr>
          <w:rFonts w:ascii="Arial" w:hAnsi="Arial" w:cs="Arial"/>
          <w:lang w:val="es-ES"/>
        </w:rPr>
        <w:t xml:space="preserve">MERNNR y su </w:t>
      </w:r>
      <w:r w:rsidR="00BF1EAC" w:rsidRPr="004044E8">
        <w:rPr>
          <w:rFonts w:ascii="Arial" w:hAnsi="Arial" w:cs="Arial"/>
          <w:lang w:val="es-ES"/>
        </w:rPr>
        <w:t>EDG</w:t>
      </w:r>
      <w:r w:rsidRPr="004044E8">
        <w:rPr>
          <w:rFonts w:ascii="Arial" w:hAnsi="Arial" w:cs="Arial"/>
          <w:lang w:val="es-ES"/>
        </w:rPr>
        <w:t xml:space="preserve">- MERNNR </w:t>
      </w:r>
      <w:r w:rsidRPr="004044E8">
        <w:rPr>
          <w:rFonts w:ascii="Arial" w:hAnsi="Arial" w:cs="Arial"/>
        </w:rPr>
        <w:t>como Subejecutor del Programa</w:t>
      </w:r>
      <w:bookmarkEnd w:id="86"/>
    </w:p>
    <w:p w14:paraId="46197E72" w14:textId="2409159A" w:rsidR="00924430" w:rsidRPr="004044E8" w:rsidRDefault="00924430" w:rsidP="00DE3867">
      <w:pPr>
        <w:pStyle w:val="numeradorom"/>
        <w:numPr>
          <w:ilvl w:val="0"/>
          <w:numId w:val="0"/>
        </w:numPr>
        <w:ind w:left="1191"/>
        <w:rPr>
          <w:rFonts w:ascii="Arial" w:hAnsi="Arial" w:cs="Arial"/>
        </w:rPr>
      </w:pPr>
      <w:r w:rsidRPr="004044E8">
        <w:rPr>
          <w:rFonts w:ascii="Arial" w:hAnsi="Arial" w:cs="Arial"/>
        </w:rPr>
        <w:t>Principales funciones del MERNNR:</w:t>
      </w:r>
    </w:p>
    <w:p w14:paraId="5B14B4F4" w14:textId="3A2D40A4" w:rsidR="00924430" w:rsidRPr="004044E8" w:rsidRDefault="00924430" w:rsidP="00C02EF4">
      <w:pPr>
        <w:pStyle w:val="numeradorom"/>
        <w:numPr>
          <w:ilvl w:val="2"/>
          <w:numId w:val="30"/>
        </w:numPr>
        <w:rPr>
          <w:rFonts w:ascii="Arial" w:hAnsi="Arial" w:cs="Arial"/>
        </w:rPr>
      </w:pPr>
      <w:r w:rsidRPr="004044E8">
        <w:rPr>
          <w:rFonts w:ascii="Arial" w:hAnsi="Arial" w:cs="Arial"/>
        </w:rPr>
        <w:t xml:space="preserve">Dar cumplimiento de las cláusulas establecidas en el contrato de Préstamo y el ROP, en lo que </w:t>
      </w:r>
      <w:r w:rsidR="00A947C5" w:rsidRPr="004044E8">
        <w:rPr>
          <w:rFonts w:ascii="Arial" w:hAnsi="Arial" w:cs="Arial"/>
        </w:rPr>
        <w:t>atañe</w:t>
      </w:r>
      <w:r w:rsidR="00C25F1A" w:rsidRPr="004044E8">
        <w:rPr>
          <w:rFonts w:ascii="Arial" w:hAnsi="Arial" w:cs="Arial"/>
        </w:rPr>
        <w:t xml:space="preserve"> </w:t>
      </w:r>
      <w:r w:rsidRPr="004044E8">
        <w:rPr>
          <w:rFonts w:ascii="Arial" w:hAnsi="Arial" w:cs="Arial"/>
        </w:rPr>
        <w:t xml:space="preserve">a su </w:t>
      </w:r>
      <w:r w:rsidR="00DA2CDF" w:rsidRPr="004044E8">
        <w:rPr>
          <w:rFonts w:ascii="Arial" w:hAnsi="Arial" w:cs="Arial"/>
        </w:rPr>
        <w:t>participación</w:t>
      </w:r>
      <w:r w:rsidRPr="004044E8">
        <w:rPr>
          <w:rFonts w:ascii="Arial" w:hAnsi="Arial" w:cs="Arial"/>
        </w:rPr>
        <w:t xml:space="preserve"> en el Programa.</w:t>
      </w:r>
    </w:p>
    <w:p w14:paraId="446ED0CD" w14:textId="0DDF4C3A" w:rsidR="00924430" w:rsidRPr="004044E8" w:rsidRDefault="00820A55" w:rsidP="00C02EF4">
      <w:pPr>
        <w:pStyle w:val="numeradorom"/>
        <w:rPr>
          <w:rFonts w:ascii="Arial" w:hAnsi="Arial" w:cs="Arial"/>
        </w:rPr>
      </w:pPr>
      <w:r w:rsidRPr="004044E8">
        <w:rPr>
          <w:rFonts w:ascii="Arial" w:hAnsi="Arial" w:cs="Arial"/>
        </w:rPr>
        <w:t>Conformar</w:t>
      </w:r>
      <w:r w:rsidR="00924430" w:rsidRPr="004044E8">
        <w:rPr>
          <w:rFonts w:ascii="Arial" w:hAnsi="Arial" w:cs="Arial"/>
        </w:rPr>
        <w:t xml:space="preserve"> un Equipo de </w:t>
      </w:r>
      <w:r w:rsidR="00DA2CDF" w:rsidRPr="004044E8">
        <w:rPr>
          <w:rFonts w:ascii="Arial" w:hAnsi="Arial" w:cs="Arial"/>
        </w:rPr>
        <w:t>Gestión</w:t>
      </w:r>
      <w:r w:rsidR="00924430" w:rsidRPr="004044E8">
        <w:rPr>
          <w:rFonts w:ascii="Arial" w:hAnsi="Arial" w:cs="Arial"/>
        </w:rPr>
        <w:t xml:space="preserve"> (EDG-</w:t>
      </w:r>
      <w:r w:rsidR="00C25F1A" w:rsidRPr="004044E8">
        <w:rPr>
          <w:rFonts w:ascii="Arial" w:hAnsi="Arial" w:cs="Arial"/>
        </w:rPr>
        <w:t>MERNNR</w:t>
      </w:r>
      <w:r w:rsidR="00924430" w:rsidRPr="004044E8">
        <w:rPr>
          <w:rFonts w:ascii="Arial" w:hAnsi="Arial" w:cs="Arial"/>
        </w:rPr>
        <w:t xml:space="preserve">) para asegurar la </w:t>
      </w:r>
      <w:r w:rsidR="00DA2CDF" w:rsidRPr="004044E8">
        <w:rPr>
          <w:rFonts w:ascii="Arial" w:hAnsi="Arial" w:cs="Arial"/>
        </w:rPr>
        <w:t>ejecución</w:t>
      </w:r>
      <w:r w:rsidR="00924430" w:rsidRPr="004044E8">
        <w:rPr>
          <w:rFonts w:ascii="Arial" w:hAnsi="Arial" w:cs="Arial"/>
        </w:rPr>
        <w:t xml:space="preserve"> del Programa, establecer quienes </w:t>
      </w:r>
      <w:r w:rsidR="00DA2CDF" w:rsidRPr="004044E8">
        <w:rPr>
          <w:rFonts w:ascii="Arial" w:hAnsi="Arial" w:cs="Arial"/>
        </w:rPr>
        <w:t>servirán</w:t>
      </w:r>
      <w:r w:rsidR="00924430" w:rsidRPr="004044E8">
        <w:rPr>
          <w:rFonts w:ascii="Arial" w:hAnsi="Arial" w:cs="Arial"/>
        </w:rPr>
        <w:t xml:space="preserve"> de punto focal con el EDG-MEF, e </w:t>
      </w:r>
      <w:r w:rsidR="00DA2CDF" w:rsidRPr="004044E8">
        <w:rPr>
          <w:rFonts w:ascii="Arial" w:hAnsi="Arial" w:cs="Arial"/>
        </w:rPr>
        <w:t>informar</w:t>
      </w:r>
      <w:r w:rsidR="00924430" w:rsidRPr="004044E8">
        <w:rPr>
          <w:rFonts w:ascii="Arial" w:hAnsi="Arial" w:cs="Arial"/>
        </w:rPr>
        <w:t xml:space="preserve"> al Banco de su </w:t>
      </w:r>
      <w:r w:rsidR="00DA2CDF" w:rsidRPr="004044E8">
        <w:rPr>
          <w:rFonts w:ascii="Arial" w:hAnsi="Arial" w:cs="Arial"/>
        </w:rPr>
        <w:t>composición</w:t>
      </w:r>
      <w:r w:rsidR="00924430" w:rsidRPr="004044E8">
        <w:rPr>
          <w:rFonts w:ascii="Arial" w:hAnsi="Arial" w:cs="Arial"/>
        </w:rPr>
        <w:t>.</w:t>
      </w:r>
    </w:p>
    <w:p w14:paraId="6A4D3258" w14:textId="41F56E63" w:rsidR="00924430" w:rsidRPr="004044E8" w:rsidRDefault="00924430" w:rsidP="00C02EF4">
      <w:pPr>
        <w:pStyle w:val="numeradorom"/>
        <w:rPr>
          <w:rFonts w:ascii="Arial" w:hAnsi="Arial" w:cs="Arial"/>
        </w:rPr>
      </w:pPr>
      <w:r w:rsidRPr="004044E8">
        <w:rPr>
          <w:rFonts w:ascii="Arial" w:hAnsi="Arial" w:cs="Arial"/>
        </w:rPr>
        <w:t xml:space="preserve">Licitar, contratar y gestionar </w:t>
      </w:r>
      <w:r w:rsidR="00DA2CDF" w:rsidRPr="004044E8">
        <w:rPr>
          <w:rFonts w:ascii="Arial" w:hAnsi="Arial" w:cs="Arial"/>
        </w:rPr>
        <w:t>técnica</w:t>
      </w:r>
      <w:r w:rsidRPr="004044E8">
        <w:rPr>
          <w:rFonts w:ascii="Arial" w:hAnsi="Arial" w:cs="Arial"/>
        </w:rPr>
        <w:t xml:space="preserve"> y fiduciariamente </w:t>
      </w:r>
      <w:r w:rsidR="00C25F1A" w:rsidRPr="004044E8">
        <w:rPr>
          <w:rFonts w:ascii="Arial" w:hAnsi="Arial" w:cs="Arial"/>
        </w:rPr>
        <w:t xml:space="preserve">los </w:t>
      </w:r>
      <w:r w:rsidRPr="004044E8">
        <w:rPr>
          <w:rFonts w:ascii="Arial" w:hAnsi="Arial" w:cs="Arial"/>
        </w:rPr>
        <w:t xml:space="preserve">servicios diferentes a </w:t>
      </w:r>
      <w:r w:rsidR="00DA2CDF" w:rsidRPr="004044E8">
        <w:rPr>
          <w:rFonts w:ascii="Arial" w:hAnsi="Arial" w:cs="Arial"/>
        </w:rPr>
        <w:t>consultoría</w:t>
      </w:r>
      <w:r w:rsidRPr="004044E8">
        <w:rPr>
          <w:rFonts w:ascii="Arial" w:hAnsi="Arial" w:cs="Arial"/>
        </w:rPr>
        <w:t xml:space="preserve"> y servicios de </w:t>
      </w:r>
      <w:r w:rsidR="00DA2CDF" w:rsidRPr="004044E8">
        <w:rPr>
          <w:rFonts w:ascii="Arial" w:hAnsi="Arial" w:cs="Arial"/>
        </w:rPr>
        <w:t>consultoría</w:t>
      </w:r>
      <w:r w:rsidRPr="004044E8">
        <w:rPr>
          <w:rFonts w:ascii="Arial" w:hAnsi="Arial" w:cs="Arial"/>
        </w:rPr>
        <w:t xml:space="preserve"> de</w:t>
      </w:r>
      <w:r w:rsidR="00C25F1A" w:rsidRPr="004044E8">
        <w:rPr>
          <w:rFonts w:ascii="Arial" w:hAnsi="Arial" w:cs="Arial"/>
        </w:rPr>
        <w:t xml:space="preserve"> </w:t>
      </w:r>
      <w:r w:rsidRPr="004044E8">
        <w:rPr>
          <w:rFonts w:ascii="Arial" w:hAnsi="Arial" w:cs="Arial"/>
        </w:rPr>
        <w:t>l</w:t>
      </w:r>
      <w:r w:rsidR="00C25F1A" w:rsidRPr="004044E8">
        <w:rPr>
          <w:rFonts w:ascii="Arial" w:hAnsi="Arial" w:cs="Arial"/>
        </w:rPr>
        <w:t>as actividades del</w:t>
      </w:r>
      <w:r w:rsidRPr="004044E8">
        <w:rPr>
          <w:rFonts w:ascii="Arial" w:hAnsi="Arial" w:cs="Arial"/>
        </w:rPr>
        <w:t xml:space="preserve"> componente 2 a su cargo</w:t>
      </w:r>
      <w:r w:rsidR="00F7365C" w:rsidRPr="004044E8">
        <w:rPr>
          <w:rFonts w:ascii="Arial" w:hAnsi="Arial" w:cs="Arial"/>
        </w:rPr>
        <w:t xml:space="preserve"> y la actividad del </w:t>
      </w:r>
      <w:r w:rsidRPr="004044E8">
        <w:rPr>
          <w:rFonts w:ascii="Arial" w:hAnsi="Arial" w:cs="Arial"/>
        </w:rPr>
        <w:t xml:space="preserve"> producto 1.</w:t>
      </w:r>
      <w:r w:rsidR="00F7365C" w:rsidRPr="004044E8">
        <w:rPr>
          <w:rFonts w:ascii="Arial" w:hAnsi="Arial" w:cs="Arial"/>
        </w:rPr>
        <w:t xml:space="preserve">3 </w:t>
      </w:r>
      <w:r w:rsidRPr="004044E8">
        <w:rPr>
          <w:rFonts w:ascii="Arial" w:hAnsi="Arial" w:cs="Arial"/>
        </w:rPr>
        <w:t>del Componente 1.</w:t>
      </w:r>
    </w:p>
    <w:p w14:paraId="2E914D0F" w14:textId="77777777" w:rsidR="00924430" w:rsidRPr="004044E8" w:rsidRDefault="00924430" w:rsidP="00C02EF4">
      <w:pPr>
        <w:pStyle w:val="numeradorom"/>
        <w:rPr>
          <w:rFonts w:ascii="Arial" w:hAnsi="Arial" w:cs="Arial"/>
        </w:rPr>
      </w:pPr>
      <w:r w:rsidRPr="004044E8">
        <w:rPr>
          <w:rFonts w:ascii="Arial" w:hAnsi="Arial" w:cs="Arial"/>
        </w:rPr>
        <w:t xml:space="preserve">Planificar, monitorear, gerenciar y reportar </w:t>
      </w:r>
      <w:proofErr w:type="spellStart"/>
      <w:r w:rsidRPr="004044E8">
        <w:rPr>
          <w:rFonts w:ascii="Arial" w:hAnsi="Arial" w:cs="Arial"/>
        </w:rPr>
        <w:t>sabre</w:t>
      </w:r>
      <w:proofErr w:type="spellEnd"/>
      <w:r w:rsidRPr="004044E8">
        <w:rPr>
          <w:rFonts w:ascii="Arial" w:hAnsi="Arial" w:cs="Arial"/>
        </w:rPr>
        <w:t xml:space="preserve"> el uso de los recurses financieros a su cargo.</w:t>
      </w:r>
    </w:p>
    <w:p w14:paraId="1746124B" w14:textId="12688DC8" w:rsidR="00924430" w:rsidRPr="004044E8" w:rsidRDefault="00924430" w:rsidP="00C02EF4">
      <w:pPr>
        <w:pStyle w:val="numeradorom"/>
        <w:rPr>
          <w:rFonts w:ascii="Arial" w:hAnsi="Arial" w:cs="Arial"/>
        </w:rPr>
      </w:pPr>
      <w:r w:rsidRPr="004044E8">
        <w:rPr>
          <w:rFonts w:ascii="Arial" w:hAnsi="Arial" w:cs="Arial"/>
        </w:rPr>
        <w:t xml:space="preserve">Establecer una adecuada estructura </w:t>
      </w:r>
      <w:r w:rsidR="002A0787" w:rsidRPr="004044E8">
        <w:rPr>
          <w:rFonts w:ascii="Arial" w:hAnsi="Arial" w:cs="Arial"/>
        </w:rPr>
        <w:t>programática</w:t>
      </w:r>
      <w:r w:rsidRPr="004044E8">
        <w:rPr>
          <w:rFonts w:ascii="Arial" w:hAnsi="Arial" w:cs="Arial"/>
        </w:rPr>
        <w:t xml:space="preserve"> con cada uno de sus Proyectos de </w:t>
      </w:r>
      <w:r w:rsidR="002A0787" w:rsidRPr="004044E8">
        <w:rPr>
          <w:rFonts w:ascii="Arial" w:hAnsi="Arial" w:cs="Arial"/>
        </w:rPr>
        <w:t>Inversión</w:t>
      </w:r>
      <w:r w:rsidRPr="004044E8">
        <w:rPr>
          <w:rFonts w:ascii="Arial" w:hAnsi="Arial" w:cs="Arial"/>
        </w:rPr>
        <w:t xml:space="preserve"> Priorizados, </w:t>
      </w:r>
      <w:proofErr w:type="spellStart"/>
      <w:r w:rsidRPr="004044E8">
        <w:rPr>
          <w:rFonts w:ascii="Arial" w:hAnsi="Arial" w:cs="Arial"/>
        </w:rPr>
        <w:t>sabre</w:t>
      </w:r>
      <w:proofErr w:type="spellEnd"/>
      <w:r w:rsidRPr="004044E8">
        <w:rPr>
          <w:rFonts w:ascii="Arial" w:hAnsi="Arial" w:cs="Arial"/>
        </w:rPr>
        <w:t xml:space="preserve"> la base del POA del Programa.</w:t>
      </w:r>
    </w:p>
    <w:p w14:paraId="7638728D" w14:textId="1F9ED02E" w:rsidR="00924430" w:rsidRPr="004044E8" w:rsidRDefault="00924430" w:rsidP="00A56329">
      <w:pPr>
        <w:pStyle w:val="numeradorom"/>
        <w:rPr>
          <w:rFonts w:ascii="Arial" w:hAnsi="Arial" w:cs="Arial"/>
        </w:rPr>
      </w:pPr>
      <w:r w:rsidRPr="004044E8">
        <w:rPr>
          <w:rFonts w:ascii="Arial" w:hAnsi="Arial" w:cs="Arial"/>
        </w:rPr>
        <w:t xml:space="preserve">Asegurar el espacio presupuestario de todos los Proyectos de </w:t>
      </w:r>
      <w:r w:rsidR="00DA2CDF" w:rsidRPr="004044E8">
        <w:rPr>
          <w:rFonts w:ascii="Arial" w:hAnsi="Arial" w:cs="Arial"/>
        </w:rPr>
        <w:t>Inversión</w:t>
      </w:r>
      <w:r w:rsidRPr="004044E8">
        <w:rPr>
          <w:rFonts w:ascii="Arial" w:hAnsi="Arial" w:cs="Arial"/>
        </w:rPr>
        <w:t xml:space="preserve"> Priorizados de responsabilidad del </w:t>
      </w:r>
      <w:r w:rsidR="00FD5A81" w:rsidRPr="004044E8">
        <w:rPr>
          <w:rFonts w:ascii="Arial" w:hAnsi="Arial" w:cs="Arial"/>
        </w:rPr>
        <w:t>MERNNR</w:t>
      </w:r>
      <w:r w:rsidRPr="004044E8">
        <w:rPr>
          <w:rFonts w:ascii="Arial" w:hAnsi="Arial" w:cs="Arial"/>
        </w:rPr>
        <w:t xml:space="preserve"> y coordinar con el MEF y el MDT lo respectiv</w:t>
      </w:r>
      <w:r w:rsidR="002A0787" w:rsidRPr="004044E8">
        <w:rPr>
          <w:rFonts w:ascii="Arial" w:hAnsi="Arial" w:cs="Arial"/>
        </w:rPr>
        <w:t>o</w:t>
      </w:r>
      <w:r w:rsidRPr="004044E8">
        <w:rPr>
          <w:rFonts w:ascii="Arial" w:hAnsi="Arial" w:cs="Arial"/>
        </w:rPr>
        <w:t xml:space="preserve"> a las asignaciones en el componente </w:t>
      </w:r>
      <w:r w:rsidR="002A0787" w:rsidRPr="004044E8">
        <w:rPr>
          <w:rFonts w:ascii="Arial" w:hAnsi="Arial" w:cs="Arial"/>
        </w:rPr>
        <w:t>2</w:t>
      </w:r>
      <w:r w:rsidRPr="004044E8">
        <w:rPr>
          <w:rFonts w:ascii="Arial" w:hAnsi="Arial" w:cs="Arial"/>
        </w:rPr>
        <w:t xml:space="preserve"> del Programa</w:t>
      </w:r>
      <w:r w:rsidR="002A0787" w:rsidRPr="004044E8">
        <w:rPr>
          <w:rFonts w:ascii="Arial" w:hAnsi="Arial" w:cs="Arial"/>
        </w:rPr>
        <w:t>.</w:t>
      </w:r>
    </w:p>
    <w:p w14:paraId="6E8F8AF9" w14:textId="206D63CC" w:rsidR="00924430" w:rsidRPr="004044E8" w:rsidRDefault="00924430" w:rsidP="00DE3867">
      <w:pPr>
        <w:pStyle w:val="numeradorom"/>
        <w:rPr>
          <w:rFonts w:ascii="Arial" w:hAnsi="Arial" w:cs="Arial"/>
        </w:rPr>
      </w:pPr>
      <w:r w:rsidRPr="004044E8">
        <w:rPr>
          <w:rFonts w:ascii="Arial" w:hAnsi="Arial" w:cs="Arial"/>
        </w:rPr>
        <w:t xml:space="preserve">Facilitar los mecanismos necesarios para agilizar y garantizar la </w:t>
      </w:r>
      <w:r w:rsidR="00DA2CDF" w:rsidRPr="004044E8">
        <w:rPr>
          <w:rFonts w:ascii="Arial" w:hAnsi="Arial" w:cs="Arial"/>
        </w:rPr>
        <w:t>ejecución</w:t>
      </w:r>
      <w:r w:rsidRPr="004044E8">
        <w:rPr>
          <w:rFonts w:ascii="Arial" w:hAnsi="Arial" w:cs="Arial"/>
        </w:rPr>
        <w:t xml:space="preserve"> oportuna de los productos del Programa.</w:t>
      </w:r>
    </w:p>
    <w:p w14:paraId="327C7AC8" w14:textId="647930AF" w:rsidR="00556949" w:rsidRPr="004044E8" w:rsidRDefault="00924430" w:rsidP="00DE3867">
      <w:pPr>
        <w:pStyle w:val="numeradorom"/>
        <w:rPr>
          <w:rFonts w:ascii="Arial" w:hAnsi="Arial" w:cs="Arial"/>
        </w:rPr>
      </w:pPr>
      <w:r w:rsidRPr="004044E8">
        <w:rPr>
          <w:rFonts w:ascii="Arial" w:hAnsi="Arial" w:cs="Arial"/>
        </w:rPr>
        <w:t xml:space="preserve">Entregar oportunamente al MEF toda la </w:t>
      </w:r>
      <w:r w:rsidR="002A0787" w:rsidRPr="004044E8">
        <w:rPr>
          <w:rFonts w:ascii="Arial" w:hAnsi="Arial" w:cs="Arial"/>
        </w:rPr>
        <w:t>información</w:t>
      </w:r>
      <w:r w:rsidRPr="004044E8">
        <w:rPr>
          <w:rFonts w:ascii="Arial" w:hAnsi="Arial" w:cs="Arial"/>
        </w:rPr>
        <w:t xml:space="preserve"> necesaria para el cumplimiento y monitoreo del Programa, en funci</w:t>
      </w:r>
      <w:r w:rsidR="002A0787" w:rsidRPr="004044E8">
        <w:rPr>
          <w:rFonts w:ascii="Arial" w:hAnsi="Arial" w:cs="Arial"/>
        </w:rPr>
        <w:t>ó</w:t>
      </w:r>
      <w:r w:rsidRPr="004044E8">
        <w:rPr>
          <w:rFonts w:ascii="Arial" w:hAnsi="Arial" w:cs="Arial"/>
        </w:rPr>
        <w:t xml:space="preserve">n de los requerimientos de </w:t>
      </w:r>
      <w:r w:rsidR="002A0787" w:rsidRPr="004044E8">
        <w:rPr>
          <w:rFonts w:ascii="Arial" w:hAnsi="Arial" w:cs="Arial"/>
        </w:rPr>
        <w:t>información</w:t>
      </w:r>
      <w:r w:rsidRPr="004044E8">
        <w:rPr>
          <w:rFonts w:ascii="Arial" w:hAnsi="Arial" w:cs="Arial"/>
        </w:rPr>
        <w:t>, format</w:t>
      </w:r>
      <w:r w:rsidR="002A0787" w:rsidRPr="004044E8">
        <w:rPr>
          <w:rFonts w:ascii="Arial" w:hAnsi="Arial" w:cs="Arial"/>
        </w:rPr>
        <w:t>o</w:t>
      </w:r>
      <w:r w:rsidRPr="004044E8">
        <w:rPr>
          <w:rFonts w:ascii="Arial" w:hAnsi="Arial" w:cs="Arial"/>
        </w:rPr>
        <w:t>s, mecanismos y periodos de rendici</w:t>
      </w:r>
      <w:r w:rsidR="002A0787" w:rsidRPr="004044E8">
        <w:rPr>
          <w:rFonts w:ascii="Arial" w:hAnsi="Arial" w:cs="Arial"/>
        </w:rPr>
        <w:t>ó</w:t>
      </w:r>
      <w:r w:rsidRPr="004044E8">
        <w:rPr>
          <w:rFonts w:ascii="Arial" w:hAnsi="Arial" w:cs="Arial"/>
        </w:rPr>
        <w:t xml:space="preserve">n de cuentas establecidos por el </w:t>
      </w:r>
      <w:r w:rsidR="00755BF5" w:rsidRPr="004044E8">
        <w:rPr>
          <w:rFonts w:ascii="Arial" w:hAnsi="Arial" w:cs="Arial"/>
        </w:rPr>
        <w:t>EDG-MEF</w:t>
      </w:r>
      <w:r w:rsidR="00556949" w:rsidRPr="004044E8">
        <w:rPr>
          <w:rFonts w:ascii="Arial" w:hAnsi="Arial" w:cs="Arial"/>
        </w:rPr>
        <w:t xml:space="preserve">. </w:t>
      </w:r>
    </w:p>
    <w:p w14:paraId="6C7F143C" w14:textId="77777777" w:rsidR="00556949" w:rsidRPr="004044E8" w:rsidRDefault="00556949" w:rsidP="00DE3867">
      <w:pPr>
        <w:pStyle w:val="numeradorom"/>
        <w:rPr>
          <w:rFonts w:ascii="Arial" w:hAnsi="Arial" w:cs="Arial"/>
        </w:rPr>
      </w:pPr>
      <w:r w:rsidRPr="004044E8">
        <w:rPr>
          <w:rFonts w:ascii="Arial" w:hAnsi="Arial" w:cs="Arial"/>
        </w:rPr>
        <w:t>Implementar las recomendaciones de las consultorías contratadas de apoyo al Programa, incluyendo las de evaluación intermedia y final, y de las auditorias;</w:t>
      </w:r>
    </w:p>
    <w:p w14:paraId="623829DF" w14:textId="77777777" w:rsidR="00556949" w:rsidRPr="004044E8" w:rsidRDefault="00556949" w:rsidP="00DE3867">
      <w:pPr>
        <w:pStyle w:val="numeradorom"/>
        <w:rPr>
          <w:rFonts w:ascii="Arial" w:hAnsi="Arial" w:cs="Arial"/>
        </w:rPr>
      </w:pPr>
      <w:r w:rsidRPr="004044E8">
        <w:rPr>
          <w:rFonts w:ascii="Arial" w:hAnsi="Arial" w:cs="Arial"/>
        </w:rPr>
        <w:t>Conservar los documentos y registros físicos y digitales del Proyecto por un período mínimo de tres (3) años después del vencimiento del Plazo Original de Desembolsos o cualquiera de sus extensiones. Estos documentos y registros deberán ser adecuados para: (i) respaldar las actividades, decisiones y transacciones relativas al Proyecto, incluidos todos los gastos incurridos; y (</w:t>
      </w:r>
      <w:proofErr w:type="spellStart"/>
      <w:r w:rsidRPr="004044E8">
        <w:rPr>
          <w:rFonts w:ascii="Arial" w:hAnsi="Arial" w:cs="Arial"/>
        </w:rPr>
        <w:t>ii</w:t>
      </w:r>
      <w:proofErr w:type="spellEnd"/>
      <w:r w:rsidRPr="004044E8">
        <w:rPr>
          <w:rFonts w:ascii="Arial" w:hAnsi="Arial" w:cs="Arial"/>
        </w:rPr>
        <w:t>) evidenciar la correlación de gastos incurridos con cargo al Préstamo con el respectivo desembolso efectuado por el Banco.</w:t>
      </w:r>
    </w:p>
    <w:p w14:paraId="1FAB3564" w14:textId="05935858" w:rsidR="00556949" w:rsidRPr="004044E8" w:rsidRDefault="00556949" w:rsidP="00DE3867">
      <w:pPr>
        <w:pStyle w:val="numeradorom"/>
        <w:rPr>
          <w:rFonts w:ascii="Arial" w:hAnsi="Arial" w:cs="Arial"/>
        </w:rPr>
      </w:pPr>
      <w:r w:rsidRPr="004044E8">
        <w:rPr>
          <w:rFonts w:ascii="Arial" w:hAnsi="Arial" w:cs="Arial"/>
        </w:rPr>
        <w:t>Cumplir toda otra tarea que le corresponda de acuerdo con lo dispuesto en el Contrato de Préstamo y el presente ROP.</w:t>
      </w:r>
    </w:p>
    <w:p w14:paraId="30CC9636" w14:textId="77777777" w:rsidR="00820A55" w:rsidRPr="004044E8" w:rsidRDefault="00820A55" w:rsidP="00C02EF4">
      <w:pPr>
        <w:pStyle w:val="numeradorom"/>
        <w:numPr>
          <w:ilvl w:val="0"/>
          <w:numId w:val="0"/>
        </w:numPr>
        <w:ind w:left="737"/>
        <w:rPr>
          <w:rFonts w:ascii="Arial" w:hAnsi="Arial" w:cs="Arial"/>
        </w:rPr>
      </w:pPr>
    </w:p>
    <w:p w14:paraId="7CCF171D" w14:textId="28839F3A" w:rsidR="00820A55" w:rsidRPr="004044E8" w:rsidRDefault="00820A55" w:rsidP="00C02EF4">
      <w:pPr>
        <w:pStyle w:val="numeradorom"/>
        <w:numPr>
          <w:ilvl w:val="0"/>
          <w:numId w:val="0"/>
        </w:numPr>
        <w:ind w:left="737"/>
        <w:rPr>
          <w:rFonts w:ascii="Arial" w:hAnsi="Arial" w:cs="Arial"/>
        </w:rPr>
      </w:pPr>
      <w:r w:rsidRPr="004044E8">
        <w:rPr>
          <w:rFonts w:ascii="Arial" w:hAnsi="Arial" w:cs="Arial"/>
        </w:rPr>
        <w:t xml:space="preserve">El </w:t>
      </w:r>
      <w:r w:rsidR="00BF1EAC" w:rsidRPr="004044E8">
        <w:rPr>
          <w:rFonts w:ascii="Arial" w:hAnsi="Arial" w:cs="Arial"/>
        </w:rPr>
        <w:t>EDG</w:t>
      </w:r>
      <w:r w:rsidR="00E05C42" w:rsidRPr="004044E8">
        <w:rPr>
          <w:rFonts w:ascii="Arial" w:hAnsi="Arial" w:cs="Arial"/>
        </w:rPr>
        <w:t>-</w:t>
      </w:r>
      <w:r w:rsidRPr="004044E8">
        <w:rPr>
          <w:rFonts w:ascii="Arial" w:hAnsi="Arial" w:cs="Arial"/>
        </w:rPr>
        <w:t>MERNNR</w:t>
      </w:r>
    </w:p>
    <w:p w14:paraId="2FB6C01A" w14:textId="14C05DB4" w:rsidR="00820A55" w:rsidRPr="004044E8" w:rsidRDefault="00820A55" w:rsidP="00C02EF4">
      <w:pPr>
        <w:pStyle w:val="numeradorom"/>
        <w:numPr>
          <w:ilvl w:val="2"/>
          <w:numId w:val="31"/>
        </w:numPr>
        <w:rPr>
          <w:rFonts w:ascii="Arial" w:hAnsi="Arial" w:cs="Arial"/>
        </w:rPr>
      </w:pPr>
      <w:r w:rsidRPr="004044E8">
        <w:rPr>
          <w:rFonts w:ascii="Arial" w:hAnsi="Arial" w:cs="Arial"/>
        </w:rPr>
        <w:t xml:space="preserve">El </w:t>
      </w:r>
      <w:r w:rsidR="00BF1EAC" w:rsidRPr="004044E8">
        <w:rPr>
          <w:rFonts w:ascii="Arial" w:hAnsi="Arial" w:cs="Arial"/>
        </w:rPr>
        <w:t>EDG</w:t>
      </w:r>
      <w:r w:rsidRPr="004044E8">
        <w:rPr>
          <w:rFonts w:ascii="Arial" w:hAnsi="Arial" w:cs="Arial"/>
        </w:rPr>
        <w:t xml:space="preserve"> se encuentra ubicado en la </w:t>
      </w:r>
      <w:proofErr w:type="spellStart"/>
      <w:r w:rsidRPr="004044E8">
        <w:rPr>
          <w:rFonts w:ascii="Arial" w:hAnsi="Arial" w:cs="Arial"/>
        </w:rPr>
        <w:t>xx</w:t>
      </w:r>
      <w:proofErr w:type="spellEnd"/>
      <w:r w:rsidRPr="009F019B">
        <w:rPr>
          <w:rFonts w:ascii="Arial" w:hAnsi="Arial" w:cs="Arial"/>
        </w:rPr>
        <w:t xml:space="preserve"> de la Coordinaci</w:t>
      </w:r>
      <w:r w:rsidR="005963C6" w:rsidRPr="009F019B">
        <w:rPr>
          <w:rFonts w:ascii="Arial" w:hAnsi="Arial" w:cs="Arial"/>
        </w:rPr>
        <w:t>ó</w:t>
      </w:r>
      <w:r w:rsidRPr="004044E8">
        <w:rPr>
          <w:rFonts w:ascii="Arial" w:hAnsi="Arial" w:cs="Arial"/>
        </w:rPr>
        <w:t xml:space="preserve">n General de Planificación del MERNNR y </w:t>
      </w:r>
      <w:r w:rsidR="00DA2CDF" w:rsidRPr="004044E8">
        <w:rPr>
          <w:rFonts w:ascii="Arial" w:hAnsi="Arial" w:cs="Arial"/>
        </w:rPr>
        <w:t>estará</w:t>
      </w:r>
      <w:r w:rsidRPr="004044E8">
        <w:rPr>
          <w:rFonts w:ascii="Arial" w:hAnsi="Arial" w:cs="Arial"/>
        </w:rPr>
        <w:t xml:space="preserve"> confor</w:t>
      </w:r>
      <w:r w:rsidR="00DA2CDF" w:rsidRPr="004044E8">
        <w:rPr>
          <w:rFonts w:ascii="Arial" w:hAnsi="Arial" w:cs="Arial"/>
        </w:rPr>
        <w:t>m</w:t>
      </w:r>
      <w:r w:rsidRPr="004044E8">
        <w:rPr>
          <w:rFonts w:ascii="Arial" w:hAnsi="Arial" w:cs="Arial"/>
        </w:rPr>
        <w:t>a</w:t>
      </w:r>
      <w:r w:rsidR="00DA2CDF" w:rsidRPr="004044E8">
        <w:rPr>
          <w:rFonts w:ascii="Arial" w:hAnsi="Arial" w:cs="Arial"/>
        </w:rPr>
        <w:t>d</w:t>
      </w:r>
      <w:r w:rsidRPr="004044E8">
        <w:rPr>
          <w:rFonts w:ascii="Arial" w:hAnsi="Arial" w:cs="Arial"/>
        </w:rPr>
        <w:t xml:space="preserve">o por un coordinador de los programas BID; el cual </w:t>
      </w:r>
      <w:r w:rsidR="00DA2CDF" w:rsidRPr="004044E8">
        <w:rPr>
          <w:rFonts w:ascii="Arial" w:hAnsi="Arial" w:cs="Arial"/>
        </w:rPr>
        <w:t>estará</w:t>
      </w:r>
      <w:r w:rsidRPr="004044E8">
        <w:rPr>
          <w:rFonts w:ascii="Arial" w:hAnsi="Arial" w:cs="Arial"/>
        </w:rPr>
        <w:t xml:space="preserve"> apoyado por un especialista o responsable financiero; un especialista o responsable de adquisiciones; y, un </w:t>
      </w:r>
      <w:r w:rsidRPr="004044E8">
        <w:rPr>
          <w:rFonts w:ascii="Arial" w:hAnsi="Arial" w:cs="Arial"/>
        </w:rPr>
        <w:lastRenderedPageBreak/>
        <w:t>responsable del monitoreo y seguimiento, para dar cumplimiento a lo estableci</w:t>
      </w:r>
      <w:r w:rsidR="00DA2CDF" w:rsidRPr="004044E8">
        <w:rPr>
          <w:rFonts w:ascii="Arial" w:hAnsi="Arial" w:cs="Arial"/>
        </w:rPr>
        <w:t>d</w:t>
      </w:r>
      <w:r w:rsidRPr="004044E8">
        <w:rPr>
          <w:rFonts w:ascii="Arial" w:hAnsi="Arial" w:cs="Arial"/>
        </w:rPr>
        <w:t xml:space="preserve">o en el contrato de </w:t>
      </w:r>
      <w:r w:rsidR="00DA2CDF" w:rsidRPr="004044E8">
        <w:rPr>
          <w:rFonts w:ascii="Arial" w:hAnsi="Arial" w:cs="Arial"/>
        </w:rPr>
        <w:t>Préstamo</w:t>
      </w:r>
      <w:r w:rsidRPr="004044E8">
        <w:rPr>
          <w:rFonts w:ascii="Arial" w:hAnsi="Arial" w:cs="Arial"/>
        </w:rPr>
        <w:t>.</w:t>
      </w:r>
    </w:p>
    <w:p w14:paraId="10F475FF" w14:textId="6ACEFDF5" w:rsidR="00820A55" w:rsidRPr="004044E8" w:rsidRDefault="00820A55" w:rsidP="00C02EF4">
      <w:pPr>
        <w:pStyle w:val="numeradorom"/>
        <w:numPr>
          <w:ilvl w:val="2"/>
          <w:numId w:val="30"/>
        </w:numPr>
        <w:rPr>
          <w:rFonts w:ascii="Arial" w:hAnsi="Arial" w:cs="Arial"/>
        </w:rPr>
      </w:pPr>
      <w:r w:rsidRPr="004044E8">
        <w:rPr>
          <w:rFonts w:ascii="Arial" w:hAnsi="Arial" w:cs="Arial"/>
        </w:rPr>
        <w:t>El coor</w:t>
      </w:r>
      <w:r w:rsidR="00DA2CDF" w:rsidRPr="004044E8">
        <w:rPr>
          <w:rFonts w:ascii="Arial" w:hAnsi="Arial" w:cs="Arial"/>
        </w:rPr>
        <w:t>d</w:t>
      </w:r>
      <w:r w:rsidRPr="004044E8">
        <w:rPr>
          <w:rFonts w:ascii="Arial" w:hAnsi="Arial" w:cs="Arial"/>
        </w:rPr>
        <w:t xml:space="preserve">inador del </w:t>
      </w:r>
      <w:r w:rsidR="00BF1EAC" w:rsidRPr="004044E8">
        <w:rPr>
          <w:rFonts w:ascii="Arial" w:hAnsi="Arial" w:cs="Arial"/>
        </w:rPr>
        <w:t>EDG</w:t>
      </w:r>
      <w:r w:rsidRPr="004044E8">
        <w:rPr>
          <w:rFonts w:ascii="Arial" w:hAnsi="Arial" w:cs="Arial"/>
        </w:rPr>
        <w:t xml:space="preserve"> </w:t>
      </w:r>
      <w:r w:rsidR="00DA2CDF" w:rsidRPr="004044E8">
        <w:rPr>
          <w:rFonts w:ascii="Arial" w:hAnsi="Arial" w:cs="Arial"/>
        </w:rPr>
        <w:t>también</w:t>
      </w:r>
      <w:r w:rsidRPr="004044E8">
        <w:rPr>
          <w:rFonts w:ascii="Arial" w:hAnsi="Arial" w:cs="Arial"/>
        </w:rPr>
        <w:t xml:space="preserve"> </w:t>
      </w:r>
      <w:r w:rsidR="00DA2CDF" w:rsidRPr="004044E8">
        <w:rPr>
          <w:rFonts w:ascii="Arial" w:hAnsi="Arial" w:cs="Arial"/>
        </w:rPr>
        <w:t>será</w:t>
      </w:r>
      <w:r w:rsidRPr="004044E8">
        <w:rPr>
          <w:rFonts w:ascii="Arial" w:hAnsi="Arial" w:cs="Arial"/>
        </w:rPr>
        <w:t xml:space="preserve"> el responsable del monitoreo y seguimiento y </w:t>
      </w:r>
      <w:r w:rsidR="00DA2CDF" w:rsidRPr="004044E8">
        <w:rPr>
          <w:rFonts w:ascii="Arial" w:hAnsi="Arial" w:cs="Arial"/>
        </w:rPr>
        <w:t>asumirá</w:t>
      </w:r>
      <w:r w:rsidRPr="004044E8">
        <w:rPr>
          <w:rFonts w:ascii="Arial" w:hAnsi="Arial" w:cs="Arial"/>
        </w:rPr>
        <w:t xml:space="preserve"> dichas funciones en coor</w:t>
      </w:r>
      <w:r w:rsidR="00DA2CDF" w:rsidRPr="004044E8">
        <w:rPr>
          <w:rFonts w:ascii="Arial" w:hAnsi="Arial" w:cs="Arial"/>
        </w:rPr>
        <w:t>d</w:t>
      </w:r>
      <w:r w:rsidRPr="004044E8">
        <w:rPr>
          <w:rFonts w:ascii="Arial" w:hAnsi="Arial" w:cs="Arial"/>
        </w:rPr>
        <w:t>inación con la Dirección Nacional de Seguimiento y Evaluación.</w:t>
      </w:r>
    </w:p>
    <w:p w14:paraId="0D5F753B" w14:textId="49DC5118" w:rsidR="00820A55" w:rsidRPr="004044E8" w:rsidRDefault="00820A55" w:rsidP="00C02EF4">
      <w:pPr>
        <w:pStyle w:val="numeradorom"/>
        <w:numPr>
          <w:ilvl w:val="2"/>
          <w:numId w:val="30"/>
        </w:numPr>
        <w:rPr>
          <w:rFonts w:ascii="Arial" w:hAnsi="Arial" w:cs="Arial"/>
        </w:rPr>
      </w:pPr>
      <w:r w:rsidRPr="004044E8">
        <w:rPr>
          <w:rFonts w:ascii="Arial" w:hAnsi="Arial" w:cs="Arial"/>
        </w:rPr>
        <w:t xml:space="preserve">El </w:t>
      </w:r>
      <w:r w:rsidR="00BF1EAC" w:rsidRPr="004044E8">
        <w:rPr>
          <w:rFonts w:ascii="Arial" w:hAnsi="Arial" w:cs="Arial"/>
        </w:rPr>
        <w:t>EDG</w:t>
      </w:r>
      <w:r w:rsidRPr="004044E8">
        <w:rPr>
          <w:rFonts w:ascii="Arial" w:hAnsi="Arial" w:cs="Arial"/>
        </w:rPr>
        <w:t xml:space="preserve"> se encontrará conformado por equipo inte</w:t>
      </w:r>
      <w:r w:rsidR="00DA2CDF" w:rsidRPr="004044E8">
        <w:rPr>
          <w:rFonts w:ascii="Arial" w:hAnsi="Arial" w:cs="Arial"/>
        </w:rPr>
        <w:t>rno</w:t>
      </w:r>
      <w:r w:rsidRPr="004044E8">
        <w:rPr>
          <w:rFonts w:ascii="Arial" w:hAnsi="Arial" w:cs="Arial"/>
        </w:rPr>
        <w:t xml:space="preserve"> del MERNNR y su gestión respecto al programa, </w:t>
      </w:r>
      <w:r w:rsidR="00DA2CDF" w:rsidRPr="004044E8">
        <w:rPr>
          <w:rFonts w:ascii="Arial" w:hAnsi="Arial" w:cs="Arial"/>
        </w:rPr>
        <w:t>será</w:t>
      </w:r>
      <w:r w:rsidRPr="004044E8">
        <w:rPr>
          <w:rFonts w:ascii="Arial" w:hAnsi="Arial" w:cs="Arial"/>
        </w:rPr>
        <w:t xml:space="preserve"> supervisada por el </w:t>
      </w:r>
      <w:r w:rsidR="00BF1EAC" w:rsidRPr="004044E8">
        <w:rPr>
          <w:rFonts w:ascii="Arial" w:hAnsi="Arial" w:cs="Arial"/>
        </w:rPr>
        <w:t>EDG</w:t>
      </w:r>
      <w:r w:rsidRPr="004044E8">
        <w:rPr>
          <w:rFonts w:ascii="Arial" w:hAnsi="Arial" w:cs="Arial"/>
        </w:rPr>
        <w:t>-MEF.</w:t>
      </w:r>
    </w:p>
    <w:p w14:paraId="6BBEB0A2" w14:textId="6D12484C" w:rsidR="00820A55" w:rsidRPr="004044E8" w:rsidRDefault="00820A55" w:rsidP="00C02EF4">
      <w:pPr>
        <w:pStyle w:val="numeradorom"/>
        <w:numPr>
          <w:ilvl w:val="2"/>
          <w:numId w:val="30"/>
        </w:numPr>
        <w:rPr>
          <w:rFonts w:ascii="Arial" w:hAnsi="Arial" w:cs="Arial"/>
        </w:rPr>
      </w:pPr>
      <w:r w:rsidRPr="009F019B">
        <w:rPr>
          <w:rFonts w:ascii="Arial" w:hAnsi="Arial" w:cs="Arial"/>
        </w:rPr>
        <w:t xml:space="preserve">El </w:t>
      </w:r>
      <w:r w:rsidR="00BF1EAC" w:rsidRPr="009F019B">
        <w:rPr>
          <w:rFonts w:ascii="Arial" w:hAnsi="Arial" w:cs="Arial"/>
        </w:rPr>
        <w:t>EDG</w:t>
      </w:r>
      <w:r w:rsidRPr="004044E8">
        <w:rPr>
          <w:rFonts w:ascii="Arial" w:hAnsi="Arial" w:cs="Arial"/>
        </w:rPr>
        <w:t xml:space="preserve"> apoyar</w:t>
      </w:r>
      <w:r w:rsidR="00C02EF4" w:rsidRPr="004044E8">
        <w:rPr>
          <w:rFonts w:ascii="Arial" w:hAnsi="Arial" w:cs="Arial"/>
        </w:rPr>
        <w:t>á</w:t>
      </w:r>
      <w:r w:rsidRPr="004044E8">
        <w:rPr>
          <w:rFonts w:ascii="Arial" w:hAnsi="Arial" w:cs="Arial"/>
        </w:rPr>
        <w:t xml:space="preserve"> en la ejecución de las actividades de los Programas financiados con Pr</w:t>
      </w:r>
      <w:r w:rsidR="00C02EF4" w:rsidRPr="004044E8">
        <w:rPr>
          <w:rFonts w:ascii="Arial" w:hAnsi="Arial" w:cs="Arial"/>
        </w:rPr>
        <w:t>é</w:t>
      </w:r>
      <w:r w:rsidRPr="004044E8">
        <w:rPr>
          <w:rFonts w:ascii="Arial" w:hAnsi="Arial" w:cs="Arial"/>
        </w:rPr>
        <w:t xml:space="preserve">stamos del BID en el MERNNR. Las asignaciones </w:t>
      </w:r>
      <w:r w:rsidR="00DA2CDF" w:rsidRPr="004044E8">
        <w:rPr>
          <w:rFonts w:ascii="Arial" w:hAnsi="Arial" w:cs="Arial"/>
        </w:rPr>
        <w:t>serán</w:t>
      </w:r>
      <w:r w:rsidRPr="004044E8">
        <w:rPr>
          <w:rFonts w:ascii="Arial" w:hAnsi="Arial" w:cs="Arial"/>
        </w:rPr>
        <w:t xml:space="preserve"> efectuadas por la </w:t>
      </w:r>
      <w:r w:rsidR="00DA2CDF" w:rsidRPr="004044E8">
        <w:rPr>
          <w:rFonts w:ascii="Arial" w:hAnsi="Arial" w:cs="Arial"/>
        </w:rPr>
        <w:t>Máxima</w:t>
      </w:r>
      <w:r w:rsidRPr="004044E8">
        <w:rPr>
          <w:rFonts w:ascii="Arial" w:hAnsi="Arial" w:cs="Arial"/>
        </w:rPr>
        <w:t xml:space="preserve"> autori</w:t>
      </w:r>
      <w:r w:rsidR="00DA2CDF" w:rsidRPr="004044E8">
        <w:rPr>
          <w:rFonts w:ascii="Arial" w:hAnsi="Arial" w:cs="Arial"/>
        </w:rPr>
        <w:t>d</w:t>
      </w:r>
      <w:r w:rsidRPr="004044E8">
        <w:rPr>
          <w:rFonts w:ascii="Arial" w:hAnsi="Arial" w:cs="Arial"/>
        </w:rPr>
        <w:t xml:space="preserve">ad o su delegado, incluyendo expresamente las funciones que </w:t>
      </w:r>
      <w:r w:rsidR="00DA2CDF" w:rsidRPr="004044E8">
        <w:rPr>
          <w:rFonts w:ascii="Arial" w:hAnsi="Arial" w:cs="Arial"/>
        </w:rPr>
        <w:t>deberán</w:t>
      </w:r>
      <w:r w:rsidRPr="004044E8">
        <w:rPr>
          <w:rFonts w:ascii="Arial" w:hAnsi="Arial" w:cs="Arial"/>
        </w:rPr>
        <w:t xml:space="preserve"> cumplir y que </w:t>
      </w:r>
      <w:r w:rsidR="00DA2CDF" w:rsidRPr="004044E8">
        <w:rPr>
          <w:rFonts w:ascii="Arial" w:hAnsi="Arial" w:cs="Arial"/>
        </w:rPr>
        <w:t>están</w:t>
      </w:r>
      <w:r w:rsidRPr="004044E8">
        <w:rPr>
          <w:rFonts w:ascii="Arial" w:hAnsi="Arial" w:cs="Arial"/>
        </w:rPr>
        <w:t xml:space="preserve"> establecidas en el ROP.</w:t>
      </w:r>
    </w:p>
    <w:p w14:paraId="0D8B273F" w14:textId="79B1605C" w:rsidR="00820A55" w:rsidRPr="004044E8" w:rsidRDefault="00820A55" w:rsidP="00C02EF4">
      <w:pPr>
        <w:pStyle w:val="numeradorom"/>
        <w:numPr>
          <w:ilvl w:val="2"/>
          <w:numId w:val="30"/>
        </w:numPr>
        <w:rPr>
          <w:rFonts w:ascii="Arial" w:hAnsi="Arial" w:cs="Arial"/>
        </w:rPr>
      </w:pPr>
      <w:r w:rsidRPr="004044E8">
        <w:rPr>
          <w:rFonts w:ascii="Arial" w:hAnsi="Arial" w:cs="Arial"/>
        </w:rPr>
        <w:t xml:space="preserve">El MERNNR </w:t>
      </w:r>
      <w:r w:rsidR="00DA2CDF" w:rsidRPr="004044E8">
        <w:rPr>
          <w:rFonts w:ascii="Arial" w:hAnsi="Arial" w:cs="Arial"/>
        </w:rPr>
        <w:t>deberá</w:t>
      </w:r>
      <w:r w:rsidRPr="004044E8">
        <w:rPr>
          <w:rFonts w:ascii="Arial" w:hAnsi="Arial" w:cs="Arial"/>
        </w:rPr>
        <w:t xml:space="preserve"> notificar por escrito, al </w:t>
      </w:r>
      <w:r w:rsidR="00BF1EAC" w:rsidRPr="004044E8">
        <w:rPr>
          <w:rFonts w:ascii="Arial" w:hAnsi="Arial" w:cs="Arial"/>
        </w:rPr>
        <w:t>EDG</w:t>
      </w:r>
      <w:r w:rsidRPr="004044E8">
        <w:rPr>
          <w:rFonts w:ascii="Arial" w:hAnsi="Arial" w:cs="Arial"/>
        </w:rPr>
        <w:t xml:space="preserve">-MEF y al BID </w:t>
      </w:r>
      <w:proofErr w:type="spellStart"/>
      <w:r w:rsidRPr="004044E8">
        <w:rPr>
          <w:rFonts w:ascii="Arial" w:hAnsi="Arial" w:cs="Arial"/>
        </w:rPr>
        <w:t>sabre</w:t>
      </w:r>
      <w:proofErr w:type="spellEnd"/>
      <w:r w:rsidRPr="004044E8">
        <w:rPr>
          <w:rFonts w:ascii="Arial" w:hAnsi="Arial" w:cs="Arial"/>
        </w:rPr>
        <w:t xml:space="preserve"> la composición, nombres y cargos de quienes confo</w:t>
      </w:r>
      <w:r w:rsidR="00DA2CDF" w:rsidRPr="004044E8">
        <w:rPr>
          <w:rFonts w:ascii="Arial" w:hAnsi="Arial" w:cs="Arial"/>
        </w:rPr>
        <w:t>rman</w:t>
      </w:r>
      <w:r w:rsidRPr="004044E8">
        <w:rPr>
          <w:rFonts w:ascii="Arial" w:hAnsi="Arial" w:cs="Arial"/>
        </w:rPr>
        <w:t xml:space="preserve"> el </w:t>
      </w:r>
      <w:r w:rsidR="00BF1EAC" w:rsidRPr="004044E8">
        <w:rPr>
          <w:rFonts w:ascii="Arial" w:hAnsi="Arial" w:cs="Arial"/>
        </w:rPr>
        <w:t>EDG</w:t>
      </w:r>
      <w:r w:rsidRPr="004044E8">
        <w:rPr>
          <w:rFonts w:ascii="Arial" w:hAnsi="Arial" w:cs="Arial"/>
        </w:rPr>
        <w:t xml:space="preserve">, </w:t>
      </w:r>
      <w:r w:rsidR="00DA2CDF" w:rsidRPr="004044E8">
        <w:rPr>
          <w:rFonts w:ascii="Arial" w:hAnsi="Arial" w:cs="Arial"/>
        </w:rPr>
        <w:t>así</w:t>
      </w:r>
      <w:r w:rsidRPr="004044E8">
        <w:rPr>
          <w:rFonts w:ascii="Arial" w:hAnsi="Arial" w:cs="Arial"/>
        </w:rPr>
        <w:t xml:space="preserve"> como </w:t>
      </w:r>
      <w:r w:rsidR="00DA2CDF" w:rsidRPr="004044E8">
        <w:rPr>
          <w:rFonts w:ascii="Arial" w:hAnsi="Arial" w:cs="Arial"/>
        </w:rPr>
        <w:t>también</w:t>
      </w:r>
      <w:r w:rsidRPr="004044E8">
        <w:rPr>
          <w:rFonts w:ascii="Arial" w:hAnsi="Arial" w:cs="Arial"/>
        </w:rPr>
        <w:t>, los cambios de los mismos, en caso de presentarse.</w:t>
      </w:r>
    </w:p>
    <w:p w14:paraId="2E6D610C" w14:textId="6826AEB3" w:rsidR="00820A55" w:rsidRPr="004044E8" w:rsidRDefault="00820A55" w:rsidP="00A56329">
      <w:pPr>
        <w:pStyle w:val="numeradorom"/>
        <w:numPr>
          <w:ilvl w:val="2"/>
          <w:numId w:val="30"/>
        </w:numPr>
        <w:rPr>
          <w:rFonts w:ascii="Arial" w:hAnsi="Arial" w:cs="Arial"/>
        </w:rPr>
      </w:pPr>
      <w:r w:rsidRPr="004044E8">
        <w:rPr>
          <w:rFonts w:ascii="Arial" w:hAnsi="Arial" w:cs="Arial"/>
        </w:rPr>
        <w:t xml:space="preserve">En el caso de utilizar recursos del contrato de </w:t>
      </w:r>
      <w:r w:rsidR="00DA2CDF" w:rsidRPr="004044E8">
        <w:rPr>
          <w:rFonts w:ascii="Arial" w:hAnsi="Arial" w:cs="Arial"/>
        </w:rPr>
        <w:t>préstamo</w:t>
      </w:r>
      <w:r w:rsidRPr="004044E8">
        <w:rPr>
          <w:rFonts w:ascii="Arial" w:hAnsi="Arial" w:cs="Arial"/>
        </w:rPr>
        <w:t xml:space="preserve"> para financiar personal de apoyo a la ejecución, previo a la no objeci</w:t>
      </w:r>
      <w:r w:rsidR="00E05C42" w:rsidRPr="004044E8">
        <w:rPr>
          <w:rFonts w:ascii="Arial" w:hAnsi="Arial" w:cs="Arial"/>
        </w:rPr>
        <w:t>ó</w:t>
      </w:r>
      <w:r w:rsidRPr="004044E8">
        <w:rPr>
          <w:rFonts w:ascii="Arial" w:hAnsi="Arial" w:cs="Arial"/>
        </w:rPr>
        <w:t xml:space="preserve">n del BID se </w:t>
      </w:r>
      <w:r w:rsidR="00DA2CDF" w:rsidRPr="004044E8">
        <w:rPr>
          <w:rFonts w:ascii="Arial" w:hAnsi="Arial" w:cs="Arial"/>
        </w:rPr>
        <w:t>deberá</w:t>
      </w:r>
      <w:r w:rsidRPr="004044E8">
        <w:rPr>
          <w:rFonts w:ascii="Arial" w:hAnsi="Arial" w:cs="Arial"/>
        </w:rPr>
        <w:t xml:space="preserve"> contar con la aprobación de los TDR por parte del </w:t>
      </w:r>
      <w:r w:rsidR="00BF1EAC" w:rsidRPr="004044E8">
        <w:rPr>
          <w:rFonts w:ascii="Arial" w:hAnsi="Arial" w:cs="Arial"/>
        </w:rPr>
        <w:t>EDG</w:t>
      </w:r>
      <w:r w:rsidRPr="004044E8">
        <w:rPr>
          <w:rFonts w:ascii="Arial" w:hAnsi="Arial" w:cs="Arial"/>
        </w:rPr>
        <w:t xml:space="preserve">-MEF; y previo a una recontratación del personal de apoyo, se </w:t>
      </w:r>
      <w:r w:rsidR="00DA2CDF" w:rsidRPr="004044E8">
        <w:rPr>
          <w:rFonts w:ascii="Arial" w:hAnsi="Arial" w:cs="Arial"/>
        </w:rPr>
        <w:t>deberá</w:t>
      </w:r>
      <w:r w:rsidRPr="004044E8">
        <w:rPr>
          <w:rFonts w:ascii="Arial" w:hAnsi="Arial" w:cs="Arial"/>
        </w:rPr>
        <w:t xml:space="preserve"> contar como docu</w:t>
      </w:r>
      <w:r w:rsidR="00DA2CDF" w:rsidRPr="004044E8">
        <w:rPr>
          <w:rFonts w:ascii="Arial" w:hAnsi="Arial" w:cs="Arial"/>
        </w:rPr>
        <w:t>m</w:t>
      </w:r>
      <w:r w:rsidRPr="004044E8">
        <w:rPr>
          <w:rFonts w:ascii="Arial" w:hAnsi="Arial" w:cs="Arial"/>
        </w:rPr>
        <w:t xml:space="preserve">entos habilitantes: la evaluación satisfactoria de parte de la </w:t>
      </w:r>
      <w:r w:rsidR="00DA2CDF" w:rsidRPr="004044E8">
        <w:rPr>
          <w:rFonts w:ascii="Arial" w:hAnsi="Arial" w:cs="Arial"/>
        </w:rPr>
        <w:t>máxima</w:t>
      </w:r>
      <w:r w:rsidRPr="004044E8">
        <w:rPr>
          <w:rFonts w:ascii="Arial" w:hAnsi="Arial" w:cs="Arial"/>
        </w:rPr>
        <w:t xml:space="preserve"> autorida</w:t>
      </w:r>
      <w:r w:rsidR="00DA2CDF" w:rsidRPr="004044E8">
        <w:rPr>
          <w:rFonts w:ascii="Arial" w:hAnsi="Arial" w:cs="Arial"/>
        </w:rPr>
        <w:t>d</w:t>
      </w:r>
      <w:r w:rsidRPr="004044E8">
        <w:rPr>
          <w:rFonts w:ascii="Arial" w:hAnsi="Arial" w:cs="Arial"/>
        </w:rPr>
        <w:t xml:space="preserve"> de la entidad o su delegado, </w:t>
      </w:r>
      <w:r w:rsidR="00DA2CDF" w:rsidRPr="004044E8">
        <w:rPr>
          <w:rFonts w:ascii="Arial" w:hAnsi="Arial" w:cs="Arial"/>
        </w:rPr>
        <w:t>así</w:t>
      </w:r>
      <w:r w:rsidRPr="004044E8">
        <w:rPr>
          <w:rFonts w:ascii="Arial" w:hAnsi="Arial" w:cs="Arial"/>
        </w:rPr>
        <w:t xml:space="preserve"> como del </w:t>
      </w:r>
      <w:r w:rsidR="00BF1EAC" w:rsidRPr="004044E8">
        <w:rPr>
          <w:rFonts w:ascii="Arial" w:hAnsi="Arial" w:cs="Arial"/>
        </w:rPr>
        <w:t>EDG</w:t>
      </w:r>
      <w:r w:rsidRPr="004044E8">
        <w:rPr>
          <w:rFonts w:ascii="Arial" w:hAnsi="Arial" w:cs="Arial"/>
        </w:rPr>
        <w:t>-MEF.</w:t>
      </w:r>
    </w:p>
    <w:p w14:paraId="5CF7F1EE" w14:textId="77777777" w:rsidR="00E05C42" w:rsidRPr="004044E8" w:rsidRDefault="00E05C42" w:rsidP="00DE3867">
      <w:pPr>
        <w:pStyle w:val="numeradorom"/>
        <w:numPr>
          <w:ilvl w:val="0"/>
          <w:numId w:val="0"/>
        </w:numPr>
        <w:ind w:left="1191"/>
        <w:rPr>
          <w:rFonts w:ascii="Arial" w:hAnsi="Arial" w:cs="Arial"/>
        </w:rPr>
      </w:pPr>
    </w:p>
    <w:p w14:paraId="6A3D714D" w14:textId="77962807" w:rsidR="00755BF5" w:rsidRPr="004044E8" w:rsidRDefault="00820A55" w:rsidP="00755BF5">
      <w:pPr>
        <w:pStyle w:val="numeradorom"/>
        <w:numPr>
          <w:ilvl w:val="0"/>
          <w:numId w:val="0"/>
        </w:numPr>
        <w:ind w:left="1191"/>
        <w:rPr>
          <w:rFonts w:ascii="Arial" w:hAnsi="Arial" w:cs="Arial"/>
          <w:lang w:val="en-US"/>
        </w:rPr>
      </w:pPr>
      <w:r w:rsidRPr="004044E8">
        <w:rPr>
          <w:rFonts w:ascii="Arial" w:hAnsi="Arial" w:cs="Arial"/>
        </w:rPr>
        <w:t xml:space="preserve">Principales responsabilidades del </w:t>
      </w:r>
      <w:r w:rsidR="00BF1EAC" w:rsidRPr="004044E8">
        <w:rPr>
          <w:rFonts w:ascii="Arial" w:hAnsi="Arial" w:cs="Arial"/>
        </w:rPr>
        <w:t>EDG</w:t>
      </w:r>
      <w:r w:rsidR="00E05C42" w:rsidRPr="004044E8">
        <w:rPr>
          <w:rFonts w:ascii="Arial" w:hAnsi="Arial" w:cs="Arial"/>
        </w:rPr>
        <w:t>-</w:t>
      </w:r>
      <w:r w:rsidR="00E05C42" w:rsidRPr="004044E8">
        <w:rPr>
          <w:rFonts w:ascii="Arial" w:hAnsi="Arial" w:cs="Arial"/>
          <w:lang w:val="es-EC"/>
        </w:rPr>
        <w:t>MERNNR</w:t>
      </w:r>
      <w:r w:rsidR="00755BF5" w:rsidRPr="004044E8">
        <w:rPr>
          <w:rFonts w:ascii="Arial" w:hAnsi="Arial" w:cs="Arial"/>
          <w:lang w:val="en-US"/>
        </w:rPr>
        <w:t>:</w:t>
      </w:r>
    </w:p>
    <w:p w14:paraId="2D8C2417" w14:textId="6B95A81D" w:rsidR="00820A55" w:rsidRPr="004044E8" w:rsidRDefault="00820A55" w:rsidP="00C02EF4">
      <w:pPr>
        <w:pStyle w:val="numeradorom"/>
        <w:numPr>
          <w:ilvl w:val="2"/>
          <w:numId w:val="32"/>
        </w:numPr>
        <w:rPr>
          <w:rFonts w:ascii="Arial" w:hAnsi="Arial" w:cs="Arial"/>
        </w:rPr>
      </w:pPr>
      <w:r w:rsidRPr="004044E8">
        <w:rPr>
          <w:rFonts w:ascii="Arial" w:hAnsi="Arial" w:cs="Arial"/>
        </w:rPr>
        <w:t xml:space="preserve">Asegurar el cumplimiento de las </w:t>
      </w:r>
      <w:r w:rsidR="00E05C42" w:rsidRPr="004044E8">
        <w:rPr>
          <w:rFonts w:ascii="Arial" w:hAnsi="Arial" w:cs="Arial"/>
        </w:rPr>
        <w:t>cláusulas</w:t>
      </w:r>
      <w:r w:rsidRPr="004044E8">
        <w:rPr>
          <w:rFonts w:ascii="Arial" w:hAnsi="Arial" w:cs="Arial"/>
        </w:rPr>
        <w:t xml:space="preserve"> establecidas en el contrato de </w:t>
      </w:r>
      <w:r w:rsidR="00E05C42" w:rsidRPr="004044E8">
        <w:rPr>
          <w:rFonts w:ascii="Arial" w:hAnsi="Arial" w:cs="Arial"/>
        </w:rPr>
        <w:t>Préstamo</w:t>
      </w:r>
      <w:r w:rsidRPr="004044E8">
        <w:rPr>
          <w:rFonts w:ascii="Arial" w:hAnsi="Arial" w:cs="Arial"/>
        </w:rPr>
        <w:t xml:space="preserve"> y el ROP.</w:t>
      </w:r>
    </w:p>
    <w:p w14:paraId="74516044" w14:textId="0E393E2E" w:rsidR="00820A55" w:rsidRPr="004044E8" w:rsidRDefault="00820A55" w:rsidP="00C02EF4">
      <w:pPr>
        <w:pStyle w:val="numeradorom"/>
        <w:numPr>
          <w:ilvl w:val="2"/>
          <w:numId w:val="30"/>
        </w:numPr>
        <w:rPr>
          <w:rFonts w:ascii="Arial" w:hAnsi="Arial" w:cs="Arial"/>
        </w:rPr>
      </w:pPr>
      <w:r w:rsidRPr="004044E8">
        <w:rPr>
          <w:rFonts w:ascii="Arial" w:hAnsi="Arial" w:cs="Arial"/>
        </w:rPr>
        <w:t>Asegurar la ejecuci</w:t>
      </w:r>
      <w:r w:rsidR="00E05C42" w:rsidRPr="004044E8">
        <w:rPr>
          <w:rFonts w:ascii="Arial" w:hAnsi="Arial" w:cs="Arial"/>
        </w:rPr>
        <w:t>ó</w:t>
      </w:r>
      <w:r w:rsidRPr="004044E8">
        <w:rPr>
          <w:rFonts w:ascii="Arial" w:hAnsi="Arial" w:cs="Arial"/>
        </w:rPr>
        <w:t>n de los componentes y actividades asignadas, conforme a las herramientas de gesti</w:t>
      </w:r>
      <w:r w:rsidR="005963C6" w:rsidRPr="004044E8">
        <w:rPr>
          <w:rFonts w:ascii="Arial" w:hAnsi="Arial" w:cs="Arial"/>
        </w:rPr>
        <w:t>ó</w:t>
      </w:r>
      <w:r w:rsidRPr="004044E8">
        <w:rPr>
          <w:rFonts w:ascii="Arial" w:hAnsi="Arial" w:cs="Arial"/>
        </w:rPr>
        <w:t>n aprobadas por el Banco.</w:t>
      </w:r>
    </w:p>
    <w:p w14:paraId="70E70FB4" w14:textId="07AB7A02" w:rsidR="00820A55" w:rsidRPr="004044E8" w:rsidRDefault="00820A55" w:rsidP="00C02EF4">
      <w:pPr>
        <w:pStyle w:val="numeradorom"/>
        <w:numPr>
          <w:ilvl w:val="2"/>
          <w:numId w:val="30"/>
        </w:numPr>
        <w:rPr>
          <w:rFonts w:ascii="Arial" w:hAnsi="Arial" w:cs="Arial"/>
        </w:rPr>
      </w:pPr>
      <w:r w:rsidRPr="004044E8">
        <w:rPr>
          <w:rFonts w:ascii="Arial" w:hAnsi="Arial" w:cs="Arial"/>
        </w:rPr>
        <w:t>Preparar, actualizar y entregar oportunamente al EDG-MEF, la informaci</w:t>
      </w:r>
      <w:r w:rsidR="00E05C42" w:rsidRPr="004044E8">
        <w:rPr>
          <w:rFonts w:ascii="Arial" w:hAnsi="Arial" w:cs="Arial"/>
        </w:rPr>
        <w:t>ó</w:t>
      </w:r>
      <w:r w:rsidRPr="004044E8">
        <w:rPr>
          <w:rFonts w:ascii="Arial" w:hAnsi="Arial" w:cs="Arial"/>
        </w:rPr>
        <w:t>n necesaria para facilitar la ejecuci</w:t>
      </w:r>
      <w:r w:rsidR="008F565F" w:rsidRPr="004044E8">
        <w:rPr>
          <w:rFonts w:ascii="Arial" w:hAnsi="Arial" w:cs="Arial"/>
        </w:rPr>
        <w:t>ó</w:t>
      </w:r>
      <w:r w:rsidRPr="004044E8">
        <w:rPr>
          <w:rFonts w:ascii="Arial" w:hAnsi="Arial" w:cs="Arial"/>
        </w:rPr>
        <w:t xml:space="preserve">n del Programa y dar cumplimiento de lo establecido en el Contrato de </w:t>
      </w:r>
      <w:r w:rsidR="00DA2CDF" w:rsidRPr="004044E8">
        <w:rPr>
          <w:rFonts w:ascii="Arial" w:hAnsi="Arial" w:cs="Arial"/>
        </w:rPr>
        <w:t>Préstamo</w:t>
      </w:r>
      <w:r w:rsidRPr="004044E8">
        <w:rPr>
          <w:rFonts w:ascii="Arial" w:hAnsi="Arial" w:cs="Arial"/>
        </w:rPr>
        <w:t xml:space="preserve"> y el ROP.</w:t>
      </w:r>
      <w:r w:rsidRPr="004044E8">
        <w:rPr>
          <w:rFonts w:ascii="Arial" w:hAnsi="Arial" w:cs="Arial"/>
        </w:rPr>
        <w:tab/>
      </w:r>
    </w:p>
    <w:p w14:paraId="00B0D8AD" w14:textId="00C4AF1A" w:rsidR="00820A55" w:rsidRPr="004044E8" w:rsidRDefault="00820A55" w:rsidP="00C02EF4">
      <w:pPr>
        <w:pStyle w:val="numeradorom"/>
        <w:numPr>
          <w:ilvl w:val="2"/>
          <w:numId w:val="30"/>
        </w:numPr>
        <w:rPr>
          <w:rFonts w:ascii="Arial" w:hAnsi="Arial" w:cs="Arial"/>
        </w:rPr>
      </w:pPr>
      <w:r w:rsidRPr="004044E8">
        <w:rPr>
          <w:rFonts w:ascii="Arial" w:hAnsi="Arial" w:cs="Arial"/>
        </w:rPr>
        <w:t>Preparar y entregar al EDG-MEF, la informaci</w:t>
      </w:r>
      <w:r w:rsidR="008F565F" w:rsidRPr="004044E8">
        <w:rPr>
          <w:rFonts w:ascii="Arial" w:hAnsi="Arial" w:cs="Arial"/>
        </w:rPr>
        <w:t>ó</w:t>
      </w:r>
      <w:r w:rsidRPr="004044E8">
        <w:rPr>
          <w:rFonts w:ascii="Arial" w:hAnsi="Arial" w:cs="Arial"/>
        </w:rPr>
        <w:t>n necesaria para, la actualizaci</w:t>
      </w:r>
      <w:r w:rsidR="00E05C42" w:rsidRPr="004044E8">
        <w:rPr>
          <w:rFonts w:ascii="Arial" w:hAnsi="Arial" w:cs="Arial"/>
        </w:rPr>
        <w:t>ó</w:t>
      </w:r>
      <w:r w:rsidRPr="004044E8">
        <w:rPr>
          <w:rFonts w:ascii="Arial" w:hAnsi="Arial" w:cs="Arial"/>
        </w:rPr>
        <w:t>n de las herramientas de gesti</w:t>
      </w:r>
      <w:r w:rsidR="00E05C42" w:rsidRPr="004044E8">
        <w:rPr>
          <w:rFonts w:ascii="Arial" w:hAnsi="Arial" w:cs="Arial"/>
        </w:rPr>
        <w:t>ó</w:t>
      </w:r>
      <w:r w:rsidRPr="004044E8">
        <w:rPr>
          <w:rFonts w:ascii="Arial" w:hAnsi="Arial" w:cs="Arial"/>
        </w:rPr>
        <w:t xml:space="preserve">n y los </w:t>
      </w:r>
      <w:r w:rsidR="00DA2CDF" w:rsidRPr="004044E8">
        <w:rPr>
          <w:rFonts w:ascii="Arial" w:hAnsi="Arial" w:cs="Arial"/>
        </w:rPr>
        <w:t>informes</w:t>
      </w:r>
      <w:r w:rsidRPr="004044E8">
        <w:rPr>
          <w:rFonts w:ascii="Arial" w:hAnsi="Arial" w:cs="Arial"/>
        </w:rPr>
        <w:t xml:space="preserve"> que correspondan a su ejecuci</w:t>
      </w:r>
      <w:r w:rsidR="00E05C42" w:rsidRPr="004044E8">
        <w:rPr>
          <w:rFonts w:ascii="Arial" w:hAnsi="Arial" w:cs="Arial"/>
        </w:rPr>
        <w:t>ó</w:t>
      </w:r>
      <w:r w:rsidRPr="004044E8">
        <w:rPr>
          <w:rFonts w:ascii="Arial" w:hAnsi="Arial" w:cs="Arial"/>
        </w:rPr>
        <w:t>n, dentro de los plazas y en los formatos establecidos para el efecto</w:t>
      </w:r>
      <w:r w:rsidR="00E05C42" w:rsidRPr="004044E8">
        <w:rPr>
          <w:rFonts w:ascii="Arial" w:hAnsi="Arial" w:cs="Arial"/>
        </w:rPr>
        <w:t>.</w:t>
      </w:r>
    </w:p>
    <w:p w14:paraId="582A7582" w14:textId="5B6DA11F" w:rsidR="008F565F" w:rsidRPr="004044E8" w:rsidRDefault="008F565F" w:rsidP="001C7188">
      <w:pPr>
        <w:pStyle w:val="Heading2"/>
        <w:rPr>
          <w:rFonts w:ascii="Arial" w:hAnsi="Arial" w:cs="Arial"/>
        </w:rPr>
      </w:pPr>
      <w:bookmarkStart w:id="87" w:name="_Toc10223126"/>
      <w:r w:rsidRPr="004044E8">
        <w:rPr>
          <w:rFonts w:ascii="Arial" w:hAnsi="Arial" w:cs="Arial"/>
        </w:rPr>
        <w:t xml:space="preserve">Funciones y Responsabilidades del </w:t>
      </w:r>
      <w:r w:rsidRPr="004044E8">
        <w:rPr>
          <w:rFonts w:ascii="Arial" w:hAnsi="Arial" w:cs="Arial"/>
          <w:lang w:val="es-ES"/>
        </w:rPr>
        <w:t xml:space="preserve">MTOP y su </w:t>
      </w:r>
      <w:r w:rsidR="00BF1EAC" w:rsidRPr="004044E8">
        <w:rPr>
          <w:rFonts w:ascii="Arial" w:hAnsi="Arial" w:cs="Arial"/>
          <w:lang w:val="es-ES"/>
        </w:rPr>
        <w:t>EDG</w:t>
      </w:r>
      <w:r w:rsidRPr="004044E8">
        <w:rPr>
          <w:rFonts w:ascii="Arial" w:hAnsi="Arial" w:cs="Arial"/>
          <w:lang w:val="es-ES"/>
        </w:rPr>
        <w:t xml:space="preserve">-MTOP </w:t>
      </w:r>
      <w:r w:rsidRPr="004044E8">
        <w:rPr>
          <w:rFonts w:ascii="Arial" w:hAnsi="Arial" w:cs="Arial"/>
        </w:rPr>
        <w:t>como Subejecutor del Programa</w:t>
      </w:r>
      <w:bookmarkEnd w:id="87"/>
    </w:p>
    <w:p w14:paraId="6FEAE234" w14:textId="45AA39CF" w:rsidR="008F565F" w:rsidRPr="004044E8" w:rsidRDefault="008F565F" w:rsidP="00DE3867">
      <w:pPr>
        <w:pStyle w:val="numeradorom"/>
        <w:numPr>
          <w:ilvl w:val="0"/>
          <w:numId w:val="0"/>
        </w:numPr>
        <w:ind w:left="1191"/>
        <w:rPr>
          <w:rFonts w:ascii="Arial" w:hAnsi="Arial" w:cs="Arial"/>
        </w:rPr>
      </w:pPr>
      <w:r w:rsidRPr="004044E8">
        <w:rPr>
          <w:rFonts w:ascii="Arial" w:hAnsi="Arial" w:cs="Arial"/>
        </w:rPr>
        <w:t>Principales funciones del MTOP:</w:t>
      </w:r>
    </w:p>
    <w:p w14:paraId="20F4C6E6" w14:textId="47DAC93C" w:rsidR="008F565F" w:rsidRPr="004044E8" w:rsidRDefault="008F565F" w:rsidP="00C02EF4">
      <w:pPr>
        <w:pStyle w:val="numeradorom"/>
        <w:numPr>
          <w:ilvl w:val="2"/>
          <w:numId w:val="33"/>
        </w:numPr>
        <w:rPr>
          <w:rFonts w:ascii="Arial" w:hAnsi="Arial" w:cs="Arial"/>
        </w:rPr>
      </w:pPr>
      <w:r w:rsidRPr="004044E8">
        <w:rPr>
          <w:rFonts w:ascii="Arial" w:hAnsi="Arial" w:cs="Arial"/>
        </w:rPr>
        <w:t xml:space="preserve">Dar cumplimiento de las cláusulas establecidas en el contrato de Préstamo y el ROP, en lo que atañe a su </w:t>
      </w:r>
      <w:r w:rsidR="00DA2CDF" w:rsidRPr="004044E8">
        <w:rPr>
          <w:rFonts w:ascii="Arial" w:hAnsi="Arial" w:cs="Arial"/>
        </w:rPr>
        <w:t>participación</w:t>
      </w:r>
      <w:r w:rsidRPr="004044E8">
        <w:rPr>
          <w:rFonts w:ascii="Arial" w:hAnsi="Arial" w:cs="Arial"/>
        </w:rPr>
        <w:t xml:space="preserve"> en el Programa.</w:t>
      </w:r>
    </w:p>
    <w:p w14:paraId="697F2F82" w14:textId="18915868" w:rsidR="008F565F" w:rsidRPr="004044E8" w:rsidRDefault="008F565F" w:rsidP="00C02EF4">
      <w:pPr>
        <w:pStyle w:val="numeradorom"/>
        <w:rPr>
          <w:rFonts w:ascii="Arial" w:hAnsi="Arial" w:cs="Arial"/>
        </w:rPr>
      </w:pPr>
      <w:r w:rsidRPr="004044E8">
        <w:rPr>
          <w:rFonts w:ascii="Arial" w:hAnsi="Arial" w:cs="Arial"/>
        </w:rPr>
        <w:t xml:space="preserve">Conformar un Equipo de </w:t>
      </w:r>
      <w:r w:rsidR="00DA2CDF" w:rsidRPr="004044E8">
        <w:rPr>
          <w:rFonts w:ascii="Arial" w:hAnsi="Arial" w:cs="Arial"/>
        </w:rPr>
        <w:t>Gestión</w:t>
      </w:r>
      <w:r w:rsidRPr="004044E8">
        <w:rPr>
          <w:rFonts w:ascii="Arial" w:hAnsi="Arial" w:cs="Arial"/>
        </w:rPr>
        <w:t xml:space="preserve"> (EDG-MTOP) para asegurar la </w:t>
      </w:r>
      <w:r w:rsidR="00DA2CDF" w:rsidRPr="004044E8">
        <w:rPr>
          <w:rFonts w:ascii="Arial" w:hAnsi="Arial" w:cs="Arial"/>
        </w:rPr>
        <w:t>ejecución</w:t>
      </w:r>
      <w:r w:rsidRPr="004044E8">
        <w:rPr>
          <w:rFonts w:ascii="Arial" w:hAnsi="Arial" w:cs="Arial"/>
        </w:rPr>
        <w:t xml:space="preserve"> del Programa, establecer quienes </w:t>
      </w:r>
      <w:r w:rsidR="00DA2CDF" w:rsidRPr="004044E8">
        <w:rPr>
          <w:rFonts w:ascii="Arial" w:hAnsi="Arial" w:cs="Arial"/>
        </w:rPr>
        <w:t>servirán</w:t>
      </w:r>
      <w:r w:rsidRPr="004044E8">
        <w:rPr>
          <w:rFonts w:ascii="Arial" w:hAnsi="Arial" w:cs="Arial"/>
        </w:rPr>
        <w:t xml:space="preserve"> de punto focal con el EDG-MEF, e </w:t>
      </w:r>
      <w:r w:rsidR="00DA2CDF" w:rsidRPr="004044E8">
        <w:rPr>
          <w:rFonts w:ascii="Arial" w:hAnsi="Arial" w:cs="Arial"/>
        </w:rPr>
        <w:t>informar</w:t>
      </w:r>
      <w:r w:rsidRPr="004044E8">
        <w:rPr>
          <w:rFonts w:ascii="Arial" w:hAnsi="Arial" w:cs="Arial"/>
        </w:rPr>
        <w:t xml:space="preserve"> al Banco de su </w:t>
      </w:r>
      <w:r w:rsidR="00DA2CDF" w:rsidRPr="004044E8">
        <w:rPr>
          <w:rFonts w:ascii="Arial" w:hAnsi="Arial" w:cs="Arial"/>
        </w:rPr>
        <w:t>composición</w:t>
      </w:r>
      <w:r w:rsidRPr="004044E8">
        <w:rPr>
          <w:rFonts w:ascii="Arial" w:hAnsi="Arial" w:cs="Arial"/>
        </w:rPr>
        <w:t>.</w:t>
      </w:r>
    </w:p>
    <w:p w14:paraId="4F4E72C8" w14:textId="081E2BB9" w:rsidR="008F565F" w:rsidRPr="004044E8" w:rsidRDefault="008F565F" w:rsidP="00C02EF4">
      <w:pPr>
        <w:pStyle w:val="numeradorom"/>
        <w:rPr>
          <w:rFonts w:ascii="Arial" w:hAnsi="Arial" w:cs="Arial"/>
        </w:rPr>
      </w:pPr>
      <w:r w:rsidRPr="004044E8">
        <w:rPr>
          <w:rFonts w:ascii="Arial" w:hAnsi="Arial" w:cs="Arial"/>
        </w:rPr>
        <w:t xml:space="preserve">Licitar, contratar y gestionar </w:t>
      </w:r>
      <w:r w:rsidR="00DA2CDF" w:rsidRPr="004044E8">
        <w:rPr>
          <w:rFonts w:ascii="Arial" w:hAnsi="Arial" w:cs="Arial"/>
        </w:rPr>
        <w:t>técnica</w:t>
      </w:r>
      <w:r w:rsidRPr="004044E8">
        <w:rPr>
          <w:rFonts w:ascii="Arial" w:hAnsi="Arial" w:cs="Arial"/>
        </w:rPr>
        <w:t xml:space="preserve"> y fiduciariamente los servicios diferentes a </w:t>
      </w:r>
      <w:r w:rsidR="00DA2CDF" w:rsidRPr="004044E8">
        <w:rPr>
          <w:rFonts w:ascii="Arial" w:hAnsi="Arial" w:cs="Arial"/>
        </w:rPr>
        <w:t>consultoría</w:t>
      </w:r>
      <w:r w:rsidRPr="004044E8">
        <w:rPr>
          <w:rFonts w:ascii="Arial" w:hAnsi="Arial" w:cs="Arial"/>
        </w:rPr>
        <w:t xml:space="preserve"> y servicios de </w:t>
      </w:r>
      <w:r w:rsidR="00DA2CDF" w:rsidRPr="004044E8">
        <w:rPr>
          <w:rFonts w:ascii="Arial" w:hAnsi="Arial" w:cs="Arial"/>
        </w:rPr>
        <w:t>consultoría</w:t>
      </w:r>
      <w:r w:rsidRPr="004044E8">
        <w:rPr>
          <w:rFonts w:ascii="Arial" w:hAnsi="Arial" w:cs="Arial"/>
        </w:rPr>
        <w:t xml:space="preserve"> de las actividades del componente 2 a su cargo y la actividad del  producto 1.3 del Componente 1.</w:t>
      </w:r>
    </w:p>
    <w:p w14:paraId="0F96335B" w14:textId="77777777" w:rsidR="008F565F" w:rsidRPr="004044E8" w:rsidRDefault="008F565F" w:rsidP="00C02EF4">
      <w:pPr>
        <w:pStyle w:val="numeradorom"/>
        <w:rPr>
          <w:rFonts w:ascii="Arial" w:hAnsi="Arial" w:cs="Arial"/>
        </w:rPr>
      </w:pPr>
      <w:r w:rsidRPr="004044E8">
        <w:rPr>
          <w:rFonts w:ascii="Arial" w:hAnsi="Arial" w:cs="Arial"/>
        </w:rPr>
        <w:t xml:space="preserve">Planificar, monitorear, gerenciar y reportar </w:t>
      </w:r>
      <w:proofErr w:type="spellStart"/>
      <w:r w:rsidRPr="004044E8">
        <w:rPr>
          <w:rFonts w:ascii="Arial" w:hAnsi="Arial" w:cs="Arial"/>
        </w:rPr>
        <w:t>sabre</w:t>
      </w:r>
      <w:proofErr w:type="spellEnd"/>
      <w:r w:rsidRPr="004044E8">
        <w:rPr>
          <w:rFonts w:ascii="Arial" w:hAnsi="Arial" w:cs="Arial"/>
        </w:rPr>
        <w:t xml:space="preserve"> el uso de los recurses financieros a su cargo.</w:t>
      </w:r>
    </w:p>
    <w:p w14:paraId="103CF597" w14:textId="77777777" w:rsidR="008F565F" w:rsidRPr="004044E8" w:rsidRDefault="008F565F" w:rsidP="00C02EF4">
      <w:pPr>
        <w:pStyle w:val="numeradorom"/>
        <w:rPr>
          <w:rFonts w:ascii="Arial" w:hAnsi="Arial" w:cs="Arial"/>
        </w:rPr>
      </w:pPr>
      <w:r w:rsidRPr="004044E8">
        <w:rPr>
          <w:rFonts w:ascii="Arial" w:hAnsi="Arial" w:cs="Arial"/>
        </w:rPr>
        <w:t xml:space="preserve">Establecer una adecuada estructura programática con cada uno de sus Proyectos de Inversión Priorizados, </w:t>
      </w:r>
      <w:proofErr w:type="spellStart"/>
      <w:r w:rsidRPr="004044E8">
        <w:rPr>
          <w:rFonts w:ascii="Arial" w:hAnsi="Arial" w:cs="Arial"/>
        </w:rPr>
        <w:t>sabre</w:t>
      </w:r>
      <w:proofErr w:type="spellEnd"/>
      <w:r w:rsidRPr="004044E8">
        <w:rPr>
          <w:rFonts w:ascii="Arial" w:hAnsi="Arial" w:cs="Arial"/>
        </w:rPr>
        <w:t xml:space="preserve"> la base del POA del Programa.</w:t>
      </w:r>
    </w:p>
    <w:p w14:paraId="0DA658EE" w14:textId="31D19B51" w:rsidR="008F565F" w:rsidRPr="004044E8" w:rsidRDefault="008F565F" w:rsidP="00C02EF4">
      <w:pPr>
        <w:pStyle w:val="numeradorom"/>
        <w:rPr>
          <w:rFonts w:ascii="Arial" w:hAnsi="Arial" w:cs="Arial"/>
        </w:rPr>
      </w:pPr>
      <w:r w:rsidRPr="004044E8">
        <w:rPr>
          <w:rFonts w:ascii="Arial" w:hAnsi="Arial" w:cs="Arial"/>
        </w:rPr>
        <w:t xml:space="preserve">Asegurar el espacio presupuestario de todos los Proyectos de </w:t>
      </w:r>
      <w:r w:rsidR="00DA2CDF" w:rsidRPr="004044E8">
        <w:rPr>
          <w:rFonts w:ascii="Arial" w:hAnsi="Arial" w:cs="Arial"/>
        </w:rPr>
        <w:t>Inversión</w:t>
      </w:r>
      <w:r w:rsidRPr="004044E8">
        <w:rPr>
          <w:rFonts w:ascii="Arial" w:hAnsi="Arial" w:cs="Arial"/>
        </w:rPr>
        <w:t xml:space="preserve"> Priorizados de responsabilidad del MTOP y coordinar con el MEF y el MDT lo respectivo a las asignaciones en el componente 2 del Programa.</w:t>
      </w:r>
    </w:p>
    <w:p w14:paraId="41AE6958" w14:textId="2BB1D341" w:rsidR="008F565F" w:rsidRPr="004044E8" w:rsidRDefault="008F565F" w:rsidP="00A56329">
      <w:pPr>
        <w:pStyle w:val="numeradorom"/>
        <w:rPr>
          <w:rFonts w:ascii="Arial" w:hAnsi="Arial" w:cs="Arial"/>
        </w:rPr>
      </w:pPr>
      <w:r w:rsidRPr="004044E8">
        <w:rPr>
          <w:rFonts w:ascii="Arial" w:hAnsi="Arial" w:cs="Arial"/>
        </w:rPr>
        <w:t xml:space="preserve">Facilitar los mecanismos necesarios para agilizar y garantizar la </w:t>
      </w:r>
      <w:r w:rsidR="00DA2CDF" w:rsidRPr="004044E8">
        <w:rPr>
          <w:rFonts w:ascii="Arial" w:hAnsi="Arial" w:cs="Arial"/>
        </w:rPr>
        <w:t>ejecución</w:t>
      </w:r>
      <w:r w:rsidRPr="004044E8">
        <w:rPr>
          <w:rFonts w:ascii="Arial" w:hAnsi="Arial" w:cs="Arial"/>
        </w:rPr>
        <w:t xml:space="preserve"> oportuna de los productos del Programa.</w:t>
      </w:r>
    </w:p>
    <w:p w14:paraId="5B0C285D" w14:textId="67DCDFDB" w:rsidR="008F565F" w:rsidRPr="004044E8" w:rsidRDefault="008F565F" w:rsidP="00DE3867">
      <w:pPr>
        <w:pStyle w:val="numeradorom"/>
        <w:rPr>
          <w:rFonts w:ascii="Arial" w:hAnsi="Arial" w:cs="Arial"/>
        </w:rPr>
      </w:pPr>
      <w:r w:rsidRPr="004044E8">
        <w:rPr>
          <w:rFonts w:ascii="Arial" w:hAnsi="Arial" w:cs="Arial"/>
        </w:rPr>
        <w:t xml:space="preserve">Entregar oportunamente al MEF toda la información necesaria para el cumplimiento y monitoreo del Programa, en función de los requerimientos de información, formatos, mecanismos y periodos de rendición de cuentas establecidos por el </w:t>
      </w:r>
      <w:r w:rsidR="00755BF5" w:rsidRPr="004044E8">
        <w:rPr>
          <w:rFonts w:ascii="Arial" w:hAnsi="Arial" w:cs="Arial"/>
        </w:rPr>
        <w:t>EDG-MEF</w:t>
      </w:r>
      <w:r w:rsidRPr="004044E8">
        <w:rPr>
          <w:rFonts w:ascii="Arial" w:hAnsi="Arial" w:cs="Arial"/>
        </w:rPr>
        <w:t xml:space="preserve">. </w:t>
      </w:r>
    </w:p>
    <w:p w14:paraId="7C7557FD" w14:textId="77777777" w:rsidR="008F565F" w:rsidRPr="004044E8" w:rsidRDefault="008F565F" w:rsidP="00DE3867">
      <w:pPr>
        <w:pStyle w:val="numeradorom"/>
        <w:rPr>
          <w:rFonts w:ascii="Arial" w:hAnsi="Arial" w:cs="Arial"/>
        </w:rPr>
      </w:pPr>
      <w:r w:rsidRPr="004044E8">
        <w:rPr>
          <w:rFonts w:ascii="Arial" w:hAnsi="Arial" w:cs="Arial"/>
        </w:rPr>
        <w:t>Implementar las recomendaciones de las consultorías contratadas de apoyo al Programa, incluyendo las de evaluación intermedia y final, y de las auditorias;</w:t>
      </w:r>
    </w:p>
    <w:p w14:paraId="3CBD8DCE" w14:textId="77777777" w:rsidR="008F565F" w:rsidRPr="004044E8" w:rsidRDefault="008F565F" w:rsidP="00DE3867">
      <w:pPr>
        <w:pStyle w:val="numeradorom"/>
        <w:rPr>
          <w:rFonts w:ascii="Arial" w:hAnsi="Arial" w:cs="Arial"/>
        </w:rPr>
      </w:pPr>
      <w:r w:rsidRPr="004044E8">
        <w:rPr>
          <w:rFonts w:ascii="Arial" w:hAnsi="Arial" w:cs="Arial"/>
        </w:rPr>
        <w:lastRenderedPageBreak/>
        <w:t>Conservar los documentos y registros físicos y digitales del Proyecto por un período mínimo de tres (3) años después del vencimiento del Plazo Original de Desembolsos o cualquiera de sus extensiones. Estos documentos y registros deberán ser adecuados para: (i) respaldar las actividades, decisiones y transacciones relativas al Proyecto, incluidos todos los gastos incurridos; y (</w:t>
      </w:r>
      <w:proofErr w:type="spellStart"/>
      <w:r w:rsidRPr="004044E8">
        <w:rPr>
          <w:rFonts w:ascii="Arial" w:hAnsi="Arial" w:cs="Arial"/>
        </w:rPr>
        <w:t>ii</w:t>
      </w:r>
      <w:proofErr w:type="spellEnd"/>
      <w:r w:rsidRPr="004044E8">
        <w:rPr>
          <w:rFonts w:ascii="Arial" w:hAnsi="Arial" w:cs="Arial"/>
        </w:rPr>
        <w:t>) evidenciar la correlación de gastos incurridos con cargo al Préstamo con el respectivo desembolso efectuado por el Banco.</w:t>
      </w:r>
    </w:p>
    <w:p w14:paraId="4EF5EC48" w14:textId="77777777" w:rsidR="008F565F" w:rsidRPr="004044E8" w:rsidRDefault="008F565F" w:rsidP="00DE3867">
      <w:pPr>
        <w:pStyle w:val="numeradorom"/>
        <w:rPr>
          <w:rFonts w:ascii="Arial" w:hAnsi="Arial" w:cs="Arial"/>
        </w:rPr>
      </w:pPr>
      <w:r w:rsidRPr="004044E8">
        <w:rPr>
          <w:rFonts w:ascii="Arial" w:hAnsi="Arial" w:cs="Arial"/>
        </w:rPr>
        <w:t>Cumplir toda otra tarea que le corresponda de acuerdo con lo dispuesto en el Contrato de Préstamo y el presente ROP.</w:t>
      </w:r>
    </w:p>
    <w:p w14:paraId="4B7654D5" w14:textId="77777777" w:rsidR="008F565F" w:rsidRPr="004044E8" w:rsidRDefault="008F565F" w:rsidP="00C02EF4">
      <w:pPr>
        <w:pStyle w:val="numeradorom"/>
        <w:numPr>
          <w:ilvl w:val="0"/>
          <w:numId w:val="0"/>
        </w:numPr>
        <w:ind w:left="737"/>
        <w:rPr>
          <w:rFonts w:ascii="Arial" w:hAnsi="Arial" w:cs="Arial"/>
        </w:rPr>
      </w:pPr>
    </w:p>
    <w:p w14:paraId="15A13E95" w14:textId="485885EA" w:rsidR="008F565F" w:rsidRPr="004044E8" w:rsidRDefault="008F565F" w:rsidP="00C02EF4">
      <w:pPr>
        <w:pStyle w:val="numeradorom"/>
        <w:numPr>
          <w:ilvl w:val="0"/>
          <w:numId w:val="0"/>
        </w:numPr>
        <w:ind w:left="737"/>
        <w:rPr>
          <w:rFonts w:ascii="Arial" w:hAnsi="Arial" w:cs="Arial"/>
        </w:rPr>
      </w:pPr>
      <w:r w:rsidRPr="004044E8">
        <w:rPr>
          <w:rFonts w:ascii="Arial" w:hAnsi="Arial" w:cs="Arial"/>
        </w:rPr>
        <w:t xml:space="preserve">El </w:t>
      </w:r>
      <w:r w:rsidR="00BF1EAC" w:rsidRPr="004044E8">
        <w:rPr>
          <w:rFonts w:ascii="Arial" w:hAnsi="Arial" w:cs="Arial"/>
        </w:rPr>
        <w:t>EDG</w:t>
      </w:r>
      <w:r w:rsidRPr="004044E8">
        <w:rPr>
          <w:rFonts w:ascii="Arial" w:hAnsi="Arial" w:cs="Arial"/>
        </w:rPr>
        <w:t>-MTOP</w:t>
      </w:r>
    </w:p>
    <w:p w14:paraId="65EA8D61" w14:textId="0A542144" w:rsidR="008F565F" w:rsidRPr="004044E8" w:rsidRDefault="008F565F" w:rsidP="00C02EF4">
      <w:pPr>
        <w:pStyle w:val="numeradorom"/>
        <w:numPr>
          <w:ilvl w:val="2"/>
          <w:numId w:val="34"/>
        </w:numPr>
        <w:rPr>
          <w:rFonts w:ascii="Arial" w:hAnsi="Arial" w:cs="Arial"/>
        </w:rPr>
      </w:pPr>
      <w:r w:rsidRPr="004044E8">
        <w:rPr>
          <w:rFonts w:ascii="Arial" w:hAnsi="Arial" w:cs="Arial"/>
        </w:rPr>
        <w:t xml:space="preserve">El </w:t>
      </w:r>
      <w:r w:rsidR="00BF1EAC" w:rsidRPr="004044E8">
        <w:rPr>
          <w:rFonts w:ascii="Arial" w:hAnsi="Arial" w:cs="Arial"/>
        </w:rPr>
        <w:t>EDG</w:t>
      </w:r>
      <w:r w:rsidRPr="004044E8">
        <w:rPr>
          <w:rFonts w:ascii="Arial" w:hAnsi="Arial" w:cs="Arial"/>
        </w:rPr>
        <w:t xml:space="preserve"> se encuentra ubicado en la </w:t>
      </w:r>
      <w:proofErr w:type="spellStart"/>
      <w:r w:rsidRPr="004044E8">
        <w:rPr>
          <w:rFonts w:ascii="Arial" w:hAnsi="Arial" w:cs="Arial"/>
        </w:rPr>
        <w:t>xx</w:t>
      </w:r>
      <w:proofErr w:type="spellEnd"/>
      <w:r w:rsidRPr="009F019B">
        <w:rPr>
          <w:rFonts w:ascii="Arial" w:hAnsi="Arial" w:cs="Arial"/>
        </w:rPr>
        <w:t xml:space="preserve"> de la Coordinaci</w:t>
      </w:r>
      <w:r w:rsidR="007C0142" w:rsidRPr="009F019B">
        <w:rPr>
          <w:rFonts w:ascii="Arial" w:hAnsi="Arial" w:cs="Arial"/>
        </w:rPr>
        <w:t>ó</w:t>
      </w:r>
      <w:r w:rsidRPr="004044E8">
        <w:rPr>
          <w:rFonts w:ascii="Arial" w:hAnsi="Arial" w:cs="Arial"/>
        </w:rPr>
        <w:t xml:space="preserve">n General de Planificación del MTOP y </w:t>
      </w:r>
      <w:r w:rsidR="00DA2CDF" w:rsidRPr="004044E8">
        <w:rPr>
          <w:rFonts w:ascii="Arial" w:hAnsi="Arial" w:cs="Arial"/>
        </w:rPr>
        <w:t>estará</w:t>
      </w:r>
      <w:r w:rsidRPr="004044E8">
        <w:rPr>
          <w:rFonts w:ascii="Arial" w:hAnsi="Arial" w:cs="Arial"/>
        </w:rPr>
        <w:t xml:space="preserve"> </w:t>
      </w:r>
      <w:r w:rsidR="00DA2CDF" w:rsidRPr="004044E8">
        <w:rPr>
          <w:rFonts w:ascii="Arial" w:hAnsi="Arial" w:cs="Arial"/>
        </w:rPr>
        <w:t>conformarlo</w:t>
      </w:r>
      <w:r w:rsidRPr="004044E8">
        <w:rPr>
          <w:rFonts w:ascii="Arial" w:hAnsi="Arial" w:cs="Arial"/>
        </w:rPr>
        <w:t xml:space="preserve"> por un coordinador de los programas BID; el cual </w:t>
      </w:r>
      <w:r w:rsidR="00DA2CDF" w:rsidRPr="004044E8">
        <w:rPr>
          <w:rFonts w:ascii="Arial" w:hAnsi="Arial" w:cs="Arial"/>
        </w:rPr>
        <w:t>estará</w:t>
      </w:r>
      <w:r w:rsidRPr="004044E8">
        <w:rPr>
          <w:rFonts w:ascii="Arial" w:hAnsi="Arial" w:cs="Arial"/>
        </w:rPr>
        <w:t xml:space="preserve"> apoyado por un especialista o responsable financiero; un especialista o responsable de adquisiciones; y, un responsable del monitoreo y seguimiento, para dar cumplimiento a lo estableci</w:t>
      </w:r>
      <w:r w:rsidR="00DA2CDF" w:rsidRPr="004044E8">
        <w:rPr>
          <w:rFonts w:ascii="Arial" w:hAnsi="Arial" w:cs="Arial"/>
        </w:rPr>
        <w:t>d</w:t>
      </w:r>
      <w:r w:rsidRPr="004044E8">
        <w:rPr>
          <w:rFonts w:ascii="Arial" w:hAnsi="Arial" w:cs="Arial"/>
        </w:rPr>
        <w:t xml:space="preserve">o en el contrato de </w:t>
      </w:r>
      <w:r w:rsidR="00DA2CDF" w:rsidRPr="004044E8">
        <w:rPr>
          <w:rFonts w:ascii="Arial" w:hAnsi="Arial" w:cs="Arial"/>
        </w:rPr>
        <w:t>Préstamo</w:t>
      </w:r>
      <w:r w:rsidRPr="004044E8">
        <w:rPr>
          <w:rFonts w:ascii="Arial" w:hAnsi="Arial" w:cs="Arial"/>
        </w:rPr>
        <w:t>.</w:t>
      </w:r>
    </w:p>
    <w:p w14:paraId="723EA55E" w14:textId="71438150" w:rsidR="008F565F" w:rsidRPr="004044E8" w:rsidRDefault="008F565F" w:rsidP="00C02EF4">
      <w:pPr>
        <w:pStyle w:val="numeradorom"/>
        <w:numPr>
          <w:ilvl w:val="2"/>
          <w:numId w:val="30"/>
        </w:numPr>
        <w:rPr>
          <w:rFonts w:ascii="Arial" w:hAnsi="Arial" w:cs="Arial"/>
        </w:rPr>
      </w:pPr>
      <w:r w:rsidRPr="004044E8">
        <w:rPr>
          <w:rFonts w:ascii="Arial" w:hAnsi="Arial" w:cs="Arial"/>
        </w:rPr>
        <w:t>El coor</w:t>
      </w:r>
      <w:r w:rsidR="00DA2CDF" w:rsidRPr="004044E8">
        <w:rPr>
          <w:rFonts w:ascii="Arial" w:hAnsi="Arial" w:cs="Arial"/>
        </w:rPr>
        <w:t>d</w:t>
      </w:r>
      <w:r w:rsidRPr="004044E8">
        <w:rPr>
          <w:rFonts w:ascii="Arial" w:hAnsi="Arial" w:cs="Arial"/>
        </w:rPr>
        <w:t xml:space="preserve">inador del </w:t>
      </w:r>
      <w:r w:rsidR="00BF1EAC" w:rsidRPr="004044E8">
        <w:rPr>
          <w:rFonts w:ascii="Arial" w:hAnsi="Arial" w:cs="Arial"/>
        </w:rPr>
        <w:t>EDG</w:t>
      </w:r>
      <w:r w:rsidRPr="004044E8">
        <w:rPr>
          <w:rFonts w:ascii="Arial" w:hAnsi="Arial" w:cs="Arial"/>
        </w:rPr>
        <w:t xml:space="preserve"> </w:t>
      </w:r>
      <w:r w:rsidR="00DA2CDF" w:rsidRPr="004044E8">
        <w:rPr>
          <w:rFonts w:ascii="Arial" w:hAnsi="Arial" w:cs="Arial"/>
        </w:rPr>
        <w:t>también</w:t>
      </w:r>
      <w:r w:rsidRPr="004044E8">
        <w:rPr>
          <w:rFonts w:ascii="Arial" w:hAnsi="Arial" w:cs="Arial"/>
        </w:rPr>
        <w:t xml:space="preserve"> </w:t>
      </w:r>
      <w:r w:rsidR="00DA2CDF" w:rsidRPr="004044E8">
        <w:rPr>
          <w:rFonts w:ascii="Arial" w:hAnsi="Arial" w:cs="Arial"/>
        </w:rPr>
        <w:t>será</w:t>
      </w:r>
      <w:r w:rsidRPr="004044E8">
        <w:rPr>
          <w:rFonts w:ascii="Arial" w:hAnsi="Arial" w:cs="Arial"/>
        </w:rPr>
        <w:t xml:space="preserve"> el responsable del monitoreo y seguimiento y </w:t>
      </w:r>
      <w:r w:rsidR="00DA2CDF" w:rsidRPr="004044E8">
        <w:rPr>
          <w:rFonts w:ascii="Arial" w:hAnsi="Arial" w:cs="Arial"/>
        </w:rPr>
        <w:t>asumirá</w:t>
      </w:r>
      <w:r w:rsidRPr="004044E8">
        <w:rPr>
          <w:rFonts w:ascii="Arial" w:hAnsi="Arial" w:cs="Arial"/>
        </w:rPr>
        <w:t xml:space="preserve"> dichas funciones en coor</w:t>
      </w:r>
      <w:r w:rsidR="00DA2CDF" w:rsidRPr="004044E8">
        <w:rPr>
          <w:rFonts w:ascii="Arial" w:hAnsi="Arial" w:cs="Arial"/>
        </w:rPr>
        <w:t>d</w:t>
      </w:r>
      <w:r w:rsidRPr="004044E8">
        <w:rPr>
          <w:rFonts w:ascii="Arial" w:hAnsi="Arial" w:cs="Arial"/>
        </w:rPr>
        <w:t>inación con la Dirección Nacional de Seguimiento y Evaluación.</w:t>
      </w:r>
    </w:p>
    <w:p w14:paraId="685AECE6" w14:textId="69A53534" w:rsidR="008F565F" w:rsidRPr="004044E8" w:rsidRDefault="008F565F" w:rsidP="00C02EF4">
      <w:pPr>
        <w:pStyle w:val="numeradorom"/>
        <w:numPr>
          <w:ilvl w:val="2"/>
          <w:numId w:val="30"/>
        </w:numPr>
        <w:rPr>
          <w:rFonts w:ascii="Arial" w:hAnsi="Arial" w:cs="Arial"/>
        </w:rPr>
      </w:pPr>
      <w:r w:rsidRPr="004044E8">
        <w:rPr>
          <w:rFonts w:ascii="Arial" w:hAnsi="Arial" w:cs="Arial"/>
        </w:rPr>
        <w:t xml:space="preserve">El </w:t>
      </w:r>
      <w:r w:rsidR="00BF1EAC" w:rsidRPr="004044E8">
        <w:rPr>
          <w:rFonts w:ascii="Arial" w:hAnsi="Arial" w:cs="Arial"/>
        </w:rPr>
        <w:t>EDG</w:t>
      </w:r>
      <w:r w:rsidRPr="004044E8">
        <w:rPr>
          <w:rFonts w:ascii="Arial" w:hAnsi="Arial" w:cs="Arial"/>
        </w:rPr>
        <w:t xml:space="preserve"> se encontrará conformado por equipo inte</w:t>
      </w:r>
      <w:r w:rsidR="00DA2CDF" w:rsidRPr="004044E8">
        <w:rPr>
          <w:rFonts w:ascii="Arial" w:hAnsi="Arial" w:cs="Arial"/>
        </w:rPr>
        <w:t>rn</w:t>
      </w:r>
      <w:r w:rsidRPr="004044E8">
        <w:rPr>
          <w:rFonts w:ascii="Arial" w:hAnsi="Arial" w:cs="Arial"/>
        </w:rPr>
        <w:t xml:space="preserve">o del MTOP y su gestión respecto al programa, </w:t>
      </w:r>
      <w:r w:rsidR="00DA2CDF" w:rsidRPr="004044E8">
        <w:rPr>
          <w:rFonts w:ascii="Arial" w:hAnsi="Arial" w:cs="Arial"/>
        </w:rPr>
        <w:t>será</w:t>
      </w:r>
      <w:r w:rsidRPr="004044E8">
        <w:rPr>
          <w:rFonts w:ascii="Arial" w:hAnsi="Arial" w:cs="Arial"/>
        </w:rPr>
        <w:t xml:space="preserve"> supervisada por el </w:t>
      </w:r>
      <w:r w:rsidR="00BF1EAC" w:rsidRPr="004044E8">
        <w:rPr>
          <w:rFonts w:ascii="Arial" w:hAnsi="Arial" w:cs="Arial"/>
        </w:rPr>
        <w:t>EDG</w:t>
      </w:r>
      <w:r w:rsidRPr="004044E8">
        <w:rPr>
          <w:rFonts w:ascii="Arial" w:hAnsi="Arial" w:cs="Arial"/>
        </w:rPr>
        <w:t>-MEF.</w:t>
      </w:r>
    </w:p>
    <w:p w14:paraId="033F272C" w14:textId="6389FE06" w:rsidR="008F565F" w:rsidRPr="004044E8" w:rsidRDefault="008F565F" w:rsidP="00C02EF4">
      <w:pPr>
        <w:pStyle w:val="numeradorom"/>
        <w:numPr>
          <w:ilvl w:val="2"/>
          <w:numId w:val="30"/>
        </w:numPr>
        <w:rPr>
          <w:rFonts w:ascii="Arial" w:hAnsi="Arial" w:cs="Arial"/>
        </w:rPr>
      </w:pPr>
      <w:r w:rsidRPr="004044E8">
        <w:rPr>
          <w:rFonts w:ascii="Arial" w:hAnsi="Arial" w:cs="Arial"/>
        </w:rPr>
        <w:t xml:space="preserve">El </w:t>
      </w:r>
      <w:r w:rsidR="00BF1EAC" w:rsidRPr="004044E8">
        <w:rPr>
          <w:rFonts w:ascii="Arial" w:hAnsi="Arial" w:cs="Arial"/>
        </w:rPr>
        <w:t>EDG</w:t>
      </w:r>
      <w:r w:rsidRPr="004044E8">
        <w:rPr>
          <w:rFonts w:ascii="Arial" w:hAnsi="Arial" w:cs="Arial"/>
        </w:rPr>
        <w:t xml:space="preserve"> apoyar</w:t>
      </w:r>
      <w:r w:rsidR="00A56329" w:rsidRPr="004044E8">
        <w:rPr>
          <w:rFonts w:ascii="Arial" w:hAnsi="Arial" w:cs="Arial"/>
        </w:rPr>
        <w:t>á</w:t>
      </w:r>
      <w:r w:rsidRPr="004044E8">
        <w:rPr>
          <w:rFonts w:ascii="Arial" w:hAnsi="Arial" w:cs="Arial"/>
        </w:rPr>
        <w:t xml:space="preserve"> en la ejecución de las actividades de los Programas financiados con Prestamos del BID en el MERNNR. Las asignaciones </w:t>
      </w:r>
      <w:r w:rsidR="00DA2CDF" w:rsidRPr="004044E8">
        <w:rPr>
          <w:rFonts w:ascii="Arial" w:hAnsi="Arial" w:cs="Arial"/>
        </w:rPr>
        <w:t>serán</w:t>
      </w:r>
      <w:r w:rsidRPr="004044E8">
        <w:rPr>
          <w:rFonts w:ascii="Arial" w:hAnsi="Arial" w:cs="Arial"/>
        </w:rPr>
        <w:t xml:space="preserve"> efectuadas por la </w:t>
      </w:r>
      <w:r w:rsidR="00DA2CDF" w:rsidRPr="004044E8">
        <w:rPr>
          <w:rFonts w:ascii="Arial" w:hAnsi="Arial" w:cs="Arial"/>
        </w:rPr>
        <w:t>Máxima</w:t>
      </w:r>
      <w:r w:rsidRPr="004044E8">
        <w:rPr>
          <w:rFonts w:ascii="Arial" w:hAnsi="Arial" w:cs="Arial"/>
        </w:rPr>
        <w:t xml:space="preserve"> autori</w:t>
      </w:r>
      <w:r w:rsidR="00DA2CDF" w:rsidRPr="004044E8">
        <w:rPr>
          <w:rFonts w:ascii="Arial" w:hAnsi="Arial" w:cs="Arial"/>
        </w:rPr>
        <w:t>d</w:t>
      </w:r>
      <w:r w:rsidRPr="004044E8">
        <w:rPr>
          <w:rFonts w:ascii="Arial" w:hAnsi="Arial" w:cs="Arial"/>
        </w:rPr>
        <w:t xml:space="preserve">ad o su delegado, incluyendo expresamente las funciones que </w:t>
      </w:r>
      <w:r w:rsidR="00DA2CDF" w:rsidRPr="004044E8">
        <w:rPr>
          <w:rFonts w:ascii="Arial" w:hAnsi="Arial" w:cs="Arial"/>
        </w:rPr>
        <w:t>deberán</w:t>
      </w:r>
      <w:r w:rsidRPr="004044E8">
        <w:rPr>
          <w:rFonts w:ascii="Arial" w:hAnsi="Arial" w:cs="Arial"/>
        </w:rPr>
        <w:t xml:space="preserve"> cumplir y que </w:t>
      </w:r>
      <w:r w:rsidR="00DA2CDF" w:rsidRPr="004044E8">
        <w:rPr>
          <w:rFonts w:ascii="Arial" w:hAnsi="Arial" w:cs="Arial"/>
        </w:rPr>
        <w:t>están</w:t>
      </w:r>
      <w:r w:rsidRPr="004044E8">
        <w:rPr>
          <w:rFonts w:ascii="Arial" w:hAnsi="Arial" w:cs="Arial"/>
        </w:rPr>
        <w:t xml:space="preserve"> establecidas en el ROP.</w:t>
      </w:r>
    </w:p>
    <w:p w14:paraId="28CE80E0" w14:textId="1CA37624" w:rsidR="008F565F" w:rsidRPr="004044E8" w:rsidRDefault="008F565F" w:rsidP="00C02EF4">
      <w:pPr>
        <w:pStyle w:val="numeradorom"/>
        <w:numPr>
          <w:ilvl w:val="2"/>
          <w:numId w:val="30"/>
        </w:numPr>
        <w:rPr>
          <w:rFonts w:ascii="Arial" w:hAnsi="Arial" w:cs="Arial"/>
        </w:rPr>
      </w:pPr>
      <w:r w:rsidRPr="004044E8">
        <w:rPr>
          <w:rFonts w:ascii="Arial" w:hAnsi="Arial" w:cs="Arial"/>
        </w:rPr>
        <w:t xml:space="preserve">El MTOP </w:t>
      </w:r>
      <w:r w:rsidR="00DA2CDF" w:rsidRPr="004044E8">
        <w:rPr>
          <w:rFonts w:ascii="Arial" w:hAnsi="Arial" w:cs="Arial"/>
        </w:rPr>
        <w:t>deberá</w:t>
      </w:r>
      <w:r w:rsidRPr="004044E8">
        <w:rPr>
          <w:rFonts w:ascii="Arial" w:hAnsi="Arial" w:cs="Arial"/>
        </w:rPr>
        <w:t xml:space="preserve"> notificar por escrito, al </w:t>
      </w:r>
      <w:r w:rsidR="00BF1EAC" w:rsidRPr="004044E8">
        <w:rPr>
          <w:rFonts w:ascii="Arial" w:hAnsi="Arial" w:cs="Arial"/>
        </w:rPr>
        <w:t>EDG</w:t>
      </w:r>
      <w:r w:rsidRPr="004044E8">
        <w:rPr>
          <w:rFonts w:ascii="Arial" w:hAnsi="Arial" w:cs="Arial"/>
        </w:rPr>
        <w:t xml:space="preserve">-MEF y al BID </w:t>
      </w:r>
      <w:proofErr w:type="spellStart"/>
      <w:r w:rsidRPr="004044E8">
        <w:rPr>
          <w:rFonts w:ascii="Arial" w:hAnsi="Arial" w:cs="Arial"/>
        </w:rPr>
        <w:t>sabre</w:t>
      </w:r>
      <w:proofErr w:type="spellEnd"/>
      <w:r w:rsidRPr="004044E8">
        <w:rPr>
          <w:rFonts w:ascii="Arial" w:hAnsi="Arial" w:cs="Arial"/>
        </w:rPr>
        <w:t xml:space="preserve"> la composición, nombres y cargos de quienes confo</w:t>
      </w:r>
      <w:r w:rsidR="00DA2CDF" w:rsidRPr="004044E8">
        <w:rPr>
          <w:rFonts w:ascii="Arial" w:hAnsi="Arial" w:cs="Arial"/>
        </w:rPr>
        <w:t>rman</w:t>
      </w:r>
      <w:r w:rsidRPr="004044E8">
        <w:rPr>
          <w:rFonts w:ascii="Arial" w:hAnsi="Arial" w:cs="Arial"/>
        </w:rPr>
        <w:t xml:space="preserve"> el </w:t>
      </w:r>
      <w:r w:rsidR="00BF1EAC" w:rsidRPr="004044E8">
        <w:rPr>
          <w:rFonts w:ascii="Arial" w:hAnsi="Arial" w:cs="Arial"/>
        </w:rPr>
        <w:t>EDG</w:t>
      </w:r>
      <w:r w:rsidRPr="004044E8">
        <w:rPr>
          <w:rFonts w:ascii="Arial" w:hAnsi="Arial" w:cs="Arial"/>
        </w:rPr>
        <w:t xml:space="preserve">, </w:t>
      </w:r>
      <w:r w:rsidR="00DA2CDF" w:rsidRPr="004044E8">
        <w:rPr>
          <w:rFonts w:ascii="Arial" w:hAnsi="Arial" w:cs="Arial"/>
        </w:rPr>
        <w:t>así</w:t>
      </w:r>
      <w:r w:rsidRPr="004044E8">
        <w:rPr>
          <w:rFonts w:ascii="Arial" w:hAnsi="Arial" w:cs="Arial"/>
        </w:rPr>
        <w:t xml:space="preserve"> como </w:t>
      </w:r>
      <w:r w:rsidR="00DA2CDF" w:rsidRPr="004044E8">
        <w:rPr>
          <w:rFonts w:ascii="Arial" w:hAnsi="Arial" w:cs="Arial"/>
        </w:rPr>
        <w:t>también</w:t>
      </w:r>
      <w:r w:rsidRPr="004044E8">
        <w:rPr>
          <w:rFonts w:ascii="Arial" w:hAnsi="Arial" w:cs="Arial"/>
        </w:rPr>
        <w:t>, los cambios de los mismos, en caso de presentarse.</w:t>
      </w:r>
    </w:p>
    <w:p w14:paraId="1532EC91" w14:textId="0DD7D1D9" w:rsidR="008F565F" w:rsidRPr="004044E8" w:rsidRDefault="008F565F" w:rsidP="00A56329">
      <w:pPr>
        <w:pStyle w:val="numeradorom"/>
        <w:numPr>
          <w:ilvl w:val="2"/>
          <w:numId w:val="30"/>
        </w:numPr>
        <w:rPr>
          <w:rFonts w:ascii="Arial" w:hAnsi="Arial" w:cs="Arial"/>
        </w:rPr>
      </w:pPr>
      <w:r w:rsidRPr="004044E8">
        <w:rPr>
          <w:rFonts w:ascii="Arial" w:hAnsi="Arial" w:cs="Arial"/>
        </w:rPr>
        <w:t xml:space="preserve">En el caso de utilizar recursos del contrato de </w:t>
      </w:r>
      <w:r w:rsidR="00DA2CDF" w:rsidRPr="004044E8">
        <w:rPr>
          <w:rFonts w:ascii="Arial" w:hAnsi="Arial" w:cs="Arial"/>
        </w:rPr>
        <w:t>préstamo</w:t>
      </w:r>
      <w:r w:rsidRPr="004044E8">
        <w:rPr>
          <w:rFonts w:ascii="Arial" w:hAnsi="Arial" w:cs="Arial"/>
        </w:rPr>
        <w:t xml:space="preserve"> para financiar personal de apoyo a la ejecución, previo a la no objeción del BID se </w:t>
      </w:r>
      <w:r w:rsidR="00DA2CDF" w:rsidRPr="004044E8">
        <w:rPr>
          <w:rFonts w:ascii="Arial" w:hAnsi="Arial" w:cs="Arial"/>
        </w:rPr>
        <w:t>deberá</w:t>
      </w:r>
      <w:r w:rsidRPr="004044E8">
        <w:rPr>
          <w:rFonts w:ascii="Arial" w:hAnsi="Arial" w:cs="Arial"/>
        </w:rPr>
        <w:t xml:space="preserve"> contar con la aprobación de los TDR por parte del </w:t>
      </w:r>
      <w:r w:rsidR="00BF1EAC" w:rsidRPr="004044E8">
        <w:rPr>
          <w:rFonts w:ascii="Arial" w:hAnsi="Arial" w:cs="Arial"/>
        </w:rPr>
        <w:t>EDG</w:t>
      </w:r>
      <w:r w:rsidRPr="004044E8">
        <w:rPr>
          <w:rFonts w:ascii="Arial" w:hAnsi="Arial" w:cs="Arial"/>
        </w:rPr>
        <w:t xml:space="preserve">-MEF; y previo a una recontratación del personal de apoyo, se </w:t>
      </w:r>
      <w:r w:rsidR="00DA2CDF" w:rsidRPr="004044E8">
        <w:rPr>
          <w:rFonts w:ascii="Arial" w:hAnsi="Arial" w:cs="Arial"/>
        </w:rPr>
        <w:t>deberá</w:t>
      </w:r>
      <w:r w:rsidRPr="004044E8">
        <w:rPr>
          <w:rFonts w:ascii="Arial" w:hAnsi="Arial" w:cs="Arial"/>
        </w:rPr>
        <w:t xml:space="preserve"> contar como docu</w:t>
      </w:r>
      <w:r w:rsidR="00DA2CDF" w:rsidRPr="004044E8">
        <w:rPr>
          <w:rFonts w:ascii="Arial" w:hAnsi="Arial" w:cs="Arial"/>
        </w:rPr>
        <w:t>m</w:t>
      </w:r>
      <w:r w:rsidRPr="004044E8">
        <w:rPr>
          <w:rFonts w:ascii="Arial" w:hAnsi="Arial" w:cs="Arial"/>
        </w:rPr>
        <w:t xml:space="preserve">entos habilitantes: la evaluación satisfactoria de parte de la </w:t>
      </w:r>
      <w:r w:rsidR="00DA2CDF" w:rsidRPr="004044E8">
        <w:rPr>
          <w:rFonts w:ascii="Arial" w:hAnsi="Arial" w:cs="Arial"/>
        </w:rPr>
        <w:t>máxima</w:t>
      </w:r>
      <w:r w:rsidRPr="004044E8">
        <w:rPr>
          <w:rFonts w:ascii="Arial" w:hAnsi="Arial" w:cs="Arial"/>
        </w:rPr>
        <w:t xml:space="preserve"> autorida</w:t>
      </w:r>
      <w:r w:rsidR="00DA2CDF" w:rsidRPr="004044E8">
        <w:rPr>
          <w:rFonts w:ascii="Arial" w:hAnsi="Arial" w:cs="Arial"/>
        </w:rPr>
        <w:t>d</w:t>
      </w:r>
      <w:r w:rsidRPr="004044E8">
        <w:rPr>
          <w:rFonts w:ascii="Arial" w:hAnsi="Arial" w:cs="Arial"/>
        </w:rPr>
        <w:t xml:space="preserve"> de la entidad o su delegado, </w:t>
      </w:r>
      <w:r w:rsidR="00DA2CDF" w:rsidRPr="004044E8">
        <w:rPr>
          <w:rFonts w:ascii="Arial" w:hAnsi="Arial" w:cs="Arial"/>
        </w:rPr>
        <w:t>así</w:t>
      </w:r>
      <w:r w:rsidRPr="004044E8">
        <w:rPr>
          <w:rFonts w:ascii="Arial" w:hAnsi="Arial" w:cs="Arial"/>
        </w:rPr>
        <w:t xml:space="preserve"> como del </w:t>
      </w:r>
      <w:r w:rsidR="00BF1EAC" w:rsidRPr="004044E8">
        <w:rPr>
          <w:rFonts w:ascii="Arial" w:hAnsi="Arial" w:cs="Arial"/>
        </w:rPr>
        <w:t>EDG</w:t>
      </w:r>
      <w:r w:rsidRPr="004044E8">
        <w:rPr>
          <w:rFonts w:ascii="Arial" w:hAnsi="Arial" w:cs="Arial"/>
        </w:rPr>
        <w:t>-MEF.</w:t>
      </w:r>
    </w:p>
    <w:p w14:paraId="5DAA4353" w14:textId="77777777" w:rsidR="008F565F" w:rsidRPr="004044E8" w:rsidRDefault="008F565F" w:rsidP="00DE3867">
      <w:pPr>
        <w:pStyle w:val="numeradorom"/>
        <w:numPr>
          <w:ilvl w:val="0"/>
          <w:numId w:val="0"/>
        </w:numPr>
        <w:ind w:left="1191"/>
        <w:rPr>
          <w:rFonts w:ascii="Arial" w:hAnsi="Arial" w:cs="Arial"/>
        </w:rPr>
      </w:pPr>
    </w:p>
    <w:p w14:paraId="67E5C062" w14:textId="462EA527" w:rsidR="008F565F" w:rsidRPr="004044E8" w:rsidRDefault="008F565F" w:rsidP="00DE3867">
      <w:pPr>
        <w:pStyle w:val="numeradorom"/>
        <w:numPr>
          <w:ilvl w:val="0"/>
          <w:numId w:val="0"/>
        </w:numPr>
        <w:ind w:left="1191"/>
        <w:rPr>
          <w:rFonts w:ascii="Arial" w:hAnsi="Arial" w:cs="Arial"/>
        </w:rPr>
      </w:pPr>
      <w:r w:rsidRPr="004044E8">
        <w:rPr>
          <w:rFonts w:ascii="Arial" w:hAnsi="Arial" w:cs="Arial"/>
        </w:rPr>
        <w:t xml:space="preserve">Principales responsabilidades del </w:t>
      </w:r>
      <w:r w:rsidR="00BF1EAC" w:rsidRPr="004044E8">
        <w:rPr>
          <w:rFonts w:ascii="Arial" w:hAnsi="Arial" w:cs="Arial"/>
        </w:rPr>
        <w:t>EDG</w:t>
      </w:r>
      <w:r w:rsidRPr="004044E8">
        <w:rPr>
          <w:rFonts w:ascii="Arial" w:hAnsi="Arial" w:cs="Arial"/>
        </w:rPr>
        <w:t>-</w:t>
      </w:r>
      <w:r w:rsidRPr="004044E8">
        <w:rPr>
          <w:rFonts w:ascii="Arial" w:hAnsi="Arial" w:cs="Arial"/>
          <w:lang w:val="es-EC"/>
        </w:rPr>
        <w:t>MTOP</w:t>
      </w:r>
      <w:r w:rsidR="00A56329" w:rsidRPr="004044E8">
        <w:rPr>
          <w:rFonts w:ascii="Arial" w:hAnsi="Arial" w:cs="Arial"/>
          <w:lang w:val="es-EC"/>
        </w:rPr>
        <w:t>:</w:t>
      </w:r>
    </w:p>
    <w:p w14:paraId="74126BC1" w14:textId="77777777" w:rsidR="008F565F" w:rsidRPr="004044E8" w:rsidRDefault="008F565F" w:rsidP="00C02EF4">
      <w:pPr>
        <w:pStyle w:val="numeradorom"/>
        <w:numPr>
          <w:ilvl w:val="2"/>
          <w:numId w:val="35"/>
        </w:numPr>
        <w:rPr>
          <w:rFonts w:ascii="Arial" w:hAnsi="Arial" w:cs="Arial"/>
        </w:rPr>
      </w:pPr>
      <w:r w:rsidRPr="004044E8">
        <w:rPr>
          <w:rFonts w:ascii="Arial" w:hAnsi="Arial" w:cs="Arial"/>
        </w:rPr>
        <w:t>Asegurar el cumplimiento de las cláusulas establecidas en el contrato de Préstamo y el ROP.</w:t>
      </w:r>
    </w:p>
    <w:p w14:paraId="01BCCA7F" w14:textId="30F4E462" w:rsidR="008F565F" w:rsidRPr="004044E8" w:rsidRDefault="008F565F" w:rsidP="00C02EF4">
      <w:pPr>
        <w:pStyle w:val="numeradorom"/>
        <w:numPr>
          <w:ilvl w:val="2"/>
          <w:numId w:val="30"/>
        </w:numPr>
        <w:rPr>
          <w:rFonts w:ascii="Arial" w:hAnsi="Arial" w:cs="Arial"/>
        </w:rPr>
      </w:pPr>
      <w:r w:rsidRPr="004044E8">
        <w:rPr>
          <w:rFonts w:ascii="Arial" w:hAnsi="Arial" w:cs="Arial"/>
        </w:rPr>
        <w:t>Asegurar la ejecución de los componentes y actividades asignadas, conforme a las herramientas de gesti</w:t>
      </w:r>
      <w:r w:rsidR="007C0142" w:rsidRPr="004044E8">
        <w:rPr>
          <w:rFonts w:ascii="Arial" w:hAnsi="Arial" w:cs="Arial"/>
        </w:rPr>
        <w:t>ó</w:t>
      </w:r>
      <w:r w:rsidRPr="004044E8">
        <w:rPr>
          <w:rFonts w:ascii="Arial" w:hAnsi="Arial" w:cs="Arial"/>
        </w:rPr>
        <w:t>n aprobadas por el Banco.</w:t>
      </w:r>
    </w:p>
    <w:p w14:paraId="7A311AD1" w14:textId="5511884D" w:rsidR="008F565F" w:rsidRPr="004044E8" w:rsidRDefault="008F565F" w:rsidP="00C02EF4">
      <w:pPr>
        <w:pStyle w:val="numeradorom"/>
        <w:numPr>
          <w:ilvl w:val="2"/>
          <w:numId w:val="30"/>
        </w:numPr>
        <w:rPr>
          <w:rFonts w:ascii="Arial" w:hAnsi="Arial" w:cs="Arial"/>
        </w:rPr>
      </w:pPr>
      <w:r w:rsidRPr="004044E8">
        <w:rPr>
          <w:rFonts w:ascii="Arial" w:hAnsi="Arial" w:cs="Arial"/>
        </w:rPr>
        <w:t xml:space="preserve">Preparar, actualizar y entregar oportunamente al EDG-MEF, la información necesaria para facilitar la ejecución del Programa y dar cumplimiento de lo establecido en el Contrato de </w:t>
      </w:r>
      <w:r w:rsidR="00DA2CDF" w:rsidRPr="004044E8">
        <w:rPr>
          <w:rFonts w:ascii="Arial" w:hAnsi="Arial" w:cs="Arial"/>
        </w:rPr>
        <w:t>Préstamo</w:t>
      </w:r>
      <w:r w:rsidRPr="004044E8">
        <w:rPr>
          <w:rFonts w:ascii="Arial" w:hAnsi="Arial" w:cs="Arial"/>
        </w:rPr>
        <w:t xml:space="preserve"> y el ROP.</w:t>
      </w:r>
      <w:r w:rsidRPr="004044E8">
        <w:rPr>
          <w:rFonts w:ascii="Arial" w:hAnsi="Arial" w:cs="Arial"/>
        </w:rPr>
        <w:tab/>
      </w:r>
    </w:p>
    <w:p w14:paraId="2FB2D80E" w14:textId="6057E905" w:rsidR="008F565F" w:rsidRPr="004044E8" w:rsidRDefault="008F565F" w:rsidP="00C02EF4">
      <w:pPr>
        <w:pStyle w:val="numeradorom"/>
        <w:numPr>
          <w:ilvl w:val="2"/>
          <w:numId w:val="30"/>
        </w:numPr>
        <w:rPr>
          <w:rFonts w:ascii="Arial" w:hAnsi="Arial" w:cs="Arial"/>
        </w:rPr>
      </w:pPr>
      <w:r w:rsidRPr="004044E8">
        <w:rPr>
          <w:rFonts w:ascii="Arial" w:hAnsi="Arial" w:cs="Arial"/>
        </w:rPr>
        <w:t>Preparar y entregar al EDG-MEF, la informaci</w:t>
      </w:r>
      <w:r w:rsidR="007C0142" w:rsidRPr="004044E8">
        <w:rPr>
          <w:rFonts w:ascii="Arial" w:hAnsi="Arial" w:cs="Arial"/>
        </w:rPr>
        <w:t>ó</w:t>
      </w:r>
      <w:r w:rsidRPr="004044E8">
        <w:rPr>
          <w:rFonts w:ascii="Arial" w:hAnsi="Arial" w:cs="Arial"/>
        </w:rPr>
        <w:t xml:space="preserve">n necesaria para, la actualización de las herramientas de gestión y los </w:t>
      </w:r>
      <w:r w:rsidR="00DA2CDF" w:rsidRPr="004044E8">
        <w:rPr>
          <w:rFonts w:ascii="Arial" w:hAnsi="Arial" w:cs="Arial"/>
        </w:rPr>
        <w:t>informes</w:t>
      </w:r>
      <w:r w:rsidRPr="004044E8">
        <w:rPr>
          <w:rFonts w:ascii="Arial" w:hAnsi="Arial" w:cs="Arial"/>
        </w:rPr>
        <w:t xml:space="preserve"> que correspondan a su ejecución, dentro de los plazas y en los formatos establecidos para el efecto.</w:t>
      </w:r>
    </w:p>
    <w:p w14:paraId="5A799801" w14:textId="57F0A938" w:rsidR="008F565F" w:rsidRPr="004044E8" w:rsidRDefault="008F565F" w:rsidP="001C7188">
      <w:pPr>
        <w:pStyle w:val="Heading2"/>
        <w:rPr>
          <w:rFonts w:ascii="Arial" w:hAnsi="Arial" w:cs="Arial"/>
        </w:rPr>
      </w:pPr>
      <w:bookmarkStart w:id="88" w:name="_Toc10223127"/>
      <w:r w:rsidRPr="004044E8">
        <w:rPr>
          <w:rFonts w:ascii="Arial" w:hAnsi="Arial" w:cs="Arial"/>
        </w:rPr>
        <w:t>Funciones y Responsabilidades de E</w:t>
      </w:r>
      <w:r w:rsidRPr="004044E8">
        <w:rPr>
          <w:rFonts w:ascii="Arial" w:hAnsi="Arial" w:cs="Arial"/>
          <w:lang w:val="es-ES"/>
        </w:rPr>
        <w:t xml:space="preserve">MCO, y la entidad que lo sustituya posteriormente, y su </w:t>
      </w:r>
      <w:r w:rsidR="00BF1EAC" w:rsidRPr="004044E8">
        <w:rPr>
          <w:rFonts w:ascii="Arial" w:hAnsi="Arial" w:cs="Arial"/>
          <w:lang w:val="es-ES"/>
        </w:rPr>
        <w:t>EDG</w:t>
      </w:r>
      <w:r w:rsidRPr="004044E8">
        <w:rPr>
          <w:rFonts w:ascii="Arial" w:hAnsi="Arial" w:cs="Arial"/>
          <w:lang w:val="es-ES"/>
        </w:rPr>
        <w:t xml:space="preserve">-EMCO </w:t>
      </w:r>
      <w:r w:rsidRPr="004044E8">
        <w:rPr>
          <w:rFonts w:ascii="Arial" w:hAnsi="Arial" w:cs="Arial"/>
        </w:rPr>
        <w:t>como Subejecutor del Programa</w:t>
      </w:r>
      <w:bookmarkEnd w:id="88"/>
    </w:p>
    <w:p w14:paraId="05C93B5A" w14:textId="355C3D0C" w:rsidR="008F565F" w:rsidRPr="004044E8" w:rsidRDefault="008F565F" w:rsidP="00DE3867">
      <w:pPr>
        <w:pStyle w:val="numeradorom"/>
        <w:numPr>
          <w:ilvl w:val="0"/>
          <w:numId w:val="0"/>
        </w:numPr>
        <w:ind w:left="1191"/>
        <w:rPr>
          <w:rFonts w:ascii="Arial" w:hAnsi="Arial" w:cs="Arial"/>
        </w:rPr>
      </w:pPr>
      <w:r w:rsidRPr="004044E8">
        <w:rPr>
          <w:rFonts w:ascii="Arial" w:hAnsi="Arial" w:cs="Arial"/>
        </w:rPr>
        <w:t>Principales funciones del EMCO:</w:t>
      </w:r>
    </w:p>
    <w:p w14:paraId="13F6AF22" w14:textId="2DE302CB" w:rsidR="008F565F" w:rsidRPr="004044E8" w:rsidRDefault="008F565F" w:rsidP="00C02EF4">
      <w:pPr>
        <w:pStyle w:val="numeradorom"/>
        <w:numPr>
          <w:ilvl w:val="2"/>
          <w:numId w:val="33"/>
        </w:numPr>
        <w:rPr>
          <w:rFonts w:ascii="Arial" w:hAnsi="Arial" w:cs="Arial"/>
        </w:rPr>
      </w:pPr>
      <w:r w:rsidRPr="004044E8">
        <w:rPr>
          <w:rFonts w:ascii="Arial" w:hAnsi="Arial" w:cs="Arial"/>
        </w:rPr>
        <w:t xml:space="preserve">Dar cumplimiento de las cláusulas establecidas en el contrato de Préstamo y el ROP, en lo que atañe a su </w:t>
      </w:r>
      <w:r w:rsidR="00DA2CDF" w:rsidRPr="004044E8">
        <w:rPr>
          <w:rFonts w:ascii="Arial" w:hAnsi="Arial" w:cs="Arial"/>
        </w:rPr>
        <w:t>participación</w:t>
      </w:r>
      <w:r w:rsidRPr="004044E8">
        <w:rPr>
          <w:rFonts w:ascii="Arial" w:hAnsi="Arial" w:cs="Arial"/>
        </w:rPr>
        <w:t xml:space="preserve"> en el Programa.</w:t>
      </w:r>
    </w:p>
    <w:p w14:paraId="79A9711B" w14:textId="04401E4F" w:rsidR="008F565F" w:rsidRPr="004044E8" w:rsidRDefault="008F565F" w:rsidP="00C02EF4">
      <w:pPr>
        <w:pStyle w:val="numeradorom"/>
        <w:rPr>
          <w:rFonts w:ascii="Arial" w:hAnsi="Arial" w:cs="Arial"/>
        </w:rPr>
      </w:pPr>
      <w:r w:rsidRPr="004044E8">
        <w:rPr>
          <w:rFonts w:ascii="Arial" w:hAnsi="Arial" w:cs="Arial"/>
        </w:rPr>
        <w:t xml:space="preserve">Conformar un Equipo de </w:t>
      </w:r>
      <w:r w:rsidR="00DA2CDF" w:rsidRPr="004044E8">
        <w:rPr>
          <w:rFonts w:ascii="Arial" w:hAnsi="Arial" w:cs="Arial"/>
        </w:rPr>
        <w:t>Gestión</w:t>
      </w:r>
      <w:r w:rsidRPr="004044E8">
        <w:rPr>
          <w:rFonts w:ascii="Arial" w:hAnsi="Arial" w:cs="Arial"/>
        </w:rPr>
        <w:t xml:space="preserve"> (</w:t>
      </w:r>
      <w:r w:rsidR="00BF1EAC" w:rsidRPr="004044E8">
        <w:rPr>
          <w:rFonts w:ascii="Arial" w:hAnsi="Arial" w:cs="Arial"/>
        </w:rPr>
        <w:t>EDG</w:t>
      </w:r>
      <w:r w:rsidRPr="004044E8">
        <w:rPr>
          <w:rFonts w:ascii="Arial" w:hAnsi="Arial" w:cs="Arial"/>
        </w:rPr>
        <w:t xml:space="preserve">-EMCO) para asegurar la </w:t>
      </w:r>
      <w:r w:rsidR="00DA2CDF" w:rsidRPr="004044E8">
        <w:rPr>
          <w:rFonts w:ascii="Arial" w:hAnsi="Arial" w:cs="Arial"/>
        </w:rPr>
        <w:t>ejecución</w:t>
      </w:r>
      <w:r w:rsidRPr="004044E8">
        <w:rPr>
          <w:rFonts w:ascii="Arial" w:hAnsi="Arial" w:cs="Arial"/>
        </w:rPr>
        <w:t xml:space="preserve"> del Programa, establecer quienes </w:t>
      </w:r>
      <w:r w:rsidR="00DA2CDF" w:rsidRPr="004044E8">
        <w:rPr>
          <w:rFonts w:ascii="Arial" w:hAnsi="Arial" w:cs="Arial"/>
        </w:rPr>
        <w:t>servirán</w:t>
      </w:r>
      <w:r w:rsidRPr="004044E8">
        <w:rPr>
          <w:rFonts w:ascii="Arial" w:hAnsi="Arial" w:cs="Arial"/>
        </w:rPr>
        <w:t xml:space="preserve"> de punto focal con el </w:t>
      </w:r>
      <w:r w:rsidR="00BF1EAC" w:rsidRPr="004044E8">
        <w:rPr>
          <w:rFonts w:ascii="Arial" w:hAnsi="Arial" w:cs="Arial"/>
        </w:rPr>
        <w:t>EDG</w:t>
      </w:r>
      <w:r w:rsidRPr="004044E8">
        <w:rPr>
          <w:rFonts w:ascii="Arial" w:hAnsi="Arial" w:cs="Arial"/>
        </w:rPr>
        <w:t xml:space="preserve">-MEF, e </w:t>
      </w:r>
      <w:r w:rsidR="00DA2CDF" w:rsidRPr="004044E8">
        <w:rPr>
          <w:rFonts w:ascii="Arial" w:hAnsi="Arial" w:cs="Arial"/>
        </w:rPr>
        <w:t>informar</w:t>
      </w:r>
      <w:r w:rsidRPr="004044E8">
        <w:rPr>
          <w:rFonts w:ascii="Arial" w:hAnsi="Arial" w:cs="Arial"/>
        </w:rPr>
        <w:t xml:space="preserve"> al Banco de su </w:t>
      </w:r>
      <w:r w:rsidR="00DA2CDF" w:rsidRPr="004044E8">
        <w:rPr>
          <w:rFonts w:ascii="Arial" w:hAnsi="Arial" w:cs="Arial"/>
        </w:rPr>
        <w:t>composición</w:t>
      </w:r>
      <w:r w:rsidRPr="004044E8">
        <w:rPr>
          <w:rFonts w:ascii="Arial" w:hAnsi="Arial" w:cs="Arial"/>
        </w:rPr>
        <w:t>.</w:t>
      </w:r>
    </w:p>
    <w:p w14:paraId="74651D21" w14:textId="0AD3068E" w:rsidR="008F565F" w:rsidRPr="004044E8" w:rsidRDefault="008F565F" w:rsidP="00C02EF4">
      <w:pPr>
        <w:pStyle w:val="numeradorom"/>
        <w:rPr>
          <w:rFonts w:ascii="Arial" w:hAnsi="Arial" w:cs="Arial"/>
        </w:rPr>
      </w:pPr>
      <w:r w:rsidRPr="004044E8">
        <w:rPr>
          <w:rFonts w:ascii="Arial" w:hAnsi="Arial" w:cs="Arial"/>
        </w:rPr>
        <w:t xml:space="preserve">Licitar, contratar y gestionar </w:t>
      </w:r>
      <w:r w:rsidR="00DA2CDF" w:rsidRPr="004044E8">
        <w:rPr>
          <w:rFonts w:ascii="Arial" w:hAnsi="Arial" w:cs="Arial"/>
        </w:rPr>
        <w:t>técnica</w:t>
      </w:r>
      <w:r w:rsidRPr="004044E8">
        <w:rPr>
          <w:rFonts w:ascii="Arial" w:hAnsi="Arial" w:cs="Arial"/>
        </w:rPr>
        <w:t xml:space="preserve"> y fiduciariamente los servicios diferentes a </w:t>
      </w:r>
      <w:r w:rsidR="00DA2CDF" w:rsidRPr="004044E8">
        <w:rPr>
          <w:rFonts w:ascii="Arial" w:hAnsi="Arial" w:cs="Arial"/>
        </w:rPr>
        <w:t>consultoría</w:t>
      </w:r>
      <w:r w:rsidRPr="004044E8">
        <w:rPr>
          <w:rFonts w:ascii="Arial" w:hAnsi="Arial" w:cs="Arial"/>
        </w:rPr>
        <w:t xml:space="preserve"> y servicios de </w:t>
      </w:r>
      <w:r w:rsidR="00DA2CDF" w:rsidRPr="004044E8">
        <w:rPr>
          <w:rFonts w:ascii="Arial" w:hAnsi="Arial" w:cs="Arial"/>
        </w:rPr>
        <w:t>consultoría</w:t>
      </w:r>
      <w:r w:rsidRPr="004044E8">
        <w:rPr>
          <w:rFonts w:ascii="Arial" w:hAnsi="Arial" w:cs="Arial"/>
        </w:rPr>
        <w:t xml:space="preserve"> de las actividades del componente 2 a su cargo y la actividad del  producto 1.3 del Componente 1.</w:t>
      </w:r>
    </w:p>
    <w:p w14:paraId="661B72CC" w14:textId="77777777" w:rsidR="008F565F" w:rsidRPr="004044E8" w:rsidRDefault="008F565F" w:rsidP="00C02EF4">
      <w:pPr>
        <w:pStyle w:val="numeradorom"/>
        <w:rPr>
          <w:rFonts w:ascii="Arial" w:hAnsi="Arial" w:cs="Arial"/>
        </w:rPr>
      </w:pPr>
      <w:r w:rsidRPr="004044E8">
        <w:rPr>
          <w:rFonts w:ascii="Arial" w:hAnsi="Arial" w:cs="Arial"/>
        </w:rPr>
        <w:lastRenderedPageBreak/>
        <w:t xml:space="preserve">Planificar, monitorear, gerenciar y reportar </w:t>
      </w:r>
      <w:proofErr w:type="spellStart"/>
      <w:r w:rsidRPr="004044E8">
        <w:rPr>
          <w:rFonts w:ascii="Arial" w:hAnsi="Arial" w:cs="Arial"/>
        </w:rPr>
        <w:t>sabre</w:t>
      </w:r>
      <w:proofErr w:type="spellEnd"/>
      <w:r w:rsidRPr="004044E8">
        <w:rPr>
          <w:rFonts w:ascii="Arial" w:hAnsi="Arial" w:cs="Arial"/>
        </w:rPr>
        <w:t xml:space="preserve"> el uso de los recurses financieros a su cargo.</w:t>
      </w:r>
    </w:p>
    <w:p w14:paraId="460FE708" w14:textId="77777777" w:rsidR="008F565F" w:rsidRPr="004044E8" w:rsidRDefault="008F565F" w:rsidP="00C02EF4">
      <w:pPr>
        <w:pStyle w:val="numeradorom"/>
        <w:rPr>
          <w:rFonts w:ascii="Arial" w:hAnsi="Arial" w:cs="Arial"/>
        </w:rPr>
      </w:pPr>
      <w:r w:rsidRPr="004044E8">
        <w:rPr>
          <w:rFonts w:ascii="Arial" w:hAnsi="Arial" w:cs="Arial"/>
        </w:rPr>
        <w:t xml:space="preserve">Establecer una adecuada estructura programática con cada uno de sus Proyectos de Inversión Priorizados, </w:t>
      </w:r>
      <w:proofErr w:type="spellStart"/>
      <w:r w:rsidRPr="004044E8">
        <w:rPr>
          <w:rFonts w:ascii="Arial" w:hAnsi="Arial" w:cs="Arial"/>
        </w:rPr>
        <w:t>sabre</w:t>
      </w:r>
      <w:proofErr w:type="spellEnd"/>
      <w:r w:rsidRPr="004044E8">
        <w:rPr>
          <w:rFonts w:ascii="Arial" w:hAnsi="Arial" w:cs="Arial"/>
        </w:rPr>
        <w:t xml:space="preserve"> la base del POA del Programa.</w:t>
      </w:r>
    </w:p>
    <w:p w14:paraId="6B1EFF76" w14:textId="49E91867" w:rsidR="008F565F" w:rsidRPr="004044E8" w:rsidRDefault="008F565F" w:rsidP="00C02EF4">
      <w:pPr>
        <w:pStyle w:val="numeradorom"/>
        <w:rPr>
          <w:rFonts w:ascii="Arial" w:hAnsi="Arial" w:cs="Arial"/>
        </w:rPr>
      </w:pPr>
      <w:r w:rsidRPr="004044E8">
        <w:rPr>
          <w:rFonts w:ascii="Arial" w:hAnsi="Arial" w:cs="Arial"/>
        </w:rPr>
        <w:t xml:space="preserve">Asegurar el espacio presupuestario de todos los Proyectos de </w:t>
      </w:r>
      <w:r w:rsidR="00DA2CDF" w:rsidRPr="004044E8">
        <w:rPr>
          <w:rFonts w:ascii="Arial" w:hAnsi="Arial" w:cs="Arial"/>
        </w:rPr>
        <w:t>Inversión</w:t>
      </w:r>
      <w:r w:rsidRPr="004044E8">
        <w:rPr>
          <w:rFonts w:ascii="Arial" w:hAnsi="Arial" w:cs="Arial"/>
        </w:rPr>
        <w:t xml:space="preserve"> Priorizados de responsabilidad del EMCO y coordinar con el MEF y el MDT lo respectivo a las asignaciones en el componente 2 del Programa.</w:t>
      </w:r>
    </w:p>
    <w:p w14:paraId="1F3B3EBE" w14:textId="2E08F17C" w:rsidR="008F565F" w:rsidRPr="004044E8" w:rsidRDefault="008F565F" w:rsidP="00A56329">
      <w:pPr>
        <w:pStyle w:val="numeradorom"/>
        <w:rPr>
          <w:rFonts w:ascii="Arial" w:hAnsi="Arial" w:cs="Arial"/>
        </w:rPr>
      </w:pPr>
      <w:r w:rsidRPr="004044E8">
        <w:rPr>
          <w:rFonts w:ascii="Arial" w:hAnsi="Arial" w:cs="Arial"/>
        </w:rPr>
        <w:t xml:space="preserve">Facilitar los mecanismos necesarios para agilizar y garantizar la </w:t>
      </w:r>
      <w:r w:rsidR="00DA2CDF" w:rsidRPr="004044E8">
        <w:rPr>
          <w:rFonts w:ascii="Arial" w:hAnsi="Arial" w:cs="Arial"/>
        </w:rPr>
        <w:t>ejecución</w:t>
      </w:r>
      <w:r w:rsidRPr="004044E8">
        <w:rPr>
          <w:rFonts w:ascii="Arial" w:hAnsi="Arial" w:cs="Arial"/>
        </w:rPr>
        <w:t xml:space="preserve"> oportuna de los productos del Programa.</w:t>
      </w:r>
    </w:p>
    <w:p w14:paraId="3EE2AFA7" w14:textId="1D8C9DCE" w:rsidR="008F565F" w:rsidRPr="004044E8" w:rsidRDefault="008F565F" w:rsidP="00DE3867">
      <w:pPr>
        <w:pStyle w:val="numeradorom"/>
        <w:rPr>
          <w:rFonts w:ascii="Arial" w:hAnsi="Arial" w:cs="Arial"/>
        </w:rPr>
      </w:pPr>
      <w:r w:rsidRPr="004044E8">
        <w:rPr>
          <w:rFonts w:ascii="Arial" w:hAnsi="Arial" w:cs="Arial"/>
        </w:rPr>
        <w:t xml:space="preserve">Entregar oportunamente al MEF toda la información necesaria para el cumplimiento y monitoreo del Programa, en función de los requerimientos de información, formatos, mecanismos y periodos de rendición de cuentas establecidos por el </w:t>
      </w:r>
      <w:r w:rsidR="00755BF5" w:rsidRPr="004044E8">
        <w:rPr>
          <w:rFonts w:ascii="Arial" w:hAnsi="Arial" w:cs="Arial"/>
        </w:rPr>
        <w:t>EDG-MEF</w:t>
      </w:r>
      <w:r w:rsidRPr="004044E8">
        <w:rPr>
          <w:rFonts w:ascii="Arial" w:hAnsi="Arial" w:cs="Arial"/>
        </w:rPr>
        <w:t xml:space="preserve">. </w:t>
      </w:r>
    </w:p>
    <w:p w14:paraId="19796F17" w14:textId="77777777" w:rsidR="008F565F" w:rsidRPr="004044E8" w:rsidRDefault="008F565F" w:rsidP="00DE3867">
      <w:pPr>
        <w:pStyle w:val="numeradorom"/>
        <w:rPr>
          <w:rFonts w:ascii="Arial" w:hAnsi="Arial" w:cs="Arial"/>
        </w:rPr>
      </w:pPr>
      <w:r w:rsidRPr="004044E8">
        <w:rPr>
          <w:rFonts w:ascii="Arial" w:hAnsi="Arial" w:cs="Arial"/>
        </w:rPr>
        <w:t>Implementar las recomendaciones de las consultorías contratadas de apoyo al Programa, incluyendo las de evaluación intermedia y final, y de las auditorias;</w:t>
      </w:r>
    </w:p>
    <w:p w14:paraId="62A77B87" w14:textId="77777777" w:rsidR="008F565F" w:rsidRPr="004044E8" w:rsidRDefault="008F565F" w:rsidP="00DE3867">
      <w:pPr>
        <w:pStyle w:val="numeradorom"/>
        <w:rPr>
          <w:rFonts w:ascii="Arial" w:hAnsi="Arial" w:cs="Arial"/>
        </w:rPr>
      </w:pPr>
      <w:r w:rsidRPr="004044E8">
        <w:rPr>
          <w:rFonts w:ascii="Arial" w:hAnsi="Arial" w:cs="Arial"/>
        </w:rPr>
        <w:t>Conservar los documentos y registros físicos y digitales del Proyecto por un período mínimo de tres (3) años después del vencimiento del Plazo Original de Desembolsos o cualquiera de sus extensiones. Estos documentos y registros deberán ser adecuados para: (i) respaldar las actividades, decisiones y transacciones relativas al Proyecto, incluidos todos los gastos incurridos; y (</w:t>
      </w:r>
      <w:proofErr w:type="spellStart"/>
      <w:r w:rsidRPr="004044E8">
        <w:rPr>
          <w:rFonts w:ascii="Arial" w:hAnsi="Arial" w:cs="Arial"/>
        </w:rPr>
        <w:t>ii</w:t>
      </w:r>
      <w:proofErr w:type="spellEnd"/>
      <w:r w:rsidRPr="004044E8">
        <w:rPr>
          <w:rFonts w:ascii="Arial" w:hAnsi="Arial" w:cs="Arial"/>
        </w:rPr>
        <w:t>) evidenciar la correlación de gastos incurridos con cargo al Préstamo con el respectivo desembolso efectuado por el Banco.</w:t>
      </w:r>
    </w:p>
    <w:p w14:paraId="4E3AD065" w14:textId="77777777" w:rsidR="008F565F" w:rsidRPr="004044E8" w:rsidRDefault="008F565F" w:rsidP="00DE3867">
      <w:pPr>
        <w:pStyle w:val="numeradorom"/>
        <w:rPr>
          <w:rFonts w:ascii="Arial" w:hAnsi="Arial" w:cs="Arial"/>
        </w:rPr>
      </w:pPr>
      <w:r w:rsidRPr="004044E8">
        <w:rPr>
          <w:rFonts w:ascii="Arial" w:hAnsi="Arial" w:cs="Arial"/>
        </w:rPr>
        <w:t>Cumplir toda otra tarea que le corresponda de acuerdo con lo dispuesto en el Contrato de Préstamo y el presente ROP.</w:t>
      </w:r>
    </w:p>
    <w:p w14:paraId="4159912D" w14:textId="77777777" w:rsidR="008F565F" w:rsidRPr="004044E8" w:rsidRDefault="008F565F" w:rsidP="00C02EF4">
      <w:pPr>
        <w:pStyle w:val="numeradorom"/>
        <w:numPr>
          <w:ilvl w:val="0"/>
          <w:numId w:val="0"/>
        </w:numPr>
        <w:ind w:left="737"/>
        <w:rPr>
          <w:rFonts w:ascii="Arial" w:hAnsi="Arial" w:cs="Arial"/>
        </w:rPr>
      </w:pPr>
    </w:p>
    <w:p w14:paraId="24234710" w14:textId="2BDF0801" w:rsidR="008F565F" w:rsidRPr="004044E8" w:rsidRDefault="008F565F" w:rsidP="00C02EF4">
      <w:pPr>
        <w:pStyle w:val="numeradorom"/>
        <w:numPr>
          <w:ilvl w:val="0"/>
          <w:numId w:val="0"/>
        </w:numPr>
        <w:ind w:left="737"/>
        <w:rPr>
          <w:rFonts w:ascii="Arial" w:hAnsi="Arial" w:cs="Arial"/>
        </w:rPr>
      </w:pPr>
      <w:r w:rsidRPr="004044E8">
        <w:rPr>
          <w:rFonts w:ascii="Arial" w:hAnsi="Arial" w:cs="Arial"/>
        </w:rPr>
        <w:t xml:space="preserve">El </w:t>
      </w:r>
      <w:r w:rsidR="00BF1EAC" w:rsidRPr="004044E8">
        <w:rPr>
          <w:rFonts w:ascii="Arial" w:hAnsi="Arial" w:cs="Arial"/>
        </w:rPr>
        <w:t>EDG</w:t>
      </w:r>
      <w:r w:rsidRPr="004044E8">
        <w:rPr>
          <w:rFonts w:ascii="Arial" w:hAnsi="Arial" w:cs="Arial"/>
        </w:rPr>
        <w:t>-EMCO</w:t>
      </w:r>
      <w:r w:rsidR="00A56329" w:rsidRPr="004044E8">
        <w:rPr>
          <w:rFonts w:ascii="Arial" w:hAnsi="Arial" w:cs="Arial"/>
        </w:rPr>
        <w:t>:</w:t>
      </w:r>
    </w:p>
    <w:p w14:paraId="7869F0E0" w14:textId="711D7303" w:rsidR="008F565F" w:rsidRPr="004044E8" w:rsidRDefault="008F565F" w:rsidP="00C02EF4">
      <w:pPr>
        <w:pStyle w:val="numeradorom"/>
        <w:numPr>
          <w:ilvl w:val="2"/>
          <w:numId w:val="34"/>
        </w:numPr>
        <w:rPr>
          <w:rFonts w:ascii="Arial" w:hAnsi="Arial" w:cs="Arial"/>
        </w:rPr>
      </w:pPr>
      <w:r w:rsidRPr="004044E8">
        <w:rPr>
          <w:rFonts w:ascii="Arial" w:hAnsi="Arial" w:cs="Arial"/>
        </w:rPr>
        <w:t xml:space="preserve">El </w:t>
      </w:r>
      <w:r w:rsidR="00BF1EAC" w:rsidRPr="004044E8">
        <w:rPr>
          <w:rFonts w:ascii="Arial" w:hAnsi="Arial" w:cs="Arial"/>
        </w:rPr>
        <w:t>EDG</w:t>
      </w:r>
      <w:r w:rsidRPr="004044E8">
        <w:rPr>
          <w:rFonts w:ascii="Arial" w:hAnsi="Arial" w:cs="Arial"/>
        </w:rPr>
        <w:t xml:space="preserve"> se encuentra ubicado en la </w:t>
      </w:r>
      <w:proofErr w:type="spellStart"/>
      <w:r w:rsidRPr="004044E8">
        <w:rPr>
          <w:rFonts w:ascii="Arial" w:hAnsi="Arial" w:cs="Arial"/>
        </w:rPr>
        <w:t>xx</w:t>
      </w:r>
      <w:proofErr w:type="spellEnd"/>
      <w:r w:rsidRPr="009F019B">
        <w:rPr>
          <w:rFonts w:ascii="Arial" w:hAnsi="Arial" w:cs="Arial"/>
        </w:rPr>
        <w:t xml:space="preserve"> de la Coordinaci</w:t>
      </w:r>
      <w:r w:rsidR="007C0142" w:rsidRPr="009F019B">
        <w:rPr>
          <w:rFonts w:ascii="Arial" w:hAnsi="Arial" w:cs="Arial"/>
        </w:rPr>
        <w:t>ó</w:t>
      </w:r>
      <w:r w:rsidRPr="004044E8">
        <w:rPr>
          <w:rFonts w:ascii="Arial" w:hAnsi="Arial" w:cs="Arial"/>
        </w:rPr>
        <w:t xml:space="preserve">n General de Planificación del EMCO; el cual </w:t>
      </w:r>
      <w:r w:rsidR="00AB265D" w:rsidRPr="004044E8">
        <w:rPr>
          <w:rFonts w:ascii="Arial" w:hAnsi="Arial" w:cs="Arial"/>
        </w:rPr>
        <w:t>estará</w:t>
      </w:r>
      <w:r w:rsidRPr="004044E8">
        <w:rPr>
          <w:rFonts w:ascii="Arial" w:hAnsi="Arial" w:cs="Arial"/>
        </w:rPr>
        <w:t xml:space="preserve"> apoyado por un especialista o responsable financiero; un especialista o responsable de adquisiciones; y, un responsable del monitoreo y seguimiento, para dar cumplimiento a lo </w:t>
      </w:r>
      <w:r w:rsidR="00AB265D" w:rsidRPr="004044E8">
        <w:rPr>
          <w:rFonts w:ascii="Arial" w:hAnsi="Arial" w:cs="Arial"/>
        </w:rPr>
        <w:t>estableció</w:t>
      </w:r>
      <w:r w:rsidRPr="004044E8">
        <w:rPr>
          <w:rFonts w:ascii="Arial" w:hAnsi="Arial" w:cs="Arial"/>
        </w:rPr>
        <w:t xml:space="preserve"> en el contrato de </w:t>
      </w:r>
      <w:r w:rsidR="00AB265D" w:rsidRPr="004044E8">
        <w:rPr>
          <w:rFonts w:ascii="Arial" w:hAnsi="Arial" w:cs="Arial"/>
        </w:rPr>
        <w:t>Préstamo</w:t>
      </w:r>
      <w:r w:rsidRPr="004044E8">
        <w:rPr>
          <w:rFonts w:ascii="Arial" w:hAnsi="Arial" w:cs="Arial"/>
        </w:rPr>
        <w:t>.</w:t>
      </w:r>
    </w:p>
    <w:p w14:paraId="134AA6D5" w14:textId="55816B97" w:rsidR="008F565F" w:rsidRPr="004044E8" w:rsidRDefault="008F565F" w:rsidP="00C02EF4">
      <w:pPr>
        <w:pStyle w:val="numeradorom"/>
        <w:numPr>
          <w:ilvl w:val="2"/>
          <w:numId w:val="30"/>
        </w:numPr>
        <w:rPr>
          <w:rFonts w:ascii="Arial" w:hAnsi="Arial" w:cs="Arial"/>
        </w:rPr>
      </w:pPr>
      <w:r w:rsidRPr="004044E8">
        <w:rPr>
          <w:rFonts w:ascii="Arial" w:hAnsi="Arial" w:cs="Arial"/>
        </w:rPr>
        <w:t>El coor</w:t>
      </w:r>
      <w:r w:rsidR="00AB265D" w:rsidRPr="004044E8">
        <w:rPr>
          <w:rFonts w:ascii="Arial" w:hAnsi="Arial" w:cs="Arial"/>
        </w:rPr>
        <w:t>d</w:t>
      </w:r>
      <w:r w:rsidRPr="004044E8">
        <w:rPr>
          <w:rFonts w:ascii="Arial" w:hAnsi="Arial" w:cs="Arial"/>
        </w:rPr>
        <w:t xml:space="preserve">inador del </w:t>
      </w:r>
      <w:r w:rsidR="00BF1EAC" w:rsidRPr="004044E8">
        <w:rPr>
          <w:rFonts w:ascii="Arial" w:hAnsi="Arial" w:cs="Arial"/>
        </w:rPr>
        <w:t>EDG</w:t>
      </w:r>
      <w:r w:rsidRPr="004044E8">
        <w:rPr>
          <w:rFonts w:ascii="Arial" w:hAnsi="Arial" w:cs="Arial"/>
        </w:rPr>
        <w:t xml:space="preserve"> </w:t>
      </w:r>
      <w:r w:rsidR="00AB265D" w:rsidRPr="004044E8">
        <w:rPr>
          <w:rFonts w:ascii="Arial" w:hAnsi="Arial" w:cs="Arial"/>
        </w:rPr>
        <w:t>también</w:t>
      </w:r>
      <w:r w:rsidRPr="004044E8">
        <w:rPr>
          <w:rFonts w:ascii="Arial" w:hAnsi="Arial" w:cs="Arial"/>
        </w:rPr>
        <w:t xml:space="preserve"> </w:t>
      </w:r>
      <w:r w:rsidR="00AB265D" w:rsidRPr="004044E8">
        <w:rPr>
          <w:rFonts w:ascii="Arial" w:hAnsi="Arial" w:cs="Arial"/>
        </w:rPr>
        <w:t>será</w:t>
      </w:r>
      <w:r w:rsidRPr="004044E8">
        <w:rPr>
          <w:rFonts w:ascii="Arial" w:hAnsi="Arial" w:cs="Arial"/>
        </w:rPr>
        <w:t xml:space="preserve"> el responsable del monitoreo y seguimiento y </w:t>
      </w:r>
      <w:r w:rsidR="00AB265D" w:rsidRPr="004044E8">
        <w:rPr>
          <w:rFonts w:ascii="Arial" w:hAnsi="Arial" w:cs="Arial"/>
        </w:rPr>
        <w:t>asumirá</w:t>
      </w:r>
      <w:r w:rsidRPr="004044E8">
        <w:rPr>
          <w:rFonts w:ascii="Arial" w:hAnsi="Arial" w:cs="Arial"/>
        </w:rPr>
        <w:t xml:space="preserve"> dichas funciones en coor</w:t>
      </w:r>
      <w:r w:rsidR="00AB265D" w:rsidRPr="004044E8">
        <w:rPr>
          <w:rFonts w:ascii="Arial" w:hAnsi="Arial" w:cs="Arial"/>
        </w:rPr>
        <w:t>d</w:t>
      </w:r>
      <w:r w:rsidRPr="004044E8">
        <w:rPr>
          <w:rFonts w:ascii="Arial" w:hAnsi="Arial" w:cs="Arial"/>
        </w:rPr>
        <w:t>inación con la Dirección Nacional de Seguimiento y Evaluación.</w:t>
      </w:r>
    </w:p>
    <w:p w14:paraId="31EEEAC2" w14:textId="28C73B75" w:rsidR="008F565F" w:rsidRPr="004044E8" w:rsidRDefault="008F565F" w:rsidP="00C02EF4">
      <w:pPr>
        <w:pStyle w:val="numeradorom"/>
        <w:numPr>
          <w:ilvl w:val="2"/>
          <w:numId w:val="30"/>
        </w:numPr>
        <w:rPr>
          <w:rFonts w:ascii="Arial" w:hAnsi="Arial" w:cs="Arial"/>
        </w:rPr>
      </w:pPr>
      <w:r w:rsidRPr="004044E8">
        <w:rPr>
          <w:rFonts w:ascii="Arial" w:hAnsi="Arial" w:cs="Arial"/>
        </w:rPr>
        <w:t xml:space="preserve">El </w:t>
      </w:r>
      <w:r w:rsidR="00BF1EAC" w:rsidRPr="004044E8">
        <w:rPr>
          <w:rFonts w:ascii="Arial" w:hAnsi="Arial" w:cs="Arial"/>
        </w:rPr>
        <w:t>EDG</w:t>
      </w:r>
      <w:r w:rsidRPr="004044E8">
        <w:rPr>
          <w:rFonts w:ascii="Arial" w:hAnsi="Arial" w:cs="Arial"/>
        </w:rPr>
        <w:t xml:space="preserve"> se encontrará conformado por equipo inte</w:t>
      </w:r>
      <w:r w:rsidR="00AB265D" w:rsidRPr="004044E8">
        <w:rPr>
          <w:rFonts w:ascii="Arial" w:hAnsi="Arial" w:cs="Arial"/>
        </w:rPr>
        <w:t>rn</w:t>
      </w:r>
      <w:r w:rsidRPr="004044E8">
        <w:rPr>
          <w:rFonts w:ascii="Arial" w:hAnsi="Arial" w:cs="Arial"/>
        </w:rPr>
        <w:t xml:space="preserve">o del EMCO y su gestión respecto al programa, </w:t>
      </w:r>
      <w:r w:rsidR="00AB265D" w:rsidRPr="004044E8">
        <w:rPr>
          <w:rFonts w:ascii="Arial" w:hAnsi="Arial" w:cs="Arial"/>
        </w:rPr>
        <w:t>será</w:t>
      </w:r>
      <w:r w:rsidRPr="004044E8">
        <w:rPr>
          <w:rFonts w:ascii="Arial" w:hAnsi="Arial" w:cs="Arial"/>
        </w:rPr>
        <w:t xml:space="preserve"> supervisada por el </w:t>
      </w:r>
      <w:r w:rsidR="00BF1EAC" w:rsidRPr="004044E8">
        <w:rPr>
          <w:rFonts w:ascii="Arial" w:hAnsi="Arial" w:cs="Arial"/>
        </w:rPr>
        <w:t>EDG</w:t>
      </w:r>
      <w:r w:rsidRPr="004044E8">
        <w:rPr>
          <w:rFonts w:ascii="Arial" w:hAnsi="Arial" w:cs="Arial"/>
        </w:rPr>
        <w:t>-MEF.</w:t>
      </w:r>
    </w:p>
    <w:p w14:paraId="35B0E2DA" w14:textId="4513CF08" w:rsidR="008F565F" w:rsidRPr="004044E8" w:rsidRDefault="008F565F" w:rsidP="00C02EF4">
      <w:pPr>
        <w:pStyle w:val="numeradorom"/>
        <w:numPr>
          <w:ilvl w:val="2"/>
          <w:numId w:val="30"/>
        </w:numPr>
        <w:rPr>
          <w:rFonts w:ascii="Arial" w:hAnsi="Arial" w:cs="Arial"/>
        </w:rPr>
      </w:pPr>
      <w:r w:rsidRPr="004044E8">
        <w:rPr>
          <w:rFonts w:ascii="Arial" w:hAnsi="Arial" w:cs="Arial"/>
        </w:rPr>
        <w:t xml:space="preserve">El </w:t>
      </w:r>
      <w:r w:rsidR="00BF1EAC" w:rsidRPr="004044E8">
        <w:rPr>
          <w:rFonts w:ascii="Arial" w:hAnsi="Arial" w:cs="Arial"/>
        </w:rPr>
        <w:t>EDG</w:t>
      </w:r>
      <w:r w:rsidRPr="004044E8">
        <w:rPr>
          <w:rFonts w:ascii="Arial" w:hAnsi="Arial" w:cs="Arial"/>
        </w:rPr>
        <w:t xml:space="preserve"> apoyar</w:t>
      </w:r>
      <w:r w:rsidR="00A56329" w:rsidRPr="004044E8">
        <w:rPr>
          <w:rFonts w:ascii="Arial" w:hAnsi="Arial" w:cs="Arial"/>
        </w:rPr>
        <w:t>á</w:t>
      </w:r>
      <w:r w:rsidRPr="004044E8">
        <w:rPr>
          <w:rFonts w:ascii="Arial" w:hAnsi="Arial" w:cs="Arial"/>
        </w:rPr>
        <w:t xml:space="preserve"> en la ejecución de las actividades de los Programas financiados con Prestamos del BID en el MERNNR. Las asignaciones </w:t>
      </w:r>
      <w:r w:rsidR="00AB265D" w:rsidRPr="004044E8">
        <w:rPr>
          <w:rFonts w:ascii="Arial" w:hAnsi="Arial" w:cs="Arial"/>
        </w:rPr>
        <w:t>serán</w:t>
      </w:r>
      <w:r w:rsidRPr="004044E8">
        <w:rPr>
          <w:rFonts w:ascii="Arial" w:hAnsi="Arial" w:cs="Arial"/>
        </w:rPr>
        <w:t xml:space="preserve"> efectuadas por la </w:t>
      </w:r>
      <w:r w:rsidR="00AB265D" w:rsidRPr="004044E8">
        <w:rPr>
          <w:rFonts w:ascii="Arial" w:hAnsi="Arial" w:cs="Arial"/>
        </w:rPr>
        <w:t>Máxima</w:t>
      </w:r>
      <w:r w:rsidRPr="004044E8">
        <w:rPr>
          <w:rFonts w:ascii="Arial" w:hAnsi="Arial" w:cs="Arial"/>
        </w:rPr>
        <w:t xml:space="preserve"> autori</w:t>
      </w:r>
      <w:r w:rsidR="00AB265D" w:rsidRPr="004044E8">
        <w:rPr>
          <w:rFonts w:ascii="Arial" w:hAnsi="Arial" w:cs="Arial"/>
        </w:rPr>
        <w:t>d</w:t>
      </w:r>
      <w:r w:rsidRPr="004044E8">
        <w:rPr>
          <w:rFonts w:ascii="Arial" w:hAnsi="Arial" w:cs="Arial"/>
        </w:rPr>
        <w:t xml:space="preserve">ad o su delegado, incluyendo expresamente las funciones que </w:t>
      </w:r>
      <w:r w:rsidR="00AB265D" w:rsidRPr="004044E8">
        <w:rPr>
          <w:rFonts w:ascii="Arial" w:hAnsi="Arial" w:cs="Arial"/>
        </w:rPr>
        <w:t>deberán</w:t>
      </w:r>
      <w:r w:rsidRPr="004044E8">
        <w:rPr>
          <w:rFonts w:ascii="Arial" w:hAnsi="Arial" w:cs="Arial"/>
        </w:rPr>
        <w:t xml:space="preserve"> cumplir y que </w:t>
      </w:r>
      <w:r w:rsidR="00AB265D" w:rsidRPr="004044E8">
        <w:rPr>
          <w:rFonts w:ascii="Arial" w:hAnsi="Arial" w:cs="Arial"/>
        </w:rPr>
        <w:t>están</w:t>
      </w:r>
      <w:r w:rsidRPr="004044E8">
        <w:rPr>
          <w:rFonts w:ascii="Arial" w:hAnsi="Arial" w:cs="Arial"/>
        </w:rPr>
        <w:t xml:space="preserve"> establecidas en el ROP.</w:t>
      </w:r>
    </w:p>
    <w:p w14:paraId="5DFB9EE2" w14:textId="0B9780B4" w:rsidR="008F565F" w:rsidRPr="004044E8" w:rsidRDefault="008F565F" w:rsidP="00A56329">
      <w:pPr>
        <w:pStyle w:val="numeradorom"/>
        <w:numPr>
          <w:ilvl w:val="2"/>
          <w:numId w:val="30"/>
        </w:numPr>
        <w:rPr>
          <w:rFonts w:ascii="Arial" w:hAnsi="Arial" w:cs="Arial"/>
        </w:rPr>
      </w:pPr>
      <w:r w:rsidRPr="004044E8">
        <w:rPr>
          <w:rFonts w:ascii="Arial" w:hAnsi="Arial" w:cs="Arial"/>
        </w:rPr>
        <w:t xml:space="preserve">El EMCO </w:t>
      </w:r>
      <w:r w:rsidR="00AB265D" w:rsidRPr="004044E8">
        <w:rPr>
          <w:rFonts w:ascii="Arial" w:hAnsi="Arial" w:cs="Arial"/>
        </w:rPr>
        <w:t>deberá</w:t>
      </w:r>
      <w:r w:rsidRPr="004044E8">
        <w:rPr>
          <w:rFonts w:ascii="Arial" w:hAnsi="Arial" w:cs="Arial"/>
        </w:rPr>
        <w:t xml:space="preserve"> notificar por escrito, al </w:t>
      </w:r>
      <w:r w:rsidR="00BF1EAC" w:rsidRPr="004044E8">
        <w:rPr>
          <w:rFonts w:ascii="Arial" w:hAnsi="Arial" w:cs="Arial"/>
        </w:rPr>
        <w:t>EDG</w:t>
      </w:r>
      <w:r w:rsidRPr="004044E8">
        <w:rPr>
          <w:rFonts w:ascii="Arial" w:hAnsi="Arial" w:cs="Arial"/>
        </w:rPr>
        <w:t xml:space="preserve">-MEF y al BID </w:t>
      </w:r>
      <w:proofErr w:type="spellStart"/>
      <w:r w:rsidRPr="004044E8">
        <w:rPr>
          <w:rFonts w:ascii="Arial" w:hAnsi="Arial" w:cs="Arial"/>
        </w:rPr>
        <w:t>sabre</w:t>
      </w:r>
      <w:proofErr w:type="spellEnd"/>
      <w:r w:rsidRPr="004044E8">
        <w:rPr>
          <w:rFonts w:ascii="Arial" w:hAnsi="Arial" w:cs="Arial"/>
        </w:rPr>
        <w:t xml:space="preserve"> la composición, nombres y cargos de quienes confo</w:t>
      </w:r>
      <w:r w:rsidR="00AB265D" w:rsidRPr="004044E8">
        <w:rPr>
          <w:rFonts w:ascii="Arial" w:hAnsi="Arial" w:cs="Arial"/>
        </w:rPr>
        <w:t>rman</w:t>
      </w:r>
      <w:r w:rsidRPr="004044E8">
        <w:rPr>
          <w:rFonts w:ascii="Arial" w:hAnsi="Arial" w:cs="Arial"/>
        </w:rPr>
        <w:t xml:space="preserve"> el </w:t>
      </w:r>
      <w:r w:rsidR="00BF1EAC" w:rsidRPr="004044E8">
        <w:rPr>
          <w:rFonts w:ascii="Arial" w:hAnsi="Arial" w:cs="Arial"/>
        </w:rPr>
        <w:t>EDG</w:t>
      </w:r>
      <w:r w:rsidRPr="004044E8">
        <w:rPr>
          <w:rFonts w:ascii="Arial" w:hAnsi="Arial" w:cs="Arial"/>
        </w:rPr>
        <w:t xml:space="preserve">, </w:t>
      </w:r>
      <w:r w:rsidR="00AB265D" w:rsidRPr="004044E8">
        <w:rPr>
          <w:rFonts w:ascii="Arial" w:hAnsi="Arial" w:cs="Arial"/>
        </w:rPr>
        <w:t>así</w:t>
      </w:r>
      <w:r w:rsidRPr="004044E8">
        <w:rPr>
          <w:rFonts w:ascii="Arial" w:hAnsi="Arial" w:cs="Arial"/>
        </w:rPr>
        <w:t xml:space="preserve"> como </w:t>
      </w:r>
      <w:r w:rsidR="00AB265D" w:rsidRPr="004044E8">
        <w:rPr>
          <w:rFonts w:ascii="Arial" w:hAnsi="Arial" w:cs="Arial"/>
        </w:rPr>
        <w:t>también</w:t>
      </w:r>
      <w:r w:rsidRPr="004044E8">
        <w:rPr>
          <w:rFonts w:ascii="Arial" w:hAnsi="Arial" w:cs="Arial"/>
        </w:rPr>
        <w:t>, los cambios de los mismos, en caso de presentarse.</w:t>
      </w:r>
    </w:p>
    <w:p w14:paraId="190B2E34" w14:textId="68C5DB3F" w:rsidR="008F565F" w:rsidRPr="004044E8" w:rsidRDefault="008F565F" w:rsidP="00DE3867">
      <w:pPr>
        <w:pStyle w:val="numeradorom"/>
        <w:numPr>
          <w:ilvl w:val="2"/>
          <w:numId w:val="30"/>
        </w:numPr>
        <w:rPr>
          <w:rFonts w:ascii="Arial" w:hAnsi="Arial" w:cs="Arial"/>
        </w:rPr>
      </w:pPr>
      <w:r w:rsidRPr="004044E8">
        <w:rPr>
          <w:rFonts w:ascii="Arial" w:hAnsi="Arial" w:cs="Arial"/>
        </w:rPr>
        <w:t xml:space="preserve">En el caso de utilizar recursos del contrato de </w:t>
      </w:r>
      <w:r w:rsidR="00AB265D" w:rsidRPr="004044E8">
        <w:rPr>
          <w:rFonts w:ascii="Arial" w:hAnsi="Arial" w:cs="Arial"/>
        </w:rPr>
        <w:t>préstamo</w:t>
      </w:r>
      <w:r w:rsidRPr="004044E8">
        <w:rPr>
          <w:rFonts w:ascii="Arial" w:hAnsi="Arial" w:cs="Arial"/>
        </w:rPr>
        <w:t xml:space="preserve"> para financiar personal de apoyo a la ejecución, previo a la no objeción del BID se </w:t>
      </w:r>
      <w:r w:rsidR="00AB265D" w:rsidRPr="004044E8">
        <w:rPr>
          <w:rFonts w:ascii="Arial" w:hAnsi="Arial" w:cs="Arial"/>
        </w:rPr>
        <w:t>deberá</w:t>
      </w:r>
      <w:r w:rsidRPr="004044E8">
        <w:rPr>
          <w:rFonts w:ascii="Arial" w:hAnsi="Arial" w:cs="Arial"/>
        </w:rPr>
        <w:t xml:space="preserve"> contar con la aprobación de los TDR por parte del </w:t>
      </w:r>
      <w:r w:rsidR="00BF1EAC" w:rsidRPr="004044E8">
        <w:rPr>
          <w:rFonts w:ascii="Arial" w:hAnsi="Arial" w:cs="Arial"/>
        </w:rPr>
        <w:t>EDG</w:t>
      </w:r>
      <w:r w:rsidRPr="004044E8">
        <w:rPr>
          <w:rFonts w:ascii="Arial" w:hAnsi="Arial" w:cs="Arial"/>
        </w:rPr>
        <w:t xml:space="preserve">-MEF; y previo a una recontratación del personal de apoyo, se </w:t>
      </w:r>
      <w:r w:rsidR="00AB265D" w:rsidRPr="004044E8">
        <w:rPr>
          <w:rFonts w:ascii="Arial" w:hAnsi="Arial" w:cs="Arial"/>
        </w:rPr>
        <w:t>deberá</w:t>
      </w:r>
      <w:r w:rsidRPr="004044E8">
        <w:rPr>
          <w:rFonts w:ascii="Arial" w:hAnsi="Arial" w:cs="Arial"/>
        </w:rPr>
        <w:t xml:space="preserve"> contar como docu</w:t>
      </w:r>
      <w:r w:rsidR="00AB265D" w:rsidRPr="004044E8">
        <w:rPr>
          <w:rFonts w:ascii="Arial" w:hAnsi="Arial" w:cs="Arial"/>
        </w:rPr>
        <w:t>men</w:t>
      </w:r>
      <w:r w:rsidRPr="004044E8">
        <w:rPr>
          <w:rFonts w:ascii="Arial" w:hAnsi="Arial" w:cs="Arial"/>
        </w:rPr>
        <w:t xml:space="preserve">tos habilitantes: la evaluación satisfactoria de parte de la </w:t>
      </w:r>
      <w:r w:rsidR="00AB265D" w:rsidRPr="004044E8">
        <w:rPr>
          <w:rFonts w:ascii="Arial" w:hAnsi="Arial" w:cs="Arial"/>
        </w:rPr>
        <w:t>máxima</w:t>
      </w:r>
      <w:r w:rsidRPr="004044E8">
        <w:rPr>
          <w:rFonts w:ascii="Arial" w:hAnsi="Arial" w:cs="Arial"/>
        </w:rPr>
        <w:t xml:space="preserve"> autorida</w:t>
      </w:r>
      <w:r w:rsidR="00AB265D" w:rsidRPr="004044E8">
        <w:rPr>
          <w:rFonts w:ascii="Arial" w:hAnsi="Arial" w:cs="Arial"/>
        </w:rPr>
        <w:t>d</w:t>
      </w:r>
      <w:r w:rsidRPr="004044E8">
        <w:rPr>
          <w:rFonts w:ascii="Arial" w:hAnsi="Arial" w:cs="Arial"/>
        </w:rPr>
        <w:t xml:space="preserve"> de la entidad o su delegado, </w:t>
      </w:r>
      <w:r w:rsidR="00AB265D" w:rsidRPr="004044E8">
        <w:rPr>
          <w:rFonts w:ascii="Arial" w:hAnsi="Arial" w:cs="Arial"/>
        </w:rPr>
        <w:t>así</w:t>
      </w:r>
      <w:r w:rsidRPr="004044E8">
        <w:rPr>
          <w:rFonts w:ascii="Arial" w:hAnsi="Arial" w:cs="Arial"/>
        </w:rPr>
        <w:t xml:space="preserve"> como del </w:t>
      </w:r>
      <w:r w:rsidR="00BF1EAC" w:rsidRPr="004044E8">
        <w:rPr>
          <w:rFonts w:ascii="Arial" w:hAnsi="Arial" w:cs="Arial"/>
        </w:rPr>
        <w:t>EDG</w:t>
      </w:r>
      <w:r w:rsidRPr="004044E8">
        <w:rPr>
          <w:rFonts w:ascii="Arial" w:hAnsi="Arial" w:cs="Arial"/>
        </w:rPr>
        <w:t>-MEF.</w:t>
      </w:r>
    </w:p>
    <w:p w14:paraId="5CF83C28" w14:textId="77777777" w:rsidR="008F565F" w:rsidRPr="004044E8" w:rsidRDefault="008F565F" w:rsidP="00DE3867">
      <w:pPr>
        <w:pStyle w:val="numeradorom"/>
        <w:numPr>
          <w:ilvl w:val="0"/>
          <w:numId w:val="0"/>
        </w:numPr>
        <w:ind w:left="1191"/>
        <w:rPr>
          <w:rFonts w:ascii="Arial" w:hAnsi="Arial" w:cs="Arial"/>
        </w:rPr>
      </w:pPr>
    </w:p>
    <w:p w14:paraId="3A28BE5F" w14:textId="23FA4F8F" w:rsidR="008F565F" w:rsidRPr="004044E8" w:rsidRDefault="008F565F" w:rsidP="00DE3867">
      <w:pPr>
        <w:pStyle w:val="numeradorom"/>
        <w:numPr>
          <w:ilvl w:val="0"/>
          <w:numId w:val="0"/>
        </w:numPr>
        <w:ind w:left="1191"/>
        <w:rPr>
          <w:rFonts w:ascii="Arial" w:hAnsi="Arial" w:cs="Arial"/>
        </w:rPr>
      </w:pPr>
      <w:r w:rsidRPr="004044E8">
        <w:rPr>
          <w:rFonts w:ascii="Arial" w:hAnsi="Arial" w:cs="Arial"/>
        </w:rPr>
        <w:t xml:space="preserve">Principales responsabilidades del </w:t>
      </w:r>
      <w:r w:rsidR="00BF1EAC" w:rsidRPr="004044E8">
        <w:rPr>
          <w:rFonts w:ascii="Arial" w:hAnsi="Arial" w:cs="Arial"/>
        </w:rPr>
        <w:t>EDG</w:t>
      </w:r>
      <w:r w:rsidRPr="004044E8">
        <w:rPr>
          <w:rFonts w:ascii="Arial" w:hAnsi="Arial" w:cs="Arial"/>
        </w:rPr>
        <w:t>-</w:t>
      </w:r>
      <w:r w:rsidR="00BF1EAC" w:rsidRPr="004044E8">
        <w:rPr>
          <w:rFonts w:ascii="Arial" w:hAnsi="Arial" w:cs="Arial"/>
        </w:rPr>
        <w:t>E</w:t>
      </w:r>
      <w:r w:rsidRPr="004044E8">
        <w:rPr>
          <w:rFonts w:ascii="Arial" w:hAnsi="Arial" w:cs="Arial"/>
          <w:lang w:val="es-EC"/>
        </w:rPr>
        <w:t>M</w:t>
      </w:r>
      <w:r w:rsidR="00BF1EAC" w:rsidRPr="004044E8">
        <w:rPr>
          <w:rFonts w:ascii="Arial" w:hAnsi="Arial" w:cs="Arial"/>
          <w:lang w:val="es-EC"/>
        </w:rPr>
        <w:t>C</w:t>
      </w:r>
      <w:r w:rsidRPr="004044E8">
        <w:rPr>
          <w:rFonts w:ascii="Arial" w:hAnsi="Arial" w:cs="Arial"/>
          <w:lang w:val="es-EC"/>
        </w:rPr>
        <w:t>O</w:t>
      </w:r>
      <w:r w:rsidR="00A56329" w:rsidRPr="004044E8">
        <w:rPr>
          <w:rFonts w:ascii="Arial" w:hAnsi="Arial" w:cs="Arial"/>
          <w:lang w:val="es-EC"/>
        </w:rPr>
        <w:t>:</w:t>
      </w:r>
    </w:p>
    <w:p w14:paraId="481C154F" w14:textId="77777777" w:rsidR="008F565F" w:rsidRPr="004044E8" w:rsidRDefault="008F565F" w:rsidP="00C02EF4">
      <w:pPr>
        <w:pStyle w:val="numeradorom"/>
        <w:numPr>
          <w:ilvl w:val="2"/>
          <w:numId w:val="36"/>
        </w:numPr>
        <w:rPr>
          <w:rFonts w:ascii="Arial" w:hAnsi="Arial" w:cs="Arial"/>
        </w:rPr>
      </w:pPr>
      <w:r w:rsidRPr="004044E8">
        <w:rPr>
          <w:rFonts w:ascii="Arial" w:hAnsi="Arial" w:cs="Arial"/>
        </w:rPr>
        <w:t>Asegurar el cumplimiento de las cláusulas establecidas en el contrato de Préstamo y el ROP.</w:t>
      </w:r>
    </w:p>
    <w:p w14:paraId="786A4685" w14:textId="0A2CFA8F" w:rsidR="008F565F" w:rsidRPr="004044E8" w:rsidRDefault="008F565F" w:rsidP="00C02EF4">
      <w:pPr>
        <w:pStyle w:val="numeradorom"/>
        <w:numPr>
          <w:ilvl w:val="2"/>
          <w:numId w:val="30"/>
        </w:numPr>
        <w:rPr>
          <w:rFonts w:ascii="Arial" w:hAnsi="Arial" w:cs="Arial"/>
        </w:rPr>
      </w:pPr>
      <w:r w:rsidRPr="004044E8">
        <w:rPr>
          <w:rFonts w:ascii="Arial" w:hAnsi="Arial" w:cs="Arial"/>
        </w:rPr>
        <w:t>Asegurar la ejecución de los componentes y actividades asignadas, conforme a las herramientas de gestión aprobadas por el Banco.</w:t>
      </w:r>
    </w:p>
    <w:p w14:paraId="20205FD1" w14:textId="00D491BD" w:rsidR="008F565F" w:rsidRPr="004044E8" w:rsidRDefault="008F565F" w:rsidP="00C02EF4">
      <w:pPr>
        <w:pStyle w:val="numeradorom"/>
        <w:numPr>
          <w:ilvl w:val="2"/>
          <w:numId w:val="30"/>
        </w:numPr>
        <w:rPr>
          <w:rFonts w:ascii="Arial" w:hAnsi="Arial" w:cs="Arial"/>
        </w:rPr>
      </w:pPr>
      <w:r w:rsidRPr="004044E8">
        <w:rPr>
          <w:rFonts w:ascii="Arial" w:hAnsi="Arial" w:cs="Arial"/>
        </w:rPr>
        <w:t>Preparar, actualizar y entregar oportunamente al EDG-MEF, la información necesaria para facilitar la ejecuci</w:t>
      </w:r>
      <w:r w:rsidR="00BF1EAC" w:rsidRPr="004044E8">
        <w:rPr>
          <w:rFonts w:ascii="Arial" w:hAnsi="Arial" w:cs="Arial"/>
        </w:rPr>
        <w:t>ó</w:t>
      </w:r>
      <w:r w:rsidRPr="004044E8">
        <w:rPr>
          <w:rFonts w:ascii="Arial" w:hAnsi="Arial" w:cs="Arial"/>
        </w:rPr>
        <w:t xml:space="preserve">n del Programa y dar cumplimiento de lo establecido en el Contrato de </w:t>
      </w:r>
      <w:r w:rsidR="00AB265D" w:rsidRPr="004044E8">
        <w:rPr>
          <w:rFonts w:ascii="Arial" w:hAnsi="Arial" w:cs="Arial"/>
        </w:rPr>
        <w:t>Préstamo</w:t>
      </w:r>
      <w:r w:rsidRPr="004044E8">
        <w:rPr>
          <w:rFonts w:ascii="Arial" w:hAnsi="Arial" w:cs="Arial"/>
        </w:rPr>
        <w:t xml:space="preserve"> y el ROP.</w:t>
      </w:r>
      <w:r w:rsidRPr="004044E8">
        <w:rPr>
          <w:rFonts w:ascii="Arial" w:hAnsi="Arial" w:cs="Arial"/>
        </w:rPr>
        <w:tab/>
      </w:r>
    </w:p>
    <w:p w14:paraId="59808B51" w14:textId="3D896FF0" w:rsidR="005F3C33" w:rsidRPr="004044E8" w:rsidRDefault="008F565F" w:rsidP="00B94E33">
      <w:pPr>
        <w:pStyle w:val="numeradorom"/>
        <w:numPr>
          <w:ilvl w:val="0"/>
          <w:numId w:val="0"/>
        </w:numPr>
        <w:ind w:left="1191"/>
        <w:rPr>
          <w:rFonts w:ascii="Arial" w:hAnsi="Arial" w:cs="Arial"/>
        </w:rPr>
      </w:pPr>
      <w:r w:rsidRPr="004044E8">
        <w:rPr>
          <w:rFonts w:ascii="Arial" w:hAnsi="Arial" w:cs="Arial"/>
        </w:rPr>
        <w:t>Preparar y entregar al EDG-MEF, la informaci</w:t>
      </w:r>
      <w:r w:rsidR="007C0142" w:rsidRPr="004044E8">
        <w:rPr>
          <w:rFonts w:ascii="Arial" w:hAnsi="Arial" w:cs="Arial"/>
        </w:rPr>
        <w:t>ó</w:t>
      </w:r>
      <w:r w:rsidRPr="004044E8">
        <w:rPr>
          <w:rFonts w:ascii="Arial" w:hAnsi="Arial" w:cs="Arial"/>
        </w:rPr>
        <w:t xml:space="preserve">n necesaria para, la actualización de las herramientas de gestión y los </w:t>
      </w:r>
      <w:r w:rsidR="00AB265D" w:rsidRPr="004044E8">
        <w:rPr>
          <w:rFonts w:ascii="Arial" w:hAnsi="Arial" w:cs="Arial"/>
        </w:rPr>
        <w:t>informes</w:t>
      </w:r>
      <w:r w:rsidRPr="004044E8">
        <w:rPr>
          <w:rFonts w:ascii="Arial" w:hAnsi="Arial" w:cs="Arial"/>
        </w:rPr>
        <w:t xml:space="preserve"> que correspondan a su ejecución, dentro de los plazas y en los formatos establecidos para el efecto.</w:t>
      </w:r>
    </w:p>
    <w:p w14:paraId="0BF71ADA" w14:textId="21CDC7C2" w:rsidR="005F3C33" w:rsidRPr="004044E8" w:rsidRDefault="005F3C33" w:rsidP="00DE3867">
      <w:pPr>
        <w:pStyle w:val="Estilo1"/>
        <w:numPr>
          <w:ilvl w:val="0"/>
          <w:numId w:val="0"/>
        </w:numPr>
        <w:ind w:left="720"/>
        <w:rPr>
          <w:rFonts w:ascii="Arial" w:hAnsi="Arial" w:cs="Arial"/>
        </w:rPr>
      </w:pPr>
    </w:p>
    <w:p w14:paraId="6E75178B" w14:textId="77777777" w:rsidR="005F3C33" w:rsidRPr="004044E8" w:rsidRDefault="005F3C33" w:rsidP="00DE3867">
      <w:pPr>
        <w:pStyle w:val="Estilo1"/>
        <w:numPr>
          <w:ilvl w:val="0"/>
          <w:numId w:val="0"/>
        </w:numPr>
        <w:ind w:left="720"/>
        <w:rPr>
          <w:rFonts w:ascii="Arial" w:hAnsi="Arial" w:cs="Arial"/>
        </w:rPr>
      </w:pPr>
    </w:p>
    <w:bookmarkEnd w:id="82"/>
    <w:p w14:paraId="232872D6" w14:textId="61BCBBB1" w:rsidR="00132A3B" w:rsidRPr="004044E8" w:rsidRDefault="00132A3B">
      <w:pPr>
        <w:spacing w:after="160" w:line="259" w:lineRule="auto"/>
        <w:jc w:val="left"/>
        <w:rPr>
          <w:rFonts w:ascii="Arial" w:hAnsi="Arial" w:cs="Arial"/>
          <w:szCs w:val="20"/>
          <w:lang w:val="es-ES"/>
        </w:rPr>
      </w:pPr>
      <w:r w:rsidRPr="004044E8">
        <w:rPr>
          <w:rFonts w:ascii="Arial" w:hAnsi="Arial" w:cs="Arial"/>
          <w:szCs w:val="20"/>
          <w:lang w:val="es-ES"/>
        </w:rPr>
        <w:lastRenderedPageBreak/>
        <w:br w:type="page"/>
      </w:r>
    </w:p>
    <w:p w14:paraId="207959DB" w14:textId="4C962EBC" w:rsidR="00545760" w:rsidRPr="004044E8" w:rsidRDefault="00545760" w:rsidP="00FA4527">
      <w:pPr>
        <w:pStyle w:val="Heading1"/>
        <w:rPr>
          <w:rFonts w:ascii="Arial" w:hAnsi="Arial" w:cs="Arial"/>
          <w:lang w:val="es-ES"/>
        </w:rPr>
      </w:pPr>
      <w:bookmarkStart w:id="89" w:name="_Toc10223128"/>
      <w:r w:rsidRPr="004044E8">
        <w:rPr>
          <w:rFonts w:ascii="Arial" w:hAnsi="Arial" w:cs="Arial"/>
          <w:lang w:val="es-ES"/>
        </w:rPr>
        <w:lastRenderedPageBreak/>
        <w:t>ASPECTOS PARTICULARES PARA LA EJECUCIÓN DEL PROGRAMA</w:t>
      </w:r>
      <w:bookmarkEnd w:id="89"/>
    </w:p>
    <w:p w14:paraId="4F1F3790" w14:textId="2B7644C4" w:rsidR="002F5FE9" w:rsidRPr="004044E8" w:rsidRDefault="002F5FE9" w:rsidP="001C7188">
      <w:pPr>
        <w:pStyle w:val="Heading2"/>
        <w:numPr>
          <w:ilvl w:val="0"/>
          <w:numId w:val="11"/>
        </w:numPr>
        <w:rPr>
          <w:rFonts w:ascii="Arial" w:hAnsi="Arial" w:cs="Arial"/>
          <w:lang w:val="es-ES"/>
        </w:rPr>
      </w:pPr>
      <w:bookmarkStart w:id="90" w:name="_Toc10223129"/>
      <w:r w:rsidRPr="004044E8">
        <w:rPr>
          <w:rFonts w:ascii="Arial" w:hAnsi="Arial" w:cs="Arial"/>
          <w:lang w:val="es-ES"/>
        </w:rPr>
        <w:t xml:space="preserve">Condiciones </w:t>
      </w:r>
      <w:r w:rsidR="000A37AA" w:rsidRPr="004044E8">
        <w:rPr>
          <w:rFonts w:ascii="Arial" w:hAnsi="Arial" w:cs="Arial"/>
          <w:lang w:val="es-ES"/>
        </w:rPr>
        <w:t>previas al primer desembolso</w:t>
      </w:r>
      <w:bookmarkEnd w:id="90"/>
    </w:p>
    <w:p w14:paraId="679C2FB4" w14:textId="77777777" w:rsidR="00701342" w:rsidRPr="004044E8" w:rsidRDefault="00701342" w:rsidP="00FD0DF3">
      <w:pPr>
        <w:pStyle w:val="ListParagraph"/>
        <w:numPr>
          <w:ilvl w:val="0"/>
          <w:numId w:val="23"/>
        </w:numPr>
        <w:tabs>
          <w:tab w:val="clear" w:pos="720"/>
        </w:tabs>
        <w:spacing w:before="0" w:after="100"/>
        <w:jc w:val="both"/>
        <w:rPr>
          <w:rFonts w:ascii="Arial" w:hAnsi="Arial" w:cs="Arial"/>
          <w:vanish/>
          <w:lang w:val="es-ES"/>
        </w:rPr>
      </w:pPr>
    </w:p>
    <w:p w14:paraId="34E582E5" w14:textId="77777777" w:rsidR="00701342" w:rsidRPr="004044E8" w:rsidRDefault="00701342" w:rsidP="00FD0DF3">
      <w:pPr>
        <w:pStyle w:val="ListParagraph"/>
        <w:numPr>
          <w:ilvl w:val="0"/>
          <w:numId w:val="24"/>
        </w:numPr>
        <w:tabs>
          <w:tab w:val="clear" w:pos="720"/>
        </w:tabs>
        <w:spacing w:before="0" w:after="100"/>
        <w:jc w:val="both"/>
        <w:rPr>
          <w:rFonts w:ascii="Arial" w:hAnsi="Arial" w:cs="Arial"/>
          <w:vanish/>
          <w:lang w:val="es-ES"/>
        </w:rPr>
      </w:pPr>
    </w:p>
    <w:p w14:paraId="73580EB9" w14:textId="77777777" w:rsidR="00701342" w:rsidRPr="004044E8" w:rsidRDefault="00701342" w:rsidP="00FD0DF3">
      <w:pPr>
        <w:pStyle w:val="ListParagraph"/>
        <w:numPr>
          <w:ilvl w:val="0"/>
          <w:numId w:val="24"/>
        </w:numPr>
        <w:tabs>
          <w:tab w:val="clear" w:pos="720"/>
        </w:tabs>
        <w:spacing w:before="0" w:after="100"/>
        <w:jc w:val="both"/>
        <w:rPr>
          <w:rFonts w:ascii="Arial" w:hAnsi="Arial" w:cs="Arial"/>
          <w:vanish/>
          <w:lang w:val="es-ES"/>
        </w:rPr>
      </w:pPr>
    </w:p>
    <w:p w14:paraId="04C90FA8" w14:textId="77777777" w:rsidR="00701342" w:rsidRPr="004044E8" w:rsidRDefault="00701342" w:rsidP="00FD0DF3">
      <w:pPr>
        <w:pStyle w:val="ListParagraph"/>
        <w:numPr>
          <w:ilvl w:val="0"/>
          <w:numId w:val="24"/>
        </w:numPr>
        <w:tabs>
          <w:tab w:val="clear" w:pos="720"/>
        </w:tabs>
        <w:spacing w:before="0" w:after="100"/>
        <w:jc w:val="both"/>
        <w:rPr>
          <w:rFonts w:ascii="Arial" w:hAnsi="Arial" w:cs="Arial"/>
          <w:vanish/>
          <w:lang w:val="es-ES"/>
        </w:rPr>
      </w:pPr>
    </w:p>
    <w:p w14:paraId="7AD30B3B" w14:textId="77777777" w:rsidR="00701342" w:rsidRPr="004044E8" w:rsidRDefault="00701342" w:rsidP="00FD0DF3">
      <w:pPr>
        <w:pStyle w:val="ListParagraph"/>
        <w:numPr>
          <w:ilvl w:val="0"/>
          <w:numId w:val="24"/>
        </w:numPr>
        <w:tabs>
          <w:tab w:val="clear" w:pos="720"/>
        </w:tabs>
        <w:spacing w:before="0" w:after="100"/>
        <w:jc w:val="both"/>
        <w:rPr>
          <w:rFonts w:ascii="Arial" w:hAnsi="Arial" w:cs="Arial"/>
          <w:vanish/>
          <w:lang w:val="es-ES"/>
        </w:rPr>
      </w:pPr>
    </w:p>
    <w:p w14:paraId="229D6ABA" w14:textId="77777777" w:rsidR="00701342" w:rsidRPr="004044E8" w:rsidRDefault="00701342" w:rsidP="00FD0DF3">
      <w:pPr>
        <w:pStyle w:val="ListParagraph"/>
        <w:numPr>
          <w:ilvl w:val="0"/>
          <w:numId w:val="24"/>
        </w:numPr>
        <w:tabs>
          <w:tab w:val="clear" w:pos="720"/>
        </w:tabs>
        <w:spacing w:before="0" w:after="100"/>
        <w:jc w:val="both"/>
        <w:rPr>
          <w:rFonts w:ascii="Arial" w:hAnsi="Arial" w:cs="Arial"/>
          <w:vanish/>
          <w:lang w:val="es-ES"/>
        </w:rPr>
      </w:pPr>
    </w:p>
    <w:p w14:paraId="7C3E3F16" w14:textId="77777777" w:rsidR="00701342" w:rsidRPr="004044E8" w:rsidRDefault="00701342" w:rsidP="00FD0DF3">
      <w:pPr>
        <w:pStyle w:val="ListParagraph"/>
        <w:numPr>
          <w:ilvl w:val="0"/>
          <w:numId w:val="24"/>
        </w:numPr>
        <w:tabs>
          <w:tab w:val="clear" w:pos="720"/>
        </w:tabs>
        <w:spacing w:before="0" w:after="100"/>
        <w:jc w:val="both"/>
        <w:rPr>
          <w:rFonts w:ascii="Arial" w:hAnsi="Arial" w:cs="Arial"/>
          <w:vanish/>
          <w:lang w:val="es-ES"/>
        </w:rPr>
      </w:pPr>
    </w:p>
    <w:p w14:paraId="66D1345C" w14:textId="30B2F48D" w:rsidR="00633C83" w:rsidRPr="004044E8" w:rsidRDefault="00701342" w:rsidP="00C02EF4">
      <w:pPr>
        <w:pStyle w:val="Estilo1"/>
        <w:numPr>
          <w:ilvl w:val="1"/>
          <w:numId w:val="24"/>
        </w:numPr>
        <w:rPr>
          <w:rFonts w:ascii="Arial" w:hAnsi="Arial" w:cs="Arial"/>
        </w:rPr>
      </w:pPr>
      <w:r w:rsidRPr="004044E8">
        <w:rPr>
          <w:rFonts w:ascii="Arial" w:hAnsi="Arial" w:cs="Arial"/>
        </w:rPr>
        <w:t>Las establecidas en el Artículo 4.01 de las Normas Generales del Contrato de Préstamo, dentro de los plazos establecidos para su cumplimiento que se detallan en el Artículo 4.02 del Contrato de Préstamo</w:t>
      </w:r>
      <w:r w:rsidRPr="004044E8">
        <w:rPr>
          <w:rFonts w:ascii="Arial" w:hAnsi="Arial" w:cs="Arial"/>
          <w:lang w:val="es-EC"/>
        </w:rPr>
        <w:t xml:space="preserve">; y las </w:t>
      </w:r>
      <w:r w:rsidR="00633C83" w:rsidRPr="004044E8">
        <w:rPr>
          <w:rFonts w:ascii="Arial" w:hAnsi="Arial" w:cs="Arial"/>
        </w:rPr>
        <w:t xml:space="preserve">condiciones especiales previas al primer desembolso establecidas en al Clausula 3.01 </w:t>
      </w:r>
      <w:r w:rsidR="00247067" w:rsidRPr="004044E8">
        <w:rPr>
          <w:rFonts w:ascii="Arial" w:hAnsi="Arial" w:cs="Arial"/>
        </w:rPr>
        <w:t xml:space="preserve">de las Estipulaciones Especiales del Contrato de Préstamo, que son: </w:t>
      </w:r>
    </w:p>
    <w:p w14:paraId="1DB8DCDC" w14:textId="77777777" w:rsidR="007062B8" w:rsidRPr="004044E8" w:rsidRDefault="007062B8" w:rsidP="00C02EF4">
      <w:pPr>
        <w:pStyle w:val="numeradorom"/>
        <w:numPr>
          <w:ilvl w:val="2"/>
          <w:numId w:val="37"/>
        </w:numPr>
        <w:rPr>
          <w:rFonts w:ascii="Arial" w:hAnsi="Arial" w:cs="Arial"/>
        </w:rPr>
      </w:pPr>
      <w:r w:rsidRPr="004044E8">
        <w:rPr>
          <w:rFonts w:ascii="Arial" w:hAnsi="Arial" w:cs="Arial"/>
        </w:rPr>
        <w:t>que el Prestatario, por intermedio del Organismo Ejecutor (OE), haya presentado evidencia de que cuenta con la asignación de recursos y con el personal mínimo necesario para la conformación del equipo de gestión;</w:t>
      </w:r>
    </w:p>
    <w:p w14:paraId="47DBA560" w14:textId="06D73F0F" w:rsidR="0074651C" w:rsidRPr="004044E8" w:rsidRDefault="007062B8" w:rsidP="00C02EF4">
      <w:pPr>
        <w:pStyle w:val="numeradorom"/>
        <w:rPr>
          <w:rFonts w:ascii="Arial" w:hAnsi="Arial" w:cs="Arial"/>
        </w:rPr>
      </w:pPr>
      <w:r w:rsidRPr="004044E8">
        <w:rPr>
          <w:rFonts w:ascii="Arial" w:hAnsi="Arial" w:cs="Arial"/>
        </w:rPr>
        <w:t>que el Prestatario, por intermedio del OE, haya presentado evidencia de que el correspondiente Reglamento Operativo del Programa (ROP), ha sido aprobado por el OE y los OSE y ha entrado en vigencia en los términos previamente acordados con el Banco</w:t>
      </w:r>
      <w:r w:rsidR="00A56329" w:rsidRPr="004044E8">
        <w:rPr>
          <w:rFonts w:ascii="Arial" w:hAnsi="Arial" w:cs="Arial"/>
        </w:rPr>
        <w:t>.</w:t>
      </w:r>
    </w:p>
    <w:p w14:paraId="0DC2430A" w14:textId="01CF4C81" w:rsidR="00545760" w:rsidRPr="004044E8" w:rsidRDefault="001C7188" w:rsidP="0078417A">
      <w:pPr>
        <w:pStyle w:val="Heading1"/>
        <w:rPr>
          <w:rFonts w:ascii="Arial" w:hAnsi="Arial" w:cs="Arial"/>
        </w:rPr>
      </w:pPr>
      <w:bookmarkStart w:id="91" w:name="_Toc10223130"/>
      <w:r w:rsidRPr="004044E8">
        <w:rPr>
          <w:rFonts w:ascii="Arial" w:hAnsi="Arial" w:cs="Arial"/>
          <w:lang w:val="es-ES"/>
        </w:rPr>
        <w:lastRenderedPageBreak/>
        <w:t>ASPECTOS PARTICULARES PARA LAS DESVINCULACIONES</w:t>
      </w:r>
      <w:bookmarkEnd w:id="91"/>
      <w:r w:rsidR="007062B8" w:rsidRPr="004044E8">
        <w:rPr>
          <w:rFonts w:ascii="Arial" w:hAnsi="Arial" w:cs="Arial"/>
        </w:rPr>
        <w:t xml:space="preserve"> </w:t>
      </w:r>
    </w:p>
    <w:p w14:paraId="0ECF0EFF" w14:textId="104DDAED" w:rsidR="007062B8" w:rsidRPr="004044E8" w:rsidRDefault="007062B8" w:rsidP="007062B8">
      <w:pPr>
        <w:rPr>
          <w:rFonts w:ascii="Arial" w:hAnsi="Arial" w:cs="Arial"/>
        </w:rPr>
      </w:pPr>
    </w:p>
    <w:p w14:paraId="15D475DD" w14:textId="3C892347" w:rsidR="007062B8" w:rsidRPr="004044E8" w:rsidRDefault="007062B8" w:rsidP="00FD0DF3">
      <w:pPr>
        <w:pStyle w:val="Heading2"/>
        <w:numPr>
          <w:ilvl w:val="0"/>
          <w:numId w:val="38"/>
        </w:numPr>
        <w:rPr>
          <w:rFonts w:ascii="Arial" w:hAnsi="Arial" w:cs="Arial"/>
          <w:lang w:val="es-ES"/>
        </w:rPr>
      </w:pPr>
      <w:bookmarkStart w:id="92" w:name="_TOC_250003"/>
      <w:bookmarkStart w:id="93" w:name="_Toc10223131"/>
      <w:r w:rsidRPr="004044E8">
        <w:rPr>
          <w:rFonts w:ascii="Arial" w:hAnsi="Arial" w:cs="Arial"/>
          <w:lang w:val="es-ES"/>
        </w:rPr>
        <w:t xml:space="preserve">Modalidades de </w:t>
      </w:r>
      <w:r w:rsidR="000F2A09" w:rsidRPr="004044E8">
        <w:rPr>
          <w:rFonts w:ascii="Arial" w:hAnsi="Arial" w:cs="Arial"/>
          <w:lang w:val="es-ES"/>
        </w:rPr>
        <w:t xml:space="preserve">Desvinculaciones </w:t>
      </w:r>
      <w:r w:rsidRPr="004044E8">
        <w:rPr>
          <w:rFonts w:ascii="Arial" w:hAnsi="Arial" w:cs="Arial"/>
          <w:lang w:val="es-ES"/>
        </w:rPr>
        <w:t>a ser financiadas</w:t>
      </w:r>
      <w:bookmarkEnd w:id="92"/>
      <w:bookmarkEnd w:id="93"/>
    </w:p>
    <w:p w14:paraId="28017969" w14:textId="77777777" w:rsidR="001C7188" w:rsidRPr="004044E8" w:rsidRDefault="001C7188" w:rsidP="00FD0DF3">
      <w:pPr>
        <w:pStyle w:val="ListParagraph"/>
        <w:numPr>
          <w:ilvl w:val="0"/>
          <w:numId w:val="24"/>
        </w:numPr>
        <w:tabs>
          <w:tab w:val="clear" w:pos="720"/>
        </w:tabs>
        <w:spacing w:before="0" w:after="100"/>
        <w:jc w:val="both"/>
        <w:rPr>
          <w:rFonts w:ascii="Arial" w:hAnsi="Arial" w:cs="Arial"/>
          <w:vanish/>
          <w:lang w:val="es-ES"/>
        </w:rPr>
      </w:pPr>
    </w:p>
    <w:p w14:paraId="6CD514E9" w14:textId="40DC89A9" w:rsidR="008B1D72" w:rsidRPr="004044E8" w:rsidRDefault="008B1D72" w:rsidP="00C02EF4">
      <w:pPr>
        <w:pStyle w:val="Estilo1"/>
        <w:numPr>
          <w:ilvl w:val="1"/>
          <w:numId w:val="24"/>
        </w:numPr>
        <w:rPr>
          <w:rFonts w:ascii="Arial" w:hAnsi="Arial" w:cs="Arial"/>
        </w:rPr>
      </w:pPr>
      <w:r w:rsidRPr="004044E8">
        <w:rPr>
          <w:rFonts w:ascii="Arial" w:hAnsi="Arial" w:cs="Arial"/>
        </w:rPr>
        <w:t>Modalidades</w:t>
      </w:r>
      <w:r w:rsidR="00E972D8" w:rsidRPr="004044E8">
        <w:rPr>
          <w:rFonts w:ascii="Arial" w:hAnsi="Arial" w:cs="Arial"/>
        </w:rPr>
        <w:t xml:space="preserve"> con su respaldo legal</w:t>
      </w:r>
      <w:r w:rsidRPr="004044E8">
        <w:rPr>
          <w:rFonts w:ascii="Arial" w:hAnsi="Arial" w:cs="Arial"/>
        </w:rPr>
        <w:t>:</w:t>
      </w:r>
    </w:p>
    <w:p w14:paraId="51287EC6" w14:textId="7EE39733" w:rsidR="008B1D72" w:rsidRPr="004044E8" w:rsidRDefault="008B1D72" w:rsidP="00C02EF4">
      <w:pPr>
        <w:pStyle w:val="numeradorom"/>
        <w:numPr>
          <w:ilvl w:val="2"/>
          <w:numId w:val="39"/>
        </w:numPr>
        <w:rPr>
          <w:rFonts w:ascii="Arial" w:hAnsi="Arial" w:cs="Arial"/>
        </w:rPr>
      </w:pPr>
      <w:r w:rsidRPr="004044E8">
        <w:rPr>
          <w:rFonts w:ascii="Arial" w:hAnsi="Arial" w:cs="Arial"/>
        </w:rPr>
        <w:t xml:space="preserve">Desvinculación </w:t>
      </w:r>
      <w:r w:rsidR="00F111EF" w:rsidRPr="004044E8">
        <w:rPr>
          <w:rFonts w:ascii="Arial" w:hAnsi="Arial" w:cs="Arial"/>
        </w:rPr>
        <w:t>obligatoria por edad (más de 70 años)</w:t>
      </w:r>
      <w:r w:rsidR="00E972D8" w:rsidRPr="004044E8">
        <w:rPr>
          <w:rFonts w:ascii="Arial" w:hAnsi="Arial" w:cs="Arial"/>
        </w:rPr>
        <w:t xml:space="preserve">: Artículo 81 de la </w:t>
      </w:r>
      <w:r w:rsidR="00E972D8" w:rsidRPr="004044E8">
        <w:rPr>
          <w:rFonts w:ascii="Arial" w:hAnsi="Arial" w:cs="Arial"/>
          <w:lang w:val="es-EC"/>
        </w:rPr>
        <w:t>Ley Orgánica de Servicio Público (</w:t>
      </w:r>
      <w:r w:rsidR="00E972D8" w:rsidRPr="004044E8">
        <w:rPr>
          <w:rFonts w:ascii="Arial" w:hAnsi="Arial" w:cs="Arial"/>
        </w:rPr>
        <w:t>LOSEP), artículo 289 del Reglamento de la LOSEP y el artículo 188 de la Ley de la Seguridad Social (LSS) “Jubilación por edad avanzada”</w:t>
      </w:r>
      <w:r w:rsidR="00F111EF" w:rsidRPr="004044E8">
        <w:rPr>
          <w:rFonts w:ascii="Arial" w:hAnsi="Arial" w:cs="Arial"/>
        </w:rPr>
        <w:t xml:space="preserve"> </w:t>
      </w:r>
    </w:p>
    <w:p w14:paraId="0E8184F7" w14:textId="12373540" w:rsidR="008B1D72" w:rsidRPr="004044E8" w:rsidRDefault="008B1D72" w:rsidP="00C02EF4">
      <w:pPr>
        <w:pStyle w:val="numeradorom"/>
        <w:numPr>
          <w:ilvl w:val="2"/>
          <w:numId w:val="24"/>
        </w:numPr>
        <w:rPr>
          <w:rFonts w:ascii="Arial" w:hAnsi="Arial" w:cs="Arial"/>
        </w:rPr>
      </w:pPr>
      <w:r w:rsidRPr="004044E8">
        <w:rPr>
          <w:rFonts w:ascii="Arial" w:hAnsi="Arial" w:cs="Arial"/>
        </w:rPr>
        <w:t>V</w:t>
      </w:r>
      <w:r w:rsidR="00F111EF" w:rsidRPr="004044E8">
        <w:rPr>
          <w:rFonts w:ascii="Arial" w:hAnsi="Arial" w:cs="Arial"/>
        </w:rPr>
        <w:t>oluntaria por enfermedad catastrófica, invalidez o discapacidad</w:t>
      </w:r>
      <w:r w:rsidR="00E972D8" w:rsidRPr="004044E8">
        <w:rPr>
          <w:rFonts w:ascii="Arial" w:hAnsi="Arial" w:cs="Arial"/>
        </w:rPr>
        <w:t xml:space="preserve">: </w:t>
      </w:r>
      <w:r w:rsidR="00E972D8" w:rsidRPr="004044E8">
        <w:rPr>
          <w:rFonts w:ascii="Arial" w:hAnsi="Arial" w:cs="Arial"/>
          <w:sz w:val="18"/>
          <w:szCs w:val="18"/>
        </w:rPr>
        <w:t>Artículo 186 de LSS “Jubilación por invalidez”.</w:t>
      </w:r>
    </w:p>
    <w:p w14:paraId="0D11016E" w14:textId="701244E1" w:rsidR="008B1D72" w:rsidRPr="004044E8" w:rsidRDefault="008B1D72" w:rsidP="00C02EF4">
      <w:pPr>
        <w:pStyle w:val="numeradorom"/>
        <w:numPr>
          <w:ilvl w:val="2"/>
          <w:numId w:val="24"/>
        </w:numPr>
        <w:rPr>
          <w:rFonts w:ascii="Arial" w:hAnsi="Arial" w:cs="Arial"/>
        </w:rPr>
      </w:pPr>
      <w:r w:rsidRPr="004044E8">
        <w:rPr>
          <w:rFonts w:ascii="Arial" w:hAnsi="Arial" w:cs="Arial"/>
        </w:rPr>
        <w:t>R</w:t>
      </w:r>
      <w:r w:rsidR="00F111EF" w:rsidRPr="004044E8">
        <w:rPr>
          <w:rFonts w:ascii="Arial" w:hAnsi="Arial" w:cs="Arial"/>
        </w:rPr>
        <w:t>enuncia voluntaria</w:t>
      </w:r>
      <w:r w:rsidR="00E972D8" w:rsidRPr="004044E8">
        <w:rPr>
          <w:rFonts w:ascii="Arial" w:hAnsi="Arial" w:cs="Arial"/>
        </w:rPr>
        <w:t>: Artículo 288 del Reglamento de la LOSEP</w:t>
      </w:r>
    </w:p>
    <w:p w14:paraId="1B3181AE" w14:textId="61D6B4ED" w:rsidR="00F111EF" w:rsidRPr="004044E8" w:rsidRDefault="008B1D72" w:rsidP="00C02EF4">
      <w:pPr>
        <w:pStyle w:val="numeradorom"/>
        <w:numPr>
          <w:ilvl w:val="2"/>
          <w:numId w:val="24"/>
        </w:numPr>
        <w:rPr>
          <w:rFonts w:ascii="Arial" w:hAnsi="Arial" w:cs="Arial"/>
        </w:rPr>
      </w:pPr>
      <w:r w:rsidRPr="004044E8">
        <w:rPr>
          <w:rFonts w:ascii="Arial" w:hAnsi="Arial" w:cs="Arial"/>
        </w:rPr>
        <w:t>S</w:t>
      </w:r>
      <w:r w:rsidR="00F111EF" w:rsidRPr="004044E8">
        <w:rPr>
          <w:rFonts w:ascii="Arial" w:hAnsi="Arial" w:cs="Arial"/>
        </w:rPr>
        <w:t>upresión de puestos</w:t>
      </w:r>
      <w:r w:rsidR="00E972D8" w:rsidRPr="004044E8">
        <w:rPr>
          <w:rFonts w:ascii="Arial" w:hAnsi="Arial" w:cs="Arial"/>
        </w:rPr>
        <w:t xml:space="preserve">: Artículos 23, 60 de la LOSEP y 30 de la </w:t>
      </w:r>
      <w:r w:rsidR="00E972D8" w:rsidRPr="004044E8">
        <w:rPr>
          <w:rFonts w:ascii="Arial" w:hAnsi="Arial" w:cs="Arial"/>
          <w:lang w:val="es-EC"/>
        </w:rPr>
        <w:t>Ley Orgánica Empresas Públicas (</w:t>
      </w:r>
      <w:r w:rsidR="00E972D8" w:rsidRPr="004044E8">
        <w:rPr>
          <w:rFonts w:ascii="Arial" w:hAnsi="Arial" w:cs="Arial"/>
        </w:rPr>
        <w:t>LOEP) (que se remite al Código de Trabajo).</w:t>
      </w:r>
    </w:p>
    <w:p w14:paraId="329F92B5" w14:textId="77777777" w:rsidR="008B1D72" w:rsidRPr="004044E8" w:rsidRDefault="008B1D72" w:rsidP="00C02EF4">
      <w:pPr>
        <w:pStyle w:val="numeradorom"/>
        <w:numPr>
          <w:ilvl w:val="0"/>
          <w:numId w:val="0"/>
        </w:numPr>
        <w:ind w:left="1191"/>
        <w:rPr>
          <w:rFonts w:ascii="Arial" w:hAnsi="Arial" w:cs="Arial"/>
        </w:rPr>
      </w:pPr>
    </w:p>
    <w:p w14:paraId="4693F799" w14:textId="057601D8" w:rsidR="00E26F3E" w:rsidRPr="004044E8" w:rsidRDefault="001C7188" w:rsidP="00A56329">
      <w:pPr>
        <w:pStyle w:val="Estilo1"/>
        <w:numPr>
          <w:ilvl w:val="1"/>
          <w:numId w:val="24"/>
        </w:numPr>
        <w:rPr>
          <w:rFonts w:ascii="Arial" w:hAnsi="Arial" w:cs="Arial"/>
        </w:rPr>
      </w:pPr>
      <w:r w:rsidRPr="004044E8">
        <w:rPr>
          <w:rFonts w:ascii="Arial" w:hAnsi="Arial" w:cs="Arial"/>
        </w:rPr>
        <w:t>El apoyo a otras modalidades de desvinculaci</w:t>
      </w:r>
      <w:r w:rsidR="007C0142" w:rsidRPr="004044E8">
        <w:rPr>
          <w:rFonts w:ascii="Arial" w:hAnsi="Arial" w:cs="Arial"/>
        </w:rPr>
        <w:t>ó</w:t>
      </w:r>
      <w:r w:rsidRPr="004044E8">
        <w:rPr>
          <w:rFonts w:ascii="Arial" w:hAnsi="Arial" w:cs="Arial"/>
        </w:rPr>
        <w:t>n previstas en la legislaci</w:t>
      </w:r>
      <w:r w:rsidR="007C0142" w:rsidRPr="004044E8">
        <w:rPr>
          <w:rFonts w:ascii="Arial" w:hAnsi="Arial" w:cs="Arial"/>
        </w:rPr>
        <w:t>ó</w:t>
      </w:r>
      <w:r w:rsidRPr="004044E8">
        <w:rPr>
          <w:rFonts w:ascii="Arial" w:hAnsi="Arial" w:cs="Arial"/>
        </w:rPr>
        <w:t xml:space="preserve">n nacional </w:t>
      </w:r>
      <w:r w:rsidR="00AB265D" w:rsidRPr="004044E8">
        <w:rPr>
          <w:rFonts w:ascii="Arial" w:hAnsi="Arial" w:cs="Arial"/>
        </w:rPr>
        <w:t>estará</w:t>
      </w:r>
      <w:r w:rsidRPr="004044E8">
        <w:rPr>
          <w:rFonts w:ascii="Arial" w:hAnsi="Arial" w:cs="Arial"/>
        </w:rPr>
        <w:t xml:space="preserve"> sujeto a que las mismas sean consistentes con los preceptos legales y constitucionales del </w:t>
      </w:r>
      <w:r w:rsidR="00AB265D" w:rsidRPr="004044E8">
        <w:rPr>
          <w:rFonts w:ascii="Arial" w:hAnsi="Arial" w:cs="Arial"/>
        </w:rPr>
        <w:t>país</w:t>
      </w:r>
      <w:r w:rsidRPr="004044E8">
        <w:rPr>
          <w:rFonts w:ascii="Arial" w:hAnsi="Arial" w:cs="Arial"/>
        </w:rPr>
        <w:t xml:space="preserve">, y se ajusten a los criterios y objetivos previstos en el programa </w:t>
      </w:r>
      <w:r w:rsidR="00AB265D" w:rsidRPr="004044E8">
        <w:rPr>
          <w:rFonts w:ascii="Arial" w:hAnsi="Arial" w:cs="Arial"/>
        </w:rPr>
        <w:t>análisis</w:t>
      </w:r>
      <w:r w:rsidRPr="004044E8">
        <w:rPr>
          <w:rFonts w:ascii="Arial" w:hAnsi="Arial" w:cs="Arial"/>
        </w:rPr>
        <w:t xml:space="preserve"> y previo no objeci</w:t>
      </w:r>
      <w:r w:rsidR="007C0142" w:rsidRPr="004044E8">
        <w:rPr>
          <w:rFonts w:ascii="Arial" w:hAnsi="Arial" w:cs="Arial"/>
        </w:rPr>
        <w:t>ó</w:t>
      </w:r>
      <w:r w:rsidRPr="004044E8">
        <w:rPr>
          <w:rFonts w:ascii="Arial" w:hAnsi="Arial" w:cs="Arial"/>
        </w:rPr>
        <w:t>n del Banco.</w:t>
      </w:r>
    </w:p>
    <w:p w14:paraId="2E65005C" w14:textId="55282D0D" w:rsidR="001C7188" w:rsidRPr="004044E8" w:rsidRDefault="001C7188" w:rsidP="00FD0DF3">
      <w:pPr>
        <w:pStyle w:val="Heading2"/>
        <w:numPr>
          <w:ilvl w:val="0"/>
          <w:numId w:val="38"/>
        </w:numPr>
        <w:rPr>
          <w:rFonts w:ascii="Arial" w:hAnsi="Arial" w:cs="Arial"/>
          <w:lang w:val="es-ES"/>
        </w:rPr>
      </w:pPr>
      <w:bookmarkStart w:id="94" w:name="_Toc10223132"/>
      <w:r w:rsidRPr="004044E8">
        <w:rPr>
          <w:rFonts w:ascii="Arial" w:hAnsi="Arial" w:cs="Arial"/>
          <w:lang w:val="es-ES"/>
        </w:rPr>
        <w:t xml:space="preserve">Mecanismo  de aseguramiento y criterios de elegibilidad y </w:t>
      </w:r>
      <w:r w:rsidR="00AB265D" w:rsidRPr="004044E8">
        <w:rPr>
          <w:rFonts w:ascii="Arial" w:hAnsi="Arial" w:cs="Arial"/>
          <w:lang w:val="es-ES"/>
        </w:rPr>
        <w:t>priorización</w:t>
      </w:r>
      <w:r w:rsidRPr="004044E8">
        <w:rPr>
          <w:rFonts w:ascii="Arial" w:hAnsi="Arial" w:cs="Arial"/>
          <w:lang w:val="es-ES"/>
        </w:rPr>
        <w:t xml:space="preserve">  para  las desvinculaciones</w:t>
      </w:r>
      <w:bookmarkEnd w:id="94"/>
    </w:p>
    <w:p w14:paraId="7FBE2A76" w14:textId="77777777" w:rsidR="001C7188" w:rsidRPr="004044E8" w:rsidRDefault="001C7188" w:rsidP="001C7188">
      <w:pPr>
        <w:pStyle w:val="ListParagraph"/>
        <w:numPr>
          <w:ilvl w:val="0"/>
          <w:numId w:val="0"/>
        </w:numPr>
        <w:tabs>
          <w:tab w:val="clear" w:pos="720"/>
        </w:tabs>
        <w:spacing w:before="0" w:after="100"/>
        <w:ind w:left="3978"/>
        <w:jc w:val="both"/>
        <w:rPr>
          <w:rFonts w:ascii="Arial" w:hAnsi="Arial" w:cs="Arial"/>
          <w:lang w:val="es-ES"/>
        </w:rPr>
      </w:pPr>
    </w:p>
    <w:p w14:paraId="6F616E17" w14:textId="0BA340E7" w:rsidR="007062B8" w:rsidRPr="004044E8" w:rsidRDefault="007062B8" w:rsidP="00C02EF4">
      <w:pPr>
        <w:pStyle w:val="Estilo1"/>
        <w:numPr>
          <w:ilvl w:val="1"/>
          <w:numId w:val="24"/>
        </w:numPr>
        <w:rPr>
          <w:rFonts w:ascii="Arial" w:hAnsi="Arial" w:cs="Arial"/>
        </w:rPr>
      </w:pPr>
      <w:r w:rsidRPr="004044E8">
        <w:rPr>
          <w:rFonts w:ascii="Arial" w:hAnsi="Arial" w:cs="Arial"/>
        </w:rPr>
        <w:t>Todo proceso de desvinculaci</w:t>
      </w:r>
      <w:r w:rsidR="007C0142" w:rsidRPr="004044E8">
        <w:rPr>
          <w:rFonts w:ascii="Arial" w:hAnsi="Arial" w:cs="Arial"/>
        </w:rPr>
        <w:t>ó</w:t>
      </w:r>
      <w:r w:rsidRPr="004044E8">
        <w:rPr>
          <w:rFonts w:ascii="Arial" w:hAnsi="Arial" w:cs="Arial"/>
        </w:rPr>
        <w:t>n debe tener el aval del MDT</w:t>
      </w:r>
      <w:r w:rsidR="00A56329" w:rsidRPr="004044E8">
        <w:rPr>
          <w:rFonts w:ascii="Arial" w:hAnsi="Arial" w:cs="Arial"/>
        </w:rPr>
        <w:t>, de los directorios de cada Empresa Pública y de EMCO, y posteriormente la entidad que la sustituya</w:t>
      </w:r>
      <w:r w:rsidRPr="004044E8">
        <w:rPr>
          <w:rFonts w:ascii="Arial" w:hAnsi="Arial" w:cs="Arial"/>
        </w:rPr>
        <w:t>. El dictamen del MDT consiste en la priorizaci</w:t>
      </w:r>
      <w:r w:rsidR="007C0142" w:rsidRPr="004044E8">
        <w:rPr>
          <w:rFonts w:ascii="Arial" w:hAnsi="Arial" w:cs="Arial"/>
        </w:rPr>
        <w:t>ó</w:t>
      </w:r>
      <w:r w:rsidRPr="004044E8">
        <w:rPr>
          <w:rFonts w:ascii="Arial" w:hAnsi="Arial" w:cs="Arial"/>
        </w:rPr>
        <w:t>n y emisi</w:t>
      </w:r>
      <w:r w:rsidR="007C0142" w:rsidRPr="004044E8">
        <w:rPr>
          <w:rFonts w:ascii="Arial" w:hAnsi="Arial" w:cs="Arial"/>
        </w:rPr>
        <w:t>ó</w:t>
      </w:r>
      <w:r w:rsidRPr="004044E8">
        <w:rPr>
          <w:rFonts w:ascii="Arial" w:hAnsi="Arial" w:cs="Arial"/>
        </w:rPr>
        <w:t xml:space="preserve">n del aval para el pago, el cual se elabora sobre la base de lo establecido en la normativa nacional. Sin el aval del MDT no se </w:t>
      </w:r>
      <w:r w:rsidR="00AB265D" w:rsidRPr="004044E8">
        <w:rPr>
          <w:rFonts w:ascii="Arial" w:hAnsi="Arial" w:cs="Arial"/>
        </w:rPr>
        <w:t>considerará</w:t>
      </w:r>
      <w:r w:rsidRPr="004044E8">
        <w:rPr>
          <w:rFonts w:ascii="Arial" w:hAnsi="Arial" w:cs="Arial"/>
        </w:rPr>
        <w:t xml:space="preserve"> elegible </w:t>
      </w:r>
      <w:r w:rsidR="00AB265D" w:rsidRPr="004044E8">
        <w:rPr>
          <w:rFonts w:ascii="Arial" w:hAnsi="Arial" w:cs="Arial"/>
        </w:rPr>
        <w:t>ningún</w:t>
      </w:r>
      <w:r w:rsidRPr="004044E8">
        <w:rPr>
          <w:rFonts w:ascii="Arial" w:hAnsi="Arial" w:cs="Arial"/>
        </w:rPr>
        <w:t xml:space="preserve"> tipo de desvinculaci</w:t>
      </w:r>
      <w:r w:rsidR="007C0142" w:rsidRPr="004044E8">
        <w:rPr>
          <w:rFonts w:ascii="Arial" w:hAnsi="Arial" w:cs="Arial"/>
        </w:rPr>
        <w:t>ó</w:t>
      </w:r>
      <w:r w:rsidRPr="004044E8">
        <w:rPr>
          <w:rFonts w:ascii="Arial" w:hAnsi="Arial" w:cs="Arial"/>
        </w:rPr>
        <w:t>n.</w:t>
      </w:r>
    </w:p>
    <w:p w14:paraId="07C96C15" w14:textId="77777777" w:rsidR="007062B8" w:rsidRPr="004044E8" w:rsidRDefault="007062B8" w:rsidP="001C7188">
      <w:pPr>
        <w:widowControl w:val="0"/>
        <w:tabs>
          <w:tab w:val="clear" w:pos="720"/>
          <w:tab w:val="left" w:pos="1204"/>
        </w:tabs>
        <w:spacing w:after="0"/>
        <w:ind w:left="1180"/>
        <w:rPr>
          <w:rFonts w:ascii="Arial" w:eastAsia="Arial" w:hAnsi="Arial" w:cs="Arial"/>
          <w:sz w:val="26"/>
          <w:szCs w:val="26"/>
        </w:rPr>
      </w:pPr>
    </w:p>
    <w:p w14:paraId="554421B1" w14:textId="77777777" w:rsidR="007062B8" w:rsidRPr="004044E8" w:rsidRDefault="007062B8" w:rsidP="00FD0DF3">
      <w:pPr>
        <w:pStyle w:val="Heading2"/>
        <w:numPr>
          <w:ilvl w:val="0"/>
          <w:numId w:val="38"/>
        </w:numPr>
        <w:rPr>
          <w:rFonts w:ascii="Arial" w:hAnsi="Arial" w:cs="Arial"/>
          <w:lang w:val="es-ES"/>
        </w:rPr>
      </w:pPr>
      <w:bookmarkStart w:id="95" w:name="_Toc10223133"/>
      <w:r w:rsidRPr="004044E8">
        <w:rPr>
          <w:rFonts w:ascii="Arial" w:hAnsi="Arial" w:cs="Arial"/>
          <w:lang w:val="es-ES"/>
        </w:rPr>
        <w:t>Auditorias</w:t>
      </w:r>
      <w:bookmarkEnd w:id="95"/>
    </w:p>
    <w:p w14:paraId="7D658022" w14:textId="327E0974" w:rsidR="007062B8" w:rsidRPr="004044E8" w:rsidRDefault="007062B8" w:rsidP="00C02EF4">
      <w:pPr>
        <w:pStyle w:val="Estilo1"/>
        <w:numPr>
          <w:ilvl w:val="1"/>
          <w:numId w:val="24"/>
        </w:numPr>
        <w:rPr>
          <w:rFonts w:ascii="Arial" w:hAnsi="Arial" w:cs="Arial"/>
        </w:rPr>
      </w:pPr>
      <w:r w:rsidRPr="004044E8">
        <w:rPr>
          <w:rFonts w:ascii="Arial" w:hAnsi="Arial" w:cs="Arial"/>
        </w:rPr>
        <w:t>Considerando que el nivel de errores encontrados en el pago de desvinculaciones laborales por las auditorias de programas similares ha sido bajo, las justificaciones o reembolsos de pagos relacionados con las desvinculaciones del Programa, no necesitar</w:t>
      </w:r>
      <w:r w:rsidR="000F2A09" w:rsidRPr="004044E8">
        <w:rPr>
          <w:rFonts w:ascii="Arial" w:hAnsi="Arial" w:cs="Arial"/>
        </w:rPr>
        <w:t>á</w:t>
      </w:r>
      <w:r w:rsidRPr="004044E8">
        <w:rPr>
          <w:rFonts w:ascii="Arial" w:hAnsi="Arial" w:cs="Arial"/>
        </w:rPr>
        <w:t>n ser respaldados al momento de su presentaci</w:t>
      </w:r>
      <w:r w:rsidR="000F2A09" w:rsidRPr="004044E8">
        <w:rPr>
          <w:rFonts w:ascii="Arial" w:hAnsi="Arial" w:cs="Arial"/>
        </w:rPr>
        <w:t>ó</w:t>
      </w:r>
      <w:r w:rsidRPr="004044E8">
        <w:rPr>
          <w:rFonts w:ascii="Arial" w:hAnsi="Arial" w:cs="Arial"/>
        </w:rPr>
        <w:t>n por un informe auditado, no obstante, este informe se presentara junto con los Estados Financieros Auditados. Los auditores efectuaran una revisi</w:t>
      </w:r>
      <w:r w:rsidR="000F2A09" w:rsidRPr="004044E8">
        <w:rPr>
          <w:rFonts w:ascii="Arial" w:hAnsi="Arial" w:cs="Arial"/>
        </w:rPr>
        <w:t>ó</w:t>
      </w:r>
      <w:r w:rsidRPr="004044E8">
        <w:rPr>
          <w:rFonts w:ascii="Arial" w:hAnsi="Arial" w:cs="Arial"/>
        </w:rPr>
        <w:t>n, bajo Aseguramiento Razonable, para verificar los registros, la documentaci</w:t>
      </w:r>
      <w:r w:rsidR="005963C6" w:rsidRPr="004044E8">
        <w:rPr>
          <w:rFonts w:ascii="Arial" w:hAnsi="Arial" w:cs="Arial"/>
        </w:rPr>
        <w:t>ó</w:t>
      </w:r>
      <w:r w:rsidRPr="004044E8">
        <w:rPr>
          <w:rFonts w:ascii="Arial" w:hAnsi="Arial" w:cs="Arial"/>
        </w:rPr>
        <w:t>n soporte y la pertinencia de los gastos efectuados, considerando lo indicado en el ROP. Si a</w:t>
      </w:r>
      <w:r w:rsidR="000F2A09" w:rsidRPr="004044E8">
        <w:rPr>
          <w:rFonts w:ascii="Arial" w:hAnsi="Arial" w:cs="Arial"/>
        </w:rPr>
        <w:t xml:space="preserve"> </w:t>
      </w:r>
      <w:r w:rsidRPr="004044E8">
        <w:rPr>
          <w:rFonts w:ascii="Arial" w:hAnsi="Arial" w:cs="Arial"/>
        </w:rPr>
        <w:t>criteri</w:t>
      </w:r>
      <w:r w:rsidR="000F2A09" w:rsidRPr="004044E8">
        <w:rPr>
          <w:rFonts w:ascii="Arial" w:hAnsi="Arial" w:cs="Arial"/>
        </w:rPr>
        <w:t>o</w:t>
      </w:r>
      <w:r w:rsidRPr="004044E8">
        <w:rPr>
          <w:rFonts w:ascii="Arial" w:hAnsi="Arial" w:cs="Arial"/>
        </w:rPr>
        <w:t xml:space="preserve"> del Banco se requiere que las justificaciones o reembolsos de gastos deban estar respaldados con informes auditados, se lo informara al ejecutor. Dicho trabajo de auditoria se real</w:t>
      </w:r>
      <w:r w:rsidR="000F2A09" w:rsidRPr="004044E8">
        <w:rPr>
          <w:rFonts w:ascii="Arial" w:hAnsi="Arial" w:cs="Arial"/>
        </w:rPr>
        <w:t>izará</w:t>
      </w:r>
      <w:r w:rsidRPr="004044E8">
        <w:rPr>
          <w:rFonts w:ascii="Arial" w:hAnsi="Arial" w:cs="Arial"/>
        </w:rPr>
        <w:t xml:space="preserve"> con base en </w:t>
      </w:r>
      <w:r w:rsidR="00AB265D" w:rsidRPr="004044E8">
        <w:rPr>
          <w:rFonts w:ascii="Arial" w:hAnsi="Arial" w:cs="Arial"/>
        </w:rPr>
        <w:t>términos</w:t>
      </w:r>
      <w:r w:rsidRPr="004044E8">
        <w:rPr>
          <w:rFonts w:ascii="Arial" w:hAnsi="Arial" w:cs="Arial"/>
        </w:rPr>
        <w:t xml:space="preserve"> de</w:t>
      </w:r>
      <w:r w:rsidR="000F2A09" w:rsidRPr="004044E8">
        <w:rPr>
          <w:rFonts w:ascii="Arial" w:hAnsi="Arial" w:cs="Arial"/>
        </w:rPr>
        <w:t xml:space="preserve"> </w:t>
      </w:r>
      <w:r w:rsidRPr="004044E8">
        <w:rPr>
          <w:rFonts w:ascii="Arial" w:hAnsi="Arial" w:cs="Arial"/>
        </w:rPr>
        <w:t>referencia previamente aprobados por el Banco</w:t>
      </w:r>
      <w:r w:rsidR="000F2A09" w:rsidRPr="004044E8">
        <w:rPr>
          <w:rFonts w:ascii="Arial" w:hAnsi="Arial" w:cs="Arial"/>
        </w:rPr>
        <w:t>.</w:t>
      </w:r>
    </w:p>
    <w:p w14:paraId="5DDD582E" w14:textId="41C7EC4F" w:rsidR="00001CD0" w:rsidRPr="004044E8" w:rsidRDefault="00545760" w:rsidP="00B94E33">
      <w:pPr>
        <w:pStyle w:val="Estilo1"/>
        <w:numPr>
          <w:ilvl w:val="0"/>
          <w:numId w:val="0"/>
        </w:numPr>
        <w:ind w:left="720"/>
        <w:rPr>
          <w:rFonts w:ascii="Arial" w:hAnsi="Arial" w:cs="Arial"/>
          <w:szCs w:val="20"/>
        </w:rPr>
      </w:pPr>
      <w:r w:rsidRPr="004044E8">
        <w:rPr>
          <w:rFonts w:ascii="Arial" w:hAnsi="Arial" w:cs="Arial"/>
        </w:rPr>
        <w:br w:type="page"/>
      </w:r>
    </w:p>
    <w:p w14:paraId="0F39A576" w14:textId="5467BA35" w:rsidR="002E10A9" w:rsidRPr="004044E8" w:rsidRDefault="00BA58FD" w:rsidP="00FA4527">
      <w:pPr>
        <w:pStyle w:val="Heading1"/>
        <w:rPr>
          <w:rFonts w:ascii="Arial" w:hAnsi="Arial" w:cs="Arial"/>
        </w:rPr>
      </w:pPr>
      <w:bookmarkStart w:id="96" w:name="_Toc424879247"/>
      <w:bookmarkStart w:id="97" w:name="_Toc454056474"/>
      <w:bookmarkStart w:id="98" w:name="_Toc10223134"/>
      <w:r w:rsidRPr="004044E8">
        <w:rPr>
          <w:rFonts w:ascii="Arial" w:hAnsi="Arial" w:cs="Arial"/>
        </w:rPr>
        <w:lastRenderedPageBreak/>
        <w:t xml:space="preserve">Enlaces y </w:t>
      </w:r>
      <w:r w:rsidR="002E10A9" w:rsidRPr="004044E8">
        <w:rPr>
          <w:rFonts w:ascii="Arial" w:hAnsi="Arial" w:cs="Arial"/>
        </w:rPr>
        <w:t>Anexos</w:t>
      </w:r>
      <w:bookmarkEnd w:id="96"/>
      <w:bookmarkEnd w:id="97"/>
      <w:bookmarkEnd w:id="98"/>
    </w:p>
    <w:p w14:paraId="318D56F1" w14:textId="77777777" w:rsidR="00917CBC" w:rsidRPr="004044E8" w:rsidRDefault="00D83EB9" w:rsidP="001C7188">
      <w:pPr>
        <w:pStyle w:val="Heading2"/>
        <w:numPr>
          <w:ilvl w:val="0"/>
          <w:numId w:val="4"/>
        </w:numPr>
        <w:rPr>
          <w:rFonts w:ascii="Arial" w:hAnsi="Arial" w:cs="Arial"/>
        </w:rPr>
      </w:pPr>
      <w:bookmarkStart w:id="99" w:name="_Toc424879248"/>
      <w:bookmarkStart w:id="100" w:name="_Toc454056475"/>
      <w:bookmarkStart w:id="101" w:name="_Toc10223135"/>
      <w:r w:rsidRPr="004044E8">
        <w:rPr>
          <w:rFonts w:ascii="Arial" w:hAnsi="Arial" w:cs="Arial"/>
        </w:rPr>
        <w:t xml:space="preserve">Enlaces </w:t>
      </w:r>
      <w:r w:rsidR="001F238B" w:rsidRPr="004044E8">
        <w:rPr>
          <w:rFonts w:ascii="Arial" w:hAnsi="Arial" w:cs="Arial"/>
        </w:rPr>
        <w:t xml:space="preserve">de </w:t>
      </w:r>
      <w:r w:rsidR="00F20E0E" w:rsidRPr="004044E8">
        <w:rPr>
          <w:rFonts w:ascii="Arial" w:hAnsi="Arial" w:cs="Arial"/>
        </w:rPr>
        <w:t>anexos</w:t>
      </w:r>
      <w:r w:rsidR="00140390" w:rsidRPr="004044E8">
        <w:rPr>
          <w:rFonts w:ascii="Arial" w:hAnsi="Arial" w:cs="Arial"/>
        </w:rPr>
        <w:t xml:space="preserve"> digitales</w:t>
      </w:r>
      <w:bookmarkEnd w:id="99"/>
      <w:bookmarkEnd w:id="100"/>
      <w:bookmarkEnd w:id="101"/>
    </w:p>
    <w:p w14:paraId="164D2270" w14:textId="77777777" w:rsidR="00D83EB9" w:rsidRPr="004044E8" w:rsidRDefault="00D83EB9" w:rsidP="00347325">
      <w:pPr>
        <w:rPr>
          <w:rFonts w:ascii="Arial" w:hAnsi="Arial" w:cs="Arial"/>
        </w:rPr>
      </w:pPr>
    </w:p>
    <w:p w14:paraId="282ECFB9" w14:textId="29E314AE" w:rsidR="002E57F7" w:rsidRPr="004044E8" w:rsidRDefault="002E57F7" w:rsidP="00347325">
      <w:pPr>
        <w:rPr>
          <w:rFonts w:ascii="Arial" w:hAnsi="Arial" w:cs="Arial"/>
        </w:rPr>
      </w:pPr>
      <w:r w:rsidRPr="004044E8">
        <w:rPr>
          <w:rFonts w:ascii="Arial" w:hAnsi="Arial" w:cs="Arial"/>
        </w:rPr>
        <w:t xml:space="preserve">Contrato de Préstamo </w:t>
      </w:r>
      <w:r w:rsidR="00A038B9" w:rsidRPr="004044E8">
        <w:rPr>
          <w:rFonts w:ascii="Arial" w:hAnsi="Arial" w:cs="Arial"/>
        </w:rPr>
        <w:t xml:space="preserve"> </w:t>
      </w:r>
      <w:r w:rsidR="00347325" w:rsidRPr="004044E8">
        <w:rPr>
          <w:rFonts w:ascii="Arial" w:hAnsi="Arial" w:cs="Arial"/>
        </w:rPr>
        <w:t>XXXX/</w:t>
      </w:r>
      <w:r w:rsidR="00A038B9" w:rsidRPr="004044E8">
        <w:rPr>
          <w:rFonts w:ascii="Arial" w:hAnsi="Arial" w:cs="Arial"/>
        </w:rPr>
        <w:t>OC-EC</w:t>
      </w:r>
      <w:r w:rsidRPr="004044E8">
        <w:rPr>
          <w:rFonts w:ascii="Arial" w:hAnsi="Arial" w:cs="Arial"/>
        </w:rPr>
        <w:t xml:space="preserve">  </w:t>
      </w:r>
    </w:p>
    <w:p w14:paraId="09418511" w14:textId="77777777" w:rsidR="00DF5661" w:rsidRPr="004044E8" w:rsidRDefault="00F20E0E" w:rsidP="00347325">
      <w:pPr>
        <w:rPr>
          <w:rFonts w:ascii="Arial" w:hAnsi="Arial" w:cs="Arial"/>
        </w:rPr>
      </w:pPr>
      <w:r w:rsidRPr="004044E8">
        <w:rPr>
          <w:rFonts w:ascii="Arial" w:hAnsi="Arial" w:cs="Arial"/>
        </w:rPr>
        <w:t xml:space="preserve">Políticas de Adquisiciones de Obras y Bienes Financiados por el </w:t>
      </w:r>
      <w:r w:rsidR="00A94B31" w:rsidRPr="004044E8">
        <w:rPr>
          <w:rFonts w:ascii="Arial" w:hAnsi="Arial" w:cs="Arial"/>
        </w:rPr>
        <w:t>BID (</w:t>
      </w:r>
      <w:r w:rsidRPr="004044E8">
        <w:rPr>
          <w:rFonts w:ascii="Arial" w:hAnsi="Arial" w:cs="Arial"/>
        </w:rPr>
        <w:t>GN-2349-9)</w:t>
      </w:r>
    </w:p>
    <w:p w14:paraId="319A9D77" w14:textId="77777777" w:rsidR="00D83EB9" w:rsidRPr="009F019B" w:rsidRDefault="00EF5D6E" w:rsidP="00347325">
      <w:pPr>
        <w:rPr>
          <w:rFonts w:ascii="Arial" w:hAnsi="Arial" w:cs="Arial"/>
        </w:rPr>
      </w:pPr>
      <w:hyperlink r:id="rId17" w:history="1">
        <w:r w:rsidR="00DF5661" w:rsidRPr="004044E8">
          <w:rPr>
            <w:rStyle w:val="Hyperlink"/>
            <w:rFonts w:ascii="Arial" w:hAnsi="Arial" w:cs="Arial"/>
          </w:rPr>
          <w:t>http://idbdocs.iadb.org/wsdocs/getdocument.aspx?docnum=774396</w:t>
        </w:r>
      </w:hyperlink>
    </w:p>
    <w:p w14:paraId="1397B23A" w14:textId="77777777" w:rsidR="0094337A" w:rsidRPr="004044E8" w:rsidRDefault="00F20E0E" w:rsidP="00347325">
      <w:pPr>
        <w:rPr>
          <w:rFonts w:ascii="Arial" w:hAnsi="Arial" w:cs="Arial"/>
        </w:rPr>
      </w:pPr>
      <w:r w:rsidRPr="004044E8">
        <w:rPr>
          <w:rFonts w:ascii="Arial" w:hAnsi="Arial" w:cs="Arial"/>
        </w:rPr>
        <w:t>Políticas de Adquisiciones de Consultores Financiados por el BID (GN-2350-9)</w:t>
      </w:r>
    </w:p>
    <w:p w14:paraId="3D9D264C" w14:textId="77777777" w:rsidR="00DF5661" w:rsidRPr="009F019B" w:rsidRDefault="00EF5D6E" w:rsidP="00347325">
      <w:pPr>
        <w:rPr>
          <w:rFonts w:ascii="Arial" w:hAnsi="Arial" w:cs="Arial"/>
        </w:rPr>
      </w:pPr>
      <w:hyperlink r:id="rId18" w:history="1">
        <w:r w:rsidR="0094337A" w:rsidRPr="004044E8">
          <w:rPr>
            <w:rStyle w:val="Hyperlink"/>
            <w:rFonts w:ascii="Arial" w:hAnsi="Arial" w:cs="Arial"/>
          </w:rPr>
          <w:t>http://idbdocs.iadb.org/wsdocs/getdocument.aspx?docnum=774399</w:t>
        </w:r>
      </w:hyperlink>
    </w:p>
    <w:p w14:paraId="50D31989" w14:textId="77777777" w:rsidR="00105C06" w:rsidRPr="004044E8" w:rsidRDefault="00105C06" w:rsidP="00347325">
      <w:pPr>
        <w:rPr>
          <w:rFonts w:ascii="Arial" w:hAnsi="Arial" w:cs="Arial"/>
        </w:rPr>
      </w:pPr>
      <w:r w:rsidRPr="004044E8">
        <w:rPr>
          <w:rFonts w:ascii="Arial" w:hAnsi="Arial" w:cs="Arial"/>
        </w:rPr>
        <w:t xml:space="preserve">Documentos Estándar de Adquisiciones </w:t>
      </w:r>
    </w:p>
    <w:p w14:paraId="4D877423" w14:textId="77777777" w:rsidR="00105C06" w:rsidRPr="004044E8" w:rsidRDefault="00EF5D6E" w:rsidP="00347325">
      <w:pPr>
        <w:rPr>
          <w:rFonts w:ascii="Arial" w:hAnsi="Arial" w:cs="Arial"/>
        </w:rPr>
      </w:pPr>
      <w:hyperlink r:id="rId19" w:history="1">
        <w:r w:rsidR="00105C06" w:rsidRPr="004044E8">
          <w:rPr>
            <w:rStyle w:val="Hyperlink"/>
            <w:rFonts w:ascii="Arial" w:hAnsi="Arial" w:cs="Arial"/>
          </w:rPr>
          <w:t>http://www.iadb.org/es/adquisiciones-de-proyectos/documentos-estandar-de-adquisiciones-del-banco-interamericano-de-desarrollo,8183.html</w:t>
        </w:r>
      </w:hyperlink>
      <w:r w:rsidR="00105C06" w:rsidRPr="009F019B">
        <w:rPr>
          <w:rFonts w:ascii="Arial" w:hAnsi="Arial" w:cs="Arial"/>
        </w:rPr>
        <w:t>.</w:t>
      </w:r>
    </w:p>
    <w:p w14:paraId="03DB270A" w14:textId="750AEFBB" w:rsidR="00B54323" w:rsidRPr="004044E8" w:rsidRDefault="00B54323" w:rsidP="00347325">
      <w:pPr>
        <w:rPr>
          <w:rFonts w:ascii="Arial" w:hAnsi="Arial" w:cs="Arial"/>
        </w:rPr>
      </w:pPr>
      <w:r w:rsidRPr="004044E8">
        <w:rPr>
          <w:rFonts w:ascii="Arial" w:hAnsi="Arial" w:cs="Arial"/>
        </w:rPr>
        <w:t xml:space="preserve">Uso de Sistemas Nacionales de Adquisiciones </w:t>
      </w:r>
    </w:p>
    <w:p w14:paraId="09756322" w14:textId="0FE73FA2" w:rsidR="00B54323" w:rsidRPr="009F019B" w:rsidRDefault="00EF5D6E" w:rsidP="00347325">
      <w:pPr>
        <w:rPr>
          <w:rFonts w:ascii="Arial" w:hAnsi="Arial" w:cs="Arial"/>
        </w:rPr>
      </w:pPr>
      <w:hyperlink r:id="rId20" w:history="1">
        <w:r w:rsidR="00B54323" w:rsidRPr="004044E8">
          <w:rPr>
            <w:rStyle w:val="Hyperlink"/>
            <w:rFonts w:ascii="Arial" w:hAnsi="Arial" w:cs="Arial"/>
          </w:rPr>
          <w:t>http://cecbidtoolkit.org/Uso-de-Sistema-de-Adquisiciones-Nacionales.php</w:t>
        </w:r>
      </w:hyperlink>
    </w:p>
    <w:p w14:paraId="4CEA9E04" w14:textId="77777777" w:rsidR="00042106" w:rsidRPr="004044E8" w:rsidRDefault="00042106" w:rsidP="00105C06">
      <w:pPr>
        <w:ind w:left="708"/>
        <w:rPr>
          <w:rFonts w:ascii="Arial" w:hAnsi="Arial" w:cs="Arial"/>
        </w:rPr>
      </w:pPr>
    </w:p>
    <w:p w14:paraId="0B1232F8" w14:textId="3FB0EDC5" w:rsidR="00140390" w:rsidRPr="004044E8" w:rsidRDefault="00140390" w:rsidP="001C7188">
      <w:pPr>
        <w:pStyle w:val="Heading2"/>
        <w:rPr>
          <w:rFonts w:ascii="Arial" w:hAnsi="Arial" w:cs="Arial"/>
        </w:rPr>
      </w:pPr>
      <w:bookmarkStart w:id="102" w:name="_Toc454056476"/>
      <w:bookmarkStart w:id="103" w:name="_Toc10223136"/>
      <w:bookmarkStart w:id="104" w:name="_Toc424879249"/>
      <w:r w:rsidRPr="004044E8">
        <w:rPr>
          <w:rFonts w:ascii="Arial" w:hAnsi="Arial" w:cs="Arial"/>
        </w:rPr>
        <w:t>Anexos</w:t>
      </w:r>
      <w:bookmarkEnd w:id="102"/>
      <w:bookmarkEnd w:id="103"/>
      <w:r w:rsidRPr="004044E8">
        <w:rPr>
          <w:rFonts w:ascii="Arial" w:hAnsi="Arial" w:cs="Arial"/>
        </w:rPr>
        <w:t xml:space="preserve"> </w:t>
      </w:r>
      <w:bookmarkEnd w:id="104"/>
    </w:p>
    <w:p w14:paraId="543A15F4" w14:textId="33DA356F" w:rsidR="00017A81" w:rsidRPr="004044E8" w:rsidRDefault="003B1B29" w:rsidP="0062492F">
      <w:pPr>
        <w:pStyle w:val="ListParagraph"/>
        <w:rPr>
          <w:rFonts w:ascii="Arial" w:hAnsi="Arial" w:cs="Arial"/>
        </w:rPr>
      </w:pPr>
      <w:r w:rsidRPr="004044E8">
        <w:rPr>
          <w:rFonts w:ascii="Arial" w:hAnsi="Arial" w:cs="Arial"/>
        </w:rPr>
        <w:t xml:space="preserve">Los </w:t>
      </w:r>
      <w:r w:rsidR="00001CD0" w:rsidRPr="004044E8">
        <w:rPr>
          <w:rFonts w:ascii="Arial" w:hAnsi="Arial" w:cs="Arial"/>
        </w:rPr>
        <w:t xml:space="preserve">anexos </w:t>
      </w:r>
      <w:r w:rsidR="004D4A3A" w:rsidRPr="004044E8">
        <w:rPr>
          <w:rFonts w:ascii="Arial" w:hAnsi="Arial" w:cs="Arial"/>
        </w:rPr>
        <w:t>que s</w:t>
      </w:r>
      <w:r w:rsidR="00017A81" w:rsidRPr="004044E8">
        <w:rPr>
          <w:rFonts w:ascii="Arial" w:hAnsi="Arial" w:cs="Arial"/>
        </w:rPr>
        <w:t>e adjuntan</w:t>
      </w:r>
      <w:r w:rsidRPr="004044E8">
        <w:rPr>
          <w:rFonts w:ascii="Arial" w:hAnsi="Arial" w:cs="Arial"/>
        </w:rPr>
        <w:t xml:space="preserve">, </w:t>
      </w:r>
      <w:r w:rsidR="005F3881" w:rsidRPr="004044E8">
        <w:rPr>
          <w:rFonts w:ascii="Arial" w:hAnsi="Arial" w:cs="Arial"/>
        </w:rPr>
        <w:t xml:space="preserve">deberán mantenerse </w:t>
      </w:r>
      <w:r w:rsidR="00411DD0" w:rsidRPr="004044E8">
        <w:rPr>
          <w:rFonts w:ascii="Arial" w:hAnsi="Arial" w:cs="Arial"/>
        </w:rPr>
        <w:t>actualizados de</w:t>
      </w:r>
      <w:r w:rsidR="005F3881" w:rsidRPr="004044E8">
        <w:rPr>
          <w:rFonts w:ascii="Arial" w:hAnsi="Arial" w:cs="Arial"/>
        </w:rPr>
        <w:t xml:space="preserve"> acuerdo a lo </w:t>
      </w:r>
      <w:r w:rsidR="004D4A3A" w:rsidRPr="004044E8">
        <w:rPr>
          <w:rFonts w:ascii="Arial" w:hAnsi="Arial" w:cs="Arial"/>
        </w:rPr>
        <w:t>establecido en el presente RO</w:t>
      </w:r>
      <w:r w:rsidR="00017A81" w:rsidRPr="004044E8">
        <w:rPr>
          <w:rFonts w:ascii="Arial" w:hAnsi="Arial" w:cs="Arial"/>
        </w:rPr>
        <w:t>:</w:t>
      </w:r>
    </w:p>
    <w:p w14:paraId="7984BCAE" w14:textId="3A54E76A" w:rsidR="005F3881" w:rsidRPr="004044E8" w:rsidRDefault="0090704D" w:rsidP="0062492F">
      <w:pPr>
        <w:pStyle w:val="ListParagraph"/>
        <w:rPr>
          <w:rFonts w:ascii="Arial" w:hAnsi="Arial" w:cs="Arial"/>
        </w:rPr>
      </w:pPr>
      <w:r w:rsidRPr="004044E8">
        <w:rPr>
          <w:rFonts w:ascii="Arial" w:hAnsi="Arial" w:cs="Arial"/>
        </w:rPr>
        <w:t xml:space="preserve">Convenios </w:t>
      </w:r>
      <w:r w:rsidR="007C0142" w:rsidRPr="004044E8">
        <w:rPr>
          <w:rFonts w:ascii="Arial" w:hAnsi="Arial" w:cs="Arial"/>
        </w:rPr>
        <w:t xml:space="preserve">Subsidiarios y </w:t>
      </w:r>
      <w:r w:rsidRPr="004044E8">
        <w:rPr>
          <w:rFonts w:ascii="Arial" w:hAnsi="Arial" w:cs="Arial"/>
        </w:rPr>
        <w:t xml:space="preserve">Convenios </w:t>
      </w:r>
      <w:r w:rsidR="007C0142" w:rsidRPr="004044E8">
        <w:rPr>
          <w:rFonts w:ascii="Arial" w:hAnsi="Arial" w:cs="Arial"/>
        </w:rPr>
        <w:t xml:space="preserve">de Cumplimiento de Objetivos </w:t>
      </w:r>
      <w:r w:rsidRPr="004044E8">
        <w:rPr>
          <w:rFonts w:ascii="Arial" w:hAnsi="Arial" w:cs="Arial"/>
        </w:rPr>
        <w:t>una vez que sean suscritos</w:t>
      </w:r>
    </w:p>
    <w:p w14:paraId="220E8329" w14:textId="77777777" w:rsidR="00E24251" w:rsidRPr="00657054" w:rsidRDefault="00E24251" w:rsidP="00E24251">
      <w:pPr>
        <w:spacing w:after="0"/>
        <w:contextualSpacing/>
        <w:rPr>
          <w:rFonts w:ascii="Arial" w:hAnsi="Arial" w:cs="Arial"/>
          <w:szCs w:val="20"/>
        </w:rPr>
      </w:pPr>
    </w:p>
    <w:p w14:paraId="21CA8BB2" w14:textId="77777777" w:rsidR="00E24251" w:rsidRPr="00657054" w:rsidRDefault="00E24251" w:rsidP="00E24251">
      <w:pPr>
        <w:spacing w:after="0"/>
        <w:contextualSpacing/>
        <w:rPr>
          <w:rFonts w:ascii="Arial" w:hAnsi="Arial" w:cs="Arial"/>
          <w:szCs w:val="20"/>
        </w:rPr>
      </w:pPr>
    </w:p>
    <w:sectPr w:rsidR="00E24251" w:rsidRPr="00657054" w:rsidSect="00542D63">
      <w:headerReference w:type="even" r:id="rId21"/>
      <w:headerReference w:type="default" r:id="rId22"/>
      <w:footerReference w:type="even" r:id="rId23"/>
      <w:footerReference w:type="default" r:id="rId24"/>
      <w:headerReference w:type="first" r:id="rId25"/>
      <w:footerReference w:type="first" r:id="rId26"/>
      <w:pgSz w:w="11906" w:h="16838"/>
      <w:pgMar w:top="1417" w:right="1418"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C5374F" w14:textId="77777777" w:rsidR="00EF5D6E" w:rsidRDefault="00EF5D6E" w:rsidP="004D1C1C">
      <w:pPr>
        <w:spacing w:after="0"/>
      </w:pPr>
      <w:r>
        <w:separator/>
      </w:r>
    </w:p>
  </w:endnote>
  <w:endnote w:type="continuationSeparator" w:id="0">
    <w:p w14:paraId="39FA0FE1" w14:textId="77777777" w:rsidR="00EF5D6E" w:rsidRDefault="00EF5D6E" w:rsidP="004D1C1C">
      <w:pPr>
        <w:spacing w:after="0"/>
      </w:pPr>
      <w:r>
        <w:continuationSeparator/>
      </w:r>
    </w:p>
  </w:endnote>
  <w:endnote w:type="continuationNotice" w:id="1">
    <w:p w14:paraId="365026B5" w14:textId="77777777" w:rsidR="00EF5D6E" w:rsidRDefault="00EF5D6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3BBB6" w14:textId="77777777" w:rsidR="00B96394" w:rsidRDefault="00B96394">
    <w:pPr>
      <w:pStyle w:val="Footer"/>
    </w:pPr>
  </w:p>
  <w:p w14:paraId="383E0D42" w14:textId="77777777" w:rsidR="00B96394" w:rsidRDefault="00B9639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224127569"/>
      <w:docPartObj>
        <w:docPartGallery w:val="Page Numbers (Bottom of Page)"/>
        <w:docPartUnique/>
      </w:docPartObj>
    </w:sdtPr>
    <w:sdtEndPr/>
    <w:sdtContent>
      <w:sdt>
        <w:sdtPr>
          <w:rPr>
            <w:sz w:val="16"/>
            <w:szCs w:val="16"/>
          </w:rPr>
          <w:id w:val="-1133943987"/>
          <w:docPartObj>
            <w:docPartGallery w:val="Page Numbers (Top of Page)"/>
            <w:docPartUnique/>
          </w:docPartObj>
        </w:sdtPr>
        <w:sdtEndPr/>
        <w:sdtContent>
          <w:p w14:paraId="44FFD293" w14:textId="77777777" w:rsidR="00B96394" w:rsidRPr="00E87FE6" w:rsidRDefault="00B96394">
            <w:pPr>
              <w:pStyle w:val="Footer"/>
              <w:jc w:val="right"/>
              <w:rPr>
                <w:sz w:val="16"/>
                <w:szCs w:val="16"/>
              </w:rPr>
            </w:pPr>
            <w:r w:rsidRPr="00E87FE6">
              <w:rPr>
                <w:sz w:val="16"/>
                <w:szCs w:val="16"/>
                <w:lang w:val="es-ES"/>
              </w:rPr>
              <w:t xml:space="preserve">Página </w:t>
            </w:r>
            <w:r w:rsidRPr="00E87FE6">
              <w:rPr>
                <w:b/>
                <w:bCs/>
                <w:sz w:val="16"/>
                <w:szCs w:val="16"/>
              </w:rPr>
              <w:fldChar w:fldCharType="begin"/>
            </w:r>
            <w:r w:rsidRPr="00E87FE6">
              <w:rPr>
                <w:b/>
                <w:bCs/>
                <w:sz w:val="16"/>
                <w:szCs w:val="16"/>
              </w:rPr>
              <w:instrText>PAGE</w:instrText>
            </w:r>
            <w:r w:rsidRPr="00E87FE6">
              <w:rPr>
                <w:b/>
                <w:bCs/>
                <w:sz w:val="16"/>
                <w:szCs w:val="16"/>
              </w:rPr>
              <w:fldChar w:fldCharType="separate"/>
            </w:r>
            <w:r>
              <w:rPr>
                <w:b/>
                <w:bCs/>
                <w:noProof/>
                <w:sz w:val="16"/>
                <w:szCs w:val="16"/>
              </w:rPr>
              <w:t>29</w:t>
            </w:r>
            <w:r w:rsidRPr="00E87FE6">
              <w:rPr>
                <w:b/>
                <w:bCs/>
                <w:sz w:val="16"/>
                <w:szCs w:val="16"/>
              </w:rPr>
              <w:fldChar w:fldCharType="end"/>
            </w:r>
            <w:r w:rsidRPr="00E87FE6">
              <w:rPr>
                <w:sz w:val="16"/>
                <w:szCs w:val="16"/>
                <w:lang w:val="es-ES"/>
              </w:rPr>
              <w:t xml:space="preserve"> de </w:t>
            </w:r>
            <w:r w:rsidRPr="00E87FE6">
              <w:rPr>
                <w:b/>
                <w:bCs/>
                <w:sz w:val="16"/>
                <w:szCs w:val="16"/>
              </w:rPr>
              <w:fldChar w:fldCharType="begin"/>
            </w:r>
            <w:r w:rsidRPr="00E87FE6">
              <w:rPr>
                <w:b/>
                <w:bCs/>
                <w:sz w:val="16"/>
                <w:szCs w:val="16"/>
              </w:rPr>
              <w:instrText>NUMPAGES</w:instrText>
            </w:r>
            <w:r w:rsidRPr="00E87FE6">
              <w:rPr>
                <w:b/>
                <w:bCs/>
                <w:sz w:val="16"/>
                <w:szCs w:val="16"/>
              </w:rPr>
              <w:fldChar w:fldCharType="separate"/>
            </w:r>
            <w:r>
              <w:rPr>
                <w:b/>
                <w:bCs/>
                <w:noProof/>
                <w:sz w:val="16"/>
                <w:szCs w:val="16"/>
              </w:rPr>
              <w:t>30</w:t>
            </w:r>
            <w:r w:rsidRPr="00E87FE6">
              <w:rPr>
                <w:b/>
                <w:bCs/>
                <w:sz w:val="16"/>
                <w:szCs w:val="16"/>
              </w:rPr>
              <w:fldChar w:fldCharType="end"/>
            </w:r>
          </w:p>
        </w:sdtContent>
      </w:sdt>
    </w:sdtContent>
  </w:sdt>
  <w:p w14:paraId="253E38F5" w14:textId="77777777" w:rsidR="00B96394" w:rsidRDefault="00B96394">
    <w:pPr>
      <w:pStyle w:val="Footer"/>
    </w:pPr>
  </w:p>
  <w:p w14:paraId="3B9D0C2B" w14:textId="77777777" w:rsidR="00B96394" w:rsidRDefault="00B9639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582D8" w14:textId="77777777" w:rsidR="00B96394" w:rsidRDefault="00B963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D9C8D" w14:textId="77777777" w:rsidR="00EF5D6E" w:rsidRDefault="00EF5D6E" w:rsidP="004D1C1C">
      <w:pPr>
        <w:spacing w:after="0"/>
      </w:pPr>
      <w:r>
        <w:separator/>
      </w:r>
    </w:p>
  </w:footnote>
  <w:footnote w:type="continuationSeparator" w:id="0">
    <w:p w14:paraId="34BDC450" w14:textId="77777777" w:rsidR="00EF5D6E" w:rsidRDefault="00EF5D6E" w:rsidP="004D1C1C">
      <w:pPr>
        <w:spacing w:after="0"/>
      </w:pPr>
      <w:r>
        <w:continuationSeparator/>
      </w:r>
    </w:p>
  </w:footnote>
  <w:footnote w:type="continuationNotice" w:id="1">
    <w:p w14:paraId="5FC087B4" w14:textId="77777777" w:rsidR="00EF5D6E" w:rsidRDefault="00EF5D6E">
      <w:pPr>
        <w:spacing w:after="0"/>
      </w:pPr>
    </w:p>
  </w:footnote>
  <w:footnote w:id="2">
    <w:p w14:paraId="713411FA" w14:textId="77777777" w:rsidR="00B96394" w:rsidRDefault="00B96394" w:rsidP="008C42E1">
      <w:pPr>
        <w:pStyle w:val="FootnoteText"/>
      </w:pPr>
      <w:r>
        <w:rPr>
          <w:rStyle w:val="FootnoteReference"/>
        </w:rPr>
        <w:footnoteRef/>
      </w:r>
      <w:r>
        <w:t xml:space="preserve"> </w:t>
      </w:r>
      <w:r w:rsidRPr="009F41B1">
        <w:tab/>
        <w:t>(i) la Constitución; (</w:t>
      </w:r>
      <w:proofErr w:type="spellStart"/>
      <w:r w:rsidRPr="009F41B1">
        <w:t>ii</w:t>
      </w:r>
      <w:proofErr w:type="spellEnd"/>
      <w:r w:rsidRPr="009F41B1">
        <w:t>) los tratados y convenios internacionales; (</w:t>
      </w:r>
      <w:proofErr w:type="spellStart"/>
      <w:r w:rsidRPr="009F41B1">
        <w:t>iii</w:t>
      </w:r>
      <w:proofErr w:type="spellEnd"/>
      <w:r w:rsidRPr="009F41B1">
        <w:t>) las leyes orgánicas; (</w:t>
      </w:r>
      <w:proofErr w:type="spellStart"/>
      <w:r w:rsidRPr="009F41B1">
        <w:t>iv</w:t>
      </w:r>
      <w:proofErr w:type="spellEnd"/>
      <w:r w:rsidRPr="009F41B1">
        <w:t>) las leyes ordinarias; (v) las normas regionales y las ordenanzas distritales; (vi) los decretos y reglamentos; (</w:t>
      </w:r>
      <w:proofErr w:type="spellStart"/>
      <w:r w:rsidRPr="009F41B1">
        <w:t>vii</w:t>
      </w:r>
      <w:proofErr w:type="spellEnd"/>
      <w:r w:rsidRPr="009F41B1">
        <w:t>) las ordenanzas; los acuerdos y las resoluciones; y (</w:t>
      </w:r>
      <w:proofErr w:type="spellStart"/>
      <w:r w:rsidRPr="009F41B1">
        <w:t>viii</w:t>
      </w:r>
      <w:proofErr w:type="spellEnd"/>
      <w:r w:rsidRPr="009F41B1">
        <w:t>) los demás actos y decisiones de los poderes públicos.</w:t>
      </w:r>
    </w:p>
  </w:footnote>
  <w:footnote w:id="3">
    <w:p w14:paraId="47B725E3" w14:textId="77777777" w:rsidR="003D4514" w:rsidRPr="00FC7E53" w:rsidRDefault="003D4514" w:rsidP="003D4514">
      <w:pPr>
        <w:pStyle w:val="FootnoteText"/>
        <w:contextualSpacing/>
        <w:rPr>
          <w:rFonts w:cs="Arial"/>
          <w:sz w:val="18"/>
          <w:szCs w:val="18"/>
        </w:rPr>
      </w:pPr>
      <w:r w:rsidRPr="00FC7E53">
        <w:rPr>
          <w:rStyle w:val="FootnoteReference"/>
          <w:rFonts w:cs="Arial"/>
          <w:sz w:val="18"/>
          <w:szCs w:val="18"/>
        </w:rPr>
        <w:footnoteRef/>
      </w:r>
      <w:r w:rsidRPr="00FC7E53">
        <w:rPr>
          <w:rFonts w:cs="Arial"/>
          <w:sz w:val="18"/>
          <w:szCs w:val="18"/>
        </w:rPr>
        <w:t xml:space="preserve"> </w:t>
      </w:r>
      <w:r>
        <w:rPr>
          <w:rFonts w:cs="Arial"/>
          <w:sz w:val="18"/>
          <w:szCs w:val="18"/>
        </w:rPr>
        <w:tab/>
      </w:r>
      <w:r w:rsidRPr="00FC7E53">
        <w:rPr>
          <w:rFonts w:cs="Arial"/>
          <w:sz w:val="18"/>
          <w:szCs w:val="18"/>
        </w:rPr>
        <w:t xml:space="preserve">La propuesta de reforma de la LOEP </w:t>
      </w:r>
      <w:r w:rsidRPr="00FC7E53">
        <w:rPr>
          <w:rFonts w:cs="Arial"/>
          <w:sz w:val="18"/>
          <w:szCs w:val="18"/>
          <w:lang w:val="es-ES"/>
        </w:rPr>
        <w:t>se apoyará mediante la ATN/OC-17299-EC</w:t>
      </w:r>
      <w:r w:rsidRPr="00FC7E53">
        <w:rPr>
          <w:rFonts w:cs="Arial"/>
          <w:sz w:val="18"/>
          <w:szCs w:val="18"/>
        </w:rPr>
        <w:t>.</w:t>
      </w:r>
    </w:p>
  </w:footnote>
  <w:footnote w:id="4">
    <w:p w14:paraId="5835421E" w14:textId="77777777" w:rsidR="003D4514" w:rsidRPr="00FC7E53" w:rsidRDefault="003D4514" w:rsidP="003D4514">
      <w:pPr>
        <w:pStyle w:val="FootnoteText"/>
        <w:contextualSpacing/>
        <w:rPr>
          <w:rFonts w:cs="Arial"/>
          <w:sz w:val="18"/>
          <w:szCs w:val="18"/>
        </w:rPr>
      </w:pPr>
      <w:r w:rsidRPr="00FC7E53">
        <w:rPr>
          <w:rStyle w:val="FootnoteReference"/>
          <w:rFonts w:cs="Arial"/>
          <w:sz w:val="18"/>
          <w:szCs w:val="18"/>
        </w:rPr>
        <w:footnoteRef/>
      </w:r>
      <w:r w:rsidRPr="00FC7E53">
        <w:rPr>
          <w:rFonts w:cs="Arial"/>
          <w:sz w:val="18"/>
          <w:szCs w:val="18"/>
        </w:rPr>
        <w:t xml:space="preserve"> </w:t>
      </w:r>
      <w:r w:rsidRPr="00FC7E53">
        <w:rPr>
          <w:rFonts w:cs="Arial"/>
          <w:sz w:val="18"/>
          <w:szCs w:val="18"/>
        </w:rPr>
        <w:tab/>
        <w:t xml:space="preserve">Según directrices de la </w:t>
      </w:r>
      <w:r w:rsidRPr="00FC7E53">
        <w:rPr>
          <w:rFonts w:cs="Arial"/>
          <w:sz w:val="18"/>
          <w:szCs w:val="18"/>
        </w:rPr>
        <w:fldChar w:fldCharType="begin"/>
      </w:r>
      <w:r w:rsidRPr="00FC7E53">
        <w:rPr>
          <w:rFonts w:cs="Arial"/>
          <w:sz w:val="18"/>
          <w:szCs w:val="18"/>
        </w:rPr>
        <w:instrText xml:space="preserve"> ADDIN EN.CITE &lt;EndNote&gt;&lt;Cite&gt;&lt;Author&gt;OECD&lt;/Author&gt;&lt;Year&gt;2016&lt;/Year&gt;&lt;RecNum&gt;5&lt;/RecNum&gt;&lt;DisplayText&gt;OECD 2016&lt;/DisplayText&gt;&lt;record&gt;&lt;rec-number&gt;5&lt;/rec-number&gt;&lt;foreign-keys&gt;&lt;key app="EN" db-id="02zxxw05urrpste9z5uxf0fhatp05e0spft0" timestamp="1536678685"&gt;5&lt;/key&gt;&lt;/foreign-keys&gt;&lt;ref-type name="Book"&gt;6&lt;/ref-type&gt;&lt;contributors&gt;&lt;authors&gt;&lt;author&gt;OECD&lt;/author&gt;&lt;/authors&gt;&lt;/contributors&gt;&lt;titles&gt;&lt;title&gt;Directrices de la OCDE sobre el Gobierno Corporativo de las Empresas Públicas -Edición 2015&lt;/title&gt;&lt;/titles&gt;&lt;dates&gt;&lt;year&gt;2016&lt;/year&gt;&lt;/dates&gt;&lt;pub-location&gt;Paris&lt;/pub-location&gt;&lt;publisher&gt;Éditions OCDE&lt;/publisher&gt;&lt;urls&gt;&lt;/urls&gt;&lt;/record&gt;&lt;/Cite&gt;&lt;/EndNote&gt;</w:instrText>
      </w:r>
      <w:r w:rsidRPr="00FC7E53">
        <w:rPr>
          <w:rFonts w:cs="Arial"/>
          <w:sz w:val="18"/>
          <w:szCs w:val="18"/>
        </w:rPr>
        <w:fldChar w:fldCharType="separate"/>
      </w:r>
      <w:r w:rsidRPr="00FC7E53">
        <w:rPr>
          <w:rFonts w:cs="Arial"/>
          <w:sz w:val="18"/>
          <w:szCs w:val="18"/>
        </w:rPr>
        <w:t>OCD</w:t>
      </w:r>
      <w:r>
        <w:rPr>
          <w:rFonts w:cs="Arial"/>
          <w:sz w:val="18"/>
          <w:szCs w:val="18"/>
        </w:rPr>
        <w:t>E</w:t>
      </w:r>
      <w:r w:rsidRPr="00FC7E53">
        <w:rPr>
          <w:rFonts w:cs="Arial"/>
          <w:sz w:val="18"/>
          <w:szCs w:val="18"/>
        </w:rPr>
        <w:t xml:space="preserve"> 2016</w:t>
      </w:r>
      <w:r w:rsidRPr="00FC7E53">
        <w:rPr>
          <w:rFonts w:cs="Arial"/>
          <w:sz w:val="18"/>
          <w:szCs w:val="18"/>
        </w:rPr>
        <w:fldChar w:fldCharType="end"/>
      </w:r>
      <w:r w:rsidRPr="00FC7E53">
        <w:rPr>
          <w:rFonts w:cs="Arial"/>
          <w:spacing w:val="0"/>
          <w:sz w:val="18"/>
          <w:szCs w:val="18"/>
        </w:rPr>
        <w:t xml:space="preserve"> </w:t>
      </w:r>
      <w:r w:rsidRPr="00FC7E53">
        <w:rPr>
          <w:rFonts w:cs="Arial"/>
          <w:sz w:val="18"/>
          <w:szCs w:val="18"/>
        </w:rPr>
        <w:t xml:space="preserve">sobre </w:t>
      </w:r>
      <w:r>
        <w:rPr>
          <w:rFonts w:cs="Arial"/>
          <w:sz w:val="18"/>
          <w:szCs w:val="18"/>
        </w:rPr>
        <w:t>gobierno</w:t>
      </w:r>
      <w:r w:rsidRPr="00FC7E53">
        <w:rPr>
          <w:rFonts w:cs="Arial"/>
          <w:sz w:val="18"/>
          <w:szCs w:val="18"/>
        </w:rPr>
        <w:t xml:space="preserve"> </w:t>
      </w:r>
      <w:r>
        <w:rPr>
          <w:rFonts w:cs="Arial"/>
          <w:sz w:val="18"/>
          <w:szCs w:val="18"/>
        </w:rPr>
        <w:t>c</w:t>
      </w:r>
      <w:r w:rsidRPr="00FC7E53">
        <w:rPr>
          <w:rFonts w:cs="Arial"/>
          <w:sz w:val="18"/>
          <w:szCs w:val="18"/>
        </w:rPr>
        <w:t xml:space="preserve">orporativo de EEPP. </w:t>
      </w:r>
    </w:p>
  </w:footnote>
  <w:footnote w:id="5">
    <w:p w14:paraId="0E364BC6" w14:textId="77777777" w:rsidR="003D4514" w:rsidRPr="00FC7E53" w:rsidRDefault="003D4514" w:rsidP="003D4514">
      <w:pPr>
        <w:pStyle w:val="FootnoteText"/>
        <w:contextualSpacing/>
        <w:rPr>
          <w:rFonts w:cs="Arial"/>
          <w:sz w:val="18"/>
          <w:szCs w:val="18"/>
        </w:rPr>
      </w:pPr>
      <w:r w:rsidRPr="00FC7E53">
        <w:rPr>
          <w:rStyle w:val="FootnoteReference"/>
          <w:rFonts w:cs="Arial"/>
          <w:sz w:val="18"/>
          <w:szCs w:val="18"/>
        </w:rPr>
        <w:footnoteRef/>
      </w:r>
      <w:r w:rsidRPr="00FC7E53">
        <w:rPr>
          <w:rFonts w:cs="Arial"/>
          <w:sz w:val="18"/>
          <w:szCs w:val="18"/>
        </w:rPr>
        <w:t xml:space="preserve"> </w:t>
      </w:r>
      <w:r w:rsidRPr="00FC7E53">
        <w:rPr>
          <w:rFonts w:cs="Arial"/>
          <w:sz w:val="18"/>
          <w:szCs w:val="18"/>
        </w:rPr>
        <w:tab/>
        <w:t xml:space="preserve">Medidas incluyen: </w:t>
      </w:r>
      <w:r>
        <w:rPr>
          <w:rFonts w:cs="Arial"/>
          <w:sz w:val="18"/>
          <w:szCs w:val="18"/>
        </w:rPr>
        <w:t>(</w:t>
      </w:r>
      <w:r w:rsidRPr="00FC7E53">
        <w:rPr>
          <w:rFonts w:cs="Arial"/>
          <w:sz w:val="18"/>
          <w:szCs w:val="18"/>
        </w:rPr>
        <w:t>a) mejora de la gober</w:t>
      </w:r>
      <w:r>
        <w:rPr>
          <w:rFonts w:cs="Arial"/>
          <w:sz w:val="18"/>
          <w:szCs w:val="18"/>
        </w:rPr>
        <w:t>nan</w:t>
      </w:r>
      <w:r w:rsidRPr="00FC7E53">
        <w:rPr>
          <w:rFonts w:cs="Arial"/>
          <w:sz w:val="18"/>
          <w:szCs w:val="18"/>
        </w:rPr>
        <w:t xml:space="preserve">za corporativa; </w:t>
      </w:r>
      <w:r>
        <w:rPr>
          <w:rFonts w:cs="Arial"/>
          <w:sz w:val="18"/>
          <w:szCs w:val="18"/>
        </w:rPr>
        <w:t>(</w:t>
      </w:r>
      <w:r w:rsidRPr="00FC7E53">
        <w:rPr>
          <w:rFonts w:cs="Arial"/>
          <w:sz w:val="18"/>
          <w:szCs w:val="18"/>
        </w:rPr>
        <w:t>b)</w:t>
      </w:r>
      <w:r>
        <w:rPr>
          <w:rFonts w:cs="Arial"/>
          <w:sz w:val="18"/>
          <w:szCs w:val="18"/>
        </w:rPr>
        <w:t> </w:t>
      </w:r>
      <w:r w:rsidRPr="00FC7E53">
        <w:rPr>
          <w:rFonts w:cs="Arial"/>
          <w:sz w:val="18"/>
          <w:szCs w:val="18"/>
        </w:rPr>
        <w:t xml:space="preserve">régimen fiscal homogéneo con las empresas del sector privado, y; </w:t>
      </w:r>
      <w:r>
        <w:rPr>
          <w:rFonts w:cs="Arial"/>
          <w:sz w:val="18"/>
          <w:szCs w:val="18"/>
        </w:rPr>
        <w:t>(</w:t>
      </w:r>
      <w:r w:rsidRPr="00FC7E53">
        <w:rPr>
          <w:rFonts w:cs="Arial"/>
          <w:sz w:val="18"/>
          <w:szCs w:val="18"/>
        </w:rPr>
        <w:t>c) requerimientos de transparencia y rendición de cuentas.</w:t>
      </w:r>
    </w:p>
  </w:footnote>
  <w:footnote w:id="6">
    <w:p w14:paraId="54059A5C" w14:textId="77777777" w:rsidR="003D4514" w:rsidRPr="00FC7E53" w:rsidRDefault="003D4514" w:rsidP="003D4514">
      <w:pPr>
        <w:pStyle w:val="FootnoteText"/>
        <w:contextualSpacing/>
        <w:rPr>
          <w:rFonts w:cs="Arial"/>
          <w:sz w:val="18"/>
          <w:szCs w:val="18"/>
        </w:rPr>
      </w:pPr>
      <w:r w:rsidRPr="00FC7E53">
        <w:rPr>
          <w:rStyle w:val="FootnoteReference"/>
          <w:rFonts w:cs="Arial"/>
          <w:sz w:val="18"/>
          <w:szCs w:val="18"/>
        </w:rPr>
        <w:footnoteRef/>
      </w:r>
      <w:r w:rsidRPr="00FC7E53">
        <w:rPr>
          <w:rFonts w:cs="Arial"/>
          <w:sz w:val="18"/>
          <w:szCs w:val="18"/>
        </w:rPr>
        <w:t xml:space="preserve"> </w:t>
      </w:r>
      <w:r>
        <w:rPr>
          <w:rFonts w:cs="Arial"/>
          <w:sz w:val="18"/>
          <w:szCs w:val="18"/>
        </w:rPr>
        <w:tab/>
      </w:r>
      <w:r w:rsidRPr="00FC7E53">
        <w:rPr>
          <w:rFonts w:cs="Arial"/>
          <w:sz w:val="18"/>
          <w:szCs w:val="18"/>
          <w:lang w:val="es-ES"/>
        </w:rPr>
        <w:t xml:space="preserve">El diseño </w:t>
      </w:r>
      <w:r w:rsidRPr="00FC7E53">
        <w:rPr>
          <w:rFonts w:cs="Arial"/>
          <w:sz w:val="18"/>
          <w:szCs w:val="18"/>
        </w:rPr>
        <w:t xml:space="preserve">del régimen de gobernanza fiscal y del régimen fiscal especifico de las empresas en sector hidrocarburos se apoyará mediante la </w:t>
      </w:r>
      <w:r w:rsidRPr="009B2848">
        <w:rPr>
          <w:rFonts w:cs="Arial"/>
          <w:bCs/>
          <w:sz w:val="18"/>
          <w:szCs w:val="18"/>
          <w:lang w:val="es-ES"/>
        </w:rPr>
        <w:t>ATN/OC-17299-EC</w:t>
      </w:r>
      <w:r w:rsidRPr="00FC7E53">
        <w:rPr>
          <w:rFonts w:cs="Arial"/>
          <w:sz w:val="18"/>
          <w:szCs w:val="18"/>
        </w:rPr>
        <w:t>.</w:t>
      </w:r>
    </w:p>
  </w:footnote>
  <w:footnote w:id="7">
    <w:p w14:paraId="75FF946F" w14:textId="77777777" w:rsidR="003D4514" w:rsidRPr="00905C69" w:rsidRDefault="003D4514" w:rsidP="003D4514">
      <w:pPr>
        <w:pStyle w:val="FootnoteText"/>
        <w:contextualSpacing/>
        <w:rPr>
          <w:rFonts w:cs="Arial"/>
          <w:sz w:val="18"/>
          <w:szCs w:val="18"/>
        </w:rPr>
      </w:pPr>
      <w:r w:rsidRPr="00905C69">
        <w:rPr>
          <w:rStyle w:val="FootnoteReference"/>
          <w:rFonts w:cs="Arial"/>
          <w:sz w:val="18"/>
          <w:szCs w:val="18"/>
        </w:rPr>
        <w:footnoteRef/>
      </w:r>
      <w:r w:rsidRPr="00905C69">
        <w:rPr>
          <w:rFonts w:cs="Arial"/>
          <w:sz w:val="18"/>
          <w:szCs w:val="18"/>
        </w:rPr>
        <w:t xml:space="preserve"> </w:t>
      </w:r>
      <w:r>
        <w:rPr>
          <w:rFonts w:cs="Arial"/>
          <w:sz w:val="18"/>
          <w:szCs w:val="18"/>
        </w:rPr>
        <w:tab/>
      </w:r>
      <w:r w:rsidRPr="00905C69">
        <w:rPr>
          <w:rFonts w:cs="Arial"/>
          <w:sz w:val="18"/>
          <w:szCs w:val="18"/>
          <w:lang w:val="es-ES"/>
        </w:rPr>
        <w:t xml:space="preserve">El diseño de </w:t>
      </w:r>
      <w:r w:rsidRPr="00905C69">
        <w:rPr>
          <w:rFonts w:cs="Arial"/>
          <w:sz w:val="18"/>
          <w:szCs w:val="18"/>
        </w:rPr>
        <w:t xml:space="preserve">la nueva entidad de gestión propietaria de EEPP, </w:t>
      </w:r>
      <w:r w:rsidRPr="00905C69">
        <w:rPr>
          <w:rFonts w:cs="Arial"/>
          <w:sz w:val="18"/>
          <w:szCs w:val="18"/>
          <w:lang w:val="es-ES"/>
        </w:rPr>
        <w:t>se apoyará mediante la ATN/OC-17299-EC</w:t>
      </w:r>
      <w:r w:rsidRPr="00905C69">
        <w:rPr>
          <w:rFonts w:cs="Arial"/>
          <w:sz w:val="18"/>
          <w:szCs w:val="18"/>
        </w:rPr>
        <w:t>.</w:t>
      </w:r>
    </w:p>
  </w:footnote>
  <w:footnote w:id="8">
    <w:p w14:paraId="68EE5E6F" w14:textId="77777777" w:rsidR="003D4514" w:rsidRPr="002913D7" w:rsidRDefault="003D4514" w:rsidP="003D4514">
      <w:pPr>
        <w:pStyle w:val="FootnoteText"/>
        <w:ind w:left="270" w:hanging="270"/>
      </w:pPr>
      <w:r w:rsidRPr="005A61AE">
        <w:rPr>
          <w:rStyle w:val="FootnoteReference"/>
          <w:rFonts w:cs="Arial"/>
          <w:sz w:val="18"/>
          <w:szCs w:val="18"/>
        </w:rPr>
        <w:footnoteRef/>
      </w:r>
      <w:r w:rsidRPr="005A61AE">
        <w:rPr>
          <w:rFonts w:cs="Arial"/>
          <w:sz w:val="18"/>
          <w:szCs w:val="18"/>
        </w:rPr>
        <w:t xml:space="preserve"> </w:t>
      </w:r>
      <w:r>
        <w:rPr>
          <w:rFonts w:cs="Arial"/>
          <w:sz w:val="18"/>
          <w:szCs w:val="18"/>
        </w:rPr>
        <w:tab/>
        <w:t>Personal técnico de la DNEP y el MEF, e</w:t>
      </w:r>
      <w:r w:rsidRPr="005A61AE">
        <w:rPr>
          <w:rFonts w:cs="Arial"/>
          <w:sz w:val="18"/>
          <w:szCs w:val="18"/>
        </w:rPr>
        <w:t>n sector de hidrocarburos</w:t>
      </w:r>
      <w:r>
        <w:rPr>
          <w:rFonts w:cs="Arial"/>
          <w:sz w:val="18"/>
          <w:szCs w:val="18"/>
        </w:rPr>
        <w:t xml:space="preserve">, </w:t>
      </w:r>
      <w:r w:rsidRPr="005A61AE">
        <w:rPr>
          <w:rFonts w:cs="Arial"/>
          <w:sz w:val="18"/>
          <w:szCs w:val="18"/>
        </w:rPr>
        <w:t>eléctrico</w:t>
      </w:r>
      <w:r>
        <w:rPr>
          <w:rFonts w:cs="Arial"/>
          <w:sz w:val="18"/>
          <w:szCs w:val="18"/>
        </w:rPr>
        <w:t xml:space="preserve"> y telecomunicaciones</w:t>
      </w:r>
      <w:r w:rsidRPr="005A61AE">
        <w:rPr>
          <w:rFonts w:cs="Arial"/>
          <w:sz w:val="18"/>
          <w:szCs w:val="18"/>
        </w:rPr>
        <w:t>.</w:t>
      </w:r>
      <w:r>
        <w:t xml:space="preserve"> </w:t>
      </w:r>
    </w:p>
  </w:footnote>
  <w:footnote w:id="9">
    <w:p w14:paraId="1BA9A8C2" w14:textId="77777777" w:rsidR="003D4514" w:rsidRPr="00D07CDC" w:rsidRDefault="003D4514" w:rsidP="003D4514">
      <w:pPr>
        <w:pStyle w:val="FootnoteText"/>
      </w:pPr>
      <w:r>
        <w:rPr>
          <w:rStyle w:val="FootnoteReference"/>
        </w:rPr>
        <w:footnoteRef/>
      </w:r>
      <w:r>
        <w:t xml:space="preserve"> </w:t>
      </w:r>
      <w:r w:rsidRPr="00F550E6">
        <w:rPr>
          <w:lang w:val="es-ES"/>
        </w:rPr>
        <w:t>Socialización y capacitación.</w:t>
      </w:r>
    </w:p>
  </w:footnote>
  <w:footnote w:id="10">
    <w:p w14:paraId="56BBEB8C" w14:textId="77777777" w:rsidR="003D4514" w:rsidRPr="00544402" w:rsidRDefault="003D4514" w:rsidP="00755C53">
      <w:pPr>
        <w:pStyle w:val="FootnoteText"/>
        <w:ind w:left="270" w:hanging="270"/>
        <w:contextualSpacing/>
        <w:rPr>
          <w:rFonts w:cs="Arial"/>
          <w:sz w:val="18"/>
          <w:szCs w:val="18"/>
          <w:lang w:val="es-ES"/>
        </w:rPr>
      </w:pPr>
      <w:r w:rsidRPr="00905C69">
        <w:rPr>
          <w:rStyle w:val="FootnoteReference"/>
          <w:rFonts w:cs="Arial"/>
          <w:sz w:val="18"/>
          <w:szCs w:val="18"/>
        </w:rPr>
        <w:footnoteRef/>
      </w:r>
      <w:r w:rsidRPr="00905C69">
        <w:rPr>
          <w:rFonts w:cs="Arial"/>
          <w:sz w:val="18"/>
          <w:szCs w:val="18"/>
        </w:rPr>
        <w:t xml:space="preserve"> </w:t>
      </w:r>
      <w:r>
        <w:rPr>
          <w:rFonts w:cs="Arial"/>
          <w:sz w:val="18"/>
          <w:szCs w:val="18"/>
        </w:rPr>
        <w:tab/>
      </w:r>
      <w:r>
        <w:rPr>
          <w:rFonts w:cs="Arial"/>
          <w:sz w:val="18"/>
          <w:szCs w:val="18"/>
          <w:lang w:val="es-ES"/>
        </w:rPr>
        <w:t>La fusión</w:t>
      </w:r>
      <w:r w:rsidRPr="00905C69">
        <w:rPr>
          <w:rFonts w:cs="Arial"/>
          <w:sz w:val="18"/>
          <w:szCs w:val="18"/>
          <w:lang w:val="es-ES"/>
        </w:rPr>
        <w:t xml:space="preserve"> </w:t>
      </w:r>
      <w:r w:rsidRPr="00F550E6">
        <w:rPr>
          <w:rFonts w:cs="Arial"/>
          <w:sz w:val="18"/>
          <w:szCs w:val="18"/>
          <w:lang w:val="es-ES"/>
        </w:rPr>
        <w:t>requerirá de apoyo legal para adecuar la estrategia propuesta por la firma internacional a la normativa nacional.</w:t>
      </w:r>
      <w:r w:rsidRPr="00905C69">
        <w:rPr>
          <w:rFonts w:cs="Arial"/>
          <w:sz w:val="18"/>
          <w:szCs w:val="18"/>
          <w:lang w:val="es-ES"/>
        </w:rPr>
        <w:t xml:space="preserve"> </w:t>
      </w:r>
    </w:p>
  </w:footnote>
  <w:footnote w:id="11">
    <w:p w14:paraId="0248483C" w14:textId="77777777" w:rsidR="003D4514" w:rsidRPr="00905C69" w:rsidRDefault="003D4514" w:rsidP="00755C53">
      <w:pPr>
        <w:pStyle w:val="FootnoteText"/>
        <w:ind w:left="270" w:hanging="270"/>
        <w:contextualSpacing/>
        <w:rPr>
          <w:rFonts w:cs="Arial"/>
          <w:sz w:val="18"/>
          <w:szCs w:val="18"/>
        </w:rPr>
      </w:pPr>
      <w:r w:rsidRPr="00905C69">
        <w:rPr>
          <w:rStyle w:val="FootnoteReference"/>
          <w:rFonts w:cs="Arial"/>
          <w:sz w:val="18"/>
          <w:szCs w:val="18"/>
        </w:rPr>
        <w:footnoteRef/>
      </w:r>
      <w:r w:rsidRPr="00905C69">
        <w:rPr>
          <w:rFonts w:cs="Arial"/>
          <w:sz w:val="18"/>
          <w:szCs w:val="18"/>
        </w:rPr>
        <w:t xml:space="preserve"> </w:t>
      </w:r>
      <w:r w:rsidRPr="00905C69">
        <w:rPr>
          <w:rFonts w:cs="Arial"/>
          <w:sz w:val="18"/>
          <w:szCs w:val="18"/>
        </w:rPr>
        <w:tab/>
        <w:t xml:space="preserve">En febrero 2019 se ha comenzado la consultoría. </w:t>
      </w:r>
    </w:p>
  </w:footnote>
  <w:footnote w:id="12">
    <w:p w14:paraId="2A07C844" w14:textId="77777777" w:rsidR="003D4514" w:rsidRPr="00875FB8" w:rsidRDefault="003D4514" w:rsidP="00755C53">
      <w:pPr>
        <w:pStyle w:val="FootnoteText"/>
        <w:ind w:left="270" w:hanging="270"/>
        <w:contextualSpacing/>
        <w:rPr>
          <w:rFonts w:cs="Arial"/>
          <w:sz w:val="18"/>
          <w:szCs w:val="18"/>
        </w:rPr>
      </w:pPr>
      <w:r w:rsidRPr="00875FB8">
        <w:rPr>
          <w:rStyle w:val="FootnoteReference"/>
          <w:rFonts w:cs="Arial"/>
          <w:sz w:val="18"/>
          <w:szCs w:val="18"/>
        </w:rPr>
        <w:footnoteRef/>
      </w:r>
      <w:r w:rsidRPr="00875FB8">
        <w:rPr>
          <w:rFonts w:cs="Arial"/>
          <w:sz w:val="18"/>
          <w:szCs w:val="18"/>
        </w:rPr>
        <w:t xml:space="preserve"> </w:t>
      </w:r>
      <w:r w:rsidRPr="00875FB8">
        <w:rPr>
          <w:rFonts w:cs="Arial"/>
          <w:sz w:val="18"/>
          <w:szCs w:val="18"/>
        </w:rPr>
        <w:tab/>
      </w:r>
      <w:r w:rsidRPr="00875FB8">
        <w:rPr>
          <w:rFonts w:cs="Arial"/>
          <w:sz w:val="18"/>
          <w:szCs w:val="18"/>
          <w:lang w:val="es-ES"/>
        </w:rPr>
        <w:t>Este gasto cumple con la política “Modernización de políticas y prácticas de restricción al uso de recursos en préstamos de inversión” (GN-2331-5), y con los Parámetros de Financiamiento de País acordados con Ecuador (CP-28273 y anexo IX del GN-2495).</w:t>
      </w:r>
    </w:p>
  </w:footnote>
  <w:footnote w:id="13">
    <w:p w14:paraId="079AA177" w14:textId="77777777" w:rsidR="003D4514" w:rsidRPr="00875FB8" w:rsidRDefault="003D4514" w:rsidP="00755C53">
      <w:pPr>
        <w:pStyle w:val="FootnoteText"/>
        <w:ind w:left="270" w:hanging="270"/>
        <w:rPr>
          <w:rFonts w:cs="Arial"/>
          <w:sz w:val="18"/>
          <w:szCs w:val="18"/>
          <w:lang w:val="es-ES"/>
        </w:rPr>
      </w:pPr>
      <w:r w:rsidRPr="00875FB8">
        <w:rPr>
          <w:rStyle w:val="FootnoteReference"/>
          <w:rFonts w:cs="Arial"/>
          <w:sz w:val="18"/>
          <w:szCs w:val="18"/>
        </w:rPr>
        <w:footnoteRef/>
      </w:r>
      <w:r w:rsidRPr="00875FB8">
        <w:rPr>
          <w:rFonts w:cs="Arial"/>
          <w:sz w:val="18"/>
          <w:szCs w:val="18"/>
        </w:rPr>
        <w:t xml:space="preserve"> </w:t>
      </w:r>
      <w:r w:rsidRPr="00875FB8">
        <w:rPr>
          <w:rFonts w:cs="Arial"/>
          <w:sz w:val="18"/>
          <w:szCs w:val="18"/>
        </w:rPr>
        <w:tab/>
      </w:r>
      <w:r w:rsidRPr="00875FB8">
        <w:rPr>
          <w:rFonts w:cs="Arial"/>
          <w:sz w:val="18"/>
          <w:szCs w:val="18"/>
          <w:lang w:val="es-ES"/>
        </w:rPr>
        <w:t>Artículo 81 de la LOSEP, artículo 289 del Reglamento de la LOSEP y el artículo 188 de la Ley de la Seguridad Social (LSS) “Jubilación por edad avanzada”</w:t>
      </w:r>
    </w:p>
  </w:footnote>
  <w:footnote w:id="14">
    <w:p w14:paraId="523104A8" w14:textId="77777777" w:rsidR="003D4514" w:rsidRPr="00875FB8" w:rsidRDefault="003D4514" w:rsidP="00755C53">
      <w:pPr>
        <w:pStyle w:val="FootnoteText"/>
        <w:ind w:left="270" w:hanging="270"/>
        <w:contextualSpacing/>
        <w:rPr>
          <w:rFonts w:cs="Arial"/>
          <w:sz w:val="18"/>
          <w:szCs w:val="18"/>
        </w:rPr>
      </w:pPr>
      <w:r w:rsidRPr="00875FB8">
        <w:rPr>
          <w:rStyle w:val="FootnoteReference"/>
          <w:rFonts w:cs="Arial"/>
          <w:sz w:val="18"/>
          <w:szCs w:val="18"/>
        </w:rPr>
        <w:footnoteRef/>
      </w:r>
      <w:r w:rsidRPr="00875FB8">
        <w:rPr>
          <w:rFonts w:cs="Arial"/>
          <w:sz w:val="18"/>
          <w:szCs w:val="18"/>
        </w:rPr>
        <w:t xml:space="preserve"> </w:t>
      </w:r>
      <w:r w:rsidRPr="00875FB8">
        <w:rPr>
          <w:rFonts w:cs="Arial"/>
          <w:sz w:val="18"/>
          <w:szCs w:val="18"/>
        </w:rPr>
        <w:tab/>
        <w:t>Artículo 186 de LSS “Jubilación por invalidez”.</w:t>
      </w:r>
    </w:p>
  </w:footnote>
  <w:footnote w:id="15">
    <w:p w14:paraId="3D8C843D" w14:textId="77777777" w:rsidR="003D4514" w:rsidRPr="00875FB8" w:rsidRDefault="003D4514" w:rsidP="00755C53">
      <w:pPr>
        <w:pStyle w:val="FootnoteText"/>
        <w:ind w:left="270" w:hanging="270"/>
        <w:contextualSpacing/>
        <w:rPr>
          <w:rFonts w:cs="Arial"/>
          <w:sz w:val="18"/>
          <w:szCs w:val="18"/>
        </w:rPr>
      </w:pPr>
      <w:r w:rsidRPr="00875FB8">
        <w:rPr>
          <w:rStyle w:val="FootnoteReference"/>
          <w:rFonts w:cs="Arial"/>
          <w:sz w:val="18"/>
          <w:szCs w:val="18"/>
        </w:rPr>
        <w:footnoteRef/>
      </w:r>
      <w:r w:rsidRPr="00875FB8">
        <w:rPr>
          <w:rFonts w:cs="Arial"/>
          <w:sz w:val="18"/>
          <w:szCs w:val="18"/>
        </w:rPr>
        <w:t xml:space="preserve"> </w:t>
      </w:r>
      <w:r w:rsidRPr="00875FB8">
        <w:rPr>
          <w:rFonts w:cs="Arial"/>
          <w:sz w:val="18"/>
          <w:szCs w:val="18"/>
        </w:rPr>
        <w:tab/>
      </w:r>
      <w:r w:rsidRPr="00875FB8">
        <w:rPr>
          <w:rFonts w:cs="Arial"/>
          <w:sz w:val="18"/>
          <w:szCs w:val="18"/>
          <w:lang w:val="es-ES"/>
        </w:rPr>
        <w:t>Artículo 288 del Reglamento de la LOSEP.</w:t>
      </w:r>
    </w:p>
  </w:footnote>
  <w:footnote w:id="16">
    <w:p w14:paraId="52B9DE84" w14:textId="77777777" w:rsidR="003D4514" w:rsidRPr="00875FB8" w:rsidRDefault="003D4514" w:rsidP="00755C53">
      <w:pPr>
        <w:pStyle w:val="FootnoteText"/>
        <w:ind w:left="270" w:hanging="270"/>
        <w:contextualSpacing/>
        <w:rPr>
          <w:rFonts w:cs="Arial"/>
          <w:sz w:val="18"/>
          <w:szCs w:val="18"/>
        </w:rPr>
      </w:pPr>
      <w:r w:rsidRPr="00875FB8">
        <w:rPr>
          <w:rStyle w:val="FootnoteReference"/>
          <w:rFonts w:cs="Arial"/>
          <w:sz w:val="18"/>
          <w:szCs w:val="18"/>
        </w:rPr>
        <w:footnoteRef/>
      </w:r>
      <w:r w:rsidRPr="00875FB8">
        <w:rPr>
          <w:rFonts w:cs="Arial"/>
          <w:sz w:val="18"/>
          <w:szCs w:val="18"/>
        </w:rPr>
        <w:t xml:space="preserve"> </w:t>
      </w:r>
      <w:r w:rsidRPr="00875FB8">
        <w:rPr>
          <w:rFonts w:cs="Arial"/>
          <w:sz w:val="18"/>
          <w:szCs w:val="18"/>
        </w:rPr>
        <w:tab/>
      </w:r>
      <w:r w:rsidRPr="00875FB8">
        <w:rPr>
          <w:rFonts w:cs="Arial"/>
          <w:sz w:val="18"/>
          <w:szCs w:val="18"/>
          <w:lang w:val="es-ES"/>
        </w:rPr>
        <w:t>Artículos 23, 60 de la LOSEP y 30 de la LOEP (que se remite al Código de Trabajo).</w:t>
      </w:r>
    </w:p>
  </w:footnote>
  <w:footnote w:id="17">
    <w:p w14:paraId="3F9A5D4C" w14:textId="77777777" w:rsidR="003D4514" w:rsidRPr="00875FB8" w:rsidRDefault="003D4514" w:rsidP="00755C53">
      <w:pPr>
        <w:pStyle w:val="FootnoteText"/>
        <w:ind w:left="270" w:hanging="270"/>
        <w:contextualSpacing/>
        <w:rPr>
          <w:rFonts w:cs="Arial"/>
          <w:sz w:val="18"/>
          <w:szCs w:val="18"/>
        </w:rPr>
      </w:pPr>
      <w:r w:rsidRPr="00875FB8">
        <w:rPr>
          <w:rStyle w:val="FootnoteReference"/>
          <w:rFonts w:cs="Arial"/>
          <w:sz w:val="18"/>
          <w:szCs w:val="18"/>
        </w:rPr>
        <w:footnoteRef/>
      </w:r>
      <w:r w:rsidRPr="00875FB8">
        <w:rPr>
          <w:rFonts w:cs="Arial"/>
          <w:sz w:val="18"/>
          <w:szCs w:val="18"/>
        </w:rPr>
        <w:t xml:space="preserve"> </w:t>
      </w:r>
      <w:r w:rsidRPr="00875FB8">
        <w:rPr>
          <w:rFonts w:cs="Arial"/>
          <w:sz w:val="18"/>
          <w:szCs w:val="18"/>
        </w:rPr>
        <w:tab/>
        <w:t>El apoyo a otras modalidades de desvinculación previstas en la legislación nacional estará sujeto a que las mismas sean consistentes con los preceptos legales y constitucionales del país, y se ajusten a los criterios y objetivos previstos en el programa análisis y previo no objeción del Banco. El ROP contendrá la descripción detallada de cada modalidad de desvinculación a ser financiada. De las tres modalidades mencionadas, se priorizarán las que contribuyan al recambio generacional en educación y al cambio del perfil del TH de las EEPP.</w:t>
      </w:r>
    </w:p>
  </w:footnote>
  <w:footnote w:id="18">
    <w:p w14:paraId="1FFA034E" w14:textId="77777777" w:rsidR="003D4514" w:rsidRPr="00875FB8" w:rsidRDefault="003D4514" w:rsidP="00755C53">
      <w:pPr>
        <w:pStyle w:val="FootnoteText"/>
        <w:ind w:left="270" w:hanging="270"/>
        <w:contextualSpacing/>
        <w:rPr>
          <w:rFonts w:cs="Arial"/>
          <w:sz w:val="18"/>
          <w:szCs w:val="18"/>
          <w:lang w:val="es-ES"/>
        </w:rPr>
      </w:pPr>
      <w:r w:rsidRPr="00875FB8">
        <w:rPr>
          <w:rStyle w:val="FootnoteReference"/>
          <w:rFonts w:cs="Arial"/>
          <w:sz w:val="18"/>
          <w:szCs w:val="18"/>
        </w:rPr>
        <w:footnoteRef/>
      </w:r>
      <w:r w:rsidRPr="00875FB8">
        <w:rPr>
          <w:rFonts w:cs="Arial"/>
          <w:sz w:val="18"/>
          <w:szCs w:val="18"/>
        </w:rPr>
        <w:t xml:space="preserve"> </w:t>
      </w:r>
      <w:r w:rsidRPr="00875FB8">
        <w:rPr>
          <w:rFonts w:cs="Arial"/>
          <w:sz w:val="18"/>
          <w:szCs w:val="18"/>
        </w:rPr>
        <w:tab/>
        <w:t>La LOEP se remite al Código de Trabajo.</w:t>
      </w:r>
    </w:p>
  </w:footnote>
  <w:footnote w:id="19">
    <w:p w14:paraId="555D80E1" w14:textId="77777777" w:rsidR="003D4514" w:rsidRPr="00B9018A" w:rsidRDefault="003D4514" w:rsidP="00755C53">
      <w:pPr>
        <w:pStyle w:val="FootnoteText"/>
        <w:ind w:left="270" w:hanging="270"/>
        <w:contextualSpacing/>
      </w:pPr>
      <w:r w:rsidRPr="00875FB8">
        <w:rPr>
          <w:rStyle w:val="FootnoteReference"/>
          <w:rFonts w:cs="Arial"/>
          <w:sz w:val="18"/>
          <w:szCs w:val="18"/>
        </w:rPr>
        <w:footnoteRef/>
      </w:r>
      <w:r w:rsidRPr="00875FB8">
        <w:rPr>
          <w:rFonts w:cs="Arial"/>
          <w:sz w:val="18"/>
          <w:szCs w:val="18"/>
        </w:rPr>
        <w:t xml:space="preserve"> </w:t>
      </w:r>
      <w:r w:rsidRPr="00875FB8">
        <w:rPr>
          <w:rFonts w:cs="Arial"/>
          <w:sz w:val="18"/>
          <w:szCs w:val="18"/>
        </w:rPr>
        <w:tab/>
      </w:r>
      <w:r w:rsidRPr="00875FB8">
        <w:rPr>
          <w:rFonts w:cs="Arial"/>
          <w:sz w:val="18"/>
          <w:szCs w:val="18"/>
          <w:lang w:val="es-ES"/>
        </w:rPr>
        <w:t>El diseño de la campaña se apoyará mediante la ATN/OC-17299-EC</w:t>
      </w:r>
      <w:r w:rsidRPr="00875FB8">
        <w:rPr>
          <w:rFonts w:cs="Arial"/>
          <w:sz w:val="18"/>
          <w:szCs w:val="18"/>
        </w:rPr>
        <w:t>.</w:t>
      </w:r>
    </w:p>
  </w:footnote>
  <w:footnote w:id="20">
    <w:p w14:paraId="4C96786B" w14:textId="2F0B2B7A" w:rsidR="00B96394" w:rsidRDefault="00B96394">
      <w:pPr>
        <w:pStyle w:val="FootnoteText"/>
        <w:ind w:left="270" w:hanging="270"/>
      </w:pPr>
      <w:r>
        <w:rPr>
          <w:rStyle w:val="FootnoteReference"/>
        </w:rPr>
        <w:footnoteRef/>
      </w:r>
      <w:r>
        <w:t xml:space="preserve"> </w:t>
      </w:r>
      <w:r w:rsidR="00100FC8">
        <w:tab/>
      </w:r>
      <w:r>
        <w:t xml:space="preserve">El detalle del Costo del Programa se encuentra en el Anexo ‘El Programa’ del Contrato de </w:t>
      </w:r>
      <w:r w:rsidRPr="00A038B9">
        <w:t xml:space="preserve">Préstamo </w:t>
      </w:r>
      <w:r w:rsidRPr="006E0293">
        <w:rPr>
          <w:highlight w:val="yellow"/>
        </w:rPr>
        <w:t>XXXX/OC-EC</w:t>
      </w:r>
      <w:r>
        <w:t xml:space="preserve">. </w:t>
      </w:r>
    </w:p>
  </w:footnote>
  <w:footnote w:id="21">
    <w:p w14:paraId="67C5701F" w14:textId="1A097A43" w:rsidR="00B96394" w:rsidRDefault="00B96394" w:rsidP="008C42E1">
      <w:pPr>
        <w:pStyle w:val="FootnoteText"/>
      </w:pPr>
      <w:r>
        <w:rPr>
          <w:rStyle w:val="FootnoteReference"/>
        </w:rPr>
        <w:footnoteRef/>
      </w:r>
      <w:r>
        <w:t xml:space="preserve"> </w:t>
      </w:r>
      <w:r w:rsidR="00100FC8">
        <w:tab/>
      </w:r>
      <w:r>
        <w:t xml:space="preserve">Para un </w:t>
      </w:r>
      <w:r w:rsidRPr="009F4641">
        <w:t>Mayor detalle</w:t>
      </w:r>
      <w:r>
        <w:t xml:space="preserve"> del ISP el Banco proveerá al </w:t>
      </w:r>
      <w:r w:rsidR="00755BF5" w:rsidRPr="00755BF5">
        <w:t>EDG-MEF</w:t>
      </w:r>
      <w:r>
        <w:t xml:space="preserve"> el acceso digital al </w:t>
      </w:r>
      <w:proofErr w:type="spellStart"/>
      <w:r w:rsidRPr="00B97A56">
        <w:rPr>
          <w:i/>
        </w:rPr>
        <w:t>Toolkit</w:t>
      </w:r>
      <w:proofErr w:type="spellEnd"/>
      <w:r w:rsidRPr="00B97A56">
        <w:rPr>
          <w:i/>
        </w:rPr>
        <w:t xml:space="preserve"> </w:t>
      </w:r>
      <w:r w:rsidRPr="00B97A56">
        <w:t>para Ejecutores del BID – Ecuador, donde</w:t>
      </w:r>
      <w:r>
        <w:t xml:space="preserve"> se encuentran los formatos y detalles requeridos </w:t>
      </w:r>
    </w:p>
  </w:footnote>
  <w:footnote w:id="22">
    <w:p w14:paraId="64E3EF6B" w14:textId="78A4288A" w:rsidR="00B96394" w:rsidRDefault="00B96394">
      <w:pPr>
        <w:pStyle w:val="FootnoteText"/>
      </w:pPr>
      <w:r>
        <w:rPr>
          <w:rStyle w:val="FootnoteReference"/>
        </w:rPr>
        <w:footnoteRef/>
      </w:r>
      <w:r>
        <w:t xml:space="preserve"> </w:t>
      </w:r>
      <w:r w:rsidR="00100FC8">
        <w:tab/>
      </w:r>
      <w:r>
        <w:t>Se basan en los acuerdos y requisitos fiduciarios establecidos en los documentos de aprobación. Los acuerdos y requisitos fiduciarios se deberán actualizar a lo establecido en el Contrato de Préstamo y el ROP.</w:t>
      </w:r>
    </w:p>
  </w:footnote>
  <w:footnote w:id="23">
    <w:p w14:paraId="5FF5F21F" w14:textId="3705C4E4" w:rsidR="00B96394" w:rsidRDefault="00B96394" w:rsidP="008C42E1">
      <w:pPr>
        <w:pStyle w:val="FootnoteText"/>
      </w:pPr>
      <w:r>
        <w:rPr>
          <w:rStyle w:val="FootnoteReference"/>
        </w:rPr>
        <w:footnoteRef/>
      </w:r>
      <w:r>
        <w:t xml:space="preserve"> </w:t>
      </w:r>
      <w:r w:rsidR="00100FC8">
        <w:tab/>
      </w:r>
      <w:r w:rsidRPr="002359FB">
        <w:t>Políticas GN-2349-9: servicios diferentes de consultoría tienen un tratamiento similar a los bienes.</w:t>
      </w:r>
    </w:p>
  </w:footnote>
  <w:footnote w:id="24">
    <w:p w14:paraId="2310D658" w14:textId="735F3598" w:rsidR="00B96394" w:rsidRDefault="00B96394" w:rsidP="008C42E1">
      <w:pPr>
        <w:pStyle w:val="FootnoteText"/>
      </w:pPr>
      <w:r>
        <w:rPr>
          <w:rStyle w:val="FootnoteReference"/>
        </w:rPr>
        <w:footnoteRef/>
      </w:r>
      <w:r>
        <w:t xml:space="preserve"> </w:t>
      </w:r>
      <w:r w:rsidR="00100FC8">
        <w:tab/>
      </w:r>
      <w:r>
        <w:t>En obras actualmente el umbral para LPI es aplicable para montos iguales o superiores a US$3.000.000 y para bienes y servicios diferentes de consultoría la LPI es aplicable a montos iguales o superiores US$250.000.</w:t>
      </w:r>
    </w:p>
  </w:footnote>
  <w:footnote w:id="25">
    <w:p w14:paraId="19BAB6E6" w14:textId="71CE822F" w:rsidR="00B96394" w:rsidRDefault="00B96394" w:rsidP="008C42E1">
      <w:pPr>
        <w:pStyle w:val="FootnoteText"/>
      </w:pPr>
      <w:r>
        <w:rPr>
          <w:rStyle w:val="FootnoteReference"/>
        </w:rPr>
        <w:footnoteRef/>
      </w:r>
      <w:r>
        <w:t xml:space="preserve"> </w:t>
      </w:r>
      <w:r w:rsidR="00100FC8">
        <w:tab/>
      </w:r>
      <w:hyperlink r:id="rId1" w:history="1">
        <w:r w:rsidR="00100FC8" w:rsidRPr="005636D4">
          <w:rPr>
            <w:rStyle w:val="Hyperlink"/>
          </w:rPr>
          <w:t>https://www.iadb.org/es/adquisiciones-de-proyectos/adquisiciones-de-proyectos%2C8148.html</w:t>
        </w:r>
      </w:hyperlink>
      <w:r>
        <w:t xml:space="preserve"> </w:t>
      </w:r>
    </w:p>
  </w:footnote>
  <w:footnote w:id="26">
    <w:p w14:paraId="64C6058D" w14:textId="3BF21E99" w:rsidR="00B96394" w:rsidRDefault="00B96394" w:rsidP="008C42E1">
      <w:pPr>
        <w:pStyle w:val="FootnoteText"/>
      </w:pPr>
      <w:r>
        <w:rPr>
          <w:rStyle w:val="FootnoteReference"/>
        </w:rPr>
        <w:footnoteRef/>
      </w:r>
      <w:r>
        <w:t xml:space="preserve"> </w:t>
      </w:r>
      <w:r w:rsidR="00100FC8">
        <w:tab/>
      </w:r>
      <w:hyperlink r:id="rId2" w:history="1">
        <w:r w:rsidR="00100FC8" w:rsidRPr="005636D4">
          <w:rPr>
            <w:rStyle w:val="Hyperlink"/>
          </w:rPr>
          <w:t>https://www.iadb.org/es/adquisiciones-de-proyectos/adquisiciones-de-proyectos%2C8148.html</w:t>
        </w:r>
      </w:hyperlink>
    </w:p>
  </w:footnote>
  <w:footnote w:id="27">
    <w:p w14:paraId="306DB2CB" w14:textId="78B5279D" w:rsidR="00B96394" w:rsidRDefault="00B96394" w:rsidP="008C42E1">
      <w:pPr>
        <w:pStyle w:val="FootnoteText"/>
      </w:pPr>
      <w:r>
        <w:rPr>
          <w:rStyle w:val="FootnoteReference"/>
        </w:rPr>
        <w:footnoteRef/>
      </w:r>
      <w:r>
        <w:t xml:space="preserve"> </w:t>
      </w:r>
      <w:r w:rsidR="00100FC8">
        <w:tab/>
      </w:r>
      <w:r w:rsidRPr="00910029">
        <w:t>Políticas GN-2350-9</w:t>
      </w:r>
      <w:r>
        <w:t xml:space="preserve">, </w:t>
      </w:r>
      <w:r w:rsidRPr="00910029">
        <w:t>para la Selección y Contratación de Consultores.</w:t>
      </w:r>
    </w:p>
  </w:footnote>
  <w:footnote w:id="28">
    <w:p w14:paraId="7B70E46B" w14:textId="6784FB50" w:rsidR="00B96394" w:rsidRDefault="00B96394" w:rsidP="008C42E1">
      <w:pPr>
        <w:pStyle w:val="FootnoteText"/>
      </w:pPr>
      <w:r>
        <w:rPr>
          <w:rStyle w:val="FootnoteReference"/>
        </w:rPr>
        <w:footnoteRef/>
      </w:r>
      <w:r>
        <w:t xml:space="preserve"> </w:t>
      </w:r>
      <w:r w:rsidR="00100FC8">
        <w:tab/>
      </w:r>
      <w:hyperlink r:id="rId3" w:history="1">
        <w:r w:rsidR="00100FC8" w:rsidRPr="005636D4">
          <w:rPr>
            <w:rStyle w:val="Hyperlink"/>
          </w:rPr>
          <w:t>https://www.iadb.org/es/adquisiciones-de-proyectos/adquisiciones-de-proyectos%2C8148.html</w:t>
        </w:r>
      </w:hyperlink>
    </w:p>
  </w:footnote>
  <w:footnote w:id="29">
    <w:p w14:paraId="653AC037" w14:textId="73AA2179" w:rsidR="00B96394" w:rsidRDefault="00B96394" w:rsidP="008C42E1">
      <w:pPr>
        <w:pStyle w:val="FootnoteText"/>
      </w:pPr>
      <w:r>
        <w:rPr>
          <w:rStyle w:val="FootnoteReference"/>
        </w:rPr>
        <w:footnoteRef/>
      </w:r>
      <w:r>
        <w:t xml:space="preserve"> </w:t>
      </w:r>
      <w:r w:rsidR="00100FC8">
        <w:tab/>
      </w:r>
      <w:r>
        <w:t>En contratación de firmas consultoras el umbral es para montos iguales o superiores a US$200.000; para montos inferiores al indicado en la lista corta podrá estar conformada en su totalidad por firmas consultoras nacionales.</w:t>
      </w:r>
    </w:p>
  </w:footnote>
  <w:footnote w:id="30">
    <w:p w14:paraId="7777D57A" w14:textId="60D310FF" w:rsidR="00B96394" w:rsidRDefault="00B96394" w:rsidP="008C42E1">
      <w:pPr>
        <w:pStyle w:val="FootnoteText"/>
      </w:pPr>
      <w:r>
        <w:rPr>
          <w:rStyle w:val="FootnoteReference"/>
        </w:rPr>
        <w:footnoteRef/>
      </w:r>
      <w:r>
        <w:t xml:space="preserve"> </w:t>
      </w:r>
      <w:r w:rsidR="00100FC8">
        <w:tab/>
      </w:r>
      <w:r w:rsidRPr="004C759B">
        <w:t>Políticas GN-2349-9 Apéndice II y Contrato de Préstamo</w:t>
      </w:r>
    </w:p>
  </w:footnote>
  <w:footnote w:id="31">
    <w:p w14:paraId="214F4B40" w14:textId="1C3FF229" w:rsidR="00B96394" w:rsidRDefault="00B96394" w:rsidP="008C42E1">
      <w:pPr>
        <w:pStyle w:val="FootnoteText"/>
      </w:pPr>
      <w:r>
        <w:rPr>
          <w:rStyle w:val="FootnoteReference"/>
        </w:rPr>
        <w:footnoteRef/>
      </w:r>
      <w:r>
        <w:t xml:space="preserve"> </w:t>
      </w:r>
      <w:r w:rsidR="00100FC8">
        <w:tab/>
      </w:r>
      <w:r>
        <w:t>Según el alcance de uso del sistema la supervisión puede ser complementada con las auditorías de proyectos.</w:t>
      </w:r>
    </w:p>
  </w:footnote>
  <w:footnote w:id="32">
    <w:p w14:paraId="0A596FAB" w14:textId="5C39DB78" w:rsidR="00B96394" w:rsidRPr="00FD2217" w:rsidRDefault="00B96394" w:rsidP="008C42E1">
      <w:pPr>
        <w:pStyle w:val="FootnoteText"/>
      </w:pPr>
      <w:r w:rsidRPr="003527E1">
        <w:rPr>
          <w:rStyle w:val="FootnoteReference"/>
          <w:rFonts w:cs="Arial"/>
          <w:szCs w:val="18"/>
        </w:rPr>
        <w:footnoteRef/>
      </w:r>
      <w:r>
        <w:rPr>
          <w:rFonts w:cs="Arial"/>
          <w:szCs w:val="18"/>
          <w:lang w:val="es-ES"/>
        </w:rPr>
        <w:t xml:space="preserve"> </w:t>
      </w:r>
      <w:r w:rsidR="00100FC8">
        <w:rPr>
          <w:rFonts w:cs="Arial"/>
          <w:szCs w:val="18"/>
          <w:lang w:val="es-ES"/>
        </w:rPr>
        <w:tab/>
      </w:r>
      <w:r>
        <w:rPr>
          <w:rFonts w:cs="Arial"/>
          <w:szCs w:val="18"/>
          <w:lang w:val="es-ES"/>
        </w:rPr>
        <w:t>L</w:t>
      </w:r>
      <w:r w:rsidRPr="00FD2217">
        <w:t>a inspección verifica la existencia de las adquisiciones, dejando la verificación de la calidad y cumplimiento de especificaciones al especialista sectorial.</w:t>
      </w:r>
    </w:p>
  </w:footnote>
  <w:footnote w:id="33">
    <w:p w14:paraId="0670ADA7" w14:textId="32A57CDC" w:rsidR="00B96394" w:rsidRDefault="00B96394" w:rsidP="008C42E1">
      <w:pPr>
        <w:pStyle w:val="FootnoteText"/>
      </w:pPr>
      <w:r>
        <w:rPr>
          <w:rStyle w:val="FootnoteReference"/>
        </w:rPr>
        <w:footnoteRef/>
      </w:r>
      <w:r>
        <w:t xml:space="preserve"> </w:t>
      </w:r>
      <w:r w:rsidR="00100FC8">
        <w:tab/>
      </w:r>
      <w:r>
        <w:t xml:space="preserve">Incluye servicios distintos de consultoría </w:t>
      </w:r>
    </w:p>
  </w:footnote>
  <w:footnote w:id="34">
    <w:p w14:paraId="33A6EFF7" w14:textId="11B3DDD7" w:rsidR="00B96394" w:rsidRDefault="00B96394" w:rsidP="008C42E1">
      <w:pPr>
        <w:pStyle w:val="FootnoteText"/>
      </w:pPr>
      <w:r>
        <w:rPr>
          <w:rStyle w:val="FootnoteReference"/>
        </w:rPr>
        <w:footnoteRef/>
      </w:r>
      <w:r>
        <w:t xml:space="preserve"> </w:t>
      </w:r>
      <w:r w:rsidR="00100FC8">
        <w:tab/>
      </w:r>
      <w:r>
        <w:t>El Gobierno del Ecuador se encuentra desarrollando un nuevo sistema (N-SIGEF) que reemplazará al e-SIGEF, si en el transcurso de la ejecución del Programa, entra en funcionamiento el N-SIGEF se utilizará el nuevo sistema.</w:t>
      </w:r>
    </w:p>
  </w:footnote>
  <w:footnote w:id="35">
    <w:p w14:paraId="7A66BB8B" w14:textId="3C523362" w:rsidR="00B96394" w:rsidRDefault="00B96394" w:rsidP="008C42E1">
      <w:pPr>
        <w:pStyle w:val="FootnoteText"/>
      </w:pPr>
      <w:r>
        <w:rPr>
          <w:rStyle w:val="FootnoteReference"/>
        </w:rPr>
        <w:footnoteRef/>
      </w:r>
      <w:r>
        <w:t xml:space="preserve"> </w:t>
      </w:r>
      <w:r w:rsidR="00100FC8">
        <w:tab/>
      </w:r>
      <w:r>
        <w:t>El PF, deberá</w:t>
      </w:r>
      <w:r w:rsidRPr="00CF77EC">
        <w:t xml:space="preserve"> ser consistente con el PEP, POA y el PA y deberá cubrir un horizonte móvil de al menos 12 meses. </w:t>
      </w:r>
    </w:p>
  </w:footnote>
  <w:footnote w:id="36">
    <w:p w14:paraId="335E1F84" w14:textId="388A0BDF" w:rsidR="00B96394" w:rsidRDefault="00B96394" w:rsidP="008C42E1">
      <w:pPr>
        <w:pStyle w:val="FootnoteText"/>
      </w:pPr>
      <w:r>
        <w:rPr>
          <w:rStyle w:val="FootnoteReference"/>
        </w:rPr>
        <w:footnoteRef/>
      </w:r>
      <w:r>
        <w:t xml:space="preserve"> </w:t>
      </w:r>
      <w:r w:rsidR="00100FC8">
        <w:tab/>
      </w:r>
      <w:r>
        <w:t>El ejercicio fiscal del Programa es el período comprendido entre el 1 de enero y el 31 de diciembre de cada año.</w:t>
      </w:r>
    </w:p>
  </w:footnote>
  <w:footnote w:id="37">
    <w:p w14:paraId="0B6E7A3C" w14:textId="22F6389D" w:rsidR="00B96394" w:rsidRDefault="00B96394" w:rsidP="008C42E1">
      <w:pPr>
        <w:pStyle w:val="FootnoteText"/>
      </w:pPr>
      <w:r>
        <w:rPr>
          <w:rStyle w:val="FootnoteReference"/>
        </w:rPr>
        <w:footnoteRef/>
      </w:r>
      <w:r>
        <w:t xml:space="preserve"> </w:t>
      </w:r>
      <w:r w:rsidR="00100FC8">
        <w:tab/>
      </w:r>
      <w:r>
        <w:t>Especialista Fiduciario del Banco</w:t>
      </w:r>
    </w:p>
  </w:footnote>
  <w:footnote w:id="38">
    <w:p w14:paraId="4461DA5A" w14:textId="6E80BC09" w:rsidR="00B96394" w:rsidRPr="00FA4527" w:rsidRDefault="00B96394" w:rsidP="008C42E1">
      <w:pPr>
        <w:pStyle w:val="FootnoteText"/>
        <w:rPr>
          <w:lang w:val="es-ES"/>
        </w:rPr>
      </w:pPr>
      <w:r>
        <w:rPr>
          <w:rStyle w:val="FootnoteReference"/>
        </w:rPr>
        <w:footnoteRef/>
      </w:r>
      <w:r>
        <w:t xml:space="preserve"> </w:t>
      </w:r>
      <w:r w:rsidRPr="00097C74">
        <w:tab/>
        <w:t>El Reporte de Cierre del Programa (P</w:t>
      </w:r>
      <w:r>
        <w:t>C</w:t>
      </w:r>
      <w:r w:rsidRPr="00097C74">
        <w:t>R), se elaborará siguiendo las directrices del Banco establecidos en la guía y formatos para el PCR del BID, vigentes al momento de concluir la operación.</w:t>
      </w:r>
    </w:p>
  </w:footnote>
  <w:footnote w:id="39">
    <w:p w14:paraId="364310BD" w14:textId="5AE6A744" w:rsidR="00B96394" w:rsidRDefault="00B96394" w:rsidP="001274C4">
      <w:pPr>
        <w:pStyle w:val="FootnoteText"/>
      </w:pPr>
      <w:r>
        <w:rPr>
          <w:rStyle w:val="FootnoteReference"/>
        </w:rPr>
        <w:footnoteRef/>
      </w:r>
      <w:r>
        <w:t xml:space="preserve"> </w:t>
      </w:r>
      <w:r w:rsidR="00100FC8">
        <w:tab/>
      </w:r>
      <w:r>
        <w:t xml:space="preserve">Los servicios de logística comprenden el </w:t>
      </w:r>
      <w:r w:rsidRPr="00CE66C3">
        <w:t xml:space="preserve">apoyo </w:t>
      </w:r>
      <w:r>
        <w:t xml:space="preserve">del MEF a la </w:t>
      </w:r>
      <w:r w:rsidRPr="00CE66C3">
        <w:t xml:space="preserve">gestión operativa del </w:t>
      </w:r>
      <w:r>
        <w:t>EDG.  Estos servicios, no incluyen los costos de pasajes y viáticos que el EDG requerirá para el cumplimiento de las actividades del Programa, mismos que estarán contemplados dentro de las actividades del Programa</w:t>
      </w:r>
      <w:r w:rsidRPr="00CE66C3">
        <w:t>.</w:t>
      </w:r>
    </w:p>
  </w:footnote>
  <w:footnote w:id="40">
    <w:p w14:paraId="45E602A5" w14:textId="5DABB970" w:rsidR="00B96394" w:rsidRDefault="00B96394" w:rsidP="001274C4">
      <w:pPr>
        <w:pStyle w:val="FootnoteText"/>
      </w:pPr>
      <w:r>
        <w:rPr>
          <w:rStyle w:val="FootnoteReference"/>
        </w:rPr>
        <w:footnoteRef/>
      </w:r>
      <w:r>
        <w:t xml:space="preserve"> </w:t>
      </w:r>
      <w:r w:rsidR="00100FC8">
        <w:tab/>
      </w:r>
      <w:r>
        <w:t>L</w:t>
      </w:r>
      <w:r w:rsidRPr="00C6129A">
        <w:t>a información y documentación de la gestión integral del Programa (inicio, planificación, ejecución, monitoreo y cierre) requerida, de acuerdo al cronograma, formatos y requerimientos solicitados por el Banco</w:t>
      </w:r>
      <w:r>
        <w:t>, incluye</w:t>
      </w:r>
      <w:r w:rsidRPr="00C6129A">
        <w:t>: el Plan de Ejecución del Proyecto (PEP), Plan Operativo Anual (POA), Plan de Adquisiciones (PA), Plan Financiero (PF), Matrices de Riesgos (GRP), Informes Semestrales de Progreso (ISP), Actualización de la Matriz de Resultados - PMR, Proyecciones, Solicitudes de Desembolso, Informes Financieros auditados y no auditados, informes de evaluación y demás informes que el BID requiera durante la ejecución del Programa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538FD" w14:textId="77777777" w:rsidR="00B96394" w:rsidRDefault="00B96394">
    <w:pPr>
      <w:pStyle w:val="Header"/>
    </w:pPr>
  </w:p>
  <w:p w14:paraId="051E1D90" w14:textId="77777777" w:rsidR="00B96394" w:rsidRDefault="00B9639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8803B" w14:textId="77777777" w:rsidR="00B96394" w:rsidRDefault="00B96394">
    <w:pPr>
      <w:pStyle w:val="Header"/>
    </w:pPr>
  </w:p>
  <w:p w14:paraId="6BE08F23" w14:textId="77777777" w:rsidR="00B96394" w:rsidRDefault="00B9639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8F88B" w14:textId="77777777" w:rsidR="00B96394" w:rsidRDefault="00B963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12E78"/>
    <w:multiLevelType w:val="hybridMultilevel"/>
    <w:tmpl w:val="DDBCFBD2"/>
    <w:lvl w:ilvl="0" w:tplc="3D78ABB4">
      <w:start w:val="1"/>
      <w:numFmt w:val="decimal"/>
      <w:pStyle w:val="ListParagraph"/>
      <w:lvlText w:val="%1."/>
      <w:lvlJc w:val="left"/>
      <w:pPr>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15:restartNumberingAfterBreak="0">
    <w:nsid w:val="2B661968"/>
    <w:multiLevelType w:val="hybridMultilevel"/>
    <w:tmpl w:val="ECD8E0DC"/>
    <w:lvl w:ilvl="0" w:tplc="B3B0E2E0">
      <w:start w:val="1"/>
      <w:numFmt w:val="decimal"/>
      <w:lvlText w:val="%1."/>
      <w:lvlJc w:val="left"/>
      <w:pPr>
        <w:ind w:left="620" w:hanging="360"/>
      </w:pPr>
      <w:rPr>
        <w:rFonts w:hint="default"/>
      </w:r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2" w15:restartNumberingAfterBreak="0">
    <w:nsid w:val="2F4F1ECE"/>
    <w:multiLevelType w:val="multilevel"/>
    <w:tmpl w:val="AD6CA50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b w:val="0"/>
        <w:color w:val="auto"/>
        <w:sz w:val="22"/>
        <w:szCs w:val="22"/>
      </w:rPr>
    </w:lvl>
    <w:lvl w:ilvl="2">
      <w:start w:val="1"/>
      <w:numFmt w:val="lowerRoman"/>
      <w:lvlText w:val="(%3)."/>
      <w:lvlJc w:val="right"/>
      <w:pPr>
        <w:tabs>
          <w:tab w:val="num" w:pos="1152"/>
        </w:tabs>
        <w:ind w:left="1152" w:hanging="432"/>
      </w:pPr>
      <w:rPr>
        <w:rFonts w:hint="default"/>
        <w:color w:val="auto"/>
      </w:rPr>
    </w:lvl>
    <w:lvl w:ilvl="3">
      <w:start w:val="1"/>
      <w:numFmt w:val="lowerLetter"/>
      <w:lvlText w:val="%4."/>
      <w:lvlJc w:val="right"/>
      <w:pPr>
        <w:tabs>
          <w:tab w:val="num" w:pos="3024"/>
        </w:tabs>
        <w:ind w:left="3024" w:hanging="288"/>
      </w:pPr>
      <w:rPr>
        <w:rFonts w:ascii="Arial" w:eastAsia="Times New Roman" w:hAnsi="Arial" w:cs="Arial"/>
        <w:b w:val="0"/>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15:restartNumberingAfterBreak="0">
    <w:nsid w:val="353B6819"/>
    <w:multiLevelType w:val="multilevel"/>
    <w:tmpl w:val="C2F276FA"/>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b w:val="0"/>
        <w:color w:val="auto"/>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Letter"/>
      <w:lvlText w:val="%4."/>
      <w:lvlJc w:val="right"/>
      <w:pPr>
        <w:tabs>
          <w:tab w:val="num" w:pos="3024"/>
        </w:tabs>
        <w:ind w:left="3024" w:hanging="288"/>
      </w:pPr>
      <w:rPr>
        <w:rFonts w:ascii="Arial" w:eastAsia="Times New Roman" w:hAnsi="Arial" w:cs="Arial"/>
        <w:b w:val="0"/>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 w15:restartNumberingAfterBreak="0">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365D471E"/>
    <w:multiLevelType w:val="multilevel"/>
    <w:tmpl w:val="96B08AF8"/>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pStyle w:val="Estilo1"/>
      <w:isLgl/>
      <w:lvlText w:val="%1.%2"/>
      <w:lvlJc w:val="left"/>
      <w:pPr>
        <w:tabs>
          <w:tab w:val="num" w:pos="720"/>
        </w:tabs>
        <w:ind w:left="720" w:hanging="720"/>
      </w:pPr>
      <w:rPr>
        <w:rFonts w:hint="default"/>
        <w:b w:val="0"/>
      </w:rPr>
    </w:lvl>
    <w:lvl w:ilvl="2">
      <w:start w:val="1"/>
      <w:numFmt w:val="lowerRoman"/>
      <w:lvlRestart w:val="0"/>
      <w:pStyle w:val="numeradorom"/>
      <w:lvlText w:val="%3."/>
      <w:lvlJc w:val="left"/>
      <w:pPr>
        <w:tabs>
          <w:tab w:val="num" w:pos="1800"/>
        </w:tabs>
        <w:ind w:left="1191" w:hanging="454"/>
      </w:pPr>
      <w:rPr>
        <w:rFonts w:ascii="Segoe UI" w:hAnsi="Segoe UI" w:hint="default"/>
        <w:b w:val="0"/>
        <w:i w:val="0"/>
        <w:sz w:val="22"/>
        <w:lang w:val="es-EC"/>
      </w:rPr>
    </w:lvl>
    <w:lvl w:ilvl="3">
      <w:start w:val="1"/>
      <w:numFmt w:val="lowerLetter"/>
      <w:lvlText w:val="%4)"/>
      <w:lvlJc w:val="left"/>
      <w:pPr>
        <w:tabs>
          <w:tab w:val="num" w:pos="2088"/>
        </w:tabs>
        <w:ind w:left="2088" w:hanging="288"/>
      </w:pPr>
      <w:rPr>
        <w:rFonts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15:restartNumberingAfterBreak="0">
    <w:nsid w:val="3B7120B0"/>
    <w:multiLevelType w:val="hybridMultilevel"/>
    <w:tmpl w:val="D6AAB2C2"/>
    <w:lvl w:ilvl="0" w:tplc="449C9E60">
      <w:start w:val="1"/>
      <w:numFmt w:val="lowerLetter"/>
      <w:pStyle w:val="Heading2"/>
      <w:lvlText w:val="%1."/>
      <w:lvlJc w:val="left"/>
      <w:pPr>
        <w:ind w:left="1070" w:hanging="360"/>
      </w:pPr>
      <w:rPr>
        <w:rFonts w:hint="default"/>
      </w:rPr>
    </w:lvl>
    <w:lvl w:ilvl="1" w:tplc="300A0019">
      <w:start w:val="1"/>
      <w:numFmt w:val="lowerLetter"/>
      <w:lvlText w:val="%2."/>
      <w:lvlJc w:val="left"/>
      <w:pPr>
        <w:ind w:left="2148" w:hanging="360"/>
      </w:pPr>
    </w:lvl>
    <w:lvl w:ilvl="2" w:tplc="300A001B" w:tentative="1">
      <w:start w:val="1"/>
      <w:numFmt w:val="lowerRoman"/>
      <w:lvlText w:val="%3."/>
      <w:lvlJc w:val="right"/>
      <w:pPr>
        <w:ind w:left="2868" w:hanging="180"/>
      </w:pPr>
    </w:lvl>
    <w:lvl w:ilvl="3" w:tplc="300A000F" w:tentative="1">
      <w:start w:val="1"/>
      <w:numFmt w:val="decimal"/>
      <w:lvlText w:val="%4."/>
      <w:lvlJc w:val="left"/>
      <w:pPr>
        <w:ind w:left="3588" w:hanging="360"/>
      </w:pPr>
    </w:lvl>
    <w:lvl w:ilvl="4" w:tplc="300A0019" w:tentative="1">
      <w:start w:val="1"/>
      <w:numFmt w:val="lowerLetter"/>
      <w:lvlText w:val="%5."/>
      <w:lvlJc w:val="left"/>
      <w:pPr>
        <w:ind w:left="4308" w:hanging="360"/>
      </w:pPr>
    </w:lvl>
    <w:lvl w:ilvl="5" w:tplc="300A001B" w:tentative="1">
      <w:start w:val="1"/>
      <w:numFmt w:val="lowerRoman"/>
      <w:lvlText w:val="%6."/>
      <w:lvlJc w:val="right"/>
      <w:pPr>
        <w:ind w:left="5028" w:hanging="180"/>
      </w:pPr>
    </w:lvl>
    <w:lvl w:ilvl="6" w:tplc="300A000F" w:tentative="1">
      <w:start w:val="1"/>
      <w:numFmt w:val="decimal"/>
      <w:lvlText w:val="%7."/>
      <w:lvlJc w:val="left"/>
      <w:pPr>
        <w:ind w:left="5748" w:hanging="360"/>
      </w:pPr>
    </w:lvl>
    <w:lvl w:ilvl="7" w:tplc="300A0019" w:tentative="1">
      <w:start w:val="1"/>
      <w:numFmt w:val="lowerLetter"/>
      <w:lvlText w:val="%8."/>
      <w:lvlJc w:val="left"/>
      <w:pPr>
        <w:ind w:left="6468" w:hanging="360"/>
      </w:pPr>
    </w:lvl>
    <w:lvl w:ilvl="8" w:tplc="300A001B" w:tentative="1">
      <w:start w:val="1"/>
      <w:numFmt w:val="lowerRoman"/>
      <w:lvlText w:val="%9."/>
      <w:lvlJc w:val="right"/>
      <w:pPr>
        <w:ind w:left="7188" w:hanging="180"/>
      </w:pPr>
    </w:lvl>
  </w:abstractNum>
  <w:abstractNum w:abstractNumId="7" w15:restartNumberingAfterBreak="0">
    <w:nsid w:val="53F353D6"/>
    <w:multiLevelType w:val="multilevel"/>
    <w:tmpl w:val="8CF4007E"/>
    <w:lvl w:ilvl="0">
      <w:start w:val="1"/>
      <w:numFmt w:val="upperRoman"/>
      <w:pStyle w:val="Heading1"/>
      <w:lvlText w:val="%1."/>
      <w:lvlJc w:val="right"/>
      <w:pPr>
        <w:ind w:left="720" w:hanging="360"/>
      </w:p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 w15:restartNumberingAfterBreak="0">
    <w:nsid w:val="60B70B68"/>
    <w:multiLevelType w:val="multilevel"/>
    <w:tmpl w:val="98D6EE66"/>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b w:val="0"/>
        <w:color w:val="auto"/>
        <w:sz w:val="22"/>
        <w:szCs w:val="22"/>
      </w:rPr>
    </w:lvl>
    <w:lvl w:ilvl="2">
      <w:start w:val="1"/>
      <w:numFmt w:val="lowerLetter"/>
      <w:lvlText w:val="%3."/>
      <w:lvlJc w:val="left"/>
      <w:pPr>
        <w:tabs>
          <w:tab w:val="num" w:pos="1152"/>
        </w:tabs>
        <w:ind w:left="1152" w:hanging="432"/>
      </w:pPr>
      <w:rPr>
        <w:color w:val="auto"/>
      </w:rPr>
    </w:lvl>
    <w:lvl w:ilvl="3">
      <w:start w:val="1"/>
      <w:numFmt w:val="lowerLetter"/>
      <w:lvlText w:val="%4."/>
      <w:lvlJc w:val="right"/>
      <w:pPr>
        <w:tabs>
          <w:tab w:val="num" w:pos="3024"/>
        </w:tabs>
        <w:ind w:left="3024" w:hanging="288"/>
      </w:pPr>
      <w:rPr>
        <w:rFonts w:ascii="Arial" w:eastAsia="Times New Roman" w:hAnsi="Arial" w:cs="Arial"/>
        <w:b w:val="0"/>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9" w15:restartNumberingAfterBreak="0">
    <w:nsid w:val="6F991B5A"/>
    <w:multiLevelType w:val="multilevel"/>
    <w:tmpl w:val="158C0646"/>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b w:val="0"/>
        <w:color w:val="auto"/>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Letter"/>
      <w:lvlText w:val="%4."/>
      <w:lvlJc w:val="right"/>
      <w:pPr>
        <w:tabs>
          <w:tab w:val="num" w:pos="3024"/>
        </w:tabs>
        <w:ind w:left="3024" w:hanging="288"/>
      </w:pPr>
      <w:rPr>
        <w:rFonts w:ascii="Arial" w:eastAsia="Times New Roman" w:hAnsi="Arial" w:cs="Arial"/>
        <w:b w:val="0"/>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0" w15:restartNumberingAfterBreak="0">
    <w:nsid w:val="7C935542"/>
    <w:multiLevelType w:val="multilevel"/>
    <w:tmpl w:val="AD6CA50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b w:val="0"/>
        <w:color w:val="auto"/>
        <w:sz w:val="22"/>
        <w:szCs w:val="22"/>
      </w:rPr>
    </w:lvl>
    <w:lvl w:ilvl="2">
      <w:start w:val="1"/>
      <w:numFmt w:val="lowerRoman"/>
      <w:lvlText w:val="(%3)."/>
      <w:lvlJc w:val="right"/>
      <w:pPr>
        <w:tabs>
          <w:tab w:val="num" w:pos="1152"/>
        </w:tabs>
        <w:ind w:left="1152" w:hanging="432"/>
      </w:pPr>
      <w:rPr>
        <w:rFonts w:hint="default"/>
        <w:color w:val="auto"/>
      </w:rPr>
    </w:lvl>
    <w:lvl w:ilvl="3">
      <w:start w:val="1"/>
      <w:numFmt w:val="lowerLetter"/>
      <w:lvlText w:val="%4."/>
      <w:lvlJc w:val="right"/>
      <w:pPr>
        <w:tabs>
          <w:tab w:val="num" w:pos="3024"/>
        </w:tabs>
        <w:ind w:left="3024" w:hanging="288"/>
      </w:pPr>
      <w:rPr>
        <w:rFonts w:ascii="Arial" w:eastAsia="Times New Roman" w:hAnsi="Arial" w:cs="Arial"/>
        <w:b w:val="0"/>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num w:numId="1">
    <w:abstractNumId w:val="7"/>
  </w:num>
  <w:num w:numId="2">
    <w:abstractNumId w:val="6"/>
  </w:num>
  <w:num w:numId="3">
    <w:abstractNumId w:val="6"/>
    <w:lvlOverride w:ilvl="0">
      <w:startOverride w:val="1"/>
    </w:lvlOverride>
  </w:num>
  <w:num w:numId="4">
    <w:abstractNumId w:val="6"/>
    <w:lvlOverride w:ilvl="0">
      <w:startOverride w:val="1"/>
    </w:lvlOverride>
  </w:num>
  <w:num w:numId="5">
    <w:abstractNumId w:val="6"/>
    <w:lvlOverride w:ilvl="0">
      <w:startOverride w:val="1"/>
    </w:lvlOverride>
  </w:num>
  <w:num w:numId="6">
    <w:abstractNumId w:val="6"/>
    <w:lvlOverride w:ilvl="0">
      <w:startOverride w:val="1"/>
    </w:lvlOverride>
  </w:num>
  <w:num w:numId="7">
    <w:abstractNumId w:val="5"/>
  </w:num>
  <w:num w:numId="8">
    <w:abstractNumId w:val="0"/>
  </w:num>
  <w:num w:numId="9">
    <w:abstractNumId w:val="6"/>
    <w:lvlOverride w:ilvl="0">
      <w:startOverride w:val="1"/>
    </w:lvlOverride>
  </w:num>
  <w:num w:numId="10">
    <w:abstractNumId w:val="5"/>
  </w:num>
  <w:num w:numId="11">
    <w:abstractNumId w:val="6"/>
    <w:lvlOverride w:ilvl="0">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8"/>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10"/>
  </w:num>
  <w:num w:numId="42">
    <w:abstractNumId w:val="2"/>
  </w:num>
  <w:num w:numId="43">
    <w:abstractNumId w:val="4"/>
  </w:num>
  <w:num w:numId="44">
    <w:abstractNumId w:val="9"/>
  </w:num>
  <w:num w:numId="45">
    <w:abstractNumId w:val="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745D"/>
    <w:rsid w:val="00001755"/>
    <w:rsid w:val="00001CD0"/>
    <w:rsid w:val="0000214C"/>
    <w:rsid w:val="00002527"/>
    <w:rsid w:val="000031BD"/>
    <w:rsid w:val="0000333A"/>
    <w:rsid w:val="000034C8"/>
    <w:rsid w:val="00004154"/>
    <w:rsid w:val="000045F7"/>
    <w:rsid w:val="000049F6"/>
    <w:rsid w:val="0000571B"/>
    <w:rsid w:val="00006566"/>
    <w:rsid w:val="0000672A"/>
    <w:rsid w:val="00006B8A"/>
    <w:rsid w:val="000071BB"/>
    <w:rsid w:val="000076C2"/>
    <w:rsid w:val="00011F3F"/>
    <w:rsid w:val="000125E6"/>
    <w:rsid w:val="000126DA"/>
    <w:rsid w:val="0001381C"/>
    <w:rsid w:val="000144E4"/>
    <w:rsid w:val="0001500B"/>
    <w:rsid w:val="000155A8"/>
    <w:rsid w:val="000156D5"/>
    <w:rsid w:val="00015862"/>
    <w:rsid w:val="000160D4"/>
    <w:rsid w:val="000164D5"/>
    <w:rsid w:val="000166E1"/>
    <w:rsid w:val="000171E7"/>
    <w:rsid w:val="0001755A"/>
    <w:rsid w:val="00017940"/>
    <w:rsid w:val="00017A81"/>
    <w:rsid w:val="000203D5"/>
    <w:rsid w:val="00020D28"/>
    <w:rsid w:val="000210EA"/>
    <w:rsid w:val="00022490"/>
    <w:rsid w:val="00022D34"/>
    <w:rsid w:val="0002461F"/>
    <w:rsid w:val="000246D1"/>
    <w:rsid w:val="0002509C"/>
    <w:rsid w:val="000259B5"/>
    <w:rsid w:val="00025AF7"/>
    <w:rsid w:val="00027384"/>
    <w:rsid w:val="00027796"/>
    <w:rsid w:val="000301B5"/>
    <w:rsid w:val="0003042E"/>
    <w:rsid w:val="000304E8"/>
    <w:rsid w:val="00030C14"/>
    <w:rsid w:val="00030F49"/>
    <w:rsid w:val="00031167"/>
    <w:rsid w:val="000315A0"/>
    <w:rsid w:val="000316AA"/>
    <w:rsid w:val="00031DD3"/>
    <w:rsid w:val="00033327"/>
    <w:rsid w:val="00033440"/>
    <w:rsid w:val="00033A72"/>
    <w:rsid w:val="00033AEB"/>
    <w:rsid w:val="00033B58"/>
    <w:rsid w:val="00033CFC"/>
    <w:rsid w:val="0003451F"/>
    <w:rsid w:val="000351CA"/>
    <w:rsid w:val="00035243"/>
    <w:rsid w:val="000357A1"/>
    <w:rsid w:val="00035979"/>
    <w:rsid w:val="00036251"/>
    <w:rsid w:val="000365B4"/>
    <w:rsid w:val="000372CE"/>
    <w:rsid w:val="000374D0"/>
    <w:rsid w:val="00037706"/>
    <w:rsid w:val="0003782A"/>
    <w:rsid w:val="00040FCD"/>
    <w:rsid w:val="000414BC"/>
    <w:rsid w:val="00042106"/>
    <w:rsid w:val="0004230A"/>
    <w:rsid w:val="00042385"/>
    <w:rsid w:val="000425B2"/>
    <w:rsid w:val="000439BD"/>
    <w:rsid w:val="00043BC4"/>
    <w:rsid w:val="000445EE"/>
    <w:rsid w:val="00044A5A"/>
    <w:rsid w:val="00044E51"/>
    <w:rsid w:val="00045279"/>
    <w:rsid w:val="000456FC"/>
    <w:rsid w:val="00045979"/>
    <w:rsid w:val="00045C11"/>
    <w:rsid w:val="00045F2D"/>
    <w:rsid w:val="0004605B"/>
    <w:rsid w:val="000464F5"/>
    <w:rsid w:val="00047EB7"/>
    <w:rsid w:val="000500B3"/>
    <w:rsid w:val="000514F6"/>
    <w:rsid w:val="0005152D"/>
    <w:rsid w:val="0005260A"/>
    <w:rsid w:val="00052B26"/>
    <w:rsid w:val="000534AD"/>
    <w:rsid w:val="00053FE3"/>
    <w:rsid w:val="00054771"/>
    <w:rsid w:val="00054B27"/>
    <w:rsid w:val="000556C4"/>
    <w:rsid w:val="000556F7"/>
    <w:rsid w:val="00055B9B"/>
    <w:rsid w:val="00056652"/>
    <w:rsid w:val="00057516"/>
    <w:rsid w:val="00060508"/>
    <w:rsid w:val="00060580"/>
    <w:rsid w:val="00060811"/>
    <w:rsid w:val="000610B1"/>
    <w:rsid w:val="000626F9"/>
    <w:rsid w:val="0006271F"/>
    <w:rsid w:val="000633FC"/>
    <w:rsid w:val="000635EA"/>
    <w:rsid w:val="000638C4"/>
    <w:rsid w:val="00063F3C"/>
    <w:rsid w:val="000643F1"/>
    <w:rsid w:val="00064D60"/>
    <w:rsid w:val="00065C20"/>
    <w:rsid w:val="00066D13"/>
    <w:rsid w:val="00066DAA"/>
    <w:rsid w:val="00067143"/>
    <w:rsid w:val="000707D5"/>
    <w:rsid w:val="00070DCE"/>
    <w:rsid w:val="00071BF5"/>
    <w:rsid w:val="00072248"/>
    <w:rsid w:val="00072F10"/>
    <w:rsid w:val="00072FC7"/>
    <w:rsid w:val="00073220"/>
    <w:rsid w:val="00073EAB"/>
    <w:rsid w:val="000743BC"/>
    <w:rsid w:val="000743BF"/>
    <w:rsid w:val="00074402"/>
    <w:rsid w:val="0007555F"/>
    <w:rsid w:val="00075F60"/>
    <w:rsid w:val="00077399"/>
    <w:rsid w:val="000805F8"/>
    <w:rsid w:val="0008122D"/>
    <w:rsid w:val="0008188A"/>
    <w:rsid w:val="00081E1A"/>
    <w:rsid w:val="00082A90"/>
    <w:rsid w:val="00082B75"/>
    <w:rsid w:val="00084C4F"/>
    <w:rsid w:val="00085431"/>
    <w:rsid w:val="000855CC"/>
    <w:rsid w:val="0008631F"/>
    <w:rsid w:val="000874BA"/>
    <w:rsid w:val="00087B43"/>
    <w:rsid w:val="00087F9C"/>
    <w:rsid w:val="00090315"/>
    <w:rsid w:val="00090329"/>
    <w:rsid w:val="0009032C"/>
    <w:rsid w:val="00090B8A"/>
    <w:rsid w:val="0009298D"/>
    <w:rsid w:val="00092D9C"/>
    <w:rsid w:val="00094750"/>
    <w:rsid w:val="00094B40"/>
    <w:rsid w:val="0009527F"/>
    <w:rsid w:val="000954F0"/>
    <w:rsid w:val="000974B8"/>
    <w:rsid w:val="00097781"/>
    <w:rsid w:val="00097C74"/>
    <w:rsid w:val="000A0046"/>
    <w:rsid w:val="000A05FF"/>
    <w:rsid w:val="000A0824"/>
    <w:rsid w:val="000A0AF5"/>
    <w:rsid w:val="000A1B68"/>
    <w:rsid w:val="000A1DDE"/>
    <w:rsid w:val="000A1F91"/>
    <w:rsid w:val="000A224A"/>
    <w:rsid w:val="000A2BD0"/>
    <w:rsid w:val="000A3794"/>
    <w:rsid w:val="000A37AA"/>
    <w:rsid w:val="000A41F0"/>
    <w:rsid w:val="000A42AE"/>
    <w:rsid w:val="000A4387"/>
    <w:rsid w:val="000A43B3"/>
    <w:rsid w:val="000A4FF1"/>
    <w:rsid w:val="000A5640"/>
    <w:rsid w:val="000A5D1B"/>
    <w:rsid w:val="000A6354"/>
    <w:rsid w:val="000A6D80"/>
    <w:rsid w:val="000B0F1B"/>
    <w:rsid w:val="000B16BF"/>
    <w:rsid w:val="000B38B9"/>
    <w:rsid w:val="000B4CFE"/>
    <w:rsid w:val="000B60A8"/>
    <w:rsid w:val="000B6BB5"/>
    <w:rsid w:val="000B7581"/>
    <w:rsid w:val="000C0442"/>
    <w:rsid w:val="000C1F33"/>
    <w:rsid w:val="000C3EDB"/>
    <w:rsid w:val="000C40E1"/>
    <w:rsid w:val="000C5D62"/>
    <w:rsid w:val="000C6AE5"/>
    <w:rsid w:val="000C6E79"/>
    <w:rsid w:val="000C700D"/>
    <w:rsid w:val="000C7A79"/>
    <w:rsid w:val="000C7E81"/>
    <w:rsid w:val="000D1AE9"/>
    <w:rsid w:val="000D1BFF"/>
    <w:rsid w:val="000D1C0B"/>
    <w:rsid w:val="000D2529"/>
    <w:rsid w:val="000D3BBE"/>
    <w:rsid w:val="000D4367"/>
    <w:rsid w:val="000D43BA"/>
    <w:rsid w:val="000D4D7E"/>
    <w:rsid w:val="000D4F8F"/>
    <w:rsid w:val="000D59F2"/>
    <w:rsid w:val="000D6BAF"/>
    <w:rsid w:val="000D74A3"/>
    <w:rsid w:val="000D7CAD"/>
    <w:rsid w:val="000D7E44"/>
    <w:rsid w:val="000E00A6"/>
    <w:rsid w:val="000E0CA3"/>
    <w:rsid w:val="000E0EF0"/>
    <w:rsid w:val="000E12C9"/>
    <w:rsid w:val="000E19E5"/>
    <w:rsid w:val="000E1BBE"/>
    <w:rsid w:val="000E276C"/>
    <w:rsid w:val="000E33CB"/>
    <w:rsid w:val="000E3576"/>
    <w:rsid w:val="000E3751"/>
    <w:rsid w:val="000E3A71"/>
    <w:rsid w:val="000E3F61"/>
    <w:rsid w:val="000E47E8"/>
    <w:rsid w:val="000E5978"/>
    <w:rsid w:val="000E5B60"/>
    <w:rsid w:val="000E6806"/>
    <w:rsid w:val="000E6C06"/>
    <w:rsid w:val="000E7073"/>
    <w:rsid w:val="000E72CB"/>
    <w:rsid w:val="000F0780"/>
    <w:rsid w:val="000F108A"/>
    <w:rsid w:val="000F1650"/>
    <w:rsid w:val="000F1AC7"/>
    <w:rsid w:val="000F25D4"/>
    <w:rsid w:val="000F2678"/>
    <w:rsid w:val="000F29AB"/>
    <w:rsid w:val="000F2A09"/>
    <w:rsid w:val="000F3909"/>
    <w:rsid w:val="000F3DE1"/>
    <w:rsid w:val="000F42ED"/>
    <w:rsid w:val="000F4823"/>
    <w:rsid w:val="000F4BF0"/>
    <w:rsid w:val="000F5ACB"/>
    <w:rsid w:val="000F6830"/>
    <w:rsid w:val="000F6EFD"/>
    <w:rsid w:val="000F7032"/>
    <w:rsid w:val="000F73A6"/>
    <w:rsid w:val="000F7E23"/>
    <w:rsid w:val="00100D46"/>
    <w:rsid w:val="00100FC8"/>
    <w:rsid w:val="0010176B"/>
    <w:rsid w:val="001024A7"/>
    <w:rsid w:val="00103250"/>
    <w:rsid w:val="00103411"/>
    <w:rsid w:val="00105160"/>
    <w:rsid w:val="00105C06"/>
    <w:rsid w:val="00106D2C"/>
    <w:rsid w:val="00106F8A"/>
    <w:rsid w:val="00106FCC"/>
    <w:rsid w:val="0010767C"/>
    <w:rsid w:val="00110D9E"/>
    <w:rsid w:val="001110C4"/>
    <w:rsid w:val="0011162C"/>
    <w:rsid w:val="00111C1E"/>
    <w:rsid w:val="00111E9B"/>
    <w:rsid w:val="0011206E"/>
    <w:rsid w:val="00112101"/>
    <w:rsid w:val="00112440"/>
    <w:rsid w:val="00112818"/>
    <w:rsid w:val="0011327D"/>
    <w:rsid w:val="001140CD"/>
    <w:rsid w:val="00114F8C"/>
    <w:rsid w:val="0011580F"/>
    <w:rsid w:val="00115E06"/>
    <w:rsid w:val="001161CA"/>
    <w:rsid w:val="00116BD6"/>
    <w:rsid w:val="001175DC"/>
    <w:rsid w:val="001177B1"/>
    <w:rsid w:val="00117A25"/>
    <w:rsid w:val="00117F98"/>
    <w:rsid w:val="001202E0"/>
    <w:rsid w:val="00120CAD"/>
    <w:rsid w:val="00122217"/>
    <w:rsid w:val="00122532"/>
    <w:rsid w:val="00122846"/>
    <w:rsid w:val="00123C15"/>
    <w:rsid w:val="0012439A"/>
    <w:rsid w:val="001245D3"/>
    <w:rsid w:val="00127228"/>
    <w:rsid w:val="00127398"/>
    <w:rsid w:val="001274C4"/>
    <w:rsid w:val="00127916"/>
    <w:rsid w:val="001302F2"/>
    <w:rsid w:val="00130695"/>
    <w:rsid w:val="00131FCB"/>
    <w:rsid w:val="0013241E"/>
    <w:rsid w:val="001328B2"/>
    <w:rsid w:val="00132A3B"/>
    <w:rsid w:val="001336BA"/>
    <w:rsid w:val="001352CC"/>
    <w:rsid w:val="00135D82"/>
    <w:rsid w:val="0013674B"/>
    <w:rsid w:val="001376C8"/>
    <w:rsid w:val="00137B3D"/>
    <w:rsid w:val="00140390"/>
    <w:rsid w:val="001424FE"/>
    <w:rsid w:val="00142566"/>
    <w:rsid w:val="0014270A"/>
    <w:rsid w:val="001428C9"/>
    <w:rsid w:val="00142A7A"/>
    <w:rsid w:val="00143237"/>
    <w:rsid w:val="00143406"/>
    <w:rsid w:val="00143B8B"/>
    <w:rsid w:val="00143D72"/>
    <w:rsid w:val="00144A06"/>
    <w:rsid w:val="00145212"/>
    <w:rsid w:val="0014588D"/>
    <w:rsid w:val="00146608"/>
    <w:rsid w:val="001467DE"/>
    <w:rsid w:val="001477F0"/>
    <w:rsid w:val="0014780B"/>
    <w:rsid w:val="00150C92"/>
    <w:rsid w:val="00150E30"/>
    <w:rsid w:val="001515E5"/>
    <w:rsid w:val="001525EE"/>
    <w:rsid w:val="001543AC"/>
    <w:rsid w:val="0015460F"/>
    <w:rsid w:val="0015519D"/>
    <w:rsid w:val="00155361"/>
    <w:rsid w:val="00155AA2"/>
    <w:rsid w:val="00155CCD"/>
    <w:rsid w:val="00156329"/>
    <w:rsid w:val="00156E56"/>
    <w:rsid w:val="00157524"/>
    <w:rsid w:val="00157865"/>
    <w:rsid w:val="00160B9E"/>
    <w:rsid w:val="0016148A"/>
    <w:rsid w:val="00162ACA"/>
    <w:rsid w:val="001647C1"/>
    <w:rsid w:val="001647F9"/>
    <w:rsid w:val="00165FD1"/>
    <w:rsid w:val="00166D2A"/>
    <w:rsid w:val="00167B7C"/>
    <w:rsid w:val="00172312"/>
    <w:rsid w:val="00172746"/>
    <w:rsid w:val="00172D22"/>
    <w:rsid w:val="0017364A"/>
    <w:rsid w:val="00176E0E"/>
    <w:rsid w:val="0017799B"/>
    <w:rsid w:val="001779A4"/>
    <w:rsid w:val="00177AEF"/>
    <w:rsid w:val="00177D00"/>
    <w:rsid w:val="00177D62"/>
    <w:rsid w:val="00180717"/>
    <w:rsid w:val="0018239D"/>
    <w:rsid w:val="00182CB3"/>
    <w:rsid w:val="00183279"/>
    <w:rsid w:val="00184D45"/>
    <w:rsid w:val="001859DD"/>
    <w:rsid w:val="001859F7"/>
    <w:rsid w:val="00185C60"/>
    <w:rsid w:val="00186460"/>
    <w:rsid w:val="00186766"/>
    <w:rsid w:val="0019001F"/>
    <w:rsid w:val="00190672"/>
    <w:rsid w:val="00190AF1"/>
    <w:rsid w:val="00191955"/>
    <w:rsid w:val="001941FE"/>
    <w:rsid w:val="0019437A"/>
    <w:rsid w:val="00194404"/>
    <w:rsid w:val="00194877"/>
    <w:rsid w:val="00194CDC"/>
    <w:rsid w:val="00195138"/>
    <w:rsid w:val="00195A77"/>
    <w:rsid w:val="00196E7F"/>
    <w:rsid w:val="0019761A"/>
    <w:rsid w:val="00197CAF"/>
    <w:rsid w:val="001A02F6"/>
    <w:rsid w:val="001A04C8"/>
    <w:rsid w:val="001A05AC"/>
    <w:rsid w:val="001A101E"/>
    <w:rsid w:val="001A1AD8"/>
    <w:rsid w:val="001A2376"/>
    <w:rsid w:val="001A2F85"/>
    <w:rsid w:val="001A36EB"/>
    <w:rsid w:val="001A526A"/>
    <w:rsid w:val="001A5B71"/>
    <w:rsid w:val="001A5DFC"/>
    <w:rsid w:val="001A64E9"/>
    <w:rsid w:val="001A6756"/>
    <w:rsid w:val="001A688D"/>
    <w:rsid w:val="001A6CAB"/>
    <w:rsid w:val="001A6F1A"/>
    <w:rsid w:val="001A7286"/>
    <w:rsid w:val="001A7368"/>
    <w:rsid w:val="001A7DCC"/>
    <w:rsid w:val="001B09DE"/>
    <w:rsid w:val="001B0C4C"/>
    <w:rsid w:val="001B1451"/>
    <w:rsid w:val="001B1784"/>
    <w:rsid w:val="001B1B9F"/>
    <w:rsid w:val="001B1E87"/>
    <w:rsid w:val="001B2EAD"/>
    <w:rsid w:val="001B48CE"/>
    <w:rsid w:val="001B4E96"/>
    <w:rsid w:val="001B5551"/>
    <w:rsid w:val="001B5913"/>
    <w:rsid w:val="001B59B8"/>
    <w:rsid w:val="001B6BF5"/>
    <w:rsid w:val="001B792D"/>
    <w:rsid w:val="001B7CF8"/>
    <w:rsid w:val="001C0857"/>
    <w:rsid w:val="001C16C6"/>
    <w:rsid w:val="001C1FD1"/>
    <w:rsid w:val="001C287B"/>
    <w:rsid w:val="001C2996"/>
    <w:rsid w:val="001C3DF5"/>
    <w:rsid w:val="001C4080"/>
    <w:rsid w:val="001C47D2"/>
    <w:rsid w:val="001C48D7"/>
    <w:rsid w:val="001C6943"/>
    <w:rsid w:val="001C6DEC"/>
    <w:rsid w:val="001C7188"/>
    <w:rsid w:val="001C74B6"/>
    <w:rsid w:val="001C7933"/>
    <w:rsid w:val="001C7F53"/>
    <w:rsid w:val="001D00C1"/>
    <w:rsid w:val="001D0151"/>
    <w:rsid w:val="001D0411"/>
    <w:rsid w:val="001D0C7E"/>
    <w:rsid w:val="001D1078"/>
    <w:rsid w:val="001D18D9"/>
    <w:rsid w:val="001D2F40"/>
    <w:rsid w:val="001D3FD1"/>
    <w:rsid w:val="001D4029"/>
    <w:rsid w:val="001D48F6"/>
    <w:rsid w:val="001D6912"/>
    <w:rsid w:val="001D6C6B"/>
    <w:rsid w:val="001D6F92"/>
    <w:rsid w:val="001D71BD"/>
    <w:rsid w:val="001D7540"/>
    <w:rsid w:val="001D7831"/>
    <w:rsid w:val="001D7FCA"/>
    <w:rsid w:val="001E0879"/>
    <w:rsid w:val="001E15B5"/>
    <w:rsid w:val="001E26EF"/>
    <w:rsid w:val="001E27C2"/>
    <w:rsid w:val="001E2B04"/>
    <w:rsid w:val="001E333F"/>
    <w:rsid w:val="001E3742"/>
    <w:rsid w:val="001E421C"/>
    <w:rsid w:val="001E4A8E"/>
    <w:rsid w:val="001E4FCC"/>
    <w:rsid w:val="001E5B90"/>
    <w:rsid w:val="001E6232"/>
    <w:rsid w:val="001E6EDE"/>
    <w:rsid w:val="001F1D82"/>
    <w:rsid w:val="001F2190"/>
    <w:rsid w:val="001F22B1"/>
    <w:rsid w:val="001F238B"/>
    <w:rsid w:val="001F4A83"/>
    <w:rsid w:val="001F5AD0"/>
    <w:rsid w:val="001F7B45"/>
    <w:rsid w:val="002013F8"/>
    <w:rsid w:val="00201C89"/>
    <w:rsid w:val="00202C43"/>
    <w:rsid w:val="00202D11"/>
    <w:rsid w:val="00203106"/>
    <w:rsid w:val="002035C9"/>
    <w:rsid w:val="002039A6"/>
    <w:rsid w:val="002044A4"/>
    <w:rsid w:val="00204C63"/>
    <w:rsid w:val="00204D64"/>
    <w:rsid w:val="00204E9A"/>
    <w:rsid w:val="002051FE"/>
    <w:rsid w:val="00205628"/>
    <w:rsid w:val="002061DE"/>
    <w:rsid w:val="002074A8"/>
    <w:rsid w:val="00207E10"/>
    <w:rsid w:val="0021022C"/>
    <w:rsid w:val="002125A5"/>
    <w:rsid w:val="0021290D"/>
    <w:rsid w:val="0021548B"/>
    <w:rsid w:val="00215A75"/>
    <w:rsid w:val="00215C02"/>
    <w:rsid w:val="0021628D"/>
    <w:rsid w:val="00216EDF"/>
    <w:rsid w:val="00217770"/>
    <w:rsid w:val="00217B29"/>
    <w:rsid w:val="00217C3E"/>
    <w:rsid w:val="002200C9"/>
    <w:rsid w:val="00221B8D"/>
    <w:rsid w:val="00221E23"/>
    <w:rsid w:val="002231A6"/>
    <w:rsid w:val="0022342B"/>
    <w:rsid w:val="00223643"/>
    <w:rsid w:val="0022370A"/>
    <w:rsid w:val="00223D8B"/>
    <w:rsid w:val="00223E42"/>
    <w:rsid w:val="002251CE"/>
    <w:rsid w:val="00226133"/>
    <w:rsid w:val="00226242"/>
    <w:rsid w:val="002273FF"/>
    <w:rsid w:val="00227447"/>
    <w:rsid w:val="00227DDD"/>
    <w:rsid w:val="002300CF"/>
    <w:rsid w:val="00232D5A"/>
    <w:rsid w:val="002330E0"/>
    <w:rsid w:val="00233113"/>
    <w:rsid w:val="00233EC7"/>
    <w:rsid w:val="00234138"/>
    <w:rsid w:val="00235020"/>
    <w:rsid w:val="002352CB"/>
    <w:rsid w:val="002354FD"/>
    <w:rsid w:val="002358DD"/>
    <w:rsid w:val="002359FB"/>
    <w:rsid w:val="00235A2C"/>
    <w:rsid w:val="00236174"/>
    <w:rsid w:val="00236621"/>
    <w:rsid w:val="0023688A"/>
    <w:rsid w:val="00236940"/>
    <w:rsid w:val="00237732"/>
    <w:rsid w:val="00237C96"/>
    <w:rsid w:val="00237DA2"/>
    <w:rsid w:val="0024095E"/>
    <w:rsid w:val="00240DBA"/>
    <w:rsid w:val="00241BFE"/>
    <w:rsid w:val="00241E08"/>
    <w:rsid w:val="0024241B"/>
    <w:rsid w:val="00242A66"/>
    <w:rsid w:val="00242DFC"/>
    <w:rsid w:val="00242E68"/>
    <w:rsid w:val="00244281"/>
    <w:rsid w:val="00244741"/>
    <w:rsid w:val="00245623"/>
    <w:rsid w:val="00245C4F"/>
    <w:rsid w:val="0024692E"/>
    <w:rsid w:val="00247067"/>
    <w:rsid w:val="002471C0"/>
    <w:rsid w:val="00247FB9"/>
    <w:rsid w:val="00250068"/>
    <w:rsid w:val="00250366"/>
    <w:rsid w:val="00250460"/>
    <w:rsid w:val="002505EA"/>
    <w:rsid w:val="00250C44"/>
    <w:rsid w:val="0025284D"/>
    <w:rsid w:val="0025305B"/>
    <w:rsid w:val="00254005"/>
    <w:rsid w:val="0025439A"/>
    <w:rsid w:val="00255A17"/>
    <w:rsid w:val="00257387"/>
    <w:rsid w:val="00257692"/>
    <w:rsid w:val="00260E6C"/>
    <w:rsid w:val="0026136D"/>
    <w:rsid w:val="00261D75"/>
    <w:rsid w:val="002621D5"/>
    <w:rsid w:val="00262591"/>
    <w:rsid w:val="002635EA"/>
    <w:rsid w:val="00263CE8"/>
    <w:rsid w:val="00263F5B"/>
    <w:rsid w:val="002647BE"/>
    <w:rsid w:val="002651D3"/>
    <w:rsid w:val="002654B9"/>
    <w:rsid w:val="00265A79"/>
    <w:rsid w:val="002666BB"/>
    <w:rsid w:val="00266FA9"/>
    <w:rsid w:val="00267307"/>
    <w:rsid w:val="00267F5B"/>
    <w:rsid w:val="00270E7C"/>
    <w:rsid w:val="0027160A"/>
    <w:rsid w:val="00271DFD"/>
    <w:rsid w:val="002728F2"/>
    <w:rsid w:val="00274211"/>
    <w:rsid w:val="002746DF"/>
    <w:rsid w:val="00275783"/>
    <w:rsid w:val="00275BFD"/>
    <w:rsid w:val="002764E5"/>
    <w:rsid w:val="00276CA0"/>
    <w:rsid w:val="00276CD8"/>
    <w:rsid w:val="00276FAC"/>
    <w:rsid w:val="00277190"/>
    <w:rsid w:val="00277797"/>
    <w:rsid w:val="00277CD2"/>
    <w:rsid w:val="002815EC"/>
    <w:rsid w:val="00281E52"/>
    <w:rsid w:val="00281FF2"/>
    <w:rsid w:val="002836BE"/>
    <w:rsid w:val="00284113"/>
    <w:rsid w:val="0028589F"/>
    <w:rsid w:val="00285A0F"/>
    <w:rsid w:val="00285C50"/>
    <w:rsid w:val="00285F55"/>
    <w:rsid w:val="002864C4"/>
    <w:rsid w:val="00286C50"/>
    <w:rsid w:val="00287168"/>
    <w:rsid w:val="00287EBE"/>
    <w:rsid w:val="00290BF2"/>
    <w:rsid w:val="00290D75"/>
    <w:rsid w:val="00290F2E"/>
    <w:rsid w:val="002912E9"/>
    <w:rsid w:val="00292017"/>
    <w:rsid w:val="00292734"/>
    <w:rsid w:val="0029327F"/>
    <w:rsid w:val="00293734"/>
    <w:rsid w:val="00294389"/>
    <w:rsid w:val="00294742"/>
    <w:rsid w:val="00294C7D"/>
    <w:rsid w:val="00295204"/>
    <w:rsid w:val="002957CD"/>
    <w:rsid w:val="00296356"/>
    <w:rsid w:val="00296D4C"/>
    <w:rsid w:val="00297841"/>
    <w:rsid w:val="002A06EF"/>
    <w:rsid w:val="002A0787"/>
    <w:rsid w:val="002A13C7"/>
    <w:rsid w:val="002A146F"/>
    <w:rsid w:val="002A1758"/>
    <w:rsid w:val="002A1A33"/>
    <w:rsid w:val="002A3E28"/>
    <w:rsid w:val="002A3E63"/>
    <w:rsid w:val="002A3F6E"/>
    <w:rsid w:val="002A4809"/>
    <w:rsid w:val="002A4A86"/>
    <w:rsid w:val="002A512C"/>
    <w:rsid w:val="002A5D00"/>
    <w:rsid w:val="002A5D3D"/>
    <w:rsid w:val="002A645B"/>
    <w:rsid w:val="002A66D5"/>
    <w:rsid w:val="002A7974"/>
    <w:rsid w:val="002A7D6E"/>
    <w:rsid w:val="002B0962"/>
    <w:rsid w:val="002B1249"/>
    <w:rsid w:val="002B1503"/>
    <w:rsid w:val="002B19AF"/>
    <w:rsid w:val="002B1AFD"/>
    <w:rsid w:val="002B1C77"/>
    <w:rsid w:val="002B23D3"/>
    <w:rsid w:val="002B257A"/>
    <w:rsid w:val="002B342D"/>
    <w:rsid w:val="002B3E2E"/>
    <w:rsid w:val="002B4EA1"/>
    <w:rsid w:val="002B57F4"/>
    <w:rsid w:val="002B5F77"/>
    <w:rsid w:val="002B7CA5"/>
    <w:rsid w:val="002C0388"/>
    <w:rsid w:val="002C0839"/>
    <w:rsid w:val="002C0895"/>
    <w:rsid w:val="002C22C5"/>
    <w:rsid w:val="002C2C32"/>
    <w:rsid w:val="002C2F56"/>
    <w:rsid w:val="002C3ECB"/>
    <w:rsid w:val="002C4375"/>
    <w:rsid w:val="002C5C4C"/>
    <w:rsid w:val="002C5FB6"/>
    <w:rsid w:val="002C68C7"/>
    <w:rsid w:val="002C6C59"/>
    <w:rsid w:val="002C6DE0"/>
    <w:rsid w:val="002C71E0"/>
    <w:rsid w:val="002C7221"/>
    <w:rsid w:val="002C7413"/>
    <w:rsid w:val="002C74C3"/>
    <w:rsid w:val="002C785F"/>
    <w:rsid w:val="002C7A62"/>
    <w:rsid w:val="002D01E1"/>
    <w:rsid w:val="002D1531"/>
    <w:rsid w:val="002D16B2"/>
    <w:rsid w:val="002D18A6"/>
    <w:rsid w:val="002D207E"/>
    <w:rsid w:val="002D2628"/>
    <w:rsid w:val="002D2A2F"/>
    <w:rsid w:val="002D2D48"/>
    <w:rsid w:val="002D3149"/>
    <w:rsid w:val="002D39CB"/>
    <w:rsid w:val="002D48F1"/>
    <w:rsid w:val="002D4E96"/>
    <w:rsid w:val="002D526C"/>
    <w:rsid w:val="002D697B"/>
    <w:rsid w:val="002D6ABB"/>
    <w:rsid w:val="002D7153"/>
    <w:rsid w:val="002D775D"/>
    <w:rsid w:val="002E0B2C"/>
    <w:rsid w:val="002E10A9"/>
    <w:rsid w:val="002E141D"/>
    <w:rsid w:val="002E2C3A"/>
    <w:rsid w:val="002E2E41"/>
    <w:rsid w:val="002E348C"/>
    <w:rsid w:val="002E43FE"/>
    <w:rsid w:val="002E4627"/>
    <w:rsid w:val="002E57F7"/>
    <w:rsid w:val="002E5F7A"/>
    <w:rsid w:val="002E6308"/>
    <w:rsid w:val="002E66D7"/>
    <w:rsid w:val="002E7143"/>
    <w:rsid w:val="002F1D45"/>
    <w:rsid w:val="002F2BE0"/>
    <w:rsid w:val="002F2E4D"/>
    <w:rsid w:val="002F35E0"/>
    <w:rsid w:val="002F46AA"/>
    <w:rsid w:val="002F4916"/>
    <w:rsid w:val="002F5069"/>
    <w:rsid w:val="002F5290"/>
    <w:rsid w:val="002F547A"/>
    <w:rsid w:val="002F5FE9"/>
    <w:rsid w:val="002F690D"/>
    <w:rsid w:val="002F6EC0"/>
    <w:rsid w:val="002F72F2"/>
    <w:rsid w:val="002F75E2"/>
    <w:rsid w:val="00300841"/>
    <w:rsid w:val="00301878"/>
    <w:rsid w:val="00302032"/>
    <w:rsid w:val="0030287C"/>
    <w:rsid w:val="00302998"/>
    <w:rsid w:val="00302F17"/>
    <w:rsid w:val="003030AA"/>
    <w:rsid w:val="00303205"/>
    <w:rsid w:val="00303AE6"/>
    <w:rsid w:val="00303B72"/>
    <w:rsid w:val="0030491B"/>
    <w:rsid w:val="00305699"/>
    <w:rsid w:val="003060DD"/>
    <w:rsid w:val="00306811"/>
    <w:rsid w:val="00306DAE"/>
    <w:rsid w:val="00307190"/>
    <w:rsid w:val="00310BA3"/>
    <w:rsid w:val="0031179F"/>
    <w:rsid w:val="00312979"/>
    <w:rsid w:val="00312A0B"/>
    <w:rsid w:val="00312C71"/>
    <w:rsid w:val="00312F06"/>
    <w:rsid w:val="0031497B"/>
    <w:rsid w:val="003173CA"/>
    <w:rsid w:val="00317BDA"/>
    <w:rsid w:val="00320536"/>
    <w:rsid w:val="00320660"/>
    <w:rsid w:val="003219A1"/>
    <w:rsid w:val="0032230E"/>
    <w:rsid w:val="00322519"/>
    <w:rsid w:val="00322B80"/>
    <w:rsid w:val="00322C5A"/>
    <w:rsid w:val="00323D2D"/>
    <w:rsid w:val="00324A5D"/>
    <w:rsid w:val="003253F9"/>
    <w:rsid w:val="003258FE"/>
    <w:rsid w:val="00326048"/>
    <w:rsid w:val="00326078"/>
    <w:rsid w:val="00326E96"/>
    <w:rsid w:val="00327839"/>
    <w:rsid w:val="003278CA"/>
    <w:rsid w:val="00327B8B"/>
    <w:rsid w:val="00330388"/>
    <w:rsid w:val="003311DF"/>
    <w:rsid w:val="0033216F"/>
    <w:rsid w:val="00332400"/>
    <w:rsid w:val="00332421"/>
    <w:rsid w:val="003332EF"/>
    <w:rsid w:val="00333D22"/>
    <w:rsid w:val="00333E67"/>
    <w:rsid w:val="0033449B"/>
    <w:rsid w:val="003347C4"/>
    <w:rsid w:val="003351F9"/>
    <w:rsid w:val="00336390"/>
    <w:rsid w:val="003400C1"/>
    <w:rsid w:val="00340290"/>
    <w:rsid w:val="00340CBA"/>
    <w:rsid w:val="00340E81"/>
    <w:rsid w:val="00340FE9"/>
    <w:rsid w:val="00341116"/>
    <w:rsid w:val="0034133D"/>
    <w:rsid w:val="00341E99"/>
    <w:rsid w:val="00341F99"/>
    <w:rsid w:val="003422D9"/>
    <w:rsid w:val="00342C96"/>
    <w:rsid w:val="00343565"/>
    <w:rsid w:val="003445B9"/>
    <w:rsid w:val="00344C6F"/>
    <w:rsid w:val="00345B5C"/>
    <w:rsid w:val="00346A27"/>
    <w:rsid w:val="00346CF7"/>
    <w:rsid w:val="00347065"/>
    <w:rsid w:val="00347325"/>
    <w:rsid w:val="00347EC9"/>
    <w:rsid w:val="00351823"/>
    <w:rsid w:val="00351881"/>
    <w:rsid w:val="003534D7"/>
    <w:rsid w:val="00353742"/>
    <w:rsid w:val="00354105"/>
    <w:rsid w:val="0035548D"/>
    <w:rsid w:val="00355C20"/>
    <w:rsid w:val="003560EC"/>
    <w:rsid w:val="003573FF"/>
    <w:rsid w:val="00357426"/>
    <w:rsid w:val="003578A1"/>
    <w:rsid w:val="00357C91"/>
    <w:rsid w:val="00360B00"/>
    <w:rsid w:val="00361638"/>
    <w:rsid w:val="00362603"/>
    <w:rsid w:val="003630BE"/>
    <w:rsid w:val="0036392F"/>
    <w:rsid w:val="00363C0B"/>
    <w:rsid w:val="0036441F"/>
    <w:rsid w:val="0036596A"/>
    <w:rsid w:val="00365A8D"/>
    <w:rsid w:val="003663C6"/>
    <w:rsid w:val="00366C40"/>
    <w:rsid w:val="0036766B"/>
    <w:rsid w:val="00370A37"/>
    <w:rsid w:val="00370DEC"/>
    <w:rsid w:val="003712F4"/>
    <w:rsid w:val="0037143A"/>
    <w:rsid w:val="00371522"/>
    <w:rsid w:val="00371EA8"/>
    <w:rsid w:val="003730DD"/>
    <w:rsid w:val="00373478"/>
    <w:rsid w:val="00373731"/>
    <w:rsid w:val="0037385D"/>
    <w:rsid w:val="0037469F"/>
    <w:rsid w:val="0037681C"/>
    <w:rsid w:val="00377037"/>
    <w:rsid w:val="00377080"/>
    <w:rsid w:val="003805E1"/>
    <w:rsid w:val="00381667"/>
    <w:rsid w:val="003821DC"/>
    <w:rsid w:val="00382BCF"/>
    <w:rsid w:val="00382F19"/>
    <w:rsid w:val="0038322B"/>
    <w:rsid w:val="00383DFF"/>
    <w:rsid w:val="00383FA6"/>
    <w:rsid w:val="0038678B"/>
    <w:rsid w:val="00386865"/>
    <w:rsid w:val="00386FFC"/>
    <w:rsid w:val="00387442"/>
    <w:rsid w:val="00391896"/>
    <w:rsid w:val="00391C5E"/>
    <w:rsid w:val="003924BF"/>
    <w:rsid w:val="00392F3E"/>
    <w:rsid w:val="0039324C"/>
    <w:rsid w:val="0039336C"/>
    <w:rsid w:val="0039352C"/>
    <w:rsid w:val="00393BAE"/>
    <w:rsid w:val="00393F69"/>
    <w:rsid w:val="00394846"/>
    <w:rsid w:val="00395731"/>
    <w:rsid w:val="00395EA2"/>
    <w:rsid w:val="00396C2A"/>
    <w:rsid w:val="00396E4A"/>
    <w:rsid w:val="00397023"/>
    <w:rsid w:val="00397592"/>
    <w:rsid w:val="00397985"/>
    <w:rsid w:val="00397F0A"/>
    <w:rsid w:val="003A0487"/>
    <w:rsid w:val="003A0DB1"/>
    <w:rsid w:val="003A138D"/>
    <w:rsid w:val="003A256E"/>
    <w:rsid w:val="003A2A6E"/>
    <w:rsid w:val="003A2C48"/>
    <w:rsid w:val="003A2C72"/>
    <w:rsid w:val="003A4975"/>
    <w:rsid w:val="003A766A"/>
    <w:rsid w:val="003B0286"/>
    <w:rsid w:val="003B1081"/>
    <w:rsid w:val="003B16B1"/>
    <w:rsid w:val="003B1B28"/>
    <w:rsid w:val="003B1B29"/>
    <w:rsid w:val="003B1C4D"/>
    <w:rsid w:val="003B22AB"/>
    <w:rsid w:val="003B308E"/>
    <w:rsid w:val="003B37CB"/>
    <w:rsid w:val="003B5B59"/>
    <w:rsid w:val="003B643C"/>
    <w:rsid w:val="003B6DDA"/>
    <w:rsid w:val="003B786A"/>
    <w:rsid w:val="003C0A04"/>
    <w:rsid w:val="003C0AF9"/>
    <w:rsid w:val="003C0BE2"/>
    <w:rsid w:val="003C19C2"/>
    <w:rsid w:val="003C1B86"/>
    <w:rsid w:val="003C241C"/>
    <w:rsid w:val="003C280E"/>
    <w:rsid w:val="003C2C81"/>
    <w:rsid w:val="003C4255"/>
    <w:rsid w:val="003C4ADF"/>
    <w:rsid w:val="003C50C5"/>
    <w:rsid w:val="003C5AC2"/>
    <w:rsid w:val="003C5D8C"/>
    <w:rsid w:val="003C5E1A"/>
    <w:rsid w:val="003C67B4"/>
    <w:rsid w:val="003C7739"/>
    <w:rsid w:val="003D0B0C"/>
    <w:rsid w:val="003D275B"/>
    <w:rsid w:val="003D2A98"/>
    <w:rsid w:val="003D2D70"/>
    <w:rsid w:val="003D31B2"/>
    <w:rsid w:val="003D3361"/>
    <w:rsid w:val="003D3621"/>
    <w:rsid w:val="003D373A"/>
    <w:rsid w:val="003D3B4D"/>
    <w:rsid w:val="003D4342"/>
    <w:rsid w:val="003D4514"/>
    <w:rsid w:val="003D4E34"/>
    <w:rsid w:val="003D55DA"/>
    <w:rsid w:val="003D69B3"/>
    <w:rsid w:val="003D7E8C"/>
    <w:rsid w:val="003E00D9"/>
    <w:rsid w:val="003E060C"/>
    <w:rsid w:val="003E0AF4"/>
    <w:rsid w:val="003E1417"/>
    <w:rsid w:val="003E162C"/>
    <w:rsid w:val="003E232F"/>
    <w:rsid w:val="003E2350"/>
    <w:rsid w:val="003E289F"/>
    <w:rsid w:val="003E2C83"/>
    <w:rsid w:val="003E380F"/>
    <w:rsid w:val="003E3AC1"/>
    <w:rsid w:val="003E4238"/>
    <w:rsid w:val="003E458A"/>
    <w:rsid w:val="003E47AA"/>
    <w:rsid w:val="003E4E68"/>
    <w:rsid w:val="003E555B"/>
    <w:rsid w:val="003E6348"/>
    <w:rsid w:val="003E6B9D"/>
    <w:rsid w:val="003F0142"/>
    <w:rsid w:val="003F03E2"/>
    <w:rsid w:val="003F12C0"/>
    <w:rsid w:val="003F170F"/>
    <w:rsid w:val="003F1EF2"/>
    <w:rsid w:val="003F2665"/>
    <w:rsid w:val="003F2A2A"/>
    <w:rsid w:val="003F2B6B"/>
    <w:rsid w:val="003F3314"/>
    <w:rsid w:val="003F3990"/>
    <w:rsid w:val="003F46A2"/>
    <w:rsid w:val="003F56BD"/>
    <w:rsid w:val="003F5877"/>
    <w:rsid w:val="003F59B5"/>
    <w:rsid w:val="003F5A50"/>
    <w:rsid w:val="003F5CAB"/>
    <w:rsid w:val="003F62ED"/>
    <w:rsid w:val="003F68BD"/>
    <w:rsid w:val="003F7185"/>
    <w:rsid w:val="0040133C"/>
    <w:rsid w:val="00401F1C"/>
    <w:rsid w:val="00401F32"/>
    <w:rsid w:val="0040241C"/>
    <w:rsid w:val="0040383F"/>
    <w:rsid w:val="004041ED"/>
    <w:rsid w:val="004044E8"/>
    <w:rsid w:val="004054EC"/>
    <w:rsid w:val="00407692"/>
    <w:rsid w:val="00407C2A"/>
    <w:rsid w:val="00411357"/>
    <w:rsid w:val="00411A0D"/>
    <w:rsid w:val="00411DD0"/>
    <w:rsid w:val="0041285F"/>
    <w:rsid w:val="00412D29"/>
    <w:rsid w:val="00413872"/>
    <w:rsid w:val="004149BD"/>
    <w:rsid w:val="00414C82"/>
    <w:rsid w:val="00415CB3"/>
    <w:rsid w:val="004160CA"/>
    <w:rsid w:val="004163FD"/>
    <w:rsid w:val="004170E1"/>
    <w:rsid w:val="00417A92"/>
    <w:rsid w:val="00420166"/>
    <w:rsid w:val="00420990"/>
    <w:rsid w:val="0042102F"/>
    <w:rsid w:val="00423D32"/>
    <w:rsid w:val="00424582"/>
    <w:rsid w:val="004251CF"/>
    <w:rsid w:val="00425C31"/>
    <w:rsid w:val="00426012"/>
    <w:rsid w:val="004261A0"/>
    <w:rsid w:val="004263A1"/>
    <w:rsid w:val="00426CAA"/>
    <w:rsid w:val="00427DF6"/>
    <w:rsid w:val="004307A1"/>
    <w:rsid w:val="0043128E"/>
    <w:rsid w:val="00431E11"/>
    <w:rsid w:val="00432A4D"/>
    <w:rsid w:val="00432B46"/>
    <w:rsid w:val="00434053"/>
    <w:rsid w:val="00434905"/>
    <w:rsid w:val="00434C4F"/>
    <w:rsid w:val="00436537"/>
    <w:rsid w:val="0043694E"/>
    <w:rsid w:val="00436B21"/>
    <w:rsid w:val="00437EF6"/>
    <w:rsid w:val="004406C0"/>
    <w:rsid w:val="004407BD"/>
    <w:rsid w:val="00441090"/>
    <w:rsid w:val="00442095"/>
    <w:rsid w:val="004427AB"/>
    <w:rsid w:val="00442B8C"/>
    <w:rsid w:val="00443786"/>
    <w:rsid w:val="004446E8"/>
    <w:rsid w:val="004447D5"/>
    <w:rsid w:val="00445C9E"/>
    <w:rsid w:val="004470E0"/>
    <w:rsid w:val="00447309"/>
    <w:rsid w:val="00451025"/>
    <w:rsid w:val="00452008"/>
    <w:rsid w:val="004538FA"/>
    <w:rsid w:val="00455012"/>
    <w:rsid w:val="0045565A"/>
    <w:rsid w:val="00455FD1"/>
    <w:rsid w:val="0045642C"/>
    <w:rsid w:val="0045771F"/>
    <w:rsid w:val="0045794B"/>
    <w:rsid w:val="00457ACF"/>
    <w:rsid w:val="00457FEF"/>
    <w:rsid w:val="00460491"/>
    <w:rsid w:val="0046076B"/>
    <w:rsid w:val="00460D6B"/>
    <w:rsid w:val="00462131"/>
    <w:rsid w:val="00462419"/>
    <w:rsid w:val="0046254F"/>
    <w:rsid w:val="00462B96"/>
    <w:rsid w:val="004631F3"/>
    <w:rsid w:val="00463762"/>
    <w:rsid w:val="0046476F"/>
    <w:rsid w:val="004647D1"/>
    <w:rsid w:val="00464F41"/>
    <w:rsid w:val="00464FA3"/>
    <w:rsid w:val="00465252"/>
    <w:rsid w:val="0046641E"/>
    <w:rsid w:val="004665BB"/>
    <w:rsid w:val="004669E7"/>
    <w:rsid w:val="004672D8"/>
    <w:rsid w:val="00467E72"/>
    <w:rsid w:val="00470368"/>
    <w:rsid w:val="004714B3"/>
    <w:rsid w:val="00471A38"/>
    <w:rsid w:val="00471EC3"/>
    <w:rsid w:val="00473659"/>
    <w:rsid w:val="00473ADC"/>
    <w:rsid w:val="00473CF6"/>
    <w:rsid w:val="00474778"/>
    <w:rsid w:val="00474DAF"/>
    <w:rsid w:val="00475340"/>
    <w:rsid w:val="00475AA7"/>
    <w:rsid w:val="00475ACA"/>
    <w:rsid w:val="00475F9E"/>
    <w:rsid w:val="004768D4"/>
    <w:rsid w:val="00476EDE"/>
    <w:rsid w:val="004773A7"/>
    <w:rsid w:val="00477651"/>
    <w:rsid w:val="00480C98"/>
    <w:rsid w:val="00480EA9"/>
    <w:rsid w:val="0048142F"/>
    <w:rsid w:val="0048178C"/>
    <w:rsid w:val="00481C6A"/>
    <w:rsid w:val="004821FB"/>
    <w:rsid w:val="00482679"/>
    <w:rsid w:val="00482AB4"/>
    <w:rsid w:val="0048309F"/>
    <w:rsid w:val="0048447E"/>
    <w:rsid w:val="00484642"/>
    <w:rsid w:val="0048534E"/>
    <w:rsid w:val="00486BD0"/>
    <w:rsid w:val="00490961"/>
    <w:rsid w:val="00491333"/>
    <w:rsid w:val="004923AF"/>
    <w:rsid w:val="00492D4F"/>
    <w:rsid w:val="00492E2C"/>
    <w:rsid w:val="004932E7"/>
    <w:rsid w:val="00494685"/>
    <w:rsid w:val="004948CA"/>
    <w:rsid w:val="00495C42"/>
    <w:rsid w:val="00497FD9"/>
    <w:rsid w:val="004A177A"/>
    <w:rsid w:val="004A2C67"/>
    <w:rsid w:val="004A2CA2"/>
    <w:rsid w:val="004A3811"/>
    <w:rsid w:val="004A396E"/>
    <w:rsid w:val="004A42F6"/>
    <w:rsid w:val="004A4AEF"/>
    <w:rsid w:val="004A52EA"/>
    <w:rsid w:val="004A55CB"/>
    <w:rsid w:val="004A598C"/>
    <w:rsid w:val="004A5E45"/>
    <w:rsid w:val="004A6B15"/>
    <w:rsid w:val="004A6EB5"/>
    <w:rsid w:val="004B0306"/>
    <w:rsid w:val="004B0433"/>
    <w:rsid w:val="004B0452"/>
    <w:rsid w:val="004B07EC"/>
    <w:rsid w:val="004B20A5"/>
    <w:rsid w:val="004B2B6A"/>
    <w:rsid w:val="004B2B99"/>
    <w:rsid w:val="004B3A82"/>
    <w:rsid w:val="004B40D1"/>
    <w:rsid w:val="004B4C41"/>
    <w:rsid w:val="004B4DB5"/>
    <w:rsid w:val="004B4E6B"/>
    <w:rsid w:val="004B5167"/>
    <w:rsid w:val="004B55FA"/>
    <w:rsid w:val="004B6010"/>
    <w:rsid w:val="004B6254"/>
    <w:rsid w:val="004B66B0"/>
    <w:rsid w:val="004B6FCB"/>
    <w:rsid w:val="004B77C5"/>
    <w:rsid w:val="004C0EF5"/>
    <w:rsid w:val="004C198C"/>
    <w:rsid w:val="004C23FC"/>
    <w:rsid w:val="004C2A04"/>
    <w:rsid w:val="004C33F8"/>
    <w:rsid w:val="004C3845"/>
    <w:rsid w:val="004C4127"/>
    <w:rsid w:val="004C4129"/>
    <w:rsid w:val="004C4D0B"/>
    <w:rsid w:val="004C4E7D"/>
    <w:rsid w:val="004C5F2D"/>
    <w:rsid w:val="004C6BA4"/>
    <w:rsid w:val="004C6F45"/>
    <w:rsid w:val="004C71BD"/>
    <w:rsid w:val="004C73CF"/>
    <w:rsid w:val="004C745D"/>
    <w:rsid w:val="004C759B"/>
    <w:rsid w:val="004C7A88"/>
    <w:rsid w:val="004D01AE"/>
    <w:rsid w:val="004D04C9"/>
    <w:rsid w:val="004D1021"/>
    <w:rsid w:val="004D1603"/>
    <w:rsid w:val="004D16E2"/>
    <w:rsid w:val="004D1C1C"/>
    <w:rsid w:val="004D1F9F"/>
    <w:rsid w:val="004D2F8E"/>
    <w:rsid w:val="004D3A5C"/>
    <w:rsid w:val="004D3EAC"/>
    <w:rsid w:val="004D4827"/>
    <w:rsid w:val="004D4A3A"/>
    <w:rsid w:val="004D4F2E"/>
    <w:rsid w:val="004D4FD5"/>
    <w:rsid w:val="004D641D"/>
    <w:rsid w:val="004D6FFA"/>
    <w:rsid w:val="004D7C46"/>
    <w:rsid w:val="004D7DC4"/>
    <w:rsid w:val="004E0583"/>
    <w:rsid w:val="004E0C9D"/>
    <w:rsid w:val="004E21BD"/>
    <w:rsid w:val="004E26E8"/>
    <w:rsid w:val="004E28D1"/>
    <w:rsid w:val="004E3CE1"/>
    <w:rsid w:val="004E4295"/>
    <w:rsid w:val="004E43E5"/>
    <w:rsid w:val="004E452E"/>
    <w:rsid w:val="004E4B1E"/>
    <w:rsid w:val="004E4CD4"/>
    <w:rsid w:val="004E5446"/>
    <w:rsid w:val="004E5673"/>
    <w:rsid w:val="004E5CB4"/>
    <w:rsid w:val="004E647B"/>
    <w:rsid w:val="004E75A5"/>
    <w:rsid w:val="004E770A"/>
    <w:rsid w:val="004E7A9D"/>
    <w:rsid w:val="004F033C"/>
    <w:rsid w:val="004F034A"/>
    <w:rsid w:val="004F2323"/>
    <w:rsid w:val="004F4C34"/>
    <w:rsid w:val="004F5EAE"/>
    <w:rsid w:val="004F6986"/>
    <w:rsid w:val="004F74D6"/>
    <w:rsid w:val="004F7B39"/>
    <w:rsid w:val="00500FF6"/>
    <w:rsid w:val="005016BE"/>
    <w:rsid w:val="00501D70"/>
    <w:rsid w:val="00502C7B"/>
    <w:rsid w:val="00504C16"/>
    <w:rsid w:val="00504E0D"/>
    <w:rsid w:val="005053B6"/>
    <w:rsid w:val="00506A15"/>
    <w:rsid w:val="00506BAB"/>
    <w:rsid w:val="00506C93"/>
    <w:rsid w:val="005070F4"/>
    <w:rsid w:val="005079AE"/>
    <w:rsid w:val="005079DF"/>
    <w:rsid w:val="00507B96"/>
    <w:rsid w:val="00507E94"/>
    <w:rsid w:val="005114F5"/>
    <w:rsid w:val="00511E2B"/>
    <w:rsid w:val="005121C7"/>
    <w:rsid w:val="005126D0"/>
    <w:rsid w:val="005127DF"/>
    <w:rsid w:val="005135AF"/>
    <w:rsid w:val="00513618"/>
    <w:rsid w:val="00514194"/>
    <w:rsid w:val="00515BFA"/>
    <w:rsid w:val="005161CA"/>
    <w:rsid w:val="00516A39"/>
    <w:rsid w:val="00517651"/>
    <w:rsid w:val="005177BF"/>
    <w:rsid w:val="0051785F"/>
    <w:rsid w:val="00517A1F"/>
    <w:rsid w:val="00520F09"/>
    <w:rsid w:val="0052133C"/>
    <w:rsid w:val="00521656"/>
    <w:rsid w:val="005217D3"/>
    <w:rsid w:val="005226CB"/>
    <w:rsid w:val="00522DCE"/>
    <w:rsid w:val="00523031"/>
    <w:rsid w:val="0052306C"/>
    <w:rsid w:val="00523A51"/>
    <w:rsid w:val="00523E48"/>
    <w:rsid w:val="005240FA"/>
    <w:rsid w:val="00524F54"/>
    <w:rsid w:val="00525427"/>
    <w:rsid w:val="005255D4"/>
    <w:rsid w:val="00525AE0"/>
    <w:rsid w:val="00525F4F"/>
    <w:rsid w:val="00526280"/>
    <w:rsid w:val="00526310"/>
    <w:rsid w:val="00526315"/>
    <w:rsid w:val="00527FE9"/>
    <w:rsid w:val="00531930"/>
    <w:rsid w:val="005321E5"/>
    <w:rsid w:val="0053237A"/>
    <w:rsid w:val="005329F0"/>
    <w:rsid w:val="00533EBF"/>
    <w:rsid w:val="005342C9"/>
    <w:rsid w:val="00534CEC"/>
    <w:rsid w:val="005354D0"/>
    <w:rsid w:val="00535D62"/>
    <w:rsid w:val="00536A48"/>
    <w:rsid w:val="00536FAB"/>
    <w:rsid w:val="005375AC"/>
    <w:rsid w:val="005405D5"/>
    <w:rsid w:val="00540A1F"/>
    <w:rsid w:val="00540F81"/>
    <w:rsid w:val="00541E75"/>
    <w:rsid w:val="0054222B"/>
    <w:rsid w:val="00542D63"/>
    <w:rsid w:val="0054306E"/>
    <w:rsid w:val="00543729"/>
    <w:rsid w:val="00543B36"/>
    <w:rsid w:val="00543F9E"/>
    <w:rsid w:val="00545521"/>
    <w:rsid w:val="00545760"/>
    <w:rsid w:val="0054737B"/>
    <w:rsid w:val="005505C0"/>
    <w:rsid w:val="00550764"/>
    <w:rsid w:val="00550B74"/>
    <w:rsid w:val="005512AB"/>
    <w:rsid w:val="0055168E"/>
    <w:rsid w:val="00551C20"/>
    <w:rsid w:val="00552488"/>
    <w:rsid w:val="00552AC7"/>
    <w:rsid w:val="00553101"/>
    <w:rsid w:val="00553E9C"/>
    <w:rsid w:val="00554D5B"/>
    <w:rsid w:val="00554E16"/>
    <w:rsid w:val="00555922"/>
    <w:rsid w:val="00555AD5"/>
    <w:rsid w:val="00556102"/>
    <w:rsid w:val="00556949"/>
    <w:rsid w:val="00556C71"/>
    <w:rsid w:val="00557276"/>
    <w:rsid w:val="00557CAB"/>
    <w:rsid w:val="00560502"/>
    <w:rsid w:val="005606C0"/>
    <w:rsid w:val="00560A7F"/>
    <w:rsid w:val="00561C50"/>
    <w:rsid w:val="005625E3"/>
    <w:rsid w:val="00562C97"/>
    <w:rsid w:val="00564021"/>
    <w:rsid w:val="00565BAC"/>
    <w:rsid w:val="00566158"/>
    <w:rsid w:val="00566B2F"/>
    <w:rsid w:val="00566F50"/>
    <w:rsid w:val="00567911"/>
    <w:rsid w:val="00570F81"/>
    <w:rsid w:val="005727CF"/>
    <w:rsid w:val="00572823"/>
    <w:rsid w:val="00572D2F"/>
    <w:rsid w:val="00572D6B"/>
    <w:rsid w:val="005734F7"/>
    <w:rsid w:val="00573B03"/>
    <w:rsid w:val="00573C38"/>
    <w:rsid w:val="005742D4"/>
    <w:rsid w:val="005744C0"/>
    <w:rsid w:val="00575149"/>
    <w:rsid w:val="005758D3"/>
    <w:rsid w:val="00575D84"/>
    <w:rsid w:val="005772AF"/>
    <w:rsid w:val="00580222"/>
    <w:rsid w:val="00581058"/>
    <w:rsid w:val="005811A2"/>
    <w:rsid w:val="00582240"/>
    <w:rsid w:val="005826D0"/>
    <w:rsid w:val="005827AF"/>
    <w:rsid w:val="00582F13"/>
    <w:rsid w:val="0058391F"/>
    <w:rsid w:val="00583B43"/>
    <w:rsid w:val="005855DD"/>
    <w:rsid w:val="00586810"/>
    <w:rsid w:val="005910D3"/>
    <w:rsid w:val="00591C69"/>
    <w:rsid w:val="00591EA9"/>
    <w:rsid w:val="005921B1"/>
    <w:rsid w:val="00592478"/>
    <w:rsid w:val="005925E1"/>
    <w:rsid w:val="00595193"/>
    <w:rsid w:val="005953F7"/>
    <w:rsid w:val="00595A01"/>
    <w:rsid w:val="00595B77"/>
    <w:rsid w:val="00595C28"/>
    <w:rsid w:val="00595F69"/>
    <w:rsid w:val="005963C6"/>
    <w:rsid w:val="00596639"/>
    <w:rsid w:val="00596968"/>
    <w:rsid w:val="00596ABC"/>
    <w:rsid w:val="00596EAF"/>
    <w:rsid w:val="005974AD"/>
    <w:rsid w:val="0059796F"/>
    <w:rsid w:val="005A041F"/>
    <w:rsid w:val="005A043B"/>
    <w:rsid w:val="005A0A6E"/>
    <w:rsid w:val="005A165B"/>
    <w:rsid w:val="005A1B61"/>
    <w:rsid w:val="005A3FD5"/>
    <w:rsid w:val="005A53EF"/>
    <w:rsid w:val="005A55B2"/>
    <w:rsid w:val="005A5FF2"/>
    <w:rsid w:val="005A6A00"/>
    <w:rsid w:val="005A6F2B"/>
    <w:rsid w:val="005A7CDD"/>
    <w:rsid w:val="005A7DB3"/>
    <w:rsid w:val="005B0E0E"/>
    <w:rsid w:val="005B1133"/>
    <w:rsid w:val="005B19E6"/>
    <w:rsid w:val="005B1C76"/>
    <w:rsid w:val="005B245E"/>
    <w:rsid w:val="005B2C04"/>
    <w:rsid w:val="005B3A2C"/>
    <w:rsid w:val="005B3E6A"/>
    <w:rsid w:val="005B3EF1"/>
    <w:rsid w:val="005B42A9"/>
    <w:rsid w:val="005B49BF"/>
    <w:rsid w:val="005B50B9"/>
    <w:rsid w:val="005B5825"/>
    <w:rsid w:val="005B60E0"/>
    <w:rsid w:val="005B657E"/>
    <w:rsid w:val="005B7081"/>
    <w:rsid w:val="005B79F1"/>
    <w:rsid w:val="005C0AE1"/>
    <w:rsid w:val="005C1743"/>
    <w:rsid w:val="005C3C9C"/>
    <w:rsid w:val="005C3E19"/>
    <w:rsid w:val="005C620B"/>
    <w:rsid w:val="005C688A"/>
    <w:rsid w:val="005C7CBE"/>
    <w:rsid w:val="005D0B58"/>
    <w:rsid w:val="005D0D31"/>
    <w:rsid w:val="005D0DD3"/>
    <w:rsid w:val="005D136C"/>
    <w:rsid w:val="005D1BDE"/>
    <w:rsid w:val="005D23A3"/>
    <w:rsid w:val="005D2821"/>
    <w:rsid w:val="005D33CE"/>
    <w:rsid w:val="005D351C"/>
    <w:rsid w:val="005D47AE"/>
    <w:rsid w:val="005D528C"/>
    <w:rsid w:val="005D5BD0"/>
    <w:rsid w:val="005D66E2"/>
    <w:rsid w:val="005D7017"/>
    <w:rsid w:val="005D74EA"/>
    <w:rsid w:val="005D765C"/>
    <w:rsid w:val="005D7BE5"/>
    <w:rsid w:val="005E0C16"/>
    <w:rsid w:val="005E144E"/>
    <w:rsid w:val="005E1587"/>
    <w:rsid w:val="005E164D"/>
    <w:rsid w:val="005E224D"/>
    <w:rsid w:val="005E2471"/>
    <w:rsid w:val="005E2A69"/>
    <w:rsid w:val="005E3EA7"/>
    <w:rsid w:val="005E4CF3"/>
    <w:rsid w:val="005E4F72"/>
    <w:rsid w:val="005E57C1"/>
    <w:rsid w:val="005E613E"/>
    <w:rsid w:val="005E629D"/>
    <w:rsid w:val="005E64D9"/>
    <w:rsid w:val="005E6855"/>
    <w:rsid w:val="005E6AEC"/>
    <w:rsid w:val="005E6B34"/>
    <w:rsid w:val="005F090A"/>
    <w:rsid w:val="005F0D43"/>
    <w:rsid w:val="005F17B7"/>
    <w:rsid w:val="005F2093"/>
    <w:rsid w:val="005F3034"/>
    <w:rsid w:val="005F3881"/>
    <w:rsid w:val="005F3C33"/>
    <w:rsid w:val="005F42B4"/>
    <w:rsid w:val="005F4612"/>
    <w:rsid w:val="005F4BE0"/>
    <w:rsid w:val="005F4DB7"/>
    <w:rsid w:val="005F4FE0"/>
    <w:rsid w:val="005F524A"/>
    <w:rsid w:val="005F6606"/>
    <w:rsid w:val="005F6ADB"/>
    <w:rsid w:val="005F720A"/>
    <w:rsid w:val="00600AF9"/>
    <w:rsid w:val="006010FE"/>
    <w:rsid w:val="006017F8"/>
    <w:rsid w:val="006023D8"/>
    <w:rsid w:val="00602732"/>
    <w:rsid w:val="00603504"/>
    <w:rsid w:val="00604617"/>
    <w:rsid w:val="00604749"/>
    <w:rsid w:val="00605241"/>
    <w:rsid w:val="006053B4"/>
    <w:rsid w:val="00605EED"/>
    <w:rsid w:val="00606A48"/>
    <w:rsid w:val="00606CD6"/>
    <w:rsid w:val="006070C9"/>
    <w:rsid w:val="006072E4"/>
    <w:rsid w:val="00607342"/>
    <w:rsid w:val="00607672"/>
    <w:rsid w:val="0061457B"/>
    <w:rsid w:val="00615E8B"/>
    <w:rsid w:val="00616AC1"/>
    <w:rsid w:val="00617F8B"/>
    <w:rsid w:val="00620E63"/>
    <w:rsid w:val="00620E85"/>
    <w:rsid w:val="0062108C"/>
    <w:rsid w:val="006218B1"/>
    <w:rsid w:val="00622A12"/>
    <w:rsid w:val="00622EB8"/>
    <w:rsid w:val="00623954"/>
    <w:rsid w:val="006239EA"/>
    <w:rsid w:val="00623D64"/>
    <w:rsid w:val="0062492F"/>
    <w:rsid w:val="00624E24"/>
    <w:rsid w:val="00624F4F"/>
    <w:rsid w:val="00624FF5"/>
    <w:rsid w:val="00625AC2"/>
    <w:rsid w:val="006267EA"/>
    <w:rsid w:val="006269EA"/>
    <w:rsid w:val="00626BB7"/>
    <w:rsid w:val="00626D87"/>
    <w:rsid w:val="0062709E"/>
    <w:rsid w:val="0062727F"/>
    <w:rsid w:val="00627CBE"/>
    <w:rsid w:val="00630128"/>
    <w:rsid w:val="006302C6"/>
    <w:rsid w:val="00630469"/>
    <w:rsid w:val="006309E7"/>
    <w:rsid w:val="00632046"/>
    <w:rsid w:val="00632D39"/>
    <w:rsid w:val="00633C83"/>
    <w:rsid w:val="00634AD8"/>
    <w:rsid w:val="00635661"/>
    <w:rsid w:val="00636160"/>
    <w:rsid w:val="0063685F"/>
    <w:rsid w:val="006368AC"/>
    <w:rsid w:val="00637166"/>
    <w:rsid w:val="00637A1E"/>
    <w:rsid w:val="0064042C"/>
    <w:rsid w:val="00640839"/>
    <w:rsid w:val="00640913"/>
    <w:rsid w:val="00640B75"/>
    <w:rsid w:val="00640DF9"/>
    <w:rsid w:val="00641E13"/>
    <w:rsid w:val="006421A2"/>
    <w:rsid w:val="0064293B"/>
    <w:rsid w:val="00642DB5"/>
    <w:rsid w:val="00643050"/>
    <w:rsid w:val="00643576"/>
    <w:rsid w:val="0064410F"/>
    <w:rsid w:val="00644213"/>
    <w:rsid w:val="00644CC3"/>
    <w:rsid w:val="00645DBD"/>
    <w:rsid w:val="00645FD3"/>
    <w:rsid w:val="006463DD"/>
    <w:rsid w:val="00646EFB"/>
    <w:rsid w:val="00647379"/>
    <w:rsid w:val="00647596"/>
    <w:rsid w:val="006500C2"/>
    <w:rsid w:val="006505B5"/>
    <w:rsid w:val="006510F8"/>
    <w:rsid w:val="00652C15"/>
    <w:rsid w:val="0065306F"/>
    <w:rsid w:val="00654A83"/>
    <w:rsid w:val="00655065"/>
    <w:rsid w:val="00655622"/>
    <w:rsid w:val="00656481"/>
    <w:rsid w:val="00656D4B"/>
    <w:rsid w:val="00657054"/>
    <w:rsid w:val="006576E6"/>
    <w:rsid w:val="00657B26"/>
    <w:rsid w:val="006608AB"/>
    <w:rsid w:val="00660B20"/>
    <w:rsid w:val="00661363"/>
    <w:rsid w:val="00661B21"/>
    <w:rsid w:val="0066486E"/>
    <w:rsid w:val="006655DA"/>
    <w:rsid w:val="00666C0E"/>
    <w:rsid w:val="00667DF4"/>
    <w:rsid w:val="006718C1"/>
    <w:rsid w:val="00671B73"/>
    <w:rsid w:val="00672222"/>
    <w:rsid w:val="0067227F"/>
    <w:rsid w:val="006732C3"/>
    <w:rsid w:val="00673EC5"/>
    <w:rsid w:val="006748AC"/>
    <w:rsid w:val="00674D85"/>
    <w:rsid w:val="006755DD"/>
    <w:rsid w:val="006759DE"/>
    <w:rsid w:val="006764A0"/>
    <w:rsid w:val="006768EF"/>
    <w:rsid w:val="00677DF7"/>
    <w:rsid w:val="00680049"/>
    <w:rsid w:val="00680494"/>
    <w:rsid w:val="006805F5"/>
    <w:rsid w:val="006806DF"/>
    <w:rsid w:val="00681293"/>
    <w:rsid w:val="0068196C"/>
    <w:rsid w:val="00681A8C"/>
    <w:rsid w:val="006827E3"/>
    <w:rsid w:val="006836C2"/>
    <w:rsid w:val="006841CA"/>
    <w:rsid w:val="006851D1"/>
    <w:rsid w:val="006857C8"/>
    <w:rsid w:val="006877B3"/>
    <w:rsid w:val="006911C0"/>
    <w:rsid w:val="00691E2D"/>
    <w:rsid w:val="00692354"/>
    <w:rsid w:val="00692716"/>
    <w:rsid w:val="00692BF6"/>
    <w:rsid w:val="00693276"/>
    <w:rsid w:val="006932B9"/>
    <w:rsid w:val="00693940"/>
    <w:rsid w:val="00693CCF"/>
    <w:rsid w:val="00693D92"/>
    <w:rsid w:val="00695193"/>
    <w:rsid w:val="00695B64"/>
    <w:rsid w:val="006965EE"/>
    <w:rsid w:val="00696619"/>
    <w:rsid w:val="00697737"/>
    <w:rsid w:val="00697F2D"/>
    <w:rsid w:val="006A02C2"/>
    <w:rsid w:val="006A1069"/>
    <w:rsid w:val="006A1589"/>
    <w:rsid w:val="006A1615"/>
    <w:rsid w:val="006A3483"/>
    <w:rsid w:val="006A41EB"/>
    <w:rsid w:val="006A4DCB"/>
    <w:rsid w:val="006A5233"/>
    <w:rsid w:val="006A5460"/>
    <w:rsid w:val="006A565A"/>
    <w:rsid w:val="006A5E9C"/>
    <w:rsid w:val="006A657D"/>
    <w:rsid w:val="006A6989"/>
    <w:rsid w:val="006A69CB"/>
    <w:rsid w:val="006A7DCB"/>
    <w:rsid w:val="006B0715"/>
    <w:rsid w:val="006B18D7"/>
    <w:rsid w:val="006B246B"/>
    <w:rsid w:val="006B3FB5"/>
    <w:rsid w:val="006B417E"/>
    <w:rsid w:val="006B4BAC"/>
    <w:rsid w:val="006B55A4"/>
    <w:rsid w:val="006B5F7F"/>
    <w:rsid w:val="006B6E47"/>
    <w:rsid w:val="006B7270"/>
    <w:rsid w:val="006C219A"/>
    <w:rsid w:val="006C2752"/>
    <w:rsid w:val="006C2F8E"/>
    <w:rsid w:val="006C3502"/>
    <w:rsid w:val="006C3F40"/>
    <w:rsid w:val="006C4CA6"/>
    <w:rsid w:val="006C5553"/>
    <w:rsid w:val="006C5B74"/>
    <w:rsid w:val="006C5FA9"/>
    <w:rsid w:val="006C6065"/>
    <w:rsid w:val="006C71BD"/>
    <w:rsid w:val="006D03BA"/>
    <w:rsid w:val="006D06FE"/>
    <w:rsid w:val="006D07AF"/>
    <w:rsid w:val="006D1C05"/>
    <w:rsid w:val="006D1DB1"/>
    <w:rsid w:val="006D253A"/>
    <w:rsid w:val="006D254A"/>
    <w:rsid w:val="006D2EDA"/>
    <w:rsid w:val="006D3CFF"/>
    <w:rsid w:val="006D3E21"/>
    <w:rsid w:val="006D46AF"/>
    <w:rsid w:val="006D6ECC"/>
    <w:rsid w:val="006D71D0"/>
    <w:rsid w:val="006D7A52"/>
    <w:rsid w:val="006E0009"/>
    <w:rsid w:val="006E0293"/>
    <w:rsid w:val="006E0431"/>
    <w:rsid w:val="006E1559"/>
    <w:rsid w:val="006E18A0"/>
    <w:rsid w:val="006E346B"/>
    <w:rsid w:val="006E42DF"/>
    <w:rsid w:val="006E4448"/>
    <w:rsid w:val="006E4CF4"/>
    <w:rsid w:val="006E4F15"/>
    <w:rsid w:val="006E5B24"/>
    <w:rsid w:val="006E5BC2"/>
    <w:rsid w:val="006E7F9C"/>
    <w:rsid w:val="006F01A9"/>
    <w:rsid w:val="006F0D19"/>
    <w:rsid w:val="006F13E6"/>
    <w:rsid w:val="006F2A2A"/>
    <w:rsid w:val="006F3018"/>
    <w:rsid w:val="006F62F0"/>
    <w:rsid w:val="006F6532"/>
    <w:rsid w:val="006F6BFB"/>
    <w:rsid w:val="0070074B"/>
    <w:rsid w:val="00701174"/>
    <w:rsid w:val="00701342"/>
    <w:rsid w:val="007022FF"/>
    <w:rsid w:val="00702E02"/>
    <w:rsid w:val="00703442"/>
    <w:rsid w:val="00703BC8"/>
    <w:rsid w:val="00704006"/>
    <w:rsid w:val="00704E8F"/>
    <w:rsid w:val="00705E03"/>
    <w:rsid w:val="007062B8"/>
    <w:rsid w:val="00706610"/>
    <w:rsid w:val="00706A6F"/>
    <w:rsid w:val="007071CE"/>
    <w:rsid w:val="00707207"/>
    <w:rsid w:val="007073F7"/>
    <w:rsid w:val="0071057A"/>
    <w:rsid w:val="00711DE0"/>
    <w:rsid w:val="00711DE4"/>
    <w:rsid w:val="00713678"/>
    <w:rsid w:val="007137DC"/>
    <w:rsid w:val="007140E9"/>
    <w:rsid w:val="00714584"/>
    <w:rsid w:val="0071566E"/>
    <w:rsid w:val="007157E0"/>
    <w:rsid w:val="007161DA"/>
    <w:rsid w:val="007166B9"/>
    <w:rsid w:val="0071762A"/>
    <w:rsid w:val="00717D0F"/>
    <w:rsid w:val="0072120A"/>
    <w:rsid w:val="00722D9E"/>
    <w:rsid w:val="00723990"/>
    <w:rsid w:val="00723EDB"/>
    <w:rsid w:val="00724530"/>
    <w:rsid w:val="007251A4"/>
    <w:rsid w:val="00727241"/>
    <w:rsid w:val="007273CC"/>
    <w:rsid w:val="00727479"/>
    <w:rsid w:val="00727779"/>
    <w:rsid w:val="00730108"/>
    <w:rsid w:val="0073095D"/>
    <w:rsid w:val="007313A3"/>
    <w:rsid w:val="00731777"/>
    <w:rsid w:val="007326DE"/>
    <w:rsid w:val="0073293E"/>
    <w:rsid w:val="00732E50"/>
    <w:rsid w:val="00732FF7"/>
    <w:rsid w:val="00734105"/>
    <w:rsid w:val="00734BA6"/>
    <w:rsid w:val="0073586A"/>
    <w:rsid w:val="007369C9"/>
    <w:rsid w:val="007405FC"/>
    <w:rsid w:val="00740C84"/>
    <w:rsid w:val="00740D78"/>
    <w:rsid w:val="007416A4"/>
    <w:rsid w:val="00741CA5"/>
    <w:rsid w:val="007426A2"/>
    <w:rsid w:val="007437E5"/>
    <w:rsid w:val="007448D9"/>
    <w:rsid w:val="00744A9B"/>
    <w:rsid w:val="0074651C"/>
    <w:rsid w:val="007465A3"/>
    <w:rsid w:val="00746A49"/>
    <w:rsid w:val="0074720C"/>
    <w:rsid w:val="00747F5A"/>
    <w:rsid w:val="007502D3"/>
    <w:rsid w:val="00751258"/>
    <w:rsid w:val="00751460"/>
    <w:rsid w:val="0075342A"/>
    <w:rsid w:val="00753B33"/>
    <w:rsid w:val="007543AD"/>
    <w:rsid w:val="007547FA"/>
    <w:rsid w:val="007555F1"/>
    <w:rsid w:val="007558C3"/>
    <w:rsid w:val="00755BF5"/>
    <w:rsid w:val="00755C53"/>
    <w:rsid w:val="00755E77"/>
    <w:rsid w:val="00755ED3"/>
    <w:rsid w:val="007576EC"/>
    <w:rsid w:val="00757E6E"/>
    <w:rsid w:val="007602DF"/>
    <w:rsid w:val="00760A80"/>
    <w:rsid w:val="00760D69"/>
    <w:rsid w:val="00761CAF"/>
    <w:rsid w:val="00763659"/>
    <w:rsid w:val="00763D1B"/>
    <w:rsid w:val="00764A27"/>
    <w:rsid w:val="007652C9"/>
    <w:rsid w:val="007654C5"/>
    <w:rsid w:val="00766FB5"/>
    <w:rsid w:val="00770D4A"/>
    <w:rsid w:val="0077150A"/>
    <w:rsid w:val="007716B1"/>
    <w:rsid w:val="00771B56"/>
    <w:rsid w:val="00772504"/>
    <w:rsid w:val="00772A11"/>
    <w:rsid w:val="00772F8E"/>
    <w:rsid w:val="00772FD9"/>
    <w:rsid w:val="0077397E"/>
    <w:rsid w:val="00773A97"/>
    <w:rsid w:val="0077460E"/>
    <w:rsid w:val="0077481E"/>
    <w:rsid w:val="00774988"/>
    <w:rsid w:val="00774E3B"/>
    <w:rsid w:val="00776341"/>
    <w:rsid w:val="00776759"/>
    <w:rsid w:val="00776877"/>
    <w:rsid w:val="00776AB2"/>
    <w:rsid w:val="00776C4C"/>
    <w:rsid w:val="00776E49"/>
    <w:rsid w:val="00776FDD"/>
    <w:rsid w:val="00777757"/>
    <w:rsid w:val="00777A32"/>
    <w:rsid w:val="00777CC4"/>
    <w:rsid w:val="007804F2"/>
    <w:rsid w:val="00781D88"/>
    <w:rsid w:val="00782F00"/>
    <w:rsid w:val="00782F22"/>
    <w:rsid w:val="00783494"/>
    <w:rsid w:val="007837CA"/>
    <w:rsid w:val="00783DB3"/>
    <w:rsid w:val="00783E29"/>
    <w:rsid w:val="0078417A"/>
    <w:rsid w:val="0078670B"/>
    <w:rsid w:val="00786726"/>
    <w:rsid w:val="00786C99"/>
    <w:rsid w:val="00787B5D"/>
    <w:rsid w:val="00787B9F"/>
    <w:rsid w:val="00787D34"/>
    <w:rsid w:val="00787E0C"/>
    <w:rsid w:val="00790548"/>
    <w:rsid w:val="007911C6"/>
    <w:rsid w:val="007917C1"/>
    <w:rsid w:val="00791C0D"/>
    <w:rsid w:val="00791DBA"/>
    <w:rsid w:val="00791F12"/>
    <w:rsid w:val="0079204A"/>
    <w:rsid w:val="007936E8"/>
    <w:rsid w:val="00794B36"/>
    <w:rsid w:val="007951E6"/>
    <w:rsid w:val="00795C28"/>
    <w:rsid w:val="00795CA5"/>
    <w:rsid w:val="00796FFF"/>
    <w:rsid w:val="00797B2A"/>
    <w:rsid w:val="007A1732"/>
    <w:rsid w:val="007A1BD9"/>
    <w:rsid w:val="007A2752"/>
    <w:rsid w:val="007A2A3E"/>
    <w:rsid w:val="007A2D31"/>
    <w:rsid w:val="007A2ED2"/>
    <w:rsid w:val="007A34CF"/>
    <w:rsid w:val="007A469B"/>
    <w:rsid w:val="007A5C99"/>
    <w:rsid w:val="007A6342"/>
    <w:rsid w:val="007A6453"/>
    <w:rsid w:val="007A6AC8"/>
    <w:rsid w:val="007A6B28"/>
    <w:rsid w:val="007B023A"/>
    <w:rsid w:val="007B086B"/>
    <w:rsid w:val="007B0C48"/>
    <w:rsid w:val="007B12EF"/>
    <w:rsid w:val="007B1497"/>
    <w:rsid w:val="007B1D7D"/>
    <w:rsid w:val="007B358A"/>
    <w:rsid w:val="007B3631"/>
    <w:rsid w:val="007B39AC"/>
    <w:rsid w:val="007B40AC"/>
    <w:rsid w:val="007B460C"/>
    <w:rsid w:val="007B4B48"/>
    <w:rsid w:val="007B6BE2"/>
    <w:rsid w:val="007B7A3D"/>
    <w:rsid w:val="007C0142"/>
    <w:rsid w:val="007C02FA"/>
    <w:rsid w:val="007C1A28"/>
    <w:rsid w:val="007C2E76"/>
    <w:rsid w:val="007C43B2"/>
    <w:rsid w:val="007C46DD"/>
    <w:rsid w:val="007C4D3E"/>
    <w:rsid w:val="007C60C9"/>
    <w:rsid w:val="007C7150"/>
    <w:rsid w:val="007C7341"/>
    <w:rsid w:val="007C73CF"/>
    <w:rsid w:val="007C7E4C"/>
    <w:rsid w:val="007C7F9B"/>
    <w:rsid w:val="007D17F0"/>
    <w:rsid w:val="007D1807"/>
    <w:rsid w:val="007D18F5"/>
    <w:rsid w:val="007D2218"/>
    <w:rsid w:val="007D2B54"/>
    <w:rsid w:val="007D2C09"/>
    <w:rsid w:val="007D304B"/>
    <w:rsid w:val="007D3090"/>
    <w:rsid w:val="007D5A80"/>
    <w:rsid w:val="007D616C"/>
    <w:rsid w:val="007D6E76"/>
    <w:rsid w:val="007D6F79"/>
    <w:rsid w:val="007D6F85"/>
    <w:rsid w:val="007E016E"/>
    <w:rsid w:val="007E02BF"/>
    <w:rsid w:val="007E0A1C"/>
    <w:rsid w:val="007E0B8A"/>
    <w:rsid w:val="007E2345"/>
    <w:rsid w:val="007E2524"/>
    <w:rsid w:val="007E2BF9"/>
    <w:rsid w:val="007E4583"/>
    <w:rsid w:val="007E4A32"/>
    <w:rsid w:val="007E4D6C"/>
    <w:rsid w:val="007E50DD"/>
    <w:rsid w:val="007E512E"/>
    <w:rsid w:val="007E5343"/>
    <w:rsid w:val="007E6239"/>
    <w:rsid w:val="007E65DF"/>
    <w:rsid w:val="007E6803"/>
    <w:rsid w:val="007F068B"/>
    <w:rsid w:val="007F0ED6"/>
    <w:rsid w:val="007F107D"/>
    <w:rsid w:val="007F1D87"/>
    <w:rsid w:val="007F1DD7"/>
    <w:rsid w:val="007F3BF8"/>
    <w:rsid w:val="007F6C29"/>
    <w:rsid w:val="007F708E"/>
    <w:rsid w:val="00803B17"/>
    <w:rsid w:val="00804709"/>
    <w:rsid w:val="00804A43"/>
    <w:rsid w:val="00805332"/>
    <w:rsid w:val="00805667"/>
    <w:rsid w:val="0080636E"/>
    <w:rsid w:val="00806AAC"/>
    <w:rsid w:val="0080708A"/>
    <w:rsid w:val="008074B3"/>
    <w:rsid w:val="0081123E"/>
    <w:rsid w:val="00811489"/>
    <w:rsid w:val="008116FB"/>
    <w:rsid w:val="00811BEA"/>
    <w:rsid w:val="008120B2"/>
    <w:rsid w:val="008131E1"/>
    <w:rsid w:val="00813348"/>
    <w:rsid w:val="00813BC1"/>
    <w:rsid w:val="0081479F"/>
    <w:rsid w:val="00814FDF"/>
    <w:rsid w:val="00815C1A"/>
    <w:rsid w:val="00815EC1"/>
    <w:rsid w:val="0081606E"/>
    <w:rsid w:val="00816D72"/>
    <w:rsid w:val="0081709C"/>
    <w:rsid w:val="00817240"/>
    <w:rsid w:val="0081725A"/>
    <w:rsid w:val="00817D5C"/>
    <w:rsid w:val="00820A55"/>
    <w:rsid w:val="00821B66"/>
    <w:rsid w:val="00822171"/>
    <w:rsid w:val="00822D84"/>
    <w:rsid w:val="00822F6D"/>
    <w:rsid w:val="00823352"/>
    <w:rsid w:val="00823551"/>
    <w:rsid w:val="008245C7"/>
    <w:rsid w:val="008248AC"/>
    <w:rsid w:val="00825DB2"/>
    <w:rsid w:val="008269FD"/>
    <w:rsid w:val="0083121A"/>
    <w:rsid w:val="008318E9"/>
    <w:rsid w:val="00832E2D"/>
    <w:rsid w:val="00833291"/>
    <w:rsid w:val="008332F2"/>
    <w:rsid w:val="00833911"/>
    <w:rsid w:val="00835896"/>
    <w:rsid w:val="00836EA2"/>
    <w:rsid w:val="008372FB"/>
    <w:rsid w:val="00837FD1"/>
    <w:rsid w:val="00837FE7"/>
    <w:rsid w:val="00840831"/>
    <w:rsid w:val="00841239"/>
    <w:rsid w:val="00842836"/>
    <w:rsid w:val="00842947"/>
    <w:rsid w:val="00842C7B"/>
    <w:rsid w:val="00843171"/>
    <w:rsid w:val="0084326C"/>
    <w:rsid w:val="00844026"/>
    <w:rsid w:val="0084434B"/>
    <w:rsid w:val="00844601"/>
    <w:rsid w:val="00844DE4"/>
    <w:rsid w:val="008456EC"/>
    <w:rsid w:val="00845EB1"/>
    <w:rsid w:val="00845FB1"/>
    <w:rsid w:val="00847C32"/>
    <w:rsid w:val="008500DC"/>
    <w:rsid w:val="00850511"/>
    <w:rsid w:val="00850908"/>
    <w:rsid w:val="008509EA"/>
    <w:rsid w:val="00851487"/>
    <w:rsid w:val="00852ADB"/>
    <w:rsid w:val="00854911"/>
    <w:rsid w:val="00854E52"/>
    <w:rsid w:val="00855564"/>
    <w:rsid w:val="00856265"/>
    <w:rsid w:val="0085678E"/>
    <w:rsid w:val="0085733D"/>
    <w:rsid w:val="00861E40"/>
    <w:rsid w:val="00862462"/>
    <w:rsid w:val="008628E6"/>
    <w:rsid w:val="008652C6"/>
    <w:rsid w:val="0086591F"/>
    <w:rsid w:val="00865B2A"/>
    <w:rsid w:val="00866027"/>
    <w:rsid w:val="0086637F"/>
    <w:rsid w:val="0086657D"/>
    <w:rsid w:val="00867D27"/>
    <w:rsid w:val="0087017E"/>
    <w:rsid w:val="00870333"/>
    <w:rsid w:val="00871327"/>
    <w:rsid w:val="008739F9"/>
    <w:rsid w:val="00873B22"/>
    <w:rsid w:val="008746E7"/>
    <w:rsid w:val="00874A10"/>
    <w:rsid w:val="00874E99"/>
    <w:rsid w:val="00876061"/>
    <w:rsid w:val="008769BC"/>
    <w:rsid w:val="00876A5E"/>
    <w:rsid w:val="008805E0"/>
    <w:rsid w:val="0088161A"/>
    <w:rsid w:val="008816A5"/>
    <w:rsid w:val="008817D4"/>
    <w:rsid w:val="00881CB6"/>
    <w:rsid w:val="00881DE7"/>
    <w:rsid w:val="00882705"/>
    <w:rsid w:val="00882E11"/>
    <w:rsid w:val="00883B5B"/>
    <w:rsid w:val="00883F36"/>
    <w:rsid w:val="00884B59"/>
    <w:rsid w:val="008855F1"/>
    <w:rsid w:val="0088607F"/>
    <w:rsid w:val="0088669B"/>
    <w:rsid w:val="00886753"/>
    <w:rsid w:val="008868F6"/>
    <w:rsid w:val="00886FB3"/>
    <w:rsid w:val="008873E2"/>
    <w:rsid w:val="00890CF8"/>
    <w:rsid w:val="00891FF0"/>
    <w:rsid w:val="00892060"/>
    <w:rsid w:val="008928E4"/>
    <w:rsid w:val="00892F31"/>
    <w:rsid w:val="00894198"/>
    <w:rsid w:val="0089562C"/>
    <w:rsid w:val="00895B76"/>
    <w:rsid w:val="00895B7D"/>
    <w:rsid w:val="008963FD"/>
    <w:rsid w:val="008964A5"/>
    <w:rsid w:val="00896E98"/>
    <w:rsid w:val="008A054D"/>
    <w:rsid w:val="008A0563"/>
    <w:rsid w:val="008A0C54"/>
    <w:rsid w:val="008A0F66"/>
    <w:rsid w:val="008A16FA"/>
    <w:rsid w:val="008A1A55"/>
    <w:rsid w:val="008A1D05"/>
    <w:rsid w:val="008A2C86"/>
    <w:rsid w:val="008A341B"/>
    <w:rsid w:val="008A3802"/>
    <w:rsid w:val="008A47AD"/>
    <w:rsid w:val="008A4DA6"/>
    <w:rsid w:val="008A580B"/>
    <w:rsid w:val="008A60D1"/>
    <w:rsid w:val="008A6107"/>
    <w:rsid w:val="008A6884"/>
    <w:rsid w:val="008A7E12"/>
    <w:rsid w:val="008B0157"/>
    <w:rsid w:val="008B02EF"/>
    <w:rsid w:val="008B1C10"/>
    <w:rsid w:val="008B1D72"/>
    <w:rsid w:val="008B2134"/>
    <w:rsid w:val="008B226A"/>
    <w:rsid w:val="008B37E1"/>
    <w:rsid w:val="008B4AB4"/>
    <w:rsid w:val="008B52A3"/>
    <w:rsid w:val="008B588A"/>
    <w:rsid w:val="008B695D"/>
    <w:rsid w:val="008B6B88"/>
    <w:rsid w:val="008B7CA9"/>
    <w:rsid w:val="008C0E1E"/>
    <w:rsid w:val="008C0F06"/>
    <w:rsid w:val="008C102B"/>
    <w:rsid w:val="008C176D"/>
    <w:rsid w:val="008C1950"/>
    <w:rsid w:val="008C2281"/>
    <w:rsid w:val="008C2A2D"/>
    <w:rsid w:val="008C2BDF"/>
    <w:rsid w:val="008C2FB4"/>
    <w:rsid w:val="008C3C1C"/>
    <w:rsid w:val="008C3D19"/>
    <w:rsid w:val="008C420B"/>
    <w:rsid w:val="008C42E1"/>
    <w:rsid w:val="008C45FE"/>
    <w:rsid w:val="008C4BC8"/>
    <w:rsid w:val="008C4EB3"/>
    <w:rsid w:val="008C4FD1"/>
    <w:rsid w:val="008C5B98"/>
    <w:rsid w:val="008C650B"/>
    <w:rsid w:val="008C6B7C"/>
    <w:rsid w:val="008C6D20"/>
    <w:rsid w:val="008D0798"/>
    <w:rsid w:val="008D0BC9"/>
    <w:rsid w:val="008D0FD8"/>
    <w:rsid w:val="008D1317"/>
    <w:rsid w:val="008D1B03"/>
    <w:rsid w:val="008D2558"/>
    <w:rsid w:val="008D275C"/>
    <w:rsid w:val="008D2B18"/>
    <w:rsid w:val="008D34EB"/>
    <w:rsid w:val="008D49AB"/>
    <w:rsid w:val="008D4C88"/>
    <w:rsid w:val="008D4DD8"/>
    <w:rsid w:val="008D5825"/>
    <w:rsid w:val="008D58E4"/>
    <w:rsid w:val="008D5AFC"/>
    <w:rsid w:val="008D5F82"/>
    <w:rsid w:val="008D6502"/>
    <w:rsid w:val="008D6948"/>
    <w:rsid w:val="008D6C41"/>
    <w:rsid w:val="008D741A"/>
    <w:rsid w:val="008D7BD1"/>
    <w:rsid w:val="008E1E96"/>
    <w:rsid w:val="008E2B81"/>
    <w:rsid w:val="008E31AB"/>
    <w:rsid w:val="008E3969"/>
    <w:rsid w:val="008E5925"/>
    <w:rsid w:val="008E5CD9"/>
    <w:rsid w:val="008E61E6"/>
    <w:rsid w:val="008E71A3"/>
    <w:rsid w:val="008E7E50"/>
    <w:rsid w:val="008E7EC8"/>
    <w:rsid w:val="008F0077"/>
    <w:rsid w:val="008F06DB"/>
    <w:rsid w:val="008F12E6"/>
    <w:rsid w:val="008F1370"/>
    <w:rsid w:val="008F155F"/>
    <w:rsid w:val="008F1C37"/>
    <w:rsid w:val="008F1D97"/>
    <w:rsid w:val="008F21DC"/>
    <w:rsid w:val="008F2EE1"/>
    <w:rsid w:val="008F3295"/>
    <w:rsid w:val="008F3609"/>
    <w:rsid w:val="008F3A3D"/>
    <w:rsid w:val="008F55ED"/>
    <w:rsid w:val="008F565F"/>
    <w:rsid w:val="008F5787"/>
    <w:rsid w:val="008F5E13"/>
    <w:rsid w:val="008F5F05"/>
    <w:rsid w:val="008F6389"/>
    <w:rsid w:val="008F6730"/>
    <w:rsid w:val="008F6D4C"/>
    <w:rsid w:val="008F773C"/>
    <w:rsid w:val="008F7959"/>
    <w:rsid w:val="00900B1B"/>
    <w:rsid w:val="009011EA"/>
    <w:rsid w:val="009026F3"/>
    <w:rsid w:val="00902BA0"/>
    <w:rsid w:val="009035B1"/>
    <w:rsid w:val="009049BB"/>
    <w:rsid w:val="0090616C"/>
    <w:rsid w:val="00906597"/>
    <w:rsid w:val="00906938"/>
    <w:rsid w:val="00906D02"/>
    <w:rsid w:val="00906DC6"/>
    <w:rsid w:val="00906F99"/>
    <w:rsid w:val="0090704D"/>
    <w:rsid w:val="00907164"/>
    <w:rsid w:val="009071CB"/>
    <w:rsid w:val="009071D9"/>
    <w:rsid w:val="00907369"/>
    <w:rsid w:val="00907B1C"/>
    <w:rsid w:val="009109EE"/>
    <w:rsid w:val="00910D9D"/>
    <w:rsid w:val="00911A1C"/>
    <w:rsid w:val="00911CC6"/>
    <w:rsid w:val="00912055"/>
    <w:rsid w:val="00912755"/>
    <w:rsid w:val="00913886"/>
    <w:rsid w:val="00913B1D"/>
    <w:rsid w:val="0091430C"/>
    <w:rsid w:val="009145FD"/>
    <w:rsid w:val="009148F7"/>
    <w:rsid w:val="00914C48"/>
    <w:rsid w:val="00915508"/>
    <w:rsid w:val="00915635"/>
    <w:rsid w:val="009159F5"/>
    <w:rsid w:val="00917430"/>
    <w:rsid w:val="009176BD"/>
    <w:rsid w:val="009179F5"/>
    <w:rsid w:val="00917CBC"/>
    <w:rsid w:val="00920065"/>
    <w:rsid w:val="00920227"/>
    <w:rsid w:val="009208D2"/>
    <w:rsid w:val="00920E63"/>
    <w:rsid w:val="009212E4"/>
    <w:rsid w:val="009219FA"/>
    <w:rsid w:val="00921CA1"/>
    <w:rsid w:val="009226BE"/>
    <w:rsid w:val="009230E8"/>
    <w:rsid w:val="00924430"/>
    <w:rsid w:val="00924CD0"/>
    <w:rsid w:val="00925767"/>
    <w:rsid w:val="009271E2"/>
    <w:rsid w:val="009273D5"/>
    <w:rsid w:val="00927FA8"/>
    <w:rsid w:val="0093179B"/>
    <w:rsid w:val="00931E16"/>
    <w:rsid w:val="00931FB9"/>
    <w:rsid w:val="00932D0A"/>
    <w:rsid w:val="0093301D"/>
    <w:rsid w:val="00933A0B"/>
    <w:rsid w:val="00934693"/>
    <w:rsid w:val="009371AF"/>
    <w:rsid w:val="00937ABF"/>
    <w:rsid w:val="00940103"/>
    <w:rsid w:val="009407FB"/>
    <w:rsid w:val="00941C33"/>
    <w:rsid w:val="009428FC"/>
    <w:rsid w:val="00942A98"/>
    <w:rsid w:val="00942BEC"/>
    <w:rsid w:val="00942CE2"/>
    <w:rsid w:val="0094337A"/>
    <w:rsid w:val="00943D68"/>
    <w:rsid w:val="00944300"/>
    <w:rsid w:val="00944542"/>
    <w:rsid w:val="00944957"/>
    <w:rsid w:val="00944F20"/>
    <w:rsid w:val="00945C0E"/>
    <w:rsid w:val="009466DC"/>
    <w:rsid w:val="00946B82"/>
    <w:rsid w:val="00946B84"/>
    <w:rsid w:val="0095027F"/>
    <w:rsid w:val="00950DF8"/>
    <w:rsid w:val="00951081"/>
    <w:rsid w:val="0095152A"/>
    <w:rsid w:val="009519E4"/>
    <w:rsid w:val="0095227D"/>
    <w:rsid w:val="009530FC"/>
    <w:rsid w:val="00953ACC"/>
    <w:rsid w:val="009542BF"/>
    <w:rsid w:val="00956D32"/>
    <w:rsid w:val="009573E1"/>
    <w:rsid w:val="00957500"/>
    <w:rsid w:val="00960173"/>
    <w:rsid w:val="009603A1"/>
    <w:rsid w:val="00960D7D"/>
    <w:rsid w:val="00961BAE"/>
    <w:rsid w:val="00961CAE"/>
    <w:rsid w:val="00962A9C"/>
    <w:rsid w:val="00962D33"/>
    <w:rsid w:val="00963124"/>
    <w:rsid w:val="00963334"/>
    <w:rsid w:val="00963524"/>
    <w:rsid w:val="0096394E"/>
    <w:rsid w:val="009644B7"/>
    <w:rsid w:val="0096458A"/>
    <w:rsid w:val="009647AD"/>
    <w:rsid w:val="00964B0D"/>
    <w:rsid w:val="0096558B"/>
    <w:rsid w:val="0096558C"/>
    <w:rsid w:val="009659B9"/>
    <w:rsid w:val="00965A9B"/>
    <w:rsid w:val="00965FE6"/>
    <w:rsid w:val="0096713B"/>
    <w:rsid w:val="00967FCF"/>
    <w:rsid w:val="009707A9"/>
    <w:rsid w:val="00970D57"/>
    <w:rsid w:val="00970E3C"/>
    <w:rsid w:val="00971DB2"/>
    <w:rsid w:val="00971F8D"/>
    <w:rsid w:val="009720E3"/>
    <w:rsid w:val="00972184"/>
    <w:rsid w:val="00972E0E"/>
    <w:rsid w:val="00972F8D"/>
    <w:rsid w:val="00973E1B"/>
    <w:rsid w:val="00974ED0"/>
    <w:rsid w:val="00976BFC"/>
    <w:rsid w:val="00977173"/>
    <w:rsid w:val="00977BD0"/>
    <w:rsid w:val="00980298"/>
    <w:rsid w:val="00981E57"/>
    <w:rsid w:val="00983EE0"/>
    <w:rsid w:val="00983F95"/>
    <w:rsid w:val="009840E3"/>
    <w:rsid w:val="00985654"/>
    <w:rsid w:val="00986A9D"/>
    <w:rsid w:val="00987D93"/>
    <w:rsid w:val="00987F2F"/>
    <w:rsid w:val="0099058E"/>
    <w:rsid w:val="00990933"/>
    <w:rsid w:val="00990DF4"/>
    <w:rsid w:val="009913BD"/>
    <w:rsid w:val="00991889"/>
    <w:rsid w:val="009919BF"/>
    <w:rsid w:val="009928DD"/>
    <w:rsid w:val="00993AC3"/>
    <w:rsid w:val="00993D51"/>
    <w:rsid w:val="009943AE"/>
    <w:rsid w:val="00994F4B"/>
    <w:rsid w:val="00995958"/>
    <w:rsid w:val="00995A66"/>
    <w:rsid w:val="009967C3"/>
    <w:rsid w:val="00997789"/>
    <w:rsid w:val="009977CF"/>
    <w:rsid w:val="00997A18"/>
    <w:rsid w:val="009A0EB1"/>
    <w:rsid w:val="009A0F0C"/>
    <w:rsid w:val="009A2B20"/>
    <w:rsid w:val="009A3427"/>
    <w:rsid w:val="009A3729"/>
    <w:rsid w:val="009A3AD3"/>
    <w:rsid w:val="009A4C1E"/>
    <w:rsid w:val="009A5040"/>
    <w:rsid w:val="009A5302"/>
    <w:rsid w:val="009A5DFF"/>
    <w:rsid w:val="009A6222"/>
    <w:rsid w:val="009A6622"/>
    <w:rsid w:val="009A728D"/>
    <w:rsid w:val="009A7AAD"/>
    <w:rsid w:val="009A7D02"/>
    <w:rsid w:val="009B12D1"/>
    <w:rsid w:val="009B1553"/>
    <w:rsid w:val="009B2227"/>
    <w:rsid w:val="009B246E"/>
    <w:rsid w:val="009B2715"/>
    <w:rsid w:val="009B3858"/>
    <w:rsid w:val="009B3AE1"/>
    <w:rsid w:val="009B46E7"/>
    <w:rsid w:val="009B48A1"/>
    <w:rsid w:val="009B569E"/>
    <w:rsid w:val="009B738B"/>
    <w:rsid w:val="009B77EB"/>
    <w:rsid w:val="009C3734"/>
    <w:rsid w:val="009C39E6"/>
    <w:rsid w:val="009C47EA"/>
    <w:rsid w:val="009C5406"/>
    <w:rsid w:val="009C56CA"/>
    <w:rsid w:val="009C606E"/>
    <w:rsid w:val="009C70BB"/>
    <w:rsid w:val="009C7542"/>
    <w:rsid w:val="009C7EE3"/>
    <w:rsid w:val="009D023E"/>
    <w:rsid w:val="009D05E7"/>
    <w:rsid w:val="009D0801"/>
    <w:rsid w:val="009D0CBC"/>
    <w:rsid w:val="009D1124"/>
    <w:rsid w:val="009D146B"/>
    <w:rsid w:val="009D150F"/>
    <w:rsid w:val="009D16CF"/>
    <w:rsid w:val="009D20B0"/>
    <w:rsid w:val="009D2C4D"/>
    <w:rsid w:val="009D305F"/>
    <w:rsid w:val="009D3097"/>
    <w:rsid w:val="009D3569"/>
    <w:rsid w:val="009D3E05"/>
    <w:rsid w:val="009D4561"/>
    <w:rsid w:val="009D46C7"/>
    <w:rsid w:val="009D4748"/>
    <w:rsid w:val="009D5478"/>
    <w:rsid w:val="009D5BA4"/>
    <w:rsid w:val="009D5D66"/>
    <w:rsid w:val="009D6B22"/>
    <w:rsid w:val="009D72AA"/>
    <w:rsid w:val="009E015D"/>
    <w:rsid w:val="009E05B4"/>
    <w:rsid w:val="009E16A5"/>
    <w:rsid w:val="009E251D"/>
    <w:rsid w:val="009E3191"/>
    <w:rsid w:val="009E3B80"/>
    <w:rsid w:val="009E59FD"/>
    <w:rsid w:val="009E5EB0"/>
    <w:rsid w:val="009E6005"/>
    <w:rsid w:val="009E737E"/>
    <w:rsid w:val="009F019B"/>
    <w:rsid w:val="009F0291"/>
    <w:rsid w:val="009F0698"/>
    <w:rsid w:val="009F07A2"/>
    <w:rsid w:val="009F0CDA"/>
    <w:rsid w:val="009F115C"/>
    <w:rsid w:val="009F1424"/>
    <w:rsid w:val="009F19A3"/>
    <w:rsid w:val="009F1C64"/>
    <w:rsid w:val="009F267E"/>
    <w:rsid w:val="009F34FB"/>
    <w:rsid w:val="009F36D2"/>
    <w:rsid w:val="009F3CF1"/>
    <w:rsid w:val="009F41B1"/>
    <w:rsid w:val="009F47B2"/>
    <w:rsid w:val="009F4DE8"/>
    <w:rsid w:val="009F4F15"/>
    <w:rsid w:val="009F4F29"/>
    <w:rsid w:val="009F7777"/>
    <w:rsid w:val="009F7C74"/>
    <w:rsid w:val="00A004E2"/>
    <w:rsid w:val="00A004FA"/>
    <w:rsid w:val="00A00C1A"/>
    <w:rsid w:val="00A01196"/>
    <w:rsid w:val="00A0193F"/>
    <w:rsid w:val="00A01D6F"/>
    <w:rsid w:val="00A0380F"/>
    <w:rsid w:val="00A038B9"/>
    <w:rsid w:val="00A03CF8"/>
    <w:rsid w:val="00A06855"/>
    <w:rsid w:val="00A07B6F"/>
    <w:rsid w:val="00A07BF4"/>
    <w:rsid w:val="00A1034C"/>
    <w:rsid w:val="00A10650"/>
    <w:rsid w:val="00A118DD"/>
    <w:rsid w:val="00A11962"/>
    <w:rsid w:val="00A120E6"/>
    <w:rsid w:val="00A128CD"/>
    <w:rsid w:val="00A13BB8"/>
    <w:rsid w:val="00A13C63"/>
    <w:rsid w:val="00A14376"/>
    <w:rsid w:val="00A148DA"/>
    <w:rsid w:val="00A14D78"/>
    <w:rsid w:val="00A15897"/>
    <w:rsid w:val="00A15CDF"/>
    <w:rsid w:val="00A1609C"/>
    <w:rsid w:val="00A16A9E"/>
    <w:rsid w:val="00A176BE"/>
    <w:rsid w:val="00A17C52"/>
    <w:rsid w:val="00A221B3"/>
    <w:rsid w:val="00A227AE"/>
    <w:rsid w:val="00A235BA"/>
    <w:rsid w:val="00A244B0"/>
    <w:rsid w:val="00A249CB"/>
    <w:rsid w:val="00A2513B"/>
    <w:rsid w:val="00A25200"/>
    <w:rsid w:val="00A259A0"/>
    <w:rsid w:val="00A26297"/>
    <w:rsid w:val="00A26E52"/>
    <w:rsid w:val="00A302C7"/>
    <w:rsid w:val="00A3034D"/>
    <w:rsid w:val="00A30611"/>
    <w:rsid w:val="00A3100D"/>
    <w:rsid w:val="00A3190F"/>
    <w:rsid w:val="00A32F1F"/>
    <w:rsid w:val="00A3422B"/>
    <w:rsid w:val="00A3508C"/>
    <w:rsid w:val="00A35386"/>
    <w:rsid w:val="00A35387"/>
    <w:rsid w:val="00A3599F"/>
    <w:rsid w:val="00A35EDD"/>
    <w:rsid w:val="00A35EF5"/>
    <w:rsid w:val="00A360A3"/>
    <w:rsid w:val="00A363F2"/>
    <w:rsid w:val="00A37FAA"/>
    <w:rsid w:val="00A40CC2"/>
    <w:rsid w:val="00A40DA9"/>
    <w:rsid w:val="00A41886"/>
    <w:rsid w:val="00A4274A"/>
    <w:rsid w:val="00A4313D"/>
    <w:rsid w:val="00A450CB"/>
    <w:rsid w:val="00A45791"/>
    <w:rsid w:val="00A46E02"/>
    <w:rsid w:val="00A478F9"/>
    <w:rsid w:val="00A47953"/>
    <w:rsid w:val="00A5012A"/>
    <w:rsid w:val="00A502BA"/>
    <w:rsid w:val="00A512FE"/>
    <w:rsid w:val="00A53F33"/>
    <w:rsid w:val="00A54058"/>
    <w:rsid w:val="00A5437F"/>
    <w:rsid w:val="00A5454E"/>
    <w:rsid w:val="00A54F65"/>
    <w:rsid w:val="00A55675"/>
    <w:rsid w:val="00A56329"/>
    <w:rsid w:val="00A56731"/>
    <w:rsid w:val="00A570AE"/>
    <w:rsid w:val="00A57818"/>
    <w:rsid w:val="00A6004D"/>
    <w:rsid w:val="00A60C84"/>
    <w:rsid w:val="00A617AD"/>
    <w:rsid w:val="00A61EBE"/>
    <w:rsid w:val="00A62060"/>
    <w:rsid w:val="00A62606"/>
    <w:rsid w:val="00A62EC0"/>
    <w:rsid w:val="00A63753"/>
    <w:rsid w:val="00A63B1D"/>
    <w:rsid w:val="00A63C62"/>
    <w:rsid w:val="00A64688"/>
    <w:rsid w:val="00A648BD"/>
    <w:rsid w:val="00A64C4B"/>
    <w:rsid w:val="00A64ECC"/>
    <w:rsid w:val="00A66E62"/>
    <w:rsid w:val="00A70E64"/>
    <w:rsid w:val="00A70EC2"/>
    <w:rsid w:val="00A71821"/>
    <w:rsid w:val="00A72D5E"/>
    <w:rsid w:val="00A73952"/>
    <w:rsid w:val="00A7401F"/>
    <w:rsid w:val="00A7434F"/>
    <w:rsid w:val="00A7639B"/>
    <w:rsid w:val="00A7693B"/>
    <w:rsid w:val="00A772E2"/>
    <w:rsid w:val="00A80866"/>
    <w:rsid w:val="00A80E0C"/>
    <w:rsid w:val="00A810CC"/>
    <w:rsid w:val="00A8130D"/>
    <w:rsid w:val="00A815D4"/>
    <w:rsid w:val="00A81DCF"/>
    <w:rsid w:val="00A826E0"/>
    <w:rsid w:val="00A834B6"/>
    <w:rsid w:val="00A83E3D"/>
    <w:rsid w:val="00A84855"/>
    <w:rsid w:val="00A852B5"/>
    <w:rsid w:val="00A855D0"/>
    <w:rsid w:val="00A85C5B"/>
    <w:rsid w:val="00A86C77"/>
    <w:rsid w:val="00A87CFE"/>
    <w:rsid w:val="00A9017F"/>
    <w:rsid w:val="00A9067A"/>
    <w:rsid w:val="00A90948"/>
    <w:rsid w:val="00A909D9"/>
    <w:rsid w:val="00A912DF"/>
    <w:rsid w:val="00A9228C"/>
    <w:rsid w:val="00A925C0"/>
    <w:rsid w:val="00A931C7"/>
    <w:rsid w:val="00A947C5"/>
    <w:rsid w:val="00A94B31"/>
    <w:rsid w:val="00A94D49"/>
    <w:rsid w:val="00A9505F"/>
    <w:rsid w:val="00A96DA3"/>
    <w:rsid w:val="00A970B6"/>
    <w:rsid w:val="00A97277"/>
    <w:rsid w:val="00A9768A"/>
    <w:rsid w:val="00AA07EC"/>
    <w:rsid w:val="00AA0855"/>
    <w:rsid w:val="00AA116B"/>
    <w:rsid w:val="00AA284B"/>
    <w:rsid w:val="00AA2BA1"/>
    <w:rsid w:val="00AA2D09"/>
    <w:rsid w:val="00AA3542"/>
    <w:rsid w:val="00AA413D"/>
    <w:rsid w:val="00AA41BB"/>
    <w:rsid w:val="00AA4A1B"/>
    <w:rsid w:val="00AA5F9C"/>
    <w:rsid w:val="00AA610A"/>
    <w:rsid w:val="00AA63D9"/>
    <w:rsid w:val="00AA6C3C"/>
    <w:rsid w:val="00AA747F"/>
    <w:rsid w:val="00AA7B8E"/>
    <w:rsid w:val="00AB01E3"/>
    <w:rsid w:val="00AB026A"/>
    <w:rsid w:val="00AB05F0"/>
    <w:rsid w:val="00AB0D7A"/>
    <w:rsid w:val="00AB12FA"/>
    <w:rsid w:val="00AB18CD"/>
    <w:rsid w:val="00AB1983"/>
    <w:rsid w:val="00AB226A"/>
    <w:rsid w:val="00AB265D"/>
    <w:rsid w:val="00AB392F"/>
    <w:rsid w:val="00AB3CA6"/>
    <w:rsid w:val="00AB4E55"/>
    <w:rsid w:val="00AB56CB"/>
    <w:rsid w:val="00AB6740"/>
    <w:rsid w:val="00AB7ABC"/>
    <w:rsid w:val="00AB7CDA"/>
    <w:rsid w:val="00AC066B"/>
    <w:rsid w:val="00AC0865"/>
    <w:rsid w:val="00AC1740"/>
    <w:rsid w:val="00AC2445"/>
    <w:rsid w:val="00AC321F"/>
    <w:rsid w:val="00AC3B42"/>
    <w:rsid w:val="00AC5BDD"/>
    <w:rsid w:val="00AC5F42"/>
    <w:rsid w:val="00AC6602"/>
    <w:rsid w:val="00AC74D4"/>
    <w:rsid w:val="00AC7A4F"/>
    <w:rsid w:val="00AC7FD1"/>
    <w:rsid w:val="00AD0EAE"/>
    <w:rsid w:val="00AD1195"/>
    <w:rsid w:val="00AD180C"/>
    <w:rsid w:val="00AD3680"/>
    <w:rsid w:val="00AD3922"/>
    <w:rsid w:val="00AD49A8"/>
    <w:rsid w:val="00AD63F6"/>
    <w:rsid w:val="00AD642E"/>
    <w:rsid w:val="00AD72CE"/>
    <w:rsid w:val="00AD783D"/>
    <w:rsid w:val="00AD7FC6"/>
    <w:rsid w:val="00AE1344"/>
    <w:rsid w:val="00AE189C"/>
    <w:rsid w:val="00AE1F79"/>
    <w:rsid w:val="00AE2706"/>
    <w:rsid w:val="00AE37F9"/>
    <w:rsid w:val="00AE3C20"/>
    <w:rsid w:val="00AE4C1C"/>
    <w:rsid w:val="00AE4EC9"/>
    <w:rsid w:val="00AE4EF1"/>
    <w:rsid w:val="00AE5771"/>
    <w:rsid w:val="00AE57A0"/>
    <w:rsid w:val="00AE58BE"/>
    <w:rsid w:val="00AE5D76"/>
    <w:rsid w:val="00AE5DE3"/>
    <w:rsid w:val="00AE5EF4"/>
    <w:rsid w:val="00AE6580"/>
    <w:rsid w:val="00AE74EA"/>
    <w:rsid w:val="00AE7BA5"/>
    <w:rsid w:val="00AE7E73"/>
    <w:rsid w:val="00AF0062"/>
    <w:rsid w:val="00AF0387"/>
    <w:rsid w:val="00AF1E19"/>
    <w:rsid w:val="00AF2A76"/>
    <w:rsid w:val="00AF3B08"/>
    <w:rsid w:val="00AF3B68"/>
    <w:rsid w:val="00AF3CFD"/>
    <w:rsid w:val="00AF547A"/>
    <w:rsid w:val="00AF594A"/>
    <w:rsid w:val="00AF6E24"/>
    <w:rsid w:val="00AF7CE7"/>
    <w:rsid w:val="00B001B9"/>
    <w:rsid w:val="00B019D1"/>
    <w:rsid w:val="00B01D56"/>
    <w:rsid w:val="00B0322E"/>
    <w:rsid w:val="00B048AE"/>
    <w:rsid w:val="00B04961"/>
    <w:rsid w:val="00B05057"/>
    <w:rsid w:val="00B05162"/>
    <w:rsid w:val="00B058D9"/>
    <w:rsid w:val="00B0593B"/>
    <w:rsid w:val="00B05EFE"/>
    <w:rsid w:val="00B06459"/>
    <w:rsid w:val="00B0678F"/>
    <w:rsid w:val="00B0750F"/>
    <w:rsid w:val="00B07F2F"/>
    <w:rsid w:val="00B1006A"/>
    <w:rsid w:val="00B10765"/>
    <w:rsid w:val="00B1158A"/>
    <w:rsid w:val="00B12585"/>
    <w:rsid w:val="00B1588E"/>
    <w:rsid w:val="00B166AE"/>
    <w:rsid w:val="00B16C08"/>
    <w:rsid w:val="00B17202"/>
    <w:rsid w:val="00B1750C"/>
    <w:rsid w:val="00B17871"/>
    <w:rsid w:val="00B178EE"/>
    <w:rsid w:val="00B17CE4"/>
    <w:rsid w:val="00B202AA"/>
    <w:rsid w:val="00B204DA"/>
    <w:rsid w:val="00B211CA"/>
    <w:rsid w:val="00B2196E"/>
    <w:rsid w:val="00B22993"/>
    <w:rsid w:val="00B22A53"/>
    <w:rsid w:val="00B22E0D"/>
    <w:rsid w:val="00B23346"/>
    <w:rsid w:val="00B23584"/>
    <w:rsid w:val="00B2463A"/>
    <w:rsid w:val="00B24B59"/>
    <w:rsid w:val="00B24D56"/>
    <w:rsid w:val="00B264DC"/>
    <w:rsid w:val="00B26C1C"/>
    <w:rsid w:val="00B26C51"/>
    <w:rsid w:val="00B27345"/>
    <w:rsid w:val="00B2749D"/>
    <w:rsid w:val="00B279A3"/>
    <w:rsid w:val="00B27FDC"/>
    <w:rsid w:val="00B303A4"/>
    <w:rsid w:val="00B304C5"/>
    <w:rsid w:val="00B316C0"/>
    <w:rsid w:val="00B317A1"/>
    <w:rsid w:val="00B318C1"/>
    <w:rsid w:val="00B31A39"/>
    <w:rsid w:val="00B31D98"/>
    <w:rsid w:val="00B32BD2"/>
    <w:rsid w:val="00B35542"/>
    <w:rsid w:val="00B35F50"/>
    <w:rsid w:val="00B37981"/>
    <w:rsid w:val="00B37F0B"/>
    <w:rsid w:val="00B40DA7"/>
    <w:rsid w:val="00B410D5"/>
    <w:rsid w:val="00B41C91"/>
    <w:rsid w:val="00B421F4"/>
    <w:rsid w:val="00B422F0"/>
    <w:rsid w:val="00B425C2"/>
    <w:rsid w:val="00B42FF8"/>
    <w:rsid w:val="00B4392B"/>
    <w:rsid w:val="00B43E4F"/>
    <w:rsid w:val="00B448A2"/>
    <w:rsid w:val="00B44917"/>
    <w:rsid w:val="00B46380"/>
    <w:rsid w:val="00B467FE"/>
    <w:rsid w:val="00B468EF"/>
    <w:rsid w:val="00B4751F"/>
    <w:rsid w:val="00B5166F"/>
    <w:rsid w:val="00B521E3"/>
    <w:rsid w:val="00B52392"/>
    <w:rsid w:val="00B52552"/>
    <w:rsid w:val="00B53066"/>
    <w:rsid w:val="00B53378"/>
    <w:rsid w:val="00B54323"/>
    <w:rsid w:val="00B544B1"/>
    <w:rsid w:val="00B569B7"/>
    <w:rsid w:val="00B57428"/>
    <w:rsid w:val="00B60CB0"/>
    <w:rsid w:val="00B61809"/>
    <w:rsid w:val="00B62BFC"/>
    <w:rsid w:val="00B6319C"/>
    <w:rsid w:val="00B636E7"/>
    <w:rsid w:val="00B63D22"/>
    <w:rsid w:val="00B63FAE"/>
    <w:rsid w:val="00B640B8"/>
    <w:rsid w:val="00B648AC"/>
    <w:rsid w:val="00B6554E"/>
    <w:rsid w:val="00B658A2"/>
    <w:rsid w:val="00B65A65"/>
    <w:rsid w:val="00B65DC3"/>
    <w:rsid w:val="00B65DE8"/>
    <w:rsid w:val="00B65EB8"/>
    <w:rsid w:val="00B66ACE"/>
    <w:rsid w:val="00B6744A"/>
    <w:rsid w:val="00B67C4B"/>
    <w:rsid w:val="00B67DEF"/>
    <w:rsid w:val="00B67EFC"/>
    <w:rsid w:val="00B70474"/>
    <w:rsid w:val="00B70DC4"/>
    <w:rsid w:val="00B71604"/>
    <w:rsid w:val="00B71CF4"/>
    <w:rsid w:val="00B7213C"/>
    <w:rsid w:val="00B722C3"/>
    <w:rsid w:val="00B733B7"/>
    <w:rsid w:val="00B73769"/>
    <w:rsid w:val="00B73F5F"/>
    <w:rsid w:val="00B754FF"/>
    <w:rsid w:val="00B75856"/>
    <w:rsid w:val="00B758F1"/>
    <w:rsid w:val="00B75DC1"/>
    <w:rsid w:val="00B76BD1"/>
    <w:rsid w:val="00B77435"/>
    <w:rsid w:val="00B77C3C"/>
    <w:rsid w:val="00B8044C"/>
    <w:rsid w:val="00B81B5C"/>
    <w:rsid w:val="00B81DDB"/>
    <w:rsid w:val="00B82519"/>
    <w:rsid w:val="00B8338A"/>
    <w:rsid w:val="00B83441"/>
    <w:rsid w:val="00B8439D"/>
    <w:rsid w:val="00B84488"/>
    <w:rsid w:val="00B8474E"/>
    <w:rsid w:val="00B85BBA"/>
    <w:rsid w:val="00B8723B"/>
    <w:rsid w:val="00B9010E"/>
    <w:rsid w:val="00B90671"/>
    <w:rsid w:val="00B91561"/>
    <w:rsid w:val="00B9274C"/>
    <w:rsid w:val="00B9293C"/>
    <w:rsid w:val="00B940D5"/>
    <w:rsid w:val="00B94227"/>
    <w:rsid w:val="00B946E4"/>
    <w:rsid w:val="00B94CC0"/>
    <w:rsid w:val="00B94E33"/>
    <w:rsid w:val="00B95531"/>
    <w:rsid w:val="00B96394"/>
    <w:rsid w:val="00B96671"/>
    <w:rsid w:val="00B970FC"/>
    <w:rsid w:val="00B973FB"/>
    <w:rsid w:val="00B97A56"/>
    <w:rsid w:val="00BA0470"/>
    <w:rsid w:val="00BA08DE"/>
    <w:rsid w:val="00BA10E1"/>
    <w:rsid w:val="00BA1C7D"/>
    <w:rsid w:val="00BA1CF2"/>
    <w:rsid w:val="00BA24B0"/>
    <w:rsid w:val="00BA253F"/>
    <w:rsid w:val="00BA25DC"/>
    <w:rsid w:val="00BA319A"/>
    <w:rsid w:val="00BA3A0A"/>
    <w:rsid w:val="00BA3C6E"/>
    <w:rsid w:val="00BA43B3"/>
    <w:rsid w:val="00BA4843"/>
    <w:rsid w:val="00BA56B8"/>
    <w:rsid w:val="00BA58CC"/>
    <w:rsid w:val="00BA58FD"/>
    <w:rsid w:val="00BA6371"/>
    <w:rsid w:val="00BA6730"/>
    <w:rsid w:val="00BA6FF5"/>
    <w:rsid w:val="00BA7BB4"/>
    <w:rsid w:val="00BB00A2"/>
    <w:rsid w:val="00BB01D8"/>
    <w:rsid w:val="00BB0D80"/>
    <w:rsid w:val="00BB1256"/>
    <w:rsid w:val="00BB1ACF"/>
    <w:rsid w:val="00BB1DE4"/>
    <w:rsid w:val="00BB1E3B"/>
    <w:rsid w:val="00BB1E7C"/>
    <w:rsid w:val="00BB2469"/>
    <w:rsid w:val="00BB28BC"/>
    <w:rsid w:val="00BB2B28"/>
    <w:rsid w:val="00BB2B88"/>
    <w:rsid w:val="00BB31A2"/>
    <w:rsid w:val="00BB32BB"/>
    <w:rsid w:val="00BB3605"/>
    <w:rsid w:val="00BB3ECB"/>
    <w:rsid w:val="00BB47BF"/>
    <w:rsid w:val="00BB4FBC"/>
    <w:rsid w:val="00BB6B03"/>
    <w:rsid w:val="00BB6E44"/>
    <w:rsid w:val="00BB7393"/>
    <w:rsid w:val="00BB768E"/>
    <w:rsid w:val="00BC0F5F"/>
    <w:rsid w:val="00BC10EA"/>
    <w:rsid w:val="00BC185B"/>
    <w:rsid w:val="00BC21D7"/>
    <w:rsid w:val="00BC26B1"/>
    <w:rsid w:val="00BC2A71"/>
    <w:rsid w:val="00BC385C"/>
    <w:rsid w:val="00BC44E5"/>
    <w:rsid w:val="00BC5C40"/>
    <w:rsid w:val="00BC7833"/>
    <w:rsid w:val="00BD02D7"/>
    <w:rsid w:val="00BD0762"/>
    <w:rsid w:val="00BD0BE4"/>
    <w:rsid w:val="00BD0CBB"/>
    <w:rsid w:val="00BD13C7"/>
    <w:rsid w:val="00BD1426"/>
    <w:rsid w:val="00BD1DF2"/>
    <w:rsid w:val="00BD4190"/>
    <w:rsid w:val="00BD4FD8"/>
    <w:rsid w:val="00BD54B6"/>
    <w:rsid w:val="00BD5E55"/>
    <w:rsid w:val="00BD7017"/>
    <w:rsid w:val="00BD769F"/>
    <w:rsid w:val="00BE14D8"/>
    <w:rsid w:val="00BE2083"/>
    <w:rsid w:val="00BE23FE"/>
    <w:rsid w:val="00BE2A31"/>
    <w:rsid w:val="00BE2E82"/>
    <w:rsid w:val="00BE3102"/>
    <w:rsid w:val="00BE31BD"/>
    <w:rsid w:val="00BE3BAB"/>
    <w:rsid w:val="00BE4B24"/>
    <w:rsid w:val="00BE58A5"/>
    <w:rsid w:val="00BE596D"/>
    <w:rsid w:val="00BE5A1B"/>
    <w:rsid w:val="00BE6392"/>
    <w:rsid w:val="00BE647D"/>
    <w:rsid w:val="00BE68B4"/>
    <w:rsid w:val="00BE781F"/>
    <w:rsid w:val="00BE7835"/>
    <w:rsid w:val="00BF07B8"/>
    <w:rsid w:val="00BF090C"/>
    <w:rsid w:val="00BF10CF"/>
    <w:rsid w:val="00BF1705"/>
    <w:rsid w:val="00BF1E1F"/>
    <w:rsid w:val="00BF1EAC"/>
    <w:rsid w:val="00BF2144"/>
    <w:rsid w:val="00BF3BDC"/>
    <w:rsid w:val="00BF5229"/>
    <w:rsid w:val="00BF5AF7"/>
    <w:rsid w:val="00BF5C61"/>
    <w:rsid w:val="00BF6FF3"/>
    <w:rsid w:val="00BF751D"/>
    <w:rsid w:val="00C0002F"/>
    <w:rsid w:val="00C00829"/>
    <w:rsid w:val="00C00931"/>
    <w:rsid w:val="00C011D9"/>
    <w:rsid w:val="00C0182F"/>
    <w:rsid w:val="00C02EF4"/>
    <w:rsid w:val="00C03653"/>
    <w:rsid w:val="00C0434E"/>
    <w:rsid w:val="00C05032"/>
    <w:rsid w:val="00C05166"/>
    <w:rsid w:val="00C062C3"/>
    <w:rsid w:val="00C06A09"/>
    <w:rsid w:val="00C07553"/>
    <w:rsid w:val="00C077D0"/>
    <w:rsid w:val="00C07F64"/>
    <w:rsid w:val="00C10F2D"/>
    <w:rsid w:val="00C10FFA"/>
    <w:rsid w:val="00C124ED"/>
    <w:rsid w:val="00C12D1B"/>
    <w:rsid w:val="00C1333D"/>
    <w:rsid w:val="00C13A2F"/>
    <w:rsid w:val="00C14211"/>
    <w:rsid w:val="00C14F78"/>
    <w:rsid w:val="00C1548C"/>
    <w:rsid w:val="00C16863"/>
    <w:rsid w:val="00C17714"/>
    <w:rsid w:val="00C17AD1"/>
    <w:rsid w:val="00C20ADA"/>
    <w:rsid w:val="00C2133D"/>
    <w:rsid w:val="00C228B7"/>
    <w:rsid w:val="00C22D19"/>
    <w:rsid w:val="00C230C9"/>
    <w:rsid w:val="00C232E8"/>
    <w:rsid w:val="00C2363B"/>
    <w:rsid w:val="00C23921"/>
    <w:rsid w:val="00C23A67"/>
    <w:rsid w:val="00C24ADE"/>
    <w:rsid w:val="00C25A0A"/>
    <w:rsid w:val="00C25F1A"/>
    <w:rsid w:val="00C302E5"/>
    <w:rsid w:val="00C30551"/>
    <w:rsid w:val="00C308BB"/>
    <w:rsid w:val="00C30A8F"/>
    <w:rsid w:val="00C32FE3"/>
    <w:rsid w:val="00C33AA4"/>
    <w:rsid w:val="00C33C1F"/>
    <w:rsid w:val="00C346E1"/>
    <w:rsid w:val="00C347BD"/>
    <w:rsid w:val="00C34FAB"/>
    <w:rsid w:val="00C354DC"/>
    <w:rsid w:val="00C368A7"/>
    <w:rsid w:val="00C3786F"/>
    <w:rsid w:val="00C37D39"/>
    <w:rsid w:val="00C409D3"/>
    <w:rsid w:val="00C40B16"/>
    <w:rsid w:val="00C40CF6"/>
    <w:rsid w:val="00C40EED"/>
    <w:rsid w:val="00C410BE"/>
    <w:rsid w:val="00C4141A"/>
    <w:rsid w:val="00C41C5C"/>
    <w:rsid w:val="00C421C2"/>
    <w:rsid w:val="00C425E1"/>
    <w:rsid w:val="00C42892"/>
    <w:rsid w:val="00C42C13"/>
    <w:rsid w:val="00C42C2A"/>
    <w:rsid w:val="00C434E1"/>
    <w:rsid w:val="00C435CA"/>
    <w:rsid w:val="00C4368F"/>
    <w:rsid w:val="00C438E2"/>
    <w:rsid w:val="00C44264"/>
    <w:rsid w:val="00C4628F"/>
    <w:rsid w:val="00C465FD"/>
    <w:rsid w:val="00C46A49"/>
    <w:rsid w:val="00C4700A"/>
    <w:rsid w:val="00C472DD"/>
    <w:rsid w:val="00C4787C"/>
    <w:rsid w:val="00C47FEB"/>
    <w:rsid w:val="00C50397"/>
    <w:rsid w:val="00C5181F"/>
    <w:rsid w:val="00C51881"/>
    <w:rsid w:val="00C52944"/>
    <w:rsid w:val="00C53771"/>
    <w:rsid w:val="00C54777"/>
    <w:rsid w:val="00C55132"/>
    <w:rsid w:val="00C55B29"/>
    <w:rsid w:val="00C56FFA"/>
    <w:rsid w:val="00C5727C"/>
    <w:rsid w:val="00C57CD6"/>
    <w:rsid w:val="00C60089"/>
    <w:rsid w:val="00C6016B"/>
    <w:rsid w:val="00C60F95"/>
    <w:rsid w:val="00C6129A"/>
    <w:rsid w:val="00C62461"/>
    <w:rsid w:val="00C63067"/>
    <w:rsid w:val="00C63195"/>
    <w:rsid w:val="00C63276"/>
    <w:rsid w:val="00C6376A"/>
    <w:rsid w:val="00C6470B"/>
    <w:rsid w:val="00C65634"/>
    <w:rsid w:val="00C66082"/>
    <w:rsid w:val="00C70B0E"/>
    <w:rsid w:val="00C711B3"/>
    <w:rsid w:val="00C712E1"/>
    <w:rsid w:val="00C714BE"/>
    <w:rsid w:val="00C73FAE"/>
    <w:rsid w:val="00C74DEA"/>
    <w:rsid w:val="00C74FE5"/>
    <w:rsid w:val="00C7571A"/>
    <w:rsid w:val="00C75CA3"/>
    <w:rsid w:val="00C7620C"/>
    <w:rsid w:val="00C76E58"/>
    <w:rsid w:val="00C77228"/>
    <w:rsid w:val="00C77BCF"/>
    <w:rsid w:val="00C77DB5"/>
    <w:rsid w:val="00C77F29"/>
    <w:rsid w:val="00C80052"/>
    <w:rsid w:val="00C815E4"/>
    <w:rsid w:val="00C828D2"/>
    <w:rsid w:val="00C83259"/>
    <w:rsid w:val="00C83D6B"/>
    <w:rsid w:val="00C84611"/>
    <w:rsid w:val="00C846BF"/>
    <w:rsid w:val="00C850ED"/>
    <w:rsid w:val="00C851E7"/>
    <w:rsid w:val="00C852D9"/>
    <w:rsid w:val="00C85D76"/>
    <w:rsid w:val="00C865CB"/>
    <w:rsid w:val="00C872D5"/>
    <w:rsid w:val="00C872E3"/>
    <w:rsid w:val="00C90570"/>
    <w:rsid w:val="00C916FE"/>
    <w:rsid w:val="00C91953"/>
    <w:rsid w:val="00C91FDF"/>
    <w:rsid w:val="00C92288"/>
    <w:rsid w:val="00C9244A"/>
    <w:rsid w:val="00C928E1"/>
    <w:rsid w:val="00C93347"/>
    <w:rsid w:val="00C9428E"/>
    <w:rsid w:val="00C96893"/>
    <w:rsid w:val="00C96D9B"/>
    <w:rsid w:val="00C971EC"/>
    <w:rsid w:val="00CA09E5"/>
    <w:rsid w:val="00CA1493"/>
    <w:rsid w:val="00CA1A55"/>
    <w:rsid w:val="00CA1AF2"/>
    <w:rsid w:val="00CA1BC2"/>
    <w:rsid w:val="00CA3075"/>
    <w:rsid w:val="00CA3085"/>
    <w:rsid w:val="00CA30A3"/>
    <w:rsid w:val="00CA3159"/>
    <w:rsid w:val="00CA3905"/>
    <w:rsid w:val="00CA426B"/>
    <w:rsid w:val="00CA47DD"/>
    <w:rsid w:val="00CA4E39"/>
    <w:rsid w:val="00CA5279"/>
    <w:rsid w:val="00CA6E19"/>
    <w:rsid w:val="00CA70F5"/>
    <w:rsid w:val="00CA713A"/>
    <w:rsid w:val="00CA7E53"/>
    <w:rsid w:val="00CB06AC"/>
    <w:rsid w:val="00CB0E36"/>
    <w:rsid w:val="00CB1E15"/>
    <w:rsid w:val="00CB43F7"/>
    <w:rsid w:val="00CB521C"/>
    <w:rsid w:val="00CB5443"/>
    <w:rsid w:val="00CB5B97"/>
    <w:rsid w:val="00CB60C3"/>
    <w:rsid w:val="00CB680A"/>
    <w:rsid w:val="00CB6B92"/>
    <w:rsid w:val="00CB7A13"/>
    <w:rsid w:val="00CC0417"/>
    <w:rsid w:val="00CC09B4"/>
    <w:rsid w:val="00CC14ED"/>
    <w:rsid w:val="00CC15F4"/>
    <w:rsid w:val="00CC192B"/>
    <w:rsid w:val="00CC2182"/>
    <w:rsid w:val="00CC40AA"/>
    <w:rsid w:val="00CC4876"/>
    <w:rsid w:val="00CC4AF6"/>
    <w:rsid w:val="00CC4C84"/>
    <w:rsid w:val="00CC5604"/>
    <w:rsid w:val="00CC6191"/>
    <w:rsid w:val="00CC6A25"/>
    <w:rsid w:val="00CC72B7"/>
    <w:rsid w:val="00CC7902"/>
    <w:rsid w:val="00CC7D82"/>
    <w:rsid w:val="00CC7F0C"/>
    <w:rsid w:val="00CD0489"/>
    <w:rsid w:val="00CD19FB"/>
    <w:rsid w:val="00CD1BF4"/>
    <w:rsid w:val="00CD1FA2"/>
    <w:rsid w:val="00CD2D95"/>
    <w:rsid w:val="00CD3108"/>
    <w:rsid w:val="00CD33E0"/>
    <w:rsid w:val="00CD3414"/>
    <w:rsid w:val="00CD50A2"/>
    <w:rsid w:val="00CD573C"/>
    <w:rsid w:val="00CD7240"/>
    <w:rsid w:val="00CD734C"/>
    <w:rsid w:val="00CE0D41"/>
    <w:rsid w:val="00CE0E1F"/>
    <w:rsid w:val="00CE14AF"/>
    <w:rsid w:val="00CE1725"/>
    <w:rsid w:val="00CE1901"/>
    <w:rsid w:val="00CE3BFB"/>
    <w:rsid w:val="00CE4630"/>
    <w:rsid w:val="00CE4882"/>
    <w:rsid w:val="00CE4CAA"/>
    <w:rsid w:val="00CE538C"/>
    <w:rsid w:val="00CE53AC"/>
    <w:rsid w:val="00CE5626"/>
    <w:rsid w:val="00CE5DAA"/>
    <w:rsid w:val="00CE66C3"/>
    <w:rsid w:val="00CE71D2"/>
    <w:rsid w:val="00CE7F54"/>
    <w:rsid w:val="00CF1334"/>
    <w:rsid w:val="00CF18DA"/>
    <w:rsid w:val="00CF2578"/>
    <w:rsid w:val="00CF2E08"/>
    <w:rsid w:val="00CF309B"/>
    <w:rsid w:val="00CF30DB"/>
    <w:rsid w:val="00CF352D"/>
    <w:rsid w:val="00CF3CC2"/>
    <w:rsid w:val="00CF3CD2"/>
    <w:rsid w:val="00CF481C"/>
    <w:rsid w:val="00CF50DA"/>
    <w:rsid w:val="00CF5BC9"/>
    <w:rsid w:val="00CF5CAE"/>
    <w:rsid w:val="00CF6252"/>
    <w:rsid w:val="00CF6C4F"/>
    <w:rsid w:val="00CF6C53"/>
    <w:rsid w:val="00CF6F0D"/>
    <w:rsid w:val="00CF77EC"/>
    <w:rsid w:val="00CF7D5A"/>
    <w:rsid w:val="00D000E4"/>
    <w:rsid w:val="00D001DA"/>
    <w:rsid w:val="00D00A15"/>
    <w:rsid w:val="00D01591"/>
    <w:rsid w:val="00D016CA"/>
    <w:rsid w:val="00D01B62"/>
    <w:rsid w:val="00D02335"/>
    <w:rsid w:val="00D029F1"/>
    <w:rsid w:val="00D03179"/>
    <w:rsid w:val="00D03674"/>
    <w:rsid w:val="00D04A08"/>
    <w:rsid w:val="00D04B16"/>
    <w:rsid w:val="00D0583E"/>
    <w:rsid w:val="00D05FA6"/>
    <w:rsid w:val="00D06351"/>
    <w:rsid w:val="00D0650D"/>
    <w:rsid w:val="00D07A08"/>
    <w:rsid w:val="00D07F27"/>
    <w:rsid w:val="00D1133D"/>
    <w:rsid w:val="00D11C3A"/>
    <w:rsid w:val="00D11E51"/>
    <w:rsid w:val="00D136D4"/>
    <w:rsid w:val="00D13EB8"/>
    <w:rsid w:val="00D1665C"/>
    <w:rsid w:val="00D16A8E"/>
    <w:rsid w:val="00D16F88"/>
    <w:rsid w:val="00D17CDE"/>
    <w:rsid w:val="00D207AF"/>
    <w:rsid w:val="00D220A5"/>
    <w:rsid w:val="00D226F5"/>
    <w:rsid w:val="00D22942"/>
    <w:rsid w:val="00D22AFE"/>
    <w:rsid w:val="00D24F4C"/>
    <w:rsid w:val="00D250A8"/>
    <w:rsid w:val="00D2569A"/>
    <w:rsid w:val="00D2575E"/>
    <w:rsid w:val="00D27BFB"/>
    <w:rsid w:val="00D27C89"/>
    <w:rsid w:val="00D312CD"/>
    <w:rsid w:val="00D32115"/>
    <w:rsid w:val="00D32279"/>
    <w:rsid w:val="00D32709"/>
    <w:rsid w:val="00D32F45"/>
    <w:rsid w:val="00D33DC3"/>
    <w:rsid w:val="00D346D4"/>
    <w:rsid w:val="00D34DCB"/>
    <w:rsid w:val="00D36346"/>
    <w:rsid w:val="00D36D55"/>
    <w:rsid w:val="00D37FB6"/>
    <w:rsid w:val="00D4080B"/>
    <w:rsid w:val="00D41A70"/>
    <w:rsid w:val="00D41C02"/>
    <w:rsid w:val="00D420ED"/>
    <w:rsid w:val="00D4230F"/>
    <w:rsid w:val="00D423E0"/>
    <w:rsid w:val="00D42B98"/>
    <w:rsid w:val="00D42DB1"/>
    <w:rsid w:val="00D43BB3"/>
    <w:rsid w:val="00D440AC"/>
    <w:rsid w:val="00D44F2F"/>
    <w:rsid w:val="00D45299"/>
    <w:rsid w:val="00D458B1"/>
    <w:rsid w:val="00D4639B"/>
    <w:rsid w:val="00D468AE"/>
    <w:rsid w:val="00D46E04"/>
    <w:rsid w:val="00D47392"/>
    <w:rsid w:val="00D47881"/>
    <w:rsid w:val="00D51138"/>
    <w:rsid w:val="00D51B7B"/>
    <w:rsid w:val="00D52E8D"/>
    <w:rsid w:val="00D54D1F"/>
    <w:rsid w:val="00D55003"/>
    <w:rsid w:val="00D55300"/>
    <w:rsid w:val="00D555CA"/>
    <w:rsid w:val="00D5657A"/>
    <w:rsid w:val="00D57A2B"/>
    <w:rsid w:val="00D57E17"/>
    <w:rsid w:val="00D57E5C"/>
    <w:rsid w:val="00D57F17"/>
    <w:rsid w:val="00D60451"/>
    <w:rsid w:val="00D62875"/>
    <w:rsid w:val="00D639F5"/>
    <w:rsid w:val="00D64212"/>
    <w:rsid w:val="00D6514A"/>
    <w:rsid w:val="00D65546"/>
    <w:rsid w:val="00D65698"/>
    <w:rsid w:val="00D66050"/>
    <w:rsid w:val="00D663E8"/>
    <w:rsid w:val="00D665B1"/>
    <w:rsid w:val="00D66C2A"/>
    <w:rsid w:val="00D67128"/>
    <w:rsid w:val="00D70178"/>
    <w:rsid w:val="00D7094F"/>
    <w:rsid w:val="00D71118"/>
    <w:rsid w:val="00D7176C"/>
    <w:rsid w:val="00D71B86"/>
    <w:rsid w:val="00D72047"/>
    <w:rsid w:val="00D726E3"/>
    <w:rsid w:val="00D7270C"/>
    <w:rsid w:val="00D72E8B"/>
    <w:rsid w:val="00D73010"/>
    <w:rsid w:val="00D73086"/>
    <w:rsid w:val="00D739AF"/>
    <w:rsid w:val="00D73F30"/>
    <w:rsid w:val="00D74416"/>
    <w:rsid w:val="00D759FD"/>
    <w:rsid w:val="00D75B94"/>
    <w:rsid w:val="00D75C9A"/>
    <w:rsid w:val="00D7622B"/>
    <w:rsid w:val="00D76710"/>
    <w:rsid w:val="00D76EA1"/>
    <w:rsid w:val="00D80336"/>
    <w:rsid w:val="00D8148E"/>
    <w:rsid w:val="00D8293E"/>
    <w:rsid w:val="00D82AD0"/>
    <w:rsid w:val="00D82C35"/>
    <w:rsid w:val="00D83336"/>
    <w:rsid w:val="00D83507"/>
    <w:rsid w:val="00D8389D"/>
    <w:rsid w:val="00D83EB9"/>
    <w:rsid w:val="00D84744"/>
    <w:rsid w:val="00D84D53"/>
    <w:rsid w:val="00D854E7"/>
    <w:rsid w:val="00D8577D"/>
    <w:rsid w:val="00D8742F"/>
    <w:rsid w:val="00D90503"/>
    <w:rsid w:val="00D907E5"/>
    <w:rsid w:val="00D90F4E"/>
    <w:rsid w:val="00D91CA5"/>
    <w:rsid w:val="00D921E6"/>
    <w:rsid w:val="00D92F2F"/>
    <w:rsid w:val="00D93265"/>
    <w:rsid w:val="00D933F1"/>
    <w:rsid w:val="00D93BE9"/>
    <w:rsid w:val="00D94123"/>
    <w:rsid w:val="00D9435A"/>
    <w:rsid w:val="00D94C35"/>
    <w:rsid w:val="00D94FE2"/>
    <w:rsid w:val="00D95171"/>
    <w:rsid w:val="00D961F3"/>
    <w:rsid w:val="00D96704"/>
    <w:rsid w:val="00DA19B7"/>
    <w:rsid w:val="00DA1ACE"/>
    <w:rsid w:val="00DA2C2F"/>
    <w:rsid w:val="00DA2CDF"/>
    <w:rsid w:val="00DA318D"/>
    <w:rsid w:val="00DA3C32"/>
    <w:rsid w:val="00DA437D"/>
    <w:rsid w:val="00DA4E8B"/>
    <w:rsid w:val="00DA56D1"/>
    <w:rsid w:val="00DA663F"/>
    <w:rsid w:val="00DA67D7"/>
    <w:rsid w:val="00DA72C6"/>
    <w:rsid w:val="00DA7A01"/>
    <w:rsid w:val="00DB0097"/>
    <w:rsid w:val="00DB04CB"/>
    <w:rsid w:val="00DB0AF3"/>
    <w:rsid w:val="00DB1644"/>
    <w:rsid w:val="00DB2102"/>
    <w:rsid w:val="00DB2F1C"/>
    <w:rsid w:val="00DB2FEC"/>
    <w:rsid w:val="00DB3928"/>
    <w:rsid w:val="00DB434D"/>
    <w:rsid w:val="00DB4F19"/>
    <w:rsid w:val="00DB4F5D"/>
    <w:rsid w:val="00DB5128"/>
    <w:rsid w:val="00DB56F8"/>
    <w:rsid w:val="00DB5A89"/>
    <w:rsid w:val="00DB5AE5"/>
    <w:rsid w:val="00DB622E"/>
    <w:rsid w:val="00DB6C6E"/>
    <w:rsid w:val="00DB743F"/>
    <w:rsid w:val="00DB7705"/>
    <w:rsid w:val="00DB7771"/>
    <w:rsid w:val="00DB7BDB"/>
    <w:rsid w:val="00DC0447"/>
    <w:rsid w:val="00DC0821"/>
    <w:rsid w:val="00DC0931"/>
    <w:rsid w:val="00DC0DE7"/>
    <w:rsid w:val="00DC1985"/>
    <w:rsid w:val="00DC2555"/>
    <w:rsid w:val="00DC285F"/>
    <w:rsid w:val="00DC2CA8"/>
    <w:rsid w:val="00DC4C02"/>
    <w:rsid w:val="00DC52B2"/>
    <w:rsid w:val="00DC6923"/>
    <w:rsid w:val="00DC71BA"/>
    <w:rsid w:val="00DC7434"/>
    <w:rsid w:val="00DC7BC4"/>
    <w:rsid w:val="00DD05BD"/>
    <w:rsid w:val="00DD0D2F"/>
    <w:rsid w:val="00DD0F78"/>
    <w:rsid w:val="00DD163C"/>
    <w:rsid w:val="00DD1EF1"/>
    <w:rsid w:val="00DD5847"/>
    <w:rsid w:val="00DD5C23"/>
    <w:rsid w:val="00DD5CC0"/>
    <w:rsid w:val="00DD6287"/>
    <w:rsid w:val="00DD6485"/>
    <w:rsid w:val="00DD71B5"/>
    <w:rsid w:val="00DD7466"/>
    <w:rsid w:val="00DE1059"/>
    <w:rsid w:val="00DE13F8"/>
    <w:rsid w:val="00DE177F"/>
    <w:rsid w:val="00DE206B"/>
    <w:rsid w:val="00DE3867"/>
    <w:rsid w:val="00DE43A3"/>
    <w:rsid w:val="00DE4932"/>
    <w:rsid w:val="00DE517C"/>
    <w:rsid w:val="00DE6588"/>
    <w:rsid w:val="00DE679F"/>
    <w:rsid w:val="00DE76CA"/>
    <w:rsid w:val="00DF0220"/>
    <w:rsid w:val="00DF08B4"/>
    <w:rsid w:val="00DF0A9F"/>
    <w:rsid w:val="00DF1BB0"/>
    <w:rsid w:val="00DF1FD5"/>
    <w:rsid w:val="00DF2BF5"/>
    <w:rsid w:val="00DF35B2"/>
    <w:rsid w:val="00DF3828"/>
    <w:rsid w:val="00DF4F23"/>
    <w:rsid w:val="00DF5241"/>
    <w:rsid w:val="00DF5661"/>
    <w:rsid w:val="00DF566D"/>
    <w:rsid w:val="00DF5966"/>
    <w:rsid w:val="00DF6332"/>
    <w:rsid w:val="00DF6A08"/>
    <w:rsid w:val="00DF7008"/>
    <w:rsid w:val="00DF7E3E"/>
    <w:rsid w:val="00DF7FCA"/>
    <w:rsid w:val="00E00253"/>
    <w:rsid w:val="00E00959"/>
    <w:rsid w:val="00E01627"/>
    <w:rsid w:val="00E01827"/>
    <w:rsid w:val="00E0220A"/>
    <w:rsid w:val="00E029AF"/>
    <w:rsid w:val="00E030A5"/>
    <w:rsid w:val="00E03A95"/>
    <w:rsid w:val="00E03B91"/>
    <w:rsid w:val="00E045E6"/>
    <w:rsid w:val="00E05727"/>
    <w:rsid w:val="00E05C42"/>
    <w:rsid w:val="00E06684"/>
    <w:rsid w:val="00E070AB"/>
    <w:rsid w:val="00E0790F"/>
    <w:rsid w:val="00E07D3A"/>
    <w:rsid w:val="00E1034D"/>
    <w:rsid w:val="00E1043B"/>
    <w:rsid w:val="00E120D2"/>
    <w:rsid w:val="00E12B52"/>
    <w:rsid w:val="00E141FC"/>
    <w:rsid w:val="00E14F18"/>
    <w:rsid w:val="00E160E7"/>
    <w:rsid w:val="00E1674F"/>
    <w:rsid w:val="00E16EA5"/>
    <w:rsid w:val="00E170A1"/>
    <w:rsid w:val="00E171A1"/>
    <w:rsid w:val="00E178DF"/>
    <w:rsid w:val="00E17E73"/>
    <w:rsid w:val="00E208AE"/>
    <w:rsid w:val="00E20FD9"/>
    <w:rsid w:val="00E2172C"/>
    <w:rsid w:val="00E21944"/>
    <w:rsid w:val="00E21CE7"/>
    <w:rsid w:val="00E21F79"/>
    <w:rsid w:val="00E227CC"/>
    <w:rsid w:val="00E22E46"/>
    <w:rsid w:val="00E22ED5"/>
    <w:rsid w:val="00E23376"/>
    <w:rsid w:val="00E23A2B"/>
    <w:rsid w:val="00E23A7A"/>
    <w:rsid w:val="00E24251"/>
    <w:rsid w:val="00E242A7"/>
    <w:rsid w:val="00E252FB"/>
    <w:rsid w:val="00E257B9"/>
    <w:rsid w:val="00E25CA0"/>
    <w:rsid w:val="00E25CC8"/>
    <w:rsid w:val="00E262B8"/>
    <w:rsid w:val="00E26E44"/>
    <w:rsid w:val="00E26F3E"/>
    <w:rsid w:val="00E2704D"/>
    <w:rsid w:val="00E30982"/>
    <w:rsid w:val="00E31741"/>
    <w:rsid w:val="00E31809"/>
    <w:rsid w:val="00E3183A"/>
    <w:rsid w:val="00E31E58"/>
    <w:rsid w:val="00E31FBC"/>
    <w:rsid w:val="00E3251D"/>
    <w:rsid w:val="00E325C3"/>
    <w:rsid w:val="00E33179"/>
    <w:rsid w:val="00E334A4"/>
    <w:rsid w:val="00E33674"/>
    <w:rsid w:val="00E344DD"/>
    <w:rsid w:val="00E349CE"/>
    <w:rsid w:val="00E34B7E"/>
    <w:rsid w:val="00E36167"/>
    <w:rsid w:val="00E36841"/>
    <w:rsid w:val="00E37502"/>
    <w:rsid w:val="00E404DF"/>
    <w:rsid w:val="00E41894"/>
    <w:rsid w:val="00E432B7"/>
    <w:rsid w:val="00E433CA"/>
    <w:rsid w:val="00E43A8D"/>
    <w:rsid w:val="00E45145"/>
    <w:rsid w:val="00E455C1"/>
    <w:rsid w:val="00E4582F"/>
    <w:rsid w:val="00E47329"/>
    <w:rsid w:val="00E473BE"/>
    <w:rsid w:val="00E47D3B"/>
    <w:rsid w:val="00E50342"/>
    <w:rsid w:val="00E50C1D"/>
    <w:rsid w:val="00E5114D"/>
    <w:rsid w:val="00E512AE"/>
    <w:rsid w:val="00E5134D"/>
    <w:rsid w:val="00E51A47"/>
    <w:rsid w:val="00E51D62"/>
    <w:rsid w:val="00E52EE0"/>
    <w:rsid w:val="00E5354C"/>
    <w:rsid w:val="00E5364F"/>
    <w:rsid w:val="00E53F47"/>
    <w:rsid w:val="00E54347"/>
    <w:rsid w:val="00E5455B"/>
    <w:rsid w:val="00E54654"/>
    <w:rsid w:val="00E54C6A"/>
    <w:rsid w:val="00E54D0F"/>
    <w:rsid w:val="00E55452"/>
    <w:rsid w:val="00E558A3"/>
    <w:rsid w:val="00E56A44"/>
    <w:rsid w:val="00E57479"/>
    <w:rsid w:val="00E5786A"/>
    <w:rsid w:val="00E57D17"/>
    <w:rsid w:val="00E6009A"/>
    <w:rsid w:val="00E61145"/>
    <w:rsid w:val="00E618AF"/>
    <w:rsid w:val="00E61ED5"/>
    <w:rsid w:val="00E61F43"/>
    <w:rsid w:val="00E62CD6"/>
    <w:rsid w:val="00E65503"/>
    <w:rsid w:val="00E655C1"/>
    <w:rsid w:val="00E66574"/>
    <w:rsid w:val="00E66E13"/>
    <w:rsid w:val="00E70E77"/>
    <w:rsid w:val="00E72C22"/>
    <w:rsid w:val="00E73729"/>
    <w:rsid w:val="00E7485E"/>
    <w:rsid w:val="00E74DE6"/>
    <w:rsid w:val="00E75012"/>
    <w:rsid w:val="00E75923"/>
    <w:rsid w:val="00E75B3F"/>
    <w:rsid w:val="00E774F3"/>
    <w:rsid w:val="00E802E3"/>
    <w:rsid w:val="00E80320"/>
    <w:rsid w:val="00E803AF"/>
    <w:rsid w:val="00E80B76"/>
    <w:rsid w:val="00E81469"/>
    <w:rsid w:val="00E81D56"/>
    <w:rsid w:val="00E82659"/>
    <w:rsid w:val="00E837EF"/>
    <w:rsid w:val="00E83F04"/>
    <w:rsid w:val="00E85F0D"/>
    <w:rsid w:val="00E86E81"/>
    <w:rsid w:val="00E875EA"/>
    <w:rsid w:val="00E87678"/>
    <w:rsid w:val="00E87B61"/>
    <w:rsid w:val="00E87FE6"/>
    <w:rsid w:val="00E90A49"/>
    <w:rsid w:val="00E92EA0"/>
    <w:rsid w:val="00E943DF"/>
    <w:rsid w:val="00E94FAC"/>
    <w:rsid w:val="00E9673A"/>
    <w:rsid w:val="00E972D8"/>
    <w:rsid w:val="00E97787"/>
    <w:rsid w:val="00E97B3A"/>
    <w:rsid w:val="00EA0662"/>
    <w:rsid w:val="00EA18C1"/>
    <w:rsid w:val="00EA1FD8"/>
    <w:rsid w:val="00EA2255"/>
    <w:rsid w:val="00EA27E5"/>
    <w:rsid w:val="00EA2C00"/>
    <w:rsid w:val="00EA2CBF"/>
    <w:rsid w:val="00EA3209"/>
    <w:rsid w:val="00EA3630"/>
    <w:rsid w:val="00EA44B2"/>
    <w:rsid w:val="00EA44CA"/>
    <w:rsid w:val="00EA49CC"/>
    <w:rsid w:val="00EA5F4B"/>
    <w:rsid w:val="00EA6188"/>
    <w:rsid w:val="00EA653C"/>
    <w:rsid w:val="00EA6D14"/>
    <w:rsid w:val="00EA7BFC"/>
    <w:rsid w:val="00EB130F"/>
    <w:rsid w:val="00EB2239"/>
    <w:rsid w:val="00EB35CE"/>
    <w:rsid w:val="00EB366A"/>
    <w:rsid w:val="00EB3752"/>
    <w:rsid w:val="00EB3F1E"/>
    <w:rsid w:val="00EB417A"/>
    <w:rsid w:val="00EB4B5C"/>
    <w:rsid w:val="00EB5512"/>
    <w:rsid w:val="00EB5E3A"/>
    <w:rsid w:val="00EB60A4"/>
    <w:rsid w:val="00EB665D"/>
    <w:rsid w:val="00EB6A78"/>
    <w:rsid w:val="00EB72B2"/>
    <w:rsid w:val="00EB7979"/>
    <w:rsid w:val="00EC0039"/>
    <w:rsid w:val="00EC03DD"/>
    <w:rsid w:val="00EC0B11"/>
    <w:rsid w:val="00EC1005"/>
    <w:rsid w:val="00EC17E0"/>
    <w:rsid w:val="00EC2BD4"/>
    <w:rsid w:val="00EC2F53"/>
    <w:rsid w:val="00EC3284"/>
    <w:rsid w:val="00EC35AB"/>
    <w:rsid w:val="00EC3F0E"/>
    <w:rsid w:val="00EC4932"/>
    <w:rsid w:val="00EC5030"/>
    <w:rsid w:val="00EC5626"/>
    <w:rsid w:val="00EC56FE"/>
    <w:rsid w:val="00EC60AA"/>
    <w:rsid w:val="00EC64A1"/>
    <w:rsid w:val="00EC64A3"/>
    <w:rsid w:val="00EC6756"/>
    <w:rsid w:val="00ED0480"/>
    <w:rsid w:val="00ED476F"/>
    <w:rsid w:val="00ED4CE3"/>
    <w:rsid w:val="00ED5037"/>
    <w:rsid w:val="00ED5121"/>
    <w:rsid w:val="00ED5A7B"/>
    <w:rsid w:val="00ED5F60"/>
    <w:rsid w:val="00ED76F9"/>
    <w:rsid w:val="00ED79C7"/>
    <w:rsid w:val="00ED7C2F"/>
    <w:rsid w:val="00EE0096"/>
    <w:rsid w:val="00EE0A7C"/>
    <w:rsid w:val="00EE0C78"/>
    <w:rsid w:val="00EE2732"/>
    <w:rsid w:val="00EE33A4"/>
    <w:rsid w:val="00EE45CC"/>
    <w:rsid w:val="00EE5E55"/>
    <w:rsid w:val="00EE6A99"/>
    <w:rsid w:val="00EE79FC"/>
    <w:rsid w:val="00EF1094"/>
    <w:rsid w:val="00EF1379"/>
    <w:rsid w:val="00EF1739"/>
    <w:rsid w:val="00EF3153"/>
    <w:rsid w:val="00EF3280"/>
    <w:rsid w:val="00EF33E1"/>
    <w:rsid w:val="00EF36ED"/>
    <w:rsid w:val="00EF40A1"/>
    <w:rsid w:val="00EF5D6E"/>
    <w:rsid w:val="00EF6181"/>
    <w:rsid w:val="00EF66B4"/>
    <w:rsid w:val="00EF6B57"/>
    <w:rsid w:val="00EF6C36"/>
    <w:rsid w:val="00EF7332"/>
    <w:rsid w:val="00EF7EC1"/>
    <w:rsid w:val="00F002F2"/>
    <w:rsid w:val="00F009F1"/>
    <w:rsid w:val="00F01833"/>
    <w:rsid w:val="00F01BDD"/>
    <w:rsid w:val="00F07B6E"/>
    <w:rsid w:val="00F10C22"/>
    <w:rsid w:val="00F111EF"/>
    <w:rsid w:val="00F113B5"/>
    <w:rsid w:val="00F1165D"/>
    <w:rsid w:val="00F1297E"/>
    <w:rsid w:val="00F14560"/>
    <w:rsid w:val="00F14748"/>
    <w:rsid w:val="00F1540B"/>
    <w:rsid w:val="00F15B5F"/>
    <w:rsid w:val="00F16D5B"/>
    <w:rsid w:val="00F17458"/>
    <w:rsid w:val="00F1750F"/>
    <w:rsid w:val="00F201B0"/>
    <w:rsid w:val="00F20CBE"/>
    <w:rsid w:val="00F20E0E"/>
    <w:rsid w:val="00F2143C"/>
    <w:rsid w:val="00F21F19"/>
    <w:rsid w:val="00F232AA"/>
    <w:rsid w:val="00F2351A"/>
    <w:rsid w:val="00F243CA"/>
    <w:rsid w:val="00F24ED2"/>
    <w:rsid w:val="00F2617C"/>
    <w:rsid w:val="00F263C9"/>
    <w:rsid w:val="00F26A46"/>
    <w:rsid w:val="00F274F2"/>
    <w:rsid w:val="00F276C5"/>
    <w:rsid w:val="00F3096A"/>
    <w:rsid w:val="00F310DA"/>
    <w:rsid w:val="00F31DFA"/>
    <w:rsid w:val="00F3203E"/>
    <w:rsid w:val="00F325B7"/>
    <w:rsid w:val="00F32AE2"/>
    <w:rsid w:val="00F32B3F"/>
    <w:rsid w:val="00F32BB0"/>
    <w:rsid w:val="00F332CE"/>
    <w:rsid w:val="00F3380C"/>
    <w:rsid w:val="00F33D7B"/>
    <w:rsid w:val="00F34139"/>
    <w:rsid w:val="00F3413C"/>
    <w:rsid w:val="00F34C8A"/>
    <w:rsid w:val="00F35A56"/>
    <w:rsid w:val="00F367A5"/>
    <w:rsid w:val="00F40967"/>
    <w:rsid w:val="00F41D41"/>
    <w:rsid w:val="00F420CD"/>
    <w:rsid w:val="00F4456A"/>
    <w:rsid w:val="00F445A5"/>
    <w:rsid w:val="00F445FB"/>
    <w:rsid w:val="00F44B6F"/>
    <w:rsid w:val="00F44D7D"/>
    <w:rsid w:val="00F45221"/>
    <w:rsid w:val="00F47DDD"/>
    <w:rsid w:val="00F47ED1"/>
    <w:rsid w:val="00F502E0"/>
    <w:rsid w:val="00F5036D"/>
    <w:rsid w:val="00F5037B"/>
    <w:rsid w:val="00F506A5"/>
    <w:rsid w:val="00F509AE"/>
    <w:rsid w:val="00F5173D"/>
    <w:rsid w:val="00F52C22"/>
    <w:rsid w:val="00F536A4"/>
    <w:rsid w:val="00F54306"/>
    <w:rsid w:val="00F54755"/>
    <w:rsid w:val="00F54F9B"/>
    <w:rsid w:val="00F54FFC"/>
    <w:rsid w:val="00F55C3C"/>
    <w:rsid w:val="00F56550"/>
    <w:rsid w:val="00F57259"/>
    <w:rsid w:val="00F573ED"/>
    <w:rsid w:val="00F60167"/>
    <w:rsid w:val="00F60FCC"/>
    <w:rsid w:val="00F610EF"/>
    <w:rsid w:val="00F61752"/>
    <w:rsid w:val="00F61C62"/>
    <w:rsid w:val="00F61CEC"/>
    <w:rsid w:val="00F62120"/>
    <w:rsid w:val="00F6311F"/>
    <w:rsid w:val="00F6350C"/>
    <w:rsid w:val="00F63678"/>
    <w:rsid w:val="00F6394C"/>
    <w:rsid w:val="00F64B53"/>
    <w:rsid w:val="00F64CD1"/>
    <w:rsid w:val="00F6541D"/>
    <w:rsid w:val="00F6560B"/>
    <w:rsid w:val="00F656E5"/>
    <w:rsid w:val="00F65DE5"/>
    <w:rsid w:val="00F65E6E"/>
    <w:rsid w:val="00F66551"/>
    <w:rsid w:val="00F66C38"/>
    <w:rsid w:val="00F66D6A"/>
    <w:rsid w:val="00F66FE5"/>
    <w:rsid w:val="00F67469"/>
    <w:rsid w:val="00F67547"/>
    <w:rsid w:val="00F678FE"/>
    <w:rsid w:val="00F679C5"/>
    <w:rsid w:val="00F67C1B"/>
    <w:rsid w:val="00F70288"/>
    <w:rsid w:val="00F707AD"/>
    <w:rsid w:val="00F70877"/>
    <w:rsid w:val="00F70C5E"/>
    <w:rsid w:val="00F70DE0"/>
    <w:rsid w:val="00F71935"/>
    <w:rsid w:val="00F71D50"/>
    <w:rsid w:val="00F72564"/>
    <w:rsid w:val="00F72A09"/>
    <w:rsid w:val="00F7365C"/>
    <w:rsid w:val="00F73780"/>
    <w:rsid w:val="00F7387C"/>
    <w:rsid w:val="00F742CD"/>
    <w:rsid w:val="00F7472E"/>
    <w:rsid w:val="00F7492B"/>
    <w:rsid w:val="00F74C62"/>
    <w:rsid w:val="00F74E23"/>
    <w:rsid w:val="00F75063"/>
    <w:rsid w:val="00F75FDB"/>
    <w:rsid w:val="00F77A68"/>
    <w:rsid w:val="00F77FD2"/>
    <w:rsid w:val="00F81B57"/>
    <w:rsid w:val="00F82546"/>
    <w:rsid w:val="00F8347F"/>
    <w:rsid w:val="00F83868"/>
    <w:rsid w:val="00F83ABB"/>
    <w:rsid w:val="00F84433"/>
    <w:rsid w:val="00F84F41"/>
    <w:rsid w:val="00F852CB"/>
    <w:rsid w:val="00F855A9"/>
    <w:rsid w:val="00F85AAC"/>
    <w:rsid w:val="00F85B71"/>
    <w:rsid w:val="00F8704F"/>
    <w:rsid w:val="00F87884"/>
    <w:rsid w:val="00F87F1C"/>
    <w:rsid w:val="00F9075D"/>
    <w:rsid w:val="00F90B83"/>
    <w:rsid w:val="00F90B8C"/>
    <w:rsid w:val="00F91633"/>
    <w:rsid w:val="00F92596"/>
    <w:rsid w:val="00F92DE0"/>
    <w:rsid w:val="00F93A83"/>
    <w:rsid w:val="00F93E82"/>
    <w:rsid w:val="00F94CB5"/>
    <w:rsid w:val="00F94CF8"/>
    <w:rsid w:val="00F94D02"/>
    <w:rsid w:val="00F94F11"/>
    <w:rsid w:val="00F9670C"/>
    <w:rsid w:val="00F96C14"/>
    <w:rsid w:val="00F9747F"/>
    <w:rsid w:val="00F977E8"/>
    <w:rsid w:val="00FA0371"/>
    <w:rsid w:val="00FA0F48"/>
    <w:rsid w:val="00FA2FAF"/>
    <w:rsid w:val="00FA40FA"/>
    <w:rsid w:val="00FA451D"/>
    <w:rsid w:val="00FA4527"/>
    <w:rsid w:val="00FA5905"/>
    <w:rsid w:val="00FA6260"/>
    <w:rsid w:val="00FA6535"/>
    <w:rsid w:val="00FA69A7"/>
    <w:rsid w:val="00FA6A35"/>
    <w:rsid w:val="00FA720B"/>
    <w:rsid w:val="00FA737B"/>
    <w:rsid w:val="00FA77EC"/>
    <w:rsid w:val="00FA7C6E"/>
    <w:rsid w:val="00FA7FDF"/>
    <w:rsid w:val="00FB03E2"/>
    <w:rsid w:val="00FB226F"/>
    <w:rsid w:val="00FB31E7"/>
    <w:rsid w:val="00FB357F"/>
    <w:rsid w:val="00FB3859"/>
    <w:rsid w:val="00FB48B4"/>
    <w:rsid w:val="00FB544F"/>
    <w:rsid w:val="00FB69E5"/>
    <w:rsid w:val="00FB6DE6"/>
    <w:rsid w:val="00FB6F3E"/>
    <w:rsid w:val="00FC1E9A"/>
    <w:rsid w:val="00FC1EAE"/>
    <w:rsid w:val="00FC1FC2"/>
    <w:rsid w:val="00FC2317"/>
    <w:rsid w:val="00FC39C7"/>
    <w:rsid w:val="00FC6387"/>
    <w:rsid w:val="00FC6830"/>
    <w:rsid w:val="00FC6EE2"/>
    <w:rsid w:val="00FC715C"/>
    <w:rsid w:val="00FD0DF3"/>
    <w:rsid w:val="00FD0F22"/>
    <w:rsid w:val="00FD11AD"/>
    <w:rsid w:val="00FD147A"/>
    <w:rsid w:val="00FD2217"/>
    <w:rsid w:val="00FD28C3"/>
    <w:rsid w:val="00FD30CA"/>
    <w:rsid w:val="00FD3ACC"/>
    <w:rsid w:val="00FD41E0"/>
    <w:rsid w:val="00FD4DC6"/>
    <w:rsid w:val="00FD50A5"/>
    <w:rsid w:val="00FD5A81"/>
    <w:rsid w:val="00FD5B3A"/>
    <w:rsid w:val="00FD5B56"/>
    <w:rsid w:val="00FD65B2"/>
    <w:rsid w:val="00FD6DA0"/>
    <w:rsid w:val="00FD7689"/>
    <w:rsid w:val="00FE0181"/>
    <w:rsid w:val="00FE0958"/>
    <w:rsid w:val="00FE1147"/>
    <w:rsid w:val="00FE1602"/>
    <w:rsid w:val="00FE1AB7"/>
    <w:rsid w:val="00FE1DF5"/>
    <w:rsid w:val="00FE366B"/>
    <w:rsid w:val="00FE447C"/>
    <w:rsid w:val="00FE4EC6"/>
    <w:rsid w:val="00FE6691"/>
    <w:rsid w:val="00FE6E17"/>
    <w:rsid w:val="00FE6E90"/>
    <w:rsid w:val="00FE7A9F"/>
    <w:rsid w:val="00FE7CA4"/>
    <w:rsid w:val="00FF07F6"/>
    <w:rsid w:val="00FF1489"/>
    <w:rsid w:val="00FF1C3E"/>
    <w:rsid w:val="00FF274B"/>
    <w:rsid w:val="00FF3149"/>
    <w:rsid w:val="00FF3513"/>
    <w:rsid w:val="00FF3607"/>
    <w:rsid w:val="00FF363D"/>
    <w:rsid w:val="00FF3C7C"/>
    <w:rsid w:val="00FF562C"/>
    <w:rsid w:val="00FF5D3E"/>
    <w:rsid w:val="00FF6D4B"/>
    <w:rsid w:val="00FF75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EF6033"/>
  <w15:docId w15:val="{9B2D24C6-1FB3-439B-8D00-E2047A70C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2D39"/>
    <w:pPr>
      <w:tabs>
        <w:tab w:val="left" w:pos="720"/>
      </w:tabs>
      <w:spacing w:after="120" w:line="240" w:lineRule="auto"/>
      <w:jc w:val="both"/>
    </w:pPr>
    <w:rPr>
      <w:spacing w:val="-6"/>
      <w:sz w:val="20"/>
    </w:rPr>
  </w:style>
  <w:style w:type="paragraph" w:styleId="Heading1">
    <w:name w:val="heading 1"/>
    <w:basedOn w:val="Normal"/>
    <w:next w:val="ListParagraph"/>
    <w:link w:val="Heading1Char"/>
    <w:autoRedefine/>
    <w:uiPriority w:val="9"/>
    <w:qFormat/>
    <w:rsid w:val="00FA4527"/>
    <w:pPr>
      <w:keepNext/>
      <w:keepLines/>
      <w:pageBreakBefore/>
      <w:numPr>
        <w:numId w:val="1"/>
      </w:numPr>
      <w:spacing w:before="120"/>
      <w:ind w:left="714" w:hanging="357"/>
      <w:jc w:val="center"/>
      <w:outlineLvl w:val="0"/>
    </w:pPr>
    <w:rPr>
      <w:rFonts w:ascii="Segoe UI" w:eastAsiaTheme="majorEastAsia" w:hAnsi="Segoe UI" w:cstheme="majorBidi"/>
      <w:b/>
      <w:smallCaps/>
      <w:color w:val="222A35" w:themeColor="text2" w:themeShade="80"/>
      <w:sz w:val="28"/>
      <w:szCs w:val="32"/>
    </w:rPr>
  </w:style>
  <w:style w:type="paragraph" w:styleId="Heading2">
    <w:name w:val="heading 2"/>
    <w:basedOn w:val="Normal"/>
    <w:next w:val="ListParagraph"/>
    <w:link w:val="Heading2Char"/>
    <w:autoRedefine/>
    <w:uiPriority w:val="9"/>
    <w:unhideWhenUsed/>
    <w:qFormat/>
    <w:rsid w:val="001C7188"/>
    <w:pPr>
      <w:keepNext/>
      <w:keepLines/>
      <w:numPr>
        <w:numId w:val="2"/>
      </w:numPr>
      <w:spacing w:before="180" w:after="20" w:line="259" w:lineRule="auto"/>
      <w:outlineLvl w:val="1"/>
    </w:pPr>
    <w:rPr>
      <w:rFonts w:eastAsiaTheme="majorEastAsia" w:cstheme="majorBidi"/>
      <w:b/>
      <w:spacing w:val="-8"/>
      <w:sz w:val="26"/>
      <w:szCs w:val="26"/>
      <w:u w:val="single"/>
    </w:rPr>
  </w:style>
  <w:style w:type="paragraph" w:styleId="Heading3">
    <w:name w:val="heading 3"/>
    <w:basedOn w:val="Normal"/>
    <w:next w:val="Normal"/>
    <w:link w:val="Heading3Char"/>
    <w:autoRedefine/>
    <w:uiPriority w:val="9"/>
    <w:unhideWhenUsed/>
    <w:qFormat/>
    <w:rsid w:val="00EA653C"/>
    <w:pPr>
      <w:keepNext/>
      <w:keepLines/>
      <w:tabs>
        <w:tab w:val="left" w:pos="5230"/>
      </w:tabs>
      <w:spacing w:before="120" w:after="0"/>
      <w:ind w:left="624"/>
      <w:outlineLvl w:val="2"/>
    </w:pPr>
    <w:rPr>
      <w:b/>
      <w:spacing w:val="-8"/>
      <w:sz w:val="23"/>
      <w:u w:val="single"/>
    </w:rPr>
  </w:style>
  <w:style w:type="paragraph" w:styleId="Heading4">
    <w:name w:val="heading 4"/>
    <w:basedOn w:val="Normal"/>
    <w:next w:val="Normal"/>
    <w:link w:val="Heading4Char"/>
    <w:uiPriority w:val="9"/>
    <w:unhideWhenUsed/>
    <w:qFormat/>
    <w:rsid w:val="009D0801"/>
    <w:pPr>
      <w:keepNext/>
      <w:keepLines/>
      <w:spacing w:before="120" w:after="0"/>
      <w:ind w:left="680"/>
      <w:outlineLvl w:val="3"/>
    </w:pPr>
    <w:rPr>
      <w:rFonts w:eastAsiaTheme="majorEastAsia" w:cstheme="majorBidi"/>
      <w:b/>
      <w:iCs/>
      <w:sz w:val="21"/>
      <w:u w:val="single"/>
    </w:rPr>
  </w:style>
  <w:style w:type="paragraph" w:styleId="Heading5">
    <w:name w:val="heading 5"/>
    <w:basedOn w:val="Normal"/>
    <w:next w:val="Normal"/>
    <w:link w:val="Heading5Char"/>
    <w:uiPriority w:val="9"/>
    <w:semiHidden/>
    <w:unhideWhenUsed/>
    <w:qFormat/>
    <w:rsid w:val="001302F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4527"/>
    <w:rPr>
      <w:rFonts w:ascii="Segoe UI" w:eastAsiaTheme="majorEastAsia" w:hAnsi="Segoe UI" w:cstheme="majorBidi"/>
      <w:b/>
      <w:smallCaps/>
      <w:color w:val="222A35" w:themeColor="text2" w:themeShade="80"/>
      <w:spacing w:val="-6"/>
      <w:sz w:val="28"/>
      <w:szCs w:val="32"/>
    </w:rPr>
  </w:style>
  <w:style w:type="character" w:customStyle="1" w:styleId="Heading2Char">
    <w:name w:val="Heading 2 Char"/>
    <w:basedOn w:val="DefaultParagraphFont"/>
    <w:link w:val="Heading2"/>
    <w:uiPriority w:val="9"/>
    <w:rsid w:val="001C7188"/>
    <w:rPr>
      <w:rFonts w:eastAsiaTheme="majorEastAsia" w:cstheme="majorBidi"/>
      <w:b/>
      <w:spacing w:val="-8"/>
      <w:sz w:val="26"/>
      <w:szCs w:val="26"/>
      <w:u w:val="single"/>
    </w:rPr>
  </w:style>
  <w:style w:type="paragraph" w:styleId="ListParagraph">
    <w:name w:val="List Paragraph"/>
    <w:aliases w:val="titulo 5,MAPA,Viñeta,TITULO A,Cuadro 2-1,paul2,Iz - Párrafo de lista,Sivsa Parrafo,Titulo de Fígura,Fundamentacion,ct parrafo"/>
    <w:basedOn w:val="Normal"/>
    <w:link w:val="ListParagraphChar"/>
    <w:autoRedefine/>
    <w:uiPriority w:val="34"/>
    <w:qFormat/>
    <w:rsid w:val="0062492F"/>
    <w:pPr>
      <w:numPr>
        <w:numId w:val="8"/>
      </w:numPr>
      <w:spacing w:before="20" w:after="20"/>
      <w:jc w:val="left"/>
    </w:pPr>
  </w:style>
  <w:style w:type="character" w:styleId="LineNumber">
    <w:name w:val="line number"/>
    <w:basedOn w:val="DefaultParagraphFont"/>
    <w:uiPriority w:val="99"/>
    <w:semiHidden/>
    <w:unhideWhenUsed/>
    <w:rsid w:val="005A043B"/>
  </w:style>
  <w:style w:type="paragraph" w:styleId="TOC1">
    <w:name w:val="toc 1"/>
    <w:basedOn w:val="Normal"/>
    <w:next w:val="Normal"/>
    <w:autoRedefine/>
    <w:uiPriority w:val="39"/>
    <w:unhideWhenUsed/>
    <w:rsid w:val="00FB6F3E"/>
    <w:pPr>
      <w:tabs>
        <w:tab w:val="right" w:leader="dot" w:pos="9061"/>
      </w:tabs>
      <w:spacing w:before="120"/>
      <w:jc w:val="left"/>
    </w:pPr>
    <w:rPr>
      <w:rFonts w:cstheme="minorHAnsi"/>
      <w:b/>
      <w:bCs/>
      <w:caps/>
      <w:szCs w:val="20"/>
    </w:rPr>
  </w:style>
  <w:style w:type="paragraph" w:styleId="TOC2">
    <w:name w:val="toc 2"/>
    <w:basedOn w:val="Normal"/>
    <w:next w:val="Normal"/>
    <w:autoRedefine/>
    <w:uiPriority w:val="39"/>
    <w:unhideWhenUsed/>
    <w:rsid w:val="00324A5D"/>
    <w:pPr>
      <w:tabs>
        <w:tab w:val="right" w:leader="dot" w:pos="9061"/>
      </w:tabs>
      <w:spacing w:after="0"/>
      <w:ind w:left="200"/>
      <w:jc w:val="left"/>
    </w:pPr>
    <w:rPr>
      <w:rFonts w:cstheme="minorHAnsi"/>
      <w:smallCaps/>
      <w:szCs w:val="20"/>
    </w:rPr>
  </w:style>
  <w:style w:type="paragraph" w:styleId="TOC3">
    <w:name w:val="toc 3"/>
    <w:basedOn w:val="Normal"/>
    <w:next w:val="Normal"/>
    <w:autoRedefine/>
    <w:uiPriority w:val="39"/>
    <w:unhideWhenUsed/>
    <w:rsid w:val="00A32F1F"/>
    <w:pPr>
      <w:spacing w:after="0"/>
      <w:ind w:left="400"/>
      <w:jc w:val="left"/>
    </w:pPr>
    <w:rPr>
      <w:rFonts w:cstheme="minorHAnsi"/>
      <w:i/>
      <w:iCs/>
      <w:szCs w:val="20"/>
    </w:rPr>
  </w:style>
  <w:style w:type="paragraph" w:styleId="TOC4">
    <w:name w:val="toc 4"/>
    <w:basedOn w:val="Normal"/>
    <w:next w:val="Normal"/>
    <w:autoRedefine/>
    <w:uiPriority w:val="39"/>
    <w:unhideWhenUsed/>
    <w:rsid w:val="00A32F1F"/>
    <w:pPr>
      <w:spacing w:after="0"/>
      <w:ind w:left="600"/>
      <w:jc w:val="left"/>
    </w:pPr>
    <w:rPr>
      <w:rFonts w:cstheme="minorHAnsi"/>
      <w:sz w:val="18"/>
      <w:szCs w:val="18"/>
    </w:rPr>
  </w:style>
  <w:style w:type="paragraph" w:styleId="TOC5">
    <w:name w:val="toc 5"/>
    <w:basedOn w:val="Normal"/>
    <w:next w:val="Normal"/>
    <w:autoRedefine/>
    <w:uiPriority w:val="39"/>
    <w:unhideWhenUsed/>
    <w:rsid w:val="00A32F1F"/>
    <w:pPr>
      <w:spacing w:after="0"/>
      <w:ind w:left="800"/>
      <w:jc w:val="left"/>
    </w:pPr>
    <w:rPr>
      <w:rFonts w:cstheme="minorHAnsi"/>
      <w:sz w:val="18"/>
      <w:szCs w:val="18"/>
    </w:rPr>
  </w:style>
  <w:style w:type="paragraph" w:styleId="TOC6">
    <w:name w:val="toc 6"/>
    <w:basedOn w:val="Normal"/>
    <w:next w:val="Normal"/>
    <w:autoRedefine/>
    <w:uiPriority w:val="39"/>
    <w:unhideWhenUsed/>
    <w:rsid w:val="00A32F1F"/>
    <w:pPr>
      <w:spacing w:after="0"/>
      <w:ind w:left="1000"/>
      <w:jc w:val="left"/>
    </w:pPr>
    <w:rPr>
      <w:rFonts w:cstheme="minorHAnsi"/>
      <w:sz w:val="18"/>
      <w:szCs w:val="18"/>
    </w:rPr>
  </w:style>
  <w:style w:type="paragraph" w:styleId="TOC7">
    <w:name w:val="toc 7"/>
    <w:basedOn w:val="Normal"/>
    <w:next w:val="Normal"/>
    <w:autoRedefine/>
    <w:uiPriority w:val="39"/>
    <w:unhideWhenUsed/>
    <w:rsid w:val="00A32F1F"/>
    <w:pPr>
      <w:spacing w:after="0"/>
      <w:ind w:left="1200"/>
      <w:jc w:val="left"/>
    </w:pPr>
    <w:rPr>
      <w:rFonts w:cstheme="minorHAnsi"/>
      <w:sz w:val="18"/>
      <w:szCs w:val="18"/>
    </w:rPr>
  </w:style>
  <w:style w:type="paragraph" w:styleId="TOC8">
    <w:name w:val="toc 8"/>
    <w:basedOn w:val="Normal"/>
    <w:next w:val="Normal"/>
    <w:autoRedefine/>
    <w:uiPriority w:val="39"/>
    <w:unhideWhenUsed/>
    <w:rsid w:val="00A32F1F"/>
    <w:pPr>
      <w:spacing w:after="0"/>
      <w:ind w:left="1400"/>
      <w:jc w:val="left"/>
    </w:pPr>
    <w:rPr>
      <w:rFonts w:cstheme="minorHAnsi"/>
      <w:sz w:val="18"/>
      <w:szCs w:val="18"/>
    </w:rPr>
  </w:style>
  <w:style w:type="paragraph" w:styleId="TOC9">
    <w:name w:val="toc 9"/>
    <w:basedOn w:val="Normal"/>
    <w:next w:val="Normal"/>
    <w:autoRedefine/>
    <w:uiPriority w:val="39"/>
    <w:unhideWhenUsed/>
    <w:rsid w:val="00A32F1F"/>
    <w:pPr>
      <w:spacing w:after="0"/>
      <w:ind w:left="1600"/>
      <w:jc w:val="left"/>
    </w:pPr>
    <w:rPr>
      <w:rFonts w:cstheme="minorHAnsi"/>
      <w:sz w:val="18"/>
      <w:szCs w:val="18"/>
    </w:rPr>
  </w:style>
  <w:style w:type="character" w:styleId="Hyperlink">
    <w:name w:val="Hyperlink"/>
    <w:basedOn w:val="DefaultParagraphFont"/>
    <w:uiPriority w:val="99"/>
    <w:unhideWhenUsed/>
    <w:rsid w:val="00A32F1F"/>
    <w:rPr>
      <w:color w:val="0563C1" w:themeColor="hyperlink"/>
      <w:u w:val="single"/>
    </w:rPr>
  </w:style>
  <w:style w:type="paragraph" w:styleId="NormalWeb">
    <w:name w:val="Normal (Web)"/>
    <w:basedOn w:val="Normal"/>
    <w:uiPriority w:val="99"/>
    <w:unhideWhenUsed/>
    <w:rsid w:val="00C33AA4"/>
    <w:pPr>
      <w:spacing w:before="100" w:beforeAutospacing="1" w:after="100" w:afterAutospacing="1"/>
      <w:jc w:val="left"/>
    </w:pPr>
    <w:rPr>
      <w:rFonts w:ascii="Times New Roman" w:eastAsiaTheme="minorEastAsia" w:hAnsi="Times New Roman" w:cs="Times New Roman"/>
      <w:spacing w:val="0"/>
      <w:sz w:val="24"/>
      <w:szCs w:val="24"/>
      <w:lang w:eastAsia="es-EC"/>
    </w:rPr>
  </w:style>
  <w:style w:type="paragraph" w:styleId="Caption">
    <w:name w:val="caption"/>
    <w:basedOn w:val="Normal"/>
    <w:next w:val="Normal"/>
    <w:uiPriority w:val="35"/>
    <w:unhideWhenUsed/>
    <w:qFormat/>
    <w:rsid w:val="00F420CD"/>
    <w:pPr>
      <w:spacing w:after="200"/>
    </w:pPr>
    <w:rPr>
      <w:i/>
      <w:iCs/>
      <w:color w:val="44546A" w:themeColor="text2"/>
      <w:sz w:val="18"/>
      <w:szCs w:val="18"/>
    </w:rPr>
  </w:style>
  <w:style w:type="character" w:customStyle="1" w:styleId="Heading3Char">
    <w:name w:val="Heading 3 Char"/>
    <w:basedOn w:val="DefaultParagraphFont"/>
    <w:link w:val="Heading3"/>
    <w:uiPriority w:val="9"/>
    <w:rsid w:val="00EA653C"/>
    <w:rPr>
      <w:b/>
      <w:spacing w:val="-8"/>
      <w:sz w:val="23"/>
      <w:u w:val="single"/>
    </w:rPr>
  </w:style>
  <w:style w:type="paragraph" w:styleId="FootnoteText">
    <w:name w:val="footnote text"/>
    <w:aliases w:val="fn,footnote,ft,foottextfra,F,Texto nota pie IIRSA,Texto de rodapé,nota_rodapé,nota de rodapé,FOOTNOTES,single space,footnote text,Style 25,Texto nota piepddes Car Car,Texto nota piepddes Car,Footnote Text Char2,Footnote Text Char1 Char1,f"/>
    <w:basedOn w:val="Normal"/>
    <w:link w:val="FootnoteTextChar"/>
    <w:autoRedefine/>
    <w:uiPriority w:val="99"/>
    <w:unhideWhenUsed/>
    <w:qFormat/>
    <w:rsid w:val="008C42E1"/>
    <w:pPr>
      <w:spacing w:after="0"/>
      <w:ind w:left="170" w:hanging="170"/>
    </w:pPr>
    <w:rPr>
      <w:rFonts w:ascii="Arial" w:hAnsi="Arial"/>
      <w:sz w:val="17"/>
      <w:szCs w:val="20"/>
    </w:rPr>
  </w:style>
  <w:style w:type="character" w:customStyle="1" w:styleId="FootnoteTextChar">
    <w:name w:val="Footnote Text Char"/>
    <w:aliases w:val="fn Char,footnote Char,ft Char,foottextfra Char,F Char,Texto nota pie IIRSA Char,Texto de rodapé Char,nota_rodapé Char,nota de rodapé Char,FOOTNOTES Char,single space Char,footnote text Char,Style 25 Char,Texto nota piepddes Car Char"/>
    <w:basedOn w:val="DefaultParagraphFont"/>
    <w:link w:val="FootnoteText"/>
    <w:uiPriority w:val="99"/>
    <w:rsid w:val="008C42E1"/>
    <w:rPr>
      <w:rFonts w:ascii="Arial" w:hAnsi="Arial"/>
      <w:spacing w:val="-6"/>
      <w:sz w:val="17"/>
      <w:szCs w:val="20"/>
    </w:rPr>
  </w:style>
  <w:style w:type="character" w:styleId="FootnoteReference">
    <w:name w:val="footnote reference"/>
    <w:aliases w:val="titulo 2,Style 24,pie pddes,16 Point,Superscript 6 Point,FC,referencia nota al pie,ftref,Ref,de nota al pie,Ref. de nota al pie.,Fußnotenzeichen DISS,Footnote Referencefra,BVI fnr,Знак сноски 1,Footnotes refss,Texto de nota al pie,o"/>
    <w:basedOn w:val="DefaultParagraphFont"/>
    <w:link w:val="Char2"/>
    <w:uiPriority w:val="99"/>
    <w:unhideWhenUsed/>
    <w:qFormat/>
    <w:rsid w:val="004D1C1C"/>
    <w:rPr>
      <w:vertAlign w:val="superscript"/>
    </w:rPr>
  </w:style>
  <w:style w:type="paragraph" w:styleId="Title">
    <w:name w:val="Title"/>
    <w:basedOn w:val="Normal"/>
    <w:next w:val="Normal"/>
    <w:link w:val="TitleChar"/>
    <w:uiPriority w:val="10"/>
    <w:qFormat/>
    <w:rsid w:val="00F1165D"/>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165D"/>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AC1740"/>
    <w:rPr>
      <w:color w:val="954F72" w:themeColor="followedHyperlink"/>
      <w:u w:val="single"/>
    </w:rPr>
  </w:style>
  <w:style w:type="table" w:styleId="TableGrid">
    <w:name w:val="Table Grid"/>
    <w:aliases w:val="Estilo_C230 Consultores_1"/>
    <w:basedOn w:val="TableNormal"/>
    <w:uiPriority w:val="59"/>
    <w:rsid w:val="002B3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B3E2E"/>
    <w:pPr>
      <w:spacing w:after="0" w:line="240" w:lineRule="auto"/>
      <w:jc w:val="both"/>
    </w:pPr>
    <w:rPr>
      <w:spacing w:val="-2"/>
      <w:sz w:val="20"/>
    </w:rPr>
  </w:style>
  <w:style w:type="character" w:customStyle="1" w:styleId="ListParagraphChar">
    <w:name w:val="List Paragraph Char"/>
    <w:aliases w:val="titulo 5 Char,MAPA Char,Viñeta Char,TITULO A Char,Cuadro 2-1 Char,paul2 Char,Iz - Párrafo de lista Char,Sivsa Parrafo Char,Titulo de Fígura Char,Fundamentacion Char,ct parrafo Char"/>
    <w:link w:val="ListParagraph"/>
    <w:uiPriority w:val="34"/>
    <w:rsid w:val="0062492F"/>
    <w:rPr>
      <w:spacing w:val="-6"/>
      <w:sz w:val="20"/>
    </w:rPr>
  </w:style>
  <w:style w:type="paragraph" w:styleId="Header">
    <w:name w:val="header"/>
    <w:basedOn w:val="Normal"/>
    <w:link w:val="HeaderChar"/>
    <w:uiPriority w:val="99"/>
    <w:unhideWhenUsed/>
    <w:rsid w:val="003C4ADF"/>
    <w:pPr>
      <w:tabs>
        <w:tab w:val="center" w:pos="4252"/>
        <w:tab w:val="right" w:pos="8504"/>
      </w:tabs>
      <w:spacing w:after="0"/>
    </w:pPr>
  </w:style>
  <w:style w:type="character" w:customStyle="1" w:styleId="HeaderChar">
    <w:name w:val="Header Char"/>
    <w:basedOn w:val="DefaultParagraphFont"/>
    <w:link w:val="Header"/>
    <w:uiPriority w:val="99"/>
    <w:rsid w:val="003C4ADF"/>
    <w:rPr>
      <w:spacing w:val="-2"/>
      <w:sz w:val="20"/>
    </w:rPr>
  </w:style>
  <w:style w:type="paragraph" w:styleId="Footer">
    <w:name w:val="footer"/>
    <w:basedOn w:val="Normal"/>
    <w:link w:val="FooterChar"/>
    <w:uiPriority w:val="99"/>
    <w:unhideWhenUsed/>
    <w:rsid w:val="003C4ADF"/>
    <w:pPr>
      <w:tabs>
        <w:tab w:val="center" w:pos="4252"/>
        <w:tab w:val="right" w:pos="8504"/>
      </w:tabs>
      <w:spacing w:after="0"/>
    </w:pPr>
  </w:style>
  <w:style w:type="character" w:customStyle="1" w:styleId="FooterChar">
    <w:name w:val="Footer Char"/>
    <w:basedOn w:val="DefaultParagraphFont"/>
    <w:link w:val="Footer"/>
    <w:uiPriority w:val="99"/>
    <w:rsid w:val="003C4ADF"/>
    <w:rPr>
      <w:spacing w:val="-2"/>
      <w:sz w:val="20"/>
    </w:rPr>
  </w:style>
  <w:style w:type="paragraph" w:styleId="TableofFigures">
    <w:name w:val="table of figures"/>
    <w:basedOn w:val="Normal"/>
    <w:next w:val="Normal"/>
    <w:uiPriority w:val="99"/>
    <w:unhideWhenUsed/>
    <w:rsid w:val="00E87FE6"/>
    <w:pPr>
      <w:tabs>
        <w:tab w:val="clear" w:pos="720"/>
      </w:tabs>
      <w:spacing w:after="0"/>
      <w:ind w:left="400" w:hanging="400"/>
      <w:jc w:val="left"/>
    </w:pPr>
    <w:rPr>
      <w:rFonts w:cstheme="minorHAnsi"/>
      <w:smallCaps/>
      <w:szCs w:val="20"/>
    </w:rPr>
  </w:style>
  <w:style w:type="paragraph" w:customStyle="1" w:styleId="Style2">
    <w:name w:val="Style 2"/>
    <w:basedOn w:val="Normal"/>
    <w:rsid w:val="009D5D66"/>
    <w:pPr>
      <w:widowControl w:val="0"/>
      <w:autoSpaceDE w:val="0"/>
      <w:autoSpaceDN w:val="0"/>
      <w:spacing w:after="0"/>
    </w:pPr>
    <w:rPr>
      <w:rFonts w:ascii="Calibri" w:eastAsia="Times New Roman" w:hAnsi="Calibri" w:cs="Times New Roman"/>
      <w:spacing w:val="0"/>
      <w:sz w:val="22"/>
      <w:szCs w:val="24"/>
      <w:lang w:val="es-ES" w:eastAsia="es-ES"/>
    </w:rPr>
  </w:style>
  <w:style w:type="paragraph" w:styleId="BalloonText">
    <w:name w:val="Balloon Text"/>
    <w:basedOn w:val="Normal"/>
    <w:link w:val="BalloonTextChar"/>
    <w:uiPriority w:val="99"/>
    <w:semiHidden/>
    <w:unhideWhenUsed/>
    <w:rsid w:val="00D000E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00E4"/>
    <w:rPr>
      <w:rFonts w:ascii="Tahoma" w:hAnsi="Tahoma" w:cs="Tahoma"/>
      <w:spacing w:val="-2"/>
      <w:sz w:val="16"/>
      <w:szCs w:val="16"/>
    </w:rPr>
  </w:style>
  <w:style w:type="table" w:customStyle="1" w:styleId="Tabladecuadrcula6concolores1">
    <w:name w:val="Tabla de cuadrícula 6 con colores1"/>
    <w:basedOn w:val="TableNormal"/>
    <w:uiPriority w:val="51"/>
    <w:rsid w:val="004447D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Cuadrculadetablaclara1">
    <w:name w:val="Cuadrícula de tabla clara1"/>
    <w:basedOn w:val="TableNormal"/>
    <w:uiPriority w:val="40"/>
    <w:rsid w:val="004447D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4Char">
    <w:name w:val="Heading 4 Char"/>
    <w:basedOn w:val="DefaultParagraphFont"/>
    <w:link w:val="Heading4"/>
    <w:uiPriority w:val="9"/>
    <w:rsid w:val="009D0801"/>
    <w:rPr>
      <w:rFonts w:eastAsiaTheme="majorEastAsia" w:cstheme="majorBidi"/>
      <w:b/>
      <w:iCs/>
      <w:spacing w:val="-6"/>
      <w:sz w:val="21"/>
      <w:u w:val="single"/>
    </w:rPr>
  </w:style>
  <w:style w:type="table" w:customStyle="1" w:styleId="Tabladecuadrcula6concolores10">
    <w:name w:val="Tabla de cuadrícula 6 con colores1"/>
    <w:basedOn w:val="TableNormal"/>
    <w:uiPriority w:val="51"/>
    <w:rsid w:val="0004238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Cuadrculadetablaclara10">
    <w:name w:val="Cuadrícula de tabla clara1"/>
    <w:basedOn w:val="TableNormal"/>
    <w:uiPriority w:val="40"/>
    <w:rsid w:val="0004238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042385"/>
    <w:rPr>
      <w:sz w:val="16"/>
      <w:szCs w:val="16"/>
    </w:rPr>
  </w:style>
  <w:style w:type="paragraph" w:styleId="CommentText">
    <w:name w:val="annotation text"/>
    <w:basedOn w:val="Normal"/>
    <w:link w:val="CommentTextChar"/>
    <w:uiPriority w:val="99"/>
    <w:semiHidden/>
    <w:unhideWhenUsed/>
    <w:rsid w:val="00042385"/>
    <w:rPr>
      <w:szCs w:val="20"/>
    </w:rPr>
  </w:style>
  <w:style w:type="character" w:customStyle="1" w:styleId="CommentTextChar">
    <w:name w:val="Comment Text Char"/>
    <w:basedOn w:val="DefaultParagraphFont"/>
    <w:link w:val="CommentText"/>
    <w:uiPriority w:val="99"/>
    <w:semiHidden/>
    <w:rsid w:val="00042385"/>
    <w:rPr>
      <w:spacing w:val="-2"/>
      <w:sz w:val="20"/>
      <w:szCs w:val="20"/>
    </w:rPr>
  </w:style>
  <w:style w:type="paragraph" w:styleId="CommentSubject">
    <w:name w:val="annotation subject"/>
    <w:basedOn w:val="CommentText"/>
    <w:next w:val="CommentText"/>
    <w:link w:val="CommentSubjectChar"/>
    <w:uiPriority w:val="99"/>
    <w:semiHidden/>
    <w:unhideWhenUsed/>
    <w:rsid w:val="00042385"/>
    <w:rPr>
      <w:b/>
      <w:bCs/>
    </w:rPr>
  </w:style>
  <w:style w:type="character" w:customStyle="1" w:styleId="CommentSubjectChar">
    <w:name w:val="Comment Subject Char"/>
    <w:basedOn w:val="CommentTextChar"/>
    <w:link w:val="CommentSubject"/>
    <w:uiPriority w:val="99"/>
    <w:semiHidden/>
    <w:rsid w:val="00042385"/>
    <w:rPr>
      <w:b/>
      <w:bCs/>
      <w:spacing w:val="-2"/>
      <w:sz w:val="20"/>
      <w:szCs w:val="20"/>
    </w:rPr>
  </w:style>
  <w:style w:type="paragraph" w:styleId="Revision">
    <w:name w:val="Revision"/>
    <w:hidden/>
    <w:uiPriority w:val="99"/>
    <w:semiHidden/>
    <w:rsid w:val="00042385"/>
    <w:pPr>
      <w:spacing w:after="0" w:line="240" w:lineRule="auto"/>
    </w:pPr>
    <w:rPr>
      <w:spacing w:val="-2"/>
      <w:sz w:val="20"/>
    </w:rPr>
  </w:style>
  <w:style w:type="paragraph" w:customStyle="1" w:styleId="Default">
    <w:name w:val="Default"/>
    <w:rsid w:val="00234138"/>
    <w:pPr>
      <w:autoSpaceDE w:val="0"/>
      <w:autoSpaceDN w:val="0"/>
      <w:adjustRightInd w:val="0"/>
      <w:spacing w:after="0" w:line="240" w:lineRule="auto"/>
    </w:pPr>
    <w:rPr>
      <w:rFonts w:ascii="Segoe UI" w:hAnsi="Segoe UI" w:cs="Segoe UI"/>
      <w:color w:val="000000"/>
      <w:sz w:val="24"/>
      <w:szCs w:val="24"/>
    </w:rPr>
  </w:style>
  <w:style w:type="table" w:customStyle="1" w:styleId="Tablaconcuadrcula1">
    <w:name w:val="Tabla con cuadrícula1"/>
    <w:basedOn w:val="TableNormal"/>
    <w:next w:val="TableGrid"/>
    <w:uiPriority w:val="59"/>
    <w:rsid w:val="00993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1302F2"/>
    <w:rPr>
      <w:rFonts w:asciiTheme="majorHAnsi" w:eastAsiaTheme="majorEastAsia" w:hAnsiTheme="majorHAnsi" w:cstheme="majorBidi"/>
      <w:color w:val="2E74B5" w:themeColor="accent1" w:themeShade="BF"/>
      <w:spacing w:val="-2"/>
      <w:sz w:val="20"/>
    </w:rPr>
  </w:style>
  <w:style w:type="paragraph" w:customStyle="1" w:styleId="Estilo1">
    <w:name w:val="Estilo1"/>
    <w:basedOn w:val="ListParagraph"/>
    <w:link w:val="Estilo1Car"/>
    <w:autoRedefine/>
    <w:qFormat/>
    <w:rsid w:val="00C02EF4"/>
    <w:pPr>
      <w:numPr>
        <w:ilvl w:val="1"/>
        <w:numId w:val="7"/>
      </w:numPr>
      <w:tabs>
        <w:tab w:val="clear" w:pos="720"/>
      </w:tabs>
      <w:spacing w:before="0" w:after="100"/>
      <w:jc w:val="both"/>
    </w:pPr>
    <w:rPr>
      <w:lang w:val="es-ES"/>
    </w:rPr>
  </w:style>
  <w:style w:type="character" w:customStyle="1" w:styleId="Estilo1Car">
    <w:name w:val="Estilo1 Car"/>
    <w:basedOn w:val="DefaultParagraphFont"/>
    <w:link w:val="Estilo1"/>
    <w:rsid w:val="00C02EF4"/>
    <w:rPr>
      <w:spacing w:val="-6"/>
      <w:sz w:val="20"/>
      <w:lang w:val="es-ES"/>
    </w:rPr>
  </w:style>
  <w:style w:type="character" w:customStyle="1" w:styleId="Mencinsinresolver1">
    <w:name w:val="Mención sin resolver1"/>
    <w:basedOn w:val="DefaultParagraphFont"/>
    <w:uiPriority w:val="99"/>
    <w:semiHidden/>
    <w:unhideWhenUsed/>
    <w:rsid w:val="002359FB"/>
    <w:rPr>
      <w:color w:val="605E5C"/>
      <w:shd w:val="clear" w:color="auto" w:fill="E1DFDD"/>
    </w:rPr>
  </w:style>
  <w:style w:type="paragraph" w:customStyle="1" w:styleId="numeradorom">
    <w:name w:val="numerado rom"/>
    <w:basedOn w:val="Estilo1"/>
    <w:link w:val="numeradoromCar"/>
    <w:qFormat/>
    <w:rsid w:val="008B695D"/>
    <w:pPr>
      <w:numPr>
        <w:ilvl w:val="2"/>
        <w:numId w:val="10"/>
      </w:numPr>
      <w:spacing w:after="0"/>
    </w:pPr>
  </w:style>
  <w:style w:type="character" w:customStyle="1" w:styleId="numeradoromCar">
    <w:name w:val="numerado rom Car"/>
    <w:basedOn w:val="Estilo1Car"/>
    <w:link w:val="numeradorom"/>
    <w:rsid w:val="008B695D"/>
    <w:rPr>
      <w:spacing w:val="-6"/>
      <w:sz w:val="20"/>
      <w:lang w:val="es-ES"/>
    </w:rPr>
  </w:style>
  <w:style w:type="paragraph" w:customStyle="1" w:styleId="Chapter">
    <w:name w:val="Chapter"/>
    <w:basedOn w:val="Normal"/>
    <w:next w:val="Normal"/>
    <w:uiPriority w:val="99"/>
    <w:rsid w:val="004149BD"/>
    <w:pPr>
      <w:keepNext/>
      <w:numPr>
        <w:numId w:val="25"/>
      </w:numPr>
      <w:tabs>
        <w:tab w:val="clear" w:pos="720"/>
        <w:tab w:val="clear" w:pos="1800"/>
        <w:tab w:val="num" w:pos="648"/>
        <w:tab w:val="left" w:pos="1440"/>
      </w:tabs>
      <w:spacing w:before="240" w:after="240"/>
      <w:ind w:left="0"/>
      <w:jc w:val="center"/>
    </w:pPr>
    <w:rPr>
      <w:rFonts w:ascii="Times New Roman" w:eastAsia="Times New Roman" w:hAnsi="Times New Roman" w:cs="Times New Roman"/>
      <w:b/>
      <w:smallCaps/>
      <w:spacing w:val="0"/>
      <w:sz w:val="24"/>
      <w:szCs w:val="20"/>
      <w:lang w:val="es-ES"/>
    </w:rPr>
  </w:style>
  <w:style w:type="paragraph" w:customStyle="1" w:styleId="Paragraph">
    <w:name w:val="Paragraph"/>
    <w:aliases w:val="paragraph,p,PARAGRAPH,PG,pa,at"/>
    <w:basedOn w:val="BodyTextIndent"/>
    <w:link w:val="ParagraphChar"/>
    <w:qFormat/>
    <w:rsid w:val="004149BD"/>
    <w:pPr>
      <w:numPr>
        <w:ilvl w:val="1"/>
        <w:numId w:val="25"/>
      </w:numPr>
      <w:tabs>
        <w:tab w:val="clear" w:pos="720"/>
      </w:tabs>
      <w:spacing w:before="120"/>
      <w:outlineLvl w:val="1"/>
    </w:pPr>
    <w:rPr>
      <w:rFonts w:ascii="Times New Roman" w:eastAsia="Times New Roman" w:hAnsi="Times New Roman" w:cs="Times New Roman"/>
      <w:spacing w:val="0"/>
      <w:sz w:val="24"/>
      <w:szCs w:val="20"/>
      <w:lang w:val="es-ES"/>
    </w:rPr>
  </w:style>
  <w:style w:type="paragraph" w:customStyle="1" w:styleId="subpar">
    <w:name w:val="subpar"/>
    <w:basedOn w:val="BodyTextIndent3"/>
    <w:uiPriority w:val="99"/>
    <w:rsid w:val="004149BD"/>
    <w:pPr>
      <w:numPr>
        <w:ilvl w:val="2"/>
        <w:numId w:val="25"/>
      </w:numPr>
      <w:tabs>
        <w:tab w:val="clear" w:pos="720"/>
      </w:tabs>
      <w:spacing w:before="120"/>
      <w:outlineLvl w:val="2"/>
    </w:pPr>
    <w:rPr>
      <w:rFonts w:ascii="Times New Roman" w:eastAsia="Times New Roman" w:hAnsi="Times New Roman" w:cs="Times New Roman"/>
      <w:spacing w:val="0"/>
      <w:sz w:val="24"/>
      <w:szCs w:val="20"/>
      <w:lang w:val="es-ES_tradnl"/>
    </w:rPr>
  </w:style>
  <w:style w:type="paragraph" w:customStyle="1" w:styleId="SubSubPar">
    <w:name w:val="SubSubPar"/>
    <w:basedOn w:val="subpar"/>
    <w:rsid w:val="004149BD"/>
    <w:pPr>
      <w:numPr>
        <w:ilvl w:val="3"/>
      </w:numPr>
      <w:tabs>
        <w:tab w:val="clear" w:pos="2736"/>
        <w:tab w:val="left" w:pos="0"/>
        <w:tab w:val="num" w:pos="1296"/>
      </w:tabs>
      <w:ind w:left="1296" w:hanging="360"/>
    </w:pPr>
  </w:style>
  <w:style w:type="character" w:customStyle="1" w:styleId="ParagraphChar">
    <w:name w:val="Paragraph Char"/>
    <w:aliases w:val="p Char,PARAGRAPH Char,PG Char,pa Char,at Char,paragraph Char"/>
    <w:link w:val="Paragraph"/>
    <w:rsid w:val="004149BD"/>
    <w:rPr>
      <w:rFonts w:ascii="Times New Roman" w:eastAsia="Times New Roman" w:hAnsi="Times New Roman" w:cs="Times New Roman"/>
      <w:sz w:val="24"/>
      <w:szCs w:val="20"/>
      <w:lang w:val="es-ES"/>
    </w:rPr>
  </w:style>
  <w:style w:type="paragraph" w:customStyle="1" w:styleId="Char2">
    <w:name w:val="Char2"/>
    <w:basedOn w:val="Normal"/>
    <w:link w:val="FootnoteReference"/>
    <w:rsid w:val="004149BD"/>
    <w:pPr>
      <w:tabs>
        <w:tab w:val="clear" w:pos="720"/>
      </w:tabs>
      <w:spacing w:after="160" w:line="240" w:lineRule="exact"/>
      <w:jc w:val="left"/>
    </w:pPr>
    <w:rPr>
      <w:spacing w:val="0"/>
      <w:sz w:val="22"/>
      <w:vertAlign w:val="superscript"/>
    </w:rPr>
  </w:style>
  <w:style w:type="paragraph" w:styleId="BodyTextIndent">
    <w:name w:val="Body Text Indent"/>
    <w:basedOn w:val="Normal"/>
    <w:link w:val="BodyTextIndentChar"/>
    <w:uiPriority w:val="99"/>
    <w:semiHidden/>
    <w:unhideWhenUsed/>
    <w:rsid w:val="004149BD"/>
    <w:pPr>
      <w:ind w:left="360"/>
    </w:pPr>
  </w:style>
  <w:style w:type="character" w:customStyle="1" w:styleId="BodyTextIndentChar">
    <w:name w:val="Body Text Indent Char"/>
    <w:basedOn w:val="DefaultParagraphFont"/>
    <w:link w:val="BodyTextIndent"/>
    <w:uiPriority w:val="99"/>
    <w:semiHidden/>
    <w:rsid w:val="004149BD"/>
    <w:rPr>
      <w:spacing w:val="-6"/>
      <w:sz w:val="20"/>
    </w:rPr>
  </w:style>
  <w:style w:type="paragraph" w:styleId="BodyTextIndent3">
    <w:name w:val="Body Text Indent 3"/>
    <w:basedOn w:val="Normal"/>
    <w:link w:val="BodyTextIndent3Char"/>
    <w:uiPriority w:val="99"/>
    <w:semiHidden/>
    <w:unhideWhenUsed/>
    <w:rsid w:val="004149BD"/>
    <w:pPr>
      <w:ind w:left="360"/>
    </w:pPr>
    <w:rPr>
      <w:sz w:val="16"/>
      <w:szCs w:val="16"/>
    </w:rPr>
  </w:style>
  <w:style w:type="character" w:customStyle="1" w:styleId="BodyTextIndent3Char">
    <w:name w:val="Body Text Indent 3 Char"/>
    <w:basedOn w:val="DefaultParagraphFont"/>
    <w:link w:val="BodyTextIndent3"/>
    <w:uiPriority w:val="99"/>
    <w:semiHidden/>
    <w:rsid w:val="004149BD"/>
    <w:rPr>
      <w:spacing w:val="-6"/>
      <w:sz w:val="16"/>
      <w:szCs w:val="16"/>
    </w:rPr>
  </w:style>
  <w:style w:type="paragraph" w:styleId="BodyText">
    <w:name w:val="Body Text"/>
    <w:basedOn w:val="Normal"/>
    <w:link w:val="BodyTextChar"/>
    <w:uiPriority w:val="99"/>
    <w:semiHidden/>
    <w:unhideWhenUsed/>
    <w:rsid w:val="0048142F"/>
  </w:style>
  <w:style w:type="character" w:customStyle="1" w:styleId="BodyTextChar">
    <w:name w:val="Body Text Char"/>
    <w:basedOn w:val="DefaultParagraphFont"/>
    <w:link w:val="BodyText"/>
    <w:uiPriority w:val="99"/>
    <w:semiHidden/>
    <w:rsid w:val="0048142F"/>
    <w:rPr>
      <w:spacing w:val="-6"/>
      <w:sz w:val="20"/>
    </w:rPr>
  </w:style>
  <w:style w:type="table" w:styleId="PlainTable2">
    <w:name w:val="Plain Table 2"/>
    <w:basedOn w:val="TableNormal"/>
    <w:uiPriority w:val="42"/>
    <w:rsid w:val="00AF7CE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UnresolvedMention">
    <w:name w:val="Unresolved Mention"/>
    <w:basedOn w:val="DefaultParagraphFont"/>
    <w:uiPriority w:val="99"/>
    <w:semiHidden/>
    <w:unhideWhenUsed/>
    <w:rsid w:val="00100F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675906">
      <w:bodyDiv w:val="1"/>
      <w:marLeft w:val="0"/>
      <w:marRight w:val="0"/>
      <w:marTop w:val="0"/>
      <w:marBottom w:val="0"/>
      <w:divBdr>
        <w:top w:val="none" w:sz="0" w:space="0" w:color="auto"/>
        <w:left w:val="none" w:sz="0" w:space="0" w:color="auto"/>
        <w:bottom w:val="none" w:sz="0" w:space="0" w:color="auto"/>
        <w:right w:val="none" w:sz="0" w:space="0" w:color="auto"/>
      </w:divBdr>
    </w:div>
    <w:div w:id="684333220">
      <w:bodyDiv w:val="1"/>
      <w:marLeft w:val="0"/>
      <w:marRight w:val="0"/>
      <w:marTop w:val="0"/>
      <w:marBottom w:val="0"/>
      <w:divBdr>
        <w:top w:val="none" w:sz="0" w:space="0" w:color="auto"/>
        <w:left w:val="none" w:sz="0" w:space="0" w:color="auto"/>
        <w:bottom w:val="none" w:sz="0" w:space="0" w:color="auto"/>
        <w:right w:val="none" w:sz="0" w:space="0" w:color="auto"/>
      </w:divBdr>
    </w:div>
    <w:div w:id="830684312">
      <w:bodyDiv w:val="1"/>
      <w:marLeft w:val="0"/>
      <w:marRight w:val="0"/>
      <w:marTop w:val="0"/>
      <w:marBottom w:val="0"/>
      <w:divBdr>
        <w:top w:val="none" w:sz="0" w:space="0" w:color="auto"/>
        <w:left w:val="none" w:sz="0" w:space="0" w:color="auto"/>
        <w:bottom w:val="none" w:sz="0" w:space="0" w:color="auto"/>
        <w:right w:val="none" w:sz="0" w:space="0" w:color="auto"/>
      </w:divBdr>
    </w:div>
    <w:div w:id="1021593671">
      <w:bodyDiv w:val="1"/>
      <w:marLeft w:val="0"/>
      <w:marRight w:val="0"/>
      <w:marTop w:val="0"/>
      <w:marBottom w:val="0"/>
      <w:divBdr>
        <w:top w:val="none" w:sz="0" w:space="0" w:color="auto"/>
        <w:left w:val="none" w:sz="0" w:space="0" w:color="auto"/>
        <w:bottom w:val="none" w:sz="0" w:space="0" w:color="auto"/>
        <w:right w:val="none" w:sz="0" w:space="0" w:color="auto"/>
      </w:divBdr>
    </w:div>
    <w:div w:id="1136679654">
      <w:bodyDiv w:val="1"/>
      <w:marLeft w:val="0"/>
      <w:marRight w:val="0"/>
      <w:marTop w:val="0"/>
      <w:marBottom w:val="0"/>
      <w:divBdr>
        <w:top w:val="none" w:sz="0" w:space="0" w:color="auto"/>
        <w:left w:val="none" w:sz="0" w:space="0" w:color="auto"/>
        <w:bottom w:val="none" w:sz="0" w:space="0" w:color="auto"/>
        <w:right w:val="none" w:sz="0" w:space="0" w:color="auto"/>
      </w:divBdr>
    </w:div>
    <w:div w:id="1308436177">
      <w:bodyDiv w:val="1"/>
      <w:marLeft w:val="0"/>
      <w:marRight w:val="0"/>
      <w:marTop w:val="0"/>
      <w:marBottom w:val="0"/>
      <w:divBdr>
        <w:top w:val="none" w:sz="0" w:space="0" w:color="auto"/>
        <w:left w:val="none" w:sz="0" w:space="0" w:color="auto"/>
        <w:bottom w:val="none" w:sz="0" w:space="0" w:color="auto"/>
        <w:right w:val="none" w:sz="0" w:space="0" w:color="auto"/>
      </w:divBdr>
    </w:div>
    <w:div w:id="1326595094">
      <w:bodyDiv w:val="1"/>
      <w:marLeft w:val="0"/>
      <w:marRight w:val="0"/>
      <w:marTop w:val="0"/>
      <w:marBottom w:val="0"/>
      <w:divBdr>
        <w:top w:val="none" w:sz="0" w:space="0" w:color="auto"/>
        <w:left w:val="none" w:sz="0" w:space="0" w:color="auto"/>
        <w:bottom w:val="none" w:sz="0" w:space="0" w:color="auto"/>
        <w:right w:val="none" w:sz="0" w:space="0" w:color="auto"/>
      </w:divBdr>
    </w:div>
    <w:div w:id="1404110742">
      <w:bodyDiv w:val="1"/>
      <w:marLeft w:val="0"/>
      <w:marRight w:val="0"/>
      <w:marTop w:val="0"/>
      <w:marBottom w:val="0"/>
      <w:divBdr>
        <w:top w:val="none" w:sz="0" w:space="0" w:color="auto"/>
        <w:left w:val="none" w:sz="0" w:space="0" w:color="auto"/>
        <w:bottom w:val="none" w:sz="0" w:space="0" w:color="auto"/>
        <w:right w:val="none" w:sz="0" w:space="0" w:color="auto"/>
      </w:divBdr>
    </w:div>
    <w:div w:id="1537933800">
      <w:bodyDiv w:val="1"/>
      <w:marLeft w:val="0"/>
      <w:marRight w:val="0"/>
      <w:marTop w:val="0"/>
      <w:marBottom w:val="0"/>
      <w:divBdr>
        <w:top w:val="none" w:sz="0" w:space="0" w:color="auto"/>
        <w:left w:val="none" w:sz="0" w:space="0" w:color="auto"/>
        <w:bottom w:val="none" w:sz="0" w:space="0" w:color="auto"/>
        <w:right w:val="none" w:sz="0" w:space="0" w:color="auto"/>
      </w:divBdr>
    </w:div>
    <w:div w:id="1919057024">
      <w:bodyDiv w:val="1"/>
      <w:marLeft w:val="0"/>
      <w:marRight w:val="0"/>
      <w:marTop w:val="0"/>
      <w:marBottom w:val="0"/>
      <w:divBdr>
        <w:top w:val="none" w:sz="0" w:space="0" w:color="auto"/>
        <w:left w:val="none" w:sz="0" w:space="0" w:color="auto"/>
        <w:bottom w:val="none" w:sz="0" w:space="0" w:color="auto"/>
        <w:right w:val="none" w:sz="0" w:space="0" w:color="auto"/>
      </w:divBdr>
    </w:div>
    <w:div w:id="193829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idbdocs.iadb.org/wsdocs/getdocument.aspx?docnum=774399"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idbdocs.iadb.org/wsdocs/getdocument.aspx?docnum=774396"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iadb.org/procurement" TargetMode="External"/><Relationship Id="rId20" Type="http://schemas.openxmlformats.org/officeDocument/2006/relationships/hyperlink" Target="http://cecbidtoolkit.org/Uso-de-Sistema-de-Adquisiciones-Nacionales.php"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iadb.org/procurement"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www.iadb.org/es/adquisiciones-de-proyectos/documentos-estandar-de-adquisiciones-del-banco-interamericano-de-desarrollo,8183.html"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iadb.org/procurement" TargetMode="External"/><Relationship Id="rId22" Type="http://schemas.openxmlformats.org/officeDocument/2006/relationships/header" Target="header2.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iadb.org/es/adquisiciones-de-proyectos/adquisiciones-de-proyectos%2C8148.html" TargetMode="External"/><Relationship Id="rId2" Type="http://schemas.openxmlformats.org/officeDocument/2006/relationships/hyperlink" Target="https://www.iadb.org/es/adquisiciones-de-proyectos/adquisiciones-de-proyectos%2C8148.html" TargetMode="External"/><Relationship Id="rId1" Type="http://schemas.openxmlformats.org/officeDocument/2006/relationships/hyperlink" Target="https://www.iadb.org/es/adquisiciones-de-proyectos/adquisiciones-de-proyectos%2C8148.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Informes de Consultoría">
      <a:majorFont>
        <a:latin typeface="Segoe UI Semi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65ED1042DEEA64488ECB5F0046B8EA3" ma:contentTypeVersion="2686" ma:contentTypeDescription="A content type to manage public (operations) IDB documents" ma:contentTypeScope="" ma:versionID="4957a8ea04025407ec7aa33d7e4838c2">
  <xsd:schema xmlns:xsd="http://www.w3.org/2001/XMLSchema" xmlns:xs="http://www.w3.org/2001/XMLSchema" xmlns:p="http://schemas.microsoft.com/office/2006/metadata/properties" xmlns:ns2="cdc7663a-08f0-4737-9e8c-148ce897a09c" targetNamespace="http://schemas.microsoft.com/office/2006/metadata/properties" ma:root="true" ma:fieldsID="36732a318c86ba943dc8de26496fcd6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Gomez Reino, Juan Luis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AND PUBLIC SECTOR SUPPORT</TermName>
          <TermId xmlns="http://schemas.microsoft.com/office/infopath/2007/PartnerControls">6679f56e-8b55-402b-90a0-8fe4c41c00ba</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46</Value>
      <Value>45</Value>
      <Value>9</Value>
      <Value>32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EC-L1251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EZSHARE-1354788817-11</_dlc_DocId>
    <_dlc_DocIdUrl xmlns="cdc7663a-08f0-4737-9e8c-148ce897a09c">
      <Url>https://idbg.sharepoint.com/teams/EZ-EC-LON/EC-L1251/_layouts/15/DocIdRedir.aspx?ID=EZSHARE-1354788817-11</Url>
      <Description>EZSHARE-1354788817-11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ACF90-218F-410B-8930-789C1F7AF575}"/>
</file>

<file path=customXml/itemProps2.xml><?xml version="1.0" encoding="utf-8"?>
<ds:datastoreItem xmlns:ds="http://schemas.openxmlformats.org/officeDocument/2006/customXml" ds:itemID="{5AA05E69-DC5B-4ACF-8E9B-CE50469BCC72}"/>
</file>

<file path=customXml/itemProps3.xml><?xml version="1.0" encoding="utf-8"?>
<ds:datastoreItem xmlns:ds="http://schemas.openxmlformats.org/officeDocument/2006/customXml" ds:itemID="{76BCB032-14BB-48C6-AEFC-ECA50985ADED}">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4D813F86-D238-4584-A3D8-517F777DA8F8}"/>
</file>

<file path=customXml/itemProps5.xml><?xml version="1.0" encoding="utf-8"?>
<ds:datastoreItem xmlns:ds="http://schemas.openxmlformats.org/officeDocument/2006/customXml" ds:itemID="{B4198E1B-CDEB-4401-8AD2-2C4C1A94D7C3}">
  <ds:schemaRefs>
    <ds:schemaRef ds:uri="http://schemas.microsoft.com/sharepoint/v3/contenttype/forms"/>
  </ds:schemaRefs>
</ds:datastoreItem>
</file>

<file path=customXml/itemProps6.xml><?xml version="1.0" encoding="utf-8"?>
<ds:datastoreItem xmlns:ds="http://schemas.openxmlformats.org/officeDocument/2006/customXml" ds:itemID="{8BAFAA80-1C07-4EB9-9A4B-BF3D53C4C270}">
  <ds:schemaRefs>
    <ds:schemaRef ds:uri="http://schemas.microsoft.com/sharepoint/events"/>
  </ds:schemaRefs>
</ds:datastoreItem>
</file>

<file path=customXml/itemProps7.xml><?xml version="1.0" encoding="utf-8"?>
<ds:datastoreItem xmlns:ds="http://schemas.openxmlformats.org/officeDocument/2006/customXml" ds:itemID="{C3C86BC1-499F-4B3E-A335-B2895F922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32</Pages>
  <Words>14719</Words>
  <Characters>83899</Characters>
  <Application>Microsoft Office Word</Application>
  <DocSecurity>0</DocSecurity>
  <Lines>699</Lines>
  <Paragraphs>196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Unknown</Company>
  <LinksUpToDate>false</LinksUpToDate>
  <CharactersWithSpaces>98422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Francisco Bedoya</dc:creator>
  <cp:keywords/>
  <cp:lastModifiedBy>Champi Ticona, Diana Carla</cp:lastModifiedBy>
  <cp:revision>12</cp:revision>
  <cp:lastPrinted>2016-06-16T17:13:00Z</cp:lastPrinted>
  <dcterms:created xsi:type="dcterms:W3CDTF">2019-06-04T21:48:00Z</dcterms:created>
  <dcterms:modified xsi:type="dcterms:W3CDTF">2019-07-03T20:37:00Z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46;#REFORM AND PUBLIC SECTOR SUPPORT|6679f56e-8b55-402b-90a0-8fe4c41c00ba</vt:lpwstr>
  </property>
  <property fmtid="{D5CDD505-2E9C-101B-9397-08002B2CF9AE}" pid="7" name="Fund IDB">
    <vt:lpwstr/>
  </property>
  <property fmtid="{D5CDD505-2E9C-101B-9397-08002B2CF9AE}" pid="8" name="Country">
    <vt:lpwstr>32;#Ecuador|8f163189-00fa-4e7c-827d-28fb5798781c</vt:lpwstr>
  </property>
  <property fmtid="{D5CDD505-2E9C-101B-9397-08002B2CF9AE}" pid="9" name="Sector IDB">
    <vt:lpwstr>45;#REFORM / MODERNIZATION OF THE STATE|c8fda4a7-691a-4c65-b227-9825197b5cd2</vt:lpwstr>
  </property>
  <property fmtid="{D5CDD505-2E9C-101B-9397-08002B2CF9AE}" pid="10" name="Function Operations IDB">
    <vt:lpwstr>9;#Project Administration|751f71fd-1433-4702-a2db-ff12a4e45594</vt:lpwstr>
  </property>
  <property fmtid="{D5CDD505-2E9C-101B-9397-08002B2CF9AE}" pid="11" name="_dlc_DocIdItemGuid">
    <vt:lpwstr>0d364a69-e440-43b0-96f6-cca777df954b</vt:lpwstr>
  </property>
  <property fmtid="{D5CDD505-2E9C-101B-9397-08002B2CF9AE}" pid="12" name="Disclosure Activity">
    <vt:lpwstr>Electronic Links</vt:lpwstr>
  </property>
  <property fmtid="{D5CDD505-2E9C-101B-9397-08002B2CF9AE}" pid="13" name="ContentTypeId">
    <vt:lpwstr>0x0101001A458A224826124E8B45B1D613300CFC00965ED1042DEEA64488ECB5F0046B8EA3</vt:lpwstr>
  </property>
</Properties>
</file>