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1C61A" w14:textId="77777777" w:rsidR="006A5060" w:rsidRPr="00DD2307" w:rsidRDefault="006A5060" w:rsidP="008617A6">
      <w:pPr>
        <w:pStyle w:val="BlockText"/>
        <w:rPr>
          <w:rFonts w:ascii="Arial" w:hAnsi="Arial" w:cs="Arial"/>
          <w:i w:val="0"/>
          <w:sz w:val="24"/>
        </w:rPr>
      </w:pPr>
      <w:r w:rsidRPr="00DD2307">
        <w:rPr>
          <w:rFonts w:ascii="Arial" w:hAnsi="Arial" w:cs="Arial"/>
          <w:i w:val="0"/>
          <w:sz w:val="24"/>
        </w:rPr>
        <w:t>Documento del Banco Interamericano de Desarrollo</w:t>
      </w:r>
    </w:p>
    <w:p w14:paraId="10E9A858" w14:textId="77777777" w:rsidR="001B5186" w:rsidRPr="00DD2307" w:rsidRDefault="001B5186" w:rsidP="00C72A3F">
      <w:pPr>
        <w:pStyle w:val="Listavistosa-nfasis11"/>
        <w:ind w:left="1080"/>
        <w:jc w:val="center"/>
        <w:rPr>
          <w:rFonts w:ascii="Arial" w:hAnsi="Arial" w:cs="Arial"/>
          <w:b/>
          <w:lang w:val="es-ES"/>
        </w:rPr>
      </w:pPr>
    </w:p>
    <w:p w14:paraId="6EEBE3B9" w14:textId="77777777" w:rsidR="001B5186" w:rsidRPr="00DD2307" w:rsidRDefault="001B5186" w:rsidP="00C72A3F">
      <w:pPr>
        <w:tabs>
          <w:tab w:val="left" w:pos="1440"/>
          <w:tab w:val="left" w:pos="3060"/>
        </w:tabs>
        <w:jc w:val="center"/>
        <w:rPr>
          <w:rFonts w:ascii="Arial" w:hAnsi="Arial" w:cs="Arial"/>
          <w:b/>
          <w:smallCaps/>
          <w:sz w:val="22"/>
          <w:szCs w:val="22"/>
          <w:lang w:val="es-ES"/>
        </w:rPr>
      </w:pPr>
    </w:p>
    <w:p w14:paraId="6A8C3367" w14:textId="77777777" w:rsidR="001B5186" w:rsidRPr="00DD2307" w:rsidRDefault="001B5186" w:rsidP="00C72A3F">
      <w:pPr>
        <w:tabs>
          <w:tab w:val="left" w:pos="1440"/>
          <w:tab w:val="left" w:pos="3060"/>
        </w:tabs>
        <w:jc w:val="center"/>
        <w:rPr>
          <w:rFonts w:ascii="Arial" w:hAnsi="Arial" w:cs="Arial"/>
          <w:b/>
          <w:smallCaps/>
          <w:sz w:val="22"/>
          <w:szCs w:val="22"/>
          <w:lang w:val="es-ES"/>
        </w:rPr>
      </w:pPr>
    </w:p>
    <w:p w14:paraId="1F9CF8B8" w14:textId="77777777" w:rsidR="00DC4215" w:rsidRPr="00DD2307" w:rsidRDefault="00DC4215" w:rsidP="00C72A3F">
      <w:pPr>
        <w:tabs>
          <w:tab w:val="left" w:pos="1440"/>
          <w:tab w:val="left" w:pos="3060"/>
        </w:tabs>
        <w:jc w:val="center"/>
        <w:rPr>
          <w:rFonts w:ascii="Arial" w:hAnsi="Arial" w:cs="Arial"/>
          <w:b/>
          <w:smallCaps/>
          <w:sz w:val="22"/>
          <w:szCs w:val="22"/>
          <w:lang w:val="es-ES"/>
        </w:rPr>
      </w:pPr>
    </w:p>
    <w:p w14:paraId="63FE7FD0" w14:textId="77777777" w:rsidR="00DC4215" w:rsidRPr="00DD2307" w:rsidRDefault="00DC4215" w:rsidP="00C72A3F">
      <w:pPr>
        <w:tabs>
          <w:tab w:val="left" w:pos="1440"/>
          <w:tab w:val="left" w:pos="3060"/>
        </w:tabs>
        <w:jc w:val="center"/>
        <w:rPr>
          <w:rFonts w:ascii="Arial" w:hAnsi="Arial" w:cs="Arial"/>
          <w:b/>
          <w:smallCaps/>
          <w:sz w:val="22"/>
          <w:szCs w:val="22"/>
          <w:lang w:val="es-ES"/>
        </w:rPr>
      </w:pPr>
    </w:p>
    <w:p w14:paraId="357A27A7" w14:textId="77777777" w:rsidR="00DC4215" w:rsidRPr="00DD2307" w:rsidRDefault="00DC4215" w:rsidP="00C72A3F">
      <w:pPr>
        <w:tabs>
          <w:tab w:val="left" w:pos="1440"/>
          <w:tab w:val="left" w:pos="3060"/>
        </w:tabs>
        <w:jc w:val="center"/>
        <w:rPr>
          <w:rFonts w:ascii="Arial" w:hAnsi="Arial" w:cs="Arial"/>
          <w:b/>
          <w:smallCaps/>
          <w:sz w:val="22"/>
          <w:szCs w:val="22"/>
          <w:lang w:val="es-ES"/>
        </w:rPr>
      </w:pPr>
    </w:p>
    <w:p w14:paraId="2A500A62" w14:textId="77777777" w:rsidR="00DC4215" w:rsidRPr="00DD2307" w:rsidRDefault="00DC4215" w:rsidP="00C72A3F">
      <w:pPr>
        <w:tabs>
          <w:tab w:val="left" w:pos="1440"/>
          <w:tab w:val="left" w:pos="3060"/>
        </w:tabs>
        <w:jc w:val="center"/>
        <w:rPr>
          <w:rFonts w:ascii="Arial" w:hAnsi="Arial" w:cs="Arial"/>
          <w:b/>
          <w:smallCaps/>
          <w:sz w:val="22"/>
          <w:szCs w:val="22"/>
          <w:lang w:val="es-ES"/>
        </w:rPr>
      </w:pPr>
    </w:p>
    <w:p w14:paraId="5BAB2DD6" w14:textId="77777777" w:rsidR="00DC4215" w:rsidRPr="00DD2307" w:rsidRDefault="00DC4215" w:rsidP="00C72A3F">
      <w:pPr>
        <w:tabs>
          <w:tab w:val="left" w:pos="1440"/>
          <w:tab w:val="left" w:pos="3060"/>
        </w:tabs>
        <w:jc w:val="center"/>
        <w:rPr>
          <w:rFonts w:ascii="Arial" w:hAnsi="Arial" w:cs="Arial"/>
          <w:b/>
          <w:smallCaps/>
          <w:sz w:val="22"/>
          <w:szCs w:val="22"/>
          <w:lang w:val="es-ES"/>
        </w:rPr>
      </w:pPr>
    </w:p>
    <w:p w14:paraId="510A5B95" w14:textId="77777777" w:rsidR="00942B6B" w:rsidRPr="00DD2307" w:rsidRDefault="00942B6B" w:rsidP="00942B6B">
      <w:pPr>
        <w:spacing w:before="120" w:after="120"/>
        <w:jc w:val="center"/>
        <w:rPr>
          <w:rFonts w:ascii="Arial" w:hAnsi="Arial" w:cs="Arial"/>
          <w:b/>
          <w:smallCaps/>
          <w:lang w:val="es-ES"/>
        </w:rPr>
      </w:pPr>
      <w:r w:rsidRPr="00DD2307">
        <w:rPr>
          <w:rFonts w:ascii="Arial" w:hAnsi="Arial" w:cs="Arial"/>
          <w:b/>
          <w:smallCaps/>
          <w:lang w:val="es-ES"/>
        </w:rPr>
        <w:t>Ecuador</w:t>
      </w:r>
      <w:bookmarkStart w:id="0" w:name="_GoBack"/>
      <w:bookmarkEnd w:id="0"/>
    </w:p>
    <w:p w14:paraId="1568521A" w14:textId="77777777" w:rsidR="00942B6B" w:rsidRPr="00DD2307" w:rsidRDefault="00942B6B" w:rsidP="00942B6B">
      <w:pPr>
        <w:spacing w:before="120" w:after="120"/>
        <w:jc w:val="center"/>
        <w:rPr>
          <w:rFonts w:ascii="Arial" w:hAnsi="Arial" w:cs="Arial"/>
          <w:b/>
          <w:smallCaps/>
          <w:lang w:val="es-ES"/>
        </w:rPr>
      </w:pPr>
    </w:p>
    <w:p w14:paraId="5E22634B" w14:textId="77777777" w:rsidR="00942B6B" w:rsidRPr="00DD2307" w:rsidRDefault="00942B6B" w:rsidP="00942B6B">
      <w:pPr>
        <w:spacing w:before="120" w:after="120"/>
        <w:jc w:val="center"/>
        <w:rPr>
          <w:rFonts w:ascii="Arial" w:hAnsi="Arial" w:cs="Arial"/>
          <w:b/>
          <w:smallCaps/>
          <w:lang w:val="es-ES"/>
        </w:rPr>
      </w:pPr>
    </w:p>
    <w:p w14:paraId="684828C2" w14:textId="77777777" w:rsidR="00942B6B" w:rsidRPr="00DD2307" w:rsidRDefault="00942B6B" w:rsidP="00942B6B">
      <w:pPr>
        <w:spacing w:before="120" w:after="120"/>
        <w:jc w:val="center"/>
        <w:rPr>
          <w:rFonts w:ascii="Arial" w:hAnsi="Arial" w:cs="Arial"/>
          <w:b/>
          <w:smallCaps/>
          <w:lang w:val="es-ES"/>
        </w:rPr>
      </w:pPr>
    </w:p>
    <w:p w14:paraId="335085A0" w14:textId="77777777" w:rsidR="00942B6B" w:rsidRPr="00DD2307" w:rsidRDefault="00942B6B" w:rsidP="00942B6B">
      <w:pPr>
        <w:spacing w:before="120" w:after="120"/>
        <w:jc w:val="center"/>
        <w:rPr>
          <w:rFonts w:ascii="Arial" w:hAnsi="Arial" w:cs="Arial"/>
          <w:b/>
          <w:smallCaps/>
          <w:lang w:val="es-ES"/>
        </w:rPr>
      </w:pPr>
    </w:p>
    <w:p w14:paraId="33231B39" w14:textId="77777777" w:rsidR="00942B6B" w:rsidRPr="00DD2307" w:rsidRDefault="00942B6B" w:rsidP="00942B6B">
      <w:pPr>
        <w:spacing w:before="120" w:after="120"/>
        <w:jc w:val="center"/>
        <w:rPr>
          <w:rFonts w:ascii="Arial" w:hAnsi="Arial" w:cs="Arial"/>
          <w:b/>
          <w:smallCaps/>
          <w:lang w:val="es-ES"/>
        </w:rPr>
      </w:pPr>
      <w:bookmarkStart w:id="1" w:name="_Hlk518566162"/>
      <w:r w:rsidRPr="00DD2307">
        <w:rPr>
          <w:rFonts w:ascii="Arial" w:hAnsi="Arial" w:cs="Arial"/>
          <w:b/>
          <w:smallCaps/>
          <w:lang w:val="es-ES"/>
        </w:rPr>
        <w:t>Programa De Apoyo A La Reforma De Empresas Públicas</w:t>
      </w:r>
    </w:p>
    <w:bookmarkEnd w:id="1"/>
    <w:p w14:paraId="64D83A36" w14:textId="77777777" w:rsidR="00942B6B" w:rsidRPr="00DD2307" w:rsidRDefault="00942B6B" w:rsidP="00942B6B">
      <w:pPr>
        <w:spacing w:before="120" w:after="120"/>
        <w:jc w:val="center"/>
        <w:rPr>
          <w:rFonts w:ascii="Arial" w:hAnsi="Arial" w:cs="Arial"/>
          <w:lang w:val="es-ES"/>
        </w:rPr>
      </w:pPr>
      <w:r w:rsidRPr="00DD2307">
        <w:rPr>
          <w:rFonts w:ascii="Arial" w:hAnsi="Arial" w:cs="Arial"/>
          <w:b/>
          <w:smallCaps/>
          <w:lang w:val="es-ES"/>
        </w:rPr>
        <w:t>(EC-L1251)</w:t>
      </w:r>
    </w:p>
    <w:p w14:paraId="563E2805" w14:textId="77777777" w:rsidR="001B5186" w:rsidRPr="00DD2307" w:rsidRDefault="001B5186" w:rsidP="00C72A3F">
      <w:pPr>
        <w:pStyle w:val="Newpage"/>
        <w:rPr>
          <w:rFonts w:ascii="Arial" w:hAnsi="Arial"/>
          <w:b w:val="0"/>
          <w:caps/>
          <w:smallCaps w:val="0"/>
          <w:sz w:val="22"/>
          <w:szCs w:val="22"/>
          <w:lang w:val="es-ES"/>
        </w:rPr>
      </w:pPr>
    </w:p>
    <w:p w14:paraId="29923211" w14:textId="77777777" w:rsidR="00B4298D" w:rsidRPr="00DD2307" w:rsidRDefault="00B4298D" w:rsidP="00C72A3F">
      <w:pPr>
        <w:pStyle w:val="Newpage"/>
        <w:rPr>
          <w:rFonts w:ascii="Arial" w:hAnsi="Arial"/>
          <w:b w:val="0"/>
          <w:caps/>
          <w:smallCaps w:val="0"/>
          <w:sz w:val="22"/>
          <w:szCs w:val="22"/>
          <w:lang w:val="es-ES"/>
        </w:rPr>
      </w:pPr>
    </w:p>
    <w:p w14:paraId="68977F61" w14:textId="77777777" w:rsidR="00B4298D" w:rsidRPr="00DD2307" w:rsidRDefault="00B4298D" w:rsidP="00C72A3F">
      <w:pPr>
        <w:pStyle w:val="Newpage"/>
        <w:rPr>
          <w:rFonts w:ascii="Arial" w:hAnsi="Arial"/>
          <w:b w:val="0"/>
          <w:caps/>
          <w:smallCaps w:val="0"/>
          <w:sz w:val="22"/>
          <w:szCs w:val="22"/>
          <w:lang w:val="es-ES"/>
        </w:rPr>
      </w:pPr>
    </w:p>
    <w:p w14:paraId="16FE97D7" w14:textId="77777777" w:rsidR="00B4298D" w:rsidRPr="00DD2307" w:rsidRDefault="00B4298D" w:rsidP="00C72A3F">
      <w:pPr>
        <w:pStyle w:val="Newpage"/>
        <w:rPr>
          <w:rFonts w:ascii="Arial" w:hAnsi="Arial"/>
          <w:b w:val="0"/>
          <w:caps/>
          <w:smallCaps w:val="0"/>
          <w:sz w:val="22"/>
          <w:szCs w:val="22"/>
          <w:lang w:val="es-ES"/>
        </w:rPr>
      </w:pPr>
    </w:p>
    <w:p w14:paraId="4013C04A" w14:textId="77777777" w:rsidR="001B5186" w:rsidRPr="00DD2307" w:rsidRDefault="001B5186" w:rsidP="00C72A3F">
      <w:pPr>
        <w:tabs>
          <w:tab w:val="left" w:pos="1440"/>
          <w:tab w:val="left" w:pos="3060"/>
        </w:tabs>
        <w:jc w:val="center"/>
        <w:rPr>
          <w:rFonts w:ascii="Arial" w:hAnsi="Arial" w:cs="Arial"/>
          <w:smallCaps/>
          <w:sz w:val="22"/>
          <w:szCs w:val="22"/>
          <w:lang w:val="es-ES"/>
        </w:rPr>
      </w:pPr>
    </w:p>
    <w:p w14:paraId="50C49EAA" w14:textId="77777777" w:rsidR="00942B6B" w:rsidRPr="00DD2307" w:rsidRDefault="00942B6B" w:rsidP="00C72A3F">
      <w:pPr>
        <w:jc w:val="center"/>
        <w:rPr>
          <w:rFonts w:ascii="Arial" w:hAnsi="Arial" w:cs="Arial"/>
          <w:b/>
          <w:szCs w:val="24"/>
          <w:lang w:val="es-ES"/>
        </w:rPr>
      </w:pPr>
    </w:p>
    <w:p w14:paraId="2207BA0C" w14:textId="77777777" w:rsidR="00942B6B" w:rsidRPr="00DD2307" w:rsidRDefault="00942B6B" w:rsidP="00942B6B">
      <w:pPr>
        <w:tabs>
          <w:tab w:val="left" w:pos="1440"/>
          <w:tab w:val="left" w:pos="3060"/>
        </w:tabs>
        <w:spacing w:before="120" w:after="120"/>
        <w:jc w:val="center"/>
        <w:rPr>
          <w:rFonts w:ascii="Arial" w:hAnsi="Arial" w:cs="Arial"/>
          <w:b/>
          <w:smallCaps/>
          <w:lang w:val="es-ES"/>
        </w:rPr>
      </w:pPr>
      <w:r w:rsidRPr="00DD2307">
        <w:rPr>
          <w:rFonts w:ascii="Arial" w:hAnsi="Arial" w:cs="Arial"/>
          <w:b/>
          <w:smallCaps/>
          <w:lang w:val="es-ES"/>
        </w:rPr>
        <w:t>Plan de Monitoreo y Evaluación</w:t>
      </w:r>
    </w:p>
    <w:p w14:paraId="1D79337B" w14:textId="77777777" w:rsidR="001B5186" w:rsidRPr="00DD2307" w:rsidRDefault="001B5186" w:rsidP="00120AA6">
      <w:pPr>
        <w:pStyle w:val="Listavistosa-nfasis11"/>
        <w:ind w:left="1080"/>
        <w:jc w:val="both"/>
        <w:rPr>
          <w:rFonts w:ascii="Arial" w:hAnsi="Arial" w:cs="Arial"/>
          <w:b/>
          <w:smallCaps/>
          <w:lang w:val="es-ES"/>
        </w:rPr>
      </w:pPr>
    </w:p>
    <w:p w14:paraId="4DB8B659" w14:textId="77777777" w:rsidR="001B5186" w:rsidRPr="00DD2307" w:rsidRDefault="001B5186" w:rsidP="003070FB">
      <w:pPr>
        <w:pStyle w:val="Listavistosa-nfasis11"/>
        <w:ind w:left="1080"/>
        <w:jc w:val="both"/>
        <w:rPr>
          <w:rFonts w:ascii="Arial" w:hAnsi="Arial" w:cs="Arial"/>
          <w:b/>
          <w:lang w:val="es-ES"/>
        </w:rPr>
      </w:pPr>
    </w:p>
    <w:p w14:paraId="423844CE" w14:textId="77777777" w:rsidR="001B5186" w:rsidRPr="00DD2307" w:rsidRDefault="001B5186" w:rsidP="003070FB">
      <w:pPr>
        <w:pStyle w:val="Listavistosa-nfasis11"/>
        <w:ind w:left="1080"/>
        <w:jc w:val="both"/>
        <w:rPr>
          <w:rFonts w:ascii="Arial" w:hAnsi="Arial" w:cs="Arial"/>
          <w:b/>
          <w:lang w:val="es-ES"/>
        </w:rPr>
      </w:pPr>
    </w:p>
    <w:p w14:paraId="03B46FD3" w14:textId="77777777" w:rsidR="001B5186" w:rsidRPr="00DD2307" w:rsidRDefault="001B5186" w:rsidP="003070FB">
      <w:pPr>
        <w:pStyle w:val="Listavistosa-nfasis11"/>
        <w:ind w:left="1080"/>
        <w:jc w:val="both"/>
        <w:rPr>
          <w:rFonts w:ascii="Arial" w:hAnsi="Arial" w:cs="Arial"/>
          <w:b/>
          <w:lang w:val="es-ES"/>
        </w:rPr>
      </w:pPr>
    </w:p>
    <w:p w14:paraId="3C32B517" w14:textId="77777777" w:rsidR="001B5186" w:rsidRPr="00DD2307" w:rsidRDefault="001B5186" w:rsidP="003070FB">
      <w:pPr>
        <w:pStyle w:val="Listavistosa-nfasis11"/>
        <w:ind w:left="1080"/>
        <w:jc w:val="both"/>
        <w:rPr>
          <w:rFonts w:ascii="Arial" w:hAnsi="Arial" w:cs="Arial"/>
          <w:b/>
          <w:lang w:val="es-ES"/>
        </w:rPr>
      </w:pPr>
    </w:p>
    <w:p w14:paraId="0059F91E" w14:textId="77777777" w:rsidR="001B5186" w:rsidRPr="00DD2307" w:rsidRDefault="001B5186" w:rsidP="003070FB">
      <w:pPr>
        <w:pStyle w:val="Listavistosa-nfasis11"/>
        <w:ind w:left="1080"/>
        <w:jc w:val="both"/>
        <w:rPr>
          <w:rFonts w:ascii="Arial" w:hAnsi="Arial" w:cs="Arial"/>
          <w:b/>
          <w:lang w:val="es-ES"/>
        </w:rPr>
      </w:pPr>
    </w:p>
    <w:p w14:paraId="16B6AB80" w14:textId="77777777" w:rsidR="001B5186" w:rsidRPr="00DD2307" w:rsidRDefault="001B5186" w:rsidP="003070FB">
      <w:pPr>
        <w:pStyle w:val="Listavistosa-nfasis11"/>
        <w:ind w:left="1080"/>
        <w:jc w:val="both"/>
        <w:rPr>
          <w:rFonts w:ascii="Arial" w:hAnsi="Arial" w:cs="Arial"/>
          <w:b/>
          <w:lang w:val="es-ES"/>
        </w:rPr>
      </w:pPr>
    </w:p>
    <w:p w14:paraId="78DDF86F" w14:textId="77777777" w:rsidR="001B5186" w:rsidRPr="00DD2307" w:rsidRDefault="001B5186" w:rsidP="003070FB">
      <w:pPr>
        <w:pStyle w:val="Listavistosa-nfasis11"/>
        <w:ind w:left="1080"/>
        <w:jc w:val="both"/>
        <w:rPr>
          <w:rFonts w:ascii="Arial" w:hAnsi="Arial" w:cs="Arial"/>
          <w:b/>
          <w:lang w:val="es-ES"/>
        </w:rPr>
      </w:pPr>
    </w:p>
    <w:p w14:paraId="7690A59A" w14:textId="77777777" w:rsidR="005F31FE" w:rsidRPr="00DD2307" w:rsidRDefault="00322C9B" w:rsidP="003070F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DD2307">
        <w:rPr>
          <w:rFonts w:ascii="Arial" w:hAnsi="Arial" w:cs="Arial"/>
          <w:sz w:val="20"/>
        </w:rPr>
        <w:t xml:space="preserve">Este documento fue preparado por el equipo de proyecto integrado por: </w:t>
      </w:r>
      <w:r w:rsidRPr="00DD2307">
        <w:rPr>
          <w:rFonts w:ascii="Arial" w:eastAsia="Arial" w:hAnsi="Arial" w:cs="Arial"/>
          <w:sz w:val="20"/>
        </w:rPr>
        <w:t>Juan Luis Gómez (FMM/EC), jefe de equipo;</w:t>
      </w:r>
      <w:r w:rsidR="00942B6B" w:rsidRPr="00DD2307">
        <w:rPr>
          <w:rFonts w:ascii="Arial" w:eastAsia="Arial" w:hAnsi="Arial" w:cs="Arial"/>
          <w:sz w:val="20"/>
        </w:rPr>
        <w:t xml:space="preserve"> </w:t>
      </w:r>
      <w:r w:rsidR="00942B6B" w:rsidRPr="00DD2307">
        <w:rPr>
          <w:rFonts w:ascii="Arial" w:hAnsi="Arial" w:cs="Arial"/>
          <w:sz w:val="20"/>
          <w:szCs w:val="22"/>
        </w:rPr>
        <w:t>Ana Calvo (IFD/FMM) y</w:t>
      </w:r>
      <w:r w:rsidRPr="00DD2307">
        <w:rPr>
          <w:rFonts w:ascii="Arial" w:hAnsi="Arial" w:cs="Arial"/>
          <w:sz w:val="20"/>
          <w:szCs w:val="22"/>
        </w:rPr>
        <w:t xml:space="preserve"> </w:t>
      </w:r>
      <w:r w:rsidR="00942B6B" w:rsidRPr="00DD2307">
        <w:rPr>
          <w:rFonts w:ascii="Arial" w:hAnsi="Arial" w:cs="Arial"/>
          <w:sz w:val="20"/>
          <w:szCs w:val="22"/>
        </w:rPr>
        <w:t>María Cristhina Llerena Pinto (consultora).</w:t>
      </w:r>
    </w:p>
    <w:p w14:paraId="262DEAED" w14:textId="77777777" w:rsidR="00B87A39" w:rsidRPr="00DD2307" w:rsidRDefault="00B87A39" w:rsidP="003070FB">
      <w:pPr>
        <w:pStyle w:val="Listavistosa-nfasis11"/>
        <w:ind w:left="1080"/>
        <w:jc w:val="both"/>
        <w:rPr>
          <w:rFonts w:ascii="Arial" w:hAnsi="Arial" w:cs="Arial"/>
          <w:smallCaps/>
          <w:lang w:val="es-ES"/>
        </w:rPr>
      </w:pPr>
    </w:p>
    <w:p w14:paraId="4A9A41D1" w14:textId="77777777" w:rsidR="00B87A39" w:rsidRPr="00DD2307" w:rsidRDefault="00B87A39" w:rsidP="003070FB">
      <w:pPr>
        <w:pStyle w:val="Listavistosa-nfasis11"/>
        <w:ind w:left="1080"/>
        <w:jc w:val="both"/>
        <w:rPr>
          <w:rFonts w:ascii="Arial" w:hAnsi="Arial" w:cs="Arial"/>
          <w:smallCaps/>
          <w:lang w:val="es-ES"/>
        </w:rPr>
        <w:sectPr w:rsidR="00B87A39" w:rsidRPr="00DD2307" w:rsidSect="008C35AD">
          <w:headerReference w:type="default" r:id="rId14"/>
          <w:footerReference w:type="even" r:id="rId15"/>
          <w:footerReference w:type="default" r:id="rId16"/>
          <w:type w:val="continuous"/>
          <w:pgSz w:w="12240" w:h="15840" w:code="1"/>
          <w:pgMar w:top="720" w:right="1440" w:bottom="1440" w:left="720" w:header="720" w:footer="720" w:gutter="0"/>
          <w:cols w:space="720"/>
          <w:vAlign w:val="both"/>
          <w:docGrid w:linePitch="360"/>
        </w:sectPr>
      </w:pPr>
    </w:p>
    <w:p w14:paraId="1ADBBFDA" w14:textId="77777777" w:rsidR="00F94273" w:rsidRPr="00DD2307" w:rsidRDefault="00F94273" w:rsidP="003070FB">
      <w:pPr>
        <w:jc w:val="both"/>
        <w:rPr>
          <w:rFonts w:ascii="Arial" w:eastAsia="Calibri" w:hAnsi="Arial" w:cs="Arial"/>
          <w:spacing w:val="0"/>
          <w:sz w:val="22"/>
          <w:szCs w:val="22"/>
          <w:lang w:val="es-ES"/>
        </w:rPr>
      </w:pPr>
    </w:p>
    <w:p w14:paraId="7B5BC843" w14:textId="77777777" w:rsidR="00DA31DE" w:rsidRPr="00DD2307" w:rsidRDefault="00DA31DE" w:rsidP="003070FB">
      <w:pPr>
        <w:pStyle w:val="TOCHeading"/>
        <w:spacing w:before="0" w:line="240" w:lineRule="auto"/>
        <w:jc w:val="both"/>
        <w:rPr>
          <w:rFonts w:ascii="Arial" w:hAnsi="Arial" w:cs="Arial"/>
          <w:sz w:val="22"/>
          <w:szCs w:val="22"/>
          <w:lang w:val="es-ES"/>
        </w:rPr>
      </w:pPr>
    </w:p>
    <w:p w14:paraId="0B1EA9C7" w14:textId="77777777" w:rsidR="009935DA" w:rsidRPr="004B1FA3" w:rsidRDefault="009935DA" w:rsidP="009935DA">
      <w:pPr>
        <w:rPr>
          <w:rFonts w:ascii="Arial" w:hAnsi="Arial" w:cs="Arial"/>
          <w:b/>
          <w:sz w:val="22"/>
          <w:lang w:val="es-ES" w:eastAsia="es-AR"/>
        </w:rPr>
      </w:pPr>
      <w:r w:rsidRPr="004B1FA3">
        <w:rPr>
          <w:rFonts w:ascii="Arial" w:hAnsi="Arial" w:cs="Arial"/>
          <w:b/>
          <w:sz w:val="22"/>
          <w:lang w:val="es-ES" w:eastAsia="es-AR"/>
        </w:rPr>
        <w:t>Tabla de Contenido</w:t>
      </w:r>
    </w:p>
    <w:p w14:paraId="3263FF73" w14:textId="77777777" w:rsidR="009935DA" w:rsidRPr="004B1FA3" w:rsidRDefault="009935DA" w:rsidP="009935DA">
      <w:pPr>
        <w:rPr>
          <w:rFonts w:ascii="Arial" w:hAnsi="Arial" w:cs="Arial"/>
          <w:b/>
          <w:sz w:val="22"/>
          <w:lang w:val="es-ES" w:eastAsia="es-AR"/>
        </w:rPr>
      </w:pPr>
    </w:p>
    <w:p w14:paraId="414BB58B" w14:textId="77777777" w:rsidR="009935DA" w:rsidRPr="004B1FA3" w:rsidRDefault="009935DA" w:rsidP="009935DA">
      <w:pPr>
        <w:rPr>
          <w:rFonts w:ascii="Arial" w:hAnsi="Arial" w:cs="Arial"/>
          <w:b/>
          <w:color w:val="000000" w:themeColor="text1"/>
          <w:sz w:val="22"/>
          <w:lang w:val="es-ES" w:eastAsia="es-AR"/>
        </w:rPr>
      </w:pPr>
      <w:r w:rsidRPr="004B1FA3">
        <w:rPr>
          <w:rFonts w:ascii="Arial" w:hAnsi="Arial" w:cs="Arial"/>
          <w:b/>
          <w:color w:val="000000" w:themeColor="text1"/>
          <w:sz w:val="22"/>
          <w:lang w:val="es-ES" w:eastAsia="es-AR"/>
        </w:rPr>
        <w:t>I.</w:t>
      </w:r>
      <w:r w:rsidRPr="004B1FA3">
        <w:rPr>
          <w:rFonts w:ascii="Arial" w:hAnsi="Arial" w:cs="Arial"/>
          <w:b/>
          <w:color w:val="000000" w:themeColor="text1"/>
          <w:sz w:val="22"/>
          <w:lang w:val="es-ES" w:eastAsia="es-AR"/>
        </w:rPr>
        <w:tab/>
        <w:t>Introducción</w:t>
      </w:r>
    </w:p>
    <w:p w14:paraId="10807C60" w14:textId="77777777" w:rsidR="009935DA" w:rsidRPr="004B1FA3" w:rsidRDefault="009935DA" w:rsidP="009935DA">
      <w:pPr>
        <w:rPr>
          <w:rFonts w:ascii="Arial" w:hAnsi="Arial" w:cs="Arial"/>
          <w:b/>
          <w:color w:val="000000" w:themeColor="text1"/>
          <w:sz w:val="22"/>
          <w:lang w:val="es-ES" w:eastAsia="es-AR"/>
        </w:rPr>
      </w:pPr>
      <w:r w:rsidRPr="004B1FA3">
        <w:rPr>
          <w:rFonts w:ascii="Arial" w:hAnsi="Arial" w:cs="Arial"/>
          <w:b/>
          <w:color w:val="000000" w:themeColor="text1"/>
          <w:sz w:val="22"/>
          <w:lang w:val="es-ES" w:eastAsia="es-AR"/>
        </w:rPr>
        <w:t>II.</w:t>
      </w:r>
      <w:r w:rsidRPr="004B1FA3">
        <w:rPr>
          <w:rFonts w:ascii="Arial" w:hAnsi="Arial" w:cs="Arial"/>
          <w:b/>
          <w:color w:val="000000" w:themeColor="text1"/>
          <w:sz w:val="22"/>
          <w:lang w:val="es-ES" w:eastAsia="es-AR"/>
        </w:rPr>
        <w:tab/>
        <w:t>Monitoreo</w:t>
      </w:r>
    </w:p>
    <w:p w14:paraId="2C30316A"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A.</w:t>
      </w:r>
      <w:r w:rsidRPr="004B1FA3">
        <w:rPr>
          <w:rFonts w:ascii="Arial" w:hAnsi="Arial" w:cs="Arial"/>
          <w:color w:val="000000" w:themeColor="text1"/>
          <w:sz w:val="22"/>
          <w:lang w:val="es-ES" w:eastAsia="es-AR"/>
        </w:rPr>
        <w:tab/>
        <w:t>Indicadores</w:t>
      </w:r>
    </w:p>
    <w:p w14:paraId="4FE46E5F"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B.</w:t>
      </w:r>
      <w:r w:rsidRPr="004B1FA3">
        <w:rPr>
          <w:rFonts w:ascii="Arial" w:hAnsi="Arial" w:cs="Arial"/>
          <w:color w:val="000000" w:themeColor="text1"/>
          <w:sz w:val="22"/>
          <w:lang w:val="es-ES" w:eastAsia="es-AR"/>
        </w:rPr>
        <w:tab/>
        <w:t>Instrumentos para el Monitoreo de los indicadores y recopilación de datos</w:t>
      </w:r>
    </w:p>
    <w:p w14:paraId="096B1B91"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C.</w:t>
      </w:r>
      <w:r w:rsidRPr="004B1FA3">
        <w:rPr>
          <w:rFonts w:ascii="Arial" w:hAnsi="Arial" w:cs="Arial"/>
          <w:color w:val="000000" w:themeColor="text1"/>
          <w:sz w:val="22"/>
          <w:lang w:val="es-ES" w:eastAsia="es-AR"/>
        </w:rPr>
        <w:tab/>
        <w:t>Presentación de informes de monitoreo</w:t>
      </w:r>
    </w:p>
    <w:p w14:paraId="6D0D301D"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D.</w:t>
      </w:r>
      <w:r w:rsidRPr="004B1FA3">
        <w:rPr>
          <w:rFonts w:ascii="Arial" w:hAnsi="Arial" w:cs="Arial"/>
          <w:color w:val="000000" w:themeColor="text1"/>
          <w:sz w:val="22"/>
          <w:lang w:val="es-ES" w:eastAsia="es-AR"/>
        </w:rPr>
        <w:tab/>
        <w:t>Coordinación, Plan de trabajo y presupuesto del Monitoreo</w:t>
      </w:r>
    </w:p>
    <w:p w14:paraId="2DFBA958" w14:textId="77777777" w:rsidR="009935DA" w:rsidRPr="004B1FA3" w:rsidRDefault="009935DA" w:rsidP="009935DA">
      <w:pPr>
        <w:rPr>
          <w:rFonts w:ascii="Arial" w:hAnsi="Arial" w:cs="Arial"/>
          <w:b/>
          <w:color w:val="000000" w:themeColor="text1"/>
          <w:sz w:val="22"/>
          <w:lang w:val="es-ES" w:eastAsia="es-AR"/>
        </w:rPr>
      </w:pPr>
      <w:r w:rsidRPr="004B1FA3">
        <w:rPr>
          <w:rFonts w:ascii="Arial" w:hAnsi="Arial" w:cs="Arial"/>
          <w:b/>
          <w:color w:val="000000" w:themeColor="text1"/>
          <w:sz w:val="22"/>
          <w:lang w:val="es-ES" w:eastAsia="es-AR"/>
        </w:rPr>
        <w:t>III.</w:t>
      </w:r>
      <w:r w:rsidRPr="004B1FA3">
        <w:rPr>
          <w:rFonts w:ascii="Arial" w:hAnsi="Arial" w:cs="Arial"/>
          <w:b/>
          <w:color w:val="000000" w:themeColor="text1"/>
          <w:sz w:val="22"/>
          <w:lang w:val="es-ES" w:eastAsia="es-AR"/>
        </w:rPr>
        <w:tab/>
        <w:t>Evaluación</w:t>
      </w:r>
    </w:p>
    <w:p w14:paraId="2A9C6285"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A.</w:t>
      </w:r>
      <w:r w:rsidRPr="004B1FA3">
        <w:rPr>
          <w:rFonts w:ascii="Arial" w:hAnsi="Arial" w:cs="Arial"/>
          <w:color w:val="000000" w:themeColor="text1"/>
          <w:sz w:val="22"/>
          <w:lang w:val="es-ES" w:eastAsia="es-AR"/>
        </w:rPr>
        <w:tab/>
        <w:t>Metodología de Evaluación de Resultados</w:t>
      </w:r>
    </w:p>
    <w:p w14:paraId="4C7C6214"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B.</w:t>
      </w:r>
      <w:r w:rsidRPr="004B1FA3">
        <w:rPr>
          <w:rFonts w:ascii="Arial" w:hAnsi="Arial" w:cs="Arial"/>
          <w:color w:val="000000" w:themeColor="text1"/>
          <w:sz w:val="22"/>
          <w:lang w:val="es-ES" w:eastAsia="es-AR"/>
        </w:rPr>
        <w:tab/>
        <w:t>Evaluación Económica Ex ante y Ex post</w:t>
      </w:r>
    </w:p>
    <w:p w14:paraId="5ACB8A55" w14:textId="77777777" w:rsidR="009935DA" w:rsidRPr="004B1FA3" w:rsidRDefault="009935DA" w:rsidP="009935DA">
      <w:pPr>
        <w:ind w:firstLine="720"/>
        <w:rPr>
          <w:rFonts w:ascii="Arial" w:hAnsi="Arial" w:cs="Arial"/>
          <w:color w:val="000000" w:themeColor="text1"/>
          <w:sz w:val="22"/>
          <w:lang w:val="es-ES" w:eastAsia="es-AR"/>
        </w:rPr>
      </w:pPr>
      <w:r w:rsidRPr="004B1FA3">
        <w:rPr>
          <w:rFonts w:ascii="Arial" w:hAnsi="Arial" w:cs="Arial"/>
          <w:color w:val="000000" w:themeColor="text1"/>
          <w:sz w:val="22"/>
          <w:lang w:val="es-ES" w:eastAsia="es-AR"/>
        </w:rPr>
        <w:t>C.</w:t>
      </w:r>
      <w:r w:rsidRPr="004B1FA3">
        <w:rPr>
          <w:rFonts w:ascii="Arial" w:hAnsi="Arial" w:cs="Arial"/>
          <w:color w:val="000000" w:themeColor="text1"/>
          <w:sz w:val="22"/>
          <w:lang w:val="es-ES" w:eastAsia="es-AR"/>
        </w:rPr>
        <w:tab/>
        <w:t xml:space="preserve">Evaluación </w:t>
      </w:r>
      <w:r w:rsidR="00DD2307" w:rsidRPr="004B1FA3">
        <w:rPr>
          <w:rFonts w:ascii="Arial" w:hAnsi="Arial" w:cs="Arial"/>
          <w:color w:val="000000" w:themeColor="text1"/>
          <w:sz w:val="22"/>
          <w:lang w:val="es-ES" w:eastAsia="es-AR"/>
        </w:rPr>
        <w:t>Antes y Después</w:t>
      </w:r>
    </w:p>
    <w:p w14:paraId="4D86BC64" w14:textId="77777777" w:rsidR="009935DA" w:rsidRPr="004B1FA3" w:rsidRDefault="009935DA" w:rsidP="009935DA">
      <w:pPr>
        <w:rPr>
          <w:rFonts w:ascii="Arial" w:hAnsi="Arial" w:cs="Arial"/>
          <w:b/>
          <w:color w:val="000000" w:themeColor="text1"/>
          <w:sz w:val="22"/>
          <w:lang w:val="es-ES" w:eastAsia="es-AR"/>
        </w:rPr>
      </w:pPr>
      <w:r w:rsidRPr="004B1FA3">
        <w:rPr>
          <w:rFonts w:ascii="Arial" w:hAnsi="Arial" w:cs="Arial"/>
          <w:b/>
          <w:color w:val="000000" w:themeColor="text1"/>
          <w:sz w:val="22"/>
          <w:lang w:val="es-ES" w:eastAsia="es-AR"/>
        </w:rPr>
        <w:t>IV.</w:t>
      </w:r>
      <w:r w:rsidRPr="004B1FA3">
        <w:rPr>
          <w:rFonts w:ascii="Arial" w:hAnsi="Arial" w:cs="Arial"/>
          <w:b/>
          <w:color w:val="000000" w:themeColor="text1"/>
          <w:sz w:val="22"/>
          <w:lang w:val="es-ES" w:eastAsia="es-AR"/>
        </w:rPr>
        <w:tab/>
        <w:t>Auditorias</w:t>
      </w:r>
    </w:p>
    <w:p w14:paraId="44F6162E" w14:textId="77777777" w:rsidR="00A04E86" w:rsidRPr="004B1FA3" w:rsidRDefault="009935DA" w:rsidP="009935DA">
      <w:pPr>
        <w:rPr>
          <w:rFonts w:ascii="Arial" w:hAnsi="Arial" w:cs="Arial"/>
          <w:b/>
          <w:color w:val="000000" w:themeColor="text1"/>
          <w:sz w:val="22"/>
          <w:lang w:val="es-ES" w:eastAsia="es-AR"/>
        </w:rPr>
      </w:pPr>
      <w:r w:rsidRPr="004B1FA3">
        <w:rPr>
          <w:rFonts w:ascii="Arial" w:hAnsi="Arial" w:cs="Arial"/>
          <w:b/>
          <w:color w:val="000000" w:themeColor="text1"/>
          <w:sz w:val="22"/>
          <w:lang w:val="es-ES" w:eastAsia="es-AR"/>
        </w:rPr>
        <w:t>V.</w:t>
      </w:r>
      <w:r w:rsidRPr="004B1FA3">
        <w:rPr>
          <w:rFonts w:ascii="Arial" w:hAnsi="Arial" w:cs="Arial"/>
          <w:b/>
          <w:color w:val="000000" w:themeColor="text1"/>
          <w:sz w:val="22"/>
          <w:lang w:val="es-ES" w:eastAsia="es-AR"/>
        </w:rPr>
        <w:tab/>
        <w:t>Anexos</w:t>
      </w:r>
    </w:p>
    <w:p w14:paraId="2FBDB1FD" w14:textId="77777777" w:rsidR="00A04E86" w:rsidRPr="00DD2307" w:rsidRDefault="00A04E86" w:rsidP="00A04E86">
      <w:pPr>
        <w:rPr>
          <w:rFonts w:ascii="Arial" w:hAnsi="Arial" w:cs="Arial"/>
          <w:color w:val="000000" w:themeColor="text1"/>
          <w:lang w:val="es-ES" w:eastAsia="es-AR"/>
        </w:rPr>
      </w:pPr>
    </w:p>
    <w:p w14:paraId="1B61F122" w14:textId="77777777" w:rsidR="00A04E86" w:rsidRPr="00DD2307" w:rsidRDefault="00A04E86" w:rsidP="00A04E86">
      <w:pPr>
        <w:rPr>
          <w:rFonts w:ascii="Arial" w:hAnsi="Arial" w:cs="Arial"/>
          <w:lang w:val="es-ES" w:eastAsia="es-AR"/>
        </w:rPr>
      </w:pPr>
    </w:p>
    <w:p w14:paraId="176C5E00" w14:textId="77777777" w:rsidR="00F94273" w:rsidRPr="00DD2307" w:rsidRDefault="00F94273" w:rsidP="003070FB">
      <w:pPr>
        <w:jc w:val="both"/>
        <w:rPr>
          <w:rFonts w:ascii="Arial" w:hAnsi="Arial" w:cs="Arial"/>
          <w:sz w:val="22"/>
          <w:szCs w:val="22"/>
          <w:lang w:val="es-ES"/>
        </w:rPr>
      </w:pPr>
    </w:p>
    <w:p w14:paraId="335EE5C4" w14:textId="77777777" w:rsidR="00F94273" w:rsidRPr="00DD2307" w:rsidRDefault="00F94273" w:rsidP="003070FB">
      <w:pPr>
        <w:pStyle w:val="TOC3"/>
        <w:jc w:val="both"/>
        <w:rPr>
          <w:rFonts w:ascii="Arial" w:hAnsi="Arial" w:cs="Arial"/>
          <w:sz w:val="22"/>
          <w:szCs w:val="22"/>
          <w:lang w:val="es-ES"/>
        </w:rPr>
      </w:pPr>
    </w:p>
    <w:p w14:paraId="5AA159C8" w14:textId="77777777" w:rsidR="00F94273" w:rsidRPr="00DD2307" w:rsidRDefault="00F94273" w:rsidP="003070FB">
      <w:pPr>
        <w:pStyle w:val="Listavistosa-nfasis11"/>
        <w:jc w:val="both"/>
        <w:rPr>
          <w:rFonts w:ascii="Arial" w:hAnsi="Arial" w:cs="Arial"/>
          <w:lang w:val="es-ES"/>
        </w:rPr>
      </w:pPr>
    </w:p>
    <w:p w14:paraId="7AFE35BA" w14:textId="77777777" w:rsidR="00F94273" w:rsidRPr="00DD2307" w:rsidRDefault="00F94273" w:rsidP="003070FB">
      <w:pPr>
        <w:pStyle w:val="Listavistosa-nfasis11"/>
        <w:jc w:val="both"/>
        <w:rPr>
          <w:rFonts w:ascii="Arial" w:hAnsi="Arial" w:cs="Arial"/>
          <w:lang w:val="es-ES"/>
        </w:rPr>
      </w:pPr>
    </w:p>
    <w:p w14:paraId="05602C3E" w14:textId="77777777" w:rsidR="00121C68" w:rsidRPr="00DD2307" w:rsidRDefault="00121C68" w:rsidP="003070FB">
      <w:pPr>
        <w:jc w:val="both"/>
        <w:rPr>
          <w:rFonts w:ascii="Arial" w:hAnsi="Arial" w:cs="Arial"/>
          <w:sz w:val="22"/>
          <w:szCs w:val="22"/>
          <w:lang w:val="es-ES" w:eastAsia="es-AR"/>
        </w:rPr>
      </w:pPr>
    </w:p>
    <w:p w14:paraId="558DE9D0" w14:textId="77777777" w:rsidR="00121C68" w:rsidRPr="00DD2307" w:rsidRDefault="00121C68" w:rsidP="003070FB">
      <w:pPr>
        <w:pStyle w:val="AutoNumpara"/>
        <w:numPr>
          <w:ilvl w:val="0"/>
          <w:numId w:val="0"/>
        </w:numPr>
        <w:ind w:left="360"/>
        <w:rPr>
          <w:rFonts w:ascii="Arial" w:hAnsi="Arial" w:cs="Arial"/>
          <w:b/>
          <w:noProof w:val="0"/>
          <w:sz w:val="22"/>
          <w:szCs w:val="22"/>
          <w:u w:val="single"/>
          <w:lang w:val="es-ES"/>
        </w:rPr>
      </w:pPr>
    </w:p>
    <w:p w14:paraId="404FBF9B" w14:textId="77777777" w:rsidR="001B5186" w:rsidRPr="00DD2307" w:rsidRDefault="006D01D1" w:rsidP="003070FB">
      <w:pPr>
        <w:pStyle w:val="Listavistosa-nfasis11"/>
        <w:numPr>
          <w:ilvl w:val="1"/>
          <w:numId w:val="9"/>
        </w:numPr>
        <w:jc w:val="both"/>
        <w:rPr>
          <w:rFonts w:ascii="Arial" w:eastAsia="Arial Unicode MS" w:hAnsi="Arial" w:cs="Arial"/>
          <w:bCs/>
          <w:smallCaps/>
          <w:lang w:val="es-ES"/>
        </w:rPr>
      </w:pPr>
      <w:r w:rsidRPr="00DD2307">
        <w:rPr>
          <w:rFonts w:ascii="Arial" w:eastAsia="Arial Unicode MS" w:hAnsi="Arial" w:cs="Arial"/>
          <w:bCs/>
          <w:smallCaps/>
          <w:lang w:val="es-ES"/>
        </w:rPr>
        <w:br w:type="page"/>
      </w:r>
    </w:p>
    <w:p w14:paraId="4E767E7D" w14:textId="77777777" w:rsidR="00455E56" w:rsidRPr="00DD2307" w:rsidRDefault="00455E56" w:rsidP="00455E56">
      <w:pPr>
        <w:pStyle w:val="Heading1"/>
        <w:numPr>
          <w:ilvl w:val="0"/>
          <w:numId w:val="0"/>
        </w:numPr>
        <w:spacing w:before="0" w:after="0" w:line="276" w:lineRule="auto"/>
        <w:ind w:left="288"/>
        <w:jc w:val="both"/>
        <w:rPr>
          <w:rFonts w:ascii="Arial" w:hAnsi="Arial" w:cs="Arial"/>
          <w:sz w:val="22"/>
          <w:szCs w:val="22"/>
          <w:lang w:val="es-ES"/>
        </w:rPr>
      </w:pPr>
      <w:bookmarkStart w:id="2" w:name="_Toc491518985"/>
    </w:p>
    <w:p w14:paraId="32DF71CE" w14:textId="77777777" w:rsidR="008F1787" w:rsidRPr="004B1FA3" w:rsidRDefault="006D01D1" w:rsidP="004B1FA3">
      <w:pPr>
        <w:pStyle w:val="Heading1"/>
        <w:spacing w:before="0" w:after="0" w:line="276" w:lineRule="auto"/>
        <w:jc w:val="both"/>
        <w:rPr>
          <w:rFonts w:ascii="Arial" w:hAnsi="Arial" w:cs="Arial"/>
          <w:sz w:val="22"/>
          <w:szCs w:val="22"/>
          <w:lang w:val="es-ES"/>
        </w:rPr>
      </w:pPr>
      <w:r w:rsidRPr="004B1FA3">
        <w:rPr>
          <w:rFonts w:ascii="Arial" w:hAnsi="Arial" w:cs="Arial"/>
          <w:sz w:val="22"/>
          <w:szCs w:val="22"/>
          <w:lang w:val="es-ES"/>
        </w:rPr>
        <w:t>Introducción</w:t>
      </w:r>
      <w:bookmarkEnd w:id="2"/>
    </w:p>
    <w:p w14:paraId="411DB0FF" w14:textId="77777777" w:rsidR="00455E56" w:rsidRPr="004B1FA3" w:rsidRDefault="00455E56" w:rsidP="004B1FA3">
      <w:pPr>
        <w:spacing w:line="276" w:lineRule="auto"/>
        <w:jc w:val="both"/>
        <w:rPr>
          <w:rFonts w:ascii="Arial" w:hAnsi="Arial" w:cs="Arial"/>
          <w:sz w:val="22"/>
          <w:szCs w:val="22"/>
          <w:lang w:val="es-ES" w:eastAsia="es-AR"/>
        </w:rPr>
      </w:pPr>
    </w:p>
    <w:p w14:paraId="440E183F" w14:textId="67A5E774" w:rsidR="005A48E4" w:rsidRDefault="006F38B4" w:rsidP="00A06DD5">
      <w:pPr>
        <w:pStyle w:val="Paragraph"/>
        <w:numPr>
          <w:ilvl w:val="1"/>
          <w:numId w:val="23"/>
        </w:numPr>
        <w:spacing w:before="0" w:after="0" w:line="276" w:lineRule="auto"/>
        <w:ind w:left="720" w:hanging="720"/>
        <w:rPr>
          <w:rFonts w:ascii="Arial" w:hAnsi="Arial" w:cs="Arial"/>
          <w:sz w:val="22"/>
        </w:rPr>
      </w:pPr>
      <w:r w:rsidRPr="004B1FA3">
        <w:rPr>
          <w:rFonts w:ascii="Arial" w:hAnsi="Arial" w:cs="Arial"/>
          <w:sz w:val="22"/>
          <w:lang w:val="es-ES"/>
        </w:rPr>
        <w:t>El Programa de Apoyo a la Reforma de Empresas Públicas tiene como objetivo general</w:t>
      </w:r>
      <w:r w:rsidR="00955EBE" w:rsidRPr="004B1FA3">
        <w:rPr>
          <w:rFonts w:ascii="Arial" w:hAnsi="Arial" w:cs="Arial"/>
          <w:sz w:val="22"/>
          <w:lang w:val="es-ES"/>
        </w:rPr>
        <w:t>,</w:t>
      </w:r>
      <w:r w:rsidR="00942B6B" w:rsidRPr="004B1FA3">
        <w:rPr>
          <w:rFonts w:ascii="Arial" w:hAnsi="Arial" w:cs="Arial"/>
          <w:sz w:val="22"/>
          <w:lang w:val="es-ES"/>
        </w:rPr>
        <w:t xml:space="preserve"> </w:t>
      </w:r>
      <w:r w:rsidR="005A48E4" w:rsidRPr="004B1FA3">
        <w:rPr>
          <w:rFonts w:ascii="Arial" w:hAnsi="Arial" w:cs="Arial"/>
          <w:sz w:val="22"/>
        </w:rPr>
        <w:t>reducir la carga fiscal para el estado derivada de la propiedad de EEPP</w:t>
      </w:r>
      <w:r w:rsidR="00EE58CF" w:rsidRPr="004B1FA3">
        <w:rPr>
          <w:rFonts w:ascii="Arial" w:hAnsi="Arial" w:cs="Arial"/>
          <w:sz w:val="22"/>
        </w:rPr>
        <w:t>.</w:t>
      </w:r>
      <w:r w:rsidR="005A48E4" w:rsidRPr="004B1FA3">
        <w:rPr>
          <w:rFonts w:ascii="Arial" w:hAnsi="Arial" w:cs="Arial"/>
          <w:sz w:val="22"/>
        </w:rPr>
        <w:t xml:space="preserve"> Los objetivos específicos son: (i) incrementar el número de EEPP alineadas a los principios de gobernanza corporativa de la O</w:t>
      </w:r>
      <w:r w:rsidR="00955EBE" w:rsidRPr="004B1FA3">
        <w:rPr>
          <w:rFonts w:ascii="Arial" w:hAnsi="Arial" w:cs="Arial"/>
          <w:sz w:val="22"/>
        </w:rPr>
        <w:t>ECD</w:t>
      </w:r>
      <w:r w:rsidR="005A48E4" w:rsidRPr="004B1FA3">
        <w:rPr>
          <w:rFonts w:ascii="Arial" w:hAnsi="Arial" w:cs="Arial"/>
          <w:sz w:val="22"/>
        </w:rPr>
        <w:t>; incluyendo una gobernanza fiscal análoga a la del sector privado; y</w:t>
      </w:r>
      <w:r w:rsidR="00955EBE" w:rsidRPr="004B1FA3">
        <w:rPr>
          <w:rFonts w:ascii="Arial" w:hAnsi="Arial" w:cs="Arial"/>
          <w:sz w:val="22"/>
        </w:rPr>
        <w:t>,</w:t>
      </w:r>
      <w:r w:rsidR="005A48E4" w:rsidRPr="004B1FA3">
        <w:rPr>
          <w:rFonts w:ascii="Arial" w:hAnsi="Arial" w:cs="Arial"/>
          <w:sz w:val="22"/>
        </w:rPr>
        <w:t xml:space="preserve"> (</w:t>
      </w:r>
      <w:proofErr w:type="spellStart"/>
      <w:r w:rsidR="005A48E4" w:rsidRPr="004B1FA3">
        <w:rPr>
          <w:rFonts w:ascii="Arial" w:hAnsi="Arial" w:cs="Arial"/>
          <w:sz w:val="22"/>
        </w:rPr>
        <w:t>ii</w:t>
      </w:r>
      <w:proofErr w:type="spellEnd"/>
      <w:r w:rsidR="005A48E4" w:rsidRPr="004B1FA3">
        <w:rPr>
          <w:rFonts w:ascii="Arial" w:hAnsi="Arial" w:cs="Arial"/>
          <w:sz w:val="22"/>
        </w:rPr>
        <w:t>) aumentar la eficiencia de las EEPP de</w:t>
      </w:r>
      <w:r w:rsidR="007D61B1" w:rsidRPr="004B1FA3">
        <w:rPr>
          <w:rFonts w:ascii="Arial" w:hAnsi="Arial" w:cs="Arial"/>
          <w:sz w:val="22"/>
        </w:rPr>
        <w:t xml:space="preserve"> </w:t>
      </w:r>
      <w:r w:rsidR="005A48E4" w:rsidRPr="004B1FA3">
        <w:rPr>
          <w:rFonts w:ascii="Arial" w:hAnsi="Arial" w:cs="Arial"/>
          <w:sz w:val="22"/>
        </w:rPr>
        <w:t>l</w:t>
      </w:r>
      <w:r w:rsidR="007D61B1" w:rsidRPr="004B1FA3">
        <w:rPr>
          <w:rFonts w:ascii="Arial" w:hAnsi="Arial" w:cs="Arial"/>
          <w:sz w:val="22"/>
        </w:rPr>
        <w:t>os</w:t>
      </w:r>
      <w:r w:rsidR="005A48E4" w:rsidRPr="004B1FA3">
        <w:rPr>
          <w:rFonts w:ascii="Arial" w:hAnsi="Arial" w:cs="Arial"/>
          <w:sz w:val="22"/>
        </w:rPr>
        <w:t xml:space="preserve"> sector</w:t>
      </w:r>
      <w:r w:rsidR="007D61B1" w:rsidRPr="004B1FA3">
        <w:rPr>
          <w:rFonts w:ascii="Arial" w:hAnsi="Arial" w:cs="Arial"/>
          <w:sz w:val="22"/>
        </w:rPr>
        <w:t>es</w:t>
      </w:r>
      <w:r w:rsidR="005A48E4" w:rsidRPr="004B1FA3">
        <w:rPr>
          <w:rFonts w:ascii="Arial" w:hAnsi="Arial" w:cs="Arial"/>
          <w:sz w:val="22"/>
        </w:rPr>
        <w:t xml:space="preserve"> de </w:t>
      </w:r>
      <w:r w:rsidR="00E23B68" w:rsidRPr="00E23B68">
        <w:rPr>
          <w:rFonts w:ascii="Arial" w:hAnsi="Arial" w:cs="Arial"/>
          <w:sz w:val="22"/>
          <w:lang w:val="es-ES"/>
        </w:rPr>
        <w:t>hidrocarburos, eléctrico</w:t>
      </w:r>
      <w:r w:rsidR="005A48E4" w:rsidRPr="004B1FA3">
        <w:rPr>
          <w:rFonts w:ascii="Arial" w:hAnsi="Arial" w:cs="Arial"/>
          <w:sz w:val="22"/>
        </w:rPr>
        <w:t xml:space="preserve"> y aeronáutico. Estos objetivos se alcanzarán a través de los siguientes componentes y actividades: </w:t>
      </w:r>
    </w:p>
    <w:p w14:paraId="1091607F" w14:textId="77777777" w:rsidR="004B1FA3" w:rsidRPr="004B1FA3" w:rsidRDefault="004B1FA3" w:rsidP="004B1FA3">
      <w:pPr>
        <w:pStyle w:val="Paragraph"/>
        <w:tabs>
          <w:tab w:val="clear" w:pos="720"/>
        </w:tabs>
        <w:spacing w:before="0" w:after="0" w:line="276" w:lineRule="auto"/>
        <w:ind w:left="720" w:firstLine="0"/>
        <w:rPr>
          <w:rFonts w:ascii="Arial" w:hAnsi="Arial" w:cs="Arial"/>
          <w:sz w:val="22"/>
        </w:rPr>
      </w:pPr>
    </w:p>
    <w:p w14:paraId="3E93AA8E" w14:textId="77777777" w:rsidR="000B055D" w:rsidRPr="00E908CF" w:rsidRDefault="000B055D" w:rsidP="00A06DD5">
      <w:pPr>
        <w:pStyle w:val="Paragraph"/>
        <w:numPr>
          <w:ilvl w:val="1"/>
          <w:numId w:val="23"/>
        </w:numPr>
        <w:tabs>
          <w:tab w:val="clear" w:pos="2736"/>
        </w:tabs>
        <w:ind w:left="720" w:hanging="720"/>
        <w:rPr>
          <w:rFonts w:ascii="Arial" w:hAnsi="Arial" w:cs="Arial"/>
          <w:sz w:val="22"/>
        </w:rPr>
      </w:pPr>
      <w:bookmarkStart w:id="3" w:name="_Hlk525578881"/>
      <w:r w:rsidRPr="00E908CF">
        <w:rPr>
          <w:rFonts w:ascii="Arial" w:hAnsi="Arial" w:cs="Arial"/>
          <w:b/>
          <w:sz w:val="22"/>
        </w:rPr>
        <w:t>Componente 1. Fortalecimiento del Marco de Gobernanza Corporativa y Fiscal de las EEPP (US$4,6 millones)</w:t>
      </w:r>
      <w:r w:rsidRPr="00E908CF">
        <w:rPr>
          <w:rFonts w:ascii="Arial" w:hAnsi="Arial" w:cs="Arial"/>
          <w:sz w:val="22"/>
        </w:rPr>
        <w:t xml:space="preserve">. </w:t>
      </w:r>
    </w:p>
    <w:p w14:paraId="4202E7C5" w14:textId="6DAEFBC1" w:rsidR="000B055D" w:rsidRPr="00282623" w:rsidRDefault="000B055D" w:rsidP="00266E44">
      <w:pPr>
        <w:pStyle w:val="subpar"/>
        <w:numPr>
          <w:ilvl w:val="2"/>
          <w:numId w:val="32"/>
        </w:numPr>
        <w:rPr>
          <w:rFonts w:ascii="Arial" w:eastAsia="Arial" w:hAnsi="Arial" w:cs="Arial"/>
          <w:bCs/>
          <w:sz w:val="22"/>
          <w:szCs w:val="22"/>
        </w:rPr>
      </w:pPr>
      <w:r>
        <w:rPr>
          <w:rFonts w:ascii="Arial" w:eastAsia="Arial" w:hAnsi="Arial" w:cs="Arial"/>
          <w:b/>
          <w:sz w:val="22"/>
          <w:szCs w:val="22"/>
          <w:lang w:val="es-ES"/>
        </w:rPr>
        <w:t>Subcomponente 1.1. Mejora e implementación</w:t>
      </w:r>
      <w:r w:rsidRPr="00282623">
        <w:rPr>
          <w:rFonts w:ascii="Arial" w:eastAsia="Arial" w:hAnsi="Arial" w:cs="Arial"/>
          <w:b/>
          <w:sz w:val="22"/>
          <w:szCs w:val="22"/>
          <w:lang w:val="es-ES"/>
        </w:rPr>
        <w:t xml:space="preserve"> del m</w:t>
      </w:r>
      <w:r w:rsidRPr="00282623">
        <w:rPr>
          <w:rFonts w:ascii="Arial" w:eastAsia="Arial" w:hAnsi="Arial" w:cs="Arial"/>
          <w:b/>
          <w:sz w:val="22"/>
          <w:szCs w:val="22"/>
        </w:rPr>
        <w:t>arco normativo</w:t>
      </w:r>
      <w:r w:rsidRPr="00282623">
        <w:rPr>
          <w:rFonts w:ascii="Arial" w:hAnsi="Arial" w:cs="Arial"/>
          <w:b/>
          <w:sz w:val="22"/>
          <w:szCs w:val="22"/>
        </w:rPr>
        <w:t xml:space="preserve">. </w:t>
      </w:r>
      <w:r w:rsidRPr="00282623">
        <w:rPr>
          <w:rFonts w:ascii="Arial" w:hAnsi="Arial" w:cs="Arial"/>
          <w:sz w:val="22"/>
          <w:szCs w:val="22"/>
        </w:rPr>
        <w:t xml:space="preserve">(i) </w:t>
      </w:r>
      <w:r w:rsidRPr="007850A1">
        <w:rPr>
          <w:rFonts w:ascii="Arial" w:eastAsia="Arial" w:hAnsi="Arial" w:cs="Arial"/>
          <w:sz w:val="22"/>
          <w:szCs w:val="22"/>
        </w:rPr>
        <w:t xml:space="preserve">Marco normativo. </w:t>
      </w:r>
      <w:r w:rsidRPr="007850A1">
        <w:rPr>
          <w:rFonts w:ascii="Arial" w:hAnsi="Arial" w:cs="Arial"/>
          <w:sz w:val="22"/>
          <w:szCs w:val="22"/>
        </w:rPr>
        <w:t>Se financiará</w:t>
      </w:r>
      <w:r w:rsidRPr="007850A1">
        <w:rPr>
          <w:rFonts w:ascii="Arial" w:eastAsia="Arial" w:hAnsi="Arial" w:cs="Arial"/>
          <w:sz w:val="22"/>
          <w:szCs w:val="22"/>
        </w:rPr>
        <w:t xml:space="preserve">: (a) </w:t>
      </w:r>
      <w:r w:rsidRPr="007850A1">
        <w:rPr>
          <w:rFonts w:ascii="Arial" w:hAnsi="Arial" w:cs="Arial"/>
          <w:sz w:val="22"/>
          <w:szCs w:val="22"/>
        </w:rPr>
        <w:t>socialización</w:t>
      </w:r>
      <w:r w:rsidRPr="007850A1">
        <w:rPr>
          <w:rFonts w:ascii="Arial" w:eastAsia="Arial" w:hAnsi="Arial" w:cs="Arial"/>
          <w:sz w:val="22"/>
          <w:szCs w:val="22"/>
          <w:lang w:val="es-ES"/>
        </w:rPr>
        <w:t xml:space="preserve"> de la nueva </w:t>
      </w:r>
      <w:r w:rsidRPr="007850A1">
        <w:rPr>
          <w:rFonts w:ascii="Arial" w:eastAsia="Arial" w:hAnsi="Arial" w:cs="Arial"/>
          <w:sz w:val="22"/>
          <w:szCs w:val="22"/>
        </w:rPr>
        <w:t>LOEP</w:t>
      </w:r>
      <w:r w:rsidRPr="007850A1">
        <w:rPr>
          <w:rStyle w:val="FootnoteReference"/>
          <w:rFonts w:ascii="Arial" w:eastAsia="Arial" w:hAnsi="Arial" w:cs="Arial"/>
          <w:sz w:val="22"/>
          <w:szCs w:val="22"/>
        </w:rPr>
        <w:footnoteReference w:id="2"/>
      </w:r>
      <w:r w:rsidRPr="007850A1">
        <w:rPr>
          <w:rFonts w:ascii="Arial" w:hAnsi="Arial" w:cs="Arial"/>
          <w:sz w:val="22"/>
          <w:szCs w:val="22"/>
          <w:vertAlign w:val="superscript"/>
        </w:rPr>
        <w:t>,</w:t>
      </w:r>
      <w:r w:rsidRPr="007850A1">
        <w:rPr>
          <w:rStyle w:val="FootnoteReference"/>
          <w:rFonts w:ascii="Arial" w:hAnsi="Arial" w:cs="Arial"/>
          <w:sz w:val="22"/>
          <w:szCs w:val="22"/>
        </w:rPr>
        <w:footnoteReference w:id="3"/>
      </w:r>
      <w:r w:rsidRPr="007850A1">
        <w:rPr>
          <w:rFonts w:ascii="Arial" w:hAnsi="Arial" w:cs="Arial"/>
          <w:sz w:val="22"/>
          <w:szCs w:val="22"/>
          <w:vertAlign w:val="superscript"/>
        </w:rPr>
        <w:t>,</w:t>
      </w:r>
      <w:r w:rsidRPr="007850A1">
        <w:rPr>
          <w:rStyle w:val="FootnoteReference"/>
          <w:rFonts w:ascii="Arial" w:hAnsi="Arial" w:cs="Arial"/>
          <w:sz w:val="22"/>
          <w:szCs w:val="22"/>
        </w:rPr>
        <w:footnoteReference w:id="4"/>
      </w:r>
      <w:r w:rsidRPr="007850A1">
        <w:rPr>
          <w:rFonts w:ascii="Arial" w:eastAsia="Arial" w:hAnsi="Arial" w:cs="Arial"/>
          <w:sz w:val="22"/>
          <w:szCs w:val="22"/>
        </w:rPr>
        <w:t xml:space="preserve">, </w:t>
      </w:r>
      <w:r w:rsidRPr="007850A1">
        <w:rPr>
          <w:rFonts w:ascii="Arial" w:hAnsi="Arial" w:cs="Arial"/>
          <w:sz w:val="22"/>
          <w:szCs w:val="22"/>
        </w:rPr>
        <w:t>incluyendo los</w:t>
      </w:r>
      <w:r w:rsidRPr="007850A1">
        <w:rPr>
          <w:rFonts w:ascii="Arial" w:hAnsi="Arial" w:cs="Arial"/>
          <w:bCs/>
          <w:sz w:val="22"/>
          <w:szCs w:val="22"/>
        </w:rPr>
        <w:t xml:space="preserve"> objetivos para la participación de mujeres en los consejos directivos de las EEPP;</w:t>
      </w:r>
      <w:r w:rsidRPr="007850A1">
        <w:rPr>
          <w:rFonts w:ascii="Arial" w:eastAsia="Arial" w:hAnsi="Arial" w:cs="Arial"/>
          <w:sz w:val="22"/>
          <w:szCs w:val="22"/>
        </w:rPr>
        <w:t xml:space="preserve"> (b) elaboración del reglamento de la LOEP; (c) </w:t>
      </w:r>
      <w:r w:rsidRPr="007850A1">
        <w:rPr>
          <w:rFonts w:ascii="Arial" w:eastAsia="Arial" w:hAnsi="Arial" w:cs="Arial"/>
          <w:sz w:val="22"/>
          <w:szCs w:val="22"/>
          <w:lang w:val="es-ES"/>
        </w:rPr>
        <w:t xml:space="preserve">verificación de implementación de la </w:t>
      </w:r>
      <w:r w:rsidRPr="007850A1">
        <w:rPr>
          <w:rFonts w:ascii="Arial" w:eastAsia="Arial" w:hAnsi="Arial" w:cs="Arial"/>
          <w:sz w:val="22"/>
          <w:szCs w:val="22"/>
        </w:rPr>
        <w:t>LOEP y elaboración de normativa técnica asociada</w:t>
      </w:r>
      <w:r w:rsidRPr="007850A1">
        <w:rPr>
          <w:rFonts w:ascii="Arial" w:hAnsi="Arial" w:cs="Arial"/>
          <w:sz w:val="22"/>
          <w:szCs w:val="22"/>
        </w:rPr>
        <w:t>; y (d) capacitación de funcionarios y empleados en las reformas de la LOEP (</w:t>
      </w:r>
      <w:proofErr w:type="spellStart"/>
      <w:r w:rsidRPr="007850A1">
        <w:rPr>
          <w:rFonts w:ascii="Arial" w:hAnsi="Arial" w:cs="Arial"/>
          <w:sz w:val="22"/>
          <w:szCs w:val="22"/>
        </w:rPr>
        <w:t>ii</w:t>
      </w:r>
      <w:proofErr w:type="spellEnd"/>
      <w:r w:rsidRPr="007850A1">
        <w:rPr>
          <w:rFonts w:ascii="Arial" w:hAnsi="Arial" w:cs="Arial"/>
          <w:sz w:val="22"/>
          <w:szCs w:val="22"/>
        </w:rPr>
        <w:t>) régimen de gobernanza fiscal</w:t>
      </w:r>
      <w:r w:rsidRPr="007850A1">
        <w:rPr>
          <w:rStyle w:val="FootnoteReference"/>
          <w:rFonts w:ascii="Arial" w:hAnsi="Arial" w:cs="Arial"/>
          <w:sz w:val="22"/>
          <w:szCs w:val="22"/>
        </w:rPr>
        <w:footnoteReference w:id="5"/>
      </w:r>
      <w:r w:rsidRPr="007850A1">
        <w:rPr>
          <w:rFonts w:ascii="Arial" w:hAnsi="Arial" w:cs="Arial"/>
          <w:sz w:val="22"/>
          <w:szCs w:val="22"/>
        </w:rPr>
        <w:t>. Se financiará: (a) diseño de la función recaudadora sobre EEPP en SRI y capacitación a funcionarios del SRI</w:t>
      </w:r>
      <w:r w:rsidRPr="007850A1">
        <w:rPr>
          <w:rFonts w:ascii="Arial" w:eastAsia="Arial" w:hAnsi="Arial" w:cs="Arial"/>
          <w:sz w:val="22"/>
          <w:szCs w:val="22"/>
        </w:rPr>
        <w:t xml:space="preserve">; (b) </w:t>
      </w:r>
      <w:r w:rsidRPr="007850A1">
        <w:rPr>
          <w:rFonts w:ascii="Arial" w:hAnsi="Arial" w:cs="Arial"/>
          <w:sz w:val="22"/>
          <w:szCs w:val="22"/>
        </w:rPr>
        <w:t xml:space="preserve">diseño de la función tributaria de las EEPP y capacitación </w:t>
      </w:r>
      <w:r w:rsidRPr="007850A1">
        <w:rPr>
          <w:rFonts w:ascii="Arial" w:eastAsia="Arial" w:hAnsi="Arial" w:cs="Arial"/>
          <w:bCs/>
          <w:sz w:val="22"/>
          <w:szCs w:val="22"/>
        </w:rPr>
        <w:t>para enfrentar responsabilidades tributarias</w:t>
      </w:r>
      <w:r w:rsidRPr="007850A1">
        <w:rPr>
          <w:rFonts w:ascii="Arial" w:hAnsi="Arial" w:cs="Arial"/>
          <w:sz w:val="22"/>
          <w:szCs w:val="22"/>
        </w:rPr>
        <w:t xml:space="preserve"> a empleados de </w:t>
      </w:r>
      <w:r w:rsidRPr="007850A1">
        <w:rPr>
          <w:rFonts w:ascii="Arial" w:eastAsia="Arial" w:hAnsi="Arial" w:cs="Arial"/>
          <w:bCs/>
          <w:sz w:val="22"/>
          <w:szCs w:val="22"/>
        </w:rPr>
        <w:t xml:space="preserve">EEPP; y (c) </w:t>
      </w:r>
      <w:r w:rsidRPr="007850A1">
        <w:rPr>
          <w:rFonts w:ascii="Arial" w:eastAsia="Arial" w:hAnsi="Arial" w:cs="Arial"/>
          <w:bCs/>
          <w:sz w:val="22"/>
          <w:szCs w:val="22"/>
          <w:lang w:val="es-ES"/>
        </w:rPr>
        <w:t xml:space="preserve">diseño del régimen fiscal de las empresas en sector hidrocarburos; y </w:t>
      </w:r>
      <w:r w:rsidRPr="007850A1">
        <w:rPr>
          <w:rFonts w:ascii="Arial" w:eastAsia="Arial" w:hAnsi="Arial" w:cs="Arial"/>
          <w:bCs/>
          <w:sz w:val="22"/>
          <w:szCs w:val="22"/>
        </w:rPr>
        <w:t>(</w:t>
      </w:r>
      <w:proofErr w:type="spellStart"/>
      <w:r w:rsidRPr="007850A1">
        <w:rPr>
          <w:rFonts w:ascii="Arial" w:eastAsia="Arial" w:hAnsi="Arial" w:cs="Arial"/>
          <w:bCs/>
          <w:sz w:val="22"/>
          <w:szCs w:val="22"/>
        </w:rPr>
        <w:t>iii</w:t>
      </w:r>
      <w:proofErr w:type="spellEnd"/>
      <w:r w:rsidRPr="007850A1">
        <w:rPr>
          <w:rFonts w:ascii="Arial" w:eastAsia="Arial" w:hAnsi="Arial" w:cs="Arial"/>
          <w:bCs/>
          <w:sz w:val="22"/>
          <w:szCs w:val="22"/>
        </w:rPr>
        <w:t xml:space="preserve">) Transparencia y rendición de cuentas. </w:t>
      </w:r>
      <w:r w:rsidRPr="007850A1">
        <w:rPr>
          <w:rFonts w:ascii="Arial" w:hAnsi="Arial" w:cs="Arial"/>
          <w:sz w:val="22"/>
          <w:szCs w:val="22"/>
        </w:rPr>
        <w:t>Se financiará</w:t>
      </w:r>
      <w:r w:rsidRPr="007850A1">
        <w:rPr>
          <w:rFonts w:ascii="Arial" w:eastAsia="Arial" w:hAnsi="Arial" w:cs="Arial"/>
          <w:bCs/>
          <w:sz w:val="22"/>
          <w:szCs w:val="22"/>
        </w:rPr>
        <w:t xml:space="preserve">: (a) </w:t>
      </w:r>
      <w:r w:rsidRPr="007850A1">
        <w:rPr>
          <w:rFonts w:ascii="Arial" w:hAnsi="Arial" w:cs="Arial"/>
          <w:sz w:val="22"/>
          <w:szCs w:val="22"/>
        </w:rPr>
        <w:t>capacitación a e</w:t>
      </w:r>
      <w:r w:rsidRPr="007850A1">
        <w:rPr>
          <w:rFonts w:ascii="Arial" w:eastAsia="Arial" w:hAnsi="Arial" w:cs="Arial"/>
          <w:bCs/>
          <w:sz w:val="22"/>
          <w:szCs w:val="22"/>
        </w:rPr>
        <w:t>mpleados de las EEPP en Normas Internacionales de Información Financiera (NIIF) y reporte de EEFF; (b) elaboración de un informe con los criterios para la precalificación de auditoras externas; y (c) apoyo técnico para la obtención del certificado ISO</w:t>
      </w:r>
      <w:r w:rsidRPr="007850A1">
        <w:rPr>
          <w:rFonts w:ascii="Arial" w:eastAsia="Arial" w:hAnsi="Arial" w:cs="Arial"/>
          <w:bCs/>
          <w:sz w:val="22"/>
          <w:szCs w:val="22"/>
        </w:rPr>
        <w:noBreakHyphen/>
        <w:t>7001 de las EEPP.</w:t>
      </w:r>
    </w:p>
    <w:p w14:paraId="048256C6" w14:textId="77777777" w:rsidR="000B055D" w:rsidRPr="00A1564B" w:rsidRDefault="000B055D" w:rsidP="00266E44">
      <w:pPr>
        <w:pStyle w:val="subpar"/>
        <w:numPr>
          <w:ilvl w:val="2"/>
          <w:numId w:val="32"/>
        </w:numPr>
        <w:rPr>
          <w:rFonts w:ascii="Arial" w:hAnsi="Arial" w:cs="Arial"/>
          <w:sz w:val="22"/>
          <w:szCs w:val="22"/>
        </w:rPr>
      </w:pPr>
      <w:r>
        <w:rPr>
          <w:rFonts w:ascii="Arial" w:hAnsi="Arial" w:cs="Arial"/>
          <w:b/>
          <w:sz w:val="22"/>
          <w:szCs w:val="22"/>
        </w:rPr>
        <w:t xml:space="preserve">Subcomponente 1.2. </w:t>
      </w:r>
      <w:r w:rsidRPr="00282623">
        <w:rPr>
          <w:rFonts w:ascii="Arial" w:hAnsi="Arial" w:cs="Arial"/>
          <w:b/>
          <w:sz w:val="22"/>
          <w:szCs w:val="22"/>
        </w:rPr>
        <w:t xml:space="preserve">Rediseño de la función propietaria y de gestión. </w:t>
      </w:r>
      <w:r w:rsidRPr="007850A1">
        <w:rPr>
          <w:rFonts w:ascii="Arial" w:hAnsi="Arial" w:cs="Arial"/>
          <w:sz w:val="22"/>
          <w:szCs w:val="22"/>
        </w:rPr>
        <w:t>(i) Apoyo a la implementación de la nueva entidad de gestión propietaria de las EEPP que sustituiría a EMCO</w:t>
      </w:r>
      <w:r w:rsidRPr="007850A1">
        <w:rPr>
          <w:rStyle w:val="FootnoteReference"/>
          <w:rFonts w:ascii="Arial" w:hAnsi="Arial" w:cs="Arial"/>
          <w:sz w:val="22"/>
          <w:szCs w:val="22"/>
        </w:rPr>
        <w:footnoteReference w:id="6"/>
      </w:r>
      <w:r w:rsidRPr="007850A1">
        <w:rPr>
          <w:rFonts w:ascii="Arial" w:hAnsi="Arial" w:cs="Arial"/>
          <w:sz w:val="22"/>
          <w:szCs w:val="22"/>
        </w:rPr>
        <w:t xml:space="preserve">. </w:t>
      </w:r>
      <w:bookmarkStart w:id="4" w:name="_Hlk11291574"/>
      <w:r w:rsidRPr="007850A1">
        <w:rPr>
          <w:rFonts w:ascii="Arial" w:hAnsi="Arial" w:cs="Arial"/>
          <w:sz w:val="22"/>
          <w:szCs w:val="22"/>
        </w:rPr>
        <w:t>Se financiará</w:t>
      </w:r>
      <w:bookmarkEnd w:id="4"/>
      <w:r w:rsidRPr="007850A1">
        <w:rPr>
          <w:rFonts w:ascii="Arial" w:hAnsi="Arial" w:cs="Arial"/>
          <w:sz w:val="22"/>
          <w:szCs w:val="22"/>
        </w:rPr>
        <w:t xml:space="preserve">: (a) </w:t>
      </w:r>
      <w:r w:rsidRPr="007850A1">
        <w:rPr>
          <w:rFonts w:ascii="Arial" w:hAnsi="Arial" w:cs="Arial"/>
          <w:sz w:val="22"/>
          <w:szCs w:val="22"/>
          <w:lang w:val="es-ES"/>
        </w:rPr>
        <w:t xml:space="preserve">supervisión de medidas de implementación de la nueva entidad propietaria de EEPP y </w:t>
      </w:r>
      <w:r w:rsidRPr="007850A1">
        <w:rPr>
          <w:rFonts w:ascii="Arial" w:hAnsi="Arial" w:cs="Arial"/>
          <w:sz w:val="22"/>
          <w:szCs w:val="22"/>
        </w:rPr>
        <w:t xml:space="preserve">elaboración del estatuto orgánico; (b) capacitación a los empleados de la nueva entidad, incluyendo el diseño de una estrategia de gestión del cambio; (c) socialización; y (d) diseño </w:t>
      </w:r>
      <w:r w:rsidRPr="007850A1">
        <w:rPr>
          <w:rFonts w:ascii="Arial" w:hAnsi="Arial" w:cs="Arial"/>
          <w:sz w:val="22"/>
          <w:szCs w:val="22"/>
          <w:lang w:val="es-ES"/>
        </w:rPr>
        <w:t>de contrato de gestión del desempeño entre entidad propietaria y EEPP</w:t>
      </w:r>
      <w:r w:rsidRPr="007850A1">
        <w:rPr>
          <w:rFonts w:ascii="Arial" w:hAnsi="Arial" w:cs="Arial"/>
          <w:sz w:val="22"/>
          <w:szCs w:val="22"/>
        </w:rPr>
        <w:t>; (</w:t>
      </w:r>
      <w:proofErr w:type="spellStart"/>
      <w:r w:rsidRPr="007850A1">
        <w:rPr>
          <w:rFonts w:ascii="Arial" w:hAnsi="Arial" w:cs="Arial"/>
          <w:sz w:val="22"/>
          <w:szCs w:val="22"/>
        </w:rPr>
        <w:t>ii</w:t>
      </w:r>
      <w:proofErr w:type="spellEnd"/>
      <w:r w:rsidRPr="007850A1">
        <w:rPr>
          <w:rFonts w:ascii="Arial" w:hAnsi="Arial" w:cs="Arial"/>
          <w:sz w:val="22"/>
          <w:szCs w:val="22"/>
        </w:rPr>
        <w:t xml:space="preserve">) fortalecimiento de la </w:t>
      </w:r>
      <w:r w:rsidRPr="007850A1">
        <w:rPr>
          <w:rFonts w:ascii="Arial" w:hAnsi="Arial" w:cs="Arial"/>
          <w:bCs/>
          <w:sz w:val="22"/>
          <w:szCs w:val="22"/>
          <w:lang w:val="es-EC"/>
        </w:rPr>
        <w:t xml:space="preserve">DNEP. </w:t>
      </w:r>
      <w:r w:rsidRPr="007850A1">
        <w:rPr>
          <w:rFonts w:ascii="Arial" w:hAnsi="Arial" w:cs="Arial"/>
          <w:sz w:val="22"/>
          <w:szCs w:val="22"/>
        </w:rPr>
        <w:t>Se financiará</w:t>
      </w:r>
      <w:r w:rsidRPr="007850A1">
        <w:rPr>
          <w:rFonts w:ascii="Arial" w:hAnsi="Arial" w:cs="Arial"/>
          <w:bCs/>
          <w:sz w:val="22"/>
          <w:szCs w:val="22"/>
          <w:lang w:val="es-EC"/>
        </w:rPr>
        <w:t>: (</w:t>
      </w:r>
      <w:r w:rsidRPr="007850A1">
        <w:rPr>
          <w:rFonts w:ascii="Arial" w:hAnsi="Arial" w:cs="Arial"/>
          <w:sz w:val="22"/>
          <w:szCs w:val="22"/>
        </w:rPr>
        <w:t xml:space="preserve">a) desarrollo de estudios y sistemas de costes de producción para asistir la formulación presupuestaria; (b) desarrollo de sistemas de certificación de </w:t>
      </w:r>
      <w:r w:rsidRPr="007850A1">
        <w:rPr>
          <w:rFonts w:ascii="Arial" w:hAnsi="Arial" w:cs="Arial"/>
          <w:sz w:val="22"/>
          <w:szCs w:val="22"/>
        </w:rPr>
        <w:lastRenderedPageBreak/>
        <w:t>capacidad de pago; (c) desarrollo de software para la generación de estadísticas financieras a través de sistemas de reporte especializados; y (d) capacitación a funcionarios en sectores estratégicos</w:t>
      </w:r>
      <w:r w:rsidRPr="007850A1">
        <w:rPr>
          <w:rStyle w:val="FootnoteReference"/>
          <w:rFonts w:ascii="Arial" w:hAnsi="Arial" w:cs="Arial"/>
        </w:rPr>
        <w:footnoteReference w:id="7"/>
      </w:r>
      <w:r w:rsidRPr="007850A1">
        <w:rPr>
          <w:rFonts w:ascii="Arial" w:hAnsi="Arial" w:cs="Arial"/>
          <w:sz w:val="22"/>
          <w:szCs w:val="22"/>
        </w:rPr>
        <w:t>; y (</w:t>
      </w:r>
      <w:proofErr w:type="spellStart"/>
      <w:r w:rsidRPr="007850A1">
        <w:rPr>
          <w:rFonts w:ascii="Arial" w:hAnsi="Arial" w:cs="Arial"/>
          <w:sz w:val="22"/>
          <w:szCs w:val="22"/>
        </w:rPr>
        <w:t>iii</w:t>
      </w:r>
      <w:proofErr w:type="spellEnd"/>
      <w:r w:rsidRPr="007850A1">
        <w:rPr>
          <w:rFonts w:ascii="Arial" w:hAnsi="Arial" w:cs="Arial"/>
          <w:sz w:val="22"/>
          <w:szCs w:val="22"/>
        </w:rPr>
        <w:t>) apoyo a los GAD. Se financiará: (a) asistencia técnica en la adopción de las reformas de la LOEP en sus EEPP</w:t>
      </w:r>
      <w:r w:rsidRPr="007850A1">
        <w:rPr>
          <w:rStyle w:val="FootnoteReference"/>
          <w:rFonts w:ascii="Arial" w:hAnsi="Arial" w:cs="Arial"/>
          <w:sz w:val="22"/>
          <w:szCs w:val="22"/>
        </w:rPr>
        <w:footnoteReference w:id="8"/>
      </w:r>
      <w:r w:rsidRPr="007850A1">
        <w:rPr>
          <w:rFonts w:ascii="Arial" w:hAnsi="Arial" w:cs="Arial"/>
          <w:sz w:val="22"/>
          <w:szCs w:val="22"/>
        </w:rPr>
        <w:t xml:space="preserve">; y (b) desarrollo del </w:t>
      </w:r>
      <w:r w:rsidRPr="007850A1">
        <w:rPr>
          <w:rFonts w:ascii="Arial" w:hAnsi="Arial" w:cs="Arial"/>
          <w:sz w:val="22"/>
          <w:szCs w:val="22"/>
          <w:lang w:val="es-ES"/>
        </w:rPr>
        <w:t>análisis de sostenibilidad financiera de EEPP de los GAD</w:t>
      </w:r>
      <w:r w:rsidRPr="007850A1">
        <w:rPr>
          <w:rFonts w:ascii="Arial" w:hAnsi="Arial" w:cs="Arial"/>
          <w:sz w:val="22"/>
          <w:szCs w:val="22"/>
        </w:rPr>
        <w:t>.</w:t>
      </w:r>
    </w:p>
    <w:p w14:paraId="1747941E" w14:textId="77777777" w:rsidR="000B055D" w:rsidRPr="00F550E6" w:rsidRDefault="000B055D" w:rsidP="00A06DD5">
      <w:pPr>
        <w:pStyle w:val="Paragraph"/>
        <w:numPr>
          <w:ilvl w:val="1"/>
          <w:numId w:val="23"/>
        </w:numPr>
        <w:tabs>
          <w:tab w:val="clear" w:pos="2736"/>
        </w:tabs>
        <w:ind w:left="720" w:hanging="720"/>
        <w:rPr>
          <w:rFonts w:ascii="Arial" w:hAnsi="Arial" w:cs="Arial"/>
          <w:sz w:val="22"/>
        </w:rPr>
      </w:pPr>
      <w:r w:rsidRPr="00A1564B">
        <w:rPr>
          <w:rFonts w:ascii="Arial" w:hAnsi="Arial" w:cs="Arial"/>
          <w:b/>
          <w:sz w:val="22"/>
        </w:rPr>
        <w:t xml:space="preserve">Componente 2. Optimización de la cartera de </w:t>
      </w:r>
      <w:r>
        <w:rPr>
          <w:rFonts w:ascii="Arial" w:hAnsi="Arial" w:cs="Arial"/>
          <w:b/>
          <w:sz w:val="22"/>
        </w:rPr>
        <w:t>EEPP</w:t>
      </w:r>
      <w:r w:rsidRPr="00A1564B">
        <w:rPr>
          <w:rFonts w:ascii="Arial" w:hAnsi="Arial" w:cs="Arial"/>
          <w:b/>
          <w:sz w:val="22"/>
        </w:rPr>
        <w:t xml:space="preserve"> (US$</w:t>
      </w:r>
      <w:r>
        <w:rPr>
          <w:rFonts w:ascii="Arial" w:hAnsi="Arial" w:cs="Arial"/>
          <w:b/>
          <w:sz w:val="22"/>
        </w:rPr>
        <w:t>70,8</w:t>
      </w:r>
      <w:r w:rsidRPr="00A1564B">
        <w:rPr>
          <w:rFonts w:ascii="Arial" w:hAnsi="Arial" w:cs="Arial"/>
          <w:b/>
          <w:sz w:val="22"/>
        </w:rPr>
        <w:t xml:space="preserve"> millones). </w:t>
      </w:r>
      <w:bookmarkStart w:id="5" w:name="_Hlk10140873"/>
    </w:p>
    <w:p w14:paraId="300A007E" w14:textId="6B63EB31" w:rsidR="000B055D" w:rsidRPr="00AC2DA4" w:rsidRDefault="000B055D" w:rsidP="00266E44">
      <w:pPr>
        <w:pStyle w:val="subpar"/>
        <w:numPr>
          <w:ilvl w:val="0"/>
          <w:numId w:val="33"/>
        </w:numPr>
        <w:rPr>
          <w:rFonts w:ascii="Arial" w:hAnsi="Arial" w:cs="Arial"/>
          <w:sz w:val="22"/>
          <w:szCs w:val="22"/>
        </w:rPr>
      </w:pPr>
      <w:r w:rsidRPr="00AC2DA4">
        <w:rPr>
          <w:rFonts w:ascii="Arial" w:hAnsi="Arial" w:cs="Arial"/>
          <w:b/>
          <w:sz w:val="22"/>
          <w:szCs w:val="22"/>
        </w:rPr>
        <w:t xml:space="preserve">Subcomponente 2.1. Rediseño de EEPP. </w:t>
      </w:r>
      <w:r w:rsidRPr="00AC2DA4">
        <w:rPr>
          <w:rFonts w:ascii="Arial" w:hAnsi="Arial" w:cs="Arial"/>
          <w:sz w:val="22"/>
          <w:szCs w:val="22"/>
        </w:rPr>
        <w:t xml:space="preserve">(i) </w:t>
      </w:r>
      <w:r w:rsidRPr="007850A1">
        <w:rPr>
          <w:rFonts w:ascii="Arial" w:hAnsi="Arial" w:cs="Arial"/>
          <w:sz w:val="22"/>
          <w:szCs w:val="22"/>
        </w:rPr>
        <w:t xml:space="preserve">Apoyo a la </w:t>
      </w:r>
      <w:r w:rsidRPr="007850A1">
        <w:rPr>
          <w:rFonts w:ascii="Arial" w:eastAsia="Arial" w:hAnsi="Arial" w:cs="Arial"/>
          <w:bCs/>
          <w:sz w:val="22"/>
          <w:szCs w:val="22"/>
        </w:rPr>
        <w:t>fusión de</w:t>
      </w:r>
      <w:r w:rsidRPr="00AC2DA4">
        <w:rPr>
          <w:rFonts w:ascii="Arial" w:eastAsia="Arial" w:hAnsi="Arial" w:cs="Arial"/>
          <w:bCs/>
          <w:sz w:val="22"/>
          <w:szCs w:val="22"/>
          <w:u w:val="single"/>
        </w:rPr>
        <w:t xml:space="preserve"> </w:t>
      </w:r>
      <w:r w:rsidRPr="007850A1">
        <w:rPr>
          <w:rFonts w:ascii="Arial" w:eastAsia="Arial" w:hAnsi="Arial" w:cs="Arial"/>
          <w:bCs/>
          <w:sz w:val="22"/>
          <w:szCs w:val="22"/>
        </w:rPr>
        <w:t xml:space="preserve">Petroamazonas y Petroecuador. </w:t>
      </w:r>
      <w:r w:rsidRPr="007850A1">
        <w:rPr>
          <w:rFonts w:ascii="Arial" w:hAnsi="Arial" w:cs="Arial"/>
          <w:sz w:val="22"/>
          <w:szCs w:val="22"/>
        </w:rPr>
        <w:t>Se financiará</w:t>
      </w:r>
      <w:r w:rsidRPr="007850A1">
        <w:rPr>
          <w:rFonts w:ascii="Arial" w:eastAsia="Arial" w:hAnsi="Arial" w:cs="Arial"/>
          <w:bCs/>
          <w:sz w:val="22"/>
          <w:szCs w:val="22"/>
        </w:rPr>
        <w:t>: (a) </w:t>
      </w:r>
      <w:r w:rsidRPr="007850A1">
        <w:rPr>
          <w:rFonts w:ascii="Arial" w:hAnsi="Arial" w:cs="Arial"/>
          <w:sz w:val="22"/>
          <w:szCs w:val="22"/>
        </w:rPr>
        <w:t xml:space="preserve">elaboración de la </w:t>
      </w:r>
      <w:r w:rsidRPr="007850A1">
        <w:rPr>
          <w:rFonts w:ascii="Arial" w:eastAsia="Arial" w:hAnsi="Arial" w:cs="Arial"/>
          <w:bCs/>
          <w:sz w:val="22"/>
          <w:szCs w:val="22"/>
        </w:rPr>
        <w:t>estrategia de fusión</w:t>
      </w:r>
      <w:r w:rsidRPr="007850A1">
        <w:rPr>
          <w:rFonts w:ascii="Arial" w:hAnsi="Arial" w:cs="Arial"/>
          <w:sz w:val="22"/>
          <w:szCs w:val="22"/>
        </w:rPr>
        <w:t>; (b) implementación de la fusión (incluyendo diseño e implementación de una estrategia de gestión del cambio)</w:t>
      </w:r>
      <w:r w:rsidRPr="007850A1">
        <w:rPr>
          <w:rStyle w:val="FootnoteReference"/>
          <w:rFonts w:ascii="Arial" w:hAnsi="Arial" w:cs="Arial"/>
          <w:sz w:val="22"/>
          <w:szCs w:val="22"/>
        </w:rPr>
        <w:footnoteReference w:id="9"/>
      </w:r>
      <w:r w:rsidRPr="007850A1">
        <w:rPr>
          <w:rFonts w:ascii="Arial" w:hAnsi="Arial" w:cs="Arial"/>
          <w:sz w:val="22"/>
          <w:szCs w:val="22"/>
        </w:rPr>
        <w:t xml:space="preserve">; (c) asistencia técnica </w:t>
      </w:r>
      <w:r w:rsidRPr="007850A1">
        <w:rPr>
          <w:rFonts w:ascii="Arial" w:hAnsi="Arial" w:cs="Arial"/>
          <w:sz w:val="22"/>
          <w:szCs w:val="22"/>
          <w:lang w:val="es-ES"/>
        </w:rPr>
        <w:t xml:space="preserve">sobre cadena de valor (exploración y producción petrolera) para mejorar la eficiencia de la fusión; (d) </w:t>
      </w:r>
      <w:r w:rsidRPr="007850A1">
        <w:rPr>
          <w:rFonts w:ascii="Arial" w:hAnsi="Arial" w:cs="Arial"/>
          <w:sz w:val="22"/>
          <w:szCs w:val="22"/>
        </w:rPr>
        <w:t>implementación del Sistema informático de gestión (SAP); (e) asesoría legal en la fusión; (</w:t>
      </w:r>
      <w:proofErr w:type="spellStart"/>
      <w:r w:rsidRPr="007850A1">
        <w:rPr>
          <w:rFonts w:ascii="Arial" w:hAnsi="Arial" w:cs="Arial"/>
          <w:sz w:val="22"/>
          <w:szCs w:val="22"/>
        </w:rPr>
        <w:t>ii</w:t>
      </w:r>
      <w:proofErr w:type="spellEnd"/>
      <w:r w:rsidRPr="007850A1">
        <w:rPr>
          <w:rFonts w:ascii="Arial" w:hAnsi="Arial" w:cs="Arial"/>
          <w:sz w:val="22"/>
          <w:szCs w:val="22"/>
        </w:rPr>
        <w:t>) optimización del funcionamiento de la CELEC y CNEL. Se financiará una consultoría que incluya: (a) diagnóstico institucional y propuesta coordinada de gestión del sector eléctrico, incluyendo el diseño de una estrategia de gestión del cambio; (b) implementación de las reformas a la LOEP; (c) estudios de costes de producción, con estimación de valor de activos</w:t>
      </w:r>
      <w:r w:rsidRPr="007850A1">
        <w:rPr>
          <w:rFonts w:ascii="Arial" w:eastAsia="Arial" w:hAnsi="Arial" w:cs="Arial"/>
          <w:bCs/>
          <w:sz w:val="22"/>
          <w:szCs w:val="22"/>
        </w:rPr>
        <w:t>; y (</w:t>
      </w:r>
      <w:proofErr w:type="spellStart"/>
      <w:r w:rsidRPr="007850A1">
        <w:rPr>
          <w:rFonts w:ascii="Arial" w:eastAsia="Arial" w:hAnsi="Arial" w:cs="Arial"/>
          <w:bCs/>
          <w:sz w:val="22"/>
          <w:szCs w:val="22"/>
        </w:rPr>
        <w:t>iii</w:t>
      </w:r>
      <w:proofErr w:type="spellEnd"/>
      <w:r w:rsidRPr="007850A1">
        <w:rPr>
          <w:rFonts w:ascii="Arial" w:eastAsia="Arial" w:hAnsi="Arial" w:cs="Arial"/>
          <w:bCs/>
          <w:sz w:val="22"/>
          <w:szCs w:val="22"/>
        </w:rPr>
        <w:t xml:space="preserve">) valoración patrimonial de Tame. Se financiará: (a) </w:t>
      </w:r>
      <w:r w:rsidRPr="007850A1">
        <w:rPr>
          <w:rFonts w:ascii="Arial" w:hAnsi="Arial" w:cs="Arial"/>
          <w:sz w:val="22"/>
          <w:szCs w:val="22"/>
        </w:rPr>
        <w:t>evaluación de pertinencia de propiedad estatal, análisis de mercado, y estrategia de puesta en valor</w:t>
      </w:r>
      <w:r w:rsidRPr="007850A1">
        <w:rPr>
          <w:rStyle w:val="FootnoteReference"/>
          <w:rFonts w:ascii="Arial" w:hAnsi="Arial" w:cs="Arial"/>
          <w:sz w:val="22"/>
          <w:szCs w:val="22"/>
        </w:rPr>
        <w:footnoteReference w:id="10"/>
      </w:r>
      <w:r w:rsidRPr="007850A1">
        <w:rPr>
          <w:rFonts w:ascii="Arial" w:hAnsi="Arial" w:cs="Arial"/>
          <w:sz w:val="22"/>
          <w:szCs w:val="22"/>
        </w:rPr>
        <w:t xml:space="preserve">; y (b) elaboración de los </w:t>
      </w:r>
      <w:r w:rsidRPr="007850A1">
        <w:rPr>
          <w:rFonts w:ascii="Arial" w:hAnsi="Arial" w:cs="Arial"/>
          <w:sz w:val="22"/>
          <w:szCs w:val="22"/>
          <w:lang w:val="es-ES"/>
        </w:rPr>
        <w:t>Estados Financieros con las NIIF 2017-2018</w:t>
      </w:r>
      <w:r w:rsidRPr="007850A1">
        <w:rPr>
          <w:rFonts w:ascii="Arial" w:hAnsi="Arial" w:cs="Arial"/>
          <w:sz w:val="22"/>
          <w:szCs w:val="22"/>
        </w:rPr>
        <w:t>.</w:t>
      </w:r>
      <w:r w:rsidRPr="00AC2DA4">
        <w:rPr>
          <w:rFonts w:ascii="Arial" w:hAnsi="Arial" w:cs="Arial"/>
          <w:sz w:val="22"/>
          <w:szCs w:val="22"/>
        </w:rPr>
        <w:t xml:space="preserve"> </w:t>
      </w:r>
      <w:bookmarkStart w:id="6" w:name="_Hlk10215320"/>
    </w:p>
    <w:p w14:paraId="6CACE231" w14:textId="16BD3611" w:rsidR="005A48E4" w:rsidRDefault="00A21B69" w:rsidP="00266E44">
      <w:pPr>
        <w:pStyle w:val="subpar"/>
        <w:numPr>
          <w:ilvl w:val="0"/>
          <w:numId w:val="33"/>
        </w:numPr>
      </w:pPr>
      <w:r>
        <w:rPr>
          <w:rFonts w:ascii="Arial" w:hAnsi="Arial" w:cs="Arial"/>
          <w:b/>
          <w:sz w:val="22"/>
          <w:szCs w:val="22"/>
        </w:rPr>
        <w:t xml:space="preserve">Subcomponente 2.2. </w:t>
      </w:r>
      <w:r w:rsidR="000B055D" w:rsidRPr="00634AD8">
        <w:rPr>
          <w:rFonts w:ascii="Arial" w:hAnsi="Arial" w:cs="Arial"/>
          <w:b/>
          <w:sz w:val="22"/>
          <w:szCs w:val="22"/>
        </w:rPr>
        <w:t>Mejora de la gestión y optimización del TH.</w:t>
      </w:r>
      <w:r w:rsidR="000B055D" w:rsidRPr="00634AD8">
        <w:rPr>
          <w:rFonts w:ascii="Arial" w:hAnsi="Arial" w:cs="Arial"/>
          <w:sz w:val="22"/>
          <w:szCs w:val="22"/>
        </w:rPr>
        <w:t xml:space="preserve"> Se financiará: (i) desvinculaciones del personal derivado de las consultorías de optimización financiadas por el Programa, de las EEPP EMCO, Petroecuador, Petroamazonas, CELEC, CNEL y Tame. Para ello, se apoyará el financiamiento de desvinculaciones</w:t>
      </w:r>
      <w:r w:rsidR="000B055D" w:rsidRPr="00AC2DA4">
        <w:rPr>
          <w:rStyle w:val="FootnoteReference"/>
          <w:rFonts w:ascii="Arial" w:hAnsi="Arial" w:cs="Arial"/>
          <w:sz w:val="22"/>
          <w:szCs w:val="22"/>
        </w:rPr>
        <w:footnoteReference w:id="11"/>
      </w:r>
      <w:r w:rsidR="000B055D" w:rsidRPr="00634AD8">
        <w:rPr>
          <w:rFonts w:ascii="Arial" w:hAnsi="Arial" w:cs="Arial"/>
          <w:sz w:val="22"/>
          <w:szCs w:val="22"/>
        </w:rPr>
        <w:t xml:space="preserve"> priorizadas en las modalidades: (a) obligatoria por edad (más de 70 años)</w:t>
      </w:r>
      <w:r w:rsidR="000B055D" w:rsidRPr="00AC2DA4">
        <w:rPr>
          <w:rStyle w:val="FootnoteReference"/>
          <w:rFonts w:ascii="Arial" w:hAnsi="Arial" w:cs="Arial"/>
          <w:sz w:val="22"/>
          <w:szCs w:val="22"/>
        </w:rPr>
        <w:footnoteReference w:id="12"/>
      </w:r>
      <w:r w:rsidR="000B055D" w:rsidRPr="00634AD8">
        <w:rPr>
          <w:rFonts w:ascii="Arial" w:hAnsi="Arial" w:cs="Arial"/>
          <w:sz w:val="22"/>
          <w:szCs w:val="22"/>
        </w:rPr>
        <w:t>; (b) voluntaria por enfermedad catastrófica, invalidez o discapacidad</w:t>
      </w:r>
      <w:r w:rsidR="000B055D" w:rsidRPr="00AC2DA4">
        <w:rPr>
          <w:rStyle w:val="FootnoteReference"/>
          <w:rFonts w:ascii="Arial" w:hAnsi="Arial" w:cs="Arial"/>
          <w:sz w:val="22"/>
          <w:szCs w:val="22"/>
        </w:rPr>
        <w:footnoteReference w:id="13"/>
      </w:r>
      <w:r w:rsidR="000B055D" w:rsidRPr="00634AD8">
        <w:rPr>
          <w:rFonts w:ascii="Arial" w:hAnsi="Arial" w:cs="Arial"/>
          <w:sz w:val="22"/>
          <w:szCs w:val="22"/>
        </w:rPr>
        <w:t>; (c) renuncia voluntaria</w:t>
      </w:r>
      <w:r w:rsidR="000B055D" w:rsidRPr="00AC2DA4">
        <w:rPr>
          <w:rStyle w:val="FootnoteReference"/>
          <w:rFonts w:ascii="Arial" w:hAnsi="Arial" w:cs="Arial"/>
          <w:sz w:val="22"/>
          <w:szCs w:val="22"/>
        </w:rPr>
        <w:footnoteReference w:id="14"/>
      </w:r>
      <w:r w:rsidR="000B055D" w:rsidRPr="00634AD8">
        <w:rPr>
          <w:rFonts w:ascii="Arial" w:hAnsi="Arial" w:cs="Arial"/>
          <w:sz w:val="22"/>
          <w:szCs w:val="22"/>
        </w:rPr>
        <w:t>; y (d) supresión de puestos</w:t>
      </w:r>
      <w:r w:rsidR="000B055D" w:rsidRPr="00AC2DA4">
        <w:rPr>
          <w:rStyle w:val="FootnoteReference"/>
          <w:rFonts w:ascii="Arial" w:hAnsi="Arial" w:cs="Arial"/>
          <w:sz w:val="22"/>
          <w:szCs w:val="22"/>
        </w:rPr>
        <w:footnoteReference w:id="15"/>
      </w:r>
      <w:r w:rsidR="000B055D" w:rsidRPr="00634AD8">
        <w:rPr>
          <w:rFonts w:ascii="Arial" w:hAnsi="Arial" w:cs="Arial"/>
          <w:sz w:val="22"/>
          <w:szCs w:val="22"/>
          <w:vertAlign w:val="superscript"/>
        </w:rPr>
        <w:t>,</w:t>
      </w:r>
      <w:r w:rsidR="000B055D" w:rsidRPr="00AC2DA4">
        <w:rPr>
          <w:rStyle w:val="FootnoteReference"/>
          <w:rFonts w:ascii="Arial" w:hAnsi="Arial" w:cs="Arial"/>
          <w:sz w:val="22"/>
          <w:szCs w:val="22"/>
        </w:rPr>
        <w:footnoteReference w:id="16"/>
      </w:r>
      <w:r w:rsidR="000B055D" w:rsidRPr="00634AD8">
        <w:rPr>
          <w:rFonts w:ascii="Arial" w:hAnsi="Arial" w:cs="Arial"/>
          <w:sz w:val="22"/>
          <w:szCs w:val="22"/>
        </w:rPr>
        <w:t xml:space="preserve">, las cuales deberán cumplir con los requisitos de elegibilidad y demás requerimientos establecidos para tal fin en el Reglamento Operativo del Programa (ROP). Dichas </w:t>
      </w:r>
      <w:r w:rsidR="000B055D" w:rsidRPr="00634AD8">
        <w:rPr>
          <w:rFonts w:ascii="Arial" w:hAnsi="Arial" w:cs="Arial"/>
          <w:sz w:val="22"/>
          <w:szCs w:val="22"/>
        </w:rPr>
        <w:lastRenderedPageBreak/>
        <w:t>modalidades se encuentran avaladas por el marco legal vigente (Ley Orgánica de Servicio Público (LOSEP) y LOEP</w:t>
      </w:r>
      <w:r w:rsidR="000B055D">
        <w:rPr>
          <w:rStyle w:val="FootnoteReference"/>
          <w:rFonts w:ascii="Arial" w:hAnsi="Arial" w:cs="Arial"/>
          <w:sz w:val="22"/>
          <w:szCs w:val="22"/>
        </w:rPr>
        <w:footnoteReference w:id="17"/>
      </w:r>
      <w:r w:rsidR="000B055D" w:rsidRPr="00634AD8">
        <w:rPr>
          <w:rFonts w:ascii="Arial" w:hAnsi="Arial" w:cs="Arial"/>
          <w:sz w:val="22"/>
          <w:szCs w:val="22"/>
        </w:rPr>
        <w:t xml:space="preserve">). Estas jubilaciones beneficiarán a </w:t>
      </w:r>
      <w:r w:rsidR="00E23B68">
        <w:rPr>
          <w:rFonts w:ascii="Arial" w:hAnsi="Arial" w:cs="Arial"/>
          <w:sz w:val="22"/>
          <w:szCs w:val="22"/>
        </w:rPr>
        <w:t xml:space="preserve">aproximadamente </w:t>
      </w:r>
      <w:r w:rsidR="000B055D" w:rsidRPr="00634AD8">
        <w:rPr>
          <w:rFonts w:ascii="Arial" w:hAnsi="Arial" w:cs="Arial"/>
          <w:sz w:val="22"/>
          <w:szCs w:val="22"/>
        </w:rPr>
        <w:t>3.350 empleados de dichas EEPP; con una bonificación promedio de US$30.000;</w:t>
      </w:r>
      <w:r w:rsidR="000B055D" w:rsidRPr="00634AD8">
        <w:rPr>
          <w:rFonts w:asciiTheme="minorHAnsi" w:hAnsiTheme="minorHAnsi" w:cstheme="minorHAnsi"/>
          <w:lang w:eastAsia="x-none"/>
        </w:rPr>
        <w:t xml:space="preserve"> </w:t>
      </w:r>
      <w:r w:rsidR="000B055D" w:rsidRPr="00634AD8">
        <w:rPr>
          <w:rFonts w:ascii="Arial" w:hAnsi="Arial" w:cs="Arial"/>
          <w:sz w:val="22"/>
          <w:szCs w:val="22"/>
        </w:rPr>
        <w:t>y (</w:t>
      </w:r>
      <w:proofErr w:type="spellStart"/>
      <w:r w:rsidR="000B055D" w:rsidRPr="00634AD8">
        <w:rPr>
          <w:rFonts w:ascii="Arial" w:hAnsi="Arial" w:cs="Arial"/>
          <w:sz w:val="22"/>
          <w:szCs w:val="22"/>
        </w:rPr>
        <w:t>ii</w:t>
      </w:r>
      <w:proofErr w:type="spellEnd"/>
      <w:r w:rsidR="000B055D" w:rsidRPr="00634AD8">
        <w:rPr>
          <w:rFonts w:ascii="Arial" w:hAnsi="Arial" w:cs="Arial"/>
          <w:sz w:val="22"/>
          <w:szCs w:val="22"/>
        </w:rPr>
        <w:t>) implementación de la estrategia de comunicación (pública e interna) que facilite la comprensión de la reforma y beneficios para el ciudadano</w:t>
      </w:r>
      <w:r w:rsidR="000B055D" w:rsidRPr="00656A48">
        <w:rPr>
          <w:rStyle w:val="FootnoteReference"/>
          <w:rFonts w:ascii="Arial" w:hAnsi="Arial" w:cs="Arial"/>
          <w:sz w:val="22"/>
          <w:szCs w:val="22"/>
        </w:rPr>
        <w:footnoteReference w:id="18"/>
      </w:r>
      <w:bookmarkEnd w:id="5"/>
      <w:r w:rsidR="000B055D" w:rsidRPr="00634AD8">
        <w:rPr>
          <w:rFonts w:ascii="Arial" w:hAnsi="Arial" w:cs="Arial"/>
          <w:sz w:val="22"/>
          <w:szCs w:val="22"/>
        </w:rPr>
        <w:t>.</w:t>
      </w:r>
      <w:bookmarkEnd w:id="3"/>
      <w:bookmarkEnd w:id="6"/>
    </w:p>
    <w:p w14:paraId="25207D4A" w14:textId="77777777" w:rsidR="004B1FA3" w:rsidRPr="004B1FA3" w:rsidRDefault="004B1FA3" w:rsidP="004B1FA3">
      <w:pPr>
        <w:pStyle w:val="Paragraph"/>
        <w:tabs>
          <w:tab w:val="clear" w:pos="720"/>
        </w:tabs>
        <w:spacing w:before="0" w:after="0" w:line="276" w:lineRule="auto"/>
        <w:ind w:left="720" w:firstLine="0"/>
        <w:rPr>
          <w:rFonts w:ascii="Arial" w:hAnsi="Arial" w:cs="Arial"/>
          <w:sz w:val="22"/>
        </w:rPr>
      </w:pPr>
    </w:p>
    <w:p w14:paraId="4D772A07" w14:textId="286C3FA1" w:rsidR="005045E4" w:rsidRPr="004B1FA3" w:rsidRDefault="00942B6B" w:rsidP="00A06DD5">
      <w:pPr>
        <w:pStyle w:val="Paragraph"/>
        <w:numPr>
          <w:ilvl w:val="1"/>
          <w:numId w:val="23"/>
        </w:numPr>
        <w:spacing w:before="0" w:after="0" w:line="276" w:lineRule="auto"/>
        <w:ind w:left="720" w:hanging="720"/>
        <w:rPr>
          <w:rFonts w:ascii="Arial" w:hAnsi="Arial" w:cs="Arial"/>
          <w:color w:val="000000"/>
          <w:sz w:val="22"/>
          <w:lang w:val="es-ES"/>
        </w:rPr>
      </w:pPr>
      <w:bookmarkStart w:id="7" w:name="_Hlk10628969"/>
      <w:r w:rsidRPr="004B1FA3">
        <w:rPr>
          <w:rFonts w:ascii="Arial" w:hAnsi="Arial" w:cs="Arial"/>
          <w:b/>
          <w:bCs/>
          <w:color w:val="000000"/>
          <w:spacing w:val="-6"/>
          <w:sz w:val="22"/>
          <w:lang w:val="es-ES"/>
        </w:rPr>
        <w:t>A</w:t>
      </w:r>
      <w:r w:rsidRPr="004B1FA3">
        <w:rPr>
          <w:rFonts w:ascii="Arial" w:hAnsi="Arial" w:cs="Arial"/>
          <w:b/>
          <w:bCs/>
          <w:color w:val="000000"/>
          <w:spacing w:val="2"/>
          <w:sz w:val="22"/>
          <w:lang w:val="es-ES"/>
        </w:rPr>
        <w:t>d</w:t>
      </w:r>
      <w:r w:rsidRPr="004B1FA3">
        <w:rPr>
          <w:rFonts w:ascii="Arial" w:hAnsi="Arial" w:cs="Arial"/>
          <w:b/>
          <w:bCs/>
          <w:color w:val="000000"/>
          <w:spacing w:val="1"/>
          <w:sz w:val="22"/>
          <w:lang w:val="es-ES"/>
        </w:rPr>
        <w:t>mi</w:t>
      </w:r>
      <w:r w:rsidRPr="004B1FA3">
        <w:rPr>
          <w:rFonts w:ascii="Arial" w:hAnsi="Arial" w:cs="Arial"/>
          <w:b/>
          <w:bCs/>
          <w:color w:val="000000"/>
          <w:sz w:val="22"/>
          <w:lang w:val="es-ES"/>
        </w:rPr>
        <w:t>n</w:t>
      </w:r>
      <w:r w:rsidRPr="004B1FA3">
        <w:rPr>
          <w:rFonts w:ascii="Arial" w:hAnsi="Arial" w:cs="Arial"/>
          <w:b/>
          <w:bCs/>
          <w:color w:val="000000"/>
          <w:spacing w:val="1"/>
          <w:sz w:val="22"/>
          <w:lang w:val="es-ES"/>
        </w:rPr>
        <w:t>i</w:t>
      </w:r>
      <w:r w:rsidRPr="004B1FA3">
        <w:rPr>
          <w:rFonts w:ascii="Arial" w:hAnsi="Arial" w:cs="Arial"/>
          <w:b/>
          <w:bCs/>
          <w:color w:val="000000"/>
          <w:sz w:val="22"/>
          <w:lang w:val="es-ES"/>
        </w:rPr>
        <w:t>s</w:t>
      </w:r>
      <w:r w:rsidRPr="004B1FA3">
        <w:rPr>
          <w:rFonts w:ascii="Arial" w:hAnsi="Arial" w:cs="Arial"/>
          <w:b/>
          <w:bCs/>
          <w:color w:val="000000"/>
          <w:spacing w:val="1"/>
          <w:sz w:val="22"/>
          <w:lang w:val="es-ES"/>
        </w:rPr>
        <w:t>tr</w:t>
      </w:r>
      <w:r w:rsidRPr="004B1FA3">
        <w:rPr>
          <w:rFonts w:ascii="Arial" w:hAnsi="Arial" w:cs="Arial"/>
          <w:b/>
          <w:bCs/>
          <w:color w:val="000000"/>
          <w:sz w:val="22"/>
          <w:lang w:val="es-ES"/>
        </w:rPr>
        <w:t>a</w:t>
      </w:r>
      <w:r w:rsidRPr="004B1FA3">
        <w:rPr>
          <w:rFonts w:ascii="Arial" w:hAnsi="Arial" w:cs="Arial"/>
          <w:b/>
          <w:bCs/>
          <w:color w:val="000000"/>
          <w:spacing w:val="-3"/>
          <w:sz w:val="22"/>
          <w:lang w:val="es-ES"/>
        </w:rPr>
        <w:t>c</w:t>
      </w:r>
      <w:r w:rsidRPr="004B1FA3">
        <w:rPr>
          <w:rFonts w:ascii="Arial" w:hAnsi="Arial" w:cs="Arial"/>
          <w:b/>
          <w:bCs/>
          <w:color w:val="000000"/>
          <w:spacing w:val="1"/>
          <w:sz w:val="22"/>
          <w:lang w:val="es-ES"/>
        </w:rPr>
        <w:t>i</w:t>
      </w:r>
      <w:r w:rsidRPr="004B1FA3">
        <w:rPr>
          <w:rFonts w:ascii="Arial" w:hAnsi="Arial" w:cs="Arial"/>
          <w:b/>
          <w:bCs/>
          <w:color w:val="000000"/>
          <w:sz w:val="22"/>
          <w:lang w:val="es-ES"/>
        </w:rPr>
        <w:t>ón</w:t>
      </w:r>
      <w:r w:rsidRPr="004B1FA3">
        <w:rPr>
          <w:rFonts w:ascii="Arial" w:hAnsi="Arial" w:cs="Arial"/>
          <w:b/>
          <w:bCs/>
          <w:color w:val="000000"/>
          <w:spacing w:val="35"/>
          <w:sz w:val="22"/>
          <w:lang w:val="es-ES"/>
        </w:rPr>
        <w:t xml:space="preserve"> </w:t>
      </w:r>
      <w:r w:rsidRPr="004B1FA3">
        <w:rPr>
          <w:rFonts w:ascii="Arial" w:hAnsi="Arial" w:cs="Arial"/>
          <w:b/>
          <w:bCs/>
          <w:color w:val="000000"/>
          <w:spacing w:val="-1"/>
          <w:sz w:val="22"/>
          <w:lang w:val="es-ES"/>
        </w:rPr>
        <w:t>d</w:t>
      </w:r>
      <w:r w:rsidRPr="004B1FA3">
        <w:rPr>
          <w:rFonts w:ascii="Arial" w:hAnsi="Arial" w:cs="Arial"/>
          <w:b/>
          <w:bCs/>
          <w:color w:val="000000"/>
          <w:spacing w:val="-3"/>
          <w:sz w:val="22"/>
          <w:lang w:val="es-ES"/>
        </w:rPr>
        <w:t>e</w:t>
      </w:r>
      <w:r w:rsidRPr="004B1FA3">
        <w:rPr>
          <w:rFonts w:ascii="Arial" w:hAnsi="Arial" w:cs="Arial"/>
          <w:b/>
          <w:bCs/>
          <w:color w:val="000000"/>
          <w:sz w:val="22"/>
          <w:lang w:val="es-ES"/>
        </w:rPr>
        <w:t>l</w:t>
      </w:r>
      <w:r w:rsidRPr="004B1FA3">
        <w:rPr>
          <w:rFonts w:ascii="Arial" w:hAnsi="Arial" w:cs="Arial"/>
          <w:b/>
          <w:bCs/>
          <w:color w:val="000000"/>
          <w:spacing w:val="34"/>
          <w:sz w:val="22"/>
          <w:lang w:val="es-ES"/>
        </w:rPr>
        <w:t xml:space="preserve"> </w:t>
      </w:r>
      <w:r w:rsidRPr="004B1FA3">
        <w:rPr>
          <w:rFonts w:ascii="Arial" w:hAnsi="Arial" w:cs="Arial"/>
          <w:b/>
          <w:bCs/>
          <w:color w:val="000000"/>
          <w:sz w:val="22"/>
          <w:lang w:val="es-ES"/>
        </w:rPr>
        <w:t>p</w:t>
      </w:r>
      <w:r w:rsidRPr="004B1FA3">
        <w:rPr>
          <w:rFonts w:ascii="Arial" w:hAnsi="Arial" w:cs="Arial"/>
          <w:b/>
          <w:bCs/>
          <w:color w:val="000000"/>
          <w:spacing w:val="-2"/>
          <w:sz w:val="22"/>
          <w:lang w:val="es-ES"/>
        </w:rPr>
        <w:t>r</w:t>
      </w:r>
      <w:r w:rsidRPr="004B1FA3">
        <w:rPr>
          <w:rFonts w:ascii="Arial" w:hAnsi="Arial" w:cs="Arial"/>
          <w:b/>
          <w:bCs/>
          <w:color w:val="000000"/>
          <w:sz w:val="22"/>
          <w:lang w:val="es-ES"/>
        </w:rPr>
        <w:t>og</w:t>
      </w:r>
      <w:r w:rsidRPr="004B1FA3">
        <w:rPr>
          <w:rFonts w:ascii="Arial" w:hAnsi="Arial" w:cs="Arial"/>
          <w:b/>
          <w:bCs/>
          <w:color w:val="000000"/>
          <w:spacing w:val="1"/>
          <w:sz w:val="22"/>
          <w:lang w:val="es-ES"/>
        </w:rPr>
        <w:t>r</w:t>
      </w:r>
      <w:r w:rsidRPr="004B1FA3">
        <w:rPr>
          <w:rFonts w:ascii="Arial" w:hAnsi="Arial" w:cs="Arial"/>
          <w:b/>
          <w:bCs/>
          <w:color w:val="000000"/>
          <w:sz w:val="22"/>
          <w:lang w:val="es-ES"/>
        </w:rPr>
        <w:t>a</w:t>
      </w:r>
      <w:r w:rsidRPr="004B1FA3">
        <w:rPr>
          <w:rFonts w:ascii="Arial" w:hAnsi="Arial" w:cs="Arial"/>
          <w:b/>
          <w:bCs/>
          <w:color w:val="000000"/>
          <w:spacing w:val="1"/>
          <w:sz w:val="22"/>
          <w:lang w:val="es-ES"/>
        </w:rPr>
        <w:t>m</w:t>
      </w:r>
      <w:r w:rsidRPr="004B1FA3">
        <w:rPr>
          <w:rFonts w:ascii="Arial" w:hAnsi="Arial" w:cs="Arial"/>
          <w:b/>
          <w:bCs/>
          <w:color w:val="000000"/>
          <w:sz w:val="22"/>
          <w:lang w:val="es-ES"/>
        </w:rPr>
        <w:t>a. (</w:t>
      </w:r>
      <w:r w:rsidRPr="004B1FA3">
        <w:rPr>
          <w:rFonts w:ascii="Arial" w:hAnsi="Arial" w:cs="Arial"/>
          <w:b/>
          <w:bCs/>
          <w:sz w:val="22"/>
          <w:lang w:val="es-ES"/>
        </w:rPr>
        <w:t>US</w:t>
      </w:r>
      <w:r w:rsidR="000B2EAC" w:rsidRPr="004B1FA3">
        <w:rPr>
          <w:rFonts w:ascii="Arial" w:hAnsi="Arial" w:cs="Arial"/>
          <w:b/>
          <w:bCs/>
          <w:sz w:val="22"/>
          <w:lang w:val="es-ES"/>
        </w:rPr>
        <w:t xml:space="preserve">D </w:t>
      </w:r>
      <w:r w:rsidR="00F85368" w:rsidRPr="004B1FA3">
        <w:rPr>
          <w:rFonts w:ascii="Arial" w:hAnsi="Arial" w:cs="Arial"/>
          <w:b/>
          <w:bCs/>
          <w:sz w:val="22"/>
          <w:lang w:val="es-ES"/>
        </w:rPr>
        <w:t>3</w:t>
      </w:r>
      <w:r w:rsidR="00BE42F8" w:rsidRPr="004B1FA3">
        <w:rPr>
          <w:rFonts w:ascii="Arial" w:hAnsi="Arial" w:cs="Arial"/>
          <w:b/>
          <w:bCs/>
          <w:sz w:val="22"/>
          <w:lang w:val="es-ES"/>
        </w:rPr>
        <w:t>.</w:t>
      </w:r>
      <w:r w:rsidR="000B055D">
        <w:rPr>
          <w:rFonts w:ascii="Arial" w:hAnsi="Arial" w:cs="Arial"/>
          <w:b/>
          <w:bCs/>
          <w:sz w:val="22"/>
          <w:lang w:val="es-ES"/>
        </w:rPr>
        <w:t>4</w:t>
      </w:r>
      <w:r w:rsidRPr="004B1FA3">
        <w:rPr>
          <w:rFonts w:ascii="Arial" w:hAnsi="Arial" w:cs="Arial"/>
          <w:b/>
          <w:bCs/>
          <w:sz w:val="22"/>
          <w:lang w:val="es-ES"/>
        </w:rPr>
        <w:t xml:space="preserve"> millones).</w:t>
      </w:r>
      <w:r w:rsidR="000B2EAC" w:rsidRPr="004B1FA3">
        <w:rPr>
          <w:rFonts w:ascii="Arial" w:hAnsi="Arial" w:cs="Arial"/>
          <w:b/>
          <w:bCs/>
          <w:spacing w:val="34"/>
          <w:sz w:val="22"/>
          <w:lang w:val="es-ES"/>
        </w:rPr>
        <w:t xml:space="preserve"> </w:t>
      </w:r>
      <w:r w:rsidR="000B2EAC" w:rsidRPr="004B1FA3">
        <w:rPr>
          <w:rFonts w:ascii="Arial" w:hAnsi="Arial" w:cs="Arial"/>
          <w:color w:val="000000"/>
          <w:spacing w:val="-1"/>
          <w:sz w:val="22"/>
          <w:lang w:val="es-ES"/>
        </w:rPr>
        <w:t>Adicionalmente, s</w:t>
      </w:r>
      <w:r w:rsidRPr="004B1FA3">
        <w:rPr>
          <w:rFonts w:ascii="Arial" w:hAnsi="Arial" w:cs="Arial"/>
          <w:color w:val="000000"/>
          <w:sz w:val="22"/>
          <w:lang w:val="es-ES"/>
        </w:rPr>
        <w:t>e</w:t>
      </w:r>
      <w:r w:rsidRPr="004B1FA3">
        <w:rPr>
          <w:rFonts w:ascii="Arial" w:hAnsi="Arial" w:cs="Arial"/>
          <w:color w:val="000000"/>
          <w:spacing w:val="32"/>
          <w:sz w:val="22"/>
          <w:lang w:val="es-ES"/>
        </w:rPr>
        <w:t xml:space="preserve"> </w:t>
      </w:r>
      <w:r w:rsidRPr="004B1FA3">
        <w:rPr>
          <w:rFonts w:ascii="Arial" w:hAnsi="Arial" w:cs="Arial"/>
          <w:color w:val="000000"/>
          <w:spacing w:val="3"/>
          <w:sz w:val="22"/>
          <w:lang w:val="es-ES"/>
        </w:rPr>
        <w:t>f</w:t>
      </w:r>
      <w:r w:rsidRPr="004B1FA3">
        <w:rPr>
          <w:rFonts w:ascii="Arial" w:hAnsi="Arial" w:cs="Arial"/>
          <w:color w:val="000000"/>
          <w:spacing w:val="-1"/>
          <w:sz w:val="22"/>
          <w:lang w:val="es-ES"/>
        </w:rPr>
        <w:t>i</w:t>
      </w:r>
      <w:r w:rsidRPr="004B1FA3">
        <w:rPr>
          <w:rFonts w:ascii="Arial" w:hAnsi="Arial" w:cs="Arial"/>
          <w:color w:val="000000"/>
          <w:sz w:val="22"/>
          <w:lang w:val="es-ES"/>
        </w:rPr>
        <w:t>na</w:t>
      </w:r>
      <w:r w:rsidRPr="004B1FA3">
        <w:rPr>
          <w:rFonts w:ascii="Arial" w:hAnsi="Arial" w:cs="Arial"/>
          <w:color w:val="000000"/>
          <w:spacing w:val="-3"/>
          <w:sz w:val="22"/>
          <w:lang w:val="es-ES"/>
        </w:rPr>
        <w:t>n</w:t>
      </w:r>
      <w:r w:rsidRPr="004B1FA3">
        <w:rPr>
          <w:rFonts w:ascii="Arial" w:hAnsi="Arial" w:cs="Arial"/>
          <w:color w:val="000000"/>
          <w:sz w:val="22"/>
          <w:lang w:val="es-ES"/>
        </w:rPr>
        <w:t>c</w:t>
      </w:r>
      <w:r w:rsidRPr="004B1FA3">
        <w:rPr>
          <w:rFonts w:ascii="Arial" w:hAnsi="Arial" w:cs="Arial"/>
          <w:color w:val="000000"/>
          <w:spacing w:val="-1"/>
          <w:sz w:val="22"/>
          <w:lang w:val="es-ES"/>
        </w:rPr>
        <w:t>i</w:t>
      </w:r>
      <w:r w:rsidRPr="004B1FA3">
        <w:rPr>
          <w:rFonts w:ascii="Arial" w:hAnsi="Arial" w:cs="Arial"/>
          <w:color w:val="000000"/>
          <w:sz w:val="22"/>
          <w:lang w:val="es-ES"/>
        </w:rPr>
        <w:t>a</w:t>
      </w:r>
      <w:r w:rsidRPr="004B1FA3">
        <w:rPr>
          <w:rFonts w:ascii="Arial" w:hAnsi="Arial" w:cs="Arial"/>
          <w:color w:val="000000"/>
          <w:spacing w:val="1"/>
          <w:sz w:val="22"/>
          <w:lang w:val="es-ES"/>
        </w:rPr>
        <w:t>r</w:t>
      </w:r>
      <w:r w:rsidRPr="004B1FA3">
        <w:rPr>
          <w:rFonts w:ascii="Arial" w:hAnsi="Arial" w:cs="Arial"/>
          <w:color w:val="000000"/>
          <w:sz w:val="22"/>
          <w:lang w:val="es-ES"/>
        </w:rPr>
        <w:t>án</w:t>
      </w:r>
      <w:r w:rsidRPr="004B1FA3">
        <w:rPr>
          <w:rFonts w:ascii="Arial" w:hAnsi="Arial" w:cs="Arial"/>
          <w:color w:val="000000"/>
          <w:spacing w:val="35"/>
          <w:sz w:val="22"/>
          <w:lang w:val="es-ES"/>
        </w:rPr>
        <w:t xml:space="preserve"> </w:t>
      </w:r>
      <w:r w:rsidRPr="004B1FA3">
        <w:rPr>
          <w:rFonts w:ascii="Arial" w:hAnsi="Arial" w:cs="Arial"/>
          <w:color w:val="000000"/>
          <w:spacing w:val="-1"/>
          <w:sz w:val="22"/>
          <w:lang w:val="es-ES"/>
        </w:rPr>
        <w:t>l</w:t>
      </w:r>
      <w:r w:rsidRPr="004B1FA3">
        <w:rPr>
          <w:rFonts w:ascii="Arial" w:hAnsi="Arial" w:cs="Arial"/>
          <w:color w:val="000000"/>
          <w:sz w:val="22"/>
          <w:lang w:val="es-ES"/>
        </w:rPr>
        <w:t>os</w:t>
      </w:r>
      <w:r w:rsidRPr="004B1FA3">
        <w:rPr>
          <w:rFonts w:ascii="Arial" w:hAnsi="Arial" w:cs="Arial"/>
          <w:color w:val="000000"/>
          <w:spacing w:val="30"/>
          <w:sz w:val="22"/>
          <w:lang w:val="es-ES"/>
        </w:rPr>
        <w:t xml:space="preserve"> </w:t>
      </w:r>
      <w:r w:rsidRPr="004B1FA3">
        <w:rPr>
          <w:rFonts w:ascii="Arial" w:hAnsi="Arial" w:cs="Arial"/>
          <w:color w:val="000000"/>
          <w:spacing w:val="2"/>
          <w:sz w:val="22"/>
          <w:lang w:val="es-ES"/>
        </w:rPr>
        <w:t>g</w:t>
      </w:r>
      <w:r w:rsidRPr="004B1FA3">
        <w:rPr>
          <w:rFonts w:ascii="Arial" w:hAnsi="Arial" w:cs="Arial"/>
          <w:color w:val="000000"/>
          <w:sz w:val="22"/>
          <w:lang w:val="es-ES"/>
        </w:rPr>
        <w:t>as</w:t>
      </w:r>
      <w:r w:rsidRPr="004B1FA3">
        <w:rPr>
          <w:rFonts w:ascii="Arial" w:hAnsi="Arial" w:cs="Arial"/>
          <w:color w:val="000000"/>
          <w:spacing w:val="1"/>
          <w:sz w:val="22"/>
          <w:lang w:val="es-ES"/>
        </w:rPr>
        <w:t>t</w:t>
      </w:r>
      <w:r w:rsidRPr="004B1FA3">
        <w:rPr>
          <w:rFonts w:ascii="Arial" w:hAnsi="Arial" w:cs="Arial"/>
          <w:color w:val="000000"/>
          <w:spacing w:val="-3"/>
          <w:sz w:val="22"/>
          <w:lang w:val="es-ES"/>
        </w:rPr>
        <w:t xml:space="preserve">os </w:t>
      </w:r>
      <w:r w:rsidRPr="004B1FA3">
        <w:rPr>
          <w:rFonts w:ascii="Arial" w:hAnsi="Arial" w:cs="Arial"/>
          <w:color w:val="000000"/>
          <w:sz w:val="22"/>
          <w:lang w:val="es-ES"/>
        </w:rPr>
        <w:t>de</w:t>
      </w:r>
      <w:r w:rsidRPr="004B1FA3">
        <w:rPr>
          <w:rFonts w:ascii="Arial" w:hAnsi="Arial" w:cs="Arial"/>
          <w:color w:val="000000"/>
          <w:spacing w:val="2"/>
          <w:sz w:val="22"/>
          <w:lang w:val="es-ES"/>
        </w:rPr>
        <w:t xml:space="preserve"> </w:t>
      </w:r>
      <w:r w:rsidRPr="004B1FA3">
        <w:rPr>
          <w:rFonts w:ascii="Arial" w:hAnsi="Arial" w:cs="Arial"/>
          <w:color w:val="000000"/>
          <w:sz w:val="22"/>
          <w:lang w:val="es-ES"/>
        </w:rPr>
        <w:t>ad</w:t>
      </w:r>
      <w:r w:rsidRPr="004B1FA3">
        <w:rPr>
          <w:rFonts w:ascii="Arial" w:hAnsi="Arial" w:cs="Arial"/>
          <w:color w:val="000000"/>
          <w:spacing w:val="1"/>
          <w:sz w:val="22"/>
          <w:lang w:val="es-ES"/>
        </w:rPr>
        <w:t>m</w:t>
      </w:r>
      <w:r w:rsidRPr="004B1FA3">
        <w:rPr>
          <w:rFonts w:ascii="Arial" w:hAnsi="Arial" w:cs="Arial"/>
          <w:color w:val="000000"/>
          <w:spacing w:val="-1"/>
          <w:sz w:val="22"/>
          <w:lang w:val="es-ES"/>
        </w:rPr>
        <w:t>i</w:t>
      </w:r>
      <w:r w:rsidRPr="004B1FA3">
        <w:rPr>
          <w:rFonts w:ascii="Arial" w:hAnsi="Arial" w:cs="Arial"/>
          <w:color w:val="000000"/>
          <w:sz w:val="22"/>
          <w:lang w:val="es-ES"/>
        </w:rPr>
        <w:t>n</w:t>
      </w:r>
      <w:r w:rsidRPr="004B1FA3">
        <w:rPr>
          <w:rFonts w:ascii="Arial" w:hAnsi="Arial" w:cs="Arial"/>
          <w:color w:val="000000"/>
          <w:spacing w:val="-1"/>
          <w:sz w:val="22"/>
          <w:lang w:val="es-ES"/>
        </w:rPr>
        <w:t>i</w:t>
      </w:r>
      <w:r w:rsidRPr="004B1FA3">
        <w:rPr>
          <w:rFonts w:ascii="Arial" w:hAnsi="Arial" w:cs="Arial"/>
          <w:color w:val="000000"/>
          <w:sz w:val="22"/>
          <w:lang w:val="es-ES"/>
        </w:rPr>
        <w:t>s</w:t>
      </w:r>
      <w:r w:rsidRPr="004B1FA3">
        <w:rPr>
          <w:rFonts w:ascii="Arial" w:hAnsi="Arial" w:cs="Arial"/>
          <w:color w:val="000000"/>
          <w:spacing w:val="1"/>
          <w:sz w:val="22"/>
          <w:lang w:val="es-ES"/>
        </w:rPr>
        <w:t>tr</w:t>
      </w:r>
      <w:r w:rsidRPr="004B1FA3">
        <w:rPr>
          <w:rFonts w:ascii="Arial" w:hAnsi="Arial" w:cs="Arial"/>
          <w:color w:val="000000"/>
          <w:sz w:val="22"/>
          <w:lang w:val="es-ES"/>
        </w:rPr>
        <w:t>ac</w:t>
      </w:r>
      <w:r w:rsidRPr="004B1FA3">
        <w:rPr>
          <w:rFonts w:ascii="Arial" w:hAnsi="Arial" w:cs="Arial"/>
          <w:color w:val="000000"/>
          <w:spacing w:val="-1"/>
          <w:sz w:val="22"/>
          <w:lang w:val="es-ES"/>
        </w:rPr>
        <w:t>i</w:t>
      </w:r>
      <w:r w:rsidRPr="004B1FA3">
        <w:rPr>
          <w:rFonts w:ascii="Arial" w:hAnsi="Arial" w:cs="Arial"/>
          <w:color w:val="000000"/>
          <w:sz w:val="22"/>
          <w:lang w:val="es-ES"/>
        </w:rPr>
        <w:t xml:space="preserve">ón </w:t>
      </w:r>
      <w:r w:rsidRPr="004B1FA3">
        <w:rPr>
          <w:rFonts w:ascii="Arial" w:hAnsi="Arial" w:cs="Arial"/>
          <w:color w:val="000000"/>
          <w:spacing w:val="1"/>
          <w:sz w:val="22"/>
          <w:lang w:val="es-ES"/>
        </w:rPr>
        <w:t>r</w:t>
      </w:r>
      <w:r w:rsidRPr="004B1FA3">
        <w:rPr>
          <w:rFonts w:ascii="Arial" w:hAnsi="Arial" w:cs="Arial"/>
          <w:color w:val="000000"/>
          <w:sz w:val="22"/>
          <w:lang w:val="es-ES"/>
        </w:rPr>
        <w:t>e</w:t>
      </w:r>
      <w:r w:rsidRPr="004B1FA3">
        <w:rPr>
          <w:rFonts w:ascii="Arial" w:hAnsi="Arial" w:cs="Arial"/>
          <w:color w:val="000000"/>
          <w:spacing w:val="-1"/>
          <w:sz w:val="22"/>
          <w:lang w:val="es-ES"/>
        </w:rPr>
        <w:t>l</w:t>
      </w:r>
      <w:r w:rsidRPr="004B1FA3">
        <w:rPr>
          <w:rFonts w:ascii="Arial" w:hAnsi="Arial" w:cs="Arial"/>
          <w:color w:val="000000"/>
          <w:sz w:val="22"/>
          <w:lang w:val="es-ES"/>
        </w:rPr>
        <w:t>ac</w:t>
      </w:r>
      <w:r w:rsidRPr="004B1FA3">
        <w:rPr>
          <w:rFonts w:ascii="Arial" w:hAnsi="Arial" w:cs="Arial"/>
          <w:color w:val="000000"/>
          <w:spacing w:val="-1"/>
          <w:sz w:val="22"/>
          <w:lang w:val="es-ES"/>
        </w:rPr>
        <w:t>i</w:t>
      </w:r>
      <w:r w:rsidRPr="004B1FA3">
        <w:rPr>
          <w:rFonts w:ascii="Arial" w:hAnsi="Arial" w:cs="Arial"/>
          <w:color w:val="000000"/>
          <w:sz w:val="22"/>
          <w:lang w:val="es-ES"/>
        </w:rPr>
        <w:t>onados</w:t>
      </w:r>
      <w:r w:rsidRPr="004B1FA3">
        <w:rPr>
          <w:rFonts w:ascii="Arial" w:hAnsi="Arial" w:cs="Arial"/>
          <w:color w:val="000000"/>
          <w:spacing w:val="3"/>
          <w:sz w:val="22"/>
          <w:lang w:val="es-ES"/>
        </w:rPr>
        <w:t xml:space="preserve"> </w:t>
      </w:r>
      <w:r w:rsidRPr="004B1FA3">
        <w:rPr>
          <w:rFonts w:ascii="Arial" w:hAnsi="Arial" w:cs="Arial"/>
          <w:color w:val="000000"/>
          <w:sz w:val="22"/>
          <w:lang w:val="es-ES"/>
        </w:rPr>
        <w:t>con</w:t>
      </w:r>
      <w:r w:rsidRPr="004B1FA3">
        <w:rPr>
          <w:rFonts w:ascii="Arial" w:hAnsi="Arial" w:cs="Arial"/>
          <w:color w:val="000000"/>
          <w:spacing w:val="2"/>
          <w:sz w:val="22"/>
          <w:lang w:val="es-ES"/>
        </w:rPr>
        <w:t xml:space="preserve"> </w:t>
      </w:r>
      <w:r w:rsidRPr="004B1FA3">
        <w:rPr>
          <w:rFonts w:ascii="Arial" w:hAnsi="Arial" w:cs="Arial"/>
          <w:color w:val="000000"/>
          <w:sz w:val="22"/>
          <w:lang w:val="es-ES"/>
        </w:rPr>
        <w:t>el</w:t>
      </w:r>
      <w:r w:rsidRPr="004B1FA3">
        <w:rPr>
          <w:rFonts w:ascii="Arial" w:hAnsi="Arial" w:cs="Arial"/>
          <w:color w:val="000000"/>
          <w:spacing w:val="2"/>
          <w:sz w:val="22"/>
          <w:lang w:val="es-ES"/>
        </w:rPr>
        <w:t xml:space="preserve"> </w:t>
      </w:r>
      <w:r w:rsidRPr="004B1FA3">
        <w:rPr>
          <w:rFonts w:ascii="Arial" w:hAnsi="Arial" w:cs="Arial"/>
          <w:color w:val="000000"/>
          <w:spacing w:val="-1"/>
          <w:sz w:val="22"/>
          <w:lang w:val="es-ES"/>
        </w:rPr>
        <w:t>O</w:t>
      </w:r>
      <w:r w:rsidRPr="004B1FA3">
        <w:rPr>
          <w:rFonts w:ascii="Arial" w:hAnsi="Arial" w:cs="Arial"/>
          <w:color w:val="000000"/>
          <w:spacing w:val="-2"/>
          <w:sz w:val="22"/>
          <w:lang w:val="es-ES"/>
        </w:rPr>
        <w:t>r</w:t>
      </w:r>
      <w:r w:rsidRPr="004B1FA3">
        <w:rPr>
          <w:rFonts w:ascii="Arial" w:hAnsi="Arial" w:cs="Arial"/>
          <w:color w:val="000000"/>
          <w:spacing w:val="2"/>
          <w:sz w:val="22"/>
          <w:lang w:val="es-ES"/>
        </w:rPr>
        <w:t>g</w:t>
      </w:r>
      <w:r w:rsidRPr="004B1FA3">
        <w:rPr>
          <w:rFonts w:ascii="Arial" w:hAnsi="Arial" w:cs="Arial"/>
          <w:color w:val="000000"/>
          <w:sz w:val="22"/>
          <w:lang w:val="es-ES"/>
        </w:rPr>
        <w:t>an</w:t>
      </w:r>
      <w:r w:rsidRPr="004B1FA3">
        <w:rPr>
          <w:rFonts w:ascii="Arial" w:hAnsi="Arial" w:cs="Arial"/>
          <w:color w:val="000000"/>
          <w:spacing w:val="-1"/>
          <w:sz w:val="22"/>
          <w:lang w:val="es-ES"/>
        </w:rPr>
        <w:t>i</w:t>
      </w:r>
      <w:r w:rsidRPr="004B1FA3">
        <w:rPr>
          <w:rFonts w:ascii="Arial" w:hAnsi="Arial" w:cs="Arial"/>
          <w:color w:val="000000"/>
          <w:sz w:val="22"/>
          <w:lang w:val="es-ES"/>
        </w:rPr>
        <w:t>s</w:t>
      </w:r>
      <w:r w:rsidRPr="004B1FA3">
        <w:rPr>
          <w:rFonts w:ascii="Arial" w:hAnsi="Arial" w:cs="Arial"/>
          <w:color w:val="000000"/>
          <w:spacing w:val="1"/>
          <w:sz w:val="22"/>
          <w:lang w:val="es-ES"/>
        </w:rPr>
        <w:t>m</w:t>
      </w:r>
      <w:r w:rsidRPr="004B1FA3">
        <w:rPr>
          <w:rFonts w:ascii="Arial" w:hAnsi="Arial" w:cs="Arial"/>
          <w:color w:val="000000"/>
          <w:sz w:val="22"/>
          <w:lang w:val="es-ES"/>
        </w:rPr>
        <w:t>o</w:t>
      </w:r>
      <w:r w:rsidRPr="004B1FA3">
        <w:rPr>
          <w:rFonts w:ascii="Arial" w:hAnsi="Arial" w:cs="Arial"/>
          <w:color w:val="000000"/>
          <w:spacing w:val="3"/>
          <w:sz w:val="22"/>
          <w:lang w:val="es-ES"/>
        </w:rPr>
        <w:t xml:space="preserve"> </w:t>
      </w:r>
      <w:r w:rsidRPr="004B1FA3">
        <w:rPr>
          <w:rFonts w:ascii="Arial" w:hAnsi="Arial" w:cs="Arial"/>
          <w:color w:val="000000"/>
          <w:spacing w:val="-3"/>
          <w:sz w:val="22"/>
          <w:lang w:val="es-ES"/>
        </w:rPr>
        <w:t>E</w:t>
      </w:r>
      <w:r w:rsidRPr="004B1FA3">
        <w:rPr>
          <w:rFonts w:ascii="Arial" w:hAnsi="Arial" w:cs="Arial"/>
          <w:color w:val="000000"/>
          <w:spacing w:val="1"/>
          <w:sz w:val="22"/>
          <w:lang w:val="es-ES"/>
        </w:rPr>
        <w:t>j</w:t>
      </w:r>
      <w:r w:rsidRPr="004B1FA3">
        <w:rPr>
          <w:rFonts w:ascii="Arial" w:hAnsi="Arial" w:cs="Arial"/>
          <w:color w:val="000000"/>
          <w:sz w:val="22"/>
          <w:lang w:val="es-ES"/>
        </w:rPr>
        <w:t>ecu</w:t>
      </w:r>
      <w:r w:rsidRPr="004B1FA3">
        <w:rPr>
          <w:rFonts w:ascii="Arial" w:hAnsi="Arial" w:cs="Arial"/>
          <w:color w:val="000000"/>
          <w:spacing w:val="1"/>
          <w:sz w:val="22"/>
          <w:lang w:val="es-ES"/>
        </w:rPr>
        <w:t>t</w:t>
      </w:r>
      <w:r w:rsidRPr="004B1FA3">
        <w:rPr>
          <w:rFonts w:ascii="Arial" w:hAnsi="Arial" w:cs="Arial"/>
          <w:color w:val="000000"/>
          <w:spacing w:val="-3"/>
          <w:sz w:val="22"/>
          <w:lang w:val="es-ES"/>
        </w:rPr>
        <w:t>o</w:t>
      </w:r>
      <w:r w:rsidRPr="004B1FA3">
        <w:rPr>
          <w:rFonts w:ascii="Arial" w:hAnsi="Arial" w:cs="Arial"/>
          <w:color w:val="000000"/>
          <w:sz w:val="22"/>
          <w:lang w:val="es-ES"/>
        </w:rPr>
        <w:t xml:space="preserve">r </w:t>
      </w:r>
      <w:r w:rsidRPr="004B1FA3">
        <w:rPr>
          <w:rFonts w:ascii="Arial" w:hAnsi="Arial" w:cs="Arial"/>
          <w:color w:val="000000"/>
          <w:spacing w:val="1"/>
          <w:sz w:val="22"/>
          <w:lang w:val="es-ES"/>
        </w:rPr>
        <w:t>(O</w:t>
      </w:r>
      <w:r w:rsidRPr="004B1FA3">
        <w:rPr>
          <w:rFonts w:ascii="Arial" w:hAnsi="Arial" w:cs="Arial"/>
          <w:color w:val="000000"/>
          <w:spacing w:val="-1"/>
          <w:sz w:val="22"/>
          <w:lang w:val="es-ES"/>
        </w:rPr>
        <w:t>E</w:t>
      </w:r>
      <w:r w:rsidRPr="004B1FA3">
        <w:rPr>
          <w:rFonts w:ascii="Arial" w:hAnsi="Arial" w:cs="Arial"/>
          <w:color w:val="000000"/>
          <w:spacing w:val="8"/>
          <w:sz w:val="22"/>
          <w:lang w:val="es-ES"/>
        </w:rPr>
        <w:t>)</w:t>
      </w:r>
      <w:r w:rsidRPr="004B1FA3">
        <w:rPr>
          <w:rFonts w:ascii="Arial" w:hAnsi="Arial" w:cs="Arial"/>
          <w:color w:val="000000"/>
          <w:sz w:val="22"/>
          <w:lang w:val="es-ES"/>
        </w:rPr>
        <w:t xml:space="preserve">, </w:t>
      </w:r>
      <w:r w:rsidR="000B2EAC" w:rsidRPr="004B1FA3">
        <w:rPr>
          <w:rFonts w:ascii="Arial" w:hAnsi="Arial" w:cs="Arial"/>
          <w:color w:val="000000"/>
          <w:sz w:val="22"/>
          <w:lang w:val="es-ES"/>
        </w:rPr>
        <w:t xml:space="preserve">las </w:t>
      </w:r>
      <w:r w:rsidRPr="004B1FA3">
        <w:rPr>
          <w:rFonts w:ascii="Arial" w:hAnsi="Arial" w:cs="Arial"/>
          <w:color w:val="000000"/>
          <w:sz w:val="22"/>
          <w:lang w:val="es-ES"/>
        </w:rPr>
        <w:t>e</w:t>
      </w:r>
      <w:r w:rsidRPr="004B1FA3">
        <w:rPr>
          <w:rFonts w:ascii="Arial" w:hAnsi="Arial" w:cs="Arial"/>
          <w:color w:val="000000"/>
          <w:spacing w:val="-2"/>
          <w:sz w:val="22"/>
          <w:lang w:val="es-ES"/>
        </w:rPr>
        <w:t>v</w:t>
      </w:r>
      <w:r w:rsidRPr="004B1FA3">
        <w:rPr>
          <w:rFonts w:ascii="Arial" w:hAnsi="Arial" w:cs="Arial"/>
          <w:color w:val="000000"/>
          <w:sz w:val="22"/>
          <w:lang w:val="es-ES"/>
        </w:rPr>
        <w:t>a</w:t>
      </w:r>
      <w:r w:rsidRPr="004B1FA3">
        <w:rPr>
          <w:rFonts w:ascii="Arial" w:hAnsi="Arial" w:cs="Arial"/>
          <w:color w:val="000000"/>
          <w:spacing w:val="-1"/>
          <w:sz w:val="22"/>
          <w:lang w:val="es-ES"/>
        </w:rPr>
        <w:t>l</w:t>
      </w:r>
      <w:r w:rsidRPr="004B1FA3">
        <w:rPr>
          <w:rFonts w:ascii="Arial" w:hAnsi="Arial" w:cs="Arial"/>
          <w:color w:val="000000"/>
          <w:sz w:val="22"/>
          <w:lang w:val="es-ES"/>
        </w:rPr>
        <w:t>uac</w:t>
      </w:r>
      <w:r w:rsidRPr="004B1FA3">
        <w:rPr>
          <w:rFonts w:ascii="Arial" w:hAnsi="Arial" w:cs="Arial"/>
          <w:color w:val="000000"/>
          <w:spacing w:val="-1"/>
          <w:sz w:val="22"/>
          <w:lang w:val="es-ES"/>
        </w:rPr>
        <w:t>i</w:t>
      </w:r>
      <w:r w:rsidRPr="004B1FA3">
        <w:rPr>
          <w:rFonts w:ascii="Arial" w:hAnsi="Arial" w:cs="Arial"/>
          <w:color w:val="000000"/>
          <w:sz w:val="22"/>
          <w:lang w:val="es-ES"/>
        </w:rPr>
        <w:t>ones</w:t>
      </w:r>
      <w:r w:rsidRPr="004B1FA3">
        <w:rPr>
          <w:rFonts w:ascii="Arial" w:hAnsi="Arial" w:cs="Arial"/>
          <w:color w:val="000000"/>
          <w:spacing w:val="2"/>
          <w:sz w:val="22"/>
          <w:lang w:val="es-ES"/>
        </w:rPr>
        <w:t xml:space="preserve"> </w:t>
      </w:r>
      <w:r w:rsidRPr="004B1FA3">
        <w:rPr>
          <w:rFonts w:ascii="Arial" w:hAnsi="Arial" w:cs="Arial"/>
          <w:color w:val="000000"/>
          <w:sz w:val="22"/>
          <w:lang w:val="es-ES"/>
        </w:rPr>
        <w:t>y</w:t>
      </w:r>
      <w:r w:rsidRPr="004B1FA3">
        <w:rPr>
          <w:rFonts w:ascii="Arial" w:hAnsi="Arial" w:cs="Arial"/>
          <w:color w:val="000000"/>
          <w:spacing w:val="-1"/>
          <w:sz w:val="22"/>
          <w:lang w:val="es-ES"/>
        </w:rPr>
        <w:t xml:space="preserve"> </w:t>
      </w:r>
      <w:r w:rsidRPr="004B1FA3">
        <w:rPr>
          <w:rFonts w:ascii="Arial" w:hAnsi="Arial" w:cs="Arial"/>
          <w:color w:val="000000"/>
          <w:sz w:val="22"/>
          <w:lang w:val="es-ES"/>
        </w:rPr>
        <w:t>aud</w:t>
      </w:r>
      <w:r w:rsidRPr="004B1FA3">
        <w:rPr>
          <w:rFonts w:ascii="Arial" w:hAnsi="Arial" w:cs="Arial"/>
          <w:color w:val="000000"/>
          <w:spacing w:val="-1"/>
          <w:sz w:val="22"/>
          <w:lang w:val="es-ES"/>
        </w:rPr>
        <w:t>i</w:t>
      </w:r>
      <w:r w:rsidRPr="004B1FA3">
        <w:rPr>
          <w:rFonts w:ascii="Arial" w:hAnsi="Arial" w:cs="Arial"/>
          <w:color w:val="000000"/>
          <w:spacing w:val="1"/>
          <w:sz w:val="22"/>
          <w:lang w:val="es-ES"/>
        </w:rPr>
        <w:t>t</w:t>
      </w:r>
      <w:r w:rsidRPr="004B1FA3">
        <w:rPr>
          <w:rFonts w:ascii="Arial" w:hAnsi="Arial" w:cs="Arial"/>
          <w:color w:val="000000"/>
          <w:sz w:val="22"/>
          <w:lang w:val="es-ES"/>
        </w:rPr>
        <w:t>o</w:t>
      </w:r>
      <w:r w:rsidRPr="004B1FA3">
        <w:rPr>
          <w:rFonts w:ascii="Arial" w:hAnsi="Arial" w:cs="Arial"/>
          <w:color w:val="000000"/>
          <w:spacing w:val="1"/>
          <w:sz w:val="22"/>
          <w:lang w:val="es-ES"/>
        </w:rPr>
        <w:t>r</w:t>
      </w:r>
      <w:r w:rsidRPr="004B1FA3">
        <w:rPr>
          <w:rFonts w:ascii="Arial" w:hAnsi="Arial" w:cs="Arial"/>
          <w:color w:val="000000"/>
          <w:spacing w:val="-4"/>
          <w:sz w:val="22"/>
          <w:lang w:val="es-ES"/>
        </w:rPr>
        <w:t>í</w:t>
      </w:r>
      <w:r w:rsidRPr="004B1FA3">
        <w:rPr>
          <w:rFonts w:ascii="Arial" w:hAnsi="Arial" w:cs="Arial"/>
          <w:color w:val="000000"/>
          <w:sz w:val="22"/>
          <w:lang w:val="es-ES"/>
        </w:rPr>
        <w:t>as</w:t>
      </w:r>
      <w:r w:rsidR="000B2EAC" w:rsidRPr="004B1FA3">
        <w:rPr>
          <w:rFonts w:ascii="Arial" w:hAnsi="Arial" w:cs="Arial"/>
          <w:color w:val="000000"/>
          <w:sz w:val="22"/>
          <w:lang w:val="es-ES"/>
        </w:rPr>
        <w:t xml:space="preserve"> del programa, y se prevé un monto para posibles contingencias</w:t>
      </w:r>
      <w:r w:rsidRPr="004B1FA3">
        <w:rPr>
          <w:rFonts w:ascii="Arial" w:hAnsi="Arial" w:cs="Arial"/>
          <w:color w:val="000000"/>
          <w:sz w:val="22"/>
          <w:lang w:val="es-ES"/>
        </w:rPr>
        <w:t>.</w:t>
      </w:r>
    </w:p>
    <w:bookmarkEnd w:id="7"/>
    <w:p w14:paraId="67E0E6AC" w14:textId="77777777" w:rsidR="00D85964" w:rsidRPr="004B1FA3" w:rsidRDefault="00D85964" w:rsidP="004B1FA3">
      <w:pPr>
        <w:pStyle w:val="ListParagraph"/>
        <w:widowControl w:val="0"/>
        <w:autoSpaceDE w:val="0"/>
        <w:autoSpaceDN w:val="0"/>
        <w:adjustRightInd w:val="0"/>
        <w:spacing w:line="276" w:lineRule="auto"/>
        <w:ind w:left="709" w:right="79"/>
        <w:jc w:val="both"/>
        <w:rPr>
          <w:rFonts w:ascii="Arial" w:hAnsi="Arial" w:cs="Arial"/>
          <w:color w:val="000000"/>
          <w:sz w:val="22"/>
          <w:szCs w:val="22"/>
          <w:lang w:val="es-ES"/>
        </w:rPr>
      </w:pPr>
    </w:p>
    <w:p w14:paraId="64DBB02C" w14:textId="2FE823EF" w:rsidR="004B1FA3" w:rsidRPr="004B1FA3" w:rsidRDefault="005A48E4" w:rsidP="00A06DD5">
      <w:pPr>
        <w:pStyle w:val="Paragraph"/>
        <w:numPr>
          <w:ilvl w:val="1"/>
          <w:numId w:val="23"/>
        </w:numPr>
        <w:spacing w:before="0" w:after="0" w:line="276" w:lineRule="auto"/>
        <w:ind w:left="720" w:hanging="720"/>
        <w:rPr>
          <w:rFonts w:ascii="Arial" w:hAnsi="Arial" w:cs="Arial"/>
          <w:bCs/>
          <w:color w:val="000000"/>
          <w:spacing w:val="-6"/>
          <w:sz w:val="22"/>
          <w:lang w:val="es-ES"/>
        </w:rPr>
      </w:pPr>
      <w:bookmarkStart w:id="8" w:name="_Hlk10628834"/>
      <w:r w:rsidRPr="004B1FA3">
        <w:rPr>
          <w:rFonts w:ascii="Arial" w:hAnsi="Arial" w:cs="Arial"/>
          <w:bCs/>
          <w:color w:val="000000"/>
          <w:spacing w:val="-6"/>
          <w:sz w:val="22"/>
          <w:lang w:val="es-ES"/>
        </w:rPr>
        <w:t>El prestatario será la República del Ecuador, representada por el</w:t>
      </w:r>
      <w:r w:rsidR="000F5CD3" w:rsidRPr="004B1FA3">
        <w:rPr>
          <w:rFonts w:ascii="Arial" w:hAnsi="Arial" w:cs="Arial"/>
          <w:bCs/>
          <w:color w:val="000000"/>
          <w:spacing w:val="-6"/>
          <w:sz w:val="22"/>
          <w:lang w:val="es-ES"/>
        </w:rPr>
        <w:t xml:space="preserve"> Ministerio de Economía y Finanzas</w:t>
      </w:r>
      <w:r w:rsidRPr="004B1FA3">
        <w:rPr>
          <w:rFonts w:ascii="Arial" w:hAnsi="Arial" w:cs="Arial"/>
          <w:bCs/>
          <w:color w:val="000000"/>
          <w:spacing w:val="-6"/>
          <w:sz w:val="22"/>
          <w:lang w:val="es-ES"/>
        </w:rPr>
        <w:t xml:space="preserve"> </w:t>
      </w:r>
      <w:r w:rsidR="000F5CD3" w:rsidRPr="004B1FA3">
        <w:rPr>
          <w:rFonts w:ascii="Arial" w:hAnsi="Arial" w:cs="Arial"/>
          <w:bCs/>
          <w:color w:val="000000"/>
          <w:spacing w:val="-6"/>
          <w:sz w:val="22"/>
          <w:lang w:val="es-ES"/>
        </w:rPr>
        <w:t>(</w:t>
      </w:r>
      <w:r w:rsidRPr="004B1FA3">
        <w:rPr>
          <w:rFonts w:ascii="Arial" w:hAnsi="Arial" w:cs="Arial"/>
          <w:bCs/>
          <w:color w:val="000000"/>
          <w:spacing w:val="-6"/>
          <w:sz w:val="22"/>
          <w:lang w:val="es-ES"/>
        </w:rPr>
        <w:t>MEF</w:t>
      </w:r>
      <w:r w:rsidR="000F5CD3" w:rsidRPr="004B1FA3">
        <w:rPr>
          <w:rFonts w:ascii="Arial" w:hAnsi="Arial" w:cs="Arial"/>
          <w:bCs/>
          <w:color w:val="000000"/>
          <w:spacing w:val="-6"/>
          <w:sz w:val="22"/>
          <w:lang w:val="es-ES"/>
        </w:rPr>
        <w:t>)</w:t>
      </w:r>
      <w:r w:rsidRPr="004B1FA3">
        <w:rPr>
          <w:rFonts w:ascii="Arial" w:hAnsi="Arial" w:cs="Arial"/>
          <w:bCs/>
          <w:color w:val="000000"/>
          <w:spacing w:val="-6"/>
          <w:sz w:val="22"/>
          <w:lang w:val="es-ES"/>
        </w:rPr>
        <w:t>. El Organismo Ejecutor (OE) del programa es el MEF a través de la Dirección Nacional de Empresas Públicas (DNEP)</w:t>
      </w:r>
      <w:r w:rsidR="000F5CD3" w:rsidRPr="004B1FA3">
        <w:rPr>
          <w:rFonts w:ascii="Arial" w:hAnsi="Arial" w:cs="Arial"/>
          <w:bCs/>
          <w:color w:val="000000"/>
          <w:spacing w:val="-6"/>
          <w:sz w:val="22"/>
          <w:lang w:val="es-ES"/>
        </w:rPr>
        <w:t>,</w:t>
      </w:r>
      <w:r w:rsidRPr="004B1FA3">
        <w:rPr>
          <w:rFonts w:ascii="Arial" w:hAnsi="Arial" w:cs="Arial"/>
          <w:bCs/>
          <w:color w:val="000000"/>
          <w:spacing w:val="-6"/>
          <w:sz w:val="22"/>
          <w:lang w:val="es-ES"/>
        </w:rPr>
        <w:t xml:space="preserve"> y los Organismo Subejecutores (OSE) son: (i) EMCO, o la nueva entidad que la sustituya; (</w:t>
      </w:r>
      <w:proofErr w:type="spellStart"/>
      <w:r w:rsidRPr="004B1FA3">
        <w:rPr>
          <w:rFonts w:ascii="Arial" w:hAnsi="Arial" w:cs="Arial"/>
          <w:bCs/>
          <w:color w:val="000000"/>
          <w:spacing w:val="-6"/>
          <w:sz w:val="22"/>
          <w:lang w:val="es-ES"/>
        </w:rPr>
        <w:t>ii</w:t>
      </w:r>
      <w:proofErr w:type="spellEnd"/>
      <w:r w:rsidRPr="004B1FA3">
        <w:rPr>
          <w:rFonts w:ascii="Arial" w:hAnsi="Arial" w:cs="Arial"/>
          <w:bCs/>
          <w:color w:val="000000"/>
          <w:spacing w:val="-6"/>
          <w:sz w:val="22"/>
          <w:lang w:val="es-ES"/>
        </w:rPr>
        <w:t xml:space="preserve">) el </w:t>
      </w:r>
      <w:r w:rsidR="000F5CD3" w:rsidRPr="004B1FA3">
        <w:rPr>
          <w:rFonts w:ascii="Arial" w:hAnsi="Arial" w:cs="Arial"/>
          <w:bCs/>
          <w:color w:val="000000"/>
          <w:spacing w:val="-6"/>
          <w:sz w:val="22"/>
          <w:lang w:val="es-ES"/>
        </w:rPr>
        <w:t>Ministerio de Energía y Recursos Naturales no Renovables (</w:t>
      </w:r>
      <w:r w:rsidRPr="004B1FA3">
        <w:rPr>
          <w:rFonts w:ascii="Arial" w:hAnsi="Arial" w:cs="Arial"/>
          <w:bCs/>
          <w:color w:val="000000"/>
          <w:spacing w:val="-6"/>
          <w:sz w:val="22"/>
          <w:lang w:val="es-ES"/>
        </w:rPr>
        <w:t>MERNNR</w:t>
      </w:r>
      <w:r w:rsidR="000F5CD3" w:rsidRPr="004B1FA3">
        <w:rPr>
          <w:rFonts w:ascii="Arial" w:hAnsi="Arial" w:cs="Arial"/>
          <w:bCs/>
          <w:color w:val="000000"/>
          <w:spacing w:val="-6"/>
          <w:sz w:val="22"/>
          <w:lang w:val="es-ES"/>
        </w:rPr>
        <w:t>)</w:t>
      </w:r>
      <w:r w:rsidRPr="004B1FA3">
        <w:rPr>
          <w:rFonts w:ascii="Arial" w:hAnsi="Arial" w:cs="Arial"/>
          <w:bCs/>
          <w:color w:val="000000"/>
          <w:spacing w:val="-6"/>
          <w:sz w:val="22"/>
          <w:lang w:val="es-ES"/>
        </w:rPr>
        <w:t>; (</w:t>
      </w:r>
      <w:proofErr w:type="spellStart"/>
      <w:r w:rsidRPr="004B1FA3">
        <w:rPr>
          <w:rFonts w:ascii="Arial" w:hAnsi="Arial" w:cs="Arial"/>
          <w:bCs/>
          <w:color w:val="000000"/>
          <w:spacing w:val="-6"/>
          <w:sz w:val="22"/>
          <w:lang w:val="es-ES"/>
        </w:rPr>
        <w:t>iii</w:t>
      </w:r>
      <w:proofErr w:type="spellEnd"/>
      <w:r w:rsidRPr="004B1FA3">
        <w:rPr>
          <w:rFonts w:ascii="Arial" w:hAnsi="Arial" w:cs="Arial"/>
          <w:bCs/>
          <w:color w:val="000000"/>
          <w:spacing w:val="-6"/>
          <w:sz w:val="22"/>
          <w:lang w:val="es-ES"/>
        </w:rPr>
        <w:t>) el Ministerio de Transporte (MTOP); y (</w:t>
      </w:r>
      <w:proofErr w:type="spellStart"/>
      <w:r w:rsidRPr="004B1FA3">
        <w:rPr>
          <w:rFonts w:ascii="Arial" w:hAnsi="Arial" w:cs="Arial"/>
          <w:bCs/>
          <w:color w:val="000000"/>
          <w:spacing w:val="-6"/>
          <w:sz w:val="22"/>
          <w:lang w:val="es-ES"/>
        </w:rPr>
        <w:t>iv</w:t>
      </w:r>
      <w:proofErr w:type="spellEnd"/>
      <w:r w:rsidRPr="004B1FA3">
        <w:rPr>
          <w:rFonts w:ascii="Arial" w:hAnsi="Arial" w:cs="Arial"/>
          <w:bCs/>
          <w:color w:val="000000"/>
          <w:spacing w:val="-6"/>
          <w:sz w:val="22"/>
          <w:lang w:val="es-ES"/>
        </w:rPr>
        <w:t>) las EEPP</w:t>
      </w:r>
      <w:r w:rsidR="00D14E5A" w:rsidRPr="004B1FA3">
        <w:rPr>
          <w:rFonts w:ascii="Arial" w:hAnsi="Arial" w:cs="Arial"/>
          <w:bCs/>
          <w:color w:val="000000"/>
          <w:spacing w:val="-6"/>
          <w:sz w:val="22"/>
          <w:lang w:val="es-ES"/>
        </w:rPr>
        <w:t>:</w:t>
      </w:r>
      <w:r w:rsidRPr="004B1FA3">
        <w:rPr>
          <w:rFonts w:ascii="Arial" w:hAnsi="Arial" w:cs="Arial"/>
          <w:bCs/>
          <w:color w:val="000000"/>
          <w:spacing w:val="-6"/>
          <w:sz w:val="22"/>
          <w:lang w:val="es-ES"/>
        </w:rPr>
        <w:t xml:space="preserve"> Petroecuador, Petroamazonas, CELEC, CNEL y T</w:t>
      </w:r>
      <w:r w:rsidR="000F5CD3" w:rsidRPr="004B1FA3">
        <w:rPr>
          <w:rFonts w:ascii="Arial" w:hAnsi="Arial" w:cs="Arial"/>
          <w:bCs/>
          <w:color w:val="000000"/>
          <w:spacing w:val="-6"/>
          <w:sz w:val="22"/>
          <w:lang w:val="es-ES"/>
        </w:rPr>
        <w:t>AME</w:t>
      </w:r>
      <w:r w:rsidRPr="004B1FA3">
        <w:rPr>
          <w:rFonts w:ascii="Arial" w:hAnsi="Arial" w:cs="Arial"/>
          <w:bCs/>
          <w:color w:val="000000"/>
          <w:spacing w:val="-6"/>
          <w:sz w:val="22"/>
          <w:lang w:val="es-ES"/>
        </w:rPr>
        <w:t>. El MEF ha sido el OE de las operaciones 3073/OC-EC, 3726/OC-EC, 4614/OC-EC, 4670/OC-EC, y 4364/OC-EC, y cuenta con experiencia en la ejecución de programas BID. El OE, debido a su actual carga de trabajo y la naturaleza especifica de los objetivos del Programa, será fortalecido con apoyo técnico y administrativo que permita asumir las responsabilidades adicionales de planificación, ejecución, monitoreo y control.</w:t>
      </w:r>
    </w:p>
    <w:p w14:paraId="6A735047" w14:textId="77777777" w:rsidR="004B1FA3" w:rsidRPr="004B1FA3" w:rsidRDefault="004B1FA3" w:rsidP="004B1FA3">
      <w:pPr>
        <w:pStyle w:val="Paragraph"/>
        <w:tabs>
          <w:tab w:val="clear" w:pos="720"/>
        </w:tabs>
        <w:spacing w:before="0" w:after="0" w:line="276" w:lineRule="auto"/>
        <w:ind w:hanging="360"/>
        <w:rPr>
          <w:rFonts w:ascii="Arial" w:hAnsi="Arial" w:cs="Arial"/>
          <w:bCs/>
          <w:color w:val="000000"/>
          <w:spacing w:val="-6"/>
          <w:sz w:val="22"/>
          <w:lang w:val="es-ES"/>
        </w:rPr>
      </w:pPr>
    </w:p>
    <w:p w14:paraId="3D5493DB" w14:textId="77777777" w:rsidR="00D85964" w:rsidRPr="004B1FA3" w:rsidRDefault="005A48E4" w:rsidP="00A06DD5">
      <w:pPr>
        <w:pStyle w:val="Paragraph"/>
        <w:numPr>
          <w:ilvl w:val="1"/>
          <w:numId w:val="23"/>
        </w:numPr>
        <w:spacing w:before="0" w:after="0" w:line="276" w:lineRule="auto"/>
        <w:ind w:left="720" w:hanging="720"/>
        <w:rPr>
          <w:rFonts w:ascii="Arial" w:hAnsi="Arial" w:cs="Arial"/>
          <w:bCs/>
          <w:color w:val="000000"/>
          <w:spacing w:val="-6"/>
          <w:sz w:val="22"/>
          <w:lang w:val="es-ES"/>
        </w:rPr>
      </w:pPr>
      <w:r w:rsidRPr="004B1FA3">
        <w:rPr>
          <w:rFonts w:ascii="Arial" w:hAnsi="Arial" w:cs="Arial"/>
          <w:bCs/>
          <w:color w:val="000000"/>
          <w:spacing w:val="-6"/>
          <w:sz w:val="22"/>
          <w:lang w:val="es-ES"/>
        </w:rPr>
        <w:t xml:space="preserve">El MEF será el responsable de la ejecución de todo el Programa, y en particular, junto con EMCO (y posteriormente la entidad que la sustituya) de la ejecución de actividades bajo el Componente 1. El OE conformará su Equipo de Gestión (EDG) para asegurar la ejecución del programa según lo dispuesto en el ROP. </w:t>
      </w:r>
      <w:bookmarkStart w:id="9" w:name="_Ref524356074"/>
      <w:r w:rsidRPr="004B1FA3">
        <w:rPr>
          <w:rFonts w:ascii="Arial" w:hAnsi="Arial" w:cs="Arial"/>
          <w:bCs/>
          <w:color w:val="000000"/>
          <w:spacing w:val="-6"/>
          <w:sz w:val="22"/>
          <w:lang w:val="es-ES"/>
        </w:rPr>
        <w:t>El personal clave del OE será el siguiente: (i) Coordinador(a) General; (</w:t>
      </w:r>
      <w:proofErr w:type="spellStart"/>
      <w:r w:rsidRPr="004B1FA3">
        <w:rPr>
          <w:rFonts w:ascii="Arial" w:hAnsi="Arial" w:cs="Arial"/>
          <w:bCs/>
          <w:color w:val="000000"/>
          <w:spacing w:val="-6"/>
          <w:sz w:val="22"/>
          <w:lang w:val="es-ES"/>
        </w:rPr>
        <w:t>ii</w:t>
      </w:r>
      <w:proofErr w:type="spellEnd"/>
      <w:r w:rsidRPr="004B1FA3">
        <w:rPr>
          <w:rFonts w:ascii="Arial" w:hAnsi="Arial" w:cs="Arial"/>
          <w:bCs/>
          <w:color w:val="000000"/>
          <w:spacing w:val="-6"/>
          <w:sz w:val="22"/>
          <w:lang w:val="es-ES"/>
        </w:rPr>
        <w:t>) Coordinador(a) Administrativo Financiero; (</w:t>
      </w:r>
      <w:proofErr w:type="spellStart"/>
      <w:r w:rsidRPr="004B1FA3">
        <w:rPr>
          <w:rFonts w:ascii="Arial" w:hAnsi="Arial" w:cs="Arial"/>
          <w:bCs/>
          <w:color w:val="000000"/>
          <w:spacing w:val="-6"/>
          <w:sz w:val="22"/>
          <w:lang w:val="es-ES"/>
        </w:rPr>
        <w:t>iii</w:t>
      </w:r>
      <w:proofErr w:type="spellEnd"/>
      <w:r w:rsidRPr="004B1FA3">
        <w:rPr>
          <w:rFonts w:ascii="Arial" w:hAnsi="Arial" w:cs="Arial"/>
          <w:bCs/>
          <w:color w:val="000000"/>
          <w:spacing w:val="-6"/>
          <w:sz w:val="22"/>
          <w:lang w:val="es-ES"/>
        </w:rPr>
        <w:t>) Responsable de las Adquisiciones; y (</w:t>
      </w:r>
      <w:proofErr w:type="spellStart"/>
      <w:r w:rsidRPr="004B1FA3">
        <w:rPr>
          <w:rFonts w:ascii="Arial" w:hAnsi="Arial" w:cs="Arial"/>
          <w:bCs/>
          <w:color w:val="000000"/>
          <w:spacing w:val="-6"/>
          <w:sz w:val="22"/>
          <w:lang w:val="es-ES"/>
        </w:rPr>
        <w:t>iv</w:t>
      </w:r>
      <w:proofErr w:type="spellEnd"/>
      <w:r w:rsidRPr="004B1FA3">
        <w:rPr>
          <w:rFonts w:ascii="Arial" w:hAnsi="Arial" w:cs="Arial"/>
          <w:bCs/>
          <w:color w:val="000000"/>
          <w:spacing w:val="-6"/>
          <w:sz w:val="22"/>
          <w:lang w:val="es-ES"/>
        </w:rPr>
        <w:t>) Responsable de Planificación, Monitoreo y Evaluación.</w:t>
      </w:r>
      <w:bookmarkEnd w:id="9"/>
    </w:p>
    <w:p w14:paraId="77B75107" w14:textId="77777777" w:rsidR="004B1FA3" w:rsidRDefault="004B1FA3" w:rsidP="004B1FA3">
      <w:pPr>
        <w:pStyle w:val="Paragraph"/>
        <w:tabs>
          <w:tab w:val="clear" w:pos="720"/>
        </w:tabs>
        <w:spacing w:before="0" w:after="0" w:line="276" w:lineRule="auto"/>
        <w:ind w:left="720" w:firstLine="0"/>
        <w:rPr>
          <w:rFonts w:ascii="Arial" w:hAnsi="Arial" w:cs="Arial"/>
          <w:bCs/>
          <w:color w:val="000000"/>
          <w:spacing w:val="-6"/>
          <w:sz w:val="22"/>
          <w:lang w:val="es-ES"/>
        </w:rPr>
      </w:pPr>
    </w:p>
    <w:p w14:paraId="47EF96A1" w14:textId="67649DBE" w:rsidR="005A48E4" w:rsidRPr="004B1FA3" w:rsidRDefault="005A48E4" w:rsidP="00A06DD5">
      <w:pPr>
        <w:pStyle w:val="Paragraph"/>
        <w:numPr>
          <w:ilvl w:val="1"/>
          <w:numId w:val="23"/>
        </w:numPr>
        <w:spacing w:before="0" w:after="0" w:line="276" w:lineRule="auto"/>
        <w:ind w:left="720" w:hanging="720"/>
        <w:rPr>
          <w:rFonts w:ascii="Arial" w:hAnsi="Arial" w:cs="Arial"/>
          <w:bCs/>
          <w:color w:val="000000"/>
          <w:spacing w:val="-6"/>
          <w:sz w:val="22"/>
          <w:lang w:val="es-ES"/>
        </w:rPr>
      </w:pPr>
      <w:r w:rsidRPr="004B1FA3">
        <w:rPr>
          <w:rFonts w:ascii="Arial" w:hAnsi="Arial" w:cs="Arial"/>
          <w:bCs/>
          <w:color w:val="000000"/>
          <w:spacing w:val="-6"/>
          <w:sz w:val="22"/>
          <w:lang w:val="es-ES"/>
        </w:rPr>
        <w:t>Las principales responsabilidades del OE serán: (i) planificar la ejecución de las actividades; (</w:t>
      </w:r>
      <w:proofErr w:type="spellStart"/>
      <w:r w:rsidRPr="004B1FA3">
        <w:rPr>
          <w:rFonts w:ascii="Arial" w:hAnsi="Arial" w:cs="Arial"/>
          <w:bCs/>
          <w:color w:val="000000"/>
          <w:spacing w:val="-6"/>
          <w:sz w:val="22"/>
          <w:lang w:val="es-ES"/>
        </w:rPr>
        <w:t>ii</w:t>
      </w:r>
      <w:proofErr w:type="spellEnd"/>
      <w:r w:rsidRPr="004B1FA3">
        <w:rPr>
          <w:rFonts w:ascii="Arial" w:hAnsi="Arial" w:cs="Arial"/>
          <w:bCs/>
          <w:color w:val="000000"/>
          <w:spacing w:val="-6"/>
          <w:sz w:val="22"/>
          <w:lang w:val="es-ES"/>
        </w:rPr>
        <w:t>) preparar, implementar y actualizar las herramientas de gestión de</w:t>
      </w:r>
      <w:r w:rsidR="005A002D" w:rsidRPr="004B1FA3">
        <w:rPr>
          <w:rFonts w:ascii="Arial" w:hAnsi="Arial" w:cs="Arial"/>
          <w:bCs/>
          <w:color w:val="000000"/>
          <w:spacing w:val="-6"/>
          <w:sz w:val="22"/>
          <w:lang w:val="es-ES"/>
        </w:rPr>
        <w:t>l</w:t>
      </w:r>
      <w:r w:rsidRPr="004B1FA3">
        <w:rPr>
          <w:rFonts w:ascii="Arial" w:hAnsi="Arial" w:cs="Arial"/>
          <w:bCs/>
          <w:color w:val="000000"/>
          <w:spacing w:val="-6"/>
          <w:sz w:val="22"/>
          <w:lang w:val="es-ES"/>
        </w:rPr>
        <w:t xml:space="preserve"> proyecto: Plan de Ejecución Plurianual (PEP)</w:t>
      </w:r>
      <w:r w:rsidRPr="004B1FA3">
        <w:rPr>
          <w:rFonts w:ascii="Arial" w:hAnsi="Arial" w:cs="Arial"/>
          <w:bCs/>
          <w:color w:val="000000"/>
          <w:spacing w:val="-6"/>
          <w:sz w:val="22"/>
          <w:vertAlign w:val="superscript"/>
          <w:lang w:val="es-ES"/>
        </w:rPr>
        <w:footnoteReference w:id="19"/>
      </w:r>
      <w:r w:rsidRPr="004B1FA3">
        <w:rPr>
          <w:rFonts w:ascii="Arial" w:hAnsi="Arial" w:cs="Arial"/>
          <w:bCs/>
          <w:color w:val="000000"/>
          <w:spacing w:val="-6"/>
          <w:sz w:val="22"/>
          <w:lang w:val="es-ES"/>
        </w:rPr>
        <w:t>, Plan de Adquisiciones (PA), Plan Operativo Anual (POA), el Informe de Monitoreo de Progreso (PMR); (</w:t>
      </w:r>
      <w:proofErr w:type="spellStart"/>
      <w:r w:rsidRPr="004B1FA3">
        <w:rPr>
          <w:rFonts w:ascii="Arial" w:hAnsi="Arial" w:cs="Arial"/>
          <w:bCs/>
          <w:color w:val="000000"/>
          <w:spacing w:val="-6"/>
          <w:sz w:val="22"/>
          <w:lang w:val="es-ES"/>
        </w:rPr>
        <w:t>iii</w:t>
      </w:r>
      <w:proofErr w:type="spellEnd"/>
      <w:r w:rsidRPr="004B1FA3">
        <w:rPr>
          <w:rFonts w:ascii="Arial" w:hAnsi="Arial" w:cs="Arial"/>
          <w:bCs/>
          <w:color w:val="000000"/>
          <w:spacing w:val="-6"/>
          <w:sz w:val="22"/>
          <w:lang w:val="es-ES"/>
        </w:rPr>
        <w:t>) supervisar la ejecución y presentar los informes de avance; (</w:t>
      </w:r>
      <w:proofErr w:type="spellStart"/>
      <w:r w:rsidRPr="004B1FA3">
        <w:rPr>
          <w:rFonts w:ascii="Arial" w:hAnsi="Arial" w:cs="Arial"/>
          <w:bCs/>
          <w:color w:val="000000"/>
          <w:spacing w:val="-6"/>
          <w:sz w:val="22"/>
          <w:lang w:val="es-ES"/>
        </w:rPr>
        <w:t>iv</w:t>
      </w:r>
      <w:proofErr w:type="spellEnd"/>
      <w:r w:rsidRPr="004B1FA3">
        <w:rPr>
          <w:rFonts w:ascii="Arial" w:hAnsi="Arial" w:cs="Arial"/>
          <w:bCs/>
          <w:color w:val="000000"/>
          <w:spacing w:val="-6"/>
          <w:sz w:val="22"/>
          <w:lang w:val="es-ES"/>
        </w:rPr>
        <w:t xml:space="preserve">) </w:t>
      </w:r>
      <w:bookmarkStart w:id="10" w:name="_Hlk8140611"/>
      <w:r w:rsidRPr="004B1FA3">
        <w:rPr>
          <w:rFonts w:ascii="Arial" w:hAnsi="Arial" w:cs="Arial"/>
          <w:bCs/>
          <w:color w:val="000000"/>
          <w:spacing w:val="-6"/>
          <w:sz w:val="22"/>
          <w:lang w:val="es-ES"/>
        </w:rPr>
        <w:t xml:space="preserve">realizar los procesos de preparación de </w:t>
      </w:r>
      <w:proofErr w:type="spellStart"/>
      <w:r w:rsidRPr="004B1FA3">
        <w:rPr>
          <w:rFonts w:ascii="Arial" w:hAnsi="Arial" w:cs="Arial"/>
          <w:bCs/>
          <w:color w:val="000000"/>
          <w:spacing w:val="-6"/>
          <w:sz w:val="22"/>
          <w:lang w:val="es-ES"/>
        </w:rPr>
        <w:t>TdR</w:t>
      </w:r>
      <w:proofErr w:type="spellEnd"/>
      <w:r w:rsidRPr="004B1FA3">
        <w:rPr>
          <w:rFonts w:ascii="Arial" w:hAnsi="Arial" w:cs="Arial"/>
          <w:bCs/>
          <w:color w:val="000000"/>
          <w:spacing w:val="-6"/>
          <w:sz w:val="22"/>
          <w:lang w:val="es-ES"/>
        </w:rPr>
        <w:t>, licitación y adquisición de bienes, y de selección y contratación de servicios de las actividades a su cargo</w:t>
      </w:r>
      <w:bookmarkEnd w:id="10"/>
      <w:r w:rsidRPr="004B1FA3">
        <w:rPr>
          <w:rFonts w:ascii="Arial" w:hAnsi="Arial" w:cs="Arial"/>
          <w:bCs/>
          <w:color w:val="000000"/>
          <w:spacing w:val="-6"/>
          <w:sz w:val="22"/>
          <w:lang w:val="es-ES"/>
        </w:rPr>
        <w:t>; (v) presentar las justificaciones y solicitudes de desembolso al Banco; (vi) presentar los estados financieros auditados; (</w:t>
      </w:r>
      <w:proofErr w:type="spellStart"/>
      <w:r w:rsidRPr="004B1FA3">
        <w:rPr>
          <w:rFonts w:ascii="Arial" w:hAnsi="Arial" w:cs="Arial"/>
          <w:bCs/>
          <w:color w:val="000000"/>
          <w:spacing w:val="-6"/>
          <w:sz w:val="22"/>
          <w:lang w:val="es-ES"/>
        </w:rPr>
        <w:t>vii</w:t>
      </w:r>
      <w:proofErr w:type="spellEnd"/>
      <w:r w:rsidRPr="004B1FA3">
        <w:rPr>
          <w:rFonts w:ascii="Arial" w:hAnsi="Arial" w:cs="Arial"/>
          <w:bCs/>
          <w:color w:val="000000"/>
          <w:spacing w:val="-6"/>
          <w:sz w:val="22"/>
          <w:lang w:val="es-ES"/>
        </w:rPr>
        <w:t xml:space="preserve">) preparar la evaluación </w:t>
      </w:r>
      <w:r w:rsidRPr="004B1FA3">
        <w:rPr>
          <w:rFonts w:ascii="Arial" w:hAnsi="Arial" w:cs="Arial"/>
          <w:bCs/>
          <w:color w:val="000000"/>
          <w:spacing w:val="-6"/>
          <w:sz w:val="22"/>
          <w:lang w:val="es-ES"/>
        </w:rPr>
        <w:lastRenderedPageBreak/>
        <w:t>del programa; y (</w:t>
      </w:r>
      <w:proofErr w:type="spellStart"/>
      <w:r w:rsidRPr="004B1FA3">
        <w:rPr>
          <w:rFonts w:ascii="Arial" w:hAnsi="Arial" w:cs="Arial"/>
          <w:bCs/>
          <w:color w:val="000000"/>
          <w:spacing w:val="-6"/>
          <w:sz w:val="22"/>
          <w:lang w:val="es-ES"/>
        </w:rPr>
        <w:t>viii</w:t>
      </w:r>
      <w:proofErr w:type="spellEnd"/>
      <w:r w:rsidRPr="004B1FA3">
        <w:rPr>
          <w:rFonts w:ascii="Arial" w:hAnsi="Arial" w:cs="Arial"/>
          <w:bCs/>
          <w:color w:val="000000"/>
          <w:spacing w:val="-6"/>
          <w:sz w:val="22"/>
          <w:lang w:val="es-ES"/>
        </w:rPr>
        <w:t xml:space="preserve">) coordinar las actividades a nivel gobierno que sean necesarias para la ejecución del programa. </w:t>
      </w:r>
    </w:p>
    <w:p w14:paraId="369D5555" w14:textId="083A150C" w:rsidR="00455E56" w:rsidRPr="004B1FA3" w:rsidRDefault="005A48E4" w:rsidP="00A06DD5">
      <w:pPr>
        <w:pStyle w:val="Paragraph"/>
        <w:numPr>
          <w:ilvl w:val="1"/>
          <w:numId w:val="23"/>
        </w:numPr>
        <w:spacing w:before="0" w:after="0" w:line="276" w:lineRule="auto"/>
        <w:ind w:left="720" w:hanging="720"/>
        <w:rPr>
          <w:rFonts w:ascii="Arial" w:hAnsi="Arial" w:cs="Arial"/>
          <w:bCs/>
          <w:color w:val="000000"/>
          <w:spacing w:val="-6"/>
          <w:sz w:val="22"/>
          <w:lang w:val="es-ES"/>
        </w:rPr>
      </w:pPr>
      <w:r w:rsidRPr="004B1FA3">
        <w:rPr>
          <w:rFonts w:ascii="Arial" w:hAnsi="Arial" w:cs="Arial"/>
          <w:bCs/>
          <w:color w:val="000000"/>
          <w:spacing w:val="-6"/>
          <w:sz w:val="22"/>
          <w:lang w:val="es-ES"/>
        </w:rPr>
        <w:t xml:space="preserve">Los ministerios que se constituyan como OSE (MERNNR y MTOP) serán responsables, bajo el Componente 2, de: (i) realizar los procesos de preparación de </w:t>
      </w:r>
      <w:proofErr w:type="spellStart"/>
      <w:r w:rsidRPr="004B1FA3">
        <w:rPr>
          <w:rFonts w:ascii="Arial" w:hAnsi="Arial" w:cs="Arial"/>
          <w:bCs/>
          <w:color w:val="000000"/>
          <w:spacing w:val="-6"/>
          <w:sz w:val="22"/>
          <w:lang w:val="es-ES"/>
        </w:rPr>
        <w:t>TdR</w:t>
      </w:r>
      <w:proofErr w:type="spellEnd"/>
      <w:r w:rsidRPr="004B1FA3">
        <w:rPr>
          <w:rFonts w:ascii="Arial" w:hAnsi="Arial" w:cs="Arial"/>
          <w:bCs/>
          <w:color w:val="000000"/>
          <w:spacing w:val="-6"/>
          <w:sz w:val="22"/>
          <w:lang w:val="es-ES"/>
        </w:rPr>
        <w:t>, licitación y adquisición de bienes, y de selección y contratación de servicios de las activid</w:t>
      </w:r>
      <w:r w:rsidR="005A002D" w:rsidRPr="004B1FA3">
        <w:rPr>
          <w:rFonts w:ascii="Arial" w:hAnsi="Arial" w:cs="Arial"/>
          <w:bCs/>
          <w:color w:val="000000"/>
          <w:spacing w:val="-6"/>
          <w:sz w:val="22"/>
          <w:lang w:val="es-ES"/>
        </w:rPr>
        <w:t>ades a su cargo; (</w:t>
      </w:r>
      <w:proofErr w:type="spellStart"/>
      <w:r w:rsidR="005A002D" w:rsidRPr="004B1FA3">
        <w:rPr>
          <w:rFonts w:ascii="Arial" w:hAnsi="Arial" w:cs="Arial"/>
          <w:bCs/>
          <w:color w:val="000000"/>
          <w:spacing w:val="-6"/>
          <w:sz w:val="22"/>
          <w:lang w:val="es-ES"/>
        </w:rPr>
        <w:t>ii</w:t>
      </w:r>
      <w:proofErr w:type="spellEnd"/>
      <w:r w:rsidR="005A002D" w:rsidRPr="004B1FA3">
        <w:rPr>
          <w:rFonts w:ascii="Arial" w:hAnsi="Arial" w:cs="Arial"/>
          <w:bCs/>
          <w:color w:val="000000"/>
          <w:spacing w:val="-6"/>
          <w:sz w:val="22"/>
          <w:lang w:val="es-ES"/>
        </w:rPr>
        <w:t>) entregar</w:t>
      </w:r>
      <w:r w:rsidRPr="004B1FA3">
        <w:rPr>
          <w:rFonts w:ascii="Arial" w:hAnsi="Arial" w:cs="Arial"/>
          <w:bCs/>
          <w:color w:val="000000"/>
          <w:spacing w:val="-6"/>
          <w:sz w:val="22"/>
          <w:lang w:val="es-ES"/>
        </w:rPr>
        <w:t xml:space="preserve"> oportunamente al MEF la información necesaria para el cumplimiento de lo aquí indicado</w:t>
      </w:r>
      <w:r w:rsidR="00D14E5A" w:rsidRPr="004B1FA3">
        <w:rPr>
          <w:rFonts w:ascii="Arial" w:hAnsi="Arial" w:cs="Arial"/>
          <w:bCs/>
          <w:color w:val="000000"/>
          <w:spacing w:val="-6"/>
          <w:sz w:val="22"/>
          <w:lang w:val="es-ES"/>
        </w:rPr>
        <w:t>;</w:t>
      </w:r>
      <w:r w:rsidR="005A002D" w:rsidRPr="004B1FA3">
        <w:rPr>
          <w:rFonts w:ascii="Arial" w:hAnsi="Arial" w:cs="Arial"/>
          <w:bCs/>
          <w:color w:val="000000"/>
          <w:spacing w:val="-6"/>
          <w:sz w:val="22"/>
          <w:lang w:val="es-ES"/>
        </w:rPr>
        <w:t xml:space="preserve"> </w:t>
      </w:r>
      <w:r w:rsidRPr="004B1FA3">
        <w:rPr>
          <w:rFonts w:ascii="Arial" w:hAnsi="Arial" w:cs="Arial"/>
          <w:bCs/>
          <w:color w:val="000000"/>
          <w:spacing w:val="-6"/>
          <w:sz w:val="22"/>
          <w:lang w:val="es-ES"/>
        </w:rPr>
        <w:t>y</w:t>
      </w:r>
      <w:r w:rsidR="005A002D" w:rsidRPr="004B1FA3">
        <w:rPr>
          <w:rFonts w:ascii="Arial" w:hAnsi="Arial" w:cs="Arial"/>
          <w:bCs/>
          <w:color w:val="000000"/>
          <w:spacing w:val="-6"/>
          <w:sz w:val="22"/>
          <w:lang w:val="es-ES"/>
        </w:rPr>
        <w:t>,</w:t>
      </w:r>
      <w:r w:rsidRPr="004B1FA3">
        <w:rPr>
          <w:rFonts w:ascii="Arial" w:hAnsi="Arial" w:cs="Arial"/>
          <w:bCs/>
          <w:color w:val="000000"/>
          <w:spacing w:val="-6"/>
          <w:sz w:val="22"/>
          <w:lang w:val="es-ES"/>
        </w:rPr>
        <w:t xml:space="preserve"> (</w:t>
      </w:r>
      <w:proofErr w:type="spellStart"/>
      <w:r w:rsidRPr="004B1FA3">
        <w:rPr>
          <w:rFonts w:ascii="Arial" w:hAnsi="Arial" w:cs="Arial"/>
          <w:bCs/>
          <w:color w:val="000000"/>
          <w:spacing w:val="-6"/>
          <w:sz w:val="22"/>
          <w:lang w:val="es-ES"/>
        </w:rPr>
        <w:t>iii</w:t>
      </w:r>
      <w:proofErr w:type="spellEnd"/>
      <w:r w:rsidRPr="004B1FA3">
        <w:rPr>
          <w:rFonts w:ascii="Arial" w:hAnsi="Arial" w:cs="Arial"/>
          <w:bCs/>
          <w:color w:val="000000"/>
          <w:spacing w:val="-6"/>
          <w:sz w:val="22"/>
          <w:lang w:val="es-ES"/>
        </w:rPr>
        <w:t xml:space="preserve">) planificar, monitorear, gerenciar y reportar sobre el uso de los recursos financieros a su cargo. Las EEPP que se constituyan como OSE, </w:t>
      </w:r>
      <w:r w:rsidR="007F130A" w:rsidRPr="004B1FA3">
        <w:rPr>
          <w:rFonts w:ascii="Arial" w:hAnsi="Arial" w:cs="Arial"/>
          <w:bCs/>
          <w:color w:val="000000"/>
          <w:spacing w:val="-6"/>
          <w:sz w:val="22"/>
          <w:lang w:val="es-ES"/>
        </w:rPr>
        <w:t>EMCO (y posteriormente la entidad que la sustituya</w:t>
      </w:r>
      <w:r w:rsidR="007F130A" w:rsidRPr="004B1FA3">
        <w:rPr>
          <w:rFonts w:ascii="Arial" w:hAnsi="Arial" w:cs="Arial"/>
          <w:bCs/>
          <w:color w:val="000000"/>
          <w:spacing w:val="-6"/>
          <w:sz w:val="22"/>
          <w:vertAlign w:val="superscript"/>
          <w:lang w:val="es-ES"/>
        </w:rPr>
        <w:footnoteReference w:id="20"/>
      </w:r>
      <w:r w:rsidR="007F130A" w:rsidRPr="004B1FA3">
        <w:rPr>
          <w:rFonts w:ascii="Arial" w:hAnsi="Arial" w:cs="Arial"/>
          <w:bCs/>
          <w:color w:val="000000"/>
          <w:spacing w:val="-6"/>
          <w:sz w:val="22"/>
          <w:lang w:val="es-ES"/>
        </w:rPr>
        <w:t>)</w:t>
      </w:r>
      <w:r w:rsidRPr="004B1FA3">
        <w:rPr>
          <w:rFonts w:ascii="Arial" w:hAnsi="Arial" w:cs="Arial"/>
          <w:bCs/>
          <w:color w:val="000000"/>
          <w:spacing w:val="-6"/>
          <w:sz w:val="22"/>
          <w:lang w:val="es-ES"/>
        </w:rPr>
        <w:t>, Petroecuador, Petroamazonas, CELEC, CNEL y T</w:t>
      </w:r>
      <w:r w:rsidR="005A002D" w:rsidRPr="004B1FA3">
        <w:rPr>
          <w:rFonts w:ascii="Arial" w:hAnsi="Arial" w:cs="Arial"/>
          <w:bCs/>
          <w:color w:val="000000"/>
          <w:spacing w:val="-6"/>
          <w:sz w:val="22"/>
          <w:lang w:val="es-ES"/>
        </w:rPr>
        <w:t>AME</w:t>
      </w:r>
      <w:r w:rsidRPr="004B1FA3">
        <w:rPr>
          <w:rFonts w:ascii="Arial" w:hAnsi="Arial" w:cs="Arial"/>
          <w:bCs/>
          <w:color w:val="000000"/>
          <w:spacing w:val="-6"/>
          <w:sz w:val="22"/>
          <w:lang w:val="es-ES"/>
        </w:rPr>
        <w:t>) serán responsables de ejecutar el desembolso de las desvinculaciones financiadas bajo el Programa. El EDG del OE apoyar</w:t>
      </w:r>
      <w:r w:rsidR="007F130A" w:rsidRPr="004B1FA3">
        <w:rPr>
          <w:rFonts w:ascii="Arial" w:hAnsi="Arial" w:cs="Arial"/>
          <w:bCs/>
          <w:color w:val="000000"/>
          <w:spacing w:val="-6"/>
          <w:sz w:val="22"/>
          <w:lang w:val="es-ES"/>
        </w:rPr>
        <w:t>á</w:t>
      </w:r>
      <w:r w:rsidRPr="004B1FA3">
        <w:rPr>
          <w:rFonts w:ascii="Arial" w:hAnsi="Arial" w:cs="Arial"/>
          <w:bCs/>
          <w:color w:val="000000"/>
          <w:spacing w:val="-6"/>
          <w:sz w:val="22"/>
          <w:lang w:val="es-ES"/>
        </w:rPr>
        <w:t xml:space="preserve"> a los OSE en la gestión operativa y fiduciaria de las actividades a su cargo</w:t>
      </w:r>
      <w:r w:rsidR="00545800" w:rsidRPr="004B1FA3">
        <w:rPr>
          <w:rFonts w:ascii="Arial" w:hAnsi="Arial" w:cs="Arial"/>
          <w:bCs/>
          <w:color w:val="000000"/>
          <w:spacing w:val="-6"/>
          <w:sz w:val="22"/>
          <w:lang w:val="es-ES"/>
        </w:rPr>
        <w:t xml:space="preserve">. </w:t>
      </w:r>
    </w:p>
    <w:p w14:paraId="4EAC6524" w14:textId="77777777" w:rsidR="004B1FA3" w:rsidRDefault="004B1FA3" w:rsidP="004B1FA3">
      <w:pPr>
        <w:pStyle w:val="Paragraph"/>
        <w:tabs>
          <w:tab w:val="clear" w:pos="720"/>
        </w:tabs>
        <w:spacing w:before="0" w:after="0" w:line="276" w:lineRule="auto"/>
        <w:ind w:left="720" w:firstLine="0"/>
        <w:rPr>
          <w:rFonts w:ascii="Arial" w:hAnsi="Arial" w:cs="Arial"/>
          <w:bCs/>
          <w:color w:val="000000"/>
          <w:spacing w:val="-6"/>
          <w:sz w:val="22"/>
          <w:lang w:val="es-ES"/>
        </w:rPr>
      </w:pPr>
    </w:p>
    <w:p w14:paraId="5C704D24" w14:textId="16279D48" w:rsidR="000C064B" w:rsidRPr="004B1FA3" w:rsidRDefault="00E73C33" w:rsidP="00A06DD5">
      <w:pPr>
        <w:pStyle w:val="Paragraph"/>
        <w:numPr>
          <w:ilvl w:val="1"/>
          <w:numId w:val="23"/>
        </w:numPr>
        <w:spacing w:before="0" w:after="0" w:line="276" w:lineRule="auto"/>
        <w:ind w:left="720" w:hanging="720"/>
        <w:rPr>
          <w:rFonts w:ascii="Arial" w:hAnsi="Arial" w:cs="Arial"/>
          <w:bCs/>
          <w:color w:val="000000"/>
          <w:spacing w:val="-6"/>
          <w:sz w:val="22"/>
          <w:lang w:val="es-ES"/>
        </w:rPr>
      </w:pPr>
      <w:r w:rsidRPr="004B1FA3">
        <w:rPr>
          <w:rFonts w:ascii="Arial" w:hAnsi="Arial" w:cs="Arial"/>
          <w:bCs/>
          <w:color w:val="000000"/>
          <w:spacing w:val="-6"/>
          <w:sz w:val="22"/>
          <w:lang w:val="es-ES"/>
        </w:rPr>
        <w:t xml:space="preserve">Al cierre del proyecto, el equipo de gestión del MEF preparará y remitirá al Banco un </w:t>
      </w:r>
      <w:r w:rsidR="005A002D" w:rsidRPr="004B1FA3">
        <w:rPr>
          <w:rFonts w:ascii="Arial" w:hAnsi="Arial" w:cs="Arial"/>
          <w:bCs/>
          <w:color w:val="000000"/>
          <w:spacing w:val="-6"/>
          <w:sz w:val="22"/>
          <w:lang w:val="es-ES"/>
        </w:rPr>
        <w:t>I</w:t>
      </w:r>
      <w:r w:rsidRPr="004B1FA3">
        <w:rPr>
          <w:rFonts w:ascii="Arial" w:hAnsi="Arial" w:cs="Arial"/>
          <w:bCs/>
          <w:color w:val="000000"/>
          <w:spacing w:val="-6"/>
          <w:sz w:val="22"/>
          <w:lang w:val="es-ES"/>
        </w:rPr>
        <w:t xml:space="preserve">nforme de evaluación final </w:t>
      </w:r>
      <w:r w:rsidR="009B2238" w:rsidRPr="004B1FA3">
        <w:rPr>
          <w:rFonts w:ascii="Arial" w:hAnsi="Arial" w:cs="Arial"/>
          <w:bCs/>
          <w:color w:val="000000"/>
          <w:spacing w:val="-6"/>
          <w:sz w:val="22"/>
          <w:lang w:val="es-ES"/>
        </w:rPr>
        <w:t xml:space="preserve">del programa </w:t>
      </w:r>
      <w:r w:rsidRPr="004B1FA3">
        <w:rPr>
          <w:rFonts w:ascii="Arial" w:hAnsi="Arial" w:cs="Arial"/>
          <w:bCs/>
          <w:color w:val="000000"/>
          <w:spacing w:val="-6"/>
          <w:sz w:val="22"/>
          <w:lang w:val="es-ES"/>
        </w:rPr>
        <w:t xml:space="preserve">que servirá de insumo para el Informe de Terminación del Programa (Project </w:t>
      </w:r>
      <w:proofErr w:type="spellStart"/>
      <w:r w:rsidRPr="004B1FA3">
        <w:rPr>
          <w:rFonts w:ascii="Arial" w:hAnsi="Arial" w:cs="Arial"/>
          <w:bCs/>
          <w:color w:val="000000"/>
          <w:spacing w:val="-6"/>
          <w:sz w:val="22"/>
          <w:lang w:val="es-ES"/>
        </w:rPr>
        <w:t>Completion</w:t>
      </w:r>
      <w:proofErr w:type="spellEnd"/>
      <w:r w:rsidRPr="004B1FA3">
        <w:rPr>
          <w:rFonts w:ascii="Arial" w:hAnsi="Arial" w:cs="Arial"/>
          <w:bCs/>
          <w:color w:val="000000"/>
          <w:spacing w:val="-6"/>
          <w:sz w:val="22"/>
          <w:lang w:val="es-ES"/>
        </w:rPr>
        <w:t xml:space="preserve"> </w:t>
      </w:r>
      <w:proofErr w:type="spellStart"/>
      <w:r w:rsidRPr="004B1FA3">
        <w:rPr>
          <w:rFonts w:ascii="Arial" w:hAnsi="Arial" w:cs="Arial"/>
          <w:bCs/>
          <w:color w:val="000000"/>
          <w:spacing w:val="-6"/>
          <w:sz w:val="22"/>
          <w:lang w:val="es-ES"/>
        </w:rPr>
        <w:t>Report</w:t>
      </w:r>
      <w:proofErr w:type="spellEnd"/>
      <w:r w:rsidRPr="004B1FA3">
        <w:rPr>
          <w:rFonts w:ascii="Arial" w:hAnsi="Arial" w:cs="Arial"/>
          <w:bCs/>
          <w:color w:val="000000"/>
          <w:spacing w:val="-6"/>
          <w:sz w:val="22"/>
          <w:lang w:val="es-ES"/>
        </w:rPr>
        <w:t>—PCR), a los 90 días contados a partir de la fecha en que se haya desembolsado el 95% de los recursos del préstamo.</w:t>
      </w:r>
    </w:p>
    <w:p w14:paraId="46B0E9A0" w14:textId="77777777" w:rsidR="004B1FA3" w:rsidRDefault="004B1FA3" w:rsidP="004B1FA3">
      <w:pPr>
        <w:pStyle w:val="Paragraph"/>
        <w:tabs>
          <w:tab w:val="clear" w:pos="720"/>
        </w:tabs>
        <w:spacing w:before="0" w:after="0" w:line="276" w:lineRule="auto"/>
        <w:ind w:left="720" w:firstLine="0"/>
        <w:rPr>
          <w:rFonts w:ascii="Arial" w:hAnsi="Arial" w:cs="Arial"/>
          <w:bCs/>
          <w:color w:val="000000"/>
          <w:spacing w:val="-6"/>
          <w:sz w:val="22"/>
          <w:lang w:val="es-ES"/>
        </w:rPr>
      </w:pPr>
    </w:p>
    <w:p w14:paraId="7BD82291" w14:textId="204D8B50" w:rsidR="0018197F" w:rsidRPr="004B1FA3" w:rsidRDefault="0018197F" w:rsidP="00A06DD5">
      <w:pPr>
        <w:pStyle w:val="Paragraph"/>
        <w:numPr>
          <w:ilvl w:val="1"/>
          <w:numId w:val="23"/>
        </w:numPr>
        <w:spacing w:before="0" w:after="0" w:line="276" w:lineRule="auto"/>
        <w:ind w:left="720" w:hanging="720"/>
        <w:rPr>
          <w:rFonts w:ascii="Arial" w:hAnsi="Arial" w:cs="Arial"/>
          <w:bCs/>
          <w:color w:val="000000"/>
          <w:spacing w:val="-6"/>
          <w:sz w:val="22"/>
          <w:lang w:val="es-ES"/>
        </w:rPr>
      </w:pPr>
      <w:r w:rsidRPr="004B1FA3">
        <w:rPr>
          <w:rFonts w:ascii="Arial" w:hAnsi="Arial" w:cs="Arial"/>
          <w:bCs/>
          <w:color w:val="000000"/>
          <w:spacing w:val="-6"/>
          <w:sz w:val="22"/>
          <w:lang w:val="es-ES"/>
        </w:rPr>
        <w:t>Para el</w:t>
      </w:r>
      <w:r w:rsidR="00455E56" w:rsidRPr="004B1FA3">
        <w:rPr>
          <w:rFonts w:ascii="Arial" w:hAnsi="Arial" w:cs="Arial"/>
          <w:bCs/>
          <w:color w:val="000000"/>
          <w:spacing w:val="-6"/>
          <w:sz w:val="22"/>
          <w:lang w:val="es-ES"/>
        </w:rPr>
        <w:t xml:space="preserve"> Plan</w:t>
      </w:r>
      <w:r w:rsidRPr="004B1FA3">
        <w:rPr>
          <w:rFonts w:ascii="Arial" w:hAnsi="Arial" w:cs="Arial"/>
          <w:bCs/>
          <w:color w:val="000000"/>
          <w:spacing w:val="-6"/>
          <w:sz w:val="22"/>
          <w:lang w:val="es-ES"/>
        </w:rPr>
        <w:t xml:space="preserve"> monitoreo y la evaluación de los r</w:t>
      </w:r>
      <w:r w:rsidR="00543988" w:rsidRPr="004B1FA3">
        <w:rPr>
          <w:rFonts w:ascii="Arial" w:hAnsi="Arial" w:cs="Arial"/>
          <w:bCs/>
          <w:color w:val="000000"/>
          <w:spacing w:val="-6"/>
          <w:sz w:val="22"/>
          <w:lang w:val="es-ES"/>
        </w:rPr>
        <w:t>esultados esperados del Programa de Apoyo a la Reforma de Empresas Públicas</w:t>
      </w:r>
      <w:r w:rsidRPr="004B1FA3">
        <w:rPr>
          <w:rFonts w:ascii="Arial" w:hAnsi="Arial" w:cs="Arial"/>
          <w:bCs/>
          <w:color w:val="000000"/>
          <w:spacing w:val="-6"/>
          <w:sz w:val="22"/>
          <w:lang w:val="es-ES"/>
        </w:rPr>
        <w:t xml:space="preserve"> se </w:t>
      </w:r>
      <w:r w:rsidR="000205AA" w:rsidRPr="004B1FA3">
        <w:rPr>
          <w:rFonts w:ascii="Arial" w:hAnsi="Arial" w:cs="Arial"/>
          <w:bCs/>
          <w:color w:val="000000"/>
          <w:spacing w:val="-6"/>
          <w:sz w:val="22"/>
          <w:lang w:val="es-ES"/>
        </w:rPr>
        <w:t xml:space="preserve">plantean </w:t>
      </w:r>
      <w:r w:rsidR="005045E4" w:rsidRPr="004B1FA3">
        <w:rPr>
          <w:rFonts w:ascii="Arial" w:hAnsi="Arial" w:cs="Arial"/>
          <w:bCs/>
          <w:color w:val="000000"/>
          <w:spacing w:val="-6"/>
          <w:sz w:val="22"/>
          <w:lang w:val="es-ES"/>
        </w:rPr>
        <w:t>procesos de monitoreo</w:t>
      </w:r>
      <w:r w:rsidR="00455E56" w:rsidRPr="004B1FA3">
        <w:rPr>
          <w:rFonts w:ascii="Arial" w:hAnsi="Arial" w:cs="Arial"/>
          <w:bCs/>
          <w:color w:val="000000"/>
          <w:spacing w:val="-6"/>
          <w:sz w:val="22"/>
          <w:lang w:val="es-ES"/>
        </w:rPr>
        <w:t xml:space="preserve"> y seguimiento; y,</w:t>
      </w:r>
      <w:r w:rsidR="005045E4" w:rsidRPr="004B1FA3">
        <w:rPr>
          <w:rFonts w:ascii="Arial" w:hAnsi="Arial" w:cs="Arial"/>
          <w:bCs/>
          <w:color w:val="000000"/>
          <w:spacing w:val="-6"/>
          <w:sz w:val="22"/>
          <w:lang w:val="es-ES"/>
        </w:rPr>
        <w:t xml:space="preserve"> metodologías de evaluación. El monitoreo </w:t>
      </w:r>
      <w:r w:rsidR="00455E56" w:rsidRPr="004B1FA3">
        <w:rPr>
          <w:rFonts w:ascii="Arial" w:hAnsi="Arial" w:cs="Arial"/>
          <w:bCs/>
          <w:color w:val="000000"/>
          <w:spacing w:val="-6"/>
          <w:sz w:val="22"/>
          <w:lang w:val="es-ES"/>
        </w:rPr>
        <w:t xml:space="preserve">y seguimiento del programa </w:t>
      </w:r>
      <w:r w:rsidR="005045E4" w:rsidRPr="004B1FA3">
        <w:rPr>
          <w:rFonts w:ascii="Arial" w:hAnsi="Arial" w:cs="Arial"/>
          <w:bCs/>
          <w:color w:val="000000"/>
          <w:spacing w:val="-6"/>
          <w:sz w:val="22"/>
          <w:lang w:val="es-ES"/>
        </w:rPr>
        <w:t>se lo realizará con informes semestrales</w:t>
      </w:r>
      <w:r w:rsidR="00CC4C2D" w:rsidRPr="004B1FA3">
        <w:rPr>
          <w:rFonts w:ascii="Arial" w:hAnsi="Arial" w:cs="Arial"/>
          <w:bCs/>
          <w:color w:val="000000"/>
          <w:spacing w:val="-6"/>
          <w:sz w:val="22"/>
          <w:lang w:val="es-ES"/>
        </w:rPr>
        <w:t>, por parte del MEF</w:t>
      </w:r>
      <w:r w:rsidR="005045E4" w:rsidRPr="004B1FA3">
        <w:rPr>
          <w:rFonts w:ascii="Arial" w:hAnsi="Arial" w:cs="Arial"/>
          <w:bCs/>
          <w:color w:val="000000"/>
          <w:spacing w:val="-6"/>
          <w:sz w:val="22"/>
          <w:lang w:val="es-ES"/>
        </w:rPr>
        <w:t xml:space="preserve">, sobre los avances </w:t>
      </w:r>
      <w:r w:rsidR="00CC4C2D" w:rsidRPr="004B1FA3">
        <w:rPr>
          <w:rFonts w:ascii="Arial" w:hAnsi="Arial" w:cs="Arial"/>
          <w:bCs/>
          <w:color w:val="000000"/>
          <w:spacing w:val="-6"/>
          <w:sz w:val="22"/>
          <w:lang w:val="es-ES"/>
        </w:rPr>
        <w:t>d</w:t>
      </w:r>
      <w:r w:rsidR="005045E4" w:rsidRPr="004B1FA3">
        <w:rPr>
          <w:rFonts w:ascii="Arial" w:hAnsi="Arial" w:cs="Arial"/>
          <w:bCs/>
          <w:color w:val="000000"/>
          <w:spacing w:val="-6"/>
          <w:sz w:val="22"/>
          <w:lang w:val="es-ES"/>
        </w:rPr>
        <w:t>el PEP</w:t>
      </w:r>
      <w:r w:rsidR="00455E56" w:rsidRPr="004B1FA3">
        <w:rPr>
          <w:rFonts w:ascii="Arial" w:hAnsi="Arial" w:cs="Arial"/>
          <w:bCs/>
          <w:color w:val="000000"/>
          <w:spacing w:val="-6"/>
          <w:sz w:val="22"/>
          <w:lang w:val="es-ES"/>
        </w:rPr>
        <w:t xml:space="preserve">, </w:t>
      </w:r>
      <w:r w:rsidR="005045E4" w:rsidRPr="004B1FA3">
        <w:rPr>
          <w:rFonts w:ascii="Arial" w:hAnsi="Arial" w:cs="Arial"/>
          <w:bCs/>
          <w:color w:val="000000"/>
          <w:spacing w:val="-6"/>
          <w:sz w:val="22"/>
          <w:lang w:val="es-ES"/>
        </w:rPr>
        <w:t>POA,</w:t>
      </w:r>
      <w:r w:rsidR="00455E56" w:rsidRPr="004B1FA3">
        <w:rPr>
          <w:rFonts w:ascii="Arial" w:hAnsi="Arial" w:cs="Arial"/>
          <w:bCs/>
          <w:color w:val="000000"/>
          <w:spacing w:val="-6"/>
          <w:sz w:val="22"/>
          <w:lang w:val="es-ES"/>
        </w:rPr>
        <w:t xml:space="preserve"> PA</w:t>
      </w:r>
      <w:r w:rsidR="005045E4" w:rsidRPr="004B1FA3">
        <w:rPr>
          <w:rFonts w:ascii="Arial" w:hAnsi="Arial" w:cs="Arial"/>
          <w:bCs/>
          <w:color w:val="000000"/>
          <w:spacing w:val="-6"/>
          <w:sz w:val="22"/>
          <w:lang w:val="es-ES"/>
        </w:rPr>
        <w:t>, y avances de los indicadores de la matriz de resultados</w:t>
      </w:r>
      <w:r w:rsidR="00455E56" w:rsidRPr="004B1FA3">
        <w:rPr>
          <w:rFonts w:ascii="Arial" w:hAnsi="Arial" w:cs="Arial"/>
          <w:bCs/>
          <w:color w:val="000000"/>
          <w:spacing w:val="-6"/>
          <w:sz w:val="22"/>
          <w:lang w:val="es-ES"/>
        </w:rPr>
        <w:t>. Así mismo, se plantea la entrega de los estados financieros anuales auditados; y, un informe de evaluación final</w:t>
      </w:r>
      <w:r w:rsidR="005045E4" w:rsidRPr="004B1FA3">
        <w:rPr>
          <w:rFonts w:ascii="Arial" w:hAnsi="Arial" w:cs="Arial"/>
          <w:bCs/>
          <w:color w:val="000000"/>
          <w:spacing w:val="-6"/>
          <w:sz w:val="22"/>
          <w:lang w:val="es-ES"/>
        </w:rPr>
        <w:t xml:space="preserve">. </w:t>
      </w:r>
      <w:r w:rsidR="00455E56" w:rsidRPr="004B1FA3">
        <w:rPr>
          <w:rFonts w:ascii="Arial" w:hAnsi="Arial" w:cs="Arial"/>
          <w:bCs/>
          <w:color w:val="000000"/>
          <w:spacing w:val="-6"/>
          <w:sz w:val="22"/>
          <w:lang w:val="es-ES"/>
        </w:rPr>
        <w:t>La evaluación</w:t>
      </w:r>
      <w:r w:rsidR="005045E4" w:rsidRPr="004B1FA3">
        <w:rPr>
          <w:rFonts w:ascii="Arial" w:hAnsi="Arial" w:cs="Arial"/>
          <w:bCs/>
          <w:color w:val="000000"/>
          <w:spacing w:val="-6"/>
          <w:sz w:val="22"/>
          <w:lang w:val="es-ES"/>
        </w:rPr>
        <w:t xml:space="preserve"> del programa se lo realizará</w:t>
      </w:r>
      <w:r w:rsidR="00455E56" w:rsidRPr="004B1FA3">
        <w:rPr>
          <w:rFonts w:ascii="Arial" w:hAnsi="Arial" w:cs="Arial"/>
          <w:bCs/>
          <w:color w:val="000000"/>
          <w:spacing w:val="-6"/>
          <w:sz w:val="22"/>
          <w:lang w:val="es-ES"/>
        </w:rPr>
        <w:t xml:space="preserve"> con una</w:t>
      </w:r>
      <w:r w:rsidR="00543988" w:rsidRPr="004B1FA3">
        <w:rPr>
          <w:rFonts w:ascii="Arial" w:hAnsi="Arial" w:cs="Arial"/>
          <w:bCs/>
          <w:color w:val="000000"/>
          <w:spacing w:val="-6"/>
          <w:sz w:val="22"/>
          <w:lang w:val="es-ES"/>
        </w:rPr>
        <w:t xml:space="preserve"> E</w:t>
      </w:r>
      <w:r w:rsidR="005045E4" w:rsidRPr="004B1FA3">
        <w:rPr>
          <w:rFonts w:ascii="Arial" w:hAnsi="Arial" w:cs="Arial"/>
          <w:bCs/>
          <w:color w:val="000000"/>
          <w:spacing w:val="-6"/>
          <w:sz w:val="22"/>
          <w:lang w:val="es-ES"/>
        </w:rPr>
        <w:t>valuaci</w:t>
      </w:r>
      <w:r w:rsidR="00543988" w:rsidRPr="004B1FA3">
        <w:rPr>
          <w:rFonts w:ascii="Arial" w:hAnsi="Arial" w:cs="Arial"/>
          <w:bCs/>
          <w:color w:val="000000"/>
          <w:spacing w:val="-6"/>
          <w:sz w:val="22"/>
          <w:lang w:val="es-ES"/>
        </w:rPr>
        <w:t>ón de r</w:t>
      </w:r>
      <w:r w:rsidR="005045E4" w:rsidRPr="004B1FA3">
        <w:rPr>
          <w:rFonts w:ascii="Arial" w:hAnsi="Arial" w:cs="Arial"/>
          <w:bCs/>
          <w:color w:val="000000"/>
          <w:spacing w:val="-6"/>
          <w:sz w:val="22"/>
          <w:lang w:val="es-ES"/>
        </w:rPr>
        <w:t xml:space="preserve">esultados </w:t>
      </w:r>
      <w:r w:rsidR="00543988" w:rsidRPr="004B1FA3">
        <w:rPr>
          <w:rFonts w:ascii="Arial" w:hAnsi="Arial" w:cs="Arial"/>
          <w:bCs/>
          <w:color w:val="000000"/>
          <w:spacing w:val="-6"/>
          <w:sz w:val="22"/>
          <w:lang w:val="es-ES"/>
        </w:rPr>
        <w:t>i</w:t>
      </w:r>
      <w:r w:rsidR="005045E4" w:rsidRPr="004B1FA3">
        <w:rPr>
          <w:rFonts w:ascii="Arial" w:hAnsi="Arial" w:cs="Arial"/>
          <w:bCs/>
          <w:color w:val="000000"/>
          <w:spacing w:val="-6"/>
          <w:sz w:val="22"/>
          <w:lang w:val="es-ES"/>
        </w:rPr>
        <w:t xml:space="preserve">ntermedia, una Evaluación </w:t>
      </w:r>
      <w:r w:rsidR="00543988" w:rsidRPr="004B1FA3">
        <w:rPr>
          <w:rFonts w:ascii="Arial" w:hAnsi="Arial" w:cs="Arial"/>
          <w:bCs/>
          <w:color w:val="000000"/>
          <w:spacing w:val="-6"/>
          <w:sz w:val="22"/>
          <w:lang w:val="es-ES"/>
        </w:rPr>
        <w:t>e</w:t>
      </w:r>
      <w:r w:rsidR="005045E4" w:rsidRPr="004B1FA3">
        <w:rPr>
          <w:rFonts w:ascii="Arial" w:hAnsi="Arial" w:cs="Arial"/>
          <w:bCs/>
          <w:color w:val="000000"/>
          <w:spacing w:val="-6"/>
          <w:sz w:val="22"/>
          <w:lang w:val="es-ES"/>
        </w:rPr>
        <w:t xml:space="preserve">conómica </w:t>
      </w:r>
      <w:proofErr w:type="spellStart"/>
      <w:r w:rsidR="005045E4" w:rsidRPr="004B1FA3">
        <w:rPr>
          <w:rFonts w:ascii="Arial" w:hAnsi="Arial" w:cs="Arial"/>
          <w:bCs/>
          <w:color w:val="000000"/>
          <w:spacing w:val="-6"/>
          <w:sz w:val="22"/>
          <w:lang w:val="es-ES"/>
        </w:rPr>
        <w:t>expost</w:t>
      </w:r>
      <w:proofErr w:type="spellEnd"/>
      <w:r w:rsidR="005045E4" w:rsidRPr="004B1FA3">
        <w:rPr>
          <w:rFonts w:ascii="Arial" w:hAnsi="Arial" w:cs="Arial"/>
          <w:bCs/>
          <w:color w:val="000000"/>
          <w:spacing w:val="-6"/>
          <w:sz w:val="22"/>
          <w:lang w:val="es-ES"/>
        </w:rPr>
        <w:t xml:space="preserve"> y la Evaluación </w:t>
      </w:r>
      <w:r w:rsidR="00C144BC" w:rsidRPr="004B1FA3">
        <w:rPr>
          <w:rFonts w:ascii="Arial" w:hAnsi="Arial" w:cs="Arial"/>
          <w:bCs/>
          <w:color w:val="000000"/>
          <w:spacing w:val="-6"/>
          <w:sz w:val="22"/>
          <w:lang w:val="es-ES"/>
        </w:rPr>
        <w:t xml:space="preserve">Final </w:t>
      </w:r>
      <w:r w:rsidR="00DD2307" w:rsidRPr="004B1FA3">
        <w:rPr>
          <w:rFonts w:ascii="Arial" w:hAnsi="Arial" w:cs="Arial"/>
          <w:bCs/>
          <w:color w:val="000000"/>
          <w:spacing w:val="-6"/>
          <w:sz w:val="22"/>
          <w:lang w:val="es-ES"/>
        </w:rPr>
        <w:t xml:space="preserve">Antes y Después, en la que </w:t>
      </w:r>
      <w:bookmarkStart w:id="11" w:name="_Hlk8996552"/>
      <w:r w:rsidR="00DD2307" w:rsidRPr="004B1FA3">
        <w:rPr>
          <w:rFonts w:ascii="Arial" w:hAnsi="Arial" w:cs="Arial"/>
          <w:bCs/>
          <w:color w:val="000000"/>
          <w:spacing w:val="-6"/>
          <w:sz w:val="22"/>
          <w:lang w:val="es-ES"/>
        </w:rPr>
        <w:t>el resultado para el grupo de tratamiento (</w:t>
      </w:r>
      <m:oMath>
        <m:sSubSup>
          <m:sSubSupPr>
            <m:ctrlPr>
              <w:rPr>
                <w:rFonts w:ascii="Cambria Math" w:hAnsi="Cambria Math" w:cs="Arial"/>
                <w:bCs/>
                <w:color w:val="000000"/>
                <w:spacing w:val="-6"/>
                <w:sz w:val="22"/>
                <w:lang w:val="es-ES"/>
              </w:rPr>
            </m:ctrlPr>
          </m:sSubSupPr>
          <m:e>
            <m:r>
              <w:rPr>
                <w:rFonts w:ascii="Cambria Math" w:hAnsi="Cambria Math" w:cs="Arial"/>
                <w:color w:val="000000"/>
                <w:spacing w:val="-6"/>
                <w:sz w:val="22"/>
                <w:lang w:val="es-ES"/>
              </w:rPr>
              <m:t>Y</m:t>
            </m:r>
          </m:e>
          <m:sub>
            <m:r>
              <w:rPr>
                <w:rFonts w:ascii="Cambria Math" w:hAnsi="Cambria Math" w:cs="Arial"/>
                <w:color w:val="000000"/>
                <w:spacing w:val="-6"/>
                <w:sz w:val="22"/>
                <w:lang w:val="es-ES"/>
              </w:rPr>
              <m:t>t</m:t>
            </m:r>
            <m:r>
              <m:rPr>
                <m:sty m:val="p"/>
              </m:rPr>
              <w:rPr>
                <w:rFonts w:ascii="Cambria Math" w:hAnsi="Cambria Math" w:cs="Arial"/>
                <w:color w:val="000000"/>
                <w:spacing w:val="-6"/>
                <w:sz w:val="22"/>
                <w:lang w:val="es-ES"/>
              </w:rPr>
              <m:t>=1</m:t>
            </m:r>
          </m:sub>
          <m:sup>
            <m:r>
              <w:rPr>
                <w:rFonts w:ascii="Cambria Math" w:hAnsi="Cambria Math" w:cs="Arial"/>
                <w:color w:val="000000"/>
                <w:spacing w:val="-6"/>
                <w:sz w:val="22"/>
                <w:lang w:val="es-ES"/>
              </w:rPr>
              <m:t>T</m:t>
            </m:r>
          </m:sup>
        </m:sSubSup>
        <m:r>
          <m:rPr>
            <m:sty m:val="p"/>
          </m:rPr>
          <w:rPr>
            <w:rFonts w:ascii="Cambria Math" w:hAnsi="Cambria Math" w:cs="Arial"/>
            <w:color w:val="000000"/>
            <w:spacing w:val="-6"/>
            <w:sz w:val="22"/>
            <w:lang w:val="es-ES"/>
          </w:rPr>
          <m:t xml:space="preserve"> /</m:t>
        </m:r>
        <m:r>
          <w:rPr>
            <w:rFonts w:ascii="Cambria Math" w:hAnsi="Cambria Math" w:cs="Arial"/>
            <w:color w:val="000000"/>
            <w:spacing w:val="-6"/>
            <w:sz w:val="22"/>
            <w:lang w:val="es-ES"/>
          </w:rPr>
          <m:t>T</m:t>
        </m:r>
        <m:r>
          <m:rPr>
            <m:sty m:val="p"/>
          </m:rPr>
          <w:rPr>
            <w:rFonts w:ascii="Cambria Math" w:hAnsi="Cambria Math" w:cs="Arial"/>
            <w:color w:val="000000"/>
            <w:spacing w:val="-6"/>
            <w:sz w:val="22"/>
            <w:lang w:val="es-ES"/>
          </w:rPr>
          <m:t>=1</m:t>
        </m:r>
      </m:oMath>
      <w:r w:rsidR="00DD2307" w:rsidRPr="004B1FA3">
        <w:rPr>
          <w:rFonts w:ascii="Arial" w:hAnsi="Arial" w:cs="Arial"/>
          <w:bCs/>
          <w:color w:val="000000"/>
          <w:spacing w:val="-6"/>
          <w:sz w:val="22"/>
          <w:lang w:val="es-ES"/>
        </w:rPr>
        <w:t>) es la variable de impacto medida posterior a la intervención (ejecución) del Programa, y el contrafactual (</w:t>
      </w:r>
      <m:oMath>
        <m:sSubSup>
          <m:sSubSupPr>
            <m:ctrlPr>
              <w:rPr>
                <w:rFonts w:ascii="Cambria Math" w:hAnsi="Cambria Math" w:cs="Arial"/>
                <w:bCs/>
                <w:color w:val="000000"/>
                <w:spacing w:val="-6"/>
                <w:sz w:val="22"/>
                <w:lang w:val="es-ES"/>
              </w:rPr>
            </m:ctrlPr>
          </m:sSubSupPr>
          <m:e>
            <m:r>
              <w:rPr>
                <w:rFonts w:ascii="Cambria Math" w:hAnsi="Cambria Math" w:cs="Arial"/>
                <w:color w:val="000000"/>
                <w:spacing w:val="-6"/>
                <w:sz w:val="22"/>
                <w:lang w:val="es-ES"/>
              </w:rPr>
              <m:t>Y</m:t>
            </m:r>
          </m:e>
          <m:sub>
            <m:r>
              <w:rPr>
                <w:rFonts w:ascii="Cambria Math" w:hAnsi="Cambria Math" w:cs="Arial"/>
                <w:color w:val="000000"/>
                <w:spacing w:val="-6"/>
                <w:sz w:val="22"/>
                <w:lang w:val="es-ES"/>
              </w:rPr>
              <m:t>t</m:t>
            </m:r>
            <m:r>
              <m:rPr>
                <m:sty m:val="p"/>
              </m:rPr>
              <w:rPr>
                <w:rFonts w:ascii="Cambria Math" w:hAnsi="Cambria Math" w:cs="Arial"/>
                <w:color w:val="000000"/>
                <w:spacing w:val="-6"/>
                <w:sz w:val="22"/>
                <w:lang w:val="es-ES"/>
              </w:rPr>
              <m:t>=0</m:t>
            </m:r>
          </m:sub>
          <m:sup>
            <m:r>
              <w:rPr>
                <w:rFonts w:ascii="Cambria Math" w:hAnsi="Cambria Math" w:cs="Arial"/>
                <w:color w:val="000000"/>
                <w:spacing w:val="-6"/>
                <w:sz w:val="22"/>
                <w:lang w:val="es-ES"/>
              </w:rPr>
              <m:t>C</m:t>
            </m:r>
          </m:sup>
        </m:sSubSup>
        <m:r>
          <m:rPr>
            <m:sty m:val="p"/>
          </m:rPr>
          <w:rPr>
            <w:rFonts w:ascii="Cambria Math" w:hAnsi="Cambria Math" w:cs="Arial"/>
            <w:color w:val="000000"/>
            <w:spacing w:val="-6"/>
            <w:sz w:val="22"/>
            <w:lang w:val="es-ES"/>
          </w:rPr>
          <m:t xml:space="preserve"> /</m:t>
        </m:r>
        <m:r>
          <w:rPr>
            <w:rFonts w:ascii="Cambria Math" w:hAnsi="Cambria Math" w:cs="Arial"/>
            <w:color w:val="000000"/>
            <w:spacing w:val="-6"/>
            <w:sz w:val="22"/>
            <w:lang w:val="es-ES"/>
          </w:rPr>
          <m:t>T</m:t>
        </m:r>
        <m:r>
          <m:rPr>
            <m:sty m:val="p"/>
          </m:rPr>
          <w:rPr>
            <w:rFonts w:ascii="Cambria Math" w:hAnsi="Cambria Math" w:cs="Arial"/>
            <w:color w:val="000000"/>
            <w:spacing w:val="-6"/>
            <w:sz w:val="22"/>
            <w:lang w:val="es-ES"/>
          </w:rPr>
          <m:t>=0</m:t>
        </m:r>
      </m:oMath>
      <w:r w:rsidR="00DD2307" w:rsidRPr="004B1FA3">
        <w:rPr>
          <w:rFonts w:ascii="Arial" w:hAnsi="Arial" w:cs="Arial"/>
          <w:bCs/>
          <w:color w:val="000000"/>
          <w:spacing w:val="-6"/>
          <w:sz w:val="22"/>
          <w:lang w:val="es-ES"/>
        </w:rPr>
        <w:t>) se define como la variable de impacto medida previo a la intervención</w:t>
      </w:r>
      <w:bookmarkEnd w:id="11"/>
      <w:r w:rsidR="005045E4" w:rsidRPr="004B1FA3">
        <w:rPr>
          <w:rFonts w:ascii="Arial" w:hAnsi="Arial" w:cs="Arial"/>
          <w:bCs/>
          <w:color w:val="000000"/>
          <w:spacing w:val="-6"/>
          <w:sz w:val="22"/>
          <w:lang w:val="es-ES"/>
        </w:rPr>
        <w:t xml:space="preserve">. </w:t>
      </w:r>
    </w:p>
    <w:p w14:paraId="47A56AF9" w14:textId="77777777" w:rsidR="0043180B" w:rsidRPr="004B1FA3" w:rsidRDefault="0043180B" w:rsidP="004B1FA3">
      <w:pPr>
        <w:widowControl w:val="0"/>
        <w:autoSpaceDE w:val="0"/>
        <w:autoSpaceDN w:val="0"/>
        <w:adjustRightInd w:val="0"/>
        <w:spacing w:line="276" w:lineRule="auto"/>
        <w:ind w:right="78"/>
        <w:jc w:val="both"/>
        <w:rPr>
          <w:rFonts w:ascii="Arial" w:hAnsi="Arial" w:cs="Arial"/>
          <w:b/>
          <w:sz w:val="22"/>
          <w:szCs w:val="22"/>
          <w:lang w:val="es-ES"/>
        </w:rPr>
      </w:pPr>
    </w:p>
    <w:p w14:paraId="30059F56" w14:textId="77777777" w:rsidR="00D55DF8" w:rsidRPr="004B1FA3" w:rsidRDefault="00D55DF8" w:rsidP="004B1FA3">
      <w:pPr>
        <w:pStyle w:val="Heading1"/>
        <w:spacing w:before="0" w:after="0" w:line="276" w:lineRule="auto"/>
        <w:jc w:val="both"/>
        <w:rPr>
          <w:rFonts w:ascii="Arial" w:hAnsi="Arial" w:cs="Arial"/>
          <w:sz w:val="22"/>
          <w:szCs w:val="22"/>
          <w:lang w:val="es-ES"/>
        </w:rPr>
      </w:pPr>
      <w:r w:rsidRPr="004B1FA3">
        <w:rPr>
          <w:rFonts w:ascii="Arial" w:hAnsi="Arial" w:cs="Arial"/>
          <w:sz w:val="22"/>
          <w:szCs w:val="22"/>
          <w:lang w:val="es-ES"/>
        </w:rPr>
        <w:t>Monitoreo</w:t>
      </w:r>
    </w:p>
    <w:p w14:paraId="62BE67A7" w14:textId="77777777" w:rsidR="0043180B" w:rsidRPr="004B1FA3" w:rsidRDefault="0043180B" w:rsidP="004B1FA3">
      <w:pPr>
        <w:spacing w:line="276" w:lineRule="auto"/>
        <w:jc w:val="both"/>
        <w:rPr>
          <w:rFonts w:ascii="Arial" w:hAnsi="Arial" w:cs="Arial"/>
          <w:sz w:val="22"/>
          <w:szCs w:val="22"/>
          <w:lang w:val="es-ES" w:eastAsia="es-AR"/>
        </w:rPr>
      </w:pPr>
    </w:p>
    <w:p w14:paraId="3D9B6176" w14:textId="319384C5" w:rsidR="00BA081B" w:rsidRPr="004B1FA3" w:rsidRDefault="00543988" w:rsidP="004B1FA3">
      <w:pPr>
        <w:numPr>
          <w:ilvl w:val="1"/>
          <w:numId w:val="11"/>
        </w:numPr>
        <w:autoSpaceDE w:val="0"/>
        <w:autoSpaceDN w:val="0"/>
        <w:adjustRightInd w:val="0"/>
        <w:spacing w:line="276" w:lineRule="auto"/>
        <w:ind w:left="720" w:hanging="720"/>
        <w:jc w:val="both"/>
        <w:rPr>
          <w:rFonts w:ascii="Arial" w:hAnsi="Arial" w:cs="Arial"/>
          <w:sz w:val="22"/>
          <w:szCs w:val="22"/>
          <w:lang w:val="es-ES"/>
        </w:rPr>
      </w:pPr>
      <w:r w:rsidRPr="004B1FA3">
        <w:rPr>
          <w:rFonts w:ascii="Arial" w:hAnsi="Arial" w:cs="Arial"/>
          <w:sz w:val="22"/>
          <w:szCs w:val="22"/>
          <w:lang w:val="es-ES"/>
        </w:rPr>
        <w:t>El obj</w:t>
      </w:r>
      <w:r w:rsidR="00AB5ED7" w:rsidRPr="004B1FA3">
        <w:rPr>
          <w:rFonts w:ascii="Arial" w:hAnsi="Arial" w:cs="Arial"/>
          <w:sz w:val="22"/>
          <w:szCs w:val="22"/>
          <w:lang w:val="es-ES"/>
        </w:rPr>
        <w:t>etivo del monitoreo</w:t>
      </w:r>
      <w:r w:rsidRPr="004B1FA3">
        <w:rPr>
          <w:rFonts w:ascii="Arial" w:hAnsi="Arial" w:cs="Arial"/>
          <w:sz w:val="22"/>
          <w:szCs w:val="22"/>
          <w:lang w:val="es-ES"/>
        </w:rPr>
        <w:t xml:space="preserve"> es detectar los factores que facilitan o impiden el alcance de los resultados </w:t>
      </w:r>
      <w:r w:rsidR="000A39D1" w:rsidRPr="004B1FA3">
        <w:rPr>
          <w:rFonts w:ascii="Arial" w:hAnsi="Arial" w:cs="Arial"/>
          <w:sz w:val="22"/>
          <w:szCs w:val="22"/>
          <w:lang w:val="es-ES"/>
        </w:rPr>
        <w:t>esperados</w:t>
      </w:r>
      <w:r w:rsidR="00AB5ED7" w:rsidRPr="004B1FA3">
        <w:rPr>
          <w:rFonts w:ascii="Arial" w:hAnsi="Arial" w:cs="Arial"/>
          <w:sz w:val="22"/>
          <w:szCs w:val="22"/>
          <w:lang w:val="es-ES"/>
        </w:rPr>
        <w:t xml:space="preserve"> del programa</w:t>
      </w:r>
      <w:r w:rsidRPr="004B1FA3">
        <w:rPr>
          <w:rFonts w:ascii="Arial" w:hAnsi="Arial" w:cs="Arial"/>
          <w:sz w:val="22"/>
          <w:szCs w:val="22"/>
          <w:lang w:val="es-ES"/>
        </w:rPr>
        <w:t xml:space="preserve">, de conformidad con la </w:t>
      </w:r>
      <w:r w:rsidR="000A39D1" w:rsidRPr="004B1FA3">
        <w:rPr>
          <w:rFonts w:ascii="Arial" w:hAnsi="Arial" w:cs="Arial"/>
          <w:sz w:val="22"/>
          <w:szCs w:val="22"/>
          <w:lang w:val="es-ES"/>
        </w:rPr>
        <w:t xml:space="preserve">ejecución de </w:t>
      </w:r>
      <w:r w:rsidR="00AB5ED7" w:rsidRPr="004B1FA3">
        <w:rPr>
          <w:rFonts w:ascii="Arial" w:hAnsi="Arial" w:cs="Arial"/>
          <w:sz w:val="22"/>
          <w:szCs w:val="22"/>
          <w:lang w:val="es-ES"/>
        </w:rPr>
        <w:t xml:space="preserve">las </w:t>
      </w:r>
      <w:r w:rsidR="000A39D1" w:rsidRPr="004B1FA3">
        <w:rPr>
          <w:rFonts w:ascii="Arial" w:hAnsi="Arial" w:cs="Arial"/>
          <w:sz w:val="22"/>
          <w:szCs w:val="22"/>
          <w:lang w:val="es-ES"/>
        </w:rPr>
        <w:t>actividades</w:t>
      </w:r>
      <w:r w:rsidR="00AB5ED7" w:rsidRPr="004B1FA3">
        <w:rPr>
          <w:rFonts w:ascii="Arial" w:hAnsi="Arial" w:cs="Arial"/>
          <w:sz w:val="22"/>
          <w:szCs w:val="22"/>
          <w:lang w:val="es-ES"/>
        </w:rPr>
        <w:t xml:space="preserve"> e indicadores</w:t>
      </w:r>
      <w:r w:rsidR="000A39D1" w:rsidRPr="004B1FA3">
        <w:rPr>
          <w:rFonts w:ascii="Arial" w:hAnsi="Arial" w:cs="Arial"/>
          <w:sz w:val="22"/>
          <w:szCs w:val="22"/>
          <w:lang w:val="es-ES"/>
        </w:rPr>
        <w:t xml:space="preserve"> de</w:t>
      </w:r>
      <w:r w:rsidR="00455E56" w:rsidRPr="004B1FA3">
        <w:rPr>
          <w:rFonts w:ascii="Arial" w:hAnsi="Arial" w:cs="Arial"/>
          <w:sz w:val="22"/>
          <w:szCs w:val="22"/>
          <w:lang w:val="es-ES"/>
        </w:rPr>
        <w:t xml:space="preserve"> </w:t>
      </w:r>
      <w:r w:rsidR="000A39D1" w:rsidRPr="004B1FA3">
        <w:rPr>
          <w:rFonts w:ascii="Arial" w:hAnsi="Arial" w:cs="Arial"/>
          <w:sz w:val="22"/>
          <w:szCs w:val="22"/>
          <w:lang w:val="es-ES"/>
        </w:rPr>
        <w:t>l</w:t>
      </w:r>
      <w:r w:rsidR="00455E56" w:rsidRPr="004B1FA3">
        <w:rPr>
          <w:rFonts w:ascii="Arial" w:hAnsi="Arial" w:cs="Arial"/>
          <w:sz w:val="22"/>
          <w:szCs w:val="22"/>
          <w:lang w:val="es-ES"/>
        </w:rPr>
        <w:t>a</w:t>
      </w:r>
      <w:r w:rsidR="000A39D1" w:rsidRPr="004B1FA3">
        <w:rPr>
          <w:rFonts w:ascii="Arial" w:hAnsi="Arial" w:cs="Arial"/>
          <w:sz w:val="22"/>
          <w:szCs w:val="22"/>
          <w:lang w:val="es-ES"/>
        </w:rPr>
        <w:t xml:space="preserve"> M</w:t>
      </w:r>
      <w:r w:rsidRPr="004B1FA3">
        <w:rPr>
          <w:rFonts w:ascii="Arial" w:hAnsi="Arial" w:cs="Arial"/>
          <w:sz w:val="22"/>
          <w:szCs w:val="22"/>
          <w:lang w:val="es-ES"/>
        </w:rPr>
        <w:t xml:space="preserve">atriz de </w:t>
      </w:r>
      <w:r w:rsidR="00231C51" w:rsidRPr="004B1FA3">
        <w:rPr>
          <w:rFonts w:ascii="Arial" w:hAnsi="Arial" w:cs="Arial"/>
          <w:sz w:val="22"/>
          <w:szCs w:val="22"/>
          <w:lang w:val="es-ES"/>
        </w:rPr>
        <w:t>R</w:t>
      </w:r>
      <w:r w:rsidRPr="004B1FA3">
        <w:rPr>
          <w:rFonts w:ascii="Arial" w:hAnsi="Arial" w:cs="Arial"/>
          <w:sz w:val="22"/>
          <w:szCs w:val="22"/>
          <w:lang w:val="es-ES"/>
        </w:rPr>
        <w:t>esultados.</w:t>
      </w:r>
      <w:r w:rsidR="000F42DB" w:rsidRPr="004B1FA3">
        <w:rPr>
          <w:rFonts w:ascii="Arial" w:hAnsi="Arial" w:cs="Arial"/>
          <w:sz w:val="22"/>
          <w:szCs w:val="22"/>
          <w:lang w:val="es-ES"/>
        </w:rPr>
        <w:t xml:space="preserve"> </w:t>
      </w:r>
    </w:p>
    <w:p w14:paraId="0CF6C602" w14:textId="77777777" w:rsidR="00AE37F8" w:rsidRPr="004B1FA3" w:rsidRDefault="00AE37F8" w:rsidP="004B1FA3">
      <w:pPr>
        <w:spacing w:line="276" w:lineRule="auto"/>
        <w:ind w:left="720"/>
        <w:jc w:val="both"/>
        <w:rPr>
          <w:rFonts w:ascii="Arial" w:hAnsi="Arial" w:cs="Arial"/>
          <w:sz w:val="22"/>
          <w:szCs w:val="22"/>
          <w:lang w:val="es-ES"/>
        </w:rPr>
      </w:pPr>
    </w:p>
    <w:p w14:paraId="721701E8" w14:textId="145794AA" w:rsidR="007C249A" w:rsidRPr="004B1FA3" w:rsidRDefault="007C249A" w:rsidP="004B1FA3">
      <w:pPr>
        <w:numPr>
          <w:ilvl w:val="1"/>
          <w:numId w:val="11"/>
        </w:numPr>
        <w:spacing w:line="276" w:lineRule="auto"/>
        <w:ind w:left="720" w:hanging="720"/>
        <w:jc w:val="both"/>
        <w:rPr>
          <w:rFonts w:ascii="Arial" w:hAnsi="Arial" w:cs="Arial"/>
          <w:sz w:val="22"/>
          <w:szCs w:val="22"/>
          <w:lang w:val="es-ES"/>
        </w:rPr>
      </w:pPr>
      <w:r w:rsidRPr="004B1FA3">
        <w:rPr>
          <w:rFonts w:ascii="Arial" w:hAnsi="Arial" w:cs="Arial"/>
          <w:sz w:val="22"/>
          <w:szCs w:val="22"/>
          <w:lang w:val="es-ES"/>
        </w:rPr>
        <w:t xml:space="preserve">En particular, </w:t>
      </w:r>
      <w:r w:rsidR="0068592F" w:rsidRPr="004B1FA3">
        <w:rPr>
          <w:rFonts w:ascii="Arial" w:hAnsi="Arial" w:cs="Arial"/>
          <w:sz w:val="22"/>
          <w:szCs w:val="22"/>
          <w:lang w:val="es-ES"/>
        </w:rPr>
        <w:t>se</w:t>
      </w:r>
      <w:r w:rsidRPr="004B1FA3">
        <w:rPr>
          <w:rFonts w:ascii="Arial" w:hAnsi="Arial" w:cs="Arial"/>
          <w:sz w:val="22"/>
          <w:szCs w:val="22"/>
          <w:lang w:val="es-ES"/>
        </w:rPr>
        <w:t xml:space="preserve"> deberán responder las principales preguntas de monitoreo:</w:t>
      </w:r>
      <w:r w:rsidR="0043180B" w:rsidRPr="004B1FA3">
        <w:rPr>
          <w:rFonts w:ascii="Arial" w:hAnsi="Arial" w:cs="Arial"/>
          <w:sz w:val="22"/>
          <w:szCs w:val="22"/>
          <w:lang w:val="es-ES"/>
        </w:rPr>
        <w:t xml:space="preserve"> a) </w:t>
      </w:r>
      <w:r w:rsidRPr="004B1FA3">
        <w:rPr>
          <w:rFonts w:ascii="Arial" w:hAnsi="Arial" w:cs="Arial"/>
          <w:sz w:val="22"/>
          <w:szCs w:val="22"/>
          <w:lang w:val="es-ES"/>
        </w:rPr>
        <w:t>Monitoreo de conformidad: ¿Las actividades y procesos realizados se adhieren a los objetivos establecidos por el programa?</w:t>
      </w:r>
      <w:r w:rsidR="0043180B" w:rsidRPr="004B1FA3">
        <w:rPr>
          <w:rFonts w:ascii="Arial" w:hAnsi="Arial" w:cs="Arial"/>
          <w:sz w:val="22"/>
          <w:szCs w:val="22"/>
          <w:lang w:val="es-ES"/>
        </w:rPr>
        <w:t xml:space="preserve">; b) </w:t>
      </w:r>
      <w:r w:rsidRPr="004B1FA3">
        <w:rPr>
          <w:rFonts w:ascii="Arial" w:hAnsi="Arial" w:cs="Arial"/>
          <w:sz w:val="22"/>
          <w:szCs w:val="22"/>
          <w:lang w:val="es-ES"/>
        </w:rPr>
        <w:t xml:space="preserve">Monitoreo financiero: ¿Hay suficiencia y </w:t>
      </w:r>
      <w:r w:rsidRPr="004B1FA3">
        <w:rPr>
          <w:rFonts w:ascii="Arial" w:hAnsi="Arial" w:cs="Arial"/>
          <w:sz w:val="22"/>
          <w:szCs w:val="22"/>
          <w:lang w:val="es-ES"/>
        </w:rPr>
        <w:lastRenderedPageBreak/>
        <w:t>oportunidad en la liberación de los fondos del programa?</w:t>
      </w:r>
      <w:r w:rsidR="0043180B" w:rsidRPr="004B1FA3">
        <w:rPr>
          <w:rFonts w:ascii="Arial" w:hAnsi="Arial" w:cs="Arial"/>
          <w:sz w:val="22"/>
          <w:szCs w:val="22"/>
          <w:lang w:val="es-ES"/>
        </w:rPr>
        <w:t xml:space="preserve">; c) </w:t>
      </w:r>
      <w:r w:rsidRPr="004B1FA3">
        <w:rPr>
          <w:rFonts w:ascii="Arial" w:hAnsi="Arial" w:cs="Arial"/>
          <w:sz w:val="22"/>
          <w:szCs w:val="22"/>
          <w:lang w:val="es-ES"/>
        </w:rPr>
        <w:t>Monitoreo de actividades: ¿Las actividades proyectadas están siendo planificadas y ejecutadas de acuerdo al tiempo requerido?</w:t>
      </w:r>
      <w:r w:rsidR="0043180B" w:rsidRPr="004B1FA3">
        <w:rPr>
          <w:rFonts w:ascii="Arial" w:hAnsi="Arial" w:cs="Arial"/>
          <w:sz w:val="22"/>
          <w:szCs w:val="22"/>
          <w:lang w:val="es-ES"/>
        </w:rPr>
        <w:t xml:space="preserve">; d) </w:t>
      </w:r>
      <w:r w:rsidRPr="004B1FA3">
        <w:rPr>
          <w:rFonts w:ascii="Arial" w:hAnsi="Arial" w:cs="Arial"/>
          <w:sz w:val="22"/>
          <w:szCs w:val="22"/>
          <w:lang w:val="es-ES"/>
        </w:rPr>
        <w:t>Monitoreo de productos: ¿Los productos se están desarrollando en la secuencia deseada?</w:t>
      </w:r>
      <w:r w:rsidR="0043180B" w:rsidRPr="004B1FA3">
        <w:rPr>
          <w:rFonts w:ascii="Arial" w:hAnsi="Arial" w:cs="Arial"/>
          <w:sz w:val="22"/>
          <w:szCs w:val="22"/>
          <w:lang w:val="es-ES"/>
        </w:rPr>
        <w:t xml:space="preserve">; e) </w:t>
      </w:r>
      <w:r w:rsidRPr="004B1FA3">
        <w:rPr>
          <w:rFonts w:ascii="Arial" w:hAnsi="Arial" w:cs="Arial"/>
          <w:sz w:val="22"/>
          <w:szCs w:val="22"/>
          <w:lang w:val="es-ES"/>
        </w:rPr>
        <w:t>Monitoreo de resultados: ¿Se están alcanzando las metas a nivel de indic</w:t>
      </w:r>
      <w:r w:rsidR="0043180B" w:rsidRPr="004B1FA3">
        <w:rPr>
          <w:rFonts w:ascii="Arial" w:hAnsi="Arial" w:cs="Arial"/>
          <w:sz w:val="22"/>
          <w:szCs w:val="22"/>
          <w:lang w:val="es-ES"/>
        </w:rPr>
        <w:t>adores resultados</w:t>
      </w:r>
      <w:r w:rsidR="00751673" w:rsidRPr="004B1FA3">
        <w:rPr>
          <w:rFonts w:ascii="Arial" w:hAnsi="Arial" w:cs="Arial"/>
          <w:sz w:val="22"/>
          <w:szCs w:val="22"/>
          <w:lang w:val="es-ES"/>
        </w:rPr>
        <w:t xml:space="preserve"> y productos</w:t>
      </w:r>
      <w:r w:rsidR="0043180B" w:rsidRPr="004B1FA3">
        <w:rPr>
          <w:rFonts w:ascii="Arial" w:hAnsi="Arial" w:cs="Arial"/>
          <w:sz w:val="22"/>
          <w:szCs w:val="22"/>
          <w:lang w:val="es-ES"/>
        </w:rPr>
        <w:t xml:space="preserve">?; f) </w:t>
      </w:r>
      <w:r w:rsidRPr="004B1FA3">
        <w:rPr>
          <w:rFonts w:ascii="Arial" w:hAnsi="Arial" w:cs="Arial"/>
          <w:sz w:val="22"/>
          <w:szCs w:val="22"/>
          <w:lang w:val="es-ES"/>
        </w:rPr>
        <w:t>Monitoreo de riesgos: ¿Los riesgos identificados en el programa ponen en peligro el logro de los objetivos? ¿Las acciones de mitigación planificadas se están desarrollando?</w:t>
      </w:r>
    </w:p>
    <w:p w14:paraId="77B1108C" w14:textId="77777777" w:rsidR="00AE37F8" w:rsidRPr="004B1FA3" w:rsidRDefault="00AE37F8" w:rsidP="004B1FA3">
      <w:pPr>
        <w:spacing w:line="276" w:lineRule="auto"/>
        <w:ind w:left="720"/>
        <w:jc w:val="both"/>
        <w:rPr>
          <w:rFonts w:ascii="Arial" w:hAnsi="Arial" w:cs="Arial"/>
          <w:sz w:val="22"/>
          <w:szCs w:val="22"/>
          <w:lang w:val="es-ES"/>
        </w:rPr>
      </w:pPr>
    </w:p>
    <w:p w14:paraId="417E21A2" w14:textId="77777777" w:rsidR="00231C51" w:rsidRPr="004B1FA3" w:rsidRDefault="00231C51" w:rsidP="00A06DD5">
      <w:pPr>
        <w:pStyle w:val="ListParagraph"/>
        <w:numPr>
          <w:ilvl w:val="0"/>
          <w:numId w:val="19"/>
        </w:numPr>
        <w:spacing w:line="276" w:lineRule="auto"/>
        <w:jc w:val="both"/>
        <w:rPr>
          <w:rFonts w:ascii="Arial" w:hAnsi="Arial" w:cs="Arial"/>
          <w:b/>
          <w:sz w:val="22"/>
          <w:szCs w:val="22"/>
          <w:lang w:val="es-ES"/>
        </w:rPr>
      </w:pPr>
      <w:r w:rsidRPr="004B1FA3">
        <w:rPr>
          <w:rFonts w:ascii="Arial" w:hAnsi="Arial" w:cs="Arial"/>
          <w:b/>
          <w:sz w:val="22"/>
          <w:szCs w:val="22"/>
          <w:lang w:val="es-ES"/>
        </w:rPr>
        <w:t>Indicadores</w:t>
      </w:r>
    </w:p>
    <w:p w14:paraId="1EDD1B98" w14:textId="77777777" w:rsidR="0043180B" w:rsidRPr="004B1FA3" w:rsidRDefault="0043180B" w:rsidP="004B1FA3">
      <w:pPr>
        <w:pStyle w:val="ListParagraph"/>
        <w:spacing w:line="276" w:lineRule="auto"/>
        <w:jc w:val="both"/>
        <w:rPr>
          <w:rFonts w:ascii="Arial" w:hAnsi="Arial" w:cs="Arial"/>
          <w:b/>
          <w:sz w:val="22"/>
          <w:szCs w:val="22"/>
          <w:lang w:val="es-ES"/>
        </w:rPr>
      </w:pPr>
    </w:p>
    <w:p w14:paraId="23786499" w14:textId="298DBB6A" w:rsidR="00231C51" w:rsidRPr="004B1FA3" w:rsidRDefault="00231C51" w:rsidP="004B1FA3">
      <w:pPr>
        <w:numPr>
          <w:ilvl w:val="1"/>
          <w:numId w:val="11"/>
        </w:numPr>
        <w:spacing w:line="276" w:lineRule="auto"/>
        <w:ind w:left="720" w:hanging="720"/>
        <w:jc w:val="both"/>
        <w:rPr>
          <w:rFonts w:ascii="Arial" w:hAnsi="Arial" w:cs="Arial"/>
          <w:sz w:val="22"/>
          <w:szCs w:val="22"/>
          <w:lang w:val="es-ES"/>
        </w:rPr>
      </w:pPr>
      <w:r w:rsidRPr="004B1FA3">
        <w:rPr>
          <w:rFonts w:ascii="Arial" w:hAnsi="Arial" w:cs="Arial"/>
          <w:sz w:val="22"/>
          <w:szCs w:val="22"/>
          <w:lang w:val="es-ES"/>
        </w:rPr>
        <w:t xml:space="preserve">Durante el monitoreo del programa se dará seguimiento a los siguientes indicadores </w:t>
      </w:r>
      <w:r w:rsidR="00A9040A" w:rsidRPr="004B1FA3">
        <w:rPr>
          <w:rFonts w:ascii="Arial" w:hAnsi="Arial" w:cs="Arial"/>
          <w:sz w:val="22"/>
          <w:szCs w:val="22"/>
          <w:lang w:val="es-ES"/>
        </w:rPr>
        <w:t>y costos por</w:t>
      </w:r>
      <w:r w:rsidRPr="004B1FA3">
        <w:rPr>
          <w:rFonts w:ascii="Arial" w:hAnsi="Arial" w:cs="Arial"/>
          <w:sz w:val="22"/>
          <w:szCs w:val="22"/>
          <w:lang w:val="es-ES"/>
        </w:rPr>
        <w:t xml:space="preserve"> producto</w:t>
      </w:r>
      <w:r w:rsidR="00A9040A" w:rsidRPr="004B1FA3">
        <w:rPr>
          <w:rFonts w:ascii="Arial" w:hAnsi="Arial" w:cs="Arial"/>
          <w:sz w:val="22"/>
          <w:szCs w:val="22"/>
          <w:lang w:val="es-ES"/>
        </w:rPr>
        <w:t>,</w:t>
      </w:r>
      <w:r w:rsidRPr="004B1FA3">
        <w:rPr>
          <w:rFonts w:ascii="Arial" w:hAnsi="Arial" w:cs="Arial"/>
          <w:sz w:val="22"/>
          <w:szCs w:val="22"/>
          <w:lang w:val="es-ES"/>
        </w:rPr>
        <w:t xml:space="preserve"> que forman parte de la Matriz de Resu</w:t>
      </w:r>
      <w:r w:rsidR="00A9040A" w:rsidRPr="004B1FA3">
        <w:rPr>
          <w:rFonts w:ascii="Arial" w:hAnsi="Arial" w:cs="Arial"/>
          <w:sz w:val="22"/>
          <w:szCs w:val="22"/>
          <w:lang w:val="es-ES"/>
        </w:rPr>
        <w:t>ltados</w:t>
      </w:r>
      <w:r w:rsidR="007C249A" w:rsidRPr="004B1FA3">
        <w:rPr>
          <w:rFonts w:ascii="Arial" w:hAnsi="Arial" w:cs="Arial"/>
          <w:sz w:val="22"/>
          <w:szCs w:val="22"/>
          <w:lang w:val="es-ES"/>
        </w:rPr>
        <w:t xml:space="preserve">. </w:t>
      </w:r>
      <w:r w:rsidR="00A9040A" w:rsidRPr="004B1FA3">
        <w:rPr>
          <w:rFonts w:ascii="Arial" w:hAnsi="Arial" w:cs="Arial"/>
          <w:sz w:val="22"/>
          <w:szCs w:val="22"/>
          <w:lang w:val="es-ES"/>
        </w:rPr>
        <w:t>(</w:t>
      </w:r>
      <w:r w:rsidR="00E757FF" w:rsidRPr="004B1FA3">
        <w:rPr>
          <w:rFonts w:ascii="Arial" w:hAnsi="Arial" w:cs="Arial"/>
          <w:sz w:val="22"/>
          <w:szCs w:val="22"/>
          <w:lang w:val="es-ES"/>
        </w:rPr>
        <w:t>Tabla</w:t>
      </w:r>
      <w:r w:rsidRPr="004B1FA3">
        <w:rPr>
          <w:rFonts w:ascii="Arial" w:hAnsi="Arial" w:cs="Arial"/>
          <w:sz w:val="22"/>
          <w:szCs w:val="22"/>
          <w:lang w:val="es-ES"/>
        </w:rPr>
        <w:t xml:space="preserve"> 1 y 2).</w:t>
      </w:r>
    </w:p>
    <w:bookmarkEnd w:id="8"/>
    <w:p w14:paraId="5CB7F4E8" w14:textId="77777777" w:rsidR="00231C51" w:rsidRPr="00DD2307" w:rsidRDefault="00231C51" w:rsidP="00534766">
      <w:pPr>
        <w:spacing w:line="276" w:lineRule="auto"/>
        <w:jc w:val="both"/>
        <w:rPr>
          <w:rFonts w:ascii="Arial" w:hAnsi="Arial" w:cs="Arial"/>
          <w:sz w:val="22"/>
          <w:szCs w:val="22"/>
          <w:lang w:val="es-ES"/>
        </w:rPr>
        <w:sectPr w:rsidR="00231C51" w:rsidRPr="00DD2307" w:rsidSect="00E56DDB">
          <w:pgSz w:w="12240" w:h="15840" w:code="1"/>
          <w:pgMar w:top="1440" w:right="1800" w:bottom="1440" w:left="1800" w:header="720" w:footer="720" w:gutter="0"/>
          <w:cols w:space="720"/>
          <w:docGrid w:linePitch="360"/>
        </w:sectPr>
      </w:pPr>
    </w:p>
    <w:p w14:paraId="183B5262" w14:textId="77777777" w:rsidR="0024571D" w:rsidRPr="00DD2307" w:rsidRDefault="008C7E1C" w:rsidP="00534766">
      <w:pPr>
        <w:pStyle w:val="TableTitle"/>
        <w:spacing w:before="0" w:after="0" w:line="276" w:lineRule="auto"/>
        <w:jc w:val="both"/>
        <w:rPr>
          <w:rStyle w:val="Heading1Char"/>
          <w:rFonts w:ascii="Arial" w:hAnsi="Arial" w:cs="Arial"/>
          <w:b/>
          <w:sz w:val="22"/>
          <w:szCs w:val="22"/>
        </w:rPr>
      </w:pPr>
      <w:bookmarkStart w:id="12" w:name="_Toc491518987"/>
      <w:bookmarkStart w:id="13" w:name="_Hlk10629594"/>
      <w:r w:rsidRPr="00DD2307">
        <w:rPr>
          <w:rStyle w:val="Heading1Char"/>
          <w:rFonts w:ascii="Arial" w:hAnsi="Arial" w:cs="Arial"/>
          <w:b/>
          <w:sz w:val="22"/>
          <w:szCs w:val="22"/>
        </w:rPr>
        <w:lastRenderedPageBreak/>
        <w:t xml:space="preserve">Tabla 1. </w:t>
      </w:r>
      <w:r w:rsidR="006D01D1" w:rsidRPr="00DD2307">
        <w:rPr>
          <w:rStyle w:val="Heading1Char"/>
          <w:rFonts w:ascii="Arial" w:hAnsi="Arial" w:cs="Arial"/>
          <w:b/>
          <w:sz w:val="22"/>
          <w:szCs w:val="22"/>
        </w:rPr>
        <w:t>Indicadores de Producto por Componente</w:t>
      </w:r>
      <w:bookmarkEnd w:id="12"/>
    </w:p>
    <w:p w14:paraId="36D434DF" w14:textId="77777777" w:rsidR="00063B89" w:rsidRPr="00DD2307" w:rsidRDefault="00063B89" w:rsidP="00534766">
      <w:pPr>
        <w:pStyle w:val="TableTitle"/>
        <w:spacing w:before="0" w:after="0" w:line="276" w:lineRule="auto"/>
        <w:jc w:val="both"/>
        <w:rPr>
          <w:rStyle w:val="Heading1Char"/>
          <w:rFonts w:ascii="Arial" w:hAnsi="Arial" w:cs="Arial"/>
          <w:b/>
          <w:sz w:val="22"/>
          <w:szCs w:val="22"/>
        </w:rPr>
      </w:pPr>
    </w:p>
    <w:tbl>
      <w:tblPr>
        <w:tblStyle w:val="TableGrid"/>
        <w:tblW w:w="15480" w:type="dxa"/>
        <w:jc w:val="center"/>
        <w:tblLayout w:type="fixed"/>
        <w:tblLook w:val="04A0" w:firstRow="1" w:lastRow="0" w:firstColumn="1" w:lastColumn="0" w:noHBand="0" w:noVBand="1"/>
      </w:tblPr>
      <w:tblGrid>
        <w:gridCol w:w="3785"/>
        <w:gridCol w:w="1430"/>
        <w:gridCol w:w="730"/>
        <w:gridCol w:w="1070"/>
        <w:gridCol w:w="720"/>
        <w:gridCol w:w="810"/>
        <w:gridCol w:w="810"/>
        <w:gridCol w:w="990"/>
        <w:gridCol w:w="1170"/>
        <w:gridCol w:w="3965"/>
      </w:tblGrid>
      <w:tr w:rsidR="006E58FC" w:rsidRPr="009D10A6" w14:paraId="11AB1773" w14:textId="77777777" w:rsidTr="00550BDE">
        <w:trPr>
          <w:tblHeader/>
          <w:jc w:val="center"/>
        </w:trPr>
        <w:tc>
          <w:tcPr>
            <w:tcW w:w="37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69C75" w14:textId="77777777" w:rsidR="006E58FC" w:rsidRPr="009D10A6" w:rsidRDefault="006E58FC" w:rsidP="00550BDE">
            <w:pPr>
              <w:jc w:val="center"/>
              <w:rPr>
                <w:rFonts w:ascii="Arial" w:hAnsi="Arial" w:cs="Arial"/>
                <w:b/>
                <w:sz w:val="20"/>
              </w:rPr>
            </w:pPr>
            <w:r w:rsidRPr="009D10A6">
              <w:rPr>
                <w:rFonts w:ascii="Arial" w:hAnsi="Arial" w:cs="Arial"/>
                <w:b/>
                <w:sz w:val="20"/>
              </w:rPr>
              <w:t>Indicador</w:t>
            </w:r>
          </w:p>
        </w:tc>
        <w:tc>
          <w:tcPr>
            <w:tcW w:w="1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6CF0F8" w14:textId="77777777" w:rsidR="006E58FC" w:rsidRPr="009D10A6" w:rsidRDefault="006E58FC" w:rsidP="00550BDE">
            <w:pPr>
              <w:jc w:val="center"/>
              <w:rPr>
                <w:rFonts w:ascii="Arial" w:hAnsi="Arial" w:cs="Arial"/>
                <w:b/>
                <w:sz w:val="20"/>
              </w:rPr>
            </w:pPr>
            <w:r w:rsidRPr="009D10A6">
              <w:rPr>
                <w:rFonts w:ascii="Arial" w:hAnsi="Arial" w:cs="Arial"/>
                <w:b/>
                <w:sz w:val="20"/>
              </w:rPr>
              <w:t>Unidad de Medida</w:t>
            </w:r>
          </w:p>
        </w:tc>
        <w:tc>
          <w:tcPr>
            <w:tcW w:w="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654A55" w14:textId="77777777" w:rsidR="006E58FC" w:rsidRPr="009D10A6" w:rsidRDefault="006E58FC" w:rsidP="00550BDE">
            <w:pPr>
              <w:jc w:val="center"/>
              <w:rPr>
                <w:rFonts w:ascii="Arial" w:hAnsi="Arial" w:cs="Arial"/>
                <w:b/>
                <w:sz w:val="20"/>
              </w:rPr>
            </w:pPr>
            <w:r w:rsidRPr="009D10A6">
              <w:rPr>
                <w:rFonts w:ascii="Arial" w:hAnsi="Arial" w:cs="Arial"/>
                <w:b/>
                <w:sz w:val="20"/>
              </w:rPr>
              <w:t>Línea de Base</w:t>
            </w:r>
          </w:p>
        </w:tc>
        <w:tc>
          <w:tcPr>
            <w:tcW w:w="1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1A2D4" w14:textId="77777777" w:rsidR="006E58FC" w:rsidRPr="009D10A6" w:rsidRDefault="006E58FC" w:rsidP="00550BDE">
            <w:pPr>
              <w:jc w:val="center"/>
              <w:rPr>
                <w:rFonts w:ascii="Arial" w:hAnsi="Arial" w:cs="Arial"/>
                <w:b/>
                <w:sz w:val="20"/>
              </w:rPr>
            </w:pPr>
            <w:r w:rsidRPr="009D10A6">
              <w:rPr>
                <w:rFonts w:ascii="Arial" w:hAnsi="Arial" w:cs="Arial"/>
                <w:b/>
                <w:sz w:val="20"/>
              </w:rPr>
              <w:t>Año</w:t>
            </w:r>
          </w:p>
          <w:p w14:paraId="383073E9" w14:textId="77777777" w:rsidR="006E58FC" w:rsidRPr="009D10A6" w:rsidRDefault="006E58FC" w:rsidP="00550BDE">
            <w:pPr>
              <w:jc w:val="center"/>
              <w:rPr>
                <w:rFonts w:ascii="Arial" w:hAnsi="Arial" w:cs="Arial"/>
                <w:b/>
                <w:sz w:val="20"/>
              </w:rPr>
            </w:pPr>
            <w:r w:rsidRPr="009D10A6">
              <w:rPr>
                <w:rFonts w:ascii="Arial" w:hAnsi="Arial" w:cs="Arial"/>
                <w:b/>
                <w:sz w:val="20"/>
              </w:rPr>
              <w:t>Línea de Base</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DB83C4" w14:textId="77777777" w:rsidR="006E58FC" w:rsidRPr="009D10A6" w:rsidRDefault="006E58FC" w:rsidP="00550BDE">
            <w:pPr>
              <w:jc w:val="center"/>
              <w:rPr>
                <w:rFonts w:ascii="Arial" w:hAnsi="Arial" w:cs="Arial"/>
                <w:b/>
                <w:sz w:val="20"/>
              </w:rPr>
            </w:pPr>
            <w:r w:rsidRPr="009D10A6">
              <w:rPr>
                <w:rFonts w:ascii="Arial" w:hAnsi="Arial" w:cs="Arial"/>
                <w:b/>
                <w:sz w:val="20"/>
              </w:rPr>
              <w:t>2019</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5AD30A" w14:textId="77777777" w:rsidR="006E58FC" w:rsidRPr="009D10A6" w:rsidRDefault="006E58FC" w:rsidP="00550BDE">
            <w:pPr>
              <w:jc w:val="center"/>
              <w:rPr>
                <w:rFonts w:ascii="Arial" w:hAnsi="Arial" w:cs="Arial"/>
                <w:b/>
                <w:sz w:val="20"/>
              </w:rPr>
            </w:pPr>
            <w:r w:rsidRPr="009D10A6">
              <w:rPr>
                <w:rFonts w:ascii="Arial" w:hAnsi="Arial" w:cs="Arial"/>
                <w:b/>
                <w:sz w:val="20"/>
              </w:rPr>
              <w:t>2020</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5F027E" w14:textId="77777777" w:rsidR="006E58FC" w:rsidRPr="009D10A6" w:rsidRDefault="006E58FC" w:rsidP="00550BDE">
            <w:pPr>
              <w:jc w:val="center"/>
              <w:rPr>
                <w:rFonts w:ascii="Arial" w:hAnsi="Arial" w:cs="Arial"/>
                <w:b/>
                <w:sz w:val="20"/>
              </w:rPr>
            </w:pPr>
            <w:r w:rsidRPr="009D10A6">
              <w:rPr>
                <w:rFonts w:ascii="Arial" w:hAnsi="Arial" w:cs="Arial"/>
                <w:b/>
                <w:sz w:val="20"/>
              </w:rPr>
              <w:t>2021</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EF9023" w14:textId="77777777" w:rsidR="006E58FC" w:rsidRPr="009D10A6" w:rsidRDefault="006E58FC" w:rsidP="00550BDE">
            <w:pPr>
              <w:jc w:val="center"/>
              <w:rPr>
                <w:rFonts w:ascii="Arial" w:hAnsi="Arial" w:cs="Arial"/>
                <w:b/>
                <w:sz w:val="20"/>
              </w:rPr>
            </w:pPr>
            <w:r w:rsidRPr="009D10A6">
              <w:rPr>
                <w:rFonts w:ascii="Arial" w:hAnsi="Arial" w:cs="Arial"/>
                <w:b/>
                <w:sz w:val="20"/>
              </w:rPr>
              <w:t>2022</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796BEE" w14:textId="77777777" w:rsidR="006E58FC" w:rsidRPr="009D10A6" w:rsidRDefault="006E58FC" w:rsidP="00550BDE">
            <w:pPr>
              <w:jc w:val="center"/>
              <w:rPr>
                <w:rFonts w:ascii="Arial" w:hAnsi="Arial" w:cs="Arial"/>
                <w:b/>
                <w:sz w:val="20"/>
              </w:rPr>
            </w:pPr>
            <w:r w:rsidRPr="009D10A6">
              <w:rPr>
                <w:rFonts w:ascii="Arial" w:hAnsi="Arial" w:cs="Arial"/>
                <w:b/>
                <w:sz w:val="20"/>
              </w:rPr>
              <w:t>Meta Final</w:t>
            </w:r>
          </w:p>
        </w:tc>
        <w:tc>
          <w:tcPr>
            <w:tcW w:w="3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2E3B71" w14:textId="77777777" w:rsidR="006E58FC" w:rsidRPr="009D10A6" w:rsidRDefault="006E58FC" w:rsidP="00550BDE">
            <w:pPr>
              <w:jc w:val="center"/>
              <w:rPr>
                <w:rFonts w:ascii="Arial" w:hAnsi="Arial" w:cs="Arial"/>
                <w:b/>
                <w:sz w:val="20"/>
              </w:rPr>
            </w:pPr>
            <w:r w:rsidRPr="009D10A6">
              <w:rPr>
                <w:rFonts w:ascii="Arial" w:hAnsi="Arial" w:cs="Arial"/>
                <w:b/>
                <w:sz w:val="20"/>
              </w:rPr>
              <w:t>Medios de Verificación</w:t>
            </w:r>
          </w:p>
        </w:tc>
      </w:tr>
      <w:tr w:rsidR="006E58FC" w:rsidRPr="009D10A6" w14:paraId="3F89A83C" w14:textId="77777777" w:rsidTr="00550BDE">
        <w:trPr>
          <w:trHeight w:val="408"/>
          <w:jc w:val="center"/>
        </w:trPr>
        <w:tc>
          <w:tcPr>
            <w:tcW w:w="15480" w:type="dxa"/>
            <w:gridSpan w:val="10"/>
            <w:tcBorders>
              <w:top w:val="single" w:sz="4" w:space="0" w:color="auto"/>
            </w:tcBorders>
            <w:shd w:val="clear" w:color="auto" w:fill="C2D69B" w:themeFill="accent3" w:themeFillTint="99"/>
            <w:vAlign w:val="center"/>
          </w:tcPr>
          <w:p w14:paraId="6BAF4F7F" w14:textId="77777777" w:rsidR="006E58FC" w:rsidRPr="009D10A6" w:rsidRDefault="006E58FC" w:rsidP="00550BDE">
            <w:pPr>
              <w:rPr>
                <w:rFonts w:ascii="Arial" w:hAnsi="Arial" w:cs="Arial"/>
                <w:b/>
                <w:sz w:val="20"/>
              </w:rPr>
            </w:pPr>
            <w:r w:rsidRPr="009D10A6">
              <w:rPr>
                <w:rFonts w:ascii="Arial" w:hAnsi="Arial" w:cs="Arial"/>
                <w:b/>
                <w:sz w:val="20"/>
                <w:u w:val="single"/>
              </w:rPr>
              <w:t>Componente #1</w:t>
            </w:r>
            <w:r w:rsidRPr="009D10A6">
              <w:rPr>
                <w:rFonts w:ascii="Arial" w:hAnsi="Arial" w:cs="Arial"/>
                <w:b/>
                <w:sz w:val="20"/>
              </w:rPr>
              <w:t xml:space="preserve">: </w:t>
            </w:r>
            <w:r w:rsidRPr="009D10A6">
              <w:rPr>
                <w:rFonts w:ascii="Arial" w:eastAsia="Arial" w:hAnsi="Arial" w:cs="Arial"/>
                <w:b/>
                <w:color w:val="000000" w:themeColor="text1"/>
                <w:sz w:val="20"/>
                <w:lang w:val="es-ES"/>
              </w:rPr>
              <w:t>Fortalecimiento del marco de gobernanza corporativa y fiscal de las EEPP</w:t>
            </w:r>
          </w:p>
        </w:tc>
      </w:tr>
      <w:tr w:rsidR="006E58FC" w:rsidRPr="009D10A6" w14:paraId="090D6511" w14:textId="77777777" w:rsidTr="00550BDE">
        <w:trPr>
          <w:trHeight w:val="390"/>
          <w:jc w:val="center"/>
        </w:trPr>
        <w:tc>
          <w:tcPr>
            <w:tcW w:w="15480" w:type="dxa"/>
            <w:gridSpan w:val="10"/>
            <w:tcBorders>
              <w:top w:val="single" w:sz="4" w:space="0" w:color="auto"/>
            </w:tcBorders>
            <w:shd w:val="clear" w:color="auto" w:fill="C2D69B" w:themeFill="accent3" w:themeFillTint="99"/>
            <w:vAlign w:val="center"/>
          </w:tcPr>
          <w:p w14:paraId="1F07CB42" w14:textId="77777777" w:rsidR="006E58FC" w:rsidRPr="009D10A6" w:rsidRDefault="006E58FC" w:rsidP="00550BDE">
            <w:pPr>
              <w:rPr>
                <w:rFonts w:ascii="Arial" w:hAnsi="Arial" w:cs="Arial"/>
                <w:b/>
                <w:sz w:val="20"/>
              </w:rPr>
            </w:pPr>
            <w:r w:rsidRPr="009D10A6">
              <w:rPr>
                <w:rFonts w:ascii="Arial" w:hAnsi="Arial" w:cs="Arial"/>
                <w:b/>
                <w:sz w:val="20"/>
              </w:rPr>
              <w:t>Subcomponente 1.1. Mejora e implementación del marco normativo</w:t>
            </w:r>
          </w:p>
        </w:tc>
      </w:tr>
      <w:tr w:rsidR="006E58FC" w:rsidRPr="009D10A6" w14:paraId="0E4FBAA2" w14:textId="77777777" w:rsidTr="00550BDE">
        <w:trPr>
          <w:trHeight w:val="63"/>
          <w:jc w:val="center"/>
        </w:trPr>
        <w:tc>
          <w:tcPr>
            <w:tcW w:w="15480" w:type="dxa"/>
            <w:gridSpan w:val="10"/>
            <w:vAlign w:val="center"/>
          </w:tcPr>
          <w:p w14:paraId="61EAF898" w14:textId="77777777" w:rsidR="006E58FC" w:rsidRPr="009D10A6" w:rsidRDefault="006E58FC" w:rsidP="006E58FC">
            <w:pPr>
              <w:pStyle w:val="ListParagraph"/>
              <w:numPr>
                <w:ilvl w:val="0"/>
                <w:numId w:val="61"/>
              </w:numPr>
              <w:ind w:left="522" w:hanging="270"/>
              <w:rPr>
                <w:rFonts w:ascii="Arial" w:hAnsi="Arial" w:cs="Arial"/>
                <w:sz w:val="20"/>
                <w:lang w:val="es-ES"/>
              </w:rPr>
            </w:pPr>
            <w:r w:rsidRPr="009D10A6">
              <w:rPr>
                <w:rFonts w:ascii="Arial" w:hAnsi="Arial" w:cs="Arial"/>
                <w:sz w:val="20"/>
                <w:lang w:val="es-ES_tradnl"/>
              </w:rPr>
              <w:t>Marco normativo</w:t>
            </w:r>
          </w:p>
        </w:tc>
      </w:tr>
      <w:tr w:rsidR="006E58FC" w:rsidRPr="009D10A6" w14:paraId="0D2CEE17" w14:textId="77777777" w:rsidTr="00550BDE">
        <w:trPr>
          <w:trHeight w:val="63"/>
          <w:jc w:val="center"/>
        </w:trPr>
        <w:tc>
          <w:tcPr>
            <w:tcW w:w="3785" w:type="dxa"/>
            <w:vAlign w:val="center"/>
          </w:tcPr>
          <w:p w14:paraId="23B7A368" w14:textId="77777777" w:rsidR="006E58FC" w:rsidRPr="009D10A6" w:rsidDel="00F4058E" w:rsidRDefault="006E58FC" w:rsidP="006E58FC">
            <w:pPr>
              <w:pStyle w:val="ListParagraph"/>
              <w:numPr>
                <w:ilvl w:val="2"/>
                <w:numId w:val="62"/>
              </w:numPr>
              <w:ind w:left="882" w:hanging="450"/>
              <w:rPr>
                <w:rFonts w:ascii="Arial" w:hAnsi="Arial" w:cs="Arial"/>
                <w:sz w:val="20"/>
                <w:lang w:val="es-ES"/>
              </w:rPr>
            </w:pPr>
            <w:r w:rsidRPr="009D10A6">
              <w:rPr>
                <w:rFonts w:ascii="Arial" w:hAnsi="Arial" w:cs="Arial"/>
                <w:sz w:val="20"/>
                <w:lang w:val="es-ES_tradnl"/>
              </w:rPr>
              <w:t xml:space="preserve">Informe de socialización de la </w:t>
            </w:r>
            <w:r w:rsidRPr="009D10A6">
              <w:rPr>
                <w:rFonts w:ascii="Arial" w:hAnsi="Arial" w:cs="Arial"/>
                <w:sz w:val="20"/>
                <w:lang w:val="es-ES"/>
              </w:rPr>
              <w:t xml:space="preserve">nueva LOEP y lineamientos OCDE </w:t>
            </w:r>
            <w:r w:rsidRPr="009D10A6">
              <w:rPr>
                <w:rFonts w:ascii="Arial" w:hAnsi="Arial" w:cs="Arial"/>
                <w:sz w:val="20"/>
                <w:lang w:val="es-ES_tradnl"/>
              </w:rPr>
              <w:t>aprobado.</w:t>
            </w:r>
          </w:p>
        </w:tc>
        <w:tc>
          <w:tcPr>
            <w:tcW w:w="1430" w:type="dxa"/>
            <w:vAlign w:val="center"/>
          </w:tcPr>
          <w:p w14:paraId="57049C5B" w14:textId="77777777" w:rsidR="006E58FC" w:rsidRPr="009D10A6" w:rsidRDefault="006E58FC" w:rsidP="00550BDE">
            <w:pPr>
              <w:pStyle w:val="FootnoteText"/>
              <w:jc w:val="center"/>
              <w:rPr>
                <w:rFonts w:ascii="Arial" w:hAnsi="Arial" w:cs="Arial"/>
                <w:spacing w:val="-2"/>
              </w:rPr>
            </w:pPr>
            <w:r w:rsidRPr="009D10A6">
              <w:rPr>
                <w:rFonts w:ascii="Arial" w:hAnsi="Arial" w:cs="Arial"/>
              </w:rPr>
              <w:t>Informe</w:t>
            </w:r>
          </w:p>
        </w:tc>
        <w:tc>
          <w:tcPr>
            <w:tcW w:w="730" w:type="dxa"/>
            <w:vAlign w:val="center"/>
          </w:tcPr>
          <w:p w14:paraId="66EF252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7F7117B0"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30A6C8E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9770E08"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37620BE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476F128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1170" w:type="dxa"/>
            <w:vAlign w:val="center"/>
          </w:tcPr>
          <w:p w14:paraId="0B25AF3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3FBE937D" w14:textId="77777777" w:rsidR="006E58FC" w:rsidRPr="009D10A6" w:rsidDel="00325F9C" w:rsidRDefault="006E58FC" w:rsidP="00550BDE">
            <w:pPr>
              <w:rPr>
                <w:rFonts w:ascii="Arial" w:hAnsi="Arial" w:cs="Arial"/>
                <w:sz w:val="20"/>
                <w:lang w:val="es-ES"/>
              </w:rPr>
            </w:pPr>
            <w:r w:rsidRPr="009D10A6">
              <w:rPr>
                <w:rFonts w:ascii="Arial" w:hAnsi="Arial" w:cs="Arial"/>
                <w:sz w:val="20"/>
                <w:lang w:val="es-ES"/>
              </w:rPr>
              <w:t>Certificado de aprobación, EMCO y posteriormente la entidad que lo sustituya</w:t>
            </w:r>
          </w:p>
        </w:tc>
      </w:tr>
      <w:tr w:rsidR="006E58FC" w:rsidRPr="009D10A6" w14:paraId="0DEB6C90" w14:textId="77777777" w:rsidTr="00550BDE">
        <w:trPr>
          <w:trHeight w:val="63"/>
          <w:jc w:val="center"/>
        </w:trPr>
        <w:tc>
          <w:tcPr>
            <w:tcW w:w="3785" w:type="dxa"/>
            <w:vAlign w:val="center"/>
          </w:tcPr>
          <w:p w14:paraId="0FB6AD5E" w14:textId="77777777" w:rsidR="006E58FC" w:rsidRPr="009D10A6" w:rsidRDefault="006E58FC" w:rsidP="006E58FC">
            <w:pPr>
              <w:pStyle w:val="ListParagraph"/>
              <w:numPr>
                <w:ilvl w:val="2"/>
                <w:numId w:val="62"/>
              </w:numPr>
              <w:ind w:left="882" w:hanging="450"/>
              <w:rPr>
                <w:rFonts w:ascii="Arial" w:hAnsi="Arial" w:cs="Arial"/>
                <w:sz w:val="20"/>
                <w:lang w:val="es-ES_tradnl"/>
              </w:rPr>
            </w:pPr>
            <w:r w:rsidRPr="009D10A6">
              <w:rPr>
                <w:rFonts w:ascii="Arial" w:hAnsi="Arial" w:cs="Arial"/>
                <w:sz w:val="20"/>
                <w:lang w:val="es-ES"/>
              </w:rPr>
              <w:t>Reglamento de la LOEP elaborado</w:t>
            </w:r>
          </w:p>
        </w:tc>
        <w:tc>
          <w:tcPr>
            <w:tcW w:w="1430" w:type="dxa"/>
            <w:vAlign w:val="center"/>
          </w:tcPr>
          <w:p w14:paraId="6E25ADC9" w14:textId="77777777" w:rsidR="006E58FC" w:rsidRPr="009D10A6" w:rsidRDefault="006E58FC" w:rsidP="00550BDE">
            <w:pPr>
              <w:pStyle w:val="FootnoteText"/>
              <w:jc w:val="center"/>
              <w:rPr>
                <w:rFonts w:ascii="Arial" w:hAnsi="Arial" w:cs="Arial"/>
              </w:rPr>
            </w:pPr>
            <w:r w:rsidRPr="009D10A6">
              <w:rPr>
                <w:rFonts w:ascii="Arial" w:hAnsi="Arial" w:cs="Arial"/>
                <w:spacing w:val="-2"/>
              </w:rPr>
              <w:t>Reglamento</w:t>
            </w:r>
          </w:p>
        </w:tc>
        <w:tc>
          <w:tcPr>
            <w:tcW w:w="730" w:type="dxa"/>
            <w:vAlign w:val="center"/>
          </w:tcPr>
          <w:p w14:paraId="3688F28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3ECCFE48"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943F6C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1F603732"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4932446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2876984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68BBCCF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07B38B15"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recepción, MEF</w:t>
            </w:r>
          </w:p>
        </w:tc>
      </w:tr>
      <w:tr w:rsidR="006E58FC" w:rsidRPr="009D10A6" w14:paraId="5194D7DE" w14:textId="77777777" w:rsidTr="00550BDE">
        <w:trPr>
          <w:jc w:val="center"/>
        </w:trPr>
        <w:tc>
          <w:tcPr>
            <w:tcW w:w="3785" w:type="dxa"/>
            <w:vAlign w:val="center"/>
          </w:tcPr>
          <w:p w14:paraId="1BB0922D" w14:textId="77777777" w:rsidR="006E58FC" w:rsidRPr="009D10A6" w:rsidRDefault="006E58FC" w:rsidP="006E58FC">
            <w:pPr>
              <w:pStyle w:val="ListParagraph"/>
              <w:numPr>
                <w:ilvl w:val="2"/>
                <w:numId w:val="62"/>
              </w:numPr>
              <w:ind w:left="882" w:hanging="450"/>
              <w:rPr>
                <w:rFonts w:ascii="Arial" w:hAnsi="Arial" w:cs="Arial"/>
                <w:sz w:val="20"/>
                <w:lang w:val="es-ES"/>
              </w:rPr>
            </w:pPr>
            <w:r w:rsidRPr="009D10A6">
              <w:rPr>
                <w:rFonts w:ascii="Arial" w:hAnsi="Arial" w:cs="Arial"/>
                <w:sz w:val="20"/>
                <w:lang w:val="es-ES"/>
              </w:rPr>
              <w:t>Informe de supervisión de reformas de la LOEP implementadas y normativa técnica elaborado</w:t>
            </w:r>
            <w:r w:rsidRPr="009D10A6" w:rsidDel="00B72A02">
              <w:rPr>
                <w:rFonts w:ascii="Arial" w:hAnsi="Arial" w:cs="Arial"/>
                <w:sz w:val="20"/>
                <w:lang w:val="es-ES"/>
              </w:rPr>
              <w:t xml:space="preserve"> </w:t>
            </w:r>
          </w:p>
        </w:tc>
        <w:tc>
          <w:tcPr>
            <w:tcW w:w="1430" w:type="dxa"/>
            <w:vAlign w:val="center"/>
          </w:tcPr>
          <w:p w14:paraId="5FE49539" w14:textId="77777777" w:rsidR="006E58FC" w:rsidRPr="009D10A6" w:rsidRDefault="006E58FC" w:rsidP="00550BDE">
            <w:pPr>
              <w:pStyle w:val="FootnoteText"/>
              <w:jc w:val="center"/>
              <w:rPr>
                <w:rFonts w:ascii="Arial" w:hAnsi="Arial" w:cs="Arial"/>
                <w:spacing w:val="-2"/>
              </w:rPr>
            </w:pPr>
            <w:r w:rsidRPr="009D10A6">
              <w:rPr>
                <w:rFonts w:ascii="Arial" w:hAnsi="Arial" w:cs="Arial"/>
                <w:spacing w:val="-2"/>
              </w:rPr>
              <w:t>Informe</w:t>
            </w:r>
          </w:p>
        </w:tc>
        <w:tc>
          <w:tcPr>
            <w:tcW w:w="730" w:type="dxa"/>
            <w:vAlign w:val="center"/>
          </w:tcPr>
          <w:p w14:paraId="5F3D937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584FC57A"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757B37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4A8C7D0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AA624A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22D80437" w14:textId="77777777" w:rsidR="006E58FC" w:rsidRPr="009D10A6" w:rsidRDefault="006E58FC" w:rsidP="00550BDE">
            <w:pPr>
              <w:jc w:val="center"/>
              <w:rPr>
                <w:rFonts w:ascii="Arial" w:hAnsi="Arial" w:cs="Arial"/>
                <w:sz w:val="20"/>
              </w:rPr>
            </w:pPr>
            <w:r w:rsidRPr="009D10A6">
              <w:rPr>
                <w:rFonts w:ascii="Arial" w:hAnsi="Arial" w:cs="Arial"/>
                <w:sz w:val="20"/>
              </w:rPr>
              <w:t>2</w:t>
            </w:r>
            <w:r w:rsidRPr="009D10A6">
              <w:rPr>
                <w:rStyle w:val="FootnoteReference"/>
                <w:rFonts w:ascii="Arial" w:hAnsi="Arial" w:cs="Arial"/>
              </w:rPr>
              <w:footnoteReference w:id="21"/>
            </w:r>
          </w:p>
        </w:tc>
        <w:tc>
          <w:tcPr>
            <w:tcW w:w="1170" w:type="dxa"/>
            <w:vAlign w:val="center"/>
          </w:tcPr>
          <w:p w14:paraId="54266FA5" w14:textId="77777777" w:rsidR="006E58FC" w:rsidRPr="009D10A6" w:rsidRDefault="006E58FC" w:rsidP="00550BDE">
            <w:pPr>
              <w:jc w:val="center"/>
              <w:rPr>
                <w:rFonts w:ascii="Arial" w:hAnsi="Arial" w:cs="Arial"/>
                <w:sz w:val="20"/>
              </w:rPr>
            </w:pPr>
            <w:r w:rsidRPr="009D10A6">
              <w:rPr>
                <w:rFonts w:ascii="Arial" w:hAnsi="Arial" w:cs="Arial"/>
                <w:sz w:val="20"/>
              </w:rPr>
              <w:t>2</w:t>
            </w:r>
          </w:p>
        </w:tc>
        <w:tc>
          <w:tcPr>
            <w:tcW w:w="3965" w:type="dxa"/>
            <w:vAlign w:val="center"/>
          </w:tcPr>
          <w:p w14:paraId="6195F996"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recepción, MEF</w:t>
            </w:r>
          </w:p>
        </w:tc>
      </w:tr>
      <w:tr w:rsidR="006E58FC" w:rsidRPr="009D10A6" w14:paraId="49FAE28E" w14:textId="77777777" w:rsidTr="00550BDE">
        <w:trPr>
          <w:jc w:val="center"/>
        </w:trPr>
        <w:tc>
          <w:tcPr>
            <w:tcW w:w="3785" w:type="dxa"/>
            <w:vAlign w:val="center"/>
          </w:tcPr>
          <w:p w14:paraId="562A3A76" w14:textId="77777777" w:rsidR="006E58FC" w:rsidRPr="009D10A6" w:rsidRDefault="006E58FC" w:rsidP="006E58FC">
            <w:pPr>
              <w:pStyle w:val="ListParagraph"/>
              <w:numPr>
                <w:ilvl w:val="2"/>
                <w:numId w:val="62"/>
              </w:numPr>
              <w:ind w:left="882" w:hanging="450"/>
              <w:rPr>
                <w:rFonts w:ascii="Arial" w:hAnsi="Arial" w:cs="Arial"/>
                <w:sz w:val="20"/>
                <w:lang w:val="es-ES"/>
              </w:rPr>
            </w:pPr>
            <w:r w:rsidRPr="009D10A6">
              <w:rPr>
                <w:rFonts w:ascii="Arial" w:hAnsi="Arial" w:cs="Arial"/>
                <w:sz w:val="20"/>
                <w:lang w:val="es-ES"/>
              </w:rPr>
              <w:t>Funcionarios públicos y empleados de EEPP capacitados en lineamientos de gobernanza corporativa de la OCDE y reformas de la LOEP</w:t>
            </w:r>
          </w:p>
        </w:tc>
        <w:tc>
          <w:tcPr>
            <w:tcW w:w="1430" w:type="dxa"/>
            <w:vAlign w:val="center"/>
          </w:tcPr>
          <w:p w14:paraId="2D11A067" w14:textId="77777777" w:rsidR="006E58FC" w:rsidRPr="009D10A6" w:rsidRDefault="006E58FC" w:rsidP="00550BDE">
            <w:pPr>
              <w:pStyle w:val="FootnoteText"/>
              <w:jc w:val="center"/>
              <w:rPr>
                <w:rFonts w:ascii="Arial" w:hAnsi="Arial" w:cs="Arial"/>
                <w:spacing w:val="-2"/>
              </w:rPr>
            </w:pPr>
            <w:r w:rsidRPr="009D10A6">
              <w:rPr>
                <w:rFonts w:ascii="Arial" w:hAnsi="Arial" w:cs="Arial"/>
              </w:rPr>
              <w:t>Funcionarios</w:t>
            </w:r>
          </w:p>
        </w:tc>
        <w:tc>
          <w:tcPr>
            <w:tcW w:w="730" w:type="dxa"/>
            <w:vAlign w:val="center"/>
          </w:tcPr>
          <w:p w14:paraId="1843599A"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AD115AD"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7239788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1D25F83" w14:textId="77777777" w:rsidR="006E58FC" w:rsidRPr="009D10A6" w:rsidRDefault="006E58FC" w:rsidP="00550BDE">
            <w:pPr>
              <w:jc w:val="center"/>
              <w:rPr>
                <w:rFonts w:ascii="Arial" w:hAnsi="Arial" w:cs="Arial"/>
                <w:sz w:val="20"/>
              </w:rPr>
            </w:pPr>
            <w:r w:rsidRPr="009D10A6">
              <w:rPr>
                <w:rFonts w:ascii="Arial" w:hAnsi="Arial" w:cs="Arial"/>
                <w:sz w:val="20"/>
              </w:rPr>
              <w:t>100</w:t>
            </w:r>
          </w:p>
        </w:tc>
        <w:tc>
          <w:tcPr>
            <w:tcW w:w="810" w:type="dxa"/>
            <w:vAlign w:val="center"/>
          </w:tcPr>
          <w:p w14:paraId="1EA6F78A" w14:textId="77777777" w:rsidR="006E58FC" w:rsidRPr="009D10A6" w:rsidRDefault="006E58FC" w:rsidP="00550BDE">
            <w:pPr>
              <w:jc w:val="center"/>
              <w:rPr>
                <w:rFonts w:ascii="Arial" w:hAnsi="Arial" w:cs="Arial"/>
                <w:sz w:val="20"/>
              </w:rPr>
            </w:pPr>
            <w:r w:rsidRPr="009D10A6">
              <w:rPr>
                <w:rFonts w:ascii="Arial" w:hAnsi="Arial" w:cs="Arial"/>
                <w:sz w:val="20"/>
              </w:rPr>
              <w:t>50</w:t>
            </w:r>
          </w:p>
        </w:tc>
        <w:tc>
          <w:tcPr>
            <w:tcW w:w="990" w:type="dxa"/>
            <w:vAlign w:val="center"/>
          </w:tcPr>
          <w:p w14:paraId="06731F89" w14:textId="77777777" w:rsidR="006E58FC" w:rsidRPr="009D10A6" w:rsidRDefault="006E58FC" w:rsidP="00550BDE">
            <w:pPr>
              <w:jc w:val="center"/>
              <w:rPr>
                <w:rFonts w:ascii="Arial" w:hAnsi="Arial" w:cs="Arial"/>
                <w:sz w:val="20"/>
              </w:rPr>
            </w:pPr>
            <w:r w:rsidRPr="009D10A6">
              <w:rPr>
                <w:rFonts w:ascii="Arial" w:hAnsi="Arial" w:cs="Arial"/>
                <w:sz w:val="20"/>
              </w:rPr>
              <w:t>50</w:t>
            </w:r>
          </w:p>
        </w:tc>
        <w:tc>
          <w:tcPr>
            <w:tcW w:w="1170" w:type="dxa"/>
            <w:vAlign w:val="center"/>
          </w:tcPr>
          <w:p w14:paraId="098D794E" w14:textId="77777777" w:rsidR="006E58FC" w:rsidRPr="009D10A6" w:rsidRDefault="006E58FC" w:rsidP="00550BDE">
            <w:pPr>
              <w:jc w:val="center"/>
              <w:rPr>
                <w:rFonts w:ascii="Arial" w:hAnsi="Arial" w:cs="Arial"/>
                <w:sz w:val="20"/>
              </w:rPr>
            </w:pPr>
            <w:r w:rsidRPr="009D10A6">
              <w:rPr>
                <w:rFonts w:ascii="Arial" w:hAnsi="Arial" w:cs="Arial"/>
                <w:sz w:val="20"/>
              </w:rPr>
              <w:t>200</w:t>
            </w:r>
          </w:p>
        </w:tc>
        <w:tc>
          <w:tcPr>
            <w:tcW w:w="3965" w:type="dxa"/>
            <w:vAlign w:val="center"/>
          </w:tcPr>
          <w:p w14:paraId="13735119" w14:textId="77777777" w:rsidR="006E58FC" w:rsidRPr="009D10A6" w:rsidRDefault="006E58FC" w:rsidP="00550BDE">
            <w:pPr>
              <w:rPr>
                <w:rFonts w:ascii="Arial" w:hAnsi="Arial" w:cs="Arial"/>
                <w:sz w:val="20"/>
                <w:lang w:val="es-ES"/>
              </w:rPr>
            </w:pPr>
            <w:r w:rsidRPr="009D10A6">
              <w:rPr>
                <w:rFonts w:ascii="Arial" w:hAnsi="Arial" w:cs="Arial"/>
                <w:sz w:val="20"/>
                <w:lang w:val="es-ES"/>
              </w:rPr>
              <w:t>Listado de participantes, EMCO y posteriormente la entidad que lo sustituya</w:t>
            </w:r>
            <w:r w:rsidRPr="009D10A6" w:rsidDel="008E6A11">
              <w:rPr>
                <w:rFonts w:ascii="Arial" w:hAnsi="Arial" w:cs="Arial"/>
                <w:sz w:val="20"/>
                <w:lang w:val="es-ES"/>
              </w:rPr>
              <w:t xml:space="preserve"> </w:t>
            </w:r>
            <w:r w:rsidRPr="009D10A6">
              <w:rPr>
                <w:rFonts w:ascii="Arial" w:hAnsi="Arial" w:cs="Arial"/>
                <w:sz w:val="20"/>
                <w:lang w:val="es-ES"/>
              </w:rPr>
              <w:t>con la participación de asistentes a la socialización</w:t>
            </w:r>
          </w:p>
        </w:tc>
      </w:tr>
      <w:tr w:rsidR="006E58FC" w:rsidRPr="009D10A6" w14:paraId="748C32C6" w14:textId="77777777" w:rsidTr="00550BDE">
        <w:trPr>
          <w:jc w:val="center"/>
        </w:trPr>
        <w:tc>
          <w:tcPr>
            <w:tcW w:w="15480" w:type="dxa"/>
            <w:gridSpan w:val="10"/>
            <w:vAlign w:val="center"/>
          </w:tcPr>
          <w:p w14:paraId="38D23D73" w14:textId="77777777" w:rsidR="006E58FC" w:rsidRPr="009D10A6" w:rsidRDefault="006E58FC" w:rsidP="006E58FC">
            <w:pPr>
              <w:pStyle w:val="ListParagraph"/>
              <w:numPr>
                <w:ilvl w:val="0"/>
                <w:numId w:val="61"/>
              </w:numPr>
              <w:ind w:left="522" w:hanging="270"/>
              <w:rPr>
                <w:rFonts w:ascii="Arial" w:hAnsi="Arial" w:cs="Arial"/>
                <w:sz w:val="20"/>
                <w:lang w:val="es-ES"/>
              </w:rPr>
            </w:pPr>
            <w:r w:rsidRPr="009D10A6">
              <w:rPr>
                <w:rFonts w:ascii="Arial" w:hAnsi="Arial" w:cs="Arial"/>
                <w:sz w:val="20"/>
                <w:lang w:val="es-ES_tradnl"/>
              </w:rPr>
              <w:t>Régimen</w:t>
            </w:r>
            <w:r w:rsidRPr="009D10A6">
              <w:rPr>
                <w:rFonts w:ascii="Arial" w:hAnsi="Arial" w:cs="Arial"/>
                <w:sz w:val="20"/>
                <w:lang w:val="es-ES"/>
              </w:rPr>
              <w:t xml:space="preserve"> de gobernanza fiscal</w:t>
            </w:r>
          </w:p>
        </w:tc>
      </w:tr>
      <w:tr w:rsidR="006E58FC" w:rsidRPr="009D10A6" w14:paraId="1E79F43A" w14:textId="77777777" w:rsidTr="00550BDE">
        <w:trPr>
          <w:jc w:val="center"/>
        </w:trPr>
        <w:tc>
          <w:tcPr>
            <w:tcW w:w="3785" w:type="dxa"/>
            <w:vAlign w:val="center"/>
          </w:tcPr>
          <w:p w14:paraId="4184D981" w14:textId="77777777" w:rsidR="006E58FC" w:rsidRPr="009D10A6" w:rsidRDefault="006E58FC" w:rsidP="006E58FC">
            <w:pPr>
              <w:pStyle w:val="ListParagraph"/>
              <w:numPr>
                <w:ilvl w:val="2"/>
                <w:numId w:val="63"/>
              </w:numPr>
              <w:ind w:left="882" w:hanging="342"/>
              <w:rPr>
                <w:rFonts w:ascii="Arial" w:hAnsi="Arial" w:cs="Arial"/>
                <w:sz w:val="20"/>
                <w:lang w:val="es-ES"/>
              </w:rPr>
            </w:pPr>
            <w:r w:rsidRPr="009D10A6">
              <w:rPr>
                <w:rFonts w:ascii="Arial" w:hAnsi="Arial" w:cs="Arial"/>
                <w:sz w:val="20"/>
                <w:lang w:val="es-ES"/>
              </w:rPr>
              <w:t>Informe con el diseño de la función recaudadora sobre EEPP en SRI aprobado</w:t>
            </w:r>
            <w:r w:rsidRPr="009D10A6">
              <w:rPr>
                <w:rFonts w:ascii="Arial" w:hAnsi="Arial" w:cs="Arial"/>
                <w:sz w:val="20"/>
              </w:rPr>
              <w:footnoteReference w:id="22"/>
            </w:r>
          </w:p>
        </w:tc>
        <w:tc>
          <w:tcPr>
            <w:tcW w:w="1430" w:type="dxa"/>
            <w:vAlign w:val="center"/>
          </w:tcPr>
          <w:p w14:paraId="20990235" w14:textId="77777777" w:rsidR="006E58FC" w:rsidRPr="009D10A6" w:rsidRDefault="006E58FC" w:rsidP="00550BDE">
            <w:pPr>
              <w:ind w:left="-110" w:right="-80"/>
              <w:jc w:val="center"/>
              <w:rPr>
                <w:rFonts w:ascii="Arial" w:hAnsi="Arial" w:cs="Arial"/>
                <w:sz w:val="20"/>
              </w:rPr>
            </w:pPr>
            <w:r w:rsidRPr="009D10A6">
              <w:rPr>
                <w:rFonts w:ascii="Arial" w:hAnsi="Arial" w:cs="Arial"/>
                <w:spacing w:val="-2"/>
                <w:sz w:val="20"/>
              </w:rPr>
              <w:t>Informe</w:t>
            </w:r>
          </w:p>
        </w:tc>
        <w:tc>
          <w:tcPr>
            <w:tcW w:w="730" w:type="dxa"/>
            <w:vAlign w:val="center"/>
          </w:tcPr>
          <w:p w14:paraId="28F664A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0F801364"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3F74AA10"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79ACED4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7A17588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6CABA1E2"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1170" w:type="dxa"/>
            <w:shd w:val="clear" w:color="auto" w:fill="auto"/>
            <w:vAlign w:val="center"/>
          </w:tcPr>
          <w:p w14:paraId="0F6E4487"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1447B867"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SRI</w:t>
            </w:r>
          </w:p>
        </w:tc>
      </w:tr>
      <w:tr w:rsidR="006E58FC" w:rsidRPr="009D10A6" w14:paraId="3D3F4BC0" w14:textId="77777777" w:rsidTr="00550BDE">
        <w:trPr>
          <w:jc w:val="center"/>
        </w:trPr>
        <w:tc>
          <w:tcPr>
            <w:tcW w:w="3785" w:type="dxa"/>
            <w:vAlign w:val="center"/>
          </w:tcPr>
          <w:p w14:paraId="479B2060" w14:textId="77777777" w:rsidR="006E58FC" w:rsidRPr="009D10A6" w:rsidRDefault="006E58FC" w:rsidP="006E58FC">
            <w:pPr>
              <w:pStyle w:val="ListParagraph"/>
              <w:numPr>
                <w:ilvl w:val="2"/>
                <w:numId w:val="63"/>
              </w:numPr>
              <w:ind w:left="882" w:hanging="342"/>
              <w:rPr>
                <w:rFonts w:ascii="Arial" w:hAnsi="Arial" w:cs="Arial"/>
                <w:sz w:val="20"/>
                <w:lang w:val="es-ES"/>
              </w:rPr>
            </w:pPr>
            <w:r w:rsidRPr="009D10A6">
              <w:rPr>
                <w:rFonts w:ascii="Arial" w:hAnsi="Arial" w:cs="Arial"/>
                <w:sz w:val="20"/>
                <w:lang w:val="es-ES"/>
              </w:rPr>
              <w:t>Informe con el diseño institucional de las funciones y responsabilidades tributarias dentro de las EEPP</w:t>
            </w:r>
            <w:r w:rsidRPr="009D10A6">
              <w:rPr>
                <w:rFonts w:ascii="Arial" w:hAnsi="Arial" w:cs="Arial"/>
                <w:sz w:val="20"/>
              </w:rPr>
              <w:footnoteReference w:id="23"/>
            </w:r>
          </w:p>
        </w:tc>
        <w:tc>
          <w:tcPr>
            <w:tcW w:w="1430" w:type="dxa"/>
            <w:vAlign w:val="center"/>
          </w:tcPr>
          <w:p w14:paraId="2535CB68" w14:textId="77777777" w:rsidR="006E58FC" w:rsidRPr="009D10A6" w:rsidRDefault="006E58FC" w:rsidP="00550BDE">
            <w:pPr>
              <w:ind w:left="-110" w:right="-80"/>
              <w:jc w:val="center"/>
              <w:rPr>
                <w:rFonts w:ascii="Arial" w:hAnsi="Arial" w:cs="Arial"/>
                <w:sz w:val="20"/>
              </w:rPr>
            </w:pPr>
            <w:r w:rsidRPr="009D10A6">
              <w:rPr>
                <w:rFonts w:ascii="Arial" w:hAnsi="Arial" w:cs="Arial"/>
                <w:spacing w:val="-2"/>
                <w:sz w:val="20"/>
              </w:rPr>
              <w:t>Informe</w:t>
            </w:r>
          </w:p>
        </w:tc>
        <w:tc>
          <w:tcPr>
            <w:tcW w:w="730" w:type="dxa"/>
            <w:vAlign w:val="center"/>
          </w:tcPr>
          <w:p w14:paraId="1BC9280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0F1166D1"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29A2245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4C58CAD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56B4F0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00C3E27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shd w:val="clear" w:color="auto" w:fill="auto"/>
            <w:vAlign w:val="center"/>
          </w:tcPr>
          <w:p w14:paraId="75D2B82D"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2FF0A038"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DNEP</w:t>
            </w:r>
          </w:p>
        </w:tc>
      </w:tr>
      <w:tr w:rsidR="006E58FC" w:rsidRPr="009D10A6" w14:paraId="2E456A2F" w14:textId="77777777" w:rsidTr="00550BDE">
        <w:trPr>
          <w:jc w:val="center"/>
        </w:trPr>
        <w:tc>
          <w:tcPr>
            <w:tcW w:w="3785" w:type="dxa"/>
            <w:vAlign w:val="center"/>
          </w:tcPr>
          <w:p w14:paraId="4049E28F" w14:textId="77777777" w:rsidR="006E58FC" w:rsidRPr="009D10A6" w:rsidRDefault="006E58FC" w:rsidP="006E58FC">
            <w:pPr>
              <w:pStyle w:val="ListParagraph"/>
              <w:numPr>
                <w:ilvl w:val="2"/>
                <w:numId w:val="63"/>
              </w:numPr>
              <w:ind w:left="882" w:hanging="342"/>
              <w:rPr>
                <w:rFonts w:ascii="Arial" w:hAnsi="Arial" w:cs="Arial"/>
                <w:sz w:val="20"/>
                <w:lang w:val="es-ES"/>
              </w:rPr>
            </w:pPr>
            <w:r w:rsidRPr="009D10A6">
              <w:rPr>
                <w:rFonts w:ascii="Arial" w:hAnsi="Arial" w:cs="Arial"/>
                <w:sz w:val="20"/>
                <w:lang w:val="es-ES"/>
              </w:rPr>
              <w:lastRenderedPageBreak/>
              <w:t>Informe con el diseño del régimen fiscal de las empresas petroleras aprobado</w:t>
            </w:r>
          </w:p>
        </w:tc>
        <w:tc>
          <w:tcPr>
            <w:tcW w:w="1430" w:type="dxa"/>
            <w:vAlign w:val="center"/>
          </w:tcPr>
          <w:p w14:paraId="6D8571AC" w14:textId="77777777" w:rsidR="006E58FC" w:rsidRPr="009D10A6" w:rsidRDefault="006E58FC" w:rsidP="00550BDE">
            <w:pPr>
              <w:ind w:left="-110" w:right="-80"/>
              <w:jc w:val="center"/>
              <w:rPr>
                <w:rFonts w:ascii="Arial" w:hAnsi="Arial" w:cs="Arial"/>
                <w:spacing w:val="-2"/>
                <w:sz w:val="20"/>
              </w:rPr>
            </w:pPr>
            <w:r w:rsidRPr="009D10A6">
              <w:rPr>
                <w:rFonts w:ascii="Arial" w:hAnsi="Arial" w:cs="Arial"/>
                <w:spacing w:val="-2"/>
                <w:sz w:val="20"/>
              </w:rPr>
              <w:t>Informe</w:t>
            </w:r>
          </w:p>
        </w:tc>
        <w:tc>
          <w:tcPr>
            <w:tcW w:w="730" w:type="dxa"/>
            <w:vAlign w:val="center"/>
          </w:tcPr>
          <w:p w14:paraId="3366B8A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06C62773"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7AE41F4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1C90989F"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723BDDA8"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7DB3645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shd w:val="clear" w:color="auto" w:fill="auto"/>
            <w:vAlign w:val="center"/>
          </w:tcPr>
          <w:p w14:paraId="661CAC60"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750DD230"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DNEP</w:t>
            </w:r>
          </w:p>
        </w:tc>
      </w:tr>
      <w:tr w:rsidR="006E58FC" w:rsidRPr="009D10A6" w14:paraId="0BF613DC" w14:textId="77777777" w:rsidTr="00550BDE">
        <w:trPr>
          <w:jc w:val="center"/>
        </w:trPr>
        <w:tc>
          <w:tcPr>
            <w:tcW w:w="15480" w:type="dxa"/>
            <w:gridSpan w:val="10"/>
            <w:vAlign w:val="center"/>
          </w:tcPr>
          <w:p w14:paraId="38075289" w14:textId="77777777" w:rsidR="006E58FC" w:rsidRPr="009D10A6" w:rsidRDefault="006E58FC" w:rsidP="006E58FC">
            <w:pPr>
              <w:pStyle w:val="ListParagraph"/>
              <w:numPr>
                <w:ilvl w:val="0"/>
                <w:numId w:val="61"/>
              </w:numPr>
              <w:ind w:left="522" w:hanging="270"/>
              <w:rPr>
                <w:rFonts w:ascii="Arial" w:hAnsi="Arial" w:cs="Arial"/>
                <w:sz w:val="20"/>
                <w:lang w:val="es-ES"/>
              </w:rPr>
            </w:pPr>
            <w:r w:rsidRPr="009D10A6">
              <w:rPr>
                <w:rFonts w:ascii="Arial" w:hAnsi="Arial" w:cs="Arial"/>
                <w:sz w:val="20"/>
                <w:lang w:val="es-ES_tradnl"/>
              </w:rPr>
              <w:t>Transparencia y rendición de cuentas</w:t>
            </w:r>
          </w:p>
        </w:tc>
      </w:tr>
      <w:tr w:rsidR="006E58FC" w:rsidRPr="009D10A6" w14:paraId="624DCF59" w14:textId="77777777" w:rsidTr="00550BDE">
        <w:trPr>
          <w:jc w:val="center"/>
        </w:trPr>
        <w:tc>
          <w:tcPr>
            <w:tcW w:w="3785" w:type="dxa"/>
            <w:vAlign w:val="center"/>
          </w:tcPr>
          <w:p w14:paraId="7A649A56" w14:textId="77777777" w:rsidR="006E58FC" w:rsidRPr="009D10A6" w:rsidRDefault="006E58FC" w:rsidP="006E58FC">
            <w:pPr>
              <w:pStyle w:val="ListParagraph"/>
              <w:numPr>
                <w:ilvl w:val="2"/>
                <w:numId w:val="64"/>
              </w:numPr>
              <w:ind w:left="882" w:hanging="360"/>
              <w:rPr>
                <w:rFonts w:ascii="Arial" w:hAnsi="Arial" w:cs="Arial"/>
                <w:sz w:val="20"/>
                <w:lang w:val="es-ES"/>
              </w:rPr>
            </w:pPr>
            <w:r w:rsidRPr="009D10A6">
              <w:rPr>
                <w:rFonts w:ascii="Arial" w:hAnsi="Arial" w:cs="Arial"/>
                <w:sz w:val="20"/>
                <w:lang w:val="es-ES"/>
              </w:rPr>
              <w:t>Empleados de las EEPP capacitados en implementación de NIIF y reporte de Estados Financieros</w:t>
            </w:r>
          </w:p>
        </w:tc>
        <w:tc>
          <w:tcPr>
            <w:tcW w:w="1430" w:type="dxa"/>
            <w:vAlign w:val="center"/>
          </w:tcPr>
          <w:p w14:paraId="0081D706" w14:textId="77777777" w:rsidR="006E58FC" w:rsidRPr="009D10A6" w:rsidRDefault="006E58FC" w:rsidP="00550BDE">
            <w:pPr>
              <w:ind w:left="-110" w:right="-80"/>
              <w:jc w:val="center"/>
              <w:rPr>
                <w:rFonts w:ascii="Arial" w:hAnsi="Arial" w:cs="Arial"/>
                <w:spacing w:val="-2"/>
                <w:sz w:val="20"/>
              </w:rPr>
            </w:pPr>
            <w:r w:rsidRPr="009D10A6">
              <w:rPr>
                <w:rFonts w:ascii="Arial" w:hAnsi="Arial" w:cs="Arial"/>
                <w:spacing w:val="-2"/>
                <w:sz w:val="20"/>
              </w:rPr>
              <w:t>Empleados</w:t>
            </w:r>
          </w:p>
        </w:tc>
        <w:tc>
          <w:tcPr>
            <w:tcW w:w="730" w:type="dxa"/>
            <w:vAlign w:val="center"/>
          </w:tcPr>
          <w:p w14:paraId="1022A560"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1C2EFD17"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1B0169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6B5F55AA" w14:textId="77777777" w:rsidR="006E58FC" w:rsidRPr="009D10A6" w:rsidRDefault="006E58FC" w:rsidP="00550BDE">
            <w:pPr>
              <w:jc w:val="center"/>
              <w:rPr>
                <w:rFonts w:ascii="Arial" w:hAnsi="Arial" w:cs="Arial"/>
                <w:sz w:val="20"/>
              </w:rPr>
            </w:pPr>
            <w:r w:rsidRPr="009D10A6">
              <w:rPr>
                <w:rFonts w:ascii="Arial" w:hAnsi="Arial" w:cs="Arial"/>
                <w:sz w:val="20"/>
              </w:rPr>
              <w:t>25</w:t>
            </w:r>
          </w:p>
        </w:tc>
        <w:tc>
          <w:tcPr>
            <w:tcW w:w="810" w:type="dxa"/>
            <w:vAlign w:val="center"/>
          </w:tcPr>
          <w:p w14:paraId="436642C2" w14:textId="77777777" w:rsidR="006E58FC" w:rsidRPr="009D10A6" w:rsidRDefault="006E58FC" w:rsidP="00550BDE">
            <w:pPr>
              <w:jc w:val="center"/>
              <w:rPr>
                <w:rFonts w:ascii="Arial" w:hAnsi="Arial" w:cs="Arial"/>
                <w:sz w:val="20"/>
              </w:rPr>
            </w:pPr>
            <w:r w:rsidRPr="009D10A6">
              <w:rPr>
                <w:rFonts w:ascii="Arial" w:hAnsi="Arial" w:cs="Arial"/>
                <w:sz w:val="20"/>
              </w:rPr>
              <w:t>20</w:t>
            </w:r>
          </w:p>
        </w:tc>
        <w:tc>
          <w:tcPr>
            <w:tcW w:w="990" w:type="dxa"/>
            <w:vAlign w:val="center"/>
          </w:tcPr>
          <w:p w14:paraId="451BEAD0"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shd w:val="clear" w:color="auto" w:fill="auto"/>
            <w:vAlign w:val="center"/>
          </w:tcPr>
          <w:p w14:paraId="5B0BFB56" w14:textId="77777777" w:rsidR="006E58FC" w:rsidRPr="009D10A6" w:rsidRDefault="006E58FC" w:rsidP="00550BDE">
            <w:pPr>
              <w:jc w:val="center"/>
              <w:rPr>
                <w:rFonts w:ascii="Arial" w:hAnsi="Arial" w:cs="Arial"/>
                <w:sz w:val="20"/>
              </w:rPr>
            </w:pPr>
            <w:r w:rsidRPr="009D10A6">
              <w:rPr>
                <w:rFonts w:ascii="Arial" w:hAnsi="Arial" w:cs="Arial"/>
                <w:sz w:val="20"/>
              </w:rPr>
              <w:t>45</w:t>
            </w:r>
          </w:p>
        </w:tc>
        <w:tc>
          <w:tcPr>
            <w:tcW w:w="3965" w:type="dxa"/>
            <w:vAlign w:val="center"/>
          </w:tcPr>
          <w:p w14:paraId="75B600E9" w14:textId="77777777" w:rsidR="006E58FC" w:rsidRPr="009D10A6" w:rsidRDefault="006E58FC" w:rsidP="00550BDE">
            <w:pPr>
              <w:rPr>
                <w:rFonts w:ascii="Arial" w:hAnsi="Arial" w:cs="Arial"/>
                <w:sz w:val="20"/>
                <w:lang w:val="es-ES"/>
              </w:rPr>
            </w:pPr>
            <w:r w:rsidRPr="009D10A6">
              <w:rPr>
                <w:rFonts w:ascii="Arial" w:hAnsi="Arial" w:cs="Arial"/>
                <w:sz w:val="20"/>
                <w:lang w:val="es-ES"/>
              </w:rPr>
              <w:t>Listado de participantes, EMCO y posteriormente la entidad que lo sustituya con la participación de asistentes a los cursos</w:t>
            </w:r>
          </w:p>
        </w:tc>
      </w:tr>
      <w:tr w:rsidR="006E58FC" w:rsidRPr="009D10A6" w14:paraId="3DBFDC26" w14:textId="77777777" w:rsidTr="00550BDE">
        <w:trPr>
          <w:jc w:val="center"/>
        </w:trPr>
        <w:tc>
          <w:tcPr>
            <w:tcW w:w="3785" w:type="dxa"/>
            <w:vAlign w:val="center"/>
          </w:tcPr>
          <w:p w14:paraId="5E1867F7" w14:textId="77777777" w:rsidR="006E58FC" w:rsidRPr="009D10A6" w:rsidRDefault="006E58FC" w:rsidP="006E58FC">
            <w:pPr>
              <w:pStyle w:val="ListParagraph"/>
              <w:numPr>
                <w:ilvl w:val="2"/>
                <w:numId w:val="64"/>
              </w:numPr>
              <w:ind w:left="882" w:hanging="360"/>
              <w:rPr>
                <w:rFonts w:ascii="Arial" w:hAnsi="Arial" w:cs="Arial"/>
                <w:sz w:val="20"/>
                <w:lang w:val="es-ES"/>
              </w:rPr>
            </w:pPr>
            <w:r w:rsidRPr="009D10A6">
              <w:rPr>
                <w:rFonts w:ascii="Arial" w:hAnsi="Arial" w:cs="Arial"/>
                <w:sz w:val="20"/>
                <w:lang w:val="es-ES"/>
              </w:rPr>
              <w:t>Informe con los criterios para la precalificación de auditoras externas aprobado</w:t>
            </w:r>
          </w:p>
        </w:tc>
        <w:tc>
          <w:tcPr>
            <w:tcW w:w="1430" w:type="dxa"/>
            <w:vAlign w:val="center"/>
          </w:tcPr>
          <w:p w14:paraId="69595861" w14:textId="77777777" w:rsidR="006E58FC" w:rsidRPr="009D10A6" w:rsidRDefault="006E58FC" w:rsidP="00550BDE">
            <w:pPr>
              <w:ind w:left="-110" w:right="-80"/>
              <w:jc w:val="center"/>
              <w:rPr>
                <w:rFonts w:ascii="Arial" w:hAnsi="Arial" w:cs="Arial"/>
                <w:spacing w:val="-2"/>
                <w:sz w:val="20"/>
              </w:rPr>
            </w:pPr>
            <w:r w:rsidRPr="009D10A6">
              <w:rPr>
                <w:rFonts w:ascii="Arial" w:hAnsi="Arial" w:cs="Arial"/>
                <w:sz w:val="20"/>
              </w:rPr>
              <w:t>Informe</w:t>
            </w:r>
          </w:p>
        </w:tc>
        <w:tc>
          <w:tcPr>
            <w:tcW w:w="730" w:type="dxa"/>
            <w:vAlign w:val="center"/>
          </w:tcPr>
          <w:p w14:paraId="23A05F6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5A79986F"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5D9D13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103CCEC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07D4816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7E761F1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shd w:val="clear" w:color="auto" w:fill="auto"/>
            <w:vAlign w:val="center"/>
          </w:tcPr>
          <w:p w14:paraId="1493B629"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01BFFFAA"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DNEP</w:t>
            </w:r>
          </w:p>
        </w:tc>
      </w:tr>
      <w:tr w:rsidR="006E58FC" w:rsidRPr="009D10A6" w14:paraId="21AF7145" w14:textId="77777777" w:rsidTr="00550BDE">
        <w:trPr>
          <w:jc w:val="center"/>
        </w:trPr>
        <w:tc>
          <w:tcPr>
            <w:tcW w:w="3785" w:type="dxa"/>
            <w:vAlign w:val="center"/>
          </w:tcPr>
          <w:p w14:paraId="046D6AEA" w14:textId="77777777" w:rsidR="006E58FC" w:rsidRPr="009D10A6" w:rsidRDefault="006E58FC" w:rsidP="006E58FC">
            <w:pPr>
              <w:pStyle w:val="ListParagraph"/>
              <w:numPr>
                <w:ilvl w:val="2"/>
                <w:numId w:val="64"/>
              </w:numPr>
              <w:ind w:left="882" w:hanging="360"/>
              <w:rPr>
                <w:rFonts w:ascii="Arial" w:hAnsi="Arial" w:cs="Arial"/>
                <w:sz w:val="20"/>
                <w:lang w:val="es-ES"/>
              </w:rPr>
            </w:pPr>
            <w:r w:rsidRPr="009D10A6">
              <w:rPr>
                <w:rFonts w:ascii="Arial" w:hAnsi="Arial" w:cs="Arial"/>
                <w:sz w:val="20"/>
                <w:lang w:val="es-ES"/>
              </w:rPr>
              <w:t>Informe de consultoría de apoyo técnico para la obtención del certificado ISO-37001 por EEPP aprobado</w:t>
            </w:r>
          </w:p>
        </w:tc>
        <w:tc>
          <w:tcPr>
            <w:tcW w:w="1430" w:type="dxa"/>
            <w:vAlign w:val="center"/>
          </w:tcPr>
          <w:p w14:paraId="74AB3399" w14:textId="77777777" w:rsidR="006E58FC" w:rsidRPr="009D10A6" w:rsidRDefault="006E58FC" w:rsidP="00550BDE">
            <w:pPr>
              <w:ind w:left="-110" w:right="-80"/>
              <w:jc w:val="center"/>
              <w:rPr>
                <w:rFonts w:ascii="Arial" w:hAnsi="Arial" w:cs="Arial"/>
                <w:spacing w:val="-2"/>
                <w:sz w:val="20"/>
              </w:rPr>
            </w:pPr>
            <w:r w:rsidRPr="009D10A6">
              <w:rPr>
                <w:rFonts w:ascii="Arial" w:hAnsi="Arial" w:cs="Arial"/>
                <w:spacing w:val="-2"/>
                <w:sz w:val="20"/>
              </w:rPr>
              <w:t>Informe</w:t>
            </w:r>
          </w:p>
        </w:tc>
        <w:tc>
          <w:tcPr>
            <w:tcW w:w="730" w:type="dxa"/>
            <w:vAlign w:val="center"/>
          </w:tcPr>
          <w:p w14:paraId="66E7754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588C33EF"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15B148A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4D3D90BA" w14:textId="77777777" w:rsidR="006E58FC" w:rsidRPr="009D10A6" w:rsidRDefault="006E58FC" w:rsidP="00550BDE">
            <w:pPr>
              <w:jc w:val="center"/>
              <w:rPr>
                <w:rFonts w:ascii="Arial" w:hAnsi="Arial" w:cs="Arial"/>
                <w:sz w:val="20"/>
              </w:rPr>
            </w:pPr>
            <w:r w:rsidRPr="009D10A6">
              <w:rPr>
                <w:rFonts w:ascii="Arial" w:hAnsi="Arial" w:cs="Arial"/>
                <w:sz w:val="20"/>
              </w:rPr>
              <w:t>2</w:t>
            </w:r>
          </w:p>
        </w:tc>
        <w:tc>
          <w:tcPr>
            <w:tcW w:w="810" w:type="dxa"/>
            <w:vAlign w:val="center"/>
          </w:tcPr>
          <w:p w14:paraId="4DE609C9" w14:textId="77777777" w:rsidR="006E58FC" w:rsidRPr="009D10A6" w:rsidRDefault="006E58FC" w:rsidP="00550BDE">
            <w:pPr>
              <w:jc w:val="center"/>
              <w:rPr>
                <w:rFonts w:ascii="Arial" w:hAnsi="Arial" w:cs="Arial"/>
                <w:sz w:val="20"/>
              </w:rPr>
            </w:pPr>
            <w:r w:rsidRPr="009D10A6">
              <w:rPr>
                <w:rFonts w:ascii="Arial" w:hAnsi="Arial" w:cs="Arial"/>
                <w:sz w:val="20"/>
              </w:rPr>
              <w:t>3</w:t>
            </w:r>
          </w:p>
        </w:tc>
        <w:tc>
          <w:tcPr>
            <w:tcW w:w="990" w:type="dxa"/>
            <w:vAlign w:val="center"/>
          </w:tcPr>
          <w:p w14:paraId="0D12322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shd w:val="clear" w:color="auto" w:fill="auto"/>
            <w:vAlign w:val="center"/>
          </w:tcPr>
          <w:p w14:paraId="0E1B86C6" w14:textId="77777777" w:rsidR="006E58FC" w:rsidRPr="009D10A6" w:rsidRDefault="006E58FC" w:rsidP="00550BDE">
            <w:pPr>
              <w:jc w:val="center"/>
              <w:rPr>
                <w:rFonts w:ascii="Arial" w:hAnsi="Arial" w:cs="Arial"/>
                <w:sz w:val="20"/>
              </w:rPr>
            </w:pPr>
            <w:r w:rsidRPr="009D10A6">
              <w:rPr>
                <w:rFonts w:ascii="Arial" w:hAnsi="Arial" w:cs="Arial"/>
                <w:sz w:val="20"/>
              </w:rPr>
              <w:t>5</w:t>
            </w:r>
          </w:p>
        </w:tc>
        <w:tc>
          <w:tcPr>
            <w:tcW w:w="3965" w:type="dxa"/>
            <w:vAlign w:val="center"/>
          </w:tcPr>
          <w:p w14:paraId="510E03AA"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EMCO</w:t>
            </w:r>
          </w:p>
        </w:tc>
      </w:tr>
      <w:tr w:rsidR="006E58FC" w:rsidRPr="009D10A6" w14:paraId="25E40446" w14:textId="77777777" w:rsidTr="00550BDE">
        <w:trPr>
          <w:trHeight w:val="426"/>
          <w:jc w:val="center"/>
        </w:trPr>
        <w:tc>
          <w:tcPr>
            <w:tcW w:w="15480" w:type="dxa"/>
            <w:gridSpan w:val="10"/>
            <w:tcBorders>
              <w:top w:val="single" w:sz="4" w:space="0" w:color="auto"/>
            </w:tcBorders>
            <w:shd w:val="clear" w:color="auto" w:fill="C2D69B" w:themeFill="accent3" w:themeFillTint="99"/>
            <w:vAlign w:val="center"/>
          </w:tcPr>
          <w:p w14:paraId="629915BE" w14:textId="77777777" w:rsidR="006E58FC" w:rsidRPr="009D10A6" w:rsidRDefault="006E58FC" w:rsidP="00550BDE">
            <w:pPr>
              <w:rPr>
                <w:rFonts w:ascii="Arial" w:hAnsi="Arial" w:cs="Arial"/>
                <w:b/>
                <w:bCs/>
                <w:sz w:val="20"/>
                <w:lang w:val="es-ES"/>
              </w:rPr>
            </w:pPr>
            <w:r w:rsidRPr="009D10A6">
              <w:rPr>
                <w:rFonts w:ascii="Arial" w:hAnsi="Arial" w:cs="Arial"/>
                <w:b/>
                <w:bCs/>
                <w:sz w:val="20"/>
                <w:lang w:val="es-ES"/>
              </w:rPr>
              <w:t>Subcomponente 1.2. Rediseño de la función propietaria y de gestión</w:t>
            </w:r>
          </w:p>
        </w:tc>
      </w:tr>
      <w:tr w:rsidR="006E58FC" w:rsidRPr="009D10A6" w14:paraId="79F8C472" w14:textId="77777777" w:rsidTr="00550BDE">
        <w:trPr>
          <w:trHeight w:val="426"/>
          <w:jc w:val="center"/>
        </w:trPr>
        <w:tc>
          <w:tcPr>
            <w:tcW w:w="15480" w:type="dxa"/>
            <w:gridSpan w:val="10"/>
            <w:tcBorders>
              <w:top w:val="single" w:sz="4" w:space="0" w:color="auto"/>
            </w:tcBorders>
            <w:shd w:val="clear" w:color="auto" w:fill="auto"/>
            <w:vAlign w:val="center"/>
          </w:tcPr>
          <w:p w14:paraId="3784BAA3" w14:textId="77777777" w:rsidR="006E58FC" w:rsidRPr="009D10A6" w:rsidRDefault="006E58FC" w:rsidP="006E58FC">
            <w:pPr>
              <w:pStyle w:val="ListParagraph"/>
              <w:numPr>
                <w:ilvl w:val="0"/>
                <w:numId w:val="65"/>
              </w:numPr>
              <w:ind w:left="522" w:hanging="270"/>
              <w:rPr>
                <w:rFonts w:ascii="Arial" w:hAnsi="Arial" w:cs="Arial"/>
                <w:bCs/>
                <w:sz w:val="20"/>
                <w:lang w:val="es-ES"/>
              </w:rPr>
            </w:pPr>
            <w:r w:rsidRPr="009D10A6">
              <w:rPr>
                <w:rFonts w:ascii="Arial" w:hAnsi="Arial" w:cs="Arial"/>
                <w:bCs/>
                <w:sz w:val="20"/>
                <w:lang w:val="es-ES"/>
              </w:rPr>
              <w:t>Apoyo a la implementación de la nueva entidad de gestión propietaria de las EEPP que sustituiría a EMCO</w:t>
            </w:r>
          </w:p>
        </w:tc>
      </w:tr>
      <w:tr w:rsidR="006E58FC" w:rsidRPr="009D10A6" w14:paraId="0BCA8CEF" w14:textId="77777777" w:rsidTr="00550BDE">
        <w:trPr>
          <w:jc w:val="center"/>
        </w:trPr>
        <w:tc>
          <w:tcPr>
            <w:tcW w:w="3785" w:type="dxa"/>
            <w:vAlign w:val="center"/>
          </w:tcPr>
          <w:p w14:paraId="57954352" w14:textId="77777777" w:rsidR="006E58FC" w:rsidRPr="009D10A6" w:rsidRDefault="006E58FC" w:rsidP="006E58FC">
            <w:pPr>
              <w:pStyle w:val="ListParagraph"/>
              <w:numPr>
                <w:ilvl w:val="2"/>
                <w:numId w:val="66"/>
              </w:numPr>
              <w:ind w:left="882" w:hanging="360"/>
              <w:rPr>
                <w:rFonts w:ascii="Arial" w:hAnsi="Arial" w:cs="Arial"/>
                <w:sz w:val="20"/>
                <w:lang w:val="es-ES"/>
              </w:rPr>
            </w:pPr>
            <w:r w:rsidRPr="009D10A6">
              <w:rPr>
                <w:rFonts w:ascii="Arial" w:hAnsi="Arial" w:cs="Arial"/>
                <w:sz w:val="20"/>
                <w:lang w:val="es-ES"/>
              </w:rPr>
              <w:t>Informe de supervisión de medidas de implementación de la nueva entidad propietaria de EEPP y el estatuto orgánico administrativo entregado</w:t>
            </w:r>
          </w:p>
        </w:tc>
        <w:tc>
          <w:tcPr>
            <w:tcW w:w="1430" w:type="dxa"/>
            <w:vAlign w:val="center"/>
          </w:tcPr>
          <w:p w14:paraId="14448F03" w14:textId="77777777" w:rsidR="006E58FC" w:rsidRPr="009D10A6"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252F20F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1C11348C"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B199FE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1180783"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11E4CE9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11D6FBF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7F8DB232"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79FA20D5" w14:textId="77777777" w:rsidR="006E58FC" w:rsidRPr="009D10A6" w:rsidRDefault="006E58FC" w:rsidP="00550BDE">
            <w:pPr>
              <w:rPr>
                <w:rFonts w:ascii="Arial" w:hAnsi="Arial" w:cs="Arial"/>
                <w:sz w:val="20"/>
              </w:rPr>
            </w:pPr>
            <w:r w:rsidRPr="009D10A6">
              <w:rPr>
                <w:rFonts w:ascii="Arial" w:hAnsi="Arial" w:cs="Arial"/>
                <w:sz w:val="20"/>
              </w:rPr>
              <w:t>Certificado de recepción, EMCO</w:t>
            </w:r>
          </w:p>
        </w:tc>
      </w:tr>
      <w:tr w:rsidR="006E58FC" w:rsidRPr="009D10A6" w14:paraId="7AC0FC2B" w14:textId="77777777" w:rsidTr="00550BDE">
        <w:trPr>
          <w:jc w:val="center"/>
        </w:trPr>
        <w:tc>
          <w:tcPr>
            <w:tcW w:w="3785" w:type="dxa"/>
            <w:vAlign w:val="center"/>
          </w:tcPr>
          <w:p w14:paraId="748D628C" w14:textId="77777777" w:rsidR="006E58FC" w:rsidRPr="009D10A6" w:rsidRDefault="006E58FC" w:rsidP="006E58FC">
            <w:pPr>
              <w:pStyle w:val="ListParagraph"/>
              <w:numPr>
                <w:ilvl w:val="2"/>
                <w:numId w:val="66"/>
              </w:numPr>
              <w:ind w:left="882" w:hanging="360"/>
              <w:rPr>
                <w:rFonts w:ascii="Arial" w:hAnsi="Arial" w:cs="Arial"/>
                <w:sz w:val="20"/>
                <w:lang w:val="es-ES"/>
              </w:rPr>
            </w:pPr>
            <w:r w:rsidRPr="009D10A6">
              <w:rPr>
                <w:rFonts w:ascii="Arial" w:hAnsi="Arial" w:cs="Arial"/>
                <w:sz w:val="20"/>
                <w:lang w:val="es-ES"/>
              </w:rPr>
              <w:t>Empleados capacitados en las funciones de la nueva entidad propietaria de EEPP</w:t>
            </w:r>
          </w:p>
        </w:tc>
        <w:tc>
          <w:tcPr>
            <w:tcW w:w="1430" w:type="dxa"/>
            <w:vAlign w:val="center"/>
          </w:tcPr>
          <w:p w14:paraId="6F0A77C3" w14:textId="77777777" w:rsidR="006E58FC" w:rsidRPr="009D10A6" w:rsidRDefault="006E58FC" w:rsidP="00550BDE">
            <w:pPr>
              <w:jc w:val="center"/>
              <w:rPr>
                <w:rFonts w:ascii="Arial" w:hAnsi="Arial" w:cs="Arial"/>
                <w:sz w:val="20"/>
              </w:rPr>
            </w:pPr>
            <w:r w:rsidRPr="009D10A6">
              <w:rPr>
                <w:rFonts w:ascii="Arial" w:hAnsi="Arial" w:cs="Arial"/>
                <w:sz w:val="20"/>
              </w:rPr>
              <w:t>Empleados</w:t>
            </w:r>
          </w:p>
        </w:tc>
        <w:tc>
          <w:tcPr>
            <w:tcW w:w="730" w:type="dxa"/>
            <w:vAlign w:val="center"/>
          </w:tcPr>
          <w:p w14:paraId="7FA16B0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E94AB42"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87B059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291C95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DE51E5D" w14:textId="77777777" w:rsidR="006E58FC" w:rsidRPr="009D10A6" w:rsidRDefault="006E58FC" w:rsidP="00550BDE">
            <w:pPr>
              <w:jc w:val="center"/>
              <w:rPr>
                <w:rFonts w:ascii="Arial" w:hAnsi="Arial" w:cs="Arial"/>
                <w:sz w:val="20"/>
              </w:rPr>
            </w:pPr>
            <w:r w:rsidRPr="009D10A6">
              <w:rPr>
                <w:rFonts w:ascii="Arial" w:hAnsi="Arial" w:cs="Arial"/>
                <w:sz w:val="20"/>
              </w:rPr>
              <w:t>40</w:t>
            </w:r>
          </w:p>
        </w:tc>
        <w:tc>
          <w:tcPr>
            <w:tcW w:w="990" w:type="dxa"/>
            <w:vAlign w:val="center"/>
          </w:tcPr>
          <w:p w14:paraId="49CAABE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7F30BC43" w14:textId="77777777" w:rsidR="006E58FC" w:rsidRPr="009D10A6" w:rsidRDefault="006E58FC" w:rsidP="00550BDE">
            <w:pPr>
              <w:jc w:val="center"/>
              <w:rPr>
                <w:rFonts w:ascii="Arial" w:hAnsi="Arial" w:cs="Arial"/>
                <w:sz w:val="20"/>
              </w:rPr>
            </w:pPr>
            <w:r w:rsidRPr="009D10A6">
              <w:rPr>
                <w:rFonts w:ascii="Arial" w:hAnsi="Arial" w:cs="Arial"/>
                <w:sz w:val="20"/>
              </w:rPr>
              <w:t>40</w:t>
            </w:r>
          </w:p>
        </w:tc>
        <w:tc>
          <w:tcPr>
            <w:tcW w:w="3965" w:type="dxa"/>
            <w:vAlign w:val="center"/>
          </w:tcPr>
          <w:p w14:paraId="0BB35B44" w14:textId="77777777" w:rsidR="006E58FC" w:rsidRPr="009D10A6" w:rsidRDefault="006E58FC" w:rsidP="00550BDE">
            <w:pPr>
              <w:rPr>
                <w:rFonts w:ascii="Arial" w:hAnsi="Arial" w:cs="Arial"/>
                <w:sz w:val="20"/>
              </w:rPr>
            </w:pPr>
            <w:r w:rsidRPr="009D10A6">
              <w:rPr>
                <w:rFonts w:ascii="Arial" w:hAnsi="Arial" w:cs="Arial"/>
                <w:sz w:val="20"/>
                <w:lang w:val="es-ES"/>
              </w:rPr>
              <w:t>Listado de participantes, EMCO y posteriormente la entidad que lo sustituya con la participación de asistentes a los cursos</w:t>
            </w:r>
          </w:p>
        </w:tc>
      </w:tr>
      <w:tr w:rsidR="006E58FC" w:rsidRPr="009D10A6" w14:paraId="39C73A06" w14:textId="77777777" w:rsidTr="00550BDE">
        <w:trPr>
          <w:jc w:val="center"/>
        </w:trPr>
        <w:tc>
          <w:tcPr>
            <w:tcW w:w="3785" w:type="dxa"/>
            <w:vAlign w:val="center"/>
          </w:tcPr>
          <w:p w14:paraId="5896EDDD" w14:textId="77777777" w:rsidR="006E58FC" w:rsidRPr="009D10A6" w:rsidRDefault="006E58FC" w:rsidP="006E58FC">
            <w:pPr>
              <w:pStyle w:val="ListParagraph"/>
              <w:numPr>
                <w:ilvl w:val="2"/>
                <w:numId w:val="66"/>
              </w:numPr>
              <w:ind w:left="882" w:hanging="360"/>
              <w:rPr>
                <w:rFonts w:ascii="Arial" w:hAnsi="Arial" w:cs="Arial"/>
                <w:sz w:val="20"/>
                <w:lang w:val="es-ES"/>
              </w:rPr>
            </w:pPr>
            <w:r w:rsidRPr="009D10A6">
              <w:rPr>
                <w:rFonts w:ascii="Arial" w:hAnsi="Arial" w:cs="Arial"/>
                <w:sz w:val="20"/>
                <w:lang w:val="es-ES"/>
              </w:rPr>
              <w:t>Informe de socialización de la nueva entidad propietaria aprobado</w:t>
            </w:r>
          </w:p>
        </w:tc>
        <w:tc>
          <w:tcPr>
            <w:tcW w:w="1430" w:type="dxa"/>
            <w:vAlign w:val="center"/>
          </w:tcPr>
          <w:p w14:paraId="31301506" w14:textId="77777777" w:rsidR="006E58FC" w:rsidRPr="009D10A6"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1CA3439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3E642150"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225EDBC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C21E90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BF4E6C4"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6D45BC6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27599509"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Merge w:val="restart"/>
            <w:vAlign w:val="center"/>
          </w:tcPr>
          <w:p w14:paraId="32B7370A" w14:textId="77777777" w:rsidR="006E58FC" w:rsidRPr="009D10A6" w:rsidRDefault="006E58FC" w:rsidP="00550BDE">
            <w:pPr>
              <w:rPr>
                <w:rFonts w:ascii="Arial" w:hAnsi="Arial" w:cs="Arial"/>
                <w:sz w:val="20"/>
              </w:rPr>
            </w:pPr>
            <w:r w:rsidRPr="009D10A6">
              <w:rPr>
                <w:rFonts w:ascii="Arial" w:hAnsi="Arial" w:cs="Arial"/>
                <w:sz w:val="20"/>
                <w:lang w:val="es-ES"/>
              </w:rPr>
              <w:t>Certificado de aprobación, EMCO y posteriormente la entidad que lo sustituya</w:t>
            </w:r>
          </w:p>
        </w:tc>
      </w:tr>
      <w:tr w:rsidR="006E58FC" w:rsidRPr="009D10A6" w14:paraId="5273D60F" w14:textId="77777777" w:rsidTr="00550BDE">
        <w:trPr>
          <w:jc w:val="center"/>
        </w:trPr>
        <w:tc>
          <w:tcPr>
            <w:tcW w:w="3785" w:type="dxa"/>
            <w:vAlign w:val="center"/>
          </w:tcPr>
          <w:p w14:paraId="2B09C548" w14:textId="77777777" w:rsidR="006E58FC" w:rsidRPr="009D10A6" w:rsidRDefault="006E58FC" w:rsidP="006E58FC">
            <w:pPr>
              <w:pStyle w:val="ListParagraph"/>
              <w:numPr>
                <w:ilvl w:val="2"/>
                <w:numId w:val="66"/>
              </w:numPr>
              <w:ind w:left="882" w:hanging="360"/>
              <w:rPr>
                <w:rFonts w:ascii="Arial" w:hAnsi="Arial" w:cs="Arial"/>
                <w:sz w:val="20"/>
                <w:lang w:val="es-ES"/>
              </w:rPr>
            </w:pPr>
            <w:r w:rsidRPr="009D10A6">
              <w:rPr>
                <w:rFonts w:ascii="Arial" w:hAnsi="Arial" w:cs="Arial"/>
                <w:sz w:val="20"/>
                <w:lang w:val="es-ES"/>
              </w:rPr>
              <w:t xml:space="preserve">Informe de contrato de gestión del desempeño entre </w:t>
            </w:r>
            <w:r w:rsidRPr="009D10A6">
              <w:rPr>
                <w:rFonts w:ascii="Arial" w:hAnsi="Arial" w:cs="Arial"/>
                <w:sz w:val="20"/>
                <w:lang w:val="es-ES"/>
              </w:rPr>
              <w:lastRenderedPageBreak/>
              <w:t>entidad propietaria y EEPP</w:t>
            </w:r>
            <w:r w:rsidRPr="009D10A6">
              <w:rPr>
                <w:rFonts w:ascii="Arial" w:hAnsi="Arial" w:cs="Arial"/>
                <w:sz w:val="20"/>
                <w:vertAlign w:val="superscript"/>
              </w:rPr>
              <w:footnoteReference w:id="24"/>
            </w:r>
            <w:r w:rsidRPr="009D10A6">
              <w:rPr>
                <w:rFonts w:ascii="Arial" w:hAnsi="Arial" w:cs="Arial"/>
                <w:sz w:val="20"/>
                <w:lang w:val="es-ES"/>
              </w:rPr>
              <w:t xml:space="preserve"> aprobado</w:t>
            </w:r>
          </w:p>
        </w:tc>
        <w:tc>
          <w:tcPr>
            <w:tcW w:w="1430" w:type="dxa"/>
            <w:vAlign w:val="center"/>
          </w:tcPr>
          <w:p w14:paraId="30E2317A" w14:textId="77777777" w:rsidR="006E58FC" w:rsidRPr="009D10A6" w:rsidRDefault="006E58FC" w:rsidP="00550BDE">
            <w:pPr>
              <w:jc w:val="center"/>
              <w:rPr>
                <w:rFonts w:ascii="Arial" w:hAnsi="Arial" w:cs="Arial"/>
                <w:sz w:val="20"/>
              </w:rPr>
            </w:pPr>
            <w:r w:rsidRPr="009D10A6">
              <w:rPr>
                <w:rFonts w:ascii="Arial" w:hAnsi="Arial" w:cs="Arial"/>
                <w:sz w:val="20"/>
              </w:rPr>
              <w:lastRenderedPageBreak/>
              <w:t>Informe</w:t>
            </w:r>
          </w:p>
        </w:tc>
        <w:tc>
          <w:tcPr>
            <w:tcW w:w="730" w:type="dxa"/>
            <w:vAlign w:val="center"/>
          </w:tcPr>
          <w:p w14:paraId="7090D26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7EE3FB39"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B29C33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5C32615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13CDB42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5584282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4A0676E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Merge/>
            <w:vAlign w:val="center"/>
          </w:tcPr>
          <w:p w14:paraId="750B6D7A" w14:textId="77777777" w:rsidR="006E58FC" w:rsidRPr="009D10A6" w:rsidRDefault="006E58FC" w:rsidP="00550BDE">
            <w:pPr>
              <w:rPr>
                <w:rFonts w:ascii="Arial" w:hAnsi="Arial" w:cs="Arial"/>
                <w:sz w:val="20"/>
              </w:rPr>
            </w:pPr>
          </w:p>
        </w:tc>
      </w:tr>
      <w:tr w:rsidR="006E58FC" w:rsidRPr="009D10A6" w14:paraId="193B038F" w14:textId="77777777" w:rsidTr="00550BDE">
        <w:trPr>
          <w:trHeight w:val="426"/>
          <w:jc w:val="center"/>
        </w:trPr>
        <w:tc>
          <w:tcPr>
            <w:tcW w:w="15480" w:type="dxa"/>
            <w:gridSpan w:val="10"/>
            <w:tcBorders>
              <w:top w:val="single" w:sz="4" w:space="0" w:color="auto"/>
            </w:tcBorders>
            <w:shd w:val="clear" w:color="auto" w:fill="auto"/>
            <w:vAlign w:val="center"/>
          </w:tcPr>
          <w:p w14:paraId="40E7D74A" w14:textId="77777777" w:rsidR="006E58FC" w:rsidRPr="009D10A6" w:rsidRDefault="006E58FC" w:rsidP="006E58FC">
            <w:pPr>
              <w:pStyle w:val="ListParagraph"/>
              <w:numPr>
                <w:ilvl w:val="0"/>
                <w:numId w:val="65"/>
              </w:numPr>
              <w:ind w:left="522" w:hanging="270"/>
              <w:rPr>
                <w:rFonts w:ascii="Arial" w:hAnsi="Arial" w:cs="Arial"/>
                <w:bCs/>
                <w:sz w:val="20"/>
                <w:lang w:val="es-ES"/>
              </w:rPr>
            </w:pPr>
            <w:r w:rsidRPr="009D10A6">
              <w:rPr>
                <w:rFonts w:ascii="Arial" w:hAnsi="Arial" w:cs="Arial"/>
                <w:bCs/>
                <w:sz w:val="20"/>
                <w:lang w:val="es-ES"/>
              </w:rPr>
              <w:t>Fortalecimiento de la DNEP</w:t>
            </w:r>
          </w:p>
        </w:tc>
      </w:tr>
      <w:tr w:rsidR="006E58FC" w:rsidRPr="009D10A6" w14:paraId="2871D082" w14:textId="77777777" w:rsidTr="00550BDE">
        <w:trPr>
          <w:jc w:val="center"/>
        </w:trPr>
        <w:tc>
          <w:tcPr>
            <w:tcW w:w="3785" w:type="dxa"/>
            <w:vAlign w:val="center"/>
          </w:tcPr>
          <w:p w14:paraId="080437FB" w14:textId="77777777" w:rsidR="006E58FC" w:rsidRPr="009D10A6" w:rsidRDefault="006E58FC" w:rsidP="006E58FC">
            <w:pPr>
              <w:pStyle w:val="ListParagraph"/>
              <w:numPr>
                <w:ilvl w:val="2"/>
                <w:numId w:val="67"/>
              </w:numPr>
              <w:ind w:left="882" w:hanging="360"/>
              <w:rPr>
                <w:rFonts w:ascii="Arial" w:hAnsi="Arial" w:cs="Arial"/>
                <w:sz w:val="20"/>
                <w:lang w:val="es-ES"/>
              </w:rPr>
            </w:pPr>
            <w:r w:rsidRPr="009D10A6">
              <w:rPr>
                <w:rFonts w:ascii="Arial" w:hAnsi="Arial" w:cs="Arial"/>
                <w:sz w:val="20"/>
                <w:lang w:val="es-ES"/>
              </w:rPr>
              <w:t>Estudios de costes de producción para asistir la formulación presupuestaria aprobado</w:t>
            </w:r>
          </w:p>
        </w:tc>
        <w:tc>
          <w:tcPr>
            <w:tcW w:w="1430" w:type="dxa"/>
            <w:vAlign w:val="center"/>
          </w:tcPr>
          <w:p w14:paraId="24E4400C" w14:textId="77777777" w:rsidR="006E58FC" w:rsidRPr="009D10A6" w:rsidRDefault="006E58FC" w:rsidP="00550BDE">
            <w:pPr>
              <w:jc w:val="center"/>
              <w:rPr>
                <w:rFonts w:ascii="Arial" w:hAnsi="Arial" w:cs="Arial"/>
                <w:sz w:val="20"/>
              </w:rPr>
            </w:pPr>
            <w:r w:rsidRPr="009D10A6">
              <w:rPr>
                <w:rFonts w:ascii="Arial" w:hAnsi="Arial" w:cs="Arial"/>
                <w:sz w:val="20"/>
              </w:rPr>
              <w:t>Estudio</w:t>
            </w:r>
          </w:p>
        </w:tc>
        <w:tc>
          <w:tcPr>
            <w:tcW w:w="730" w:type="dxa"/>
            <w:vAlign w:val="center"/>
          </w:tcPr>
          <w:p w14:paraId="6379D81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54649C83"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32D52E79"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3764AC7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2C3999F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38D463C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4705D630"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Merge w:val="restart"/>
            <w:vAlign w:val="center"/>
          </w:tcPr>
          <w:p w14:paraId="45F6CF0C" w14:textId="77777777" w:rsidR="006E58FC" w:rsidRPr="009D10A6" w:rsidRDefault="006E58FC" w:rsidP="00550BDE">
            <w:pPr>
              <w:rPr>
                <w:rFonts w:ascii="Arial" w:hAnsi="Arial" w:cs="Arial"/>
                <w:sz w:val="20"/>
              </w:rPr>
            </w:pPr>
            <w:r w:rsidRPr="009D10A6">
              <w:rPr>
                <w:rFonts w:ascii="Arial" w:hAnsi="Arial" w:cs="Arial"/>
                <w:sz w:val="20"/>
                <w:lang w:val="es-ES"/>
              </w:rPr>
              <w:t>Certificado de aprobación, DNEP</w:t>
            </w:r>
          </w:p>
        </w:tc>
      </w:tr>
      <w:tr w:rsidR="006E58FC" w:rsidRPr="009D10A6" w14:paraId="224C64DF" w14:textId="77777777" w:rsidTr="00550BDE">
        <w:trPr>
          <w:jc w:val="center"/>
        </w:trPr>
        <w:tc>
          <w:tcPr>
            <w:tcW w:w="3785" w:type="dxa"/>
            <w:vAlign w:val="center"/>
          </w:tcPr>
          <w:p w14:paraId="3158DA34" w14:textId="77777777" w:rsidR="006E58FC" w:rsidRPr="009D10A6" w:rsidRDefault="006E58FC" w:rsidP="006E58FC">
            <w:pPr>
              <w:pStyle w:val="ListParagraph"/>
              <w:numPr>
                <w:ilvl w:val="2"/>
                <w:numId w:val="67"/>
              </w:numPr>
              <w:ind w:left="882" w:hanging="360"/>
              <w:rPr>
                <w:rFonts w:ascii="Arial" w:hAnsi="Arial" w:cs="Arial"/>
                <w:sz w:val="20"/>
                <w:lang w:val="es-ES"/>
              </w:rPr>
            </w:pPr>
            <w:r w:rsidRPr="009D10A6">
              <w:rPr>
                <w:rFonts w:ascii="Arial" w:hAnsi="Arial" w:cs="Arial"/>
                <w:sz w:val="20"/>
                <w:lang w:val="es-ES"/>
              </w:rPr>
              <w:t>Informe de diseño de sistemas de certificación de capacidad de pago y límites de endeudamiento aprobado</w:t>
            </w:r>
          </w:p>
        </w:tc>
        <w:tc>
          <w:tcPr>
            <w:tcW w:w="1430" w:type="dxa"/>
            <w:vAlign w:val="center"/>
          </w:tcPr>
          <w:p w14:paraId="38B7C19A" w14:textId="77777777" w:rsidR="006E58FC" w:rsidRPr="009D10A6"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7C8AFA1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7AA88F87"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2F972C2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55857C4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7CFCAA4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041CFF0C"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67712B13"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Merge/>
            <w:vAlign w:val="center"/>
          </w:tcPr>
          <w:p w14:paraId="7B8E6F2F" w14:textId="77777777" w:rsidR="006E58FC" w:rsidRPr="009D10A6" w:rsidRDefault="006E58FC" w:rsidP="00550BDE">
            <w:pPr>
              <w:rPr>
                <w:rFonts w:ascii="Arial" w:hAnsi="Arial" w:cs="Arial"/>
                <w:sz w:val="20"/>
              </w:rPr>
            </w:pPr>
          </w:p>
        </w:tc>
      </w:tr>
      <w:tr w:rsidR="006E58FC" w:rsidRPr="009D10A6" w14:paraId="445D7569" w14:textId="77777777" w:rsidTr="00550BDE">
        <w:trPr>
          <w:jc w:val="center"/>
        </w:trPr>
        <w:tc>
          <w:tcPr>
            <w:tcW w:w="3785" w:type="dxa"/>
            <w:vAlign w:val="center"/>
          </w:tcPr>
          <w:p w14:paraId="67C69028" w14:textId="77777777" w:rsidR="006E58FC" w:rsidRPr="009D10A6" w:rsidRDefault="006E58FC" w:rsidP="006E58FC">
            <w:pPr>
              <w:pStyle w:val="ListParagraph"/>
              <w:numPr>
                <w:ilvl w:val="2"/>
                <w:numId w:val="67"/>
              </w:numPr>
              <w:ind w:left="882" w:hanging="360"/>
              <w:rPr>
                <w:rFonts w:ascii="Arial" w:hAnsi="Arial" w:cs="Arial"/>
                <w:sz w:val="20"/>
                <w:lang w:val="es-ES"/>
              </w:rPr>
            </w:pPr>
            <w:r w:rsidRPr="009D10A6">
              <w:rPr>
                <w:rFonts w:ascii="Arial" w:hAnsi="Arial" w:cs="Arial"/>
                <w:sz w:val="20"/>
                <w:lang w:val="es-ES"/>
              </w:rPr>
              <w:t>Software para la elaboración de estadísticas financieras a través de sistemas de reporte especializados implementado</w:t>
            </w:r>
          </w:p>
        </w:tc>
        <w:tc>
          <w:tcPr>
            <w:tcW w:w="1430" w:type="dxa"/>
            <w:vAlign w:val="center"/>
          </w:tcPr>
          <w:p w14:paraId="479543DE" w14:textId="77777777" w:rsidR="006E58FC" w:rsidRPr="009D10A6" w:rsidRDefault="006E58FC" w:rsidP="00550BDE">
            <w:pPr>
              <w:jc w:val="center"/>
              <w:rPr>
                <w:rFonts w:ascii="Arial" w:hAnsi="Arial" w:cs="Arial"/>
                <w:sz w:val="20"/>
              </w:rPr>
            </w:pPr>
            <w:r w:rsidRPr="009D10A6">
              <w:rPr>
                <w:rFonts w:ascii="Arial" w:hAnsi="Arial" w:cs="Arial"/>
                <w:sz w:val="20"/>
              </w:rPr>
              <w:t>Software</w:t>
            </w:r>
          </w:p>
        </w:tc>
        <w:tc>
          <w:tcPr>
            <w:tcW w:w="730" w:type="dxa"/>
            <w:vAlign w:val="center"/>
          </w:tcPr>
          <w:p w14:paraId="445986B9"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39923056"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385537D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384D3DA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644039F"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7A4BA23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429AB4F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441DC00C" w14:textId="77777777" w:rsidR="006E58FC" w:rsidRPr="009D10A6" w:rsidRDefault="006E58FC" w:rsidP="00550BDE">
            <w:pPr>
              <w:rPr>
                <w:rFonts w:ascii="Arial" w:hAnsi="Arial" w:cs="Arial"/>
                <w:sz w:val="20"/>
              </w:rPr>
            </w:pPr>
            <w:r w:rsidRPr="009D10A6">
              <w:rPr>
                <w:rFonts w:ascii="Arial" w:hAnsi="Arial" w:cs="Arial"/>
                <w:sz w:val="20"/>
              </w:rPr>
              <w:t>Verificación de uso por al menos un usuario, DNEP</w:t>
            </w:r>
          </w:p>
        </w:tc>
      </w:tr>
      <w:tr w:rsidR="006E58FC" w:rsidRPr="009D10A6" w14:paraId="46BBB009" w14:textId="77777777" w:rsidTr="00550BDE">
        <w:trPr>
          <w:jc w:val="center"/>
        </w:trPr>
        <w:tc>
          <w:tcPr>
            <w:tcW w:w="3785" w:type="dxa"/>
            <w:vAlign w:val="center"/>
          </w:tcPr>
          <w:p w14:paraId="506E09F2" w14:textId="77777777" w:rsidR="006E58FC" w:rsidRPr="009D10A6" w:rsidRDefault="006E58FC" w:rsidP="006E58FC">
            <w:pPr>
              <w:pStyle w:val="ListParagraph"/>
              <w:numPr>
                <w:ilvl w:val="2"/>
                <w:numId w:val="67"/>
              </w:numPr>
              <w:ind w:left="882" w:hanging="360"/>
              <w:rPr>
                <w:rFonts w:ascii="Arial" w:hAnsi="Arial" w:cs="Arial"/>
                <w:sz w:val="20"/>
                <w:lang w:val="es-ES"/>
              </w:rPr>
            </w:pPr>
            <w:r w:rsidRPr="009D10A6">
              <w:rPr>
                <w:rFonts w:ascii="Arial" w:hAnsi="Arial" w:cs="Arial"/>
                <w:sz w:val="20"/>
                <w:lang w:val="es-ES"/>
              </w:rPr>
              <w:t>Funcionarios capacitados en sectores estratégicos</w:t>
            </w:r>
          </w:p>
        </w:tc>
        <w:tc>
          <w:tcPr>
            <w:tcW w:w="1430" w:type="dxa"/>
            <w:vAlign w:val="center"/>
          </w:tcPr>
          <w:p w14:paraId="288069B9" w14:textId="77777777" w:rsidR="006E58FC" w:rsidRPr="009D10A6" w:rsidRDefault="006E58FC" w:rsidP="00550BDE">
            <w:pPr>
              <w:jc w:val="center"/>
              <w:rPr>
                <w:rFonts w:ascii="Arial" w:hAnsi="Arial" w:cs="Arial"/>
                <w:sz w:val="20"/>
              </w:rPr>
            </w:pPr>
            <w:r w:rsidRPr="009D10A6">
              <w:rPr>
                <w:rFonts w:ascii="Arial" w:hAnsi="Arial" w:cs="Arial"/>
                <w:sz w:val="20"/>
              </w:rPr>
              <w:t>Funcionarios</w:t>
            </w:r>
          </w:p>
        </w:tc>
        <w:tc>
          <w:tcPr>
            <w:tcW w:w="730" w:type="dxa"/>
            <w:vAlign w:val="center"/>
          </w:tcPr>
          <w:p w14:paraId="6164ABC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E1E0B3D"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11A2143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11EED2A9" w14:textId="77777777" w:rsidR="006E58FC" w:rsidRPr="009D10A6" w:rsidRDefault="006E58FC" w:rsidP="00550BDE">
            <w:pPr>
              <w:jc w:val="center"/>
              <w:rPr>
                <w:rFonts w:ascii="Arial" w:hAnsi="Arial" w:cs="Arial"/>
                <w:sz w:val="20"/>
              </w:rPr>
            </w:pPr>
            <w:r w:rsidRPr="009D10A6">
              <w:rPr>
                <w:rFonts w:ascii="Arial" w:hAnsi="Arial" w:cs="Arial"/>
                <w:sz w:val="20"/>
              </w:rPr>
              <w:t>5</w:t>
            </w:r>
          </w:p>
        </w:tc>
        <w:tc>
          <w:tcPr>
            <w:tcW w:w="810" w:type="dxa"/>
            <w:vAlign w:val="center"/>
          </w:tcPr>
          <w:p w14:paraId="12144BDA" w14:textId="77777777" w:rsidR="006E58FC" w:rsidRPr="009D10A6" w:rsidRDefault="006E58FC" w:rsidP="00550BDE">
            <w:pPr>
              <w:jc w:val="center"/>
              <w:rPr>
                <w:rFonts w:ascii="Arial" w:hAnsi="Arial" w:cs="Arial"/>
                <w:sz w:val="20"/>
              </w:rPr>
            </w:pPr>
            <w:r w:rsidRPr="009D10A6">
              <w:rPr>
                <w:rFonts w:ascii="Arial" w:hAnsi="Arial" w:cs="Arial"/>
                <w:sz w:val="20"/>
              </w:rPr>
              <w:t>5</w:t>
            </w:r>
          </w:p>
        </w:tc>
        <w:tc>
          <w:tcPr>
            <w:tcW w:w="990" w:type="dxa"/>
            <w:vAlign w:val="center"/>
          </w:tcPr>
          <w:p w14:paraId="2FAEB55A" w14:textId="77777777" w:rsidR="006E58FC" w:rsidRPr="009D10A6" w:rsidRDefault="006E58FC" w:rsidP="00550BDE">
            <w:pPr>
              <w:jc w:val="center"/>
              <w:rPr>
                <w:rFonts w:ascii="Arial" w:hAnsi="Arial" w:cs="Arial"/>
                <w:sz w:val="20"/>
              </w:rPr>
            </w:pPr>
            <w:r w:rsidRPr="009D10A6">
              <w:rPr>
                <w:rFonts w:ascii="Arial" w:hAnsi="Arial" w:cs="Arial"/>
                <w:sz w:val="20"/>
              </w:rPr>
              <w:t>5</w:t>
            </w:r>
          </w:p>
        </w:tc>
        <w:tc>
          <w:tcPr>
            <w:tcW w:w="1170" w:type="dxa"/>
            <w:vAlign w:val="center"/>
          </w:tcPr>
          <w:p w14:paraId="5C6FF84A" w14:textId="77777777" w:rsidR="006E58FC" w:rsidRPr="009D10A6" w:rsidRDefault="006E58FC" w:rsidP="00550BDE">
            <w:pPr>
              <w:jc w:val="center"/>
              <w:rPr>
                <w:rFonts w:ascii="Arial" w:hAnsi="Arial" w:cs="Arial"/>
                <w:sz w:val="20"/>
              </w:rPr>
            </w:pPr>
            <w:r w:rsidRPr="009D10A6">
              <w:rPr>
                <w:rFonts w:ascii="Arial" w:hAnsi="Arial" w:cs="Arial"/>
                <w:sz w:val="20"/>
              </w:rPr>
              <w:t>15</w:t>
            </w:r>
            <w:r w:rsidRPr="009D10A6">
              <w:rPr>
                <w:rStyle w:val="FootnoteReference"/>
                <w:rFonts w:ascii="Arial" w:hAnsi="Arial" w:cs="Arial"/>
              </w:rPr>
              <w:footnoteReference w:id="25"/>
            </w:r>
          </w:p>
        </w:tc>
        <w:tc>
          <w:tcPr>
            <w:tcW w:w="3965" w:type="dxa"/>
            <w:vAlign w:val="center"/>
          </w:tcPr>
          <w:p w14:paraId="4E950A5F" w14:textId="77777777" w:rsidR="006E58FC" w:rsidRPr="009D10A6" w:rsidRDefault="006E58FC" w:rsidP="00550BDE">
            <w:pPr>
              <w:rPr>
                <w:rFonts w:ascii="Arial" w:hAnsi="Arial" w:cs="Arial"/>
                <w:sz w:val="20"/>
                <w:lang w:val="es-ES"/>
              </w:rPr>
            </w:pPr>
            <w:r w:rsidRPr="009D10A6">
              <w:rPr>
                <w:rFonts w:ascii="Arial" w:hAnsi="Arial" w:cs="Arial"/>
                <w:sz w:val="20"/>
                <w:lang w:val="es-ES"/>
              </w:rPr>
              <w:t>Listado de participantes, DNEP</w:t>
            </w:r>
          </w:p>
        </w:tc>
      </w:tr>
      <w:tr w:rsidR="006E58FC" w:rsidRPr="009D10A6" w14:paraId="72F0D3AC" w14:textId="77777777" w:rsidTr="00550BDE">
        <w:trPr>
          <w:trHeight w:val="426"/>
          <w:jc w:val="center"/>
        </w:trPr>
        <w:tc>
          <w:tcPr>
            <w:tcW w:w="15480" w:type="dxa"/>
            <w:gridSpan w:val="10"/>
            <w:tcBorders>
              <w:top w:val="single" w:sz="4" w:space="0" w:color="auto"/>
            </w:tcBorders>
            <w:shd w:val="clear" w:color="auto" w:fill="auto"/>
            <w:vAlign w:val="center"/>
          </w:tcPr>
          <w:p w14:paraId="295D14B9" w14:textId="77777777" w:rsidR="006E58FC" w:rsidRPr="009D10A6" w:rsidRDefault="006E58FC" w:rsidP="006E58FC">
            <w:pPr>
              <w:pStyle w:val="ListParagraph"/>
              <w:numPr>
                <w:ilvl w:val="0"/>
                <w:numId w:val="65"/>
              </w:numPr>
              <w:ind w:left="522" w:hanging="270"/>
              <w:rPr>
                <w:rFonts w:ascii="Arial" w:hAnsi="Arial" w:cs="Arial"/>
                <w:bCs/>
                <w:sz w:val="20"/>
                <w:lang w:val="es-ES"/>
              </w:rPr>
            </w:pPr>
            <w:r w:rsidRPr="009D10A6">
              <w:rPr>
                <w:rFonts w:ascii="Arial" w:hAnsi="Arial" w:cs="Arial"/>
                <w:bCs/>
                <w:sz w:val="20"/>
                <w:lang w:val="es-ES"/>
              </w:rPr>
              <w:t>Apoyo a los GAD</w:t>
            </w:r>
          </w:p>
        </w:tc>
      </w:tr>
      <w:tr w:rsidR="006E58FC" w:rsidRPr="009D10A6" w14:paraId="09250D71" w14:textId="77777777" w:rsidTr="00550BDE">
        <w:trPr>
          <w:jc w:val="center"/>
        </w:trPr>
        <w:tc>
          <w:tcPr>
            <w:tcW w:w="3785" w:type="dxa"/>
            <w:vAlign w:val="center"/>
          </w:tcPr>
          <w:p w14:paraId="1BF55EDA" w14:textId="77777777" w:rsidR="006E58FC" w:rsidRPr="009D10A6" w:rsidRDefault="006E58FC" w:rsidP="006E58FC">
            <w:pPr>
              <w:pStyle w:val="ListParagraph"/>
              <w:numPr>
                <w:ilvl w:val="2"/>
                <w:numId w:val="68"/>
              </w:numPr>
              <w:ind w:left="882" w:hanging="360"/>
              <w:rPr>
                <w:rFonts w:ascii="Arial" w:hAnsi="Arial" w:cs="Arial"/>
                <w:sz w:val="20"/>
                <w:lang w:val="es-ES_tradnl"/>
              </w:rPr>
            </w:pPr>
            <w:r w:rsidRPr="009D10A6">
              <w:rPr>
                <w:rFonts w:ascii="Arial" w:hAnsi="Arial" w:cs="Arial"/>
                <w:sz w:val="20"/>
                <w:lang w:val="es-ES_tradnl"/>
              </w:rPr>
              <w:t>Gobiernos Autónomos Descentralizados que reciben asistencia técnica en la adopción de las reformas de la LOEP en sus EEPP</w:t>
            </w:r>
          </w:p>
        </w:tc>
        <w:tc>
          <w:tcPr>
            <w:tcW w:w="1430" w:type="dxa"/>
            <w:vAlign w:val="center"/>
          </w:tcPr>
          <w:p w14:paraId="2F44A44B" w14:textId="77777777" w:rsidR="006E58FC" w:rsidRPr="009D10A6" w:rsidRDefault="006E58FC" w:rsidP="00550BDE">
            <w:pPr>
              <w:jc w:val="center"/>
              <w:rPr>
                <w:rFonts w:ascii="Arial" w:hAnsi="Arial" w:cs="Arial"/>
                <w:sz w:val="20"/>
              </w:rPr>
            </w:pPr>
            <w:r w:rsidRPr="009D10A6">
              <w:rPr>
                <w:rFonts w:ascii="Arial" w:hAnsi="Arial" w:cs="Arial"/>
                <w:sz w:val="20"/>
              </w:rPr>
              <w:t>GAD</w:t>
            </w:r>
          </w:p>
        </w:tc>
        <w:tc>
          <w:tcPr>
            <w:tcW w:w="730" w:type="dxa"/>
            <w:vAlign w:val="center"/>
          </w:tcPr>
          <w:p w14:paraId="775F959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28FA41C8"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23BA689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414BB8B5" w14:textId="77777777" w:rsidR="006E58FC" w:rsidRPr="009D10A6" w:rsidRDefault="006E58FC" w:rsidP="00550BDE">
            <w:pPr>
              <w:jc w:val="center"/>
              <w:rPr>
                <w:rFonts w:ascii="Arial" w:hAnsi="Arial" w:cs="Arial"/>
                <w:sz w:val="20"/>
              </w:rPr>
            </w:pPr>
            <w:r w:rsidRPr="009D10A6">
              <w:rPr>
                <w:rFonts w:ascii="Arial" w:hAnsi="Arial" w:cs="Arial"/>
                <w:sz w:val="20"/>
              </w:rPr>
              <w:t>30</w:t>
            </w:r>
          </w:p>
        </w:tc>
        <w:tc>
          <w:tcPr>
            <w:tcW w:w="810" w:type="dxa"/>
            <w:vAlign w:val="center"/>
          </w:tcPr>
          <w:p w14:paraId="10F9CCA7" w14:textId="77777777" w:rsidR="006E58FC" w:rsidRPr="009D10A6" w:rsidRDefault="006E58FC" w:rsidP="00550BDE">
            <w:pPr>
              <w:jc w:val="center"/>
              <w:rPr>
                <w:rFonts w:ascii="Arial" w:hAnsi="Arial" w:cs="Arial"/>
                <w:sz w:val="20"/>
              </w:rPr>
            </w:pPr>
            <w:r w:rsidRPr="009D10A6">
              <w:rPr>
                <w:rFonts w:ascii="Arial" w:hAnsi="Arial" w:cs="Arial"/>
                <w:sz w:val="20"/>
              </w:rPr>
              <w:t>60</w:t>
            </w:r>
          </w:p>
        </w:tc>
        <w:tc>
          <w:tcPr>
            <w:tcW w:w="990" w:type="dxa"/>
            <w:vAlign w:val="center"/>
          </w:tcPr>
          <w:p w14:paraId="5A2CCE6D" w14:textId="77777777" w:rsidR="006E58FC" w:rsidRPr="009D10A6" w:rsidRDefault="006E58FC" w:rsidP="00550BDE">
            <w:pPr>
              <w:jc w:val="center"/>
              <w:rPr>
                <w:rFonts w:ascii="Arial" w:hAnsi="Arial" w:cs="Arial"/>
                <w:sz w:val="20"/>
              </w:rPr>
            </w:pPr>
            <w:r w:rsidRPr="009D10A6">
              <w:rPr>
                <w:rFonts w:ascii="Arial" w:hAnsi="Arial" w:cs="Arial"/>
                <w:sz w:val="20"/>
              </w:rPr>
              <w:t>60</w:t>
            </w:r>
          </w:p>
        </w:tc>
        <w:tc>
          <w:tcPr>
            <w:tcW w:w="1170" w:type="dxa"/>
            <w:vAlign w:val="center"/>
          </w:tcPr>
          <w:p w14:paraId="03F80870" w14:textId="77777777" w:rsidR="006E58FC" w:rsidRPr="009D10A6" w:rsidRDefault="006E58FC" w:rsidP="00550BDE">
            <w:pPr>
              <w:jc w:val="center"/>
              <w:rPr>
                <w:rFonts w:ascii="Arial" w:hAnsi="Arial" w:cs="Arial"/>
                <w:sz w:val="20"/>
              </w:rPr>
            </w:pPr>
            <w:r w:rsidRPr="009D10A6">
              <w:rPr>
                <w:rFonts w:ascii="Arial" w:hAnsi="Arial" w:cs="Arial"/>
                <w:sz w:val="20"/>
              </w:rPr>
              <w:t>150</w:t>
            </w:r>
          </w:p>
        </w:tc>
        <w:tc>
          <w:tcPr>
            <w:tcW w:w="3965" w:type="dxa"/>
            <w:vAlign w:val="center"/>
          </w:tcPr>
          <w:p w14:paraId="5D68662F" w14:textId="77777777" w:rsidR="006E58FC" w:rsidRPr="009D10A6" w:rsidRDefault="006E58FC" w:rsidP="00550BDE">
            <w:pPr>
              <w:rPr>
                <w:rFonts w:ascii="Arial" w:hAnsi="Arial" w:cs="Arial"/>
                <w:sz w:val="20"/>
              </w:rPr>
            </w:pPr>
            <w:r w:rsidRPr="009D10A6">
              <w:rPr>
                <w:rFonts w:ascii="Arial" w:hAnsi="Arial" w:cs="Arial"/>
                <w:sz w:val="20"/>
                <w:lang w:val="es-ES"/>
              </w:rPr>
              <w:t xml:space="preserve">Aprobación de informe con lista de </w:t>
            </w:r>
            <w:proofErr w:type="spellStart"/>
            <w:r w:rsidRPr="009D10A6">
              <w:rPr>
                <w:rFonts w:ascii="Arial" w:hAnsi="Arial" w:cs="Arial"/>
                <w:sz w:val="20"/>
                <w:lang w:val="es-ES"/>
              </w:rPr>
              <w:t>GADs</w:t>
            </w:r>
            <w:proofErr w:type="spellEnd"/>
            <w:r w:rsidRPr="009D10A6">
              <w:rPr>
                <w:rFonts w:ascii="Arial" w:hAnsi="Arial" w:cs="Arial"/>
                <w:sz w:val="20"/>
                <w:lang w:val="es-ES"/>
              </w:rPr>
              <w:t xml:space="preserve"> asistidos, DNEP </w:t>
            </w:r>
          </w:p>
        </w:tc>
      </w:tr>
      <w:tr w:rsidR="006E58FC" w:rsidRPr="009D10A6" w14:paraId="696AD57B" w14:textId="77777777" w:rsidTr="00550BDE">
        <w:trPr>
          <w:jc w:val="center"/>
        </w:trPr>
        <w:tc>
          <w:tcPr>
            <w:tcW w:w="3785" w:type="dxa"/>
            <w:vAlign w:val="center"/>
          </w:tcPr>
          <w:p w14:paraId="6D815EE5" w14:textId="77777777" w:rsidR="006E58FC" w:rsidRPr="009D10A6" w:rsidRDefault="006E58FC" w:rsidP="006E58FC">
            <w:pPr>
              <w:pStyle w:val="ListParagraph"/>
              <w:numPr>
                <w:ilvl w:val="2"/>
                <w:numId w:val="68"/>
              </w:numPr>
              <w:ind w:left="882" w:hanging="360"/>
              <w:rPr>
                <w:rFonts w:ascii="Arial" w:hAnsi="Arial" w:cs="Arial"/>
                <w:sz w:val="20"/>
                <w:lang w:val="es-ES_tradnl"/>
              </w:rPr>
            </w:pPr>
            <w:r w:rsidRPr="009D10A6">
              <w:rPr>
                <w:rFonts w:ascii="Arial" w:hAnsi="Arial" w:cs="Arial"/>
                <w:sz w:val="20"/>
                <w:lang w:val="es-ES"/>
              </w:rPr>
              <w:t>Informe</w:t>
            </w:r>
            <w:r w:rsidRPr="009D10A6">
              <w:rPr>
                <w:rFonts w:ascii="Arial" w:hAnsi="Arial" w:cs="Arial"/>
                <w:sz w:val="20"/>
                <w:lang w:val="es-ES_tradnl"/>
              </w:rPr>
              <w:t xml:space="preserve"> de análisis de sostenibilidad financiera de EEPP de los GAD aprobado</w:t>
            </w:r>
          </w:p>
        </w:tc>
        <w:tc>
          <w:tcPr>
            <w:tcW w:w="1430" w:type="dxa"/>
            <w:vAlign w:val="center"/>
          </w:tcPr>
          <w:p w14:paraId="172275E6" w14:textId="77777777" w:rsidR="006E58FC" w:rsidRPr="009D10A6"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2011B207"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1E7763B"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7AF9E69"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775CE7F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423C46C0"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1D73010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5FFA4141"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1EA635CE"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DNEP. Incluye el diseño y la implementación</w:t>
            </w:r>
          </w:p>
        </w:tc>
      </w:tr>
      <w:tr w:rsidR="006E58FC" w:rsidRPr="009D10A6" w14:paraId="2F608584" w14:textId="77777777" w:rsidTr="00550BDE">
        <w:trPr>
          <w:trHeight w:val="426"/>
          <w:jc w:val="center"/>
        </w:trPr>
        <w:tc>
          <w:tcPr>
            <w:tcW w:w="15480" w:type="dxa"/>
            <w:gridSpan w:val="10"/>
            <w:tcBorders>
              <w:top w:val="single" w:sz="4" w:space="0" w:color="auto"/>
            </w:tcBorders>
            <w:shd w:val="clear" w:color="auto" w:fill="C2D69B" w:themeFill="accent3" w:themeFillTint="99"/>
            <w:vAlign w:val="center"/>
          </w:tcPr>
          <w:p w14:paraId="428CD1FC" w14:textId="77777777" w:rsidR="006E58FC" w:rsidRPr="009D10A6" w:rsidRDefault="006E58FC" w:rsidP="00550BDE">
            <w:pPr>
              <w:rPr>
                <w:rFonts w:ascii="Arial" w:hAnsi="Arial" w:cs="Arial"/>
                <w:b/>
                <w:sz w:val="20"/>
              </w:rPr>
            </w:pPr>
            <w:r w:rsidRPr="009D10A6">
              <w:rPr>
                <w:rFonts w:ascii="Arial" w:hAnsi="Arial" w:cs="Arial"/>
                <w:b/>
                <w:sz w:val="20"/>
                <w:u w:val="single"/>
              </w:rPr>
              <w:t xml:space="preserve">Componente #2: </w:t>
            </w:r>
            <w:r w:rsidRPr="009D10A6">
              <w:rPr>
                <w:rFonts w:ascii="Arial" w:hAnsi="Arial" w:cs="Arial"/>
                <w:b/>
                <w:sz w:val="20"/>
              </w:rPr>
              <w:t>Optimización de la cartera de EEPP</w:t>
            </w:r>
          </w:p>
        </w:tc>
      </w:tr>
      <w:tr w:rsidR="006E58FC" w:rsidRPr="009D10A6" w14:paraId="7DC868B5" w14:textId="77777777" w:rsidTr="00550BDE">
        <w:trPr>
          <w:trHeight w:val="426"/>
          <w:jc w:val="center"/>
        </w:trPr>
        <w:tc>
          <w:tcPr>
            <w:tcW w:w="15480" w:type="dxa"/>
            <w:gridSpan w:val="10"/>
            <w:tcBorders>
              <w:top w:val="single" w:sz="4" w:space="0" w:color="auto"/>
            </w:tcBorders>
            <w:shd w:val="clear" w:color="auto" w:fill="C2D69B" w:themeFill="accent3" w:themeFillTint="99"/>
            <w:vAlign w:val="center"/>
          </w:tcPr>
          <w:p w14:paraId="24EEF20B" w14:textId="77777777" w:rsidR="006E58FC" w:rsidRPr="009D10A6" w:rsidRDefault="006E58FC" w:rsidP="00550BDE">
            <w:pPr>
              <w:rPr>
                <w:rFonts w:ascii="Arial" w:hAnsi="Arial" w:cs="Arial"/>
                <w:b/>
                <w:sz w:val="20"/>
                <w:u w:val="single"/>
              </w:rPr>
            </w:pPr>
            <w:r w:rsidRPr="009D10A6">
              <w:rPr>
                <w:rFonts w:ascii="Arial" w:hAnsi="Arial" w:cs="Arial"/>
                <w:b/>
                <w:sz w:val="20"/>
              </w:rPr>
              <w:t>Subcomponente 2.1. Rediseño de EEPP</w:t>
            </w:r>
          </w:p>
        </w:tc>
      </w:tr>
      <w:tr w:rsidR="006E58FC" w:rsidRPr="009D10A6" w14:paraId="3CDC6F9D" w14:textId="77777777" w:rsidTr="00550BDE">
        <w:trPr>
          <w:trHeight w:val="426"/>
          <w:jc w:val="center"/>
        </w:trPr>
        <w:tc>
          <w:tcPr>
            <w:tcW w:w="15480" w:type="dxa"/>
            <w:gridSpan w:val="10"/>
            <w:tcBorders>
              <w:top w:val="single" w:sz="4" w:space="0" w:color="auto"/>
            </w:tcBorders>
            <w:shd w:val="clear" w:color="auto" w:fill="auto"/>
            <w:vAlign w:val="center"/>
          </w:tcPr>
          <w:p w14:paraId="0C65EA5B" w14:textId="77777777" w:rsidR="006E58FC" w:rsidRPr="009D10A6" w:rsidRDefault="006E58FC" w:rsidP="006E58FC">
            <w:pPr>
              <w:pStyle w:val="ListParagraph"/>
              <w:numPr>
                <w:ilvl w:val="0"/>
                <w:numId w:val="69"/>
              </w:numPr>
              <w:ind w:left="522" w:hanging="270"/>
              <w:rPr>
                <w:rFonts w:ascii="Arial" w:hAnsi="Arial" w:cs="Arial"/>
                <w:sz w:val="20"/>
                <w:lang w:val="es-ES_tradnl"/>
              </w:rPr>
            </w:pPr>
            <w:r w:rsidRPr="009D10A6">
              <w:rPr>
                <w:rFonts w:ascii="Arial" w:hAnsi="Arial" w:cs="Arial"/>
                <w:bCs/>
                <w:sz w:val="20"/>
                <w:lang w:val="es-ES_tradnl"/>
              </w:rPr>
              <w:t>Apoyo</w:t>
            </w:r>
            <w:r w:rsidRPr="009D10A6">
              <w:rPr>
                <w:rFonts w:ascii="Arial" w:hAnsi="Arial" w:cs="Arial"/>
                <w:sz w:val="20"/>
                <w:lang w:val="es-ES_tradnl"/>
              </w:rPr>
              <w:t xml:space="preserve"> a la fusión de Petroamazonas y Petroecuador</w:t>
            </w:r>
          </w:p>
        </w:tc>
      </w:tr>
      <w:tr w:rsidR="006E58FC" w:rsidRPr="009D10A6" w14:paraId="588EF5AB" w14:textId="77777777" w:rsidTr="00550BDE">
        <w:trPr>
          <w:trHeight w:val="858"/>
          <w:jc w:val="center"/>
        </w:trPr>
        <w:tc>
          <w:tcPr>
            <w:tcW w:w="3785" w:type="dxa"/>
            <w:vAlign w:val="center"/>
          </w:tcPr>
          <w:p w14:paraId="6FB2A99B" w14:textId="77777777" w:rsidR="006E58FC" w:rsidRPr="009D10A6" w:rsidRDefault="006E58FC" w:rsidP="006E58FC">
            <w:pPr>
              <w:pStyle w:val="ListParagraph"/>
              <w:numPr>
                <w:ilvl w:val="2"/>
                <w:numId w:val="70"/>
              </w:numPr>
              <w:ind w:left="882" w:hanging="360"/>
              <w:rPr>
                <w:rFonts w:ascii="Arial" w:hAnsi="Arial" w:cs="Arial"/>
                <w:sz w:val="20"/>
                <w:lang w:val="es-ES"/>
              </w:rPr>
            </w:pPr>
            <w:r w:rsidRPr="009D10A6">
              <w:rPr>
                <w:rFonts w:ascii="Arial" w:hAnsi="Arial" w:cs="Arial"/>
                <w:sz w:val="20"/>
                <w:lang w:val="es-ES"/>
              </w:rPr>
              <w:lastRenderedPageBreak/>
              <w:t>Informe con la estrategia de fusión de Petroamazonas y Petroecuador aprobado</w:t>
            </w:r>
          </w:p>
        </w:tc>
        <w:tc>
          <w:tcPr>
            <w:tcW w:w="1430" w:type="dxa"/>
            <w:vAlign w:val="center"/>
          </w:tcPr>
          <w:p w14:paraId="34219BC4" w14:textId="77777777" w:rsidR="006E58FC" w:rsidRPr="009D10A6" w:rsidRDefault="006E58FC" w:rsidP="00550BDE">
            <w:pPr>
              <w:jc w:val="center"/>
              <w:rPr>
                <w:rFonts w:ascii="Arial" w:hAnsi="Arial" w:cs="Arial"/>
                <w:sz w:val="20"/>
              </w:rPr>
            </w:pPr>
            <w:r w:rsidRPr="009D10A6">
              <w:rPr>
                <w:rFonts w:ascii="Arial" w:hAnsi="Arial" w:cs="Arial"/>
                <w:sz w:val="20"/>
              </w:rPr>
              <w:t xml:space="preserve">Informe </w:t>
            </w:r>
          </w:p>
        </w:tc>
        <w:tc>
          <w:tcPr>
            <w:tcW w:w="730" w:type="dxa"/>
            <w:vAlign w:val="center"/>
          </w:tcPr>
          <w:p w14:paraId="08617CC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1EFDB312"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5CB70EA"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68B77D6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62529B5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161DC73A"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0F70AA28"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703C68D7"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MERNNR</w:t>
            </w:r>
          </w:p>
        </w:tc>
      </w:tr>
      <w:tr w:rsidR="006E58FC" w:rsidRPr="009D10A6" w14:paraId="46B8534F" w14:textId="77777777" w:rsidTr="00550BDE">
        <w:trPr>
          <w:trHeight w:val="858"/>
          <w:jc w:val="center"/>
        </w:trPr>
        <w:tc>
          <w:tcPr>
            <w:tcW w:w="3785" w:type="dxa"/>
            <w:vAlign w:val="center"/>
          </w:tcPr>
          <w:p w14:paraId="7F737ACF" w14:textId="77777777" w:rsidR="006E58FC" w:rsidRPr="009D10A6" w:rsidRDefault="006E58FC" w:rsidP="006E58FC">
            <w:pPr>
              <w:pStyle w:val="ListParagraph"/>
              <w:numPr>
                <w:ilvl w:val="2"/>
                <w:numId w:val="70"/>
              </w:numPr>
              <w:ind w:left="882" w:hanging="360"/>
              <w:rPr>
                <w:rFonts w:ascii="Arial" w:hAnsi="Arial" w:cs="Arial"/>
                <w:sz w:val="20"/>
                <w:lang w:val="es-ES"/>
              </w:rPr>
            </w:pPr>
            <w:r w:rsidRPr="009D10A6">
              <w:rPr>
                <w:rFonts w:ascii="Arial" w:hAnsi="Arial" w:cs="Arial"/>
                <w:sz w:val="20"/>
                <w:lang w:val="es-ES"/>
              </w:rPr>
              <w:t>Informes de apoyo a la fusión de Petroamazonas y Petroecuador aprobado</w:t>
            </w:r>
          </w:p>
        </w:tc>
        <w:tc>
          <w:tcPr>
            <w:tcW w:w="1430" w:type="dxa"/>
            <w:vAlign w:val="center"/>
          </w:tcPr>
          <w:p w14:paraId="0C3B414D" w14:textId="77777777" w:rsidR="006E58FC" w:rsidRPr="009D10A6" w:rsidRDefault="006E58FC" w:rsidP="00550BDE">
            <w:pPr>
              <w:jc w:val="center"/>
              <w:rPr>
                <w:rFonts w:ascii="Arial" w:hAnsi="Arial" w:cs="Arial"/>
                <w:sz w:val="20"/>
              </w:rPr>
            </w:pPr>
            <w:r w:rsidRPr="009D10A6">
              <w:rPr>
                <w:rFonts w:ascii="Arial" w:hAnsi="Arial" w:cs="Arial"/>
                <w:sz w:val="20"/>
                <w:lang w:val="es-ES"/>
              </w:rPr>
              <w:t>Informes</w:t>
            </w:r>
          </w:p>
        </w:tc>
        <w:tc>
          <w:tcPr>
            <w:tcW w:w="730" w:type="dxa"/>
            <w:vAlign w:val="center"/>
          </w:tcPr>
          <w:p w14:paraId="5844E23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5A831FF"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092FCC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1F8ECF0" w14:textId="77777777" w:rsidR="006E58FC" w:rsidRPr="009D10A6" w:rsidRDefault="006E58FC" w:rsidP="00550BDE">
            <w:pPr>
              <w:jc w:val="center"/>
              <w:rPr>
                <w:rFonts w:ascii="Arial" w:hAnsi="Arial" w:cs="Arial"/>
                <w:sz w:val="20"/>
              </w:rPr>
            </w:pPr>
            <w:r w:rsidRPr="009D10A6">
              <w:rPr>
                <w:rFonts w:ascii="Arial" w:hAnsi="Arial" w:cs="Arial"/>
                <w:sz w:val="20"/>
              </w:rPr>
              <w:t>3</w:t>
            </w:r>
          </w:p>
        </w:tc>
        <w:tc>
          <w:tcPr>
            <w:tcW w:w="810" w:type="dxa"/>
            <w:vAlign w:val="center"/>
          </w:tcPr>
          <w:p w14:paraId="65A669F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3C3BDF3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5FF019A6" w14:textId="77777777" w:rsidR="006E58FC" w:rsidRPr="009D10A6" w:rsidRDefault="006E58FC" w:rsidP="00550BDE">
            <w:pPr>
              <w:jc w:val="center"/>
              <w:rPr>
                <w:rFonts w:ascii="Arial" w:hAnsi="Arial" w:cs="Arial"/>
                <w:sz w:val="20"/>
              </w:rPr>
            </w:pPr>
            <w:r w:rsidRPr="009D10A6">
              <w:rPr>
                <w:rFonts w:ascii="Arial" w:hAnsi="Arial" w:cs="Arial"/>
                <w:sz w:val="20"/>
              </w:rPr>
              <w:t>3</w:t>
            </w:r>
            <w:r w:rsidRPr="009D10A6">
              <w:rPr>
                <w:rStyle w:val="FootnoteReference"/>
                <w:rFonts w:ascii="Arial" w:hAnsi="Arial" w:cs="Arial"/>
              </w:rPr>
              <w:footnoteReference w:id="26"/>
            </w:r>
          </w:p>
        </w:tc>
        <w:tc>
          <w:tcPr>
            <w:tcW w:w="3965" w:type="dxa"/>
            <w:vAlign w:val="center"/>
          </w:tcPr>
          <w:p w14:paraId="1914E420"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MERNNR</w:t>
            </w:r>
          </w:p>
          <w:p w14:paraId="51806BE7" w14:textId="77777777" w:rsidR="006E58FC" w:rsidRPr="009D10A6" w:rsidRDefault="006E58FC" w:rsidP="00550BDE">
            <w:pPr>
              <w:rPr>
                <w:rFonts w:ascii="Arial" w:hAnsi="Arial" w:cs="Arial"/>
                <w:sz w:val="20"/>
                <w:lang w:val="es-ES"/>
              </w:rPr>
            </w:pPr>
            <w:r w:rsidRPr="009D10A6">
              <w:rPr>
                <w:rFonts w:ascii="Arial" w:hAnsi="Arial" w:cs="Arial"/>
                <w:sz w:val="20"/>
                <w:lang w:val="es-ES"/>
              </w:rPr>
              <w:t>Los informes están asociados a hitos. Ver PME</w:t>
            </w:r>
          </w:p>
        </w:tc>
      </w:tr>
      <w:tr w:rsidR="006E58FC" w:rsidRPr="009D10A6" w14:paraId="58EC263D" w14:textId="77777777" w:rsidTr="00550BDE">
        <w:trPr>
          <w:trHeight w:val="858"/>
          <w:jc w:val="center"/>
        </w:trPr>
        <w:tc>
          <w:tcPr>
            <w:tcW w:w="3785" w:type="dxa"/>
            <w:vAlign w:val="center"/>
          </w:tcPr>
          <w:p w14:paraId="2860E819" w14:textId="77777777" w:rsidR="006E58FC" w:rsidRPr="009D10A6" w:rsidDel="002903DE" w:rsidRDefault="006E58FC" w:rsidP="006E58FC">
            <w:pPr>
              <w:pStyle w:val="ListParagraph"/>
              <w:numPr>
                <w:ilvl w:val="2"/>
                <w:numId w:val="70"/>
              </w:numPr>
              <w:ind w:left="882" w:hanging="360"/>
              <w:rPr>
                <w:rFonts w:ascii="Arial" w:hAnsi="Arial" w:cs="Arial"/>
                <w:sz w:val="20"/>
                <w:lang w:val="es-ES"/>
              </w:rPr>
            </w:pPr>
            <w:r w:rsidRPr="009D10A6">
              <w:rPr>
                <w:rFonts w:ascii="Arial" w:hAnsi="Arial" w:cs="Arial"/>
                <w:sz w:val="20"/>
                <w:lang w:val="es-ES"/>
              </w:rPr>
              <w:t xml:space="preserve">Informe </w:t>
            </w:r>
            <w:bookmarkStart w:id="14" w:name="_Hlk11312553"/>
            <w:r w:rsidRPr="009D10A6">
              <w:rPr>
                <w:rFonts w:ascii="Arial" w:hAnsi="Arial" w:cs="Arial"/>
                <w:sz w:val="20"/>
                <w:lang w:val="es-ES"/>
              </w:rPr>
              <w:t xml:space="preserve">sobre temas técnicos de la cadena de valor (exploración y producción petrolera) para mejorar la eficiencia </w:t>
            </w:r>
            <w:bookmarkEnd w:id="14"/>
            <w:r w:rsidRPr="009D10A6">
              <w:rPr>
                <w:rFonts w:ascii="Arial" w:hAnsi="Arial" w:cs="Arial"/>
                <w:sz w:val="20"/>
                <w:lang w:val="es-ES"/>
              </w:rPr>
              <w:t>en la fusión aprobado</w:t>
            </w:r>
          </w:p>
        </w:tc>
        <w:tc>
          <w:tcPr>
            <w:tcW w:w="1430" w:type="dxa"/>
            <w:vAlign w:val="center"/>
          </w:tcPr>
          <w:p w14:paraId="28B4DE3A" w14:textId="77777777" w:rsidR="006E58FC" w:rsidRPr="009D10A6" w:rsidDel="002903DE" w:rsidRDefault="006E58FC" w:rsidP="00550BDE">
            <w:pPr>
              <w:jc w:val="center"/>
              <w:rPr>
                <w:rFonts w:ascii="Arial" w:hAnsi="Arial" w:cs="Arial"/>
                <w:sz w:val="20"/>
                <w:lang w:val="es-ES"/>
              </w:rPr>
            </w:pPr>
            <w:r w:rsidRPr="009D10A6">
              <w:rPr>
                <w:rFonts w:ascii="Arial" w:hAnsi="Arial" w:cs="Arial"/>
                <w:sz w:val="20"/>
              </w:rPr>
              <w:t>Informe</w:t>
            </w:r>
          </w:p>
        </w:tc>
        <w:tc>
          <w:tcPr>
            <w:tcW w:w="730" w:type="dxa"/>
            <w:vAlign w:val="center"/>
          </w:tcPr>
          <w:p w14:paraId="3DBE1410"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40147E1B"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6D36B8E8"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67609A1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000416F0"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37F0999A"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24418D6D"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01DB6631"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MERNNR</w:t>
            </w:r>
          </w:p>
        </w:tc>
      </w:tr>
      <w:tr w:rsidR="006E58FC" w:rsidRPr="009D10A6" w14:paraId="55F29F3F" w14:textId="77777777" w:rsidTr="00550BDE">
        <w:trPr>
          <w:jc w:val="center"/>
        </w:trPr>
        <w:tc>
          <w:tcPr>
            <w:tcW w:w="3785" w:type="dxa"/>
            <w:vAlign w:val="center"/>
          </w:tcPr>
          <w:p w14:paraId="7683D417" w14:textId="77777777" w:rsidR="006E58FC" w:rsidRPr="009D10A6" w:rsidRDefault="006E58FC" w:rsidP="006E58FC">
            <w:pPr>
              <w:pStyle w:val="ListParagraph"/>
              <w:numPr>
                <w:ilvl w:val="2"/>
                <w:numId w:val="70"/>
              </w:numPr>
              <w:ind w:left="882" w:hanging="360"/>
              <w:rPr>
                <w:rFonts w:ascii="Arial" w:hAnsi="Arial" w:cs="Arial"/>
                <w:sz w:val="20"/>
                <w:lang w:val="es-ES"/>
              </w:rPr>
            </w:pPr>
            <w:r w:rsidRPr="009D10A6">
              <w:rPr>
                <w:rFonts w:ascii="Arial" w:hAnsi="Arial" w:cs="Arial"/>
                <w:sz w:val="20"/>
                <w:lang w:val="es-ES"/>
              </w:rPr>
              <w:t>Software de gestión implementado</w:t>
            </w:r>
          </w:p>
        </w:tc>
        <w:tc>
          <w:tcPr>
            <w:tcW w:w="1430" w:type="dxa"/>
            <w:vAlign w:val="center"/>
          </w:tcPr>
          <w:p w14:paraId="3A6C76B5" w14:textId="77777777" w:rsidR="006E58FC" w:rsidRPr="009D10A6" w:rsidRDefault="006E58FC" w:rsidP="00550BDE">
            <w:pPr>
              <w:jc w:val="center"/>
              <w:rPr>
                <w:rFonts w:ascii="Arial" w:hAnsi="Arial" w:cs="Arial"/>
                <w:sz w:val="20"/>
                <w:lang w:val="es-ES"/>
              </w:rPr>
            </w:pPr>
            <w:r w:rsidRPr="009D10A6">
              <w:rPr>
                <w:rFonts w:ascii="Arial" w:hAnsi="Arial" w:cs="Arial"/>
                <w:sz w:val="20"/>
                <w:lang w:val="es-ES"/>
              </w:rPr>
              <w:t>Software</w:t>
            </w:r>
          </w:p>
        </w:tc>
        <w:tc>
          <w:tcPr>
            <w:tcW w:w="730" w:type="dxa"/>
            <w:vAlign w:val="center"/>
          </w:tcPr>
          <w:p w14:paraId="6E12DD6F" w14:textId="77777777" w:rsidR="006E58FC" w:rsidRPr="009D10A6" w:rsidRDefault="006E58FC" w:rsidP="00550BDE">
            <w:pPr>
              <w:jc w:val="center"/>
              <w:rPr>
                <w:rFonts w:ascii="Arial" w:hAnsi="Arial" w:cs="Arial"/>
                <w:sz w:val="20"/>
                <w:lang w:val="es-ES"/>
              </w:rPr>
            </w:pPr>
            <w:r w:rsidRPr="009D10A6">
              <w:rPr>
                <w:rFonts w:ascii="Arial" w:hAnsi="Arial" w:cs="Arial"/>
                <w:sz w:val="20"/>
              </w:rPr>
              <w:t>0</w:t>
            </w:r>
          </w:p>
        </w:tc>
        <w:tc>
          <w:tcPr>
            <w:tcW w:w="1070" w:type="dxa"/>
            <w:vAlign w:val="center"/>
          </w:tcPr>
          <w:p w14:paraId="64C5E9CD" w14:textId="77777777" w:rsidR="006E58FC" w:rsidRPr="009D10A6" w:rsidRDefault="006E58FC" w:rsidP="00550BDE">
            <w:pPr>
              <w:jc w:val="center"/>
              <w:rPr>
                <w:rFonts w:ascii="Arial" w:hAnsi="Arial" w:cs="Arial"/>
                <w:sz w:val="20"/>
                <w:lang w:val="es-ES"/>
              </w:rPr>
            </w:pPr>
            <w:r w:rsidRPr="009D10A6">
              <w:rPr>
                <w:rFonts w:ascii="Arial" w:hAnsi="Arial" w:cs="Arial"/>
                <w:sz w:val="20"/>
              </w:rPr>
              <w:t>2018</w:t>
            </w:r>
          </w:p>
        </w:tc>
        <w:tc>
          <w:tcPr>
            <w:tcW w:w="720" w:type="dxa"/>
            <w:vAlign w:val="center"/>
          </w:tcPr>
          <w:p w14:paraId="17A74EB1" w14:textId="77777777" w:rsidR="006E58FC" w:rsidRPr="009D10A6" w:rsidRDefault="006E58FC" w:rsidP="00550BDE">
            <w:pPr>
              <w:jc w:val="center"/>
              <w:rPr>
                <w:rFonts w:ascii="Arial" w:hAnsi="Arial" w:cs="Arial"/>
                <w:sz w:val="20"/>
                <w:lang w:val="es-ES"/>
              </w:rPr>
            </w:pPr>
            <w:r w:rsidRPr="009D10A6">
              <w:rPr>
                <w:rFonts w:ascii="Arial" w:hAnsi="Arial" w:cs="Arial"/>
                <w:sz w:val="20"/>
              </w:rPr>
              <w:t>0</w:t>
            </w:r>
          </w:p>
        </w:tc>
        <w:tc>
          <w:tcPr>
            <w:tcW w:w="810" w:type="dxa"/>
            <w:vAlign w:val="center"/>
          </w:tcPr>
          <w:p w14:paraId="0882A163" w14:textId="77777777" w:rsidR="006E58FC" w:rsidRPr="009D10A6" w:rsidRDefault="006E58FC" w:rsidP="00550BDE">
            <w:pPr>
              <w:jc w:val="center"/>
              <w:rPr>
                <w:rFonts w:ascii="Arial" w:hAnsi="Arial" w:cs="Arial"/>
                <w:sz w:val="20"/>
                <w:lang w:val="es-ES"/>
              </w:rPr>
            </w:pPr>
            <w:r w:rsidRPr="009D10A6">
              <w:rPr>
                <w:rFonts w:ascii="Arial" w:hAnsi="Arial" w:cs="Arial"/>
                <w:sz w:val="20"/>
              </w:rPr>
              <w:t>0</w:t>
            </w:r>
          </w:p>
        </w:tc>
        <w:tc>
          <w:tcPr>
            <w:tcW w:w="810" w:type="dxa"/>
            <w:vAlign w:val="center"/>
          </w:tcPr>
          <w:p w14:paraId="16761893" w14:textId="77777777" w:rsidR="006E58FC" w:rsidRPr="009D10A6" w:rsidRDefault="006E58FC" w:rsidP="00550BDE">
            <w:pPr>
              <w:jc w:val="center"/>
              <w:rPr>
                <w:rFonts w:ascii="Arial" w:hAnsi="Arial" w:cs="Arial"/>
                <w:sz w:val="20"/>
                <w:lang w:val="es-ES"/>
              </w:rPr>
            </w:pPr>
            <w:r w:rsidRPr="009D10A6">
              <w:rPr>
                <w:rFonts w:ascii="Arial" w:hAnsi="Arial" w:cs="Arial"/>
                <w:sz w:val="20"/>
              </w:rPr>
              <w:t>1</w:t>
            </w:r>
          </w:p>
        </w:tc>
        <w:tc>
          <w:tcPr>
            <w:tcW w:w="990" w:type="dxa"/>
            <w:vAlign w:val="center"/>
          </w:tcPr>
          <w:p w14:paraId="4B998F6D" w14:textId="77777777" w:rsidR="006E58FC" w:rsidRPr="009D10A6" w:rsidRDefault="006E58FC" w:rsidP="00550BDE">
            <w:pPr>
              <w:jc w:val="center"/>
              <w:rPr>
                <w:rFonts w:ascii="Arial" w:hAnsi="Arial" w:cs="Arial"/>
                <w:sz w:val="20"/>
                <w:lang w:val="es-ES"/>
              </w:rPr>
            </w:pPr>
            <w:r w:rsidRPr="009D10A6">
              <w:rPr>
                <w:rFonts w:ascii="Arial" w:hAnsi="Arial" w:cs="Arial"/>
                <w:sz w:val="20"/>
              </w:rPr>
              <w:t>0</w:t>
            </w:r>
          </w:p>
        </w:tc>
        <w:tc>
          <w:tcPr>
            <w:tcW w:w="1170" w:type="dxa"/>
            <w:vAlign w:val="center"/>
          </w:tcPr>
          <w:p w14:paraId="5D202223" w14:textId="77777777" w:rsidR="006E58FC" w:rsidRPr="009D10A6" w:rsidRDefault="006E58FC" w:rsidP="00550BDE">
            <w:pPr>
              <w:jc w:val="center"/>
              <w:rPr>
                <w:rFonts w:ascii="Arial" w:hAnsi="Arial" w:cs="Arial"/>
                <w:sz w:val="20"/>
                <w:lang w:val="es-ES"/>
              </w:rPr>
            </w:pPr>
            <w:r w:rsidRPr="009D10A6">
              <w:rPr>
                <w:rFonts w:ascii="Arial" w:hAnsi="Arial" w:cs="Arial"/>
                <w:sz w:val="20"/>
              </w:rPr>
              <w:t>1</w:t>
            </w:r>
          </w:p>
        </w:tc>
        <w:tc>
          <w:tcPr>
            <w:tcW w:w="3965" w:type="dxa"/>
            <w:vAlign w:val="center"/>
          </w:tcPr>
          <w:p w14:paraId="34CA74E1" w14:textId="77777777" w:rsidR="006E58FC" w:rsidRPr="009D10A6" w:rsidRDefault="006E58FC" w:rsidP="00550BDE">
            <w:pPr>
              <w:rPr>
                <w:rFonts w:ascii="Arial" w:hAnsi="Arial" w:cs="Arial"/>
                <w:sz w:val="20"/>
                <w:lang w:val="es-ES"/>
              </w:rPr>
            </w:pPr>
            <w:r w:rsidRPr="009D10A6">
              <w:rPr>
                <w:rFonts w:ascii="Arial" w:hAnsi="Arial" w:cs="Arial"/>
                <w:sz w:val="20"/>
              </w:rPr>
              <w:t xml:space="preserve">Verificación de uso por al menos un usuario, </w:t>
            </w:r>
            <w:r w:rsidRPr="009D10A6">
              <w:rPr>
                <w:rFonts w:ascii="Arial" w:hAnsi="Arial" w:cs="Arial"/>
                <w:sz w:val="20"/>
                <w:lang w:val="es-ES"/>
              </w:rPr>
              <w:t>MERNNR</w:t>
            </w:r>
          </w:p>
        </w:tc>
      </w:tr>
      <w:tr w:rsidR="006E58FC" w:rsidRPr="009D10A6" w14:paraId="72165CB2" w14:textId="77777777" w:rsidTr="00550BDE">
        <w:trPr>
          <w:jc w:val="center"/>
        </w:trPr>
        <w:tc>
          <w:tcPr>
            <w:tcW w:w="3785" w:type="dxa"/>
            <w:vAlign w:val="center"/>
          </w:tcPr>
          <w:p w14:paraId="57D426FA" w14:textId="77777777" w:rsidR="006E58FC" w:rsidRPr="009D10A6" w:rsidRDefault="006E58FC" w:rsidP="006E58FC">
            <w:pPr>
              <w:pStyle w:val="ListParagraph"/>
              <w:numPr>
                <w:ilvl w:val="2"/>
                <w:numId w:val="70"/>
              </w:numPr>
              <w:ind w:left="882" w:hanging="360"/>
              <w:rPr>
                <w:rFonts w:ascii="Arial" w:hAnsi="Arial" w:cs="Arial"/>
                <w:sz w:val="20"/>
                <w:lang w:val="es-ES"/>
              </w:rPr>
            </w:pPr>
            <w:r w:rsidRPr="009D10A6">
              <w:rPr>
                <w:rFonts w:ascii="Arial" w:hAnsi="Arial" w:cs="Arial"/>
                <w:sz w:val="20"/>
                <w:lang w:val="es-ES"/>
              </w:rPr>
              <w:t>Informe legal de fusión aprobado</w:t>
            </w:r>
          </w:p>
        </w:tc>
        <w:tc>
          <w:tcPr>
            <w:tcW w:w="1430" w:type="dxa"/>
            <w:vAlign w:val="center"/>
          </w:tcPr>
          <w:p w14:paraId="00E81EAA" w14:textId="77777777" w:rsidR="006E58FC" w:rsidRPr="009D10A6" w:rsidRDefault="006E58FC" w:rsidP="00550BDE">
            <w:pPr>
              <w:jc w:val="center"/>
              <w:rPr>
                <w:rFonts w:ascii="Arial" w:hAnsi="Arial" w:cs="Arial"/>
                <w:sz w:val="20"/>
                <w:lang w:val="es-ES"/>
              </w:rPr>
            </w:pPr>
            <w:r w:rsidRPr="009D10A6">
              <w:rPr>
                <w:rFonts w:ascii="Arial" w:hAnsi="Arial" w:cs="Arial"/>
                <w:sz w:val="20"/>
              </w:rPr>
              <w:t>Informe</w:t>
            </w:r>
          </w:p>
        </w:tc>
        <w:tc>
          <w:tcPr>
            <w:tcW w:w="730" w:type="dxa"/>
            <w:vAlign w:val="center"/>
          </w:tcPr>
          <w:p w14:paraId="63ED0B1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17CE6492"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63F4E85D"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458321E2"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52B7BCBB"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6DD045C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6A118FB9"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3EC3A178" w14:textId="77777777" w:rsidR="006E58FC" w:rsidRPr="009D10A6" w:rsidRDefault="006E58FC" w:rsidP="00550BDE">
            <w:pPr>
              <w:rPr>
                <w:rFonts w:ascii="Arial" w:hAnsi="Arial" w:cs="Arial"/>
                <w:sz w:val="20"/>
              </w:rPr>
            </w:pPr>
            <w:r w:rsidRPr="009D10A6">
              <w:rPr>
                <w:rFonts w:ascii="Arial" w:hAnsi="Arial" w:cs="Arial"/>
                <w:sz w:val="20"/>
                <w:lang w:val="es-ES"/>
              </w:rPr>
              <w:t>Certificado de aprobación, MERNNR</w:t>
            </w:r>
          </w:p>
        </w:tc>
      </w:tr>
      <w:tr w:rsidR="006E58FC" w:rsidRPr="009D10A6" w14:paraId="13B6E420" w14:textId="77777777" w:rsidTr="00550BDE">
        <w:trPr>
          <w:trHeight w:val="426"/>
          <w:jc w:val="center"/>
        </w:trPr>
        <w:tc>
          <w:tcPr>
            <w:tcW w:w="15480" w:type="dxa"/>
            <w:gridSpan w:val="10"/>
            <w:tcBorders>
              <w:top w:val="single" w:sz="4" w:space="0" w:color="auto"/>
            </w:tcBorders>
            <w:shd w:val="clear" w:color="auto" w:fill="auto"/>
            <w:vAlign w:val="center"/>
          </w:tcPr>
          <w:p w14:paraId="5EEF0C47" w14:textId="77777777" w:rsidR="006E58FC" w:rsidRPr="009D10A6" w:rsidRDefault="006E58FC" w:rsidP="006E58FC">
            <w:pPr>
              <w:pStyle w:val="ListParagraph"/>
              <w:numPr>
                <w:ilvl w:val="0"/>
                <w:numId w:val="69"/>
              </w:numPr>
              <w:ind w:left="522" w:hanging="270"/>
              <w:rPr>
                <w:rFonts w:ascii="Arial" w:hAnsi="Arial" w:cs="Arial"/>
                <w:sz w:val="20"/>
                <w:lang w:val="es-ES_tradnl"/>
              </w:rPr>
            </w:pPr>
            <w:r w:rsidRPr="009D10A6">
              <w:rPr>
                <w:rFonts w:ascii="Arial" w:hAnsi="Arial" w:cs="Arial"/>
                <w:sz w:val="20"/>
                <w:lang w:val="es-ES_tradnl"/>
              </w:rPr>
              <w:t>Optimización del funcionamiento de la CELEC y CNEL</w:t>
            </w:r>
          </w:p>
        </w:tc>
      </w:tr>
      <w:tr w:rsidR="006E58FC" w:rsidRPr="009D10A6" w14:paraId="2544A62F" w14:textId="77777777" w:rsidTr="00550BDE">
        <w:trPr>
          <w:jc w:val="center"/>
        </w:trPr>
        <w:tc>
          <w:tcPr>
            <w:tcW w:w="3785" w:type="dxa"/>
            <w:vAlign w:val="center"/>
          </w:tcPr>
          <w:p w14:paraId="6A5A5B6A" w14:textId="77777777" w:rsidR="006E58FC" w:rsidRPr="009D10A6" w:rsidRDefault="006E58FC" w:rsidP="006E58FC">
            <w:pPr>
              <w:pStyle w:val="ListParagraph"/>
              <w:numPr>
                <w:ilvl w:val="0"/>
                <w:numId w:val="71"/>
              </w:numPr>
              <w:ind w:left="882"/>
              <w:rPr>
                <w:rFonts w:ascii="Arial" w:hAnsi="Arial" w:cs="Arial"/>
                <w:sz w:val="20"/>
                <w:lang w:val="es-ES_tradnl"/>
              </w:rPr>
            </w:pPr>
            <w:r w:rsidRPr="009D10A6">
              <w:rPr>
                <w:rFonts w:ascii="Arial" w:hAnsi="Arial" w:cs="Arial"/>
                <w:sz w:val="20"/>
                <w:lang w:val="es-ES_tradnl"/>
              </w:rPr>
              <w:t>Informe con la optimización del funcionamiento de CELEC, CNEL aprobado</w:t>
            </w:r>
          </w:p>
        </w:tc>
        <w:tc>
          <w:tcPr>
            <w:tcW w:w="1430" w:type="dxa"/>
            <w:vAlign w:val="center"/>
          </w:tcPr>
          <w:p w14:paraId="2771EFC4" w14:textId="77777777" w:rsidR="006E58FC" w:rsidRPr="009D10A6"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5907E82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1F61F19E"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0B7EFEE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2204FEB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34AB96EE"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35C9FF01"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21489B56"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797C0123" w14:textId="77777777" w:rsidR="006E58FC" w:rsidRPr="009D10A6" w:rsidRDefault="006E58FC" w:rsidP="00550BDE">
            <w:pPr>
              <w:rPr>
                <w:rFonts w:ascii="Arial" w:hAnsi="Arial" w:cs="Arial"/>
                <w:sz w:val="20"/>
              </w:rPr>
            </w:pPr>
            <w:r w:rsidRPr="009D10A6">
              <w:rPr>
                <w:rFonts w:ascii="Arial" w:hAnsi="Arial" w:cs="Arial"/>
                <w:sz w:val="20"/>
              </w:rPr>
              <w:t>Certificado de aprobación, MERNNR</w:t>
            </w:r>
          </w:p>
        </w:tc>
      </w:tr>
      <w:tr w:rsidR="006E58FC" w:rsidRPr="009D10A6" w14:paraId="2ED32268" w14:textId="77777777" w:rsidTr="00550BDE">
        <w:trPr>
          <w:trHeight w:val="426"/>
          <w:jc w:val="center"/>
        </w:trPr>
        <w:tc>
          <w:tcPr>
            <w:tcW w:w="15480" w:type="dxa"/>
            <w:gridSpan w:val="10"/>
            <w:tcBorders>
              <w:top w:val="single" w:sz="4" w:space="0" w:color="auto"/>
            </w:tcBorders>
            <w:shd w:val="clear" w:color="auto" w:fill="auto"/>
            <w:vAlign w:val="center"/>
          </w:tcPr>
          <w:p w14:paraId="55A82653" w14:textId="77777777" w:rsidR="006E58FC" w:rsidRPr="009D10A6" w:rsidRDefault="006E58FC" w:rsidP="006E58FC">
            <w:pPr>
              <w:pStyle w:val="ListParagraph"/>
              <w:numPr>
                <w:ilvl w:val="0"/>
                <w:numId w:val="69"/>
              </w:numPr>
              <w:ind w:left="522" w:hanging="270"/>
              <w:rPr>
                <w:rFonts w:ascii="Arial" w:hAnsi="Arial" w:cs="Arial"/>
                <w:sz w:val="20"/>
                <w:lang w:val="es-ES_tradnl"/>
              </w:rPr>
            </w:pPr>
            <w:r w:rsidRPr="009D10A6">
              <w:rPr>
                <w:rFonts w:ascii="Arial" w:hAnsi="Arial" w:cs="Arial"/>
                <w:sz w:val="20"/>
                <w:lang w:val="es-ES_tradnl"/>
              </w:rPr>
              <w:t>Valoración patrimonial de Tame</w:t>
            </w:r>
          </w:p>
        </w:tc>
      </w:tr>
      <w:tr w:rsidR="006E58FC" w:rsidRPr="009D10A6" w14:paraId="0F7B7C71" w14:textId="77777777" w:rsidTr="00550BDE">
        <w:trPr>
          <w:trHeight w:val="768"/>
          <w:jc w:val="center"/>
        </w:trPr>
        <w:tc>
          <w:tcPr>
            <w:tcW w:w="3785" w:type="dxa"/>
            <w:vAlign w:val="center"/>
          </w:tcPr>
          <w:p w14:paraId="74DBCAF7" w14:textId="77777777" w:rsidR="006E58FC" w:rsidRPr="009D10A6" w:rsidDel="00CC2552" w:rsidRDefault="006E58FC" w:rsidP="006E58FC">
            <w:pPr>
              <w:pStyle w:val="ListParagraph"/>
              <w:numPr>
                <w:ilvl w:val="0"/>
                <w:numId w:val="72"/>
              </w:numPr>
              <w:ind w:left="882"/>
              <w:rPr>
                <w:rFonts w:ascii="Arial" w:hAnsi="Arial" w:cs="Arial"/>
                <w:sz w:val="20"/>
                <w:lang w:val="es-ES_tradnl"/>
              </w:rPr>
            </w:pPr>
            <w:r w:rsidRPr="009D10A6">
              <w:rPr>
                <w:rFonts w:ascii="Arial" w:hAnsi="Arial" w:cs="Arial"/>
                <w:sz w:val="20"/>
                <w:lang w:val="es-ES_tradnl"/>
              </w:rPr>
              <w:t>Informe con la puesta en valor de TAME aprobado</w:t>
            </w:r>
          </w:p>
        </w:tc>
        <w:tc>
          <w:tcPr>
            <w:tcW w:w="1430" w:type="dxa"/>
            <w:vAlign w:val="center"/>
          </w:tcPr>
          <w:p w14:paraId="2F06681B" w14:textId="77777777" w:rsidR="006E58FC" w:rsidRPr="009D10A6" w:rsidDel="008B43E0" w:rsidRDefault="006E58FC" w:rsidP="00550BDE">
            <w:pPr>
              <w:jc w:val="center"/>
              <w:rPr>
                <w:rFonts w:ascii="Arial" w:hAnsi="Arial" w:cs="Arial"/>
                <w:sz w:val="20"/>
              </w:rPr>
            </w:pPr>
            <w:r w:rsidRPr="009D10A6">
              <w:rPr>
                <w:rFonts w:ascii="Arial" w:hAnsi="Arial" w:cs="Arial"/>
                <w:sz w:val="20"/>
              </w:rPr>
              <w:t xml:space="preserve">Informe </w:t>
            </w:r>
          </w:p>
        </w:tc>
        <w:tc>
          <w:tcPr>
            <w:tcW w:w="730" w:type="dxa"/>
            <w:vAlign w:val="center"/>
          </w:tcPr>
          <w:p w14:paraId="23D4AFBF"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3167075B"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8920726"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75291584"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442B6B8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50C9F12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6E34C1A6"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3965" w:type="dxa"/>
            <w:vAlign w:val="center"/>
          </w:tcPr>
          <w:p w14:paraId="78F5F9C2"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MTOP</w:t>
            </w:r>
          </w:p>
        </w:tc>
      </w:tr>
      <w:tr w:rsidR="006E58FC" w:rsidRPr="009D10A6" w14:paraId="73D580B2" w14:textId="77777777" w:rsidTr="00550BDE">
        <w:trPr>
          <w:trHeight w:val="768"/>
          <w:jc w:val="center"/>
        </w:trPr>
        <w:tc>
          <w:tcPr>
            <w:tcW w:w="3785" w:type="dxa"/>
            <w:vAlign w:val="center"/>
          </w:tcPr>
          <w:p w14:paraId="0F61C35C" w14:textId="77777777" w:rsidR="006E58FC" w:rsidRPr="009D10A6" w:rsidRDefault="006E58FC" w:rsidP="006E58FC">
            <w:pPr>
              <w:pStyle w:val="ListParagraph"/>
              <w:numPr>
                <w:ilvl w:val="0"/>
                <w:numId w:val="72"/>
              </w:numPr>
              <w:ind w:left="882"/>
              <w:rPr>
                <w:rFonts w:ascii="Arial" w:hAnsi="Arial" w:cs="Arial"/>
                <w:sz w:val="20"/>
                <w:lang w:val="es-ES_tradnl"/>
              </w:rPr>
            </w:pPr>
            <w:r w:rsidRPr="009D10A6">
              <w:rPr>
                <w:rFonts w:ascii="Arial" w:hAnsi="Arial" w:cs="Arial"/>
                <w:sz w:val="20"/>
                <w:lang w:val="es-ES_tradnl"/>
              </w:rPr>
              <w:t>Estados Financieros con las NIIF 2017-2018 aprobados</w:t>
            </w:r>
          </w:p>
        </w:tc>
        <w:tc>
          <w:tcPr>
            <w:tcW w:w="1430" w:type="dxa"/>
            <w:vAlign w:val="center"/>
          </w:tcPr>
          <w:p w14:paraId="34905EC3" w14:textId="77777777" w:rsidR="006E58FC" w:rsidRPr="009D10A6" w:rsidRDefault="006E58FC" w:rsidP="00550BDE">
            <w:pPr>
              <w:jc w:val="center"/>
              <w:rPr>
                <w:rFonts w:ascii="Arial" w:hAnsi="Arial" w:cs="Arial"/>
                <w:sz w:val="20"/>
              </w:rPr>
            </w:pPr>
            <w:r w:rsidRPr="009D10A6">
              <w:rPr>
                <w:rFonts w:ascii="Arial" w:hAnsi="Arial" w:cs="Arial"/>
                <w:sz w:val="20"/>
              </w:rPr>
              <w:t xml:space="preserve">Estados Financieros </w:t>
            </w:r>
          </w:p>
        </w:tc>
        <w:tc>
          <w:tcPr>
            <w:tcW w:w="730" w:type="dxa"/>
            <w:vAlign w:val="center"/>
          </w:tcPr>
          <w:p w14:paraId="21903D7A"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3593349B"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6B55FC7E"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5CC453F9"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72D66E5E"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2754F01B"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008BFB47" w14:textId="77777777" w:rsidR="006E58FC" w:rsidRPr="009D10A6" w:rsidRDefault="006E58FC" w:rsidP="00550BDE">
            <w:pPr>
              <w:jc w:val="center"/>
              <w:rPr>
                <w:rFonts w:ascii="Arial" w:hAnsi="Arial" w:cs="Arial"/>
                <w:sz w:val="20"/>
              </w:rPr>
            </w:pPr>
            <w:r w:rsidRPr="009D10A6">
              <w:rPr>
                <w:rFonts w:ascii="Arial" w:hAnsi="Arial" w:cs="Arial"/>
                <w:sz w:val="20"/>
              </w:rPr>
              <w:t>2</w:t>
            </w:r>
          </w:p>
        </w:tc>
        <w:tc>
          <w:tcPr>
            <w:tcW w:w="3965" w:type="dxa"/>
            <w:vAlign w:val="center"/>
          </w:tcPr>
          <w:p w14:paraId="15338081"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TAME. Estados financieros con las NIIF del 2017 y 2018</w:t>
            </w:r>
          </w:p>
        </w:tc>
      </w:tr>
      <w:tr w:rsidR="006E58FC" w:rsidRPr="009D10A6" w14:paraId="6BB8DF85" w14:textId="77777777" w:rsidTr="00550BDE">
        <w:trPr>
          <w:trHeight w:val="426"/>
          <w:jc w:val="center"/>
        </w:trPr>
        <w:tc>
          <w:tcPr>
            <w:tcW w:w="15480" w:type="dxa"/>
            <w:gridSpan w:val="10"/>
            <w:tcBorders>
              <w:top w:val="single" w:sz="4" w:space="0" w:color="auto"/>
            </w:tcBorders>
            <w:shd w:val="clear" w:color="auto" w:fill="C2D69B" w:themeFill="accent3" w:themeFillTint="99"/>
            <w:vAlign w:val="center"/>
          </w:tcPr>
          <w:p w14:paraId="60B71BF8" w14:textId="77777777" w:rsidR="006E58FC" w:rsidRPr="009D10A6" w:rsidRDefault="006E58FC" w:rsidP="00550BDE">
            <w:pPr>
              <w:rPr>
                <w:rFonts w:ascii="Arial" w:hAnsi="Arial" w:cs="Arial"/>
                <w:b/>
                <w:sz w:val="20"/>
                <w:u w:val="single"/>
                <w:lang w:val="es-ES"/>
              </w:rPr>
            </w:pPr>
            <w:bookmarkStart w:id="15" w:name="_Hlk11310286"/>
            <w:r w:rsidRPr="009D10A6">
              <w:rPr>
                <w:rFonts w:ascii="Arial" w:hAnsi="Arial" w:cs="Arial"/>
                <w:b/>
                <w:sz w:val="20"/>
                <w:lang w:val="es-ES"/>
              </w:rPr>
              <w:t>Subcomponente 2.2. Mejora de la gestión y optimización del TH</w:t>
            </w:r>
          </w:p>
        </w:tc>
      </w:tr>
      <w:bookmarkEnd w:id="15"/>
      <w:tr w:rsidR="006E58FC" w:rsidRPr="009D10A6" w14:paraId="19A65679" w14:textId="77777777" w:rsidTr="00550BDE">
        <w:trPr>
          <w:trHeight w:val="768"/>
          <w:jc w:val="center"/>
        </w:trPr>
        <w:tc>
          <w:tcPr>
            <w:tcW w:w="3785" w:type="dxa"/>
            <w:vAlign w:val="center"/>
          </w:tcPr>
          <w:p w14:paraId="2E63D6C5" w14:textId="77777777" w:rsidR="006E58FC" w:rsidRPr="009D10A6" w:rsidRDefault="006E58FC" w:rsidP="006E58FC">
            <w:pPr>
              <w:pStyle w:val="ListParagraph"/>
              <w:numPr>
                <w:ilvl w:val="1"/>
                <w:numId w:val="60"/>
              </w:numPr>
              <w:ind w:left="510" w:hanging="510"/>
              <w:rPr>
                <w:rFonts w:ascii="Arial" w:hAnsi="Arial" w:cs="Arial"/>
                <w:sz w:val="20"/>
                <w:lang w:val="es-ES_tradnl"/>
              </w:rPr>
            </w:pPr>
            <w:r w:rsidRPr="009D10A6">
              <w:rPr>
                <w:rFonts w:ascii="Arial" w:hAnsi="Arial" w:cs="Arial"/>
                <w:sz w:val="20"/>
                <w:lang w:val="es-ES_tradnl"/>
              </w:rPr>
              <w:lastRenderedPageBreak/>
              <w:t xml:space="preserve">Personal con beneficios por desvinculación devengados en Petroamazonas, Petroecuador, CNEL, CELEC, Tame y EMCO. </w:t>
            </w:r>
          </w:p>
        </w:tc>
        <w:tc>
          <w:tcPr>
            <w:tcW w:w="1430" w:type="dxa"/>
            <w:vAlign w:val="center"/>
          </w:tcPr>
          <w:p w14:paraId="47331B4F" w14:textId="77777777" w:rsidR="006E58FC" w:rsidRPr="009D10A6" w:rsidRDefault="006E58FC" w:rsidP="00550BDE">
            <w:pPr>
              <w:jc w:val="center"/>
              <w:rPr>
                <w:rFonts w:ascii="Arial" w:hAnsi="Arial" w:cs="Arial"/>
                <w:sz w:val="20"/>
              </w:rPr>
            </w:pPr>
            <w:r w:rsidRPr="009D10A6">
              <w:rPr>
                <w:rFonts w:ascii="Arial" w:hAnsi="Arial" w:cs="Arial"/>
                <w:sz w:val="20"/>
              </w:rPr>
              <w:t>Personas</w:t>
            </w:r>
          </w:p>
        </w:tc>
        <w:tc>
          <w:tcPr>
            <w:tcW w:w="730" w:type="dxa"/>
            <w:vAlign w:val="center"/>
          </w:tcPr>
          <w:p w14:paraId="0EAB741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290D697"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698548F4"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810" w:type="dxa"/>
            <w:vAlign w:val="center"/>
          </w:tcPr>
          <w:p w14:paraId="394C9A46" w14:textId="77777777" w:rsidR="006E58FC" w:rsidRPr="009D10A6" w:rsidRDefault="006E58FC" w:rsidP="00550BDE">
            <w:pPr>
              <w:jc w:val="center"/>
              <w:rPr>
                <w:rFonts w:ascii="Arial" w:hAnsi="Arial" w:cs="Arial"/>
                <w:sz w:val="20"/>
              </w:rPr>
            </w:pPr>
            <w:r w:rsidRPr="009D10A6">
              <w:rPr>
                <w:rFonts w:ascii="Arial" w:hAnsi="Arial" w:cs="Arial"/>
                <w:sz w:val="20"/>
              </w:rPr>
              <w:t>3.350</w:t>
            </w:r>
          </w:p>
        </w:tc>
        <w:tc>
          <w:tcPr>
            <w:tcW w:w="810" w:type="dxa"/>
            <w:vAlign w:val="center"/>
          </w:tcPr>
          <w:p w14:paraId="4AC73CE8"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990" w:type="dxa"/>
            <w:vAlign w:val="center"/>
          </w:tcPr>
          <w:p w14:paraId="58786313"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170" w:type="dxa"/>
            <w:vAlign w:val="center"/>
          </w:tcPr>
          <w:p w14:paraId="1D7DC518" w14:textId="77777777" w:rsidR="006E58FC" w:rsidRPr="009D10A6" w:rsidRDefault="006E58FC" w:rsidP="00550BDE">
            <w:pPr>
              <w:jc w:val="center"/>
              <w:rPr>
                <w:rFonts w:ascii="Arial" w:hAnsi="Arial" w:cs="Arial"/>
                <w:sz w:val="20"/>
              </w:rPr>
            </w:pPr>
            <w:r w:rsidRPr="009D10A6">
              <w:rPr>
                <w:rFonts w:ascii="Arial" w:hAnsi="Arial" w:cs="Arial"/>
                <w:sz w:val="20"/>
              </w:rPr>
              <w:t>3.350</w:t>
            </w:r>
          </w:p>
        </w:tc>
        <w:tc>
          <w:tcPr>
            <w:tcW w:w="3965" w:type="dxa"/>
            <w:vAlign w:val="center"/>
          </w:tcPr>
          <w:p w14:paraId="7CFEE07D" w14:textId="77777777" w:rsidR="006E58FC" w:rsidRPr="009D10A6" w:rsidRDefault="006E58FC" w:rsidP="00550BDE">
            <w:pPr>
              <w:rPr>
                <w:rFonts w:ascii="Arial" w:hAnsi="Arial" w:cs="Arial"/>
                <w:sz w:val="20"/>
              </w:rPr>
            </w:pPr>
            <w:r w:rsidRPr="009D10A6">
              <w:rPr>
                <w:rFonts w:ascii="Arial" w:hAnsi="Arial" w:cs="Arial"/>
                <w:sz w:val="20"/>
              </w:rPr>
              <w:t xml:space="preserve">Informes de auditoría, DNEP. </w:t>
            </w:r>
          </w:p>
          <w:p w14:paraId="58F71325" w14:textId="77777777" w:rsidR="006E58FC" w:rsidRPr="009D10A6" w:rsidRDefault="006E58FC" w:rsidP="00550BDE">
            <w:pPr>
              <w:rPr>
                <w:rFonts w:ascii="Arial" w:hAnsi="Arial" w:cs="Arial"/>
                <w:sz w:val="20"/>
                <w:lang w:val="es-ES"/>
              </w:rPr>
            </w:pPr>
            <w:r w:rsidRPr="009D10A6">
              <w:rPr>
                <w:rFonts w:ascii="Arial" w:hAnsi="Arial" w:cs="Arial"/>
                <w:sz w:val="20"/>
              </w:rPr>
              <w:t>MERNNR, MTOP y EMCO van a complementar la verificación de las desvinculaciones</w:t>
            </w:r>
          </w:p>
        </w:tc>
      </w:tr>
      <w:tr w:rsidR="006E58FC" w:rsidRPr="009D10A6" w14:paraId="47FA6AB8" w14:textId="77777777" w:rsidTr="00550BDE">
        <w:trPr>
          <w:trHeight w:val="471"/>
          <w:jc w:val="center"/>
        </w:trPr>
        <w:tc>
          <w:tcPr>
            <w:tcW w:w="3785" w:type="dxa"/>
            <w:vAlign w:val="center"/>
          </w:tcPr>
          <w:p w14:paraId="1D50263E" w14:textId="77777777" w:rsidR="006E58FC" w:rsidRPr="009D10A6" w:rsidDel="00CC2552" w:rsidRDefault="006E58FC" w:rsidP="006E58FC">
            <w:pPr>
              <w:pStyle w:val="ListParagraph"/>
              <w:numPr>
                <w:ilvl w:val="1"/>
                <w:numId w:val="60"/>
              </w:numPr>
              <w:ind w:left="510" w:hanging="510"/>
              <w:rPr>
                <w:rFonts w:ascii="Arial" w:hAnsi="Arial" w:cs="Arial"/>
                <w:sz w:val="20"/>
                <w:lang w:val="es-ES_tradnl"/>
              </w:rPr>
            </w:pPr>
            <w:r w:rsidRPr="009D10A6">
              <w:rPr>
                <w:rFonts w:ascii="Arial" w:hAnsi="Arial" w:cs="Arial"/>
                <w:sz w:val="20"/>
                <w:lang w:val="es-ES_tradnl"/>
              </w:rPr>
              <w:t>Informes anuales de estrategia de comunicación (pública e interna) que facilite la comprensión de los objetivos de la reforma y los beneficios para el ciudadano implementada</w:t>
            </w:r>
          </w:p>
        </w:tc>
        <w:tc>
          <w:tcPr>
            <w:tcW w:w="1430" w:type="dxa"/>
            <w:vAlign w:val="center"/>
          </w:tcPr>
          <w:p w14:paraId="26D7DA8A" w14:textId="77777777" w:rsidR="006E58FC" w:rsidRPr="009D10A6" w:rsidDel="008B43E0" w:rsidRDefault="006E58FC" w:rsidP="00550BDE">
            <w:pPr>
              <w:jc w:val="center"/>
              <w:rPr>
                <w:rFonts w:ascii="Arial" w:hAnsi="Arial" w:cs="Arial"/>
                <w:sz w:val="20"/>
              </w:rPr>
            </w:pPr>
            <w:r w:rsidRPr="009D10A6">
              <w:rPr>
                <w:rFonts w:ascii="Arial" w:hAnsi="Arial" w:cs="Arial"/>
                <w:sz w:val="20"/>
              </w:rPr>
              <w:t>Informe</w:t>
            </w:r>
          </w:p>
        </w:tc>
        <w:tc>
          <w:tcPr>
            <w:tcW w:w="730" w:type="dxa"/>
            <w:vAlign w:val="center"/>
          </w:tcPr>
          <w:p w14:paraId="41E79495" w14:textId="77777777" w:rsidR="006E58FC" w:rsidRPr="009D10A6" w:rsidRDefault="006E58FC" w:rsidP="00550BDE">
            <w:pPr>
              <w:jc w:val="center"/>
              <w:rPr>
                <w:rFonts w:ascii="Arial" w:hAnsi="Arial" w:cs="Arial"/>
                <w:sz w:val="20"/>
              </w:rPr>
            </w:pPr>
            <w:r w:rsidRPr="009D10A6">
              <w:rPr>
                <w:rFonts w:ascii="Arial" w:hAnsi="Arial" w:cs="Arial"/>
                <w:sz w:val="20"/>
              </w:rPr>
              <w:t>0</w:t>
            </w:r>
          </w:p>
        </w:tc>
        <w:tc>
          <w:tcPr>
            <w:tcW w:w="1070" w:type="dxa"/>
            <w:vAlign w:val="center"/>
          </w:tcPr>
          <w:p w14:paraId="6C3BF7A9" w14:textId="77777777" w:rsidR="006E58FC" w:rsidRPr="009D10A6" w:rsidRDefault="006E58FC" w:rsidP="00550BDE">
            <w:pPr>
              <w:jc w:val="center"/>
              <w:rPr>
                <w:rFonts w:ascii="Arial" w:hAnsi="Arial" w:cs="Arial"/>
                <w:sz w:val="20"/>
              </w:rPr>
            </w:pPr>
            <w:r w:rsidRPr="009D10A6">
              <w:rPr>
                <w:rFonts w:ascii="Arial" w:hAnsi="Arial" w:cs="Arial"/>
                <w:sz w:val="20"/>
              </w:rPr>
              <w:t>2018</w:t>
            </w:r>
          </w:p>
        </w:tc>
        <w:tc>
          <w:tcPr>
            <w:tcW w:w="720" w:type="dxa"/>
            <w:vAlign w:val="center"/>
          </w:tcPr>
          <w:p w14:paraId="5398FEF0"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2F79106F"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810" w:type="dxa"/>
            <w:vAlign w:val="center"/>
          </w:tcPr>
          <w:p w14:paraId="52784498"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990" w:type="dxa"/>
            <w:vAlign w:val="center"/>
          </w:tcPr>
          <w:p w14:paraId="6AEC65FD" w14:textId="77777777" w:rsidR="006E58FC" w:rsidRPr="009D10A6" w:rsidRDefault="006E58FC" w:rsidP="00550BDE">
            <w:pPr>
              <w:jc w:val="center"/>
              <w:rPr>
                <w:rFonts w:ascii="Arial" w:hAnsi="Arial" w:cs="Arial"/>
                <w:sz w:val="20"/>
              </w:rPr>
            </w:pPr>
            <w:r w:rsidRPr="009D10A6">
              <w:rPr>
                <w:rFonts w:ascii="Arial" w:hAnsi="Arial" w:cs="Arial"/>
                <w:sz w:val="20"/>
              </w:rPr>
              <w:t>1</w:t>
            </w:r>
          </w:p>
        </w:tc>
        <w:tc>
          <w:tcPr>
            <w:tcW w:w="1170" w:type="dxa"/>
            <w:vAlign w:val="center"/>
          </w:tcPr>
          <w:p w14:paraId="0A1194E6" w14:textId="77777777" w:rsidR="006E58FC" w:rsidRPr="009D10A6" w:rsidRDefault="006E58FC" w:rsidP="00550BDE">
            <w:pPr>
              <w:jc w:val="center"/>
              <w:rPr>
                <w:rFonts w:ascii="Arial" w:hAnsi="Arial" w:cs="Arial"/>
                <w:sz w:val="20"/>
              </w:rPr>
            </w:pPr>
            <w:r w:rsidRPr="009D10A6">
              <w:rPr>
                <w:rFonts w:ascii="Arial" w:hAnsi="Arial" w:cs="Arial"/>
                <w:sz w:val="20"/>
              </w:rPr>
              <w:t>4</w:t>
            </w:r>
          </w:p>
        </w:tc>
        <w:tc>
          <w:tcPr>
            <w:tcW w:w="3965" w:type="dxa"/>
            <w:vAlign w:val="center"/>
          </w:tcPr>
          <w:p w14:paraId="5F89E3F0" w14:textId="77777777" w:rsidR="006E58FC" w:rsidRPr="009D10A6" w:rsidRDefault="006E58FC" w:rsidP="00550BDE">
            <w:pPr>
              <w:rPr>
                <w:rFonts w:ascii="Arial" w:hAnsi="Arial" w:cs="Arial"/>
                <w:sz w:val="20"/>
                <w:lang w:val="es-ES"/>
              </w:rPr>
            </w:pPr>
            <w:r w:rsidRPr="009D10A6">
              <w:rPr>
                <w:rFonts w:ascii="Arial" w:hAnsi="Arial" w:cs="Arial"/>
                <w:sz w:val="20"/>
                <w:lang w:val="es-ES"/>
              </w:rPr>
              <w:t>Certificado de aprobación, DNEP</w:t>
            </w:r>
          </w:p>
        </w:tc>
      </w:tr>
    </w:tbl>
    <w:p w14:paraId="6CDCEA56" w14:textId="77777777" w:rsidR="006E58FC" w:rsidRPr="006C1474" w:rsidRDefault="006E58FC" w:rsidP="006E58FC">
      <w:pPr>
        <w:rPr>
          <w:rFonts w:ascii="Arial" w:hAnsi="Arial" w:cs="Arial"/>
          <w:sz w:val="20"/>
        </w:rPr>
      </w:pPr>
    </w:p>
    <w:p w14:paraId="00AD3E39" w14:textId="77777777" w:rsidR="00D47877" w:rsidRPr="00DD2307" w:rsidRDefault="00D47877" w:rsidP="00534766">
      <w:pPr>
        <w:spacing w:line="276" w:lineRule="auto"/>
        <w:jc w:val="both"/>
        <w:rPr>
          <w:rFonts w:ascii="Arial" w:hAnsi="Arial" w:cs="Arial"/>
          <w:sz w:val="22"/>
          <w:szCs w:val="22"/>
          <w:highlight w:val="lightGray"/>
          <w:lang w:val="es-ES"/>
        </w:rPr>
      </w:pPr>
    </w:p>
    <w:p w14:paraId="1138C649" w14:textId="77777777" w:rsidR="00063B89" w:rsidRPr="00DD2307" w:rsidRDefault="00063B89" w:rsidP="00534766">
      <w:pPr>
        <w:spacing w:line="276" w:lineRule="auto"/>
        <w:jc w:val="both"/>
        <w:rPr>
          <w:rFonts w:ascii="Arial" w:hAnsi="Arial" w:cs="Arial"/>
          <w:sz w:val="22"/>
          <w:szCs w:val="22"/>
          <w:highlight w:val="lightGray"/>
          <w:lang w:val="es-ES"/>
        </w:rPr>
      </w:pPr>
    </w:p>
    <w:p w14:paraId="4A1B8D20" w14:textId="4C89F66D" w:rsidR="00063B89" w:rsidRDefault="00063B89" w:rsidP="00063B89">
      <w:pPr>
        <w:pStyle w:val="TableTitle"/>
        <w:spacing w:before="0" w:after="0" w:line="276" w:lineRule="auto"/>
        <w:jc w:val="left"/>
        <w:rPr>
          <w:rStyle w:val="Heading1Char"/>
          <w:rFonts w:ascii="Arial" w:hAnsi="Arial" w:cs="Arial"/>
          <w:b/>
          <w:sz w:val="22"/>
          <w:szCs w:val="22"/>
        </w:rPr>
      </w:pPr>
    </w:p>
    <w:p w14:paraId="63BF8784" w14:textId="77777777" w:rsidR="00EC3F29" w:rsidRPr="00DD2307" w:rsidRDefault="00EC3F29" w:rsidP="00063B89">
      <w:pPr>
        <w:pStyle w:val="TableTitle"/>
        <w:spacing w:before="0" w:after="0" w:line="276" w:lineRule="auto"/>
        <w:jc w:val="left"/>
        <w:rPr>
          <w:rStyle w:val="Heading1Char"/>
          <w:rFonts w:ascii="Arial" w:hAnsi="Arial" w:cs="Arial"/>
          <w:b/>
          <w:sz w:val="22"/>
          <w:szCs w:val="22"/>
        </w:rPr>
      </w:pPr>
    </w:p>
    <w:p w14:paraId="1E01E938" w14:textId="77777777" w:rsidR="00A9040A" w:rsidRPr="00DD2307" w:rsidRDefault="00CB221C" w:rsidP="00063B89">
      <w:pPr>
        <w:pStyle w:val="TableTitle"/>
        <w:spacing w:before="0" w:after="0" w:line="276" w:lineRule="auto"/>
        <w:jc w:val="left"/>
        <w:rPr>
          <w:rStyle w:val="Heading1Char"/>
          <w:rFonts w:ascii="Arial" w:hAnsi="Arial" w:cs="Arial"/>
          <w:b/>
          <w:sz w:val="22"/>
          <w:szCs w:val="22"/>
        </w:rPr>
      </w:pPr>
      <w:r w:rsidRPr="00DD2307">
        <w:rPr>
          <w:rStyle w:val="Heading1Char"/>
          <w:rFonts w:ascii="Arial" w:hAnsi="Arial" w:cs="Arial"/>
          <w:b/>
          <w:sz w:val="22"/>
          <w:szCs w:val="22"/>
        </w:rPr>
        <w:t>Tabla 2</w:t>
      </w:r>
      <w:r w:rsidR="00063B89" w:rsidRPr="00DD2307">
        <w:rPr>
          <w:rStyle w:val="Heading1Char"/>
          <w:rFonts w:ascii="Arial" w:hAnsi="Arial" w:cs="Arial"/>
          <w:b/>
          <w:sz w:val="22"/>
          <w:szCs w:val="22"/>
        </w:rPr>
        <w:t>.</w:t>
      </w:r>
      <w:r w:rsidR="00FB39DF" w:rsidRPr="00DD2307">
        <w:rPr>
          <w:rStyle w:val="Heading1Char"/>
          <w:rFonts w:ascii="Arial" w:hAnsi="Arial" w:cs="Arial"/>
          <w:b/>
          <w:sz w:val="22"/>
          <w:szCs w:val="22"/>
        </w:rPr>
        <w:t xml:space="preserve"> Costos por </w:t>
      </w:r>
      <w:r w:rsidRPr="00DD2307">
        <w:rPr>
          <w:rStyle w:val="Heading1Char"/>
          <w:rFonts w:ascii="Arial" w:hAnsi="Arial" w:cs="Arial"/>
          <w:b/>
          <w:sz w:val="22"/>
          <w:szCs w:val="22"/>
        </w:rPr>
        <w:t>Producto</w:t>
      </w:r>
      <w:r w:rsidR="00A9040A" w:rsidRPr="00DD2307">
        <w:rPr>
          <w:rStyle w:val="Heading1Char"/>
          <w:rFonts w:ascii="Arial" w:hAnsi="Arial" w:cs="Arial"/>
          <w:b/>
          <w:sz w:val="22"/>
          <w:szCs w:val="22"/>
        </w:rPr>
        <w:t xml:space="preserve"> </w:t>
      </w:r>
      <w:r w:rsidR="006A0C6B" w:rsidRPr="00DD2307">
        <w:rPr>
          <w:rStyle w:val="FootnoteReference"/>
          <w:rFonts w:ascii="Arial" w:hAnsi="Arial" w:cs="Arial"/>
          <w:smallCaps/>
          <w:noProof/>
          <w:sz w:val="22"/>
          <w:szCs w:val="22"/>
        </w:rPr>
        <w:footnoteReference w:id="27"/>
      </w:r>
    </w:p>
    <w:tbl>
      <w:tblPr>
        <w:tblW w:w="1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340"/>
        <w:gridCol w:w="820"/>
        <w:gridCol w:w="960"/>
        <w:gridCol w:w="1005"/>
        <w:gridCol w:w="990"/>
        <w:gridCol w:w="1440"/>
        <w:gridCol w:w="1969"/>
        <w:gridCol w:w="1710"/>
      </w:tblGrid>
      <w:tr w:rsidR="00BA4A16" w:rsidRPr="00FD7A39" w14:paraId="0683A098" w14:textId="77777777" w:rsidTr="006A6339">
        <w:trPr>
          <w:tblHeader/>
          <w:jc w:val="center"/>
        </w:trPr>
        <w:tc>
          <w:tcPr>
            <w:tcW w:w="3785" w:type="dxa"/>
            <w:shd w:val="clear" w:color="auto" w:fill="D9D9D9" w:themeFill="background1" w:themeFillShade="D9"/>
            <w:vAlign w:val="center"/>
          </w:tcPr>
          <w:p w14:paraId="292EBC47"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Indicador</w:t>
            </w:r>
          </w:p>
        </w:tc>
        <w:tc>
          <w:tcPr>
            <w:tcW w:w="1340" w:type="dxa"/>
            <w:shd w:val="clear" w:color="auto" w:fill="D9D9D9" w:themeFill="background1" w:themeFillShade="D9"/>
            <w:vAlign w:val="center"/>
          </w:tcPr>
          <w:p w14:paraId="00F9C0F2"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Unidad de Medida</w:t>
            </w:r>
          </w:p>
        </w:tc>
        <w:tc>
          <w:tcPr>
            <w:tcW w:w="820" w:type="dxa"/>
            <w:shd w:val="clear" w:color="auto" w:fill="D9D9D9" w:themeFill="background1" w:themeFillShade="D9"/>
            <w:vAlign w:val="center"/>
          </w:tcPr>
          <w:p w14:paraId="086BAC87"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Línea de Base</w:t>
            </w:r>
          </w:p>
        </w:tc>
        <w:tc>
          <w:tcPr>
            <w:tcW w:w="960" w:type="dxa"/>
            <w:shd w:val="clear" w:color="auto" w:fill="D9D9D9" w:themeFill="background1" w:themeFillShade="D9"/>
          </w:tcPr>
          <w:p w14:paraId="25C67BC1"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Año</w:t>
            </w:r>
          </w:p>
          <w:p w14:paraId="4A866FBF"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Línea de Base</w:t>
            </w:r>
          </w:p>
        </w:tc>
        <w:tc>
          <w:tcPr>
            <w:tcW w:w="1005" w:type="dxa"/>
            <w:shd w:val="clear" w:color="auto" w:fill="D9D9D9" w:themeFill="background1" w:themeFillShade="D9"/>
            <w:vAlign w:val="center"/>
          </w:tcPr>
          <w:p w14:paraId="2279BF4E"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2019</w:t>
            </w:r>
          </w:p>
        </w:tc>
        <w:tc>
          <w:tcPr>
            <w:tcW w:w="990" w:type="dxa"/>
            <w:shd w:val="clear" w:color="auto" w:fill="D9D9D9" w:themeFill="background1" w:themeFillShade="D9"/>
            <w:vAlign w:val="center"/>
          </w:tcPr>
          <w:p w14:paraId="33ACC517"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2020</w:t>
            </w:r>
          </w:p>
        </w:tc>
        <w:tc>
          <w:tcPr>
            <w:tcW w:w="1440" w:type="dxa"/>
            <w:shd w:val="clear" w:color="auto" w:fill="D9D9D9" w:themeFill="background1" w:themeFillShade="D9"/>
            <w:vAlign w:val="center"/>
          </w:tcPr>
          <w:p w14:paraId="0611CE36"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2021</w:t>
            </w:r>
          </w:p>
        </w:tc>
        <w:tc>
          <w:tcPr>
            <w:tcW w:w="1969" w:type="dxa"/>
            <w:shd w:val="clear" w:color="auto" w:fill="D9D9D9" w:themeFill="background1" w:themeFillShade="D9"/>
            <w:vAlign w:val="center"/>
          </w:tcPr>
          <w:p w14:paraId="7420B2B3"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2022</w:t>
            </w:r>
          </w:p>
        </w:tc>
        <w:tc>
          <w:tcPr>
            <w:tcW w:w="1710" w:type="dxa"/>
            <w:shd w:val="clear" w:color="auto" w:fill="D9D9D9" w:themeFill="background1" w:themeFillShade="D9"/>
            <w:vAlign w:val="center"/>
          </w:tcPr>
          <w:p w14:paraId="25746900" w14:textId="77777777" w:rsidR="00BA4A16" w:rsidRPr="00FD7A39" w:rsidRDefault="00BA4A16" w:rsidP="008E6B62">
            <w:pPr>
              <w:jc w:val="center"/>
              <w:rPr>
                <w:rFonts w:ascii="Arial" w:hAnsi="Arial" w:cs="Arial"/>
                <w:b/>
                <w:sz w:val="18"/>
                <w:szCs w:val="18"/>
              </w:rPr>
            </w:pPr>
            <w:r w:rsidRPr="00FD7A39">
              <w:rPr>
                <w:rFonts w:ascii="Arial" w:hAnsi="Arial" w:cs="Arial"/>
                <w:b/>
                <w:sz w:val="18"/>
                <w:szCs w:val="18"/>
              </w:rPr>
              <w:t>Meta Final</w:t>
            </w:r>
          </w:p>
        </w:tc>
      </w:tr>
      <w:tr w:rsidR="00995CB9" w:rsidRPr="00FD7A39" w14:paraId="6AC2E55F" w14:textId="77777777" w:rsidTr="004C1C49">
        <w:trPr>
          <w:jc w:val="center"/>
        </w:trPr>
        <w:tc>
          <w:tcPr>
            <w:tcW w:w="14019" w:type="dxa"/>
            <w:gridSpan w:val="9"/>
            <w:shd w:val="clear" w:color="auto" w:fill="DDD9C3" w:themeFill="background2" w:themeFillShade="E6"/>
            <w:vAlign w:val="center"/>
          </w:tcPr>
          <w:p w14:paraId="214EE564" w14:textId="785E65B1" w:rsidR="00995CB9" w:rsidRPr="004C1C49" w:rsidRDefault="001F1B35" w:rsidP="00B81429">
            <w:pPr>
              <w:rPr>
                <w:rFonts w:ascii="Arial" w:hAnsi="Arial" w:cs="Arial"/>
                <w:b/>
                <w:sz w:val="20"/>
              </w:rPr>
            </w:pPr>
            <w:r w:rsidRPr="004C1C49">
              <w:rPr>
                <w:rFonts w:ascii="Arial" w:hAnsi="Arial" w:cs="Arial"/>
                <w:b/>
                <w:sz w:val="20"/>
              </w:rPr>
              <w:t>Componente #1: Fortalecimiento del marco de gobernanza corporativa y fiscal de las EEPP</w:t>
            </w:r>
          </w:p>
        </w:tc>
      </w:tr>
      <w:tr w:rsidR="00995CB9" w:rsidRPr="00FD7A39" w14:paraId="6695ABFE" w14:textId="77777777" w:rsidTr="004C1C49">
        <w:trPr>
          <w:jc w:val="center"/>
        </w:trPr>
        <w:tc>
          <w:tcPr>
            <w:tcW w:w="14019" w:type="dxa"/>
            <w:gridSpan w:val="9"/>
            <w:shd w:val="clear" w:color="auto" w:fill="DDD9C3" w:themeFill="background2" w:themeFillShade="E6"/>
            <w:vAlign w:val="center"/>
          </w:tcPr>
          <w:p w14:paraId="0F485FF3" w14:textId="75CF37F3" w:rsidR="00995CB9" w:rsidRPr="004C1C49" w:rsidRDefault="004C1C49" w:rsidP="00B81429">
            <w:pPr>
              <w:rPr>
                <w:rFonts w:ascii="Arial" w:hAnsi="Arial" w:cs="Arial"/>
                <w:b/>
                <w:sz w:val="20"/>
              </w:rPr>
            </w:pPr>
            <w:r w:rsidRPr="004C1C49">
              <w:rPr>
                <w:rFonts w:ascii="Arial" w:hAnsi="Arial" w:cs="Arial"/>
                <w:b/>
                <w:sz w:val="20"/>
              </w:rPr>
              <w:t>Subcomponente 1.1. Mejora e implementación del marco normativo</w:t>
            </w:r>
          </w:p>
        </w:tc>
      </w:tr>
      <w:tr w:rsidR="00B81429" w:rsidRPr="00FD7A39" w14:paraId="2E5E7753" w14:textId="77777777" w:rsidTr="00CE76F2">
        <w:trPr>
          <w:jc w:val="center"/>
        </w:trPr>
        <w:tc>
          <w:tcPr>
            <w:tcW w:w="14019" w:type="dxa"/>
            <w:gridSpan w:val="9"/>
            <w:vAlign w:val="center"/>
          </w:tcPr>
          <w:p w14:paraId="5AB6B584" w14:textId="12DBE1A6" w:rsidR="00B81429" w:rsidRPr="00006996" w:rsidRDefault="00B81429" w:rsidP="00266E44">
            <w:pPr>
              <w:pStyle w:val="ListParagraph"/>
              <w:numPr>
                <w:ilvl w:val="0"/>
                <w:numId w:val="47"/>
              </w:numPr>
              <w:ind w:left="511" w:hanging="270"/>
              <w:rPr>
                <w:rFonts w:ascii="Arial" w:hAnsi="Arial" w:cs="Arial"/>
                <w:sz w:val="20"/>
              </w:rPr>
            </w:pPr>
            <w:r w:rsidRPr="00006996">
              <w:rPr>
                <w:rFonts w:ascii="Arial" w:hAnsi="Arial" w:cs="Arial"/>
                <w:sz w:val="20"/>
              </w:rPr>
              <w:t xml:space="preserve">Marco </w:t>
            </w:r>
            <w:proofErr w:type="spellStart"/>
            <w:r w:rsidRPr="00006996">
              <w:rPr>
                <w:rFonts w:ascii="Arial" w:hAnsi="Arial" w:cs="Arial"/>
                <w:sz w:val="20"/>
              </w:rPr>
              <w:t>normativo</w:t>
            </w:r>
            <w:proofErr w:type="spellEnd"/>
          </w:p>
        </w:tc>
      </w:tr>
      <w:tr w:rsidR="00BA4A16" w:rsidRPr="00FD7A39" w14:paraId="057464D1" w14:textId="77777777" w:rsidTr="006A6339">
        <w:trPr>
          <w:jc w:val="center"/>
        </w:trPr>
        <w:tc>
          <w:tcPr>
            <w:tcW w:w="3785" w:type="dxa"/>
            <w:vAlign w:val="center"/>
          </w:tcPr>
          <w:p w14:paraId="26C96372" w14:textId="77777777" w:rsidR="00BA4A16" w:rsidRPr="00006996" w:rsidRDefault="00BA4A16" w:rsidP="00266E44">
            <w:pPr>
              <w:pStyle w:val="ListParagraph"/>
              <w:numPr>
                <w:ilvl w:val="0"/>
                <w:numId w:val="48"/>
              </w:numPr>
              <w:ind w:left="691"/>
              <w:rPr>
                <w:rFonts w:ascii="Arial" w:eastAsia="Calibri" w:hAnsi="Arial" w:cs="Arial"/>
                <w:sz w:val="20"/>
                <w:lang w:val="es-ES"/>
              </w:rPr>
            </w:pPr>
            <w:r w:rsidRPr="00E769E5">
              <w:rPr>
                <w:rFonts w:ascii="Arial" w:hAnsi="Arial" w:cs="Arial"/>
                <w:sz w:val="20"/>
                <w:lang w:val="es-ES_tradnl"/>
              </w:rPr>
              <w:t xml:space="preserve">Informe de socialización de la </w:t>
            </w:r>
            <w:r w:rsidRPr="00006996">
              <w:rPr>
                <w:rFonts w:ascii="Arial" w:hAnsi="Arial" w:cs="Arial"/>
                <w:sz w:val="20"/>
                <w:lang w:val="es-ES"/>
              </w:rPr>
              <w:t xml:space="preserve">nueva LOEP y lineamientos OCDE </w:t>
            </w:r>
            <w:r w:rsidRPr="00E769E5">
              <w:rPr>
                <w:rFonts w:ascii="Arial" w:hAnsi="Arial" w:cs="Arial"/>
                <w:sz w:val="20"/>
                <w:lang w:val="es-ES_tradnl"/>
              </w:rPr>
              <w:t>aprobado.</w:t>
            </w:r>
          </w:p>
        </w:tc>
        <w:tc>
          <w:tcPr>
            <w:tcW w:w="1340" w:type="dxa"/>
            <w:vAlign w:val="center"/>
          </w:tcPr>
          <w:p w14:paraId="16F8D506" w14:textId="77777777" w:rsidR="00BA4A16" w:rsidRPr="00634AD8" w:rsidRDefault="00BA4A16" w:rsidP="008E6B62">
            <w:pPr>
              <w:pStyle w:val="FootnoteText"/>
              <w:jc w:val="center"/>
              <w:rPr>
                <w:rFonts w:ascii="Arial" w:hAnsi="Arial" w:cs="Arial"/>
                <w:spacing w:val="-2"/>
              </w:rPr>
            </w:pPr>
            <w:r w:rsidRPr="001C5AC3">
              <w:rPr>
                <w:rFonts w:ascii="Arial" w:hAnsi="Arial" w:cs="Arial"/>
              </w:rPr>
              <w:t>Informe</w:t>
            </w:r>
          </w:p>
        </w:tc>
        <w:tc>
          <w:tcPr>
            <w:tcW w:w="820" w:type="dxa"/>
            <w:vAlign w:val="center"/>
          </w:tcPr>
          <w:p w14:paraId="6310FB0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1D7B300F"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19EF743C"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124AF1E6" w14:textId="2C71ECD7" w:rsidR="00BA4A16" w:rsidRPr="00634AD8" w:rsidRDefault="008E6B62" w:rsidP="008E6B62">
            <w:pPr>
              <w:jc w:val="center"/>
              <w:rPr>
                <w:rFonts w:ascii="Arial" w:hAnsi="Arial" w:cs="Arial"/>
                <w:sz w:val="20"/>
              </w:rPr>
            </w:pPr>
            <w:r w:rsidRPr="00634AD8">
              <w:rPr>
                <w:rFonts w:ascii="Arial" w:hAnsi="Arial" w:cs="Arial"/>
                <w:sz w:val="20"/>
              </w:rPr>
              <w:t>0</w:t>
            </w:r>
          </w:p>
        </w:tc>
        <w:tc>
          <w:tcPr>
            <w:tcW w:w="1440" w:type="dxa"/>
            <w:vAlign w:val="center"/>
          </w:tcPr>
          <w:p w14:paraId="602EBEB3"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7C56B111" w14:textId="2997C362" w:rsidR="00BA4A16" w:rsidRPr="00634AD8" w:rsidRDefault="008E6B62" w:rsidP="008E6B62">
            <w:pPr>
              <w:jc w:val="center"/>
              <w:rPr>
                <w:rFonts w:ascii="Arial" w:hAnsi="Arial" w:cs="Arial"/>
                <w:sz w:val="20"/>
              </w:rPr>
            </w:pPr>
            <w:r w:rsidRPr="00634AD8">
              <w:rPr>
                <w:rFonts w:ascii="Arial" w:hAnsi="Arial" w:cs="Arial"/>
                <w:sz w:val="20"/>
              </w:rPr>
              <w:t>67.200</w:t>
            </w:r>
          </w:p>
        </w:tc>
        <w:tc>
          <w:tcPr>
            <w:tcW w:w="1710" w:type="dxa"/>
            <w:vAlign w:val="center"/>
          </w:tcPr>
          <w:p w14:paraId="24D3C36D" w14:textId="3E2F40D2" w:rsidR="00BA4A16" w:rsidRPr="00634AD8" w:rsidRDefault="00BA4A16" w:rsidP="008E6B62">
            <w:pPr>
              <w:jc w:val="center"/>
              <w:rPr>
                <w:rFonts w:ascii="Arial" w:hAnsi="Arial" w:cs="Arial"/>
                <w:sz w:val="20"/>
              </w:rPr>
            </w:pPr>
            <w:r w:rsidRPr="00634AD8">
              <w:rPr>
                <w:rFonts w:ascii="Arial" w:hAnsi="Arial" w:cs="Arial"/>
                <w:sz w:val="20"/>
              </w:rPr>
              <w:t>67.200</w:t>
            </w:r>
          </w:p>
        </w:tc>
      </w:tr>
      <w:tr w:rsidR="008E6B62" w:rsidRPr="00FD7A39" w14:paraId="59FF7D15" w14:textId="77777777" w:rsidTr="006A6339">
        <w:trPr>
          <w:jc w:val="center"/>
        </w:trPr>
        <w:tc>
          <w:tcPr>
            <w:tcW w:w="3785" w:type="dxa"/>
            <w:vAlign w:val="center"/>
          </w:tcPr>
          <w:p w14:paraId="56481665" w14:textId="50006E50" w:rsidR="008E6B62" w:rsidRPr="00634AD8" w:rsidRDefault="008E6B62" w:rsidP="00266E44">
            <w:pPr>
              <w:pStyle w:val="ListParagraph"/>
              <w:numPr>
                <w:ilvl w:val="0"/>
                <w:numId w:val="48"/>
              </w:numPr>
              <w:ind w:left="691"/>
              <w:rPr>
                <w:rFonts w:ascii="Arial" w:hAnsi="Arial" w:cs="Arial"/>
                <w:sz w:val="20"/>
                <w:lang w:val="es-ES"/>
              </w:rPr>
            </w:pPr>
            <w:r w:rsidRPr="00634AD8">
              <w:rPr>
                <w:rFonts w:ascii="Arial" w:hAnsi="Arial" w:cs="Arial"/>
                <w:sz w:val="20"/>
                <w:lang w:val="es-ES"/>
              </w:rPr>
              <w:t>Reglamento de la LOEP elaborado</w:t>
            </w:r>
          </w:p>
        </w:tc>
        <w:tc>
          <w:tcPr>
            <w:tcW w:w="1340" w:type="dxa"/>
            <w:vAlign w:val="center"/>
          </w:tcPr>
          <w:p w14:paraId="26900420" w14:textId="495C33FB" w:rsidR="008E6B62" w:rsidRPr="001C5AC3" w:rsidRDefault="008E6B62" w:rsidP="008E6B62">
            <w:pPr>
              <w:pStyle w:val="FootnoteText"/>
              <w:jc w:val="center"/>
              <w:rPr>
                <w:rFonts w:ascii="Arial" w:hAnsi="Arial" w:cs="Arial"/>
                <w:spacing w:val="-2"/>
              </w:rPr>
            </w:pPr>
            <w:r w:rsidRPr="001C5AC3">
              <w:rPr>
                <w:rFonts w:ascii="Arial" w:hAnsi="Arial" w:cs="Arial"/>
                <w:spacing w:val="-2"/>
              </w:rPr>
              <w:t>Reglamento</w:t>
            </w:r>
          </w:p>
        </w:tc>
        <w:tc>
          <w:tcPr>
            <w:tcW w:w="820" w:type="dxa"/>
            <w:vAlign w:val="center"/>
          </w:tcPr>
          <w:p w14:paraId="7DFAF485" w14:textId="03EA25C3" w:rsidR="008E6B62" w:rsidRPr="00634AD8" w:rsidRDefault="008E6B62" w:rsidP="008E6B62">
            <w:pPr>
              <w:jc w:val="center"/>
              <w:rPr>
                <w:rFonts w:ascii="Arial" w:hAnsi="Arial" w:cs="Arial"/>
                <w:sz w:val="20"/>
              </w:rPr>
            </w:pPr>
            <w:r w:rsidRPr="00634AD8">
              <w:rPr>
                <w:rFonts w:ascii="Arial" w:hAnsi="Arial" w:cs="Arial"/>
                <w:sz w:val="20"/>
              </w:rPr>
              <w:t>0</w:t>
            </w:r>
          </w:p>
        </w:tc>
        <w:tc>
          <w:tcPr>
            <w:tcW w:w="960" w:type="dxa"/>
            <w:vAlign w:val="center"/>
          </w:tcPr>
          <w:p w14:paraId="1F839BAA" w14:textId="48B75B71" w:rsidR="008E6B62" w:rsidRPr="00634AD8" w:rsidRDefault="008E6B62" w:rsidP="008E6B62">
            <w:pPr>
              <w:jc w:val="center"/>
              <w:rPr>
                <w:rFonts w:ascii="Arial" w:hAnsi="Arial" w:cs="Arial"/>
                <w:sz w:val="20"/>
              </w:rPr>
            </w:pPr>
            <w:r w:rsidRPr="00634AD8">
              <w:rPr>
                <w:rFonts w:ascii="Arial" w:hAnsi="Arial" w:cs="Arial"/>
                <w:sz w:val="20"/>
              </w:rPr>
              <w:t>2018</w:t>
            </w:r>
          </w:p>
        </w:tc>
        <w:tc>
          <w:tcPr>
            <w:tcW w:w="1005" w:type="dxa"/>
            <w:vAlign w:val="center"/>
          </w:tcPr>
          <w:p w14:paraId="16F77A4A" w14:textId="3D3BE155" w:rsidR="008E6B62" w:rsidRPr="00634AD8" w:rsidRDefault="008E6B62" w:rsidP="008E6B62">
            <w:pPr>
              <w:jc w:val="center"/>
              <w:rPr>
                <w:rFonts w:ascii="Arial" w:hAnsi="Arial" w:cs="Arial"/>
                <w:sz w:val="20"/>
              </w:rPr>
            </w:pPr>
            <w:r w:rsidRPr="00634AD8">
              <w:rPr>
                <w:rFonts w:ascii="Arial" w:hAnsi="Arial" w:cs="Arial"/>
                <w:sz w:val="20"/>
              </w:rPr>
              <w:t>0</w:t>
            </w:r>
          </w:p>
        </w:tc>
        <w:tc>
          <w:tcPr>
            <w:tcW w:w="990" w:type="dxa"/>
            <w:vAlign w:val="center"/>
          </w:tcPr>
          <w:p w14:paraId="2F1B1ED5" w14:textId="35D6974D" w:rsidR="008E6B62" w:rsidRPr="00634AD8" w:rsidRDefault="008E6B62" w:rsidP="008E6B62">
            <w:pPr>
              <w:jc w:val="center"/>
              <w:rPr>
                <w:rFonts w:ascii="Arial" w:hAnsi="Arial" w:cs="Arial"/>
                <w:sz w:val="20"/>
              </w:rPr>
            </w:pPr>
            <w:r w:rsidRPr="00634AD8">
              <w:rPr>
                <w:rFonts w:ascii="Arial" w:hAnsi="Arial" w:cs="Arial"/>
                <w:sz w:val="20"/>
              </w:rPr>
              <w:t>43.825</w:t>
            </w:r>
          </w:p>
        </w:tc>
        <w:tc>
          <w:tcPr>
            <w:tcW w:w="1440" w:type="dxa"/>
            <w:vAlign w:val="center"/>
          </w:tcPr>
          <w:p w14:paraId="3E7AA2D4" w14:textId="373F4023" w:rsidR="008E6B62" w:rsidRPr="00634AD8" w:rsidRDefault="008E6B62" w:rsidP="008E6B62">
            <w:pPr>
              <w:jc w:val="center"/>
              <w:rPr>
                <w:rFonts w:ascii="Arial" w:hAnsi="Arial" w:cs="Arial"/>
                <w:sz w:val="20"/>
              </w:rPr>
            </w:pPr>
            <w:r w:rsidRPr="00634AD8">
              <w:rPr>
                <w:rFonts w:ascii="Arial" w:hAnsi="Arial" w:cs="Arial"/>
                <w:sz w:val="20"/>
              </w:rPr>
              <w:t>0</w:t>
            </w:r>
          </w:p>
        </w:tc>
        <w:tc>
          <w:tcPr>
            <w:tcW w:w="1969" w:type="dxa"/>
            <w:vAlign w:val="center"/>
          </w:tcPr>
          <w:p w14:paraId="01C56381" w14:textId="108C48BF" w:rsidR="008E6B62" w:rsidRPr="00634AD8" w:rsidRDefault="008E6B62" w:rsidP="008E6B62">
            <w:pPr>
              <w:jc w:val="center"/>
              <w:rPr>
                <w:rFonts w:ascii="Arial" w:hAnsi="Arial" w:cs="Arial"/>
                <w:sz w:val="20"/>
              </w:rPr>
            </w:pPr>
            <w:r w:rsidRPr="00634AD8">
              <w:rPr>
                <w:rFonts w:ascii="Arial" w:hAnsi="Arial" w:cs="Arial"/>
                <w:sz w:val="20"/>
              </w:rPr>
              <w:t>0</w:t>
            </w:r>
          </w:p>
        </w:tc>
        <w:tc>
          <w:tcPr>
            <w:tcW w:w="1710" w:type="dxa"/>
          </w:tcPr>
          <w:p w14:paraId="4C8EC32D" w14:textId="69C9303D" w:rsidR="008E6B62" w:rsidRPr="00634AD8" w:rsidRDefault="008E6B62" w:rsidP="008E6B62">
            <w:pPr>
              <w:jc w:val="center"/>
              <w:rPr>
                <w:rFonts w:ascii="Arial" w:hAnsi="Arial" w:cs="Arial"/>
                <w:sz w:val="20"/>
              </w:rPr>
            </w:pPr>
            <w:r w:rsidRPr="00634AD8">
              <w:rPr>
                <w:rFonts w:ascii="Arial" w:hAnsi="Arial" w:cs="Arial"/>
                <w:sz w:val="20"/>
              </w:rPr>
              <w:t>43.8</w:t>
            </w:r>
            <w:r w:rsidR="001C5EE6" w:rsidRPr="00634AD8">
              <w:rPr>
                <w:rFonts w:ascii="Arial" w:hAnsi="Arial" w:cs="Arial"/>
                <w:sz w:val="20"/>
              </w:rPr>
              <w:t>59</w:t>
            </w:r>
          </w:p>
          <w:p w14:paraId="0C870017" w14:textId="213D6D17" w:rsidR="001C5EE6" w:rsidRPr="00634AD8" w:rsidRDefault="001C5EE6" w:rsidP="008E6B62">
            <w:pPr>
              <w:jc w:val="center"/>
              <w:rPr>
                <w:rFonts w:ascii="Arial" w:hAnsi="Arial" w:cs="Arial"/>
                <w:sz w:val="20"/>
              </w:rPr>
            </w:pPr>
          </w:p>
        </w:tc>
      </w:tr>
      <w:tr w:rsidR="008E6B62" w:rsidRPr="00FD7A39" w14:paraId="7E88F0A2" w14:textId="77777777" w:rsidTr="006A6339">
        <w:trPr>
          <w:trHeight w:val="646"/>
          <w:jc w:val="center"/>
        </w:trPr>
        <w:tc>
          <w:tcPr>
            <w:tcW w:w="3785" w:type="dxa"/>
            <w:vAlign w:val="center"/>
          </w:tcPr>
          <w:p w14:paraId="5D4C4B04" w14:textId="0957F93D" w:rsidR="008E6B62" w:rsidRPr="00634AD8" w:rsidRDefault="008E6B62" w:rsidP="00266E44">
            <w:pPr>
              <w:pStyle w:val="ListParagraph"/>
              <w:numPr>
                <w:ilvl w:val="0"/>
                <w:numId w:val="48"/>
              </w:numPr>
              <w:ind w:left="691"/>
              <w:rPr>
                <w:rFonts w:ascii="Arial" w:eastAsia="Calibri" w:hAnsi="Arial" w:cs="Arial"/>
                <w:sz w:val="20"/>
                <w:lang w:val="es-ES"/>
              </w:rPr>
            </w:pPr>
            <w:r w:rsidRPr="00634AD8">
              <w:rPr>
                <w:rFonts w:ascii="Arial" w:hAnsi="Arial" w:cs="Arial"/>
                <w:sz w:val="20"/>
                <w:lang w:val="es-ES"/>
              </w:rPr>
              <w:t>Informe de</w:t>
            </w:r>
            <w:r w:rsidR="00B72A02" w:rsidRPr="00634AD8">
              <w:rPr>
                <w:rFonts w:ascii="Arial" w:hAnsi="Arial" w:cs="Arial"/>
                <w:sz w:val="20"/>
                <w:lang w:val="es-ES"/>
              </w:rPr>
              <w:t xml:space="preserve"> supervisión de reformas de la LOEP implementadas y</w:t>
            </w:r>
            <w:r w:rsidRPr="00634AD8">
              <w:rPr>
                <w:rFonts w:ascii="Arial" w:hAnsi="Arial" w:cs="Arial"/>
                <w:sz w:val="20"/>
                <w:lang w:val="es-ES"/>
              </w:rPr>
              <w:t xml:space="preserve"> normativa técnica elaborado</w:t>
            </w:r>
          </w:p>
        </w:tc>
        <w:tc>
          <w:tcPr>
            <w:tcW w:w="1340" w:type="dxa"/>
            <w:vAlign w:val="center"/>
          </w:tcPr>
          <w:p w14:paraId="52E6AEEB" w14:textId="77777777" w:rsidR="008E6B62" w:rsidRPr="00634AD8" w:rsidRDefault="008E6B62" w:rsidP="008E6B62">
            <w:pPr>
              <w:pStyle w:val="FootnoteText"/>
              <w:jc w:val="center"/>
              <w:rPr>
                <w:rFonts w:ascii="Arial" w:hAnsi="Arial" w:cs="Arial"/>
                <w:spacing w:val="-2"/>
              </w:rPr>
            </w:pPr>
            <w:r w:rsidRPr="001C5AC3">
              <w:rPr>
                <w:rFonts w:ascii="Arial" w:hAnsi="Arial" w:cs="Arial"/>
                <w:spacing w:val="-2"/>
              </w:rPr>
              <w:t>Informe</w:t>
            </w:r>
          </w:p>
        </w:tc>
        <w:tc>
          <w:tcPr>
            <w:tcW w:w="820" w:type="dxa"/>
            <w:vAlign w:val="center"/>
          </w:tcPr>
          <w:p w14:paraId="76D15EBC" w14:textId="77777777" w:rsidR="008E6B62" w:rsidRPr="00634AD8" w:rsidRDefault="008E6B62" w:rsidP="008E6B62">
            <w:pPr>
              <w:jc w:val="center"/>
              <w:rPr>
                <w:rFonts w:ascii="Arial" w:hAnsi="Arial" w:cs="Arial"/>
                <w:sz w:val="20"/>
              </w:rPr>
            </w:pPr>
            <w:r w:rsidRPr="00634AD8">
              <w:rPr>
                <w:rFonts w:ascii="Arial" w:hAnsi="Arial" w:cs="Arial"/>
                <w:sz w:val="20"/>
              </w:rPr>
              <w:t>0</w:t>
            </w:r>
          </w:p>
        </w:tc>
        <w:tc>
          <w:tcPr>
            <w:tcW w:w="960" w:type="dxa"/>
            <w:vAlign w:val="center"/>
          </w:tcPr>
          <w:p w14:paraId="592C4BAE" w14:textId="77777777" w:rsidR="008E6B62" w:rsidRPr="00634AD8" w:rsidRDefault="008E6B62" w:rsidP="008E6B62">
            <w:pPr>
              <w:jc w:val="center"/>
              <w:rPr>
                <w:rFonts w:ascii="Arial" w:hAnsi="Arial" w:cs="Arial"/>
                <w:sz w:val="20"/>
              </w:rPr>
            </w:pPr>
            <w:r w:rsidRPr="00634AD8">
              <w:rPr>
                <w:rFonts w:ascii="Arial" w:hAnsi="Arial" w:cs="Arial"/>
                <w:sz w:val="20"/>
              </w:rPr>
              <w:t>2018</w:t>
            </w:r>
          </w:p>
        </w:tc>
        <w:tc>
          <w:tcPr>
            <w:tcW w:w="1005" w:type="dxa"/>
            <w:vAlign w:val="center"/>
          </w:tcPr>
          <w:p w14:paraId="136035F2" w14:textId="77777777" w:rsidR="008E6B62" w:rsidRPr="00634AD8" w:rsidRDefault="008E6B62" w:rsidP="008E6B62">
            <w:pPr>
              <w:jc w:val="center"/>
              <w:rPr>
                <w:rFonts w:ascii="Arial" w:hAnsi="Arial" w:cs="Arial"/>
                <w:sz w:val="20"/>
              </w:rPr>
            </w:pPr>
            <w:r w:rsidRPr="00634AD8">
              <w:rPr>
                <w:rFonts w:ascii="Arial" w:hAnsi="Arial" w:cs="Arial"/>
                <w:sz w:val="20"/>
              </w:rPr>
              <w:t>0</w:t>
            </w:r>
          </w:p>
        </w:tc>
        <w:tc>
          <w:tcPr>
            <w:tcW w:w="990" w:type="dxa"/>
            <w:vAlign w:val="center"/>
          </w:tcPr>
          <w:p w14:paraId="6D022F52" w14:textId="7F4F8219" w:rsidR="008E6B62" w:rsidRPr="00634AD8" w:rsidRDefault="00B72A02" w:rsidP="008E6B62">
            <w:pPr>
              <w:jc w:val="center"/>
              <w:rPr>
                <w:rFonts w:ascii="Arial" w:hAnsi="Arial" w:cs="Arial"/>
                <w:sz w:val="20"/>
              </w:rPr>
            </w:pPr>
            <w:r w:rsidRPr="00634AD8">
              <w:rPr>
                <w:rFonts w:ascii="Arial" w:hAnsi="Arial" w:cs="Arial"/>
                <w:sz w:val="20"/>
              </w:rPr>
              <w:t>0</w:t>
            </w:r>
          </w:p>
        </w:tc>
        <w:tc>
          <w:tcPr>
            <w:tcW w:w="1440" w:type="dxa"/>
            <w:vAlign w:val="center"/>
          </w:tcPr>
          <w:p w14:paraId="07DE55A7" w14:textId="77777777" w:rsidR="008E6B62" w:rsidRPr="00634AD8" w:rsidRDefault="008E6B62" w:rsidP="008E6B62">
            <w:pPr>
              <w:jc w:val="center"/>
              <w:rPr>
                <w:rFonts w:ascii="Arial" w:hAnsi="Arial" w:cs="Arial"/>
                <w:sz w:val="20"/>
              </w:rPr>
            </w:pPr>
            <w:r w:rsidRPr="00634AD8">
              <w:rPr>
                <w:rFonts w:ascii="Arial" w:hAnsi="Arial" w:cs="Arial"/>
                <w:sz w:val="20"/>
              </w:rPr>
              <w:t>0</w:t>
            </w:r>
          </w:p>
        </w:tc>
        <w:tc>
          <w:tcPr>
            <w:tcW w:w="1969" w:type="dxa"/>
            <w:vAlign w:val="center"/>
          </w:tcPr>
          <w:p w14:paraId="77889AB1" w14:textId="105BF4F6" w:rsidR="008E6B62" w:rsidRPr="00634AD8" w:rsidRDefault="00B72A02" w:rsidP="008E6B62">
            <w:pPr>
              <w:jc w:val="center"/>
              <w:rPr>
                <w:rFonts w:ascii="Arial" w:hAnsi="Arial" w:cs="Arial"/>
                <w:sz w:val="20"/>
              </w:rPr>
            </w:pPr>
            <w:r w:rsidRPr="00634AD8">
              <w:rPr>
                <w:rFonts w:ascii="Arial" w:hAnsi="Arial" w:cs="Arial"/>
                <w:sz w:val="20"/>
              </w:rPr>
              <w:t>536.310</w:t>
            </w:r>
          </w:p>
        </w:tc>
        <w:tc>
          <w:tcPr>
            <w:tcW w:w="1710" w:type="dxa"/>
          </w:tcPr>
          <w:p w14:paraId="4EA36CE3" w14:textId="1E9D3760" w:rsidR="008E6B62" w:rsidRPr="00634AD8" w:rsidRDefault="008E6B62" w:rsidP="008E6B62">
            <w:pPr>
              <w:jc w:val="center"/>
              <w:rPr>
                <w:rFonts w:ascii="Arial" w:hAnsi="Arial" w:cs="Arial"/>
                <w:sz w:val="20"/>
              </w:rPr>
            </w:pPr>
            <w:r w:rsidRPr="00634AD8">
              <w:rPr>
                <w:rFonts w:ascii="Arial" w:hAnsi="Arial" w:cs="Arial"/>
                <w:sz w:val="20"/>
              </w:rPr>
              <w:t>5</w:t>
            </w:r>
            <w:r w:rsidR="001C5EE6" w:rsidRPr="00634AD8">
              <w:rPr>
                <w:rFonts w:ascii="Arial" w:hAnsi="Arial" w:cs="Arial"/>
                <w:sz w:val="20"/>
              </w:rPr>
              <w:t>2</w:t>
            </w:r>
            <w:r w:rsidRPr="00634AD8">
              <w:rPr>
                <w:rFonts w:ascii="Arial" w:hAnsi="Arial" w:cs="Arial"/>
                <w:sz w:val="20"/>
              </w:rPr>
              <w:t>6.310</w:t>
            </w:r>
          </w:p>
        </w:tc>
      </w:tr>
      <w:tr w:rsidR="00133FB3" w:rsidRPr="00FD7A39" w14:paraId="1CD94BC6" w14:textId="77777777" w:rsidTr="00074E94">
        <w:trPr>
          <w:jc w:val="center"/>
        </w:trPr>
        <w:tc>
          <w:tcPr>
            <w:tcW w:w="3785" w:type="dxa"/>
            <w:vAlign w:val="center"/>
          </w:tcPr>
          <w:p w14:paraId="668471A8" w14:textId="77777777" w:rsidR="00133FB3" w:rsidRPr="00634AD8" w:rsidRDefault="00133FB3" w:rsidP="00133FB3">
            <w:pPr>
              <w:pStyle w:val="ListParagraph"/>
              <w:numPr>
                <w:ilvl w:val="0"/>
                <w:numId w:val="48"/>
              </w:numPr>
              <w:ind w:left="691"/>
              <w:rPr>
                <w:rFonts w:ascii="Arial" w:eastAsia="Calibri" w:hAnsi="Arial" w:cs="Arial"/>
                <w:sz w:val="20"/>
                <w:lang w:val="es-ES"/>
              </w:rPr>
            </w:pPr>
            <w:r w:rsidRPr="00634AD8">
              <w:rPr>
                <w:rFonts w:ascii="Arial" w:hAnsi="Arial" w:cs="Arial"/>
                <w:sz w:val="20"/>
                <w:lang w:val="es-ES"/>
              </w:rPr>
              <w:lastRenderedPageBreak/>
              <w:t>Funcionarios públicos y empleados de EEPP capacitados en lineamientos de gobernanza corporativa de la OCDE y reformas de la LOEP</w:t>
            </w:r>
          </w:p>
        </w:tc>
        <w:tc>
          <w:tcPr>
            <w:tcW w:w="1340" w:type="dxa"/>
            <w:vAlign w:val="center"/>
          </w:tcPr>
          <w:p w14:paraId="02092F26" w14:textId="77777777" w:rsidR="00133FB3" w:rsidRPr="00634AD8" w:rsidRDefault="00133FB3" w:rsidP="00133FB3">
            <w:pPr>
              <w:pStyle w:val="FootnoteText"/>
              <w:jc w:val="center"/>
              <w:rPr>
                <w:rFonts w:ascii="Arial" w:hAnsi="Arial" w:cs="Arial"/>
                <w:spacing w:val="-2"/>
              </w:rPr>
            </w:pPr>
            <w:r w:rsidRPr="001C5AC3">
              <w:rPr>
                <w:rFonts w:ascii="Arial" w:hAnsi="Arial" w:cs="Arial"/>
              </w:rPr>
              <w:t>Funcionarios</w:t>
            </w:r>
          </w:p>
        </w:tc>
        <w:tc>
          <w:tcPr>
            <w:tcW w:w="820" w:type="dxa"/>
            <w:vAlign w:val="center"/>
          </w:tcPr>
          <w:p w14:paraId="3562749C" w14:textId="77777777" w:rsidR="00133FB3" w:rsidRPr="00634AD8" w:rsidRDefault="00133FB3" w:rsidP="00133FB3">
            <w:pPr>
              <w:jc w:val="center"/>
              <w:rPr>
                <w:rFonts w:ascii="Arial" w:hAnsi="Arial" w:cs="Arial"/>
                <w:sz w:val="20"/>
              </w:rPr>
            </w:pPr>
            <w:r w:rsidRPr="00634AD8">
              <w:rPr>
                <w:rFonts w:ascii="Arial" w:hAnsi="Arial" w:cs="Arial"/>
                <w:sz w:val="20"/>
              </w:rPr>
              <w:t>0</w:t>
            </w:r>
          </w:p>
        </w:tc>
        <w:tc>
          <w:tcPr>
            <w:tcW w:w="960" w:type="dxa"/>
            <w:vAlign w:val="center"/>
          </w:tcPr>
          <w:p w14:paraId="1D205A2B" w14:textId="77777777" w:rsidR="00133FB3" w:rsidRPr="00634AD8" w:rsidRDefault="00133FB3" w:rsidP="00133FB3">
            <w:pPr>
              <w:jc w:val="center"/>
              <w:rPr>
                <w:rFonts w:ascii="Arial" w:hAnsi="Arial" w:cs="Arial"/>
                <w:sz w:val="20"/>
              </w:rPr>
            </w:pPr>
            <w:r w:rsidRPr="00634AD8">
              <w:rPr>
                <w:rFonts w:ascii="Arial" w:hAnsi="Arial" w:cs="Arial"/>
                <w:sz w:val="20"/>
              </w:rPr>
              <w:t>2018</w:t>
            </w:r>
          </w:p>
        </w:tc>
        <w:tc>
          <w:tcPr>
            <w:tcW w:w="1005" w:type="dxa"/>
            <w:vAlign w:val="center"/>
          </w:tcPr>
          <w:p w14:paraId="7D2FF7C3" w14:textId="10622B34" w:rsidR="00133FB3" w:rsidRPr="00634AD8" w:rsidRDefault="00133FB3" w:rsidP="00133FB3">
            <w:pPr>
              <w:jc w:val="center"/>
              <w:rPr>
                <w:rFonts w:ascii="Arial" w:hAnsi="Arial" w:cs="Arial"/>
                <w:sz w:val="20"/>
              </w:rPr>
            </w:pPr>
            <w:r w:rsidRPr="00634AD8">
              <w:rPr>
                <w:rFonts w:ascii="Arial" w:hAnsi="Arial" w:cs="Arial"/>
                <w:sz w:val="20"/>
              </w:rPr>
              <w:t>0</w:t>
            </w:r>
          </w:p>
        </w:tc>
        <w:tc>
          <w:tcPr>
            <w:tcW w:w="990" w:type="dxa"/>
          </w:tcPr>
          <w:p w14:paraId="3440F35E" w14:textId="540AB203" w:rsidR="00133FB3" w:rsidRPr="00634AD8" w:rsidRDefault="00133FB3" w:rsidP="00133FB3">
            <w:pPr>
              <w:jc w:val="center"/>
              <w:rPr>
                <w:rFonts w:ascii="Arial" w:hAnsi="Arial" w:cs="Arial"/>
                <w:sz w:val="20"/>
              </w:rPr>
            </w:pPr>
            <w:r>
              <w:rPr>
                <w:rFonts w:ascii="Arial" w:hAnsi="Arial" w:cs="Arial"/>
                <w:sz w:val="20"/>
              </w:rPr>
              <w:t>33</w:t>
            </w:r>
            <w:r w:rsidRPr="00EC4400">
              <w:rPr>
                <w:rFonts w:ascii="Arial" w:hAnsi="Arial" w:cs="Arial"/>
                <w:sz w:val="20"/>
              </w:rPr>
              <w:t>.</w:t>
            </w:r>
            <w:r>
              <w:rPr>
                <w:rFonts w:ascii="Arial" w:hAnsi="Arial" w:cs="Arial"/>
                <w:sz w:val="20"/>
              </w:rPr>
              <w:t>6</w:t>
            </w:r>
            <w:r w:rsidRPr="00EC4400">
              <w:rPr>
                <w:rFonts w:ascii="Arial" w:hAnsi="Arial" w:cs="Arial"/>
                <w:sz w:val="20"/>
              </w:rPr>
              <w:t>00</w:t>
            </w:r>
          </w:p>
        </w:tc>
        <w:tc>
          <w:tcPr>
            <w:tcW w:w="1440" w:type="dxa"/>
          </w:tcPr>
          <w:p w14:paraId="3AC53CFB" w14:textId="395C119B" w:rsidR="00133FB3" w:rsidRPr="00634AD8" w:rsidRDefault="00133FB3" w:rsidP="00133FB3">
            <w:pPr>
              <w:jc w:val="center"/>
              <w:rPr>
                <w:rFonts w:ascii="Arial" w:hAnsi="Arial" w:cs="Arial"/>
                <w:sz w:val="20"/>
              </w:rPr>
            </w:pPr>
            <w:r>
              <w:rPr>
                <w:rFonts w:ascii="Arial" w:hAnsi="Arial" w:cs="Arial"/>
                <w:sz w:val="20"/>
              </w:rPr>
              <w:t>1</w:t>
            </w:r>
            <w:r w:rsidRPr="00EC4400">
              <w:rPr>
                <w:rFonts w:ascii="Arial" w:hAnsi="Arial" w:cs="Arial"/>
                <w:sz w:val="20"/>
              </w:rPr>
              <w:t>6.</w:t>
            </w:r>
            <w:r>
              <w:rPr>
                <w:rFonts w:ascii="Arial" w:hAnsi="Arial" w:cs="Arial"/>
                <w:sz w:val="20"/>
              </w:rPr>
              <w:t>8</w:t>
            </w:r>
            <w:r w:rsidRPr="00EC4400">
              <w:rPr>
                <w:rFonts w:ascii="Arial" w:hAnsi="Arial" w:cs="Arial"/>
                <w:sz w:val="20"/>
              </w:rPr>
              <w:t>00</w:t>
            </w:r>
          </w:p>
        </w:tc>
        <w:tc>
          <w:tcPr>
            <w:tcW w:w="1969" w:type="dxa"/>
            <w:vAlign w:val="center"/>
          </w:tcPr>
          <w:p w14:paraId="3BC14F3D" w14:textId="7FD464D0" w:rsidR="00133FB3" w:rsidRPr="00634AD8" w:rsidRDefault="00133FB3" w:rsidP="00133FB3">
            <w:pPr>
              <w:jc w:val="center"/>
              <w:rPr>
                <w:rFonts w:ascii="Arial" w:hAnsi="Arial" w:cs="Arial"/>
                <w:sz w:val="20"/>
              </w:rPr>
            </w:pPr>
            <w:r>
              <w:rPr>
                <w:rFonts w:ascii="Arial" w:hAnsi="Arial" w:cs="Arial"/>
                <w:sz w:val="20"/>
              </w:rPr>
              <w:t>1</w:t>
            </w:r>
            <w:r w:rsidRPr="00634AD8">
              <w:rPr>
                <w:rFonts w:ascii="Arial" w:hAnsi="Arial" w:cs="Arial"/>
                <w:sz w:val="20"/>
              </w:rPr>
              <w:t>6.</w:t>
            </w:r>
            <w:r>
              <w:rPr>
                <w:rFonts w:ascii="Arial" w:hAnsi="Arial" w:cs="Arial"/>
                <w:sz w:val="20"/>
              </w:rPr>
              <w:t>8</w:t>
            </w:r>
            <w:r w:rsidRPr="00634AD8">
              <w:rPr>
                <w:rFonts w:ascii="Arial" w:hAnsi="Arial" w:cs="Arial"/>
                <w:sz w:val="20"/>
              </w:rPr>
              <w:t>00</w:t>
            </w:r>
          </w:p>
        </w:tc>
        <w:tc>
          <w:tcPr>
            <w:tcW w:w="1710" w:type="dxa"/>
            <w:vAlign w:val="center"/>
          </w:tcPr>
          <w:p w14:paraId="020999C7" w14:textId="2C61ED7B" w:rsidR="00133FB3" w:rsidRPr="00634AD8" w:rsidRDefault="00133FB3" w:rsidP="00133FB3">
            <w:pPr>
              <w:jc w:val="center"/>
              <w:rPr>
                <w:rFonts w:ascii="Arial" w:hAnsi="Arial" w:cs="Arial"/>
                <w:sz w:val="20"/>
              </w:rPr>
            </w:pPr>
            <w:r w:rsidRPr="00634AD8">
              <w:rPr>
                <w:rFonts w:ascii="Arial" w:hAnsi="Arial" w:cs="Arial"/>
                <w:sz w:val="20"/>
              </w:rPr>
              <w:t>67.200</w:t>
            </w:r>
          </w:p>
        </w:tc>
      </w:tr>
      <w:tr w:rsidR="00B81429" w:rsidRPr="00FD7A39" w14:paraId="0ED92701" w14:textId="77777777" w:rsidTr="006A6339">
        <w:trPr>
          <w:jc w:val="center"/>
        </w:trPr>
        <w:tc>
          <w:tcPr>
            <w:tcW w:w="3785" w:type="dxa"/>
            <w:vAlign w:val="center"/>
          </w:tcPr>
          <w:p w14:paraId="675919CC" w14:textId="72EB3A93" w:rsidR="00B81429" w:rsidRPr="00B81429" w:rsidRDefault="00B81429" w:rsidP="00266E44">
            <w:pPr>
              <w:pStyle w:val="ListParagraph"/>
              <w:numPr>
                <w:ilvl w:val="0"/>
                <w:numId w:val="47"/>
              </w:numPr>
              <w:ind w:left="511" w:hanging="270"/>
              <w:rPr>
                <w:rFonts w:ascii="Arial" w:hAnsi="Arial" w:cs="Arial"/>
                <w:sz w:val="20"/>
                <w:lang w:val="es-ES"/>
              </w:rPr>
            </w:pPr>
            <w:r>
              <w:rPr>
                <w:rFonts w:ascii="Arial" w:hAnsi="Arial" w:cs="Arial"/>
                <w:sz w:val="20"/>
                <w:lang w:val="es-ES"/>
              </w:rPr>
              <w:t>Régimen de gobernanza fiscal</w:t>
            </w:r>
          </w:p>
        </w:tc>
        <w:tc>
          <w:tcPr>
            <w:tcW w:w="1340" w:type="dxa"/>
            <w:vAlign w:val="center"/>
          </w:tcPr>
          <w:p w14:paraId="603F8511" w14:textId="77777777" w:rsidR="00B81429" w:rsidRPr="00634AD8" w:rsidRDefault="00B81429" w:rsidP="008E6B62">
            <w:pPr>
              <w:ind w:left="-110" w:right="-80"/>
              <w:jc w:val="center"/>
              <w:rPr>
                <w:rFonts w:ascii="Arial" w:hAnsi="Arial" w:cs="Arial"/>
                <w:spacing w:val="-2"/>
                <w:sz w:val="20"/>
              </w:rPr>
            </w:pPr>
          </w:p>
        </w:tc>
        <w:tc>
          <w:tcPr>
            <w:tcW w:w="820" w:type="dxa"/>
            <w:vAlign w:val="center"/>
          </w:tcPr>
          <w:p w14:paraId="7FE0D4D5" w14:textId="77777777" w:rsidR="00B81429" w:rsidRPr="00634AD8" w:rsidRDefault="00B81429" w:rsidP="008E6B62">
            <w:pPr>
              <w:jc w:val="center"/>
              <w:rPr>
                <w:rFonts w:ascii="Arial" w:hAnsi="Arial" w:cs="Arial"/>
                <w:sz w:val="20"/>
              </w:rPr>
            </w:pPr>
          </w:p>
        </w:tc>
        <w:tc>
          <w:tcPr>
            <w:tcW w:w="960" w:type="dxa"/>
            <w:vAlign w:val="center"/>
          </w:tcPr>
          <w:p w14:paraId="6F51F2A7" w14:textId="77777777" w:rsidR="00B81429" w:rsidRPr="00634AD8" w:rsidRDefault="00B81429" w:rsidP="008E6B62">
            <w:pPr>
              <w:jc w:val="center"/>
              <w:rPr>
                <w:rFonts w:ascii="Arial" w:hAnsi="Arial" w:cs="Arial"/>
                <w:sz w:val="20"/>
              </w:rPr>
            </w:pPr>
          </w:p>
        </w:tc>
        <w:tc>
          <w:tcPr>
            <w:tcW w:w="1005" w:type="dxa"/>
            <w:vAlign w:val="center"/>
          </w:tcPr>
          <w:p w14:paraId="35D6D380" w14:textId="77777777" w:rsidR="00B81429" w:rsidRPr="00634AD8" w:rsidRDefault="00B81429" w:rsidP="008E6B62">
            <w:pPr>
              <w:jc w:val="center"/>
              <w:rPr>
                <w:rFonts w:ascii="Arial" w:hAnsi="Arial" w:cs="Arial"/>
                <w:sz w:val="20"/>
              </w:rPr>
            </w:pPr>
          </w:p>
        </w:tc>
        <w:tc>
          <w:tcPr>
            <w:tcW w:w="990" w:type="dxa"/>
            <w:vAlign w:val="center"/>
          </w:tcPr>
          <w:p w14:paraId="0D7C9F75" w14:textId="77777777" w:rsidR="00B81429" w:rsidRPr="00634AD8" w:rsidRDefault="00B81429" w:rsidP="008E6B62">
            <w:pPr>
              <w:jc w:val="center"/>
              <w:rPr>
                <w:rFonts w:ascii="Arial" w:hAnsi="Arial" w:cs="Arial"/>
                <w:sz w:val="20"/>
              </w:rPr>
            </w:pPr>
          </w:p>
        </w:tc>
        <w:tc>
          <w:tcPr>
            <w:tcW w:w="1440" w:type="dxa"/>
            <w:vAlign w:val="center"/>
          </w:tcPr>
          <w:p w14:paraId="00FE09B3" w14:textId="77777777" w:rsidR="00B81429" w:rsidRPr="00634AD8" w:rsidRDefault="00B81429" w:rsidP="008E6B62">
            <w:pPr>
              <w:jc w:val="center"/>
              <w:rPr>
                <w:rFonts w:ascii="Arial" w:hAnsi="Arial" w:cs="Arial"/>
                <w:sz w:val="20"/>
              </w:rPr>
            </w:pPr>
          </w:p>
        </w:tc>
        <w:tc>
          <w:tcPr>
            <w:tcW w:w="1969" w:type="dxa"/>
            <w:vAlign w:val="center"/>
          </w:tcPr>
          <w:p w14:paraId="2CC6C25D" w14:textId="77777777" w:rsidR="00B81429" w:rsidRPr="00634AD8" w:rsidRDefault="00B81429" w:rsidP="008E6B62">
            <w:pPr>
              <w:jc w:val="center"/>
              <w:rPr>
                <w:rFonts w:ascii="Arial" w:hAnsi="Arial" w:cs="Arial"/>
                <w:sz w:val="20"/>
              </w:rPr>
            </w:pPr>
          </w:p>
        </w:tc>
        <w:tc>
          <w:tcPr>
            <w:tcW w:w="1710" w:type="dxa"/>
            <w:shd w:val="clear" w:color="auto" w:fill="auto"/>
            <w:vAlign w:val="center"/>
          </w:tcPr>
          <w:p w14:paraId="601B3550" w14:textId="77777777" w:rsidR="00B81429" w:rsidRPr="00634AD8" w:rsidRDefault="00B81429" w:rsidP="008E6B62">
            <w:pPr>
              <w:jc w:val="center"/>
              <w:rPr>
                <w:rFonts w:ascii="Arial" w:hAnsi="Arial" w:cs="Arial"/>
                <w:sz w:val="20"/>
              </w:rPr>
            </w:pPr>
          </w:p>
        </w:tc>
      </w:tr>
      <w:tr w:rsidR="00BA4A16" w:rsidRPr="00FD7A39" w14:paraId="12D7CA20" w14:textId="77777777" w:rsidTr="006A6339">
        <w:trPr>
          <w:jc w:val="center"/>
        </w:trPr>
        <w:tc>
          <w:tcPr>
            <w:tcW w:w="3785" w:type="dxa"/>
            <w:vAlign w:val="center"/>
          </w:tcPr>
          <w:p w14:paraId="573CA8BF" w14:textId="26625665" w:rsidR="00BA4A16" w:rsidRPr="00E769E5" w:rsidRDefault="00BA4A16" w:rsidP="00266E44">
            <w:pPr>
              <w:pStyle w:val="ListParagraph"/>
              <w:numPr>
                <w:ilvl w:val="0"/>
                <w:numId w:val="49"/>
              </w:numPr>
              <w:ind w:left="691"/>
              <w:rPr>
                <w:rFonts w:ascii="Arial" w:hAnsi="Arial" w:cs="Arial"/>
                <w:sz w:val="20"/>
                <w:lang w:val="es-ES_tradnl"/>
              </w:rPr>
            </w:pPr>
            <w:r w:rsidRPr="00E769E5">
              <w:rPr>
                <w:rFonts w:ascii="Arial" w:hAnsi="Arial" w:cs="Arial"/>
                <w:sz w:val="20"/>
                <w:lang w:val="es-ES_tradnl"/>
              </w:rPr>
              <w:t xml:space="preserve">Informe con el diseño de la función recaudadora sobre EEPP en SRI </w:t>
            </w:r>
            <w:r w:rsidRPr="00DF5241">
              <w:rPr>
                <w:rFonts w:ascii="Arial" w:hAnsi="Arial" w:cs="Arial"/>
                <w:sz w:val="20"/>
                <w:lang w:val="es-ES_tradnl"/>
              </w:rPr>
              <w:t>aprobado</w:t>
            </w:r>
            <w:r w:rsidR="00896310" w:rsidRPr="00DF5241">
              <w:rPr>
                <w:rFonts w:ascii="Arial" w:hAnsi="Arial" w:cs="Arial"/>
                <w:sz w:val="20"/>
                <w:vertAlign w:val="superscript"/>
              </w:rPr>
              <w:footnoteReference w:id="28"/>
            </w:r>
          </w:p>
        </w:tc>
        <w:tc>
          <w:tcPr>
            <w:tcW w:w="1340" w:type="dxa"/>
            <w:vAlign w:val="center"/>
          </w:tcPr>
          <w:p w14:paraId="4D227B9B" w14:textId="77777777" w:rsidR="00BA4A16" w:rsidRPr="00634AD8" w:rsidRDefault="00BA4A16" w:rsidP="008E6B62">
            <w:pPr>
              <w:ind w:left="-110" w:right="-80"/>
              <w:jc w:val="center"/>
              <w:rPr>
                <w:rFonts w:ascii="Arial" w:hAnsi="Arial" w:cs="Arial"/>
                <w:sz w:val="20"/>
              </w:rPr>
            </w:pPr>
            <w:r w:rsidRPr="00634AD8">
              <w:rPr>
                <w:rFonts w:ascii="Arial" w:hAnsi="Arial" w:cs="Arial"/>
                <w:spacing w:val="-2"/>
                <w:sz w:val="20"/>
              </w:rPr>
              <w:t>Informe</w:t>
            </w:r>
          </w:p>
        </w:tc>
        <w:tc>
          <w:tcPr>
            <w:tcW w:w="820" w:type="dxa"/>
            <w:vAlign w:val="center"/>
          </w:tcPr>
          <w:p w14:paraId="3EECC971"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1CF8CF9E"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1041928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3E9F0C60" w14:textId="0E38CF53" w:rsidR="00BA4A16" w:rsidRPr="00634AD8" w:rsidRDefault="00B72A02" w:rsidP="008E6B62">
            <w:pPr>
              <w:jc w:val="center"/>
              <w:rPr>
                <w:rFonts w:ascii="Arial" w:hAnsi="Arial" w:cs="Arial"/>
                <w:sz w:val="20"/>
              </w:rPr>
            </w:pPr>
            <w:r w:rsidRPr="00634AD8">
              <w:rPr>
                <w:rFonts w:ascii="Arial" w:hAnsi="Arial" w:cs="Arial"/>
                <w:sz w:val="20"/>
              </w:rPr>
              <w:t>0</w:t>
            </w:r>
          </w:p>
        </w:tc>
        <w:tc>
          <w:tcPr>
            <w:tcW w:w="1440" w:type="dxa"/>
            <w:vAlign w:val="center"/>
          </w:tcPr>
          <w:p w14:paraId="76AA95B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093E7B54" w14:textId="34766A43" w:rsidR="00BA4A16" w:rsidRPr="00634AD8" w:rsidRDefault="00D7507A" w:rsidP="008E6B62">
            <w:pPr>
              <w:jc w:val="center"/>
              <w:rPr>
                <w:rFonts w:ascii="Arial" w:hAnsi="Arial" w:cs="Arial"/>
                <w:sz w:val="20"/>
              </w:rPr>
            </w:pPr>
            <w:r w:rsidRPr="00634AD8">
              <w:rPr>
                <w:rFonts w:ascii="Arial" w:hAnsi="Arial" w:cs="Arial"/>
                <w:sz w:val="20"/>
              </w:rPr>
              <w:t>547.126</w:t>
            </w:r>
          </w:p>
        </w:tc>
        <w:tc>
          <w:tcPr>
            <w:tcW w:w="1710" w:type="dxa"/>
            <w:shd w:val="clear" w:color="auto" w:fill="auto"/>
            <w:vAlign w:val="center"/>
          </w:tcPr>
          <w:p w14:paraId="3D0E0415" w14:textId="07E2CDA4" w:rsidR="00BA4A16" w:rsidRPr="00634AD8" w:rsidRDefault="000725ED" w:rsidP="008E6B62">
            <w:pPr>
              <w:jc w:val="center"/>
              <w:rPr>
                <w:rFonts w:ascii="Arial" w:hAnsi="Arial" w:cs="Arial"/>
                <w:sz w:val="20"/>
              </w:rPr>
            </w:pPr>
            <w:r w:rsidRPr="00634AD8">
              <w:rPr>
                <w:rFonts w:ascii="Arial" w:hAnsi="Arial" w:cs="Arial"/>
                <w:sz w:val="20"/>
              </w:rPr>
              <w:t>547.126</w:t>
            </w:r>
          </w:p>
        </w:tc>
      </w:tr>
      <w:tr w:rsidR="00BA4A16" w:rsidRPr="00FD7A39" w14:paraId="0D0A5C60" w14:textId="77777777" w:rsidTr="006A6339">
        <w:trPr>
          <w:jc w:val="center"/>
        </w:trPr>
        <w:tc>
          <w:tcPr>
            <w:tcW w:w="3785" w:type="dxa"/>
            <w:vAlign w:val="center"/>
          </w:tcPr>
          <w:p w14:paraId="2BB1E6BF" w14:textId="66CA3BB1" w:rsidR="00BA4A16" w:rsidRPr="00DF5241" w:rsidRDefault="00BA4A16" w:rsidP="00266E44">
            <w:pPr>
              <w:pStyle w:val="ListParagraph"/>
              <w:numPr>
                <w:ilvl w:val="0"/>
                <w:numId w:val="49"/>
              </w:numPr>
              <w:ind w:left="691"/>
              <w:rPr>
                <w:rFonts w:ascii="Arial" w:hAnsi="Arial" w:cs="Arial"/>
                <w:sz w:val="20"/>
                <w:lang w:val="es-ES_tradnl"/>
              </w:rPr>
            </w:pPr>
            <w:bookmarkStart w:id="16" w:name="_Hlk11944365"/>
            <w:r w:rsidRPr="00DF5241">
              <w:rPr>
                <w:rFonts w:ascii="Arial" w:hAnsi="Arial" w:cs="Arial"/>
                <w:sz w:val="20"/>
                <w:lang w:val="es-ES_tradnl"/>
              </w:rPr>
              <w:t>Informe con el diseño institucional de las funciones y responsabilidades tributarias dentro de las EEPP</w:t>
            </w:r>
            <w:bookmarkEnd w:id="16"/>
            <w:r w:rsidR="00896310" w:rsidRPr="00DF5241">
              <w:rPr>
                <w:rFonts w:ascii="Arial" w:hAnsi="Arial" w:cs="Arial"/>
                <w:sz w:val="20"/>
                <w:vertAlign w:val="superscript"/>
              </w:rPr>
              <w:footnoteReference w:id="29"/>
            </w:r>
            <w:r w:rsidRPr="00DF5241">
              <w:rPr>
                <w:rFonts w:ascii="Arial" w:hAnsi="Arial" w:cs="Arial"/>
                <w:sz w:val="20"/>
                <w:lang w:val="es-ES_tradnl"/>
              </w:rPr>
              <w:t>.</w:t>
            </w:r>
          </w:p>
        </w:tc>
        <w:tc>
          <w:tcPr>
            <w:tcW w:w="1340" w:type="dxa"/>
            <w:vAlign w:val="center"/>
          </w:tcPr>
          <w:p w14:paraId="62EDF77D" w14:textId="77777777" w:rsidR="00BA4A16" w:rsidRPr="00634AD8" w:rsidRDefault="00BA4A16" w:rsidP="008E6B62">
            <w:pPr>
              <w:ind w:left="-110" w:right="-80"/>
              <w:jc w:val="center"/>
              <w:rPr>
                <w:rFonts w:ascii="Arial" w:hAnsi="Arial" w:cs="Arial"/>
                <w:spacing w:val="-2"/>
                <w:sz w:val="20"/>
              </w:rPr>
            </w:pPr>
            <w:r w:rsidRPr="00634AD8">
              <w:rPr>
                <w:rFonts w:ascii="Arial" w:hAnsi="Arial" w:cs="Arial"/>
                <w:spacing w:val="-2"/>
                <w:sz w:val="20"/>
              </w:rPr>
              <w:t>Informe</w:t>
            </w:r>
          </w:p>
        </w:tc>
        <w:tc>
          <w:tcPr>
            <w:tcW w:w="820" w:type="dxa"/>
            <w:vAlign w:val="center"/>
          </w:tcPr>
          <w:p w14:paraId="5E3C68E6"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4E912E60"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32ACE52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2DDFDF90" w14:textId="22F7C9DF" w:rsidR="00BA4A16" w:rsidRPr="00634AD8" w:rsidRDefault="00D7507A" w:rsidP="008E6B62">
            <w:pPr>
              <w:jc w:val="center"/>
              <w:rPr>
                <w:rFonts w:ascii="Arial" w:hAnsi="Arial" w:cs="Arial"/>
                <w:sz w:val="20"/>
              </w:rPr>
            </w:pPr>
            <w:r w:rsidRPr="00634AD8">
              <w:rPr>
                <w:rFonts w:ascii="Arial" w:hAnsi="Arial" w:cs="Arial"/>
                <w:sz w:val="20"/>
              </w:rPr>
              <w:t>0</w:t>
            </w:r>
          </w:p>
        </w:tc>
        <w:tc>
          <w:tcPr>
            <w:tcW w:w="1440" w:type="dxa"/>
            <w:vAlign w:val="center"/>
          </w:tcPr>
          <w:p w14:paraId="00905B5A" w14:textId="170839D2" w:rsidR="00BA4A16" w:rsidRPr="00634AD8" w:rsidRDefault="00D7507A" w:rsidP="008E6B62">
            <w:pPr>
              <w:jc w:val="center"/>
              <w:rPr>
                <w:rFonts w:ascii="Arial" w:hAnsi="Arial" w:cs="Arial"/>
                <w:sz w:val="20"/>
              </w:rPr>
            </w:pPr>
            <w:r w:rsidRPr="00634AD8">
              <w:rPr>
                <w:rFonts w:ascii="Arial" w:hAnsi="Arial" w:cs="Arial"/>
                <w:sz w:val="20"/>
              </w:rPr>
              <w:t>372.557</w:t>
            </w:r>
          </w:p>
        </w:tc>
        <w:tc>
          <w:tcPr>
            <w:tcW w:w="1969" w:type="dxa"/>
            <w:vAlign w:val="center"/>
          </w:tcPr>
          <w:p w14:paraId="3D0D3C79"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shd w:val="clear" w:color="auto" w:fill="auto"/>
            <w:vAlign w:val="center"/>
          </w:tcPr>
          <w:p w14:paraId="3FD5D150" w14:textId="319EDD8B" w:rsidR="00BA4A16" w:rsidRPr="00634AD8" w:rsidRDefault="000725ED" w:rsidP="008E6B62">
            <w:pPr>
              <w:jc w:val="center"/>
              <w:rPr>
                <w:rFonts w:ascii="Arial" w:hAnsi="Arial" w:cs="Arial"/>
                <w:sz w:val="20"/>
              </w:rPr>
            </w:pPr>
            <w:r w:rsidRPr="00634AD8">
              <w:rPr>
                <w:rFonts w:ascii="Arial" w:hAnsi="Arial" w:cs="Arial"/>
                <w:sz w:val="20"/>
              </w:rPr>
              <w:t>372.557</w:t>
            </w:r>
          </w:p>
        </w:tc>
      </w:tr>
      <w:tr w:rsidR="00896310" w:rsidRPr="00FD7A39" w14:paraId="157DDF3C" w14:textId="77777777" w:rsidTr="006A6339">
        <w:trPr>
          <w:jc w:val="center"/>
        </w:trPr>
        <w:tc>
          <w:tcPr>
            <w:tcW w:w="3785" w:type="dxa"/>
            <w:vAlign w:val="center"/>
          </w:tcPr>
          <w:p w14:paraId="790E8019" w14:textId="77057A85" w:rsidR="00896310" w:rsidRPr="00DF5241" w:rsidRDefault="00896310" w:rsidP="00266E44">
            <w:pPr>
              <w:pStyle w:val="ListParagraph"/>
              <w:numPr>
                <w:ilvl w:val="0"/>
                <w:numId w:val="49"/>
              </w:numPr>
              <w:ind w:left="691"/>
              <w:rPr>
                <w:rFonts w:ascii="Arial" w:hAnsi="Arial" w:cs="Arial"/>
                <w:sz w:val="20"/>
                <w:lang w:val="es-ES_tradnl"/>
              </w:rPr>
            </w:pPr>
            <w:r w:rsidRPr="00DF5241">
              <w:rPr>
                <w:rFonts w:ascii="Arial" w:hAnsi="Arial" w:cs="Arial"/>
                <w:sz w:val="20"/>
                <w:lang w:val="es-ES_tradnl"/>
              </w:rPr>
              <w:t>Informe con el diseño del régimen fiscal de las empresas petroleras aprobado</w:t>
            </w:r>
            <w:r w:rsidR="00AA6141" w:rsidRPr="00DF5241">
              <w:rPr>
                <w:rFonts w:ascii="Arial" w:hAnsi="Arial" w:cs="Arial"/>
                <w:sz w:val="20"/>
                <w:vertAlign w:val="superscript"/>
              </w:rPr>
              <w:footnoteReference w:id="30"/>
            </w:r>
            <w:r w:rsidRPr="00DF5241">
              <w:rPr>
                <w:rFonts w:ascii="Arial" w:hAnsi="Arial" w:cs="Arial"/>
                <w:sz w:val="20"/>
                <w:lang w:val="es-ES_tradnl"/>
              </w:rPr>
              <w:t>.</w:t>
            </w:r>
          </w:p>
        </w:tc>
        <w:tc>
          <w:tcPr>
            <w:tcW w:w="1340" w:type="dxa"/>
            <w:vAlign w:val="center"/>
          </w:tcPr>
          <w:p w14:paraId="3C55443B" w14:textId="77777777" w:rsidR="00896310" w:rsidRPr="00634AD8" w:rsidRDefault="00896310" w:rsidP="00896310">
            <w:pPr>
              <w:ind w:left="-110" w:right="-80"/>
              <w:jc w:val="center"/>
              <w:rPr>
                <w:rFonts w:ascii="Arial" w:hAnsi="Arial" w:cs="Arial"/>
                <w:spacing w:val="-2"/>
                <w:sz w:val="20"/>
              </w:rPr>
            </w:pPr>
            <w:r w:rsidRPr="00634AD8">
              <w:rPr>
                <w:rFonts w:ascii="Arial" w:hAnsi="Arial" w:cs="Arial"/>
                <w:spacing w:val="-2"/>
                <w:sz w:val="20"/>
              </w:rPr>
              <w:t>Informe</w:t>
            </w:r>
          </w:p>
        </w:tc>
        <w:tc>
          <w:tcPr>
            <w:tcW w:w="820" w:type="dxa"/>
            <w:vAlign w:val="center"/>
          </w:tcPr>
          <w:p w14:paraId="2E275CBB" w14:textId="77777777" w:rsidR="00896310" w:rsidRPr="00634AD8" w:rsidRDefault="00896310" w:rsidP="00896310">
            <w:pPr>
              <w:jc w:val="center"/>
              <w:rPr>
                <w:rFonts w:ascii="Arial" w:hAnsi="Arial" w:cs="Arial"/>
                <w:sz w:val="20"/>
              </w:rPr>
            </w:pPr>
            <w:r w:rsidRPr="00634AD8">
              <w:rPr>
                <w:rFonts w:ascii="Arial" w:hAnsi="Arial" w:cs="Arial"/>
                <w:sz w:val="20"/>
              </w:rPr>
              <w:t>0</w:t>
            </w:r>
          </w:p>
        </w:tc>
        <w:tc>
          <w:tcPr>
            <w:tcW w:w="960" w:type="dxa"/>
            <w:vAlign w:val="center"/>
          </w:tcPr>
          <w:p w14:paraId="371D4ED8" w14:textId="77777777" w:rsidR="00896310" w:rsidRPr="00634AD8" w:rsidRDefault="00896310" w:rsidP="00896310">
            <w:pPr>
              <w:jc w:val="center"/>
              <w:rPr>
                <w:rFonts w:ascii="Arial" w:hAnsi="Arial" w:cs="Arial"/>
                <w:sz w:val="20"/>
              </w:rPr>
            </w:pPr>
            <w:r w:rsidRPr="00634AD8">
              <w:rPr>
                <w:rFonts w:ascii="Arial" w:hAnsi="Arial" w:cs="Arial"/>
                <w:sz w:val="20"/>
              </w:rPr>
              <w:t>2018</w:t>
            </w:r>
          </w:p>
        </w:tc>
        <w:tc>
          <w:tcPr>
            <w:tcW w:w="1005" w:type="dxa"/>
            <w:vAlign w:val="center"/>
          </w:tcPr>
          <w:p w14:paraId="7A66974C" w14:textId="77777777" w:rsidR="00896310" w:rsidRPr="00634AD8" w:rsidRDefault="00896310" w:rsidP="00896310">
            <w:pPr>
              <w:jc w:val="center"/>
              <w:rPr>
                <w:rFonts w:ascii="Arial" w:hAnsi="Arial" w:cs="Arial"/>
                <w:sz w:val="20"/>
              </w:rPr>
            </w:pPr>
            <w:r w:rsidRPr="00634AD8">
              <w:rPr>
                <w:rFonts w:ascii="Arial" w:hAnsi="Arial" w:cs="Arial"/>
                <w:sz w:val="20"/>
              </w:rPr>
              <w:t>0</w:t>
            </w:r>
          </w:p>
        </w:tc>
        <w:tc>
          <w:tcPr>
            <w:tcW w:w="990" w:type="dxa"/>
            <w:vAlign w:val="center"/>
          </w:tcPr>
          <w:p w14:paraId="4CC72EDA" w14:textId="519B46B5" w:rsidR="00896310" w:rsidRPr="00634AD8" w:rsidRDefault="00D7507A" w:rsidP="00896310">
            <w:pPr>
              <w:jc w:val="center"/>
              <w:rPr>
                <w:rFonts w:ascii="Arial" w:hAnsi="Arial" w:cs="Arial"/>
                <w:sz w:val="20"/>
              </w:rPr>
            </w:pPr>
            <w:r w:rsidRPr="00634AD8">
              <w:rPr>
                <w:rFonts w:ascii="Arial" w:hAnsi="Arial" w:cs="Arial"/>
                <w:sz w:val="20"/>
              </w:rPr>
              <w:t>131.578</w:t>
            </w:r>
          </w:p>
        </w:tc>
        <w:tc>
          <w:tcPr>
            <w:tcW w:w="1440" w:type="dxa"/>
            <w:vAlign w:val="center"/>
          </w:tcPr>
          <w:p w14:paraId="105D3EEF" w14:textId="4CF47DD9" w:rsidR="00896310" w:rsidRPr="00634AD8" w:rsidRDefault="00896310" w:rsidP="00896310">
            <w:pPr>
              <w:jc w:val="center"/>
              <w:rPr>
                <w:rFonts w:ascii="Arial" w:hAnsi="Arial" w:cs="Arial"/>
                <w:sz w:val="20"/>
              </w:rPr>
            </w:pPr>
            <w:r w:rsidRPr="00634AD8">
              <w:rPr>
                <w:rFonts w:ascii="Arial" w:hAnsi="Arial" w:cs="Arial"/>
                <w:sz w:val="20"/>
              </w:rPr>
              <w:t>0</w:t>
            </w:r>
          </w:p>
        </w:tc>
        <w:tc>
          <w:tcPr>
            <w:tcW w:w="1969" w:type="dxa"/>
            <w:vAlign w:val="center"/>
          </w:tcPr>
          <w:p w14:paraId="64441337" w14:textId="5A8CBD7B" w:rsidR="00896310" w:rsidRPr="00634AD8" w:rsidRDefault="00896310" w:rsidP="00896310">
            <w:pPr>
              <w:jc w:val="center"/>
              <w:rPr>
                <w:rFonts w:ascii="Arial" w:hAnsi="Arial" w:cs="Arial"/>
                <w:sz w:val="20"/>
              </w:rPr>
            </w:pPr>
            <w:r w:rsidRPr="00634AD8">
              <w:rPr>
                <w:rFonts w:ascii="Arial" w:hAnsi="Arial" w:cs="Arial"/>
                <w:sz w:val="20"/>
              </w:rPr>
              <w:t>0</w:t>
            </w:r>
          </w:p>
        </w:tc>
        <w:tc>
          <w:tcPr>
            <w:tcW w:w="1710" w:type="dxa"/>
            <w:shd w:val="clear" w:color="auto" w:fill="auto"/>
            <w:vAlign w:val="center"/>
          </w:tcPr>
          <w:p w14:paraId="22A20E42" w14:textId="4F2712E8" w:rsidR="00896310" w:rsidRPr="00634AD8" w:rsidRDefault="000725ED" w:rsidP="00896310">
            <w:pPr>
              <w:jc w:val="center"/>
              <w:rPr>
                <w:rFonts w:ascii="Arial" w:hAnsi="Arial" w:cs="Arial"/>
                <w:sz w:val="20"/>
              </w:rPr>
            </w:pPr>
            <w:r w:rsidRPr="00634AD8">
              <w:rPr>
                <w:rFonts w:ascii="Arial" w:hAnsi="Arial" w:cs="Arial"/>
                <w:sz w:val="20"/>
              </w:rPr>
              <w:t>1</w:t>
            </w:r>
            <w:r w:rsidR="00AA6141" w:rsidRPr="00634AD8">
              <w:rPr>
                <w:rFonts w:ascii="Arial" w:hAnsi="Arial" w:cs="Arial"/>
                <w:sz w:val="20"/>
              </w:rPr>
              <w:t>5</w:t>
            </w:r>
            <w:r w:rsidRPr="00634AD8">
              <w:rPr>
                <w:rFonts w:ascii="Arial" w:hAnsi="Arial" w:cs="Arial"/>
                <w:sz w:val="20"/>
              </w:rPr>
              <w:t>3.</w:t>
            </w:r>
            <w:r w:rsidR="00AA6141" w:rsidRPr="00634AD8">
              <w:rPr>
                <w:rFonts w:ascii="Arial" w:hAnsi="Arial" w:cs="Arial"/>
                <w:sz w:val="20"/>
              </w:rPr>
              <w:t>9</w:t>
            </w:r>
            <w:r w:rsidRPr="00634AD8">
              <w:rPr>
                <w:rFonts w:ascii="Arial" w:hAnsi="Arial" w:cs="Arial"/>
                <w:sz w:val="20"/>
              </w:rPr>
              <w:t>78</w:t>
            </w:r>
          </w:p>
        </w:tc>
      </w:tr>
      <w:tr w:rsidR="004B00A2" w:rsidRPr="00FD7A39" w14:paraId="77103FFB" w14:textId="77777777" w:rsidTr="00CE76F2">
        <w:trPr>
          <w:jc w:val="center"/>
        </w:trPr>
        <w:tc>
          <w:tcPr>
            <w:tcW w:w="14019" w:type="dxa"/>
            <w:gridSpan w:val="9"/>
            <w:vAlign w:val="center"/>
          </w:tcPr>
          <w:p w14:paraId="3F854762" w14:textId="2AA615B7" w:rsidR="004B00A2" w:rsidRPr="00074E94" w:rsidRDefault="004B00A2" w:rsidP="004B00A2">
            <w:pPr>
              <w:pStyle w:val="ListParagraph"/>
              <w:numPr>
                <w:ilvl w:val="0"/>
                <w:numId w:val="47"/>
              </w:numPr>
              <w:ind w:left="511" w:hanging="270"/>
              <w:rPr>
                <w:rFonts w:ascii="Arial" w:hAnsi="Arial" w:cs="Arial"/>
                <w:sz w:val="20"/>
                <w:lang w:val="es-ES"/>
              </w:rPr>
            </w:pPr>
            <w:r w:rsidRPr="0064079C">
              <w:rPr>
                <w:rFonts w:ascii="Arial" w:hAnsi="Arial" w:cs="Arial"/>
                <w:sz w:val="20"/>
                <w:lang w:val="es-ES"/>
              </w:rPr>
              <w:t>Transparencia</w:t>
            </w:r>
            <w:r w:rsidRPr="00E769E5">
              <w:rPr>
                <w:rFonts w:ascii="Arial" w:hAnsi="Arial" w:cs="Arial"/>
                <w:sz w:val="20"/>
                <w:lang w:val="es-ES_tradnl"/>
              </w:rPr>
              <w:t xml:space="preserve"> y rendición de cuentas</w:t>
            </w:r>
          </w:p>
        </w:tc>
      </w:tr>
      <w:tr w:rsidR="00BA4A16" w:rsidRPr="00FD7A39" w14:paraId="1A73CE3A" w14:textId="77777777" w:rsidTr="006A6339">
        <w:trPr>
          <w:jc w:val="center"/>
        </w:trPr>
        <w:tc>
          <w:tcPr>
            <w:tcW w:w="3785" w:type="dxa"/>
            <w:vAlign w:val="center"/>
          </w:tcPr>
          <w:p w14:paraId="3AADA924" w14:textId="77777777" w:rsidR="00BA4A16" w:rsidRPr="00E769E5" w:rsidRDefault="00BA4A16" w:rsidP="00266E44">
            <w:pPr>
              <w:pStyle w:val="ListParagraph"/>
              <w:numPr>
                <w:ilvl w:val="0"/>
                <w:numId w:val="50"/>
              </w:numPr>
              <w:ind w:left="691"/>
              <w:rPr>
                <w:rFonts w:ascii="Arial" w:hAnsi="Arial" w:cs="Arial"/>
                <w:sz w:val="20"/>
                <w:lang w:val="es-ES_tradnl"/>
              </w:rPr>
            </w:pPr>
            <w:r w:rsidRPr="00E769E5">
              <w:rPr>
                <w:rFonts w:ascii="Arial" w:hAnsi="Arial" w:cs="Arial"/>
                <w:sz w:val="20"/>
                <w:lang w:val="es-ES_tradnl"/>
              </w:rPr>
              <w:t>Empleados de las EE.PP. capacitados en implementación de NIIF y reporte de Estados Financieros.</w:t>
            </w:r>
          </w:p>
        </w:tc>
        <w:tc>
          <w:tcPr>
            <w:tcW w:w="1340" w:type="dxa"/>
            <w:vAlign w:val="center"/>
          </w:tcPr>
          <w:p w14:paraId="333EAD52" w14:textId="77777777" w:rsidR="00BA4A16" w:rsidRPr="00634AD8" w:rsidRDefault="00BA4A16" w:rsidP="008E6B62">
            <w:pPr>
              <w:ind w:left="-110" w:right="-80"/>
              <w:jc w:val="center"/>
              <w:rPr>
                <w:rFonts w:ascii="Arial" w:hAnsi="Arial" w:cs="Arial"/>
                <w:spacing w:val="-2"/>
                <w:sz w:val="20"/>
              </w:rPr>
            </w:pPr>
            <w:r w:rsidRPr="00634AD8">
              <w:rPr>
                <w:rFonts w:ascii="Arial" w:hAnsi="Arial" w:cs="Arial"/>
                <w:spacing w:val="-2"/>
                <w:sz w:val="20"/>
              </w:rPr>
              <w:t>Empleados</w:t>
            </w:r>
          </w:p>
        </w:tc>
        <w:tc>
          <w:tcPr>
            <w:tcW w:w="820" w:type="dxa"/>
            <w:vAlign w:val="center"/>
          </w:tcPr>
          <w:p w14:paraId="068BFFDB"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43E31899"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7A338D94"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26CB6B77" w14:textId="122C8670" w:rsidR="00BA4A16" w:rsidRPr="00634AD8" w:rsidRDefault="00133FB3" w:rsidP="008E6B62">
            <w:pPr>
              <w:jc w:val="center"/>
              <w:rPr>
                <w:rFonts w:ascii="Arial" w:hAnsi="Arial" w:cs="Arial"/>
                <w:sz w:val="20"/>
              </w:rPr>
            </w:pPr>
            <w:r>
              <w:rPr>
                <w:rFonts w:ascii="Arial" w:hAnsi="Arial" w:cs="Arial"/>
                <w:sz w:val="20"/>
              </w:rPr>
              <w:t>77</w:t>
            </w:r>
            <w:r w:rsidRPr="00634AD8">
              <w:rPr>
                <w:rFonts w:ascii="Arial" w:hAnsi="Arial" w:cs="Arial"/>
                <w:sz w:val="20"/>
              </w:rPr>
              <w:t>.</w:t>
            </w:r>
            <w:r>
              <w:rPr>
                <w:rFonts w:ascii="Arial" w:hAnsi="Arial" w:cs="Arial"/>
                <w:sz w:val="20"/>
              </w:rPr>
              <w:t>594</w:t>
            </w:r>
          </w:p>
        </w:tc>
        <w:tc>
          <w:tcPr>
            <w:tcW w:w="1440" w:type="dxa"/>
            <w:vAlign w:val="center"/>
          </w:tcPr>
          <w:p w14:paraId="64E68214" w14:textId="72CF6208" w:rsidR="00BA4A16" w:rsidRPr="00634AD8" w:rsidRDefault="00133FB3" w:rsidP="008E6B62">
            <w:pPr>
              <w:jc w:val="center"/>
              <w:rPr>
                <w:rFonts w:ascii="Arial" w:hAnsi="Arial" w:cs="Arial"/>
                <w:sz w:val="20"/>
              </w:rPr>
            </w:pPr>
            <w:r>
              <w:rPr>
                <w:rFonts w:ascii="Arial" w:hAnsi="Arial" w:cs="Arial"/>
                <w:sz w:val="20"/>
              </w:rPr>
              <w:t>77</w:t>
            </w:r>
            <w:r w:rsidR="00936DDA" w:rsidRPr="00634AD8">
              <w:rPr>
                <w:rFonts w:ascii="Arial" w:hAnsi="Arial" w:cs="Arial"/>
                <w:sz w:val="20"/>
              </w:rPr>
              <w:t>.</w:t>
            </w:r>
            <w:r>
              <w:rPr>
                <w:rFonts w:ascii="Arial" w:hAnsi="Arial" w:cs="Arial"/>
                <w:sz w:val="20"/>
              </w:rPr>
              <w:t>594</w:t>
            </w:r>
          </w:p>
        </w:tc>
        <w:tc>
          <w:tcPr>
            <w:tcW w:w="1969" w:type="dxa"/>
            <w:vAlign w:val="center"/>
          </w:tcPr>
          <w:p w14:paraId="7A192EE6" w14:textId="1861F697" w:rsidR="00BA4A16" w:rsidRPr="00634AD8" w:rsidRDefault="00936DDA" w:rsidP="008E6B62">
            <w:pPr>
              <w:jc w:val="center"/>
              <w:rPr>
                <w:rFonts w:ascii="Arial" w:hAnsi="Arial" w:cs="Arial"/>
                <w:sz w:val="20"/>
              </w:rPr>
            </w:pPr>
            <w:r w:rsidRPr="00634AD8">
              <w:rPr>
                <w:rFonts w:ascii="Arial" w:hAnsi="Arial" w:cs="Arial"/>
                <w:sz w:val="20"/>
              </w:rPr>
              <w:t>0</w:t>
            </w:r>
          </w:p>
        </w:tc>
        <w:tc>
          <w:tcPr>
            <w:tcW w:w="1710" w:type="dxa"/>
            <w:shd w:val="clear" w:color="auto" w:fill="auto"/>
            <w:vAlign w:val="center"/>
          </w:tcPr>
          <w:p w14:paraId="33293480" w14:textId="013DB7BB" w:rsidR="00BA4A16" w:rsidRPr="00634AD8" w:rsidRDefault="000725ED" w:rsidP="008E6B62">
            <w:pPr>
              <w:jc w:val="center"/>
              <w:rPr>
                <w:rFonts w:ascii="Arial" w:hAnsi="Arial" w:cs="Arial"/>
                <w:sz w:val="20"/>
              </w:rPr>
            </w:pPr>
            <w:r w:rsidRPr="00634AD8">
              <w:rPr>
                <w:rFonts w:ascii="Arial" w:hAnsi="Arial" w:cs="Arial"/>
                <w:sz w:val="20"/>
              </w:rPr>
              <w:t>155.187</w:t>
            </w:r>
          </w:p>
        </w:tc>
      </w:tr>
      <w:tr w:rsidR="00BA4A16" w:rsidRPr="00FD7A39" w14:paraId="3844A3BC" w14:textId="77777777" w:rsidTr="006A6339">
        <w:trPr>
          <w:jc w:val="center"/>
        </w:trPr>
        <w:tc>
          <w:tcPr>
            <w:tcW w:w="3785" w:type="dxa"/>
            <w:vAlign w:val="center"/>
          </w:tcPr>
          <w:p w14:paraId="67BB4C87" w14:textId="77777777" w:rsidR="00BA4A16" w:rsidRPr="00E769E5" w:rsidRDefault="00BA4A16" w:rsidP="00266E44">
            <w:pPr>
              <w:pStyle w:val="ListParagraph"/>
              <w:numPr>
                <w:ilvl w:val="0"/>
                <w:numId w:val="50"/>
              </w:numPr>
              <w:ind w:left="691"/>
              <w:rPr>
                <w:rFonts w:ascii="Arial" w:hAnsi="Arial" w:cs="Arial"/>
                <w:sz w:val="20"/>
                <w:lang w:val="es-ES_tradnl"/>
              </w:rPr>
            </w:pPr>
            <w:bookmarkStart w:id="17" w:name="_Hlk11944388"/>
            <w:r w:rsidRPr="00E769E5">
              <w:rPr>
                <w:rFonts w:ascii="Arial" w:hAnsi="Arial" w:cs="Arial"/>
                <w:sz w:val="20"/>
                <w:lang w:val="es-ES_tradnl"/>
              </w:rPr>
              <w:t>Informe con los criterios para la precalificación de auditoras externas aprobado</w:t>
            </w:r>
            <w:bookmarkEnd w:id="17"/>
            <w:r w:rsidRPr="00E769E5">
              <w:rPr>
                <w:rFonts w:ascii="Arial" w:hAnsi="Arial" w:cs="Arial"/>
                <w:sz w:val="20"/>
                <w:lang w:val="es-ES_tradnl"/>
              </w:rPr>
              <w:t>.</w:t>
            </w:r>
          </w:p>
        </w:tc>
        <w:tc>
          <w:tcPr>
            <w:tcW w:w="1340" w:type="dxa"/>
            <w:vAlign w:val="center"/>
          </w:tcPr>
          <w:p w14:paraId="1773BF7F" w14:textId="77777777" w:rsidR="00BA4A16" w:rsidRPr="00634AD8" w:rsidRDefault="00BA4A16" w:rsidP="008E6B62">
            <w:pPr>
              <w:ind w:left="-110" w:right="-80"/>
              <w:jc w:val="center"/>
              <w:rPr>
                <w:rFonts w:ascii="Arial" w:hAnsi="Arial" w:cs="Arial"/>
                <w:spacing w:val="-2"/>
                <w:sz w:val="20"/>
              </w:rPr>
            </w:pPr>
            <w:r w:rsidRPr="00634AD8">
              <w:rPr>
                <w:rFonts w:ascii="Arial" w:hAnsi="Arial" w:cs="Arial"/>
                <w:sz w:val="20"/>
              </w:rPr>
              <w:t>Informe</w:t>
            </w:r>
          </w:p>
        </w:tc>
        <w:tc>
          <w:tcPr>
            <w:tcW w:w="820" w:type="dxa"/>
            <w:vAlign w:val="center"/>
          </w:tcPr>
          <w:p w14:paraId="4E86268E"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0B81F101"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1307578F"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1BB6B22A" w14:textId="37BE2F3D" w:rsidR="00BA4A16" w:rsidRPr="00634AD8" w:rsidRDefault="00936DDA" w:rsidP="008E6B62">
            <w:pPr>
              <w:jc w:val="center"/>
              <w:rPr>
                <w:rFonts w:ascii="Arial" w:hAnsi="Arial" w:cs="Arial"/>
                <w:sz w:val="20"/>
              </w:rPr>
            </w:pPr>
            <w:bookmarkStart w:id="18" w:name="_Hlk11944424"/>
            <w:r w:rsidRPr="00634AD8">
              <w:rPr>
                <w:rFonts w:ascii="Arial" w:hAnsi="Arial" w:cs="Arial"/>
                <w:sz w:val="20"/>
              </w:rPr>
              <w:t>6.899</w:t>
            </w:r>
            <w:bookmarkEnd w:id="18"/>
          </w:p>
        </w:tc>
        <w:tc>
          <w:tcPr>
            <w:tcW w:w="1440" w:type="dxa"/>
            <w:vAlign w:val="center"/>
          </w:tcPr>
          <w:p w14:paraId="4ADDA4FD"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340F4C70"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shd w:val="clear" w:color="auto" w:fill="auto"/>
            <w:vAlign w:val="center"/>
          </w:tcPr>
          <w:p w14:paraId="49F425F3" w14:textId="16271ABE" w:rsidR="00BA4A16" w:rsidRPr="00634AD8" w:rsidRDefault="000725ED" w:rsidP="008E6B62">
            <w:pPr>
              <w:jc w:val="center"/>
              <w:rPr>
                <w:rFonts w:ascii="Arial" w:hAnsi="Arial" w:cs="Arial"/>
                <w:sz w:val="20"/>
              </w:rPr>
            </w:pPr>
            <w:r w:rsidRPr="00634AD8">
              <w:rPr>
                <w:rFonts w:ascii="Arial" w:hAnsi="Arial" w:cs="Arial"/>
                <w:sz w:val="20"/>
              </w:rPr>
              <w:t>6.899</w:t>
            </w:r>
          </w:p>
        </w:tc>
      </w:tr>
      <w:tr w:rsidR="00BA4A16" w:rsidRPr="00FD7A39" w14:paraId="3401F1EC" w14:textId="77777777" w:rsidTr="006A6339">
        <w:trPr>
          <w:jc w:val="center"/>
        </w:trPr>
        <w:tc>
          <w:tcPr>
            <w:tcW w:w="3785" w:type="dxa"/>
            <w:vAlign w:val="center"/>
          </w:tcPr>
          <w:p w14:paraId="3C4A29BB" w14:textId="0D70FF38" w:rsidR="00BA4A16" w:rsidRPr="00E769E5" w:rsidRDefault="00BA4A16" w:rsidP="00266E44">
            <w:pPr>
              <w:pStyle w:val="ListParagraph"/>
              <w:numPr>
                <w:ilvl w:val="0"/>
                <w:numId w:val="50"/>
              </w:numPr>
              <w:ind w:left="691"/>
              <w:rPr>
                <w:rFonts w:ascii="Arial" w:hAnsi="Arial" w:cs="Arial"/>
                <w:sz w:val="20"/>
                <w:lang w:val="es-ES_tradnl"/>
              </w:rPr>
            </w:pPr>
            <w:bookmarkStart w:id="19" w:name="_Hlk11944396"/>
            <w:r w:rsidRPr="00E769E5">
              <w:rPr>
                <w:rFonts w:ascii="Arial" w:hAnsi="Arial" w:cs="Arial"/>
                <w:sz w:val="20"/>
                <w:lang w:val="es-ES_tradnl"/>
              </w:rPr>
              <w:t>Informe de consultoría de apoyo técnico para la obtención del certificado ISO-37001 por EEPP</w:t>
            </w:r>
            <w:r w:rsidR="000457D7" w:rsidRPr="0066000B">
              <w:rPr>
                <w:rStyle w:val="FootnoteReference"/>
                <w:rFonts w:ascii="Arial" w:hAnsi="Arial" w:cs="Arial"/>
                <w:lang w:val="es-ES_tradnl"/>
              </w:rPr>
              <w:footnoteReference w:id="31"/>
            </w:r>
            <w:r w:rsidRPr="00E769E5">
              <w:rPr>
                <w:rFonts w:ascii="Arial" w:hAnsi="Arial" w:cs="Arial"/>
                <w:sz w:val="20"/>
                <w:lang w:val="es-ES_tradnl"/>
              </w:rPr>
              <w:t xml:space="preserve"> aprobado</w:t>
            </w:r>
            <w:bookmarkEnd w:id="19"/>
          </w:p>
        </w:tc>
        <w:tc>
          <w:tcPr>
            <w:tcW w:w="1340" w:type="dxa"/>
            <w:vAlign w:val="center"/>
          </w:tcPr>
          <w:p w14:paraId="042FBAE3" w14:textId="77777777" w:rsidR="00BA4A16" w:rsidRPr="00634AD8" w:rsidRDefault="00BA4A16" w:rsidP="008E6B62">
            <w:pPr>
              <w:ind w:left="-110" w:right="-80"/>
              <w:jc w:val="center"/>
              <w:rPr>
                <w:rFonts w:ascii="Arial" w:hAnsi="Arial" w:cs="Arial"/>
                <w:spacing w:val="-2"/>
                <w:sz w:val="20"/>
              </w:rPr>
            </w:pPr>
            <w:r w:rsidRPr="00634AD8">
              <w:rPr>
                <w:rFonts w:ascii="Arial" w:hAnsi="Arial" w:cs="Arial"/>
                <w:spacing w:val="-2"/>
                <w:sz w:val="20"/>
              </w:rPr>
              <w:t>Informe</w:t>
            </w:r>
          </w:p>
        </w:tc>
        <w:tc>
          <w:tcPr>
            <w:tcW w:w="820" w:type="dxa"/>
            <w:vAlign w:val="center"/>
          </w:tcPr>
          <w:p w14:paraId="362142AC"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3507A0C5"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00AF68B5"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645091A3" w14:textId="18F0BC7A" w:rsidR="00BA4A16" w:rsidRPr="00634AD8" w:rsidRDefault="00133FB3" w:rsidP="008E6B62">
            <w:pPr>
              <w:jc w:val="center"/>
              <w:rPr>
                <w:rFonts w:ascii="Arial" w:hAnsi="Arial" w:cs="Arial"/>
                <w:sz w:val="20"/>
              </w:rPr>
            </w:pPr>
            <w:r>
              <w:rPr>
                <w:rFonts w:ascii="Arial" w:hAnsi="Arial" w:cs="Arial"/>
                <w:sz w:val="20"/>
              </w:rPr>
              <w:t>530</w:t>
            </w:r>
            <w:r w:rsidRPr="00634AD8">
              <w:rPr>
                <w:rFonts w:ascii="Arial" w:hAnsi="Arial" w:cs="Arial"/>
                <w:sz w:val="20"/>
              </w:rPr>
              <w:t>.</w:t>
            </w:r>
            <w:r w:rsidR="00A15983">
              <w:rPr>
                <w:rFonts w:ascii="Arial" w:hAnsi="Arial" w:cs="Arial"/>
                <w:sz w:val="20"/>
              </w:rPr>
              <w:t>432</w:t>
            </w:r>
          </w:p>
        </w:tc>
        <w:tc>
          <w:tcPr>
            <w:tcW w:w="1440" w:type="dxa"/>
            <w:vAlign w:val="center"/>
          </w:tcPr>
          <w:p w14:paraId="01F008AA" w14:textId="0DE53A12" w:rsidR="00BA4A16" w:rsidRPr="00634AD8" w:rsidRDefault="00A15983" w:rsidP="008E6B62">
            <w:pPr>
              <w:jc w:val="center"/>
              <w:rPr>
                <w:rFonts w:ascii="Arial" w:hAnsi="Arial" w:cs="Arial"/>
                <w:sz w:val="20"/>
              </w:rPr>
            </w:pPr>
            <w:r>
              <w:rPr>
                <w:rFonts w:ascii="Arial" w:hAnsi="Arial" w:cs="Arial"/>
                <w:sz w:val="20"/>
              </w:rPr>
              <w:t>80</w:t>
            </w:r>
            <w:r w:rsidR="00B72A02" w:rsidRPr="00634AD8">
              <w:rPr>
                <w:rFonts w:ascii="Arial" w:hAnsi="Arial" w:cs="Arial"/>
                <w:sz w:val="20"/>
              </w:rPr>
              <w:t>2.</w:t>
            </w:r>
            <w:r>
              <w:rPr>
                <w:rFonts w:ascii="Arial" w:hAnsi="Arial" w:cs="Arial"/>
                <w:sz w:val="20"/>
              </w:rPr>
              <w:t>368</w:t>
            </w:r>
          </w:p>
        </w:tc>
        <w:tc>
          <w:tcPr>
            <w:tcW w:w="1969" w:type="dxa"/>
            <w:vAlign w:val="center"/>
          </w:tcPr>
          <w:p w14:paraId="708916A8"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shd w:val="clear" w:color="auto" w:fill="auto"/>
            <w:vAlign w:val="center"/>
          </w:tcPr>
          <w:p w14:paraId="56370E03" w14:textId="2DF170AC" w:rsidR="00BA4A16" w:rsidRPr="00634AD8" w:rsidRDefault="000725ED" w:rsidP="008E6B62">
            <w:pPr>
              <w:jc w:val="center"/>
              <w:rPr>
                <w:rFonts w:ascii="Arial" w:hAnsi="Arial" w:cs="Arial"/>
                <w:sz w:val="20"/>
              </w:rPr>
            </w:pPr>
            <w:bookmarkStart w:id="20" w:name="_Hlk11944432"/>
            <w:r w:rsidRPr="00634AD8">
              <w:rPr>
                <w:rFonts w:ascii="Arial" w:hAnsi="Arial" w:cs="Arial"/>
                <w:sz w:val="20"/>
              </w:rPr>
              <w:t>1</w:t>
            </w:r>
            <w:r w:rsidR="003D7601">
              <w:rPr>
                <w:rFonts w:ascii="Arial" w:hAnsi="Arial" w:cs="Arial"/>
                <w:sz w:val="20"/>
              </w:rPr>
              <w:t>.</w:t>
            </w:r>
            <w:r w:rsidR="000457D7" w:rsidRPr="00634AD8">
              <w:rPr>
                <w:rFonts w:ascii="Arial" w:hAnsi="Arial" w:cs="Arial"/>
                <w:sz w:val="20"/>
              </w:rPr>
              <w:t>332</w:t>
            </w:r>
            <w:r w:rsidRPr="00634AD8">
              <w:rPr>
                <w:rFonts w:ascii="Arial" w:hAnsi="Arial" w:cs="Arial"/>
                <w:sz w:val="20"/>
              </w:rPr>
              <w:t>.</w:t>
            </w:r>
            <w:r w:rsidR="000457D7" w:rsidRPr="00634AD8">
              <w:rPr>
                <w:rFonts w:ascii="Arial" w:hAnsi="Arial" w:cs="Arial"/>
                <w:sz w:val="20"/>
              </w:rPr>
              <w:t>800</w:t>
            </w:r>
            <w:bookmarkEnd w:id="20"/>
          </w:p>
        </w:tc>
      </w:tr>
      <w:tr w:rsidR="00900E52" w:rsidRPr="001C5AC3" w14:paraId="20DECE95" w14:textId="77777777" w:rsidTr="004074FE">
        <w:trPr>
          <w:jc w:val="center"/>
        </w:trPr>
        <w:tc>
          <w:tcPr>
            <w:tcW w:w="14019" w:type="dxa"/>
            <w:gridSpan w:val="9"/>
            <w:shd w:val="clear" w:color="auto" w:fill="DDD9C3" w:themeFill="background2" w:themeFillShade="E6"/>
            <w:vAlign w:val="center"/>
          </w:tcPr>
          <w:p w14:paraId="79613297" w14:textId="5915E980" w:rsidR="00900E52" w:rsidRPr="004074FE" w:rsidRDefault="00900E52" w:rsidP="004074FE">
            <w:pPr>
              <w:rPr>
                <w:rFonts w:ascii="Arial" w:hAnsi="Arial" w:cs="Arial"/>
                <w:b/>
                <w:sz w:val="20"/>
              </w:rPr>
            </w:pPr>
            <w:r w:rsidRPr="004074FE">
              <w:rPr>
                <w:rFonts w:ascii="Arial" w:hAnsi="Arial" w:cs="Arial"/>
                <w:b/>
                <w:sz w:val="20"/>
              </w:rPr>
              <w:t>Subcomponente 1.2. Rediseño de la función propietaria y de gestión</w:t>
            </w:r>
          </w:p>
        </w:tc>
      </w:tr>
      <w:tr w:rsidR="004074FE" w:rsidRPr="001C5AC3" w14:paraId="64828538" w14:textId="77777777" w:rsidTr="00277F0B">
        <w:trPr>
          <w:jc w:val="center"/>
        </w:trPr>
        <w:tc>
          <w:tcPr>
            <w:tcW w:w="14019" w:type="dxa"/>
            <w:gridSpan w:val="9"/>
            <w:shd w:val="clear" w:color="auto" w:fill="auto"/>
            <w:vAlign w:val="center"/>
          </w:tcPr>
          <w:p w14:paraId="728E9F4F" w14:textId="17FDD69C" w:rsidR="004074FE" w:rsidRPr="00E769E5" w:rsidRDefault="004074FE" w:rsidP="00266E44">
            <w:pPr>
              <w:pStyle w:val="ListParagraph"/>
              <w:numPr>
                <w:ilvl w:val="0"/>
                <w:numId w:val="51"/>
              </w:numPr>
              <w:ind w:left="511" w:hanging="270"/>
              <w:rPr>
                <w:rFonts w:ascii="Arial" w:hAnsi="Arial" w:cs="Arial"/>
                <w:sz w:val="20"/>
                <w:lang w:val="es-ES_tradnl"/>
              </w:rPr>
            </w:pPr>
            <w:r w:rsidRPr="00E769E5">
              <w:rPr>
                <w:rFonts w:ascii="Arial" w:hAnsi="Arial" w:cs="Arial"/>
                <w:sz w:val="20"/>
                <w:lang w:val="es-ES_tradnl"/>
              </w:rPr>
              <w:t>Apoyo a la implementación de la nueva entidad de gestión propietaria de las EEPP que sustituiría a EMCO</w:t>
            </w:r>
          </w:p>
        </w:tc>
      </w:tr>
      <w:tr w:rsidR="00BA4A16" w:rsidRPr="001C5AC3" w14:paraId="2145E425" w14:textId="77777777" w:rsidTr="006A6339">
        <w:trPr>
          <w:jc w:val="center"/>
        </w:trPr>
        <w:tc>
          <w:tcPr>
            <w:tcW w:w="3785" w:type="dxa"/>
            <w:vAlign w:val="center"/>
          </w:tcPr>
          <w:p w14:paraId="780F6451" w14:textId="5D01E75C" w:rsidR="00BA4A16" w:rsidRPr="00E769E5" w:rsidRDefault="00BA4A16" w:rsidP="00266E44">
            <w:pPr>
              <w:pStyle w:val="ListParagraph"/>
              <w:numPr>
                <w:ilvl w:val="0"/>
                <w:numId w:val="52"/>
              </w:numPr>
              <w:ind w:left="691"/>
              <w:rPr>
                <w:rFonts w:ascii="Arial" w:hAnsi="Arial" w:cs="Arial"/>
                <w:sz w:val="20"/>
                <w:lang w:val="es-ES_tradnl"/>
              </w:rPr>
            </w:pPr>
            <w:r w:rsidRPr="00E769E5">
              <w:rPr>
                <w:rFonts w:ascii="Arial" w:hAnsi="Arial" w:cs="Arial"/>
                <w:sz w:val="20"/>
                <w:lang w:val="es-ES_tradnl"/>
              </w:rPr>
              <w:t xml:space="preserve">Informe </w:t>
            </w:r>
            <w:r w:rsidR="000725ED" w:rsidRPr="00E769E5">
              <w:rPr>
                <w:rFonts w:ascii="Arial" w:hAnsi="Arial" w:cs="Arial"/>
                <w:sz w:val="20"/>
                <w:lang w:val="es-ES_tradnl"/>
              </w:rPr>
              <w:t>de</w:t>
            </w:r>
            <w:r w:rsidRPr="00E769E5">
              <w:rPr>
                <w:rFonts w:ascii="Arial" w:hAnsi="Arial" w:cs="Arial"/>
                <w:sz w:val="20"/>
                <w:lang w:val="es-ES_tradnl"/>
              </w:rPr>
              <w:t xml:space="preserve"> </w:t>
            </w:r>
            <w:r w:rsidR="000725ED" w:rsidRPr="00E769E5">
              <w:rPr>
                <w:rFonts w:ascii="Arial" w:hAnsi="Arial" w:cs="Arial"/>
                <w:sz w:val="20"/>
                <w:lang w:val="es-ES_tradnl"/>
              </w:rPr>
              <w:t xml:space="preserve">supervisión de medidas de implementación de </w:t>
            </w:r>
            <w:r w:rsidR="000725ED" w:rsidRPr="00E769E5">
              <w:rPr>
                <w:rFonts w:ascii="Arial" w:hAnsi="Arial" w:cs="Arial"/>
                <w:sz w:val="20"/>
                <w:lang w:val="es-ES_tradnl"/>
              </w:rPr>
              <w:lastRenderedPageBreak/>
              <w:t xml:space="preserve">la nueva entidad propietaria de EEPP y </w:t>
            </w:r>
            <w:r w:rsidRPr="00E769E5">
              <w:rPr>
                <w:rFonts w:ascii="Arial" w:hAnsi="Arial" w:cs="Arial"/>
                <w:sz w:val="20"/>
                <w:lang w:val="es-ES_tradnl"/>
              </w:rPr>
              <w:t>el estatuto orgánico administrativo entregado</w:t>
            </w:r>
          </w:p>
        </w:tc>
        <w:tc>
          <w:tcPr>
            <w:tcW w:w="1340" w:type="dxa"/>
            <w:vAlign w:val="center"/>
          </w:tcPr>
          <w:p w14:paraId="01888126" w14:textId="77777777" w:rsidR="00BA4A16" w:rsidRPr="00634AD8" w:rsidRDefault="00BA4A16" w:rsidP="008E6B62">
            <w:pPr>
              <w:jc w:val="center"/>
              <w:rPr>
                <w:rFonts w:ascii="Arial" w:hAnsi="Arial" w:cs="Arial"/>
                <w:sz w:val="20"/>
              </w:rPr>
            </w:pPr>
            <w:r w:rsidRPr="00634AD8">
              <w:rPr>
                <w:rFonts w:ascii="Arial" w:hAnsi="Arial" w:cs="Arial"/>
                <w:sz w:val="20"/>
              </w:rPr>
              <w:lastRenderedPageBreak/>
              <w:t>Informe</w:t>
            </w:r>
          </w:p>
        </w:tc>
        <w:tc>
          <w:tcPr>
            <w:tcW w:w="820" w:type="dxa"/>
            <w:vAlign w:val="center"/>
          </w:tcPr>
          <w:p w14:paraId="6CCF3CE2"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655F9F24"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206902D2"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779DE47D" w14:textId="716CCE8B" w:rsidR="00BA4A16" w:rsidRPr="00634AD8" w:rsidRDefault="00D7507A" w:rsidP="008E6B62">
            <w:pPr>
              <w:jc w:val="center"/>
              <w:rPr>
                <w:rFonts w:ascii="Arial" w:hAnsi="Arial" w:cs="Arial"/>
                <w:sz w:val="20"/>
              </w:rPr>
            </w:pPr>
            <w:r w:rsidRPr="00634AD8">
              <w:rPr>
                <w:rFonts w:ascii="Arial" w:hAnsi="Arial" w:cs="Arial"/>
                <w:sz w:val="20"/>
              </w:rPr>
              <w:t>326.950</w:t>
            </w:r>
          </w:p>
        </w:tc>
        <w:tc>
          <w:tcPr>
            <w:tcW w:w="1440" w:type="dxa"/>
            <w:vAlign w:val="center"/>
          </w:tcPr>
          <w:p w14:paraId="7F538412"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41FE9FB3"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604164ED" w14:textId="763CAB72" w:rsidR="00BA4A16" w:rsidRPr="00634AD8" w:rsidRDefault="006D4ACE" w:rsidP="008E6B62">
            <w:pPr>
              <w:jc w:val="center"/>
              <w:rPr>
                <w:rFonts w:ascii="Arial" w:hAnsi="Arial" w:cs="Arial"/>
                <w:sz w:val="20"/>
              </w:rPr>
            </w:pPr>
            <w:r w:rsidRPr="00634AD8">
              <w:rPr>
                <w:rFonts w:ascii="Arial" w:hAnsi="Arial" w:cs="Arial"/>
                <w:sz w:val="20"/>
              </w:rPr>
              <w:t>326.950</w:t>
            </w:r>
          </w:p>
        </w:tc>
      </w:tr>
      <w:tr w:rsidR="00B72A02" w:rsidRPr="001C5AC3" w14:paraId="13077228" w14:textId="77777777" w:rsidTr="006A6339">
        <w:trPr>
          <w:jc w:val="center"/>
        </w:trPr>
        <w:tc>
          <w:tcPr>
            <w:tcW w:w="3785" w:type="dxa"/>
            <w:vAlign w:val="center"/>
          </w:tcPr>
          <w:p w14:paraId="114E1D56" w14:textId="2D159741" w:rsidR="00B72A02" w:rsidRPr="00634AD8" w:rsidRDefault="00B72A02" w:rsidP="00266E44">
            <w:pPr>
              <w:pStyle w:val="ListParagraph"/>
              <w:numPr>
                <w:ilvl w:val="0"/>
                <w:numId w:val="52"/>
              </w:numPr>
              <w:ind w:left="691"/>
              <w:rPr>
                <w:rFonts w:ascii="Arial" w:hAnsi="Arial" w:cs="Arial"/>
                <w:sz w:val="20"/>
                <w:lang w:val="es-ES_tradnl"/>
              </w:rPr>
            </w:pPr>
            <w:r w:rsidRPr="00634AD8">
              <w:rPr>
                <w:rFonts w:ascii="Arial" w:hAnsi="Arial" w:cs="Arial"/>
                <w:sz w:val="20"/>
                <w:lang w:val="es-ES_tradnl"/>
              </w:rPr>
              <w:t>Empleados capacitados en las funciones de la nueva entidad propietaria de EEPP.</w:t>
            </w:r>
          </w:p>
        </w:tc>
        <w:tc>
          <w:tcPr>
            <w:tcW w:w="1340" w:type="dxa"/>
            <w:vAlign w:val="center"/>
          </w:tcPr>
          <w:p w14:paraId="7CC82110" w14:textId="77777777" w:rsidR="00B72A02" w:rsidRPr="00634AD8" w:rsidRDefault="00B72A02" w:rsidP="00B72A02">
            <w:pPr>
              <w:jc w:val="center"/>
              <w:rPr>
                <w:rFonts w:ascii="Arial" w:hAnsi="Arial" w:cs="Arial"/>
                <w:sz w:val="20"/>
              </w:rPr>
            </w:pPr>
            <w:r w:rsidRPr="00634AD8">
              <w:rPr>
                <w:rFonts w:ascii="Arial" w:hAnsi="Arial" w:cs="Arial"/>
                <w:sz w:val="20"/>
              </w:rPr>
              <w:t>Empleados</w:t>
            </w:r>
          </w:p>
        </w:tc>
        <w:tc>
          <w:tcPr>
            <w:tcW w:w="820" w:type="dxa"/>
            <w:vAlign w:val="center"/>
          </w:tcPr>
          <w:p w14:paraId="24A96531" w14:textId="77777777" w:rsidR="00B72A02" w:rsidRPr="00634AD8" w:rsidRDefault="00B72A02" w:rsidP="00B72A02">
            <w:pPr>
              <w:jc w:val="center"/>
              <w:rPr>
                <w:rFonts w:ascii="Arial" w:hAnsi="Arial" w:cs="Arial"/>
                <w:sz w:val="20"/>
              </w:rPr>
            </w:pPr>
            <w:r w:rsidRPr="00634AD8">
              <w:rPr>
                <w:rFonts w:ascii="Arial" w:hAnsi="Arial" w:cs="Arial"/>
                <w:sz w:val="20"/>
              </w:rPr>
              <w:t>0</w:t>
            </w:r>
          </w:p>
        </w:tc>
        <w:tc>
          <w:tcPr>
            <w:tcW w:w="960" w:type="dxa"/>
            <w:vAlign w:val="center"/>
          </w:tcPr>
          <w:p w14:paraId="119BBE61" w14:textId="77777777" w:rsidR="00B72A02" w:rsidRPr="00634AD8" w:rsidRDefault="00B72A02" w:rsidP="00B72A02">
            <w:pPr>
              <w:jc w:val="center"/>
              <w:rPr>
                <w:rFonts w:ascii="Arial" w:hAnsi="Arial" w:cs="Arial"/>
                <w:sz w:val="20"/>
              </w:rPr>
            </w:pPr>
            <w:r w:rsidRPr="00634AD8">
              <w:rPr>
                <w:rFonts w:ascii="Arial" w:hAnsi="Arial" w:cs="Arial"/>
                <w:sz w:val="20"/>
              </w:rPr>
              <w:t>2018</w:t>
            </w:r>
          </w:p>
        </w:tc>
        <w:tc>
          <w:tcPr>
            <w:tcW w:w="1005" w:type="dxa"/>
            <w:vAlign w:val="center"/>
          </w:tcPr>
          <w:p w14:paraId="1EE33DD9" w14:textId="77777777" w:rsidR="00B72A02" w:rsidRPr="00634AD8" w:rsidRDefault="00B72A02" w:rsidP="00B72A02">
            <w:pPr>
              <w:jc w:val="center"/>
              <w:rPr>
                <w:rFonts w:ascii="Arial" w:hAnsi="Arial" w:cs="Arial"/>
                <w:sz w:val="20"/>
              </w:rPr>
            </w:pPr>
            <w:r w:rsidRPr="00634AD8">
              <w:rPr>
                <w:rFonts w:ascii="Arial" w:hAnsi="Arial" w:cs="Arial"/>
                <w:sz w:val="20"/>
              </w:rPr>
              <w:t>0</w:t>
            </w:r>
          </w:p>
        </w:tc>
        <w:tc>
          <w:tcPr>
            <w:tcW w:w="990" w:type="dxa"/>
            <w:vAlign w:val="center"/>
          </w:tcPr>
          <w:p w14:paraId="0EC86090" w14:textId="1ECCBD45" w:rsidR="00B72A02" w:rsidRPr="00634AD8" w:rsidRDefault="00B72A02" w:rsidP="00B72A02">
            <w:pPr>
              <w:jc w:val="center"/>
              <w:rPr>
                <w:rFonts w:ascii="Arial" w:hAnsi="Arial" w:cs="Arial"/>
                <w:sz w:val="20"/>
              </w:rPr>
            </w:pPr>
            <w:r w:rsidRPr="00634AD8">
              <w:rPr>
                <w:rFonts w:ascii="Arial" w:hAnsi="Arial" w:cs="Arial"/>
                <w:sz w:val="20"/>
              </w:rPr>
              <w:t>0</w:t>
            </w:r>
          </w:p>
        </w:tc>
        <w:tc>
          <w:tcPr>
            <w:tcW w:w="1440" w:type="dxa"/>
            <w:vAlign w:val="center"/>
          </w:tcPr>
          <w:p w14:paraId="382D26AA" w14:textId="2F85D4E3" w:rsidR="00B72A02" w:rsidRPr="00634AD8" w:rsidRDefault="00B72A02" w:rsidP="00B72A02">
            <w:pPr>
              <w:jc w:val="center"/>
              <w:rPr>
                <w:rFonts w:ascii="Arial" w:hAnsi="Arial" w:cs="Arial"/>
                <w:sz w:val="20"/>
              </w:rPr>
            </w:pPr>
            <w:r w:rsidRPr="00634AD8">
              <w:rPr>
                <w:rFonts w:ascii="Arial" w:hAnsi="Arial" w:cs="Arial"/>
                <w:sz w:val="20"/>
              </w:rPr>
              <w:t>22.400</w:t>
            </w:r>
          </w:p>
        </w:tc>
        <w:tc>
          <w:tcPr>
            <w:tcW w:w="1969" w:type="dxa"/>
            <w:vAlign w:val="center"/>
          </w:tcPr>
          <w:p w14:paraId="373123FF" w14:textId="3777355B" w:rsidR="00B72A02" w:rsidRPr="00634AD8" w:rsidRDefault="00B72A02" w:rsidP="00B72A02">
            <w:pPr>
              <w:jc w:val="center"/>
              <w:rPr>
                <w:rFonts w:ascii="Arial" w:hAnsi="Arial" w:cs="Arial"/>
                <w:sz w:val="20"/>
              </w:rPr>
            </w:pPr>
            <w:r w:rsidRPr="00634AD8">
              <w:rPr>
                <w:rFonts w:ascii="Arial" w:hAnsi="Arial" w:cs="Arial"/>
                <w:sz w:val="20"/>
              </w:rPr>
              <w:t>0</w:t>
            </w:r>
          </w:p>
        </w:tc>
        <w:tc>
          <w:tcPr>
            <w:tcW w:w="1710" w:type="dxa"/>
            <w:vAlign w:val="center"/>
          </w:tcPr>
          <w:p w14:paraId="733EB81D" w14:textId="49D6AE47" w:rsidR="00B72A02" w:rsidRPr="00634AD8" w:rsidRDefault="00B72A02" w:rsidP="00B72A02">
            <w:pPr>
              <w:jc w:val="center"/>
              <w:rPr>
                <w:rFonts w:ascii="Arial" w:hAnsi="Arial" w:cs="Arial"/>
                <w:sz w:val="20"/>
              </w:rPr>
            </w:pPr>
            <w:r w:rsidRPr="00634AD8">
              <w:rPr>
                <w:rFonts w:ascii="Arial" w:hAnsi="Arial" w:cs="Arial"/>
                <w:sz w:val="20"/>
              </w:rPr>
              <w:t>22.400</w:t>
            </w:r>
          </w:p>
        </w:tc>
      </w:tr>
      <w:tr w:rsidR="00B72A02" w:rsidRPr="001C5AC3" w14:paraId="50D566C0" w14:textId="77777777" w:rsidTr="006A6339">
        <w:trPr>
          <w:jc w:val="center"/>
        </w:trPr>
        <w:tc>
          <w:tcPr>
            <w:tcW w:w="3785" w:type="dxa"/>
            <w:vAlign w:val="center"/>
          </w:tcPr>
          <w:p w14:paraId="1FB3174A" w14:textId="3058627E" w:rsidR="00B72A02" w:rsidRPr="00634AD8" w:rsidRDefault="00B72A02" w:rsidP="00266E44">
            <w:pPr>
              <w:pStyle w:val="ListParagraph"/>
              <w:numPr>
                <w:ilvl w:val="0"/>
                <w:numId w:val="52"/>
              </w:numPr>
              <w:ind w:left="691"/>
              <w:rPr>
                <w:rFonts w:ascii="Arial" w:hAnsi="Arial" w:cs="Arial"/>
                <w:sz w:val="20"/>
                <w:lang w:val="es-ES_tradnl"/>
              </w:rPr>
            </w:pPr>
            <w:r w:rsidRPr="00634AD8">
              <w:rPr>
                <w:rFonts w:ascii="Arial" w:hAnsi="Arial" w:cs="Arial"/>
                <w:sz w:val="20"/>
                <w:lang w:val="es-ES_tradnl"/>
              </w:rPr>
              <w:t>Informe de socialización de la nueva entidad propietaria aprobado.</w:t>
            </w:r>
          </w:p>
        </w:tc>
        <w:tc>
          <w:tcPr>
            <w:tcW w:w="1340" w:type="dxa"/>
            <w:vAlign w:val="center"/>
          </w:tcPr>
          <w:p w14:paraId="3491328C" w14:textId="77777777" w:rsidR="00B72A02" w:rsidRPr="00634AD8" w:rsidRDefault="00B72A02" w:rsidP="00B72A02">
            <w:pPr>
              <w:jc w:val="center"/>
              <w:rPr>
                <w:rFonts w:ascii="Arial" w:hAnsi="Arial" w:cs="Arial"/>
                <w:sz w:val="20"/>
              </w:rPr>
            </w:pPr>
            <w:r w:rsidRPr="00634AD8">
              <w:rPr>
                <w:rFonts w:ascii="Arial" w:hAnsi="Arial" w:cs="Arial"/>
                <w:sz w:val="20"/>
              </w:rPr>
              <w:t>Informe</w:t>
            </w:r>
          </w:p>
        </w:tc>
        <w:tc>
          <w:tcPr>
            <w:tcW w:w="820" w:type="dxa"/>
            <w:vAlign w:val="center"/>
          </w:tcPr>
          <w:p w14:paraId="414CF555" w14:textId="77777777" w:rsidR="00B72A02" w:rsidRPr="00634AD8" w:rsidRDefault="00B72A02" w:rsidP="00B72A02">
            <w:pPr>
              <w:jc w:val="center"/>
              <w:rPr>
                <w:rFonts w:ascii="Arial" w:hAnsi="Arial" w:cs="Arial"/>
                <w:sz w:val="20"/>
              </w:rPr>
            </w:pPr>
            <w:r w:rsidRPr="00634AD8">
              <w:rPr>
                <w:rFonts w:ascii="Arial" w:hAnsi="Arial" w:cs="Arial"/>
                <w:sz w:val="20"/>
              </w:rPr>
              <w:t>0</w:t>
            </w:r>
          </w:p>
        </w:tc>
        <w:tc>
          <w:tcPr>
            <w:tcW w:w="960" w:type="dxa"/>
            <w:vAlign w:val="center"/>
          </w:tcPr>
          <w:p w14:paraId="406C9ADD" w14:textId="77777777" w:rsidR="00B72A02" w:rsidRPr="00634AD8" w:rsidRDefault="00B72A02" w:rsidP="00B72A02">
            <w:pPr>
              <w:jc w:val="center"/>
              <w:rPr>
                <w:rFonts w:ascii="Arial" w:hAnsi="Arial" w:cs="Arial"/>
                <w:sz w:val="20"/>
              </w:rPr>
            </w:pPr>
            <w:r w:rsidRPr="00634AD8">
              <w:rPr>
                <w:rFonts w:ascii="Arial" w:hAnsi="Arial" w:cs="Arial"/>
                <w:sz w:val="20"/>
              </w:rPr>
              <w:t>2018</w:t>
            </w:r>
          </w:p>
        </w:tc>
        <w:tc>
          <w:tcPr>
            <w:tcW w:w="1005" w:type="dxa"/>
            <w:vAlign w:val="center"/>
          </w:tcPr>
          <w:p w14:paraId="217DFA16" w14:textId="77777777" w:rsidR="00B72A02" w:rsidRPr="00634AD8" w:rsidRDefault="00B72A02" w:rsidP="00B72A02">
            <w:pPr>
              <w:jc w:val="center"/>
              <w:rPr>
                <w:rFonts w:ascii="Arial" w:hAnsi="Arial" w:cs="Arial"/>
                <w:sz w:val="20"/>
              </w:rPr>
            </w:pPr>
            <w:r w:rsidRPr="00634AD8">
              <w:rPr>
                <w:rFonts w:ascii="Arial" w:hAnsi="Arial" w:cs="Arial"/>
                <w:sz w:val="20"/>
              </w:rPr>
              <w:t>0</w:t>
            </w:r>
          </w:p>
        </w:tc>
        <w:tc>
          <w:tcPr>
            <w:tcW w:w="990" w:type="dxa"/>
            <w:vAlign w:val="center"/>
          </w:tcPr>
          <w:p w14:paraId="78EFE3BF" w14:textId="7346BF8B" w:rsidR="00B72A02" w:rsidRPr="00634AD8" w:rsidRDefault="00B72A02" w:rsidP="00B72A02">
            <w:pPr>
              <w:jc w:val="center"/>
              <w:rPr>
                <w:rFonts w:ascii="Arial" w:hAnsi="Arial" w:cs="Arial"/>
                <w:sz w:val="20"/>
              </w:rPr>
            </w:pPr>
            <w:r w:rsidRPr="00634AD8">
              <w:rPr>
                <w:rFonts w:ascii="Arial" w:hAnsi="Arial" w:cs="Arial"/>
                <w:sz w:val="20"/>
              </w:rPr>
              <w:t>0</w:t>
            </w:r>
          </w:p>
        </w:tc>
        <w:tc>
          <w:tcPr>
            <w:tcW w:w="1440" w:type="dxa"/>
            <w:vAlign w:val="center"/>
          </w:tcPr>
          <w:p w14:paraId="26011AB6" w14:textId="7C2F2F61" w:rsidR="00B72A02" w:rsidRPr="00634AD8" w:rsidRDefault="00B72A02" w:rsidP="00B72A02">
            <w:pPr>
              <w:jc w:val="center"/>
              <w:rPr>
                <w:rFonts w:ascii="Arial" w:hAnsi="Arial" w:cs="Arial"/>
                <w:sz w:val="20"/>
              </w:rPr>
            </w:pPr>
            <w:r w:rsidRPr="00634AD8">
              <w:rPr>
                <w:rFonts w:ascii="Arial" w:hAnsi="Arial" w:cs="Arial"/>
                <w:sz w:val="20"/>
              </w:rPr>
              <w:t>22.400</w:t>
            </w:r>
          </w:p>
        </w:tc>
        <w:tc>
          <w:tcPr>
            <w:tcW w:w="1969" w:type="dxa"/>
            <w:vAlign w:val="center"/>
          </w:tcPr>
          <w:p w14:paraId="136A8991" w14:textId="700B85A0" w:rsidR="00B72A02" w:rsidRPr="00634AD8" w:rsidRDefault="00B72A02" w:rsidP="00B72A02">
            <w:pPr>
              <w:jc w:val="center"/>
              <w:rPr>
                <w:rFonts w:ascii="Arial" w:hAnsi="Arial" w:cs="Arial"/>
                <w:sz w:val="20"/>
              </w:rPr>
            </w:pPr>
            <w:r w:rsidRPr="00634AD8">
              <w:rPr>
                <w:rFonts w:ascii="Arial" w:hAnsi="Arial" w:cs="Arial"/>
                <w:sz w:val="20"/>
              </w:rPr>
              <w:t>0</w:t>
            </w:r>
          </w:p>
        </w:tc>
        <w:tc>
          <w:tcPr>
            <w:tcW w:w="1710" w:type="dxa"/>
            <w:vAlign w:val="center"/>
          </w:tcPr>
          <w:p w14:paraId="792C4428" w14:textId="05124377" w:rsidR="00B72A02" w:rsidRPr="00634AD8" w:rsidRDefault="00B72A02" w:rsidP="00B72A02">
            <w:pPr>
              <w:jc w:val="center"/>
              <w:rPr>
                <w:rFonts w:ascii="Arial" w:hAnsi="Arial" w:cs="Arial"/>
                <w:sz w:val="20"/>
              </w:rPr>
            </w:pPr>
            <w:r w:rsidRPr="00634AD8">
              <w:rPr>
                <w:rFonts w:ascii="Arial" w:hAnsi="Arial" w:cs="Arial"/>
                <w:sz w:val="20"/>
              </w:rPr>
              <w:t>22.400</w:t>
            </w:r>
          </w:p>
        </w:tc>
      </w:tr>
      <w:tr w:rsidR="00BA4A16" w:rsidRPr="001C5AC3" w14:paraId="3FFE45F6" w14:textId="77777777" w:rsidTr="006A6339">
        <w:trPr>
          <w:jc w:val="center"/>
        </w:trPr>
        <w:tc>
          <w:tcPr>
            <w:tcW w:w="3785" w:type="dxa"/>
            <w:vAlign w:val="center"/>
          </w:tcPr>
          <w:p w14:paraId="25D3B143" w14:textId="49C7595C" w:rsidR="00BA4A16" w:rsidRPr="00634AD8" w:rsidRDefault="00BA4A16" w:rsidP="00266E44">
            <w:pPr>
              <w:pStyle w:val="ListParagraph"/>
              <w:numPr>
                <w:ilvl w:val="0"/>
                <w:numId w:val="52"/>
              </w:numPr>
              <w:ind w:left="691"/>
              <w:rPr>
                <w:rFonts w:ascii="Arial" w:hAnsi="Arial" w:cs="Arial"/>
                <w:sz w:val="20"/>
                <w:lang w:val="es-ES_tradnl"/>
              </w:rPr>
            </w:pPr>
            <w:r w:rsidRPr="00634AD8">
              <w:rPr>
                <w:rFonts w:ascii="Arial" w:hAnsi="Arial" w:cs="Arial"/>
                <w:sz w:val="20"/>
                <w:lang w:val="es-ES_tradnl"/>
              </w:rPr>
              <w:t xml:space="preserve">Informe </w:t>
            </w:r>
            <w:r w:rsidRPr="00634AD8">
              <w:rPr>
                <w:rFonts w:ascii="Arial" w:hAnsi="Arial" w:cs="Arial"/>
                <w:sz w:val="20"/>
                <w:lang w:val="es-ES"/>
              </w:rPr>
              <w:t>de contrato de gestión del desempeño entre entidad propietaria y EE.PP</w:t>
            </w:r>
            <w:r w:rsidRPr="00634AD8">
              <w:rPr>
                <w:rFonts w:ascii="Arial" w:hAnsi="Arial" w:cs="Arial"/>
                <w:sz w:val="20"/>
                <w:lang w:val="es-ES_tradnl"/>
              </w:rPr>
              <w:t xml:space="preserve">. </w:t>
            </w:r>
            <w:r w:rsidRPr="00634AD8">
              <w:rPr>
                <w:rFonts w:ascii="Arial" w:hAnsi="Arial" w:cs="Arial"/>
                <w:sz w:val="20"/>
                <w:lang w:val="es-ES"/>
              </w:rPr>
              <w:t>aprobado</w:t>
            </w:r>
            <w:r w:rsidR="006D4ACE" w:rsidRPr="00634AD8">
              <w:rPr>
                <w:rStyle w:val="FootnoteReference"/>
                <w:rFonts w:ascii="Arial" w:hAnsi="Arial" w:cs="Arial"/>
                <w:lang w:val="es-ES"/>
              </w:rPr>
              <w:footnoteReference w:id="32"/>
            </w:r>
          </w:p>
        </w:tc>
        <w:tc>
          <w:tcPr>
            <w:tcW w:w="1340" w:type="dxa"/>
            <w:vAlign w:val="center"/>
          </w:tcPr>
          <w:p w14:paraId="45442531" w14:textId="77777777" w:rsidR="00BA4A16" w:rsidRPr="00634AD8" w:rsidRDefault="00BA4A16" w:rsidP="008E6B62">
            <w:pPr>
              <w:jc w:val="center"/>
              <w:rPr>
                <w:rFonts w:ascii="Arial" w:hAnsi="Arial" w:cs="Arial"/>
                <w:sz w:val="20"/>
              </w:rPr>
            </w:pPr>
            <w:r w:rsidRPr="00634AD8">
              <w:rPr>
                <w:rFonts w:ascii="Arial" w:hAnsi="Arial" w:cs="Arial"/>
                <w:sz w:val="20"/>
              </w:rPr>
              <w:t>Informe</w:t>
            </w:r>
          </w:p>
        </w:tc>
        <w:tc>
          <w:tcPr>
            <w:tcW w:w="820" w:type="dxa"/>
            <w:vAlign w:val="center"/>
          </w:tcPr>
          <w:p w14:paraId="62539813"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3BFDF17C"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1826010F"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05035C38" w14:textId="28B2D4EB" w:rsidR="00BA4A16" w:rsidRPr="00634AD8" w:rsidRDefault="00D7507A" w:rsidP="008E6B62">
            <w:pPr>
              <w:jc w:val="center"/>
              <w:rPr>
                <w:rFonts w:ascii="Arial" w:hAnsi="Arial" w:cs="Arial"/>
                <w:sz w:val="20"/>
              </w:rPr>
            </w:pPr>
            <w:r w:rsidRPr="00634AD8">
              <w:rPr>
                <w:rFonts w:ascii="Arial" w:hAnsi="Arial" w:cs="Arial"/>
                <w:sz w:val="20"/>
              </w:rPr>
              <w:t>77.840</w:t>
            </w:r>
          </w:p>
        </w:tc>
        <w:tc>
          <w:tcPr>
            <w:tcW w:w="1440" w:type="dxa"/>
            <w:vAlign w:val="center"/>
          </w:tcPr>
          <w:p w14:paraId="6CF5738F"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1F5F1D0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1EE9548F" w14:textId="6F9F070C" w:rsidR="00BA4A16" w:rsidRPr="00634AD8" w:rsidRDefault="006D4ACE" w:rsidP="008E6B62">
            <w:pPr>
              <w:jc w:val="center"/>
              <w:rPr>
                <w:rFonts w:ascii="Arial" w:hAnsi="Arial" w:cs="Arial"/>
                <w:sz w:val="20"/>
              </w:rPr>
            </w:pPr>
            <w:r w:rsidRPr="00634AD8">
              <w:rPr>
                <w:rFonts w:ascii="Arial" w:hAnsi="Arial" w:cs="Arial"/>
                <w:sz w:val="20"/>
              </w:rPr>
              <w:t>77.840</w:t>
            </w:r>
          </w:p>
        </w:tc>
      </w:tr>
      <w:tr w:rsidR="00CC473E" w:rsidRPr="001C5AC3" w14:paraId="2E74DA27" w14:textId="77777777" w:rsidTr="00CE76F2">
        <w:trPr>
          <w:jc w:val="center"/>
        </w:trPr>
        <w:tc>
          <w:tcPr>
            <w:tcW w:w="14019" w:type="dxa"/>
            <w:gridSpan w:val="9"/>
            <w:vAlign w:val="center"/>
          </w:tcPr>
          <w:p w14:paraId="1B0F2115" w14:textId="67CB8C12" w:rsidR="00CC473E" w:rsidRPr="00B05D31" w:rsidRDefault="00B05D31" w:rsidP="00266E44">
            <w:pPr>
              <w:pStyle w:val="ListParagraph"/>
              <w:numPr>
                <w:ilvl w:val="0"/>
                <w:numId w:val="51"/>
              </w:numPr>
              <w:ind w:left="511" w:hanging="270"/>
              <w:rPr>
                <w:rFonts w:ascii="Arial" w:hAnsi="Arial" w:cs="Arial"/>
                <w:sz w:val="20"/>
              </w:rPr>
            </w:pPr>
            <w:r w:rsidRPr="00B05D31">
              <w:rPr>
                <w:rFonts w:ascii="Arial" w:hAnsi="Arial" w:cs="Arial"/>
                <w:bCs/>
                <w:sz w:val="20"/>
                <w:lang w:val="es-ES"/>
              </w:rPr>
              <w:t>Fortalecimiento de la DNEP</w:t>
            </w:r>
          </w:p>
        </w:tc>
      </w:tr>
      <w:tr w:rsidR="00D7507A" w:rsidRPr="001C5AC3" w14:paraId="00D1E05E" w14:textId="77777777" w:rsidTr="006A6339">
        <w:trPr>
          <w:jc w:val="center"/>
        </w:trPr>
        <w:tc>
          <w:tcPr>
            <w:tcW w:w="3785" w:type="dxa"/>
            <w:vAlign w:val="center"/>
          </w:tcPr>
          <w:p w14:paraId="18CED000" w14:textId="6DAEBAB5" w:rsidR="00D7507A" w:rsidRPr="00634AD8" w:rsidRDefault="00D7507A" w:rsidP="00266E44">
            <w:pPr>
              <w:pStyle w:val="ListParagraph"/>
              <w:numPr>
                <w:ilvl w:val="0"/>
                <w:numId w:val="53"/>
              </w:numPr>
              <w:ind w:left="691"/>
              <w:rPr>
                <w:rFonts w:ascii="Arial" w:hAnsi="Arial" w:cs="Arial"/>
                <w:sz w:val="20"/>
                <w:lang w:val="es-ES_tradnl"/>
              </w:rPr>
            </w:pPr>
            <w:r w:rsidRPr="00634AD8">
              <w:rPr>
                <w:rFonts w:ascii="Arial" w:hAnsi="Arial" w:cs="Arial"/>
                <w:sz w:val="20"/>
                <w:lang w:val="es-ES_tradnl"/>
              </w:rPr>
              <w:t>Estudios de costes de producción para asistir la formulación presupuestaria aprobado</w:t>
            </w:r>
          </w:p>
        </w:tc>
        <w:tc>
          <w:tcPr>
            <w:tcW w:w="1340" w:type="dxa"/>
            <w:vAlign w:val="center"/>
          </w:tcPr>
          <w:p w14:paraId="510E5D7A" w14:textId="77777777" w:rsidR="00D7507A" w:rsidRPr="00634AD8" w:rsidRDefault="00D7507A" w:rsidP="00D7507A">
            <w:pPr>
              <w:jc w:val="center"/>
              <w:rPr>
                <w:rFonts w:ascii="Arial" w:hAnsi="Arial" w:cs="Arial"/>
                <w:sz w:val="20"/>
              </w:rPr>
            </w:pPr>
            <w:r w:rsidRPr="00634AD8">
              <w:rPr>
                <w:rFonts w:ascii="Arial" w:hAnsi="Arial" w:cs="Arial"/>
                <w:sz w:val="20"/>
              </w:rPr>
              <w:t>Estudio</w:t>
            </w:r>
          </w:p>
        </w:tc>
        <w:tc>
          <w:tcPr>
            <w:tcW w:w="820" w:type="dxa"/>
            <w:vAlign w:val="center"/>
          </w:tcPr>
          <w:p w14:paraId="2F24E41E"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60" w:type="dxa"/>
            <w:vAlign w:val="center"/>
          </w:tcPr>
          <w:p w14:paraId="355021B9" w14:textId="77777777" w:rsidR="00D7507A" w:rsidRPr="00634AD8" w:rsidRDefault="00D7507A" w:rsidP="00D7507A">
            <w:pPr>
              <w:jc w:val="center"/>
              <w:rPr>
                <w:rFonts w:ascii="Arial" w:hAnsi="Arial" w:cs="Arial"/>
                <w:sz w:val="20"/>
              </w:rPr>
            </w:pPr>
            <w:r w:rsidRPr="00634AD8">
              <w:rPr>
                <w:rFonts w:ascii="Arial" w:hAnsi="Arial" w:cs="Arial"/>
                <w:sz w:val="20"/>
              </w:rPr>
              <w:t>2018</w:t>
            </w:r>
          </w:p>
        </w:tc>
        <w:tc>
          <w:tcPr>
            <w:tcW w:w="1005" w:type="dxa"/>
            <w:vAlign w:val="center"/>
          </w:tcPr>
          <w:p w14:paraId="5E2A9357"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90" w:type="dxa"/>
            <w:vAlign w:val="center"/>
          </w:tcPr>
          <w:p w14:paraId="22636858" w14:textId="42DE42BB" w:rsidR="00D7507A" w:rsidRPr="00634AD8" w:rsidRDefault="00D7507A" w:rsidP="00D7507A">
            <w:pPr>
              <w:jc w:val="center"/>
              <w:rPr>
                <w:rFonts w:ascii="Arial" w:hAnsi="Arial" w:cs="Arial"/>
                <w:sz w:val="20"/>
              </w:rPr>
            </w:pPr>
            <w:r w:rsidRPr="00634AD8">
              <w:rPr>
                <w:rFonts w:ascii="Arial" w:hAnsi="Arial" w:cs="Arial"/>
                <w:sz w:val="20"/>
              </w:rPr>
              <w:t>244.160</w:t>
            </w:r>
          </w:p>
        </w:tc>
        <w:tc>
          <w:tcPr>
            <w:tcW w:w="1440" w:type="dxa"/>
            <w:vAlign w:val="center"/>
          </w:tcPr>
          <w:p w14:paraId="5AA6B57C"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1969" w:type="dxa"/>
            <w:vAlign w:val="center"/>
          </w:tcPr>
          <w:p w14:paraId="488D34C2"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1710" w:type="dxa"/>
            <w:vAlign w:val="center"/>
          </w:tcPr>
          <w:p w14:paraId="6C2DC0BA" w14:textId="63B2E503" w:rsidR="00D7507A" w:rsidRPr="00634AD8" w:rsidRDefault="00D7507A" w:rsidP="00D7507A">
            <w:pPr>
              <w:jc w:val="center"/>
              <w:rPr>
                <w:rFonts w:ascii="Arial" w:hAnsi="Arial" w:cs="Arial"/>
                <w:sz w:val="20"/>
              </w:rPr>
            </w:pPr>
            <w:r w:rsidRPr="00634AD8">
              <w:rPr>
                <w:rFonts w:ascii="Arial" w:hAnsi="Arial" w:cs="Arial"/>
                <w:sz w:val="20"/>
              </w:rPr>
              <w:t>244.160</w:t>
            </w:r>
          </w:p>
        </w:tc>
      </w:tr>
      <w:tr w:rsidR="00D7507A" w:rsidRPr="001C5AC3" w14:paraId="167B1D12" w14:textId="77777777" w:rsidTr="006A6339">
        <w:trPr>
          <w:jc w:val="center"/>
        </w:trPr>
        <w:tc>
          <w:tcPr>
            <w:tcW w:w="3785" w:type="dxa"/>
            <w:vAlign w:val="center"/>
          </w:tcPr>
          <w:p w14:paraId="0E992AC0" w14:textId="633DA4EB" w:rsidR="00D7507A" w:rsidRPr="00634AD8" w:rsidRDefault="00D7507A" w:rsidP="00266E44">
            <w:pPr>
              <w:pStyle w:val="ListParagraph"/>
              <w:numPr>
                <w:ilvl w:val="0"/>
                <w:numId w:val="53"/>
              </w:numPr>
              <w:ind w:left="691"/>
              <w:rPr>
                <w:rFonts w:ascii="Arial" w:hAnsi="Arial" w:cs="Arial"/>
                <w:sz w:val="20"/>
                <w:lang w:val="es-ES_tradnl"/>
              </w:rPr>
            </w:pPr>
            <w:r w:rsidRPr="00634AD8">
              <w:rPr>
                <w:rFonts w:ascii="Arial" w:hAnsi="Arial" w:cs="Arial"/>
                <w:sz w:val="20"/>
                <w:lang w:val="es-ES_tradnl"/>
              </w:rPr>
              <w:t>Informe de diseño de sistemas de certificación de capacidad de pago</w:t>
            </w:r>
            <w:r w:rsidRPr="00634AD8">
              <w:rPr>
                <w:rFonts w:ascii="Arial" w:hAnsi="Arial" w:cs="Arial"/>
                <w:sz w:val="20"/>
                <w:lang w:val="es-ES"/>
              </w:rPr>
              <w:t xml:space="preserve"> </w:t>
            </w:r>
            <w:r w:rsidRPr="00634AD8">
              <w:rPr>
                <w:rFonts w:ascii="Arial" w:hAnsi="Arial" w:cs="Arial"/>
                <w:sz w:val="20"/>
                <w:lang w:val="es-ES_tradnl"/>
              </w:rPr>
              <w:t>y límites de endeudamiento aprobado</w:t>
            </w:r>
          </w:p>
        </w:tc>
        <w:tc>
          <w:tcPr>
            <w:tcW w:w="1340" w:type="dxa"/>
            <w:vAlign w:val="center"/>
          </w:tcPr>
          <w:p w14:paraId="2509CEDC" w14:textId="77777777" w:rsidR="00D7507A" w:rsidRPr="00634AD8" w:rsidRDefault="00D7507A" w:rsidP="00D7507A">
            <w:pPr>
              <w:jc w:val="center"/>
              <w:rPr>
                <w:rFonts w:ascii="Arial" w:hAnsi="Arial" w:cs="Arial"/>
                <w:sz w:val="20"/>
              </w:rPr>
            </w:pPr>
            <w:r w:rsidRPr="00634AD8">
              <w:rPr>
                <w:rFonts w:ascii="Arial" w:hAnsi="Arial" w:cs="Arial"/>
                <w:sz w:val="20"/>
              </w:rPr>
              <w:t>Informe</w:t>
            </w:r>
          </w:p>
        </w:tc>
        <w:tc>
          <w:tcPr>
            <w:tcW w:w="820" w:type="dxa"/>
            <w:vAlign w:val="center"/>
          </w:tcPr>
          <w:p w14:paraId="04519B5D"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60" w:type="dxa"/>
            <w:vAlign w:val="center"/>
          </w:tcPr>
          <w:p w14:paraId="49C1FAEA" w14:textId="77777777" w:rsidR="00D7507A" w:rsidRPr="00634AD8" w:rsidRDefault="00D7507A" w:rsidP="00D7507A">
            <w:pPr>
              <w:jc w:val="center"/>
              <w:rPr>
                <w:rFonts w:ascii="Arial" w:hAnsi="Arial" w:cs="Arial"/>
                <w:sz w:val="20"/>
              </w:rPr>
            </w:pPr>
            <w:r w:rsidRPr="00634AD8">
              <w:rPr>
                <w:rFonts w:ascii="Arial" w:hAnsi="Arial" w:cs="Arial"/>
                <w:sz w:val="20"/>
              </w:rPr>
              <w:t>2018</w:t>
            </w:r>
          </w:p>
        </w:tc>
        <w:tc>
          <w:tcPr>
            <w:tcW w:w="1005" w:type="dxa"/>
            <w:vAlign w:val="center"/>
          </w:tcPr>
          <w:p w14:paraId="31C3C713"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90" w:type="dxa"/>
            <w:vAlign w:val="center"/>
          </w:tcPr>
          <w:p w14:paraId="3EB900D0" w14:textId="61087F33" w:rsidR="00D7507A" w:rsidRPr="00634AD8" w:rsidRDefault="00D7507A" w:rsidP="00D7507A">
            <w:pPr>
              <w:jc w:val="center"/>
              <w:rPr>
                <w:rFonts w:ascii="Arial" w:hAnsi="Arial" w:cs="Arial"/>
                <w:sz w:val="20"/>
              </w:rPr>
            </w:pPr>
            <w:r w:rsidRPr="00634AD8">
              <w:rPr>
                <w:rFonts w:ascii="Arial" w:hAnsi="Arial" w:cs="Arial"/>
                <w:sz w:val="20"/>
              </w:rPr>
              <w:t>59.360</w:t>
            </w:r>
          </w:p>
        </w:tc>
        <w:tc>
          <w:tcPr>
            <w:tcW w:w="1440" w:type="dxa"/>
            <w:vAlign w:val="center"/>
          </w:tcPr>
          <w:p w14:paraId="5A610E64"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1969" w:type="dxa"/>
            <w:vAlign w:val="center"/>
          </w:tcPr>
          <w:p w14:paraId="58720292"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1710" w:type="dxa"/>
            <w:vAlign w:val="center"/>
          </w:tcPr>
          <w:p w14:paraId="28D978A0" w14:textId="1E04C2F0" w:rsidR="00D7507A" w:rsidRPr="00634AD8" w:rsidRDefault="00D7507A" w:rsidP="00D7507A">
            <w:pPr>
              <w:jc w:val="center"/>
              <w:rPr>
                <w:rFonts w:ascii="Arial" w:hAnsi="Arial" w:cs="Arial"/>
                <w:sz w:val="20"/>
              </w:rPr>
            </w:pPr>
            <w:r w:rsidRPr="00634AD8">
              <w:rPr>
                <w:rFonts w:ascii="Arial" w:hAnsi="Arial" w:cs="Arial"/>
                <w:sz w:val="20"/>
              </w:rPr>
              <w:t>59.360</w:t>
            </w:r>
          </w:p>
        </w:tc>
      </w:tr>
      <w:tr w:rsidR="00D7507A" w:rsidRPr="001C5AC3" w14:paraId="6FFDDE5F" w14:textId="77777777" w:rsidTr="006A6339">
        <w:trPr>
          <w:jc w:val="center"/>
        </w:trPr>
        <w:tc>
          <w:tcPr>
            <w:tcW w:w="3785" w:type="dxa"/>
            <w:vAlign w:val="center"/>
          </w:tcPr>
          <w:p w14:paraId="0C16F623" w14:textId="4EECAC41" w:rsidR="00D7507A" w:rsidRPr="00634AD8" w:rsidRDefault="00D7507A" w:rsidP="00266E44">
            <w:pPr>
              <w:pStyle w:val="ListParagraph"/>
              <w:numPr>
                <w:ilvl w:val="0"/>
                <w:numId w:val="53"/>
              </w:numPr>
              <w:ind w:left="691"/>
              <w:rPr>
                <w:rFonts w:ascii="Arial" w:hAnsi="Arial" w:cs="Arial"/>
                <w:sz w:val="20"/>
                <w:lang w:val="es-ES_tradnl"/>
              </w:rPr>
            </w:pPr>
            <w:r w:rsidRPr="00634AD8">
              <w:rPr>
                <w:rFonts w:ascii="Arial" w:hAnsi="Arial" w:cs="Arial"/>
                <w:sz w:val="20"/>
                <w:lang w:val="es-ES_tradnl"/>
              </w:rPr>
              <w:t>Software para la elaboración de estadísticas financieras a través de sistemas de reporte especializados implementado</w:t>
            </w:r>
          </w:p>
        </w:tc>
        <w:tc>
          <w:tcPr>
            <w:tcW w:w="1340" w:type="dxa"/>
            <w:vAlign w:val="center"/>
          </w:tcPr>
          <w:p w14:paraId="67ED51D6" w14:textId="77777777" w:rsidR="00D7507A" w:rsidRPr="00634AD8" w:rsidRDefault="00D7507A" w:rsidP="00D7507A">
            <w:pPr>
              <w:jc w:val="center"/>
              <w:rPr>
                <w:rFonts w:ascii="Arial" w:hAnsi="Arial" w:cs="Arial"/>
                <w:sz w:val="20"/>
              </w:rPr>
            </w:pPr>
            <w:r w:rsidRPr="00634AD8">
              <w:rPr>
                <w:rFonts w:ascii="Arial" w:hAnsi="Arial" w:cs="Arial"/>
                <w:sz w:val="20"/>
              </w:rPr>
              <w:t>Software</w:t>
            </w:r>
          </w:p>
        </w:tc>
        <w:tc>
          <w:tcPr>
            <w:tcW w:w="820" w:type="dxa"/>
            <w:vAlign w:val="center"/>
          </w:tcPr>
          <w:p w14:paraId="166976A1"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60" w:type="dxa"/>
            <w:vAlign w:val="center"/>
          </w:tcPr>
          <w:p w14:paraId="66F8C9F0" w14:textId="77777777" w:rsidR="00D7507A" w:rsidRPr="00634AD8" w:rsidRDefault="00D7507A" w:rsidP="00D7507A">
            <w:pPr>
              <w:jc w:val="center"/>
              <w:rPr>
                <w:rFonts w:ascii="Arial" w:hAnsi="Arial" w:cs="Arial"/>
                <w:sz w:val="20"/>
              </w:rPr>
            </w:pPr>
            <w:r w:rsidRPr="00634AD8">
              <w:rPr>
                <w:rFonts w:ascii="Arial" w:hAnsi="Arial" w:cs="Arial"/>
                <w:sz w:val="20"/>
              </w:rPr>
              <w:t>2018</w:t>
            </w:r>
          </w:p>
        </w:tc>
        <w:tc>
          <w:tcPr>
            <w:tcW w:w="1005" w:type="dxa"/>
          </w:tcPr>
          <w:p w14:paraId="7167F904" w14:textId="37B72AE2" w:rsidR="00D7507A" w:rsidRPr="00634AD8" w:rsidRDefault="00D7507A" w:rsidP="00D7507A">
            <w:pPr>
              <w:jc w:val="center"/>
              <w:rPr>
                <w:rFonts w:ascii="Arial" w:hAnsi="Arial" w:cs="Arial"/>
                <w:sz w:val="20"/>
              </w:rPr>
            </w:pPr>
            <w:r w:rsidRPr="00634AD8">
              <w:rPr>
                <w:rFonts w:ascii="Arial" w:hAnsi="Arial" w:cs="Arial"/>
                <w:sz w:val="20"/>
              </w:rPr>
              <w:t>0</w:t>
            </w:r>
          </w:p>
        </w:tc>
        <w:tc>
          <w:tcPr>
            <w:tcW w:w="990" w:type="dxa"/>
          </w:tcPr>
          <w:p w14:paraId="3CC8FFD2" w14:textId="08F4F4B3" w:rsidR="00D7507A" w:rsidRPr="00634AD8" w:rsidRDefault="00D7507A" w:rsidP="00D7507A">
            <w:pPr>
              <w:jc w:val="center"/>
              <w:rPr>
                <w:rFonts w:ascii="Arial" w:hAnsi="Arial" w:cs="Arial"/>
                <w:sz w:val="20"/>
              </w:rPr>
            </w:pPr>
            <w:r w:rsidRPr="00634AD8">
              <w:rPr>
                <w:rFonts w:ascii="Arial" w:hAnsi="Arial" w:cs="Arial"/>
                <w:sz w:val="20"/>
              </w:rPr>
              <w:t>0</w:t>
            </w:r>
          </w:p>
        </w:tc>
        <w:tc>
          <w:tcPr>
            <w:tcW w:w="1440" w:type="dxa"/>
          </w:tcPr>
          <w:p w14:paraId="060AEE63" w14:textId="385C2D47" w:rsidR="00D7507A" w:rsidRPr="00634AD8" w:rsidRDefault="00D7507A" w:rsidP="00D7507A">
            <w:pPr>
              <w:jc w:val="center"/>
              <w:rPr>
                <w:rFonts w:ascii="Arial" w:hAnsi="Arial" w:cs="Arial"/>
                <w:sz w:val="20"/>
              </w:rPr>
            </w:pPr>
            <w:r w:rsidRPr="00634AD8">
              <w:rPr>
                <w:rFonts w:ascii="Arial" w:hAnsi="Arial" w:cs="Arial"/>
                <w:sz w:val="20"/>
              </w:rPr>
              <w:t>135.386</w:t>
            </w:r>
          </w:p>
        </w:tc>
        <w:tc>
          <w:tcPr>
            <w:tcW w:w="1969" w:type="dxa"/>
            <w:vAlign w:val="center"/>
          </w:tcPr>
          <w:p w14:paraId="6C68104C"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1710" w:type="dxa"/>
            <w:vAlign w:val="center"/>
          </w:tcPr>
          <w:p w14:paraId="6F46269F" w14:textId="50BFD820" w:rsidR="00D7507A" w:rsidRPr="00634AD8" w:rsidRDefault="00D7507A" w:rsidP="00D7507A">
            <w:pPr>
              <w:jc w:val="center"/>
              <w:rPr>
                <w:rFonts w:ascii="Arial" w:hAnsi="Arial" w:cs="Arial"/>
                <w:sz w:val="20"/>
              </w:rPr>
            </w:pPr>
            <w:r w:rsidRPr="00634AD8">
              <w:rPr>
                <w:rFonts w:ascii="Arial" w:hAnsi="Arial" w:cs="Arial"/>
                <w:sz w:val="20"/>
              </w:rPr>
              <w:t>135.386</w:t>
            </w:r>
          </w:p>
        </w:tc>
      </w:tr>
      <w:tr w:rsidR="00A15983" w:rsidRPr="001C5AC3" w14:paraId="0FEDCF82" w14:textId="77777777" w:rsidTr="006A6339">
        <w:trPr>
          <w:jc w:val="center"/>
        </w:trPr>
        <w:tc>
          <w:tcPr>
            <w:tcW w:w="3785" w:type="dxa"/>
            <w:vAlign w:val="center"/>
          </w:tcPr>
          <w:p w14:paraId="7948E4CF" w14:textId="68990E21" w:rsidR="00A15983" w:rsidRPr="00E769E5" w:rsidRDefault="00A15983" w:rsidP="00A15983">
            <w:pPr>
              <w:pStyle w:val="ListParagraph"/>
              <w:numPr>
                <w:ilvl w:val="0"/>
                <w:numId w:val="53"/>
              </w:numPr>
              <w:ind w:left="691"/>
              <w:rPr>
                <w:rFonts w:ascii="Arial" w:hAnsi="Arial" w:cs="Arial"/>
                <w:sz w:val="20"/>
                <w:lang w:val="es-ES_tradnl"/>
              </w:rPr>
            </w:pPr>
            <w:r w:rsidRPr="00E769E5">
              <w:rPr>
                <w:rFonts w:ascii="Arial" w:hAnsi="Arial" w:cs="Arial"/>
                <w:sz w:val="20"/>
                <w:lang w:val="es-ES_tradnl"/>
              </w:rPr>
              <w:t>Funcionarios capacitados en sectores estratégicos</w:t>
            </w:r>
          </w:p>
        </w:tc>
        <w:tc>
          <w:tcPr>
            <w:tcW w:w="1340" w:type="dxa"/>
            <w:vAlign w:val="center"/>
          </w:tcPr>
          <w:p w14:paraId="7C7ED49A" w14:textId="77777777" w:rsidR="00A15983" w:rsidRPr="00634AD8" w:rsidRDefault="00A15983" w:rsidP="00A15983">
            <w:pPr>
              <w:jc w:val="center"/>
              <w:rPr>
                <w:rFonts w:ascii="Arial" w:hAnsi="Arial" w:cs="Arial"/>
                <w:sz w:val="20"/>
              </w:rPr>
            </w:pPr>
            <w:r w:rsidRPr="00634AD8">
              <w:rPr>
                <w:rFonts w:ascii="Arial" w:hAnsi="Arial" w:cs="Arial"/>
                <w:sz w:val="20"/>
              </w:rPr>
              <w:t>Funcionarios</w:t>
            </w:r>
          </w:p>
        </w:tc>
        <w:tc>
          <w:tcPr>
            <w:tcW w:w="820" w:type="dxa"/>
            <w:vAlign w:val="center"/>
          </w:tcPr>
          <w:p w14:paraId="28AF1E71" w14:textId="77777777" w:rsidR="00A15983" w:rsidRPr="00634AD8" w:rsidRDefault="00A15983" w:rsidP="00A15983">
            <w:pPr>
              <w:jc w:val="center"/>
              <w:rPr>
                <w:rFonts w:ascii="Arial" w:hAnsi="Arial" w:cs="Arial"/>
                <w:sz w:val="20"/>
              </w:rPr>
            </w:pPr>
            <w:r w:rsidRPr="00634AD8">
              <w:rPr>
                <w:rFonts w:ascii="Arial" w:hAnsi="Arial" w:cs="Arial"/>
                <w:sz w:val="20"/>
              </w:rPr>
              <w:t>0</w:t>
            </w:r>
          </w:p>
        </w:tc>
        <w:tc>
          <w:tcPr>
            <w:tcW w:w="960" w:type="dxa"/>
            <w:vAlign w:val="center"/>
          </w:tcPr>
          <w:p w14:paraId="612FB0B0" w14:textId="77777777" w:rsidR="00A15983" w:rsidRPr="00634AD8" w:rsidRDefault="00A15983" w:rsidP="00A15983">
            <w:pPr>
              <w:jc w:val="center"/>
              <w:rPr>
                <w:rFonts w:ascii="Arial" w:hAnsi="Arial" w:cs="Arial"/>
                <w:sz w:val="20"/>
              </w:rPr>
            </w:pPr>
            <w:r w:rsidRPr="00634AD8">
              <w:rPr>
                <w:rFonts w:ascii="Arial" w:hAnsi="Arial" w:cs="Arial"/>
                <w:sz w:val="20"/>
              </w:rPr>
              <w:t>2018</w:t>
            </w:r>
          </w:p>
        </w:tc>
        <w:tc>
          <w:tcPr>
            <w:tcW w:w="1005" w:type="dxa"/>
          </w:tcPr>
          <w:p w14:paraId="7D9A2F65" w14:textId="4341C3C0" w:rsidR="00A15983" w:rsidRPr="00634AD8" w:rsidRDefault="00A15983" w:rsidP="00A15983">
            <w:pPr>
              <w:jc w:val="center"/>
              <w:rPr>
                <w:rFonts w:ascii="Arial" w:hAnsi="Arial" w:cs="Arial"/>
                <w:sz w:val="20"/>
              </w:rPr>
            </w:pPr>
            <w:r w:rsidRPr="00634AD8">
              <w:rPr>
                <w:rFonts w:ascii="Arial" w:hAnsi="Arial" w:cs="Arial"/>
                <w:sz w:val="20"/>
              </w:rPr>
              <w:t>0</w:t>
            </w:r>
          </w:p>
        </w:tc>
        <w:tc>
          <w:tcPr>
            <w:tcW w:w="990" w:type="dxa"/>
          </w:tcPr>
          <w:p w14:paraId="1F191F45" w14:textId="227C4FCD" w:rsidR="00A15983" w:rsidRPr="00634AD8" w:rsidRDefault="00A15983" w:rsidP="00A15983">
            <w:pPr>
              <w:jc w:val="center"/>
              <w:rPr>
                <w:rFonts w:ascii="Arial" w:hAnsi="Arial" w:cs="Arial"/>
                <w:sz w:val="20"/>
              </w:rPr>
            </w:pPr>
            <w:r>
              <w:rPr>
                <w:rFonts w:ascii="Arial" w:hAnsi="Arial" w:cs="Arial"/>
                <w:sz w:val="20"/>
              </w:rPr>
              <w:t>31</w:t>
            </w:r>
            <w:r w:rsidRPr="007256C8">
              <w:rPr>
                <w:rFonts w:ascii="Arial" w:hAnsi="Arial" w:cs="Arial"/>
                <w:sz w:val="20"/>
              </w:rPr>
              <w:t>.</w:t>
            </w:r>
            <w:r>
              <w:rPr>
                <w:rFonts w:ascii="Arial" w:hAnsi="Arial" w:cs="Arial"/>
                <w:sz w:val="20"/>
              </w:rPr>
              <w:t>04</w:t>
            </w:r>
            <w:r w:rsidRPr="007256C8">
              <w:rPr>
                <w:rFonts w:ascii="Arial" w:hAnsi="Arial" w:cs="Arial"/>
                <w:sz w:val="20"/>
              </w:rPr>
              <w:t>6</w:t>
            </w:r>
          </w:p>
        </w:tc>
        <w:tc>
          <w:tcPr>
            <w:tcW w:w="1440" w:type="dxa"/>
          </w:tcPr>
          <w:p w14:paraId="21D14AFF" w14:textId="160E32BB" w:rsidR="00A15983" w:rsidRPr="00634AD8" w:rsidRDefault="00A15983" w:rsidP="00A15983">
            <w:pPr>
              <w:jc w:val="center"/>
              <w:rPr>
                <w:rFonts w:ascii="Arial" w:hAnsi="Arial" w:cs="Arial"/>
                <w:sz w:val="20"/>
              </w:rPr>
            </w:pPr>
            <w:r>
              <w:rPr>
                <w:rFonts w:ascii="Arial" w:hAnsi="Arial" w:cs="Arial"/>
                <w:sz w:val="20"/>
              </w:rPr>
              <w:t>31</w:t>
            </w:r>
            <w:r w:rsidRPr="007256C8">
              <w:rPr>
                <w:rFonts w:ascii="Arial" w:hAnsi="Arial" w:cs="Arial"/>
                <w:sz w:val="20"/>
              </w:rPr>
              <w:t>.</w:t>
            </w:r>
            <w:r>
              <w:rPr>
                <w:rFonts w:ascii="Arial" w:hAnsi="Arial" w:cs="Arial"/>
                <w:sz w:val="20"/>
              </w:rPr>
              <w:t>04</w:t>
            </w:r>
            <w:r w:rsidRPr="007256C8">
              <w:rPr>
                <w:rFonts w:ascii="Arial" w:hAnsi="Arial" w:cs="Arial"/>
                <w:sz w:val="20"/>
              </w:rPr>
              <w:t>6</w:t>
            </w:r>
          </w:p>
        </w:tc>
        <w:tc>
          <w:tcPr>
            <w:tcW w:w="1969" w:type="dxa"/>
            <w:vAlign w:val="center"/>
          </w:tcPr>
          <w:p w14:paraId="7536E390" w14:textId="22AE73CE" w:rsidR="00A15983" w:rsidRPr="00634AD8" w:rsidRDefault="00373979" w:rsidP="00A15983">
            <w:pPr>
              <w:jc w:val="center"/>
              <w:rPr>
                <w:rFonts w:ascii="Arial" w:hAnsi="Arial" w:cs="Arial"/>
                <w:sz w:val="20"/>
              </w:rPr>
            </w:pPr>
            <w:r>
              <w:rPr>
                <w:rFonts w:ascii="Arial" w:hAnsi="Arial" w:cs="Arial"/>
                <w:sz w:val="20"/>
              </w:rPr>
              <w:t>15</w:t>
            </w:r>
            <w:r w:rsidR="00A15983" w:rsidRPr="00634AD8">
              <w:rPr>
                <w:rFonts w:ascii="Arial" w:hAnsi="Arial" w:cs="Arial"/>
                <w:sz w:val="20"/>
              </w:rPr>
              <w:t>.</w:t>
            </w:r>
            <w:r>
              <w:rPr>
                <w:rFonts w:ascii="Arial" w:hAnsi="Arial" w:cs="Arial"/>
                <w:sz w:val="20"/>
              </w:rPr>
              <w:t>523</w:t>
            </w:r>
          </w:p>
        </w:tc>
        <w:tc>
          <w:tcPr>
            <w:tcW w:w="1710" w:type="dxa"/>
            <w:vAlign w:val="center"/>
          </w:tcPr>
          <w:p w14:paraId="55C4FDBA" w14:textId="14CD09FA" w:rsidR="00A15983" w:rsidRPr="00634AD8" w:rsidRDefault="00A15983" w:rsidP="00A15983">
            <w:pPr>
              <w:jc w:val="center"/>
              <w:rPr>
                <w:rFonts w:ascii="Arial" w:hAnsi="Arial" w:cs="Arial"/>
                <w:sz w:val="20"/>
              </w:rPr>
            </w:pPr>
            <w:r w:rsidRPr="00634AD8">
              <w:rPr>
                <w:rFonts w:ascii="Arial" w:hAnsi="Arial" w:cs="Arial"/>
                <w:sz w:val="20"/>
              </w:rPr>
              <w:t>77.616</w:t>
            </w:r>
          </w:p>
        </w:tc>
      </w:tr>
      <w:tr w:rsidR="0049736F" w:rsidRPr="001C5AC3" w14:paraId="1A1B22C6" w14:textId="77777777" w:rsidTr="00CE76F2">
        <w:trPr>
          <w:jc w:val="center"/>
        </w:trPr>
        <w:tc>
          <w:tcPr>
            <w:tcW w:w="14019" w:type="dxa"/>
            <w:gridSpan w:val="9"/>
            <w:vAlign w:val="center"/>
          </w:tcPr>
          <w:p w14:paraId="2AA86AEF" w14:textId="3DF8DE02" w:rsidR="0049736F" w:rsidRPr="00634AD8" w:rsidRDefault="0049736F" w:rsidP="00266E44">
            <w:pPr>
              <w:pStyle w:val="ListParagraph"/>
              <w:numPr>
                <w:ilvl w:val="0"/>
                <w:numId w:val="51"/>
              </w:numPr>
              <w:ind w:left="511" w:hanging="270"/>
              <w:rPr>
                <w:rFonts w:ascii="Arial" w:hAnsi="Arial" w:cs="Arial"/>
                <w:sz w:val="20"/>
              </w:rPr>
            </w:pPr>
            <w:proofErr w:type="spellStart"/>
            <w:r>
              <w:rPr>
                <w:rFonts w:ascii="Arial" w:hAnsi="Arial" w:cs="Arial"/>
                <w:sz w:val="20"/>
              </w:rPr>
              <w:t>Apoyo</w:t>
            </w:r>
            <w:proofErr w:type="spellEnd"/>
            <w:r>
              <w:rPr>
                <w:rFonts w:ascii="Arial" w:hAnsi="Arial" w:cs="Arial"/>
                <w:sz w:val="20"/>
              </w:rPr>
              <w:t xml:space="preserve"> a los GAD</w:t>
            </w:r>
          </w:p>
        </w:tc>
      </w:tr>
      <w:tr w:rsidR="00D7507A" w:rsidRPr="001C5AC3" w14:paraId="5F675073" w14:textId="77777777" w:rsidTr="00074E94">
        <w:trPr>
          <w:jc w:val="center"/>
        </w:trPr>
        <w:tc>
          <w:tcPr>
            <w:tcW w:w="3785" w:type="dxa"/>
            <w:vAlign w:val="center"/>
          </w:tcPr>
          <w:p w14:paraId="313E59C3" w14:textId="68C09398" w:rsidR="00D7507A" w:rsidRPr="00E769E5" w:rsidRDefault="00D7507A" w:rsidP="00266E44">
            <w:pPr>
              <w:pStyle w:val="ListParagraph"/>
              <w:numPr>
                <w:ilvl w:val="0"/>
                <w:numId w:val="54"/>
              </w:numPr>
              <w:ind w:left="691"/>
              <w:rPr>
                <w:rFonts w:ascii="Arial" w:hAnsi="Arial" w:cs="Arial"/>
                <w:sz w:val="20"/>
                <w:lang w:val="es-ES_tradnl"/>
              </w:rPr>
            </w:pPr>
            <w:r w:rsidRPr="00E769E5">
              <w:rPr>
                <w:rFonts w:ascii="Arial" w:hAnsi="Arial" w:cs="Arial"/>
                <w:sz w:val="20"/>
                <w:lang w:val="es-ES_tradnl"/>
              </w:rPr>
              <w:t xml:space="preserve">Gobiernos Autónomos Descentralizados que reciben asistencia técnica en la adopción de las reformas de la LOEP en sus EE.PP. </w:t>
            </w:r>
          </w:p>
        </w:tc>
        <w:tc>
          <w:tcPr>
            <w:tcW w:w="1340" w:type="dxa"/>
            <w:vAlign w:val="center"/>
          </w:tcPr>
          <w:p w14:paraId="40066146" w14:textId="77777777" w:rsidR="00D7507A" w:rsidRPr="00634AD8" w:rsidRDefault="00D7507A" w:rsidP="00D7507A">
            <w:pPr>
              <w:jc w:val="center"/>
              <w:rPr>
                <w:rFonts w:ascii="Arial" w:hAnsi="Arial" w:cs="Arial"/>
                <w:sz w:val="20"/>
              </w:rPr>
            </w:pPr>
            <w:r w:rsidRPr="00634AD8">
              <w:rPr>
                <w:rFonts w:ascii="Arial" w:hAnsi="Arial" w:cs="Arial"/>
                <w:sz w:val="20"/>
              </w:rPr>
              <w:t>GAD</w:t>
            </w:r>
          </w:p>
        </w:tc>
        <w:tc>
          <w:tcPr>
            <w:tcW w:w="820" w:type="dxa"/>
            <w:vAlign w:val="center"/>
          </w:tcPr>
          <w:p w14:paraId="4FCE8AF1" w14:textId="77777777" w:rsidR="00D7507A" w:rsidRPr="00634AD8" w:rsidRDefault="00D7507A" w:rsidP="00D7507A">
            <w:pPr>
              <w:jc w:val="center"/>
              <w:rPr>
                <w:rFonts w:ascii="Arial" w:hAnsi="Arial" w:cs="Arial"/>
                <w:sz w:val="20"/>
              </w:rPr>
            </w:pPr>
            <w:r w:rsidRPr="00634AD8">
              <w:rPr>
                <w:rFonts w:ascii="Arial" w:hAnsi="Arial" w:cs="Arial"/>
                <w:sz w:val="20"/>
              </w:rPr>
              <w:t>0</w:t>
            </w:r>
          </w:p>
        </w:tc>
        <w:tc>
          <w:tcPr>
            <w:tcW w:w="960" w:type="dxa"/>
            <w:vAlign w:val="center"/>
          </w:tcPr>
          <w:p w14:paraId="41B50CE1" w14:textId="77777777" w:rsidR="00D7507A" w:rsidRPr="00634AD8" w:rsidRDefault="00D7507A" w:rsidP="00D7507A">
            <w:pPr>
              <w:jc w:val="center"/>
              <w:rPr>
                <w:rFonts w:ascii="Arial" w:hAnsi="Arial" w:cs="Arial"/>
                <w:sz w:val="20"/>
              </w:rPr>
            </w:pPr>
            <w:r w:rsidRPr="00634AD8">
              <w:rPr>
                <w:rFonts w:ascii="Arial" w:hAnsi="Arial" w:cs="Arial"/>
                <w:sz w:val="20"/>
              </w:rPr>
              <w:t>2018</w:t>
            </w:r>
          </w:p>
        </w:tc>
        <w:tc>
          <w:tcPr>
            <w:tcW w:w="1005" w:type="dxa"/>
          </w:tcPr>
          <w:p w14:paraId="59BBD899" w14:textId="19047BBD" w:rsidR="00D7507A" w:rsidRPr="00634AD8" w:rsidRDefault="00D7507A" w:rsidP="00D7507A">
            <w:pPr>
              <w:jc w:val="center"/>
              <w:rPr>
                <w:rFonts w:ascii="Arial" w:hAnsi="Arial" w:cs="Arial"/>
                <w:sz w:val="20"/>
              </w:rPr>
            </w:pPr>
            <w:r w:rsidRPr="00634AD8">
              <w:rPr>
                <w:rFonts w:ascii="Arial" w:hAnsi="Arial" w:cs="Arial"/>
                <w:sz w:val="20"/>
              </w:rPr>
              <w:t>0</w:t>
            </w:r>
          </w:p>
        </w:tc>
        <w:tc>
          <w:tcPr>
            <w:tcW w:w="990" w:type="dxa"/>
            <w:vAlign w:val="center"/>
          </w:tcPr>
          <w:p w14:paraId="16713CA7" w14:textId="199D63E1" w:rsidR="00D7507A" w:rsidRPr="005012B8" w:rsidRDefault="00373979" w:rsidP="00D7507A">
            <w:pPr>
              <w:jc w:val="center"/>
              <w:rPr>
                <w:rFonts w:ascii="Arial" w:hAnsi="Arial" w:cs="Arial"/>
                <w:sz w:val="20"/>
              </w:rPr>
            </w:pPr>
            <w:r w:rsidRPr="00074E94">
              <w:rPr>
                <w:rFonts w:ascii="Arial" w:hAnsi="Arial" w:cs="Arial"/>
                <w:sz w:val="20"/>
              </w:rPr>
              <w:t>68.472</w:t>
            </w:r>
          </w:p>
        </w:tc>
        <w:tc>
          <w:tcPr>
            <w:tcW w:w="1440" w:type="dxa"/>
            <w:vAlign w:val="center"/>
          </w:tcPr>
          <w:p w14:paraId="113088B2" w14:textId="460D7180" w:rsidR="00D7507A" w:rsidRPr="005012B8" w:rsidRDefault="00373979" w:rsidP="00D7507A">
            <w:pPr>
              <w:jc w:val="center"/>
              <w:rPr>
                <w:rFonts w:ascii="Arial" w:hAnsi="Arial" w:cs="Arial"/>
                <w:sz w:val="20"/>
              </w:rPr>
            </w:pPr>
            <w:r w:rsidRPr="00074E94">
              <w:rPr>
                <w:rFonts w:ascii="Arial" w:hAnsi="Arial" w:cs="Arial"/>
                <w:sz w:val="20"/>
              </w:rPr>
              <w:t>136.945</w:t>
            </w:r>
          </w:p>
        </w:tc>
        <w:tc>
          <w:tcPr>
            <w:tcW w:w="1969" w:type="dxa"/>
            <w:vAlign w:val="center"/>
          </w:tcPr>
          <w:p w14:paraId="0DF8C6B8" w14:textId="0CC80F46" w:rsidR="00D7507A" w:rsidRPr="005012B8" w:rsidRDefault="00373979" w:rsidP="00D7507A">
            <w:pPr>
              <w:jc w:val="center"/>
              <w:rPr>
                <w:rFonts w:ascii="Arial" w:hAnsi="Arial" w:cs="Arial"/>
                <w:sz w:val="20"/>
              </w:rPr>
            </w:pPr>
            <w:r w:rsidRPr="00074E94">
              <w:rPr>
                <w:rFonts w:ascii="Arial" w:hAnsi="Arial" w:cs="Arial"/>
                <w:sz w:val="20"/>
              </w:rPr>
              <w:t>136.945</w:t>
            </w:r>
          </w:p>
        </w:tc>
        <w:tc>
          <w:tcPr>
            <w:tcW w:w="1710" w:type="dxa"/>
            <w:vAlign w:val="center"/>
          </w:tcPr>
          <w:p w14:paraId="1BEC4136" w14:textId="518666FF" w:rsidR="00D7507A" w:rsidRPr="00634AD8" w:rsidRDefault="00D7507A" w:rsidP="00D7507A">
            <w:pPr>
              <w:jc w:val="center"/>
              <w:rPr>
                <w:rFonts w:ascii="Arial" w:hAnsi="Arial" w:cs="Arial"/>
                <w:sz w:val="20"/>
              </w:rPr>
            </w:pPr>
            <w:r w:rsidRPr="00634AD8">
              <w:rPr>
                <w:rFonts w:ascii="Arial" w:hAnsi="Arial" w:cs="Arial"/>
                <w:sz w:val="20"/>
              </w:rPr>
              <w:t>342.362</w:t>
            </w:r>
          </w:p>
        </w:tc>
      </w:tr>
      <w:tr w:rsidR="00BA4A16" w:rsidRPr="00FD7A39" w14:paraId="7FE3CCD3" w14:textId="77777777" w:rsidTr="006A6339">
        <w:trPr>
          <w:jc w:val="center"/>
        </w:trPr>
        <w:tc>
          <w:tcPr>
            <w:tcW w:w="3785" w:type="dxa"/>
            <w:vAlign w:val="center"/>
          </w:tcPr>
          <w:p w14:paraId="19863415" w14:textId="0A932A97" w:rsidR="00BA4A16" w:rsidRPr="00E769E5" w:rsidRDefault="00BA4A16" w:rsidP="00266E44">
            <w:pPr>
              <w:pStyle w:val="ListParagraph"/>
              <w:numPr>
                <w:ilvl w:val="0"/>
                <w:numId w:val="54"/>
              </w:numPr>
              <w:ind w:left="691"/>
              <w:rPr>
                <w:rFonts w:ascii="Arial" w:hAnsi="Arial" w:cs="Arial"/>
                <w:sz w:val="20"/>
                <w:lang w:val="es-ES_tradnl"/>
              </w:rPr>
            </w:pPr>
            <w:r w:rsidRPr="00E769E5">
              <w:rPr>
                <w:rFonts w:ascii="Arial" w:hAnsi="Arial" w:cs="Arial"/>
                <w:sz w:val="20"/>
                <w:lang w:val="es-ES_tradnl"/>
              </w:rPr>
              <w:lastRenderedPageBreak/>
              <w:t>Informe de análisis de sostenibilidad financiera de EEPP de los GAD aprobado.</w:t>
            </w:r>
          </w:p>
        </w:tc>
        <w:tc>
          <w:tcPr>
            <w:tcW w:w="1340" w:type="dxa"/>
            <w:vAlign w:val="center"/>
          </w:tcPr>
          <w:p w14:paraId="4C88B71C" w14:textId="77777777" w:rsidR="00BA4A16" w:rsidRPr="00634AD8" w:rsidRDefault="00BA4A16" w:rsidP="008E6B62">
            <w:pPr>
              <w:jc w:val="center"/>
              <w:rPr>
                <w:rFonts w:ascii="Arial" w:hAnsi="Arial" w:cs="Arial"/>
                <w:sz w:val="20"/>
              </w:rPr>
            </w:pPr>
            <w:r w:rsidRPr="00634AD8">
              <w:rPr>
                <w:rFonts w:ascii="Arial" w:hAnsi="Arial" w:cs="Arial"/>
                <w:sz w:val="20"/>
              </w:rPr>
              <w:t>Informe</w:t>
            </w:r>
          </w:p>
        </w:tc>
        <w:tc>
          <w:tcPr>
            <w:tcW w:w="820" w:type="dxa"/>
            <w:vAlign w:val="center"/>
          </w:tcPr>
          <w:p w14:paraId="33E590D4"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08F1DED3"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41FDF4E8"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46A94139" w14:textId="2C2A30D6" w:rsidR="00BA4A16" w:rsidRPr="00634AD8" w:rsidRDefault="00D7507A" w:rsidP="008E6B62">
            <w:pPr>
              <w:jc w:val="center"/>
              <w:rPr>
                <w:rFonts w:ascii="Arial" w:hAnsi="Arial" w:cs="Arial"/>
                <w:sz w:val="20"/>
              </w:rPr>
            </w:pPr>
            <w:r w:rsidRPr="00634AD8">
              <w:rPr>
                <w:rFonts w:ascii="Arial" w:hAnsi="Arial" w:cs="Arial"/>
                <w:sz w:val="20"/>
              </w:rPr>
              <w:t>21.549</w:t>
            </w:r>
          </w:p>
        </w:tc>
        <w:tc>
          <w:tcPr>
            <w:tcW w:w="1440" w:type="dxa"/>
            <w:vAlign w:val="center"/>
          </w:tcPr>
          <w:p w14:paraId="6637F27C"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0B5E6387"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3F1CFBC6" w14:textId="69A0404E" w:rsidR="00BA4A16" w:rsidRPr="00634AD8" w:rsidRDefault="00AA3DC8" w:rsidP="008E6B62">
            <w:pPr>
              <w:jc w:val="center"/>
              <w:rPr>
                <w:rFonts w:ascii="Arial" w:hAnsi="Arial" w:cs="Arial"/>
                <w:sz w:val="20"/>
              </w:rPr>
            </w:pPr>
            <w:r w:rsidRPr="00634AD8">
              <w:rPr>
                <w:rFonts w:ascii="Arial" w:hAnsi="Arial" w:cs="Arial"/>
                <w:sz w:val="20"/>
              </w:rPr>
              <w:t>21.549</w:t>
            </w:r>
          </w:p>
        </w:tc>
      </w:tr>
      <w:tr w:rsidR="0007114D" w:rsidRPr="00FD7A39" w14:paraId="28E0D1EA" w14:textId="77777777" w:rsidTr="00407897">
        <w:trPr>
          <w:trHeight w:val="241"/>
          <w:jc w:val="center"/>
        </w:trPr>
        <w:tc>
          <w:tcPr>
            <w:tcW w:w="14019" w:type="dxa"/>
            <w:gridSpan w:val="9"/>
            <w:shd w:val="clear" w:color="auto" w:fill="DDD9C3" w:themeFill="background2" w:themeFillShade="E6"/>
            <w:vAlign w:val="center"/>
          </w:tcPr>
          <w:p w14:paraId="56EBA333" w14:textId="558E81D1" w:rsidR="0007114D" w:rsidRPr="00407897" w:rsidRDefault="00C72176" w:rsidP="00407897">
            <w:pPr>
              <w:rPr>
                <w:rFonts w:ascii="Arial" w:hAnsi="Arial" w:cs="Arial"/>
                <w:b/>
                <w:sz w:val="20"/>
              </w:rPr>
            </w:pPr>
            <w:r w:rsidRPr="00407897">
              <w:rPr>
                <w:rFonts w:ascii="Arial" w:hAnsi="Arial" w:cs="Arial"/>
                <w:b/>
                <w:sz w:val="20"/>
              </w:rPr>
              <w:t>Componente #2: Optimización de la cartera de EEPP</w:t>
            </w:r>
          </w:p>
        </w:tc>
      </w:tr>
      <w:tr w:rsidR="0007114D" w:rsidRPr="00FD7A39" w14:paraId="6681342A" w14:textId="77777777" w:rsidTr="00407897">
        <w:trPr>
          <w:trHeight w:val="268"/>
          <w:jc w:val="center"/>
        </w:trPr>
        <w:tc>
          <w:tcPr>
            <w:tcW w:w="14019" w:type="dxa"/>
            <w:gridSpan w:val="9"/>
            <w:shd w:val="clear" w:color="auto" w:fill="DDD9C3" w:themeFill="background2" w:themeFillShade="E6"/>
            <w:vAlign w:val="center"/>
          </w:tcPr>
          <w:p w14:paraId="7B0E167A" w14:textId="2A43C505" w:rsidR="0007114D" w:rsidRPr="00407897" w:rsidRDefault="00407897" w:rsidP="00407897">
            <w:pPr>
              <w:rPr>
                <w:rFonts w:ascii="Arial" w:hAnsi="Arial" w:cs="Arial"/>
                <w:b/>
                <w:sz w:val="20"/>
              </w:rPr>
            </w:pPr>
            <w:r w:rsidRPr="00407897">
              <w:rPr>
                <w:rFonts w:ascii="Arial" w:hAnsi="Arial" w:cs="Arial"/>
                <w:b/>
                <w:sz w:val="20"/>
              </w:rPr>
              <w:t>Subcomponente 2.1. Rediseño de EEPP</w:t>
            </w:r>
          </w:p>
        </w:tc>
      </w:tr>
      <w:tr w:rsidR="00013C29" w:rsidRPr="00FD7A39" w14:paraId="15939953" w14:textId="77777777" w:rsidTr="00CE76F2">
        <w:trPr>
          <w:trHeight w:val="349"/>
          <w:jc w:val="center"/>
        </w:trPr>
        <w:tc>
          <w:tcPr>
            <w:tcW w:w="14019" w:type="dxa"/>
            <w:gridSpan w:val="9"/>
            <w:vAlign w:val="center"/>
          </w:tcPr>
          <w:p w14:paraId="586AD5A9" w14:textId="79D782AE" w:rsidR="00013C29" w:rsidRPr="00E769E5" w:rsidRDefault="00013C29" w:rsidP="00266E44">
            <w:pPr>
              <w:pStyle w:val="ListParagraph"/>
              <w:numPr>
                <w:ilvl w:val="0"/>
                <w:numId w:val="55"/>
              </w:numPr>
              <w:tabs>
                <w:tab w:val="left" w:pos="842"/>
              </w:tabs>
              <w:ind w:left="511" w:hanging="270"/>
              <w:rPr>
                <w:rFonts w:ascii="Arial" w:hAnsi="Arial" w:cs="Arial"/>
                <w:sz w:val="20"/>
                <w:lang w:val="es-ES_tradnl"/>
              </w:rPr>
            </w:pPr>
            <w:r w:rsidRPr="00013C29">
              <w:rPr>
                <w:rFonts w:ascii="Arial" w:hAnsi="Arial" w:cs="Arial"/>
                <w:sz w:val="20"/>
                <w:lang w:val="es-ES"/>
              </w:rPr>
              <w:t>Apoyo a la fusión de Petroamazonas y Petroecuador</w:t>
            </w:r>
          </w:p>
        </w:tc>
      </w:tr>
      <w:tr w:rsidR="00BA4A16" w:rsidRPr="00FD7A39" w14:paraId="4903FC0F" w14:textId="77777777" w:rsidTr="006A6339">
        <w:trPr>
          <w:trHeight w:val="858"/>
          <w:jc w:val="center"/>
        </w:trPr>
        <w:tc>
          <w:tcPr>
            <w:tcW w:w="3785" w:type="dxa"/>
            <w:vAlign w:val="center"/>
          </w:tcPr>
          <w:p w14:paraId="1A1EFAAF" w14:textId="24EBD142" w:rsidR="00BA4A16" w:rsidRPr="00266E44" w:rsidRDefault="00BA4A16" w:rsidP="00266E44">
            <w:pPr>
              <w:pStyle w:val="ListParagraph"/>
              <w:numPr>
                <w:ilvl w:val="0"/>
                <w:numId w:val="56"/>
              </w:numPr>
              <w:ind w:left="691"/>
              <w:rPr>
                <w:rFonts w:ascii="Arial" w:hAnsi="Arial" w:cs="Arial"/>
                <w:sz w:val="20"/>
                <w:lang w:val="es-ES"/>
              </w:rPr>
            </w:pPr>
            <w:r w:rsidRPr="00266E44">
              <w:rPr>
                <w:rFonts w:ascii="Arial" w:hAnsi="Arial" w:cs="Arial"/>
                <w:sz w:val="20"/>
                <w:lang w:val="es-ES"/>
              </w:rPr>
              <w:t>Informe con la estrategia de fusión de Petroamazonas y Petroecuador aprobado</w:t>
            </w:r>
          </w:p>
        </w:tc>
        <w:tc>
          <w:tcPr>
            <w:tcW w:w="1340" w:type="dxa"/>
            <w:vAlign w:val="center"/>
          </w:tcPr>
          <w:p w14:paraId="3183C665" w14:textId="77777777" w:rsidR="00BA4A16" w:rsidRPr="00634AD8" w:rsidRDefault="00BA4A16" w:rsidP="008E6B62">
            <w:pPr>
              <w:jc w:val="center"/>
              <w:rPr>
                <w:rFonts w:ascii="Arial" w:hAnsi="Arial" w:cs="Arial"/>
                <w:sz w:val="20"/>
              </w:rPr>
            </w:pPr>
            <w:r w:rsidRPr="00634AD8">
              <w:rPr>
                <w:rFonts w:ascii="Arial" w:hAnsi="Arial" w:cs="Arial"/>
                <w:sz w:val="20"/>
              </w:rPr>
              <w:t xml:space="preserve">Informe </w:t>
            </w:r>
          </w:p>
        </w:tc>
        <w:tc>
          <w:tcPr>
            <w:tcW w:w="820" w:type="dxa"/>
            <w:vAlign w:val="center"/>
          </w:tcPr>
          <w:p w14:paraId="275EDAB9"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7CF9B05D"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11EFD2BA" w14:textId="43CFE3E0" w:rsidR="00BA4A16" w:rsidRPr="00634AD8" w:rsidRDefault="00D7507A" w:rsidP="008E6B62">
            <w:pPr>
              <w:jc w:val="center"/>
              <w:rPr>
                <w:rFonts w:ascii="Arial" w:hAnsi="Arial" w:cs="Arial"/>
                <w:sz w:val="20"/>
              </w:rPr>
            </w:pPr>
            <w:r w:rsidRPr="00634AD8">
              <w:rPr>
                <w:rFonts w:ascii="Arial" w:hAnsi="Arial" w:cs="Arial"/>
                <w:sz w:val="20"/>
              </w:rPr>
              <w:t>11.200.000</w:t>
            </w:r>
          </w:p>
        </w:tc>
        <w:tc>
          <w:tcPr>
            <w:tcW w:w="990" w:type="dxa"/>
            <w:vAlign w:val="center"/>
          </w:tcPr>
          <w:p w14:paraId="3873F5A0"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440" w:type="dxa"/>
            <w:vAlign w:val="center"/>
          </w:tcPr>
          <w:p w14:paraId="53A2BC9D"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252AA36F"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6FCCAF57" w14:textId="355F25F8" w:rsidR="00BA4A16" w:rsidRPr="00634AD8" w:rsidRDefault="00BA4A16" w:rsidP="008E6B62">
            <w:pPr>
              <w:jc w:val="center"/>
              <w:rPr>
                <w:rFonts w:ascii="Arial" w:hAnsi="Arial" w:cs="Arial"/>
                <w:sz w:val="20"/>
              </w:rPr>
            </w:pPr>
            <w:r w:rsidRPr="00634AD8">
              <w:rPr>
                <w:rFonts w:ascii="Arial" w:hAnsi="Arial" w:cs="Arial"/>
                <w:sz w:val="20"/>
              </w:rPr>
              <w:t>1</w:t>
            </w:r>
            <w:r w:rsidR="00AA3DC8" w:rsidRPr="00634AD8">
              <w:rPr>
                <w:rFonts w:ascii="Arial" w:hAnsi="Arial" w:cs="Arial"/>
                <w:sz w:val="20"/>
              </w:rPr>
              <w:t>1.200.000</w:t>
            </w:r>
          </w:p>
        </w:tc>
      </w:tr>
      <w:tr w:rsidR="00BA4A16" w:rsidRPr="00FD7A39" w14:paraId="6808E0F6" w14:textId="77777777" w:rsidTr="006A6339">
        <w:trPr>
          <w:trHeight w:val="858"/>
          <w:jc w:val="center"/>
        </w:trPr>
        <w:tc>
          <w:tcPr>
            <w:tcW w:w="3785" w:type="dxa"/>
            <w:vAlign w:val="center"/>
          </w:tcPr>
          <w:p w14:paraId="38E9A6F0" w14:textId="5012C10D" w:rsidR="00BA4A16" w:rsidRPr="00266E44" w:rsidRDefault="00BA4A16" w:rsidP="00266E44">
            <w:pPr>
              <w:pStyle w:val="ListParagraph"/>
              <w:numPr>
                <w:ilvl w:val="0"/>
                <w:numId w:val="56"/>
              </w:numPr>
              <w:ind w:left="691"/>
              <w:rPr>
                <w:rFonts w:ascii="Arial" w:hAnsi="Arial" w:cs="Arial"/>
                <w:sz w:val="20"/>
                <w:lang w:val="es-ES"/>
              </w:rPr>
            </w:pPr>
            <w:r w:rsidRPr="00266E44">
              <w:rPr>
                <w:rFonts w:ascii="Arial" w:hAnsi="Arial" w:cs="Arial"/>
                <w:sz w:val="20"/>
                <w:lang w:val="es-ES"/>
              </w:rPr>
              <w:t>Informes de apoyo a la fusión de Petroamazonas y Petroecuador aprobado</w:t>
            </w:r>
          </w:p>
        </w:tc>
        <w:tc>
          <w:tcPr>
            <w:tcW w:w="1340" w:type="dxa"/>
            <w:vAlign w:val="center"/>
          </w:tcPr>
          <w:p w14:paraId="76B616B5" w14:textId="77777777" w:rsidR="00BA4A16" w:rsidRPr="00634AD8" w:rsidRDefault="00BA4A16" w:rsidP="008E6B62">
            <w:pPr>
              <w:jc w:val="center"/>
              <w:rPr>
                <w:rFonts w:ascii="Arial" w:hAnsi="Arial" w:cs="Arial"/>
                <w:sz w:val="20"/>
              </w:rPr>
            </w:pPr>
            <w:r w:rsidRPr="00634AD8">
              <w:rPr>
                <w:rFonts w:ascii="Arial" w:hAnsi="Arial" w:cs="Arial"/>
                <w:sz w:val="20"/>
                <w:lang w:val="es-ES"/>
              </w:rPr>
              <w:t>Informes</w:t>
            </w:r>
          </w:p>
        </w:tc>
        <w:tc>
          <w:tcPr>
            <w:tcW w:w="820" w:type="dxa"/>
            <w:vAlign w:val="center"/>
          </w:tcPr>
          <w:p w14:paraId="42920F92"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786C2A94"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68AA6819"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6C687C7E" w14:textId="1965E5AA" w:rsidR="00BA4A16" w:rsidRPr="00634AD8" w:rsidRDefault="00D7507A" w:rsidP="008E6B62">
            <w:pPr>
              <w:jc w:val="center"/>
              <w:rPr>
                <w:rFonts w:ascii="Arial" w:hAnsi="Arial" w:cs="Arial"/>
                <w:sz w:val="20"/>
              </w:rPr>
            </w:pPr>
            <w:r w:rsidRPr="00634AD8">
              <w:rPr>
                <w:rFonts w:ascii="Arial" w:hAnsi="Arial" w:cs="Arial"/>
                <w:sz w:val="20"/>
              </w:rPr>
              <w:t>5.600.000</w:t>
            </w:r>
          </w:p>
        </w:tc>
        <w:tc>
          <w:tcPr>
            <w:tcW w:w="1440" w:type="dxa"/>
            <w:vAlign w:val="center"/>
          </w:tcPr>
          <w:p w14:paraId="7F7CDFD0"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969" w:type="dxa"/>
            <w:vAlign w:val="center"/>
          </w:tcPr>
          <w:p w14:paraId="74A31A15"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302C8AA5" w14:textId="2985CC08" w:rsidR="00BA4A16" w:rsidRPr="00634AD8" w:rsidRDefault="00AA3DC8" w:rsidP="008E6B62">
            <w:pPr>
              <w:jc w:val="center"/>
              <w:rPr>
                <w:rFonts w:ascii="Arial" w:hAnsi="Arial" w:cs="Arial"/>
                <w:sz w:val="20"/>
              </w:rPr>
            </w:pPr>
            <w:r w:rsidRPr="00634AD8">
              <w:rPr>
                <w:rFonts w:ascii="Arial" w:hAnsi="Arial" w:cs="Arial"/>
                <w:sz w:val="20"/>
              </w:rPr>
              <w:t>5.600.000</w:t>
            </w:r>
          </w:p>
        </w:tc>
      </w:tr>
      <w:tr w:rsidR="00BA4A16" w:rsidRPr="00FD7A39" w14:paraId="6E4579A8" w14:textId="77777777" w:rsidTr="006A6339">
        <w:trPr>
          <w:jc w:val="center"/>
        </w:trPr>
        <w:tc>
          <w:tcPr>
            <w:tcW w:w="3785" w:type="dxa"/>
            <w:vAlign w:val="center"/>
          </w:tcPr>
          <w:p w14:paraId="37AB35DA" w14:textId="77777777" w:rsidR="00BA4A16" w:rsidRPr="00E769E5" w:rsidRDefault="00BA4A16" w:rsidP="00266E44">
            <w:pPr>
              <w:pStyle w:val="ListParagraph"/>
              <w:numPr>
                <w:ilvl w:val="0"/>
                <w:numId w:val="56"/>
              </w:numPr>
              <w:ind w:left="691"/>
              <w:rPr>
                <w:rFonts w:ascii="Arial" w:hAnsi="Arial" w:cs="Arial"/>
                <w:sz w:val="20"/>
                <w:lang w:val="es-ES_tradnl"/>
              </w:rPr>
            </w:pPr>
            <w:r w:rsidRPr="00E769E5">
              <w:rPr>
                <w:rFonts w:ascii="Arial" w:hAnsi="Arial" w:cs="Arial"/>
                <w:sz w:val="20"/>
                <w:lang w:val="es-ES_tradnl"/>
              </w:rPr>
              <w:t>Informe sobre temas técnicos de la cadena de valor (exploración y producción petrolera) para mejorar la eficiencia en la fusión aprobado</w:t>
            </w:r>
          </w:p>
        </w:tc>
        <w:tc>
          <w:tcPr>
            <w:tcW w:w="1340" w:type="dxa"/>
            <w:vAlign w:val="center"/>
          </w:tcPr>
          <w:p w14:paraId="3E3DC908" w14:textId="77777777" w:rsidR="00BA4A16" w:rsidRPr="00634AD8" w:rsidRDefault="00BA4A16" w:rsidP="008E6B62">
            <w:pPr>
              <w:jc w:val="center"/>
              <w:rPr>
                <w:rFonts w:ascii="Arial" w:hAnsi="Arial" w:cs="Arial"/>
                <w:sz w:val="20"/>
                <w:lang w:val="es-ES"/>
              </w:rPr>
            </w:pPr>
            <w:r w:rsidRPr="00634AD8">
              <w:rPr>
                <w:rFonts w:ascii="Arial" w:hAnsi="Arial" w:cs="Arial"/>
                <w:sz w:val="20"/>
              </w:rPr>
              <w:t>Informe</w:t>
            </w:r>
          </w:p>
        </w:tc>
        <w:tc>
          <w:tcPr>
            <w:tcW w:w="820" w:type="dxa"/>
            <w:vAlign w:val="center"/>
          </w:tcPr>
          <w:p w14:paraId="635613C4" w14:textId="77777777" w:rsidR="00BA4A16" w:rsidRPr="00634AD8" w:rsidRDefault="00BA4A16" w:rsidP="008E6B62">
            <w:pPr>
              <w:jc w:val="center"/>
              <w:rPr>
                <w:rFonts w:ascii="Arial" w:hAnsi="Arial" w:cs="Arial"/>
                <w:sz w:val="20"/>
                <w:lang w:val="es-ES"/>
              </w:rPr>
            </w:pPr>
            <w:r w:rsidRPr="00634AD8">
              <w:rPr>
                <w:rFonts w:ascii="Arial" w:hAnsi="Arial" w:cs="Arial"/>
                <w:sz w:val="20"/>
              </w:rPr>
              <w:t>0</w:t>
            </w:r>
          </w:p>
        </w:tc>
        <w:tc>
          <w:tcPr>
            <w:tcW w:w="960" w:type="dxa"/>
            <w:vAlign w:val="center"/>
          </w:tcPr>
          <w:p w14:paraId="78413A90" w14:textId="77777777" w:rsidR="00BA4A16" w:rsidRPr="00634AD8" w:rsidRDefault="00BA4A16" w:rsidP="008E6B62">
            <w:pPr>
              <w:jc w:val="center"/>
              <w:rPr>
                <w:rFonts w:ascii="Arial" w:hAnsi="Arial" w:cs="Arial"/>
                <w:sz w:val="20"/>
                <w:lang w:val="es-ES"/>
              </w:rPr>
            </w:pPr>
            <w:r w:rsidRPr="00634AD8">
              <w:rPr>
                <w:rFonts w:ascii="Arial" w:hAnsi="Arial" w:cs="Arial"/>
                <w:sz w:val="20"/>
              </w:rPr>
              <w:t>2018</w:t>
            </w:r>
          </w:p>
        </w:tc>
        <w:tc>
          <w:tcPr>
            <w:tcW w:w="1005" w:type="dxa"/>
            <w:vAlign w:val="center"/>
          </w:tcPr>
          <w:p w14:paraId="7970A9E2" w14:textId="77777777" w:rsidR="00BA4A16" w:rsidRPr="00634AD8" w:rsidRDefault="00BA4A16" w:rsidP="008E6B62">
            <w:pPr>
              <w:jc w:val="center"/>
              <w:rPr>
                <w:rFonts w:ascii="Arial" w:hAnsi="Arial" w:cs="Arial"/>
                <w:sz w:val="20"/>
                <w:lang w:val="es-ES"/>
              </w:rPr>
            </w:pPr>
            <w:r w:rsidRPr="00634AD8">
              <w:rPr>
                <w:rFonts w:ascii="Arial" w:hAnsi="Arial" w:cs="Arial"/>
                <w:sz w:val="20"/>
              </w:rPr>
              <w:t>0</w:t>
            </w:r>
          </w:p>
        </w:tc>
        <w:tc>
          <w:tcPr>
            <w:tcW w:w="990" w:type="dxa"/>
            <w:vAlign w:val="center"/>
          </w:tcPr>
          <w:p w14:paraId="723241CD" w14:textId="77777777" w:rsidR="00BA4A16" w:rsidRPr="00634AD8" w:rsidRDefault="00BA4A16" w:rsidP="008E6B62">
            <w:pPr>
              <w:jc w:val="center"/>
              <w:rPr>
                <w:rFonts w:ascii="Arial" w:hAnsi="Arial" w:cs="Arial"/>
                <w:sz w:val="20"/>
                <w:lang w:val="es-ES"/>
              </w:rPr>
            </w:pPr>
            <w:r w:rsidRPr="00634AD8">
              <w:rPr>
                <w:rFonts w:ascii="Arial" w:hAnsi="Arial" w:cs="Arial"/>
                <w:sz w:val="20"/>
              </w:rPr>
              <w:t>0</w:t>
            </w:r>
          </w:p>
        </w:tc>
        <w:tc>
          <w:tcPr>
            <w:tcW w:w="1440" w:type="dxa"/>
            <w:vAlign w:val="center"/>
          </w:tcPr>
          <w:p w14:paraId="0D135BAC" w14:textId="0CF10814" w:rsidR="00BA4A16" w:rsidRPr="00634AD8" w:rsidRDefault="00D7507A" w:rsidP="008E6B62">
            <w:pPr>
              <w:jc w:val="center"/>
              <w:rPr>
                <w:rFonts w:ascii="Arial" w:hAnsi="Arial" w:cs="Arial"/>
                <w:sz w:val="20"/>
                <w:lang w:val="es-ES"/>
              </w:rPr>
            </w:pPr>
            <w:r w:rsidRPr="00634AD8">
              <w:rPr>
                <w:rFonts w:ascii="Arial" w:hAnsi="Arial" w:cs="Arial"/>
                <w:sz w:val="20"/>
              </w:rPr>
              <w:t>181.440</w:t>
            </w:r>
          </w:p>
        </w:tc>
        <w:tc>
          <w:tcPr>
            <w:tcW w:w="1969" w:type="dxa"/>
            <w:vAlign w:val="center"/>
          </w:tcPr>
          <w:p w14:paraId="3AB09540" w14:textId="77777777" w:rsidR="00BA4A16" w:rsidRPr="00634AD8" w:rsidRDefault="00BA4A16" w:rsidP="008E6B62">
            <w:pPr>
              <w:jc w:val="center"/>
              <w:rPr>
                <w:rFonts w:ascii="Arial" w:hAnsi="Arial" w:cs="Arial"/>
                <w:sz w:val="20"/>
                <w:lang w:val="es-ES"/>
              </w:rPr>
            </w:pPr>
            <w:r w:rsidRPr="00634AD8">
              <w:rPr>
                <w:rFonts w:ascii="Arial" w:hAnsi="Arial" w:cs="Arial"/>
                <w:sz w:val="20"/>
              </w:rPr>
              <w:t>0</w:t>
            </w:r>
          </w:p>
        </w:tc>
        <w:tc>
          <w:tcPr>
            <w:tcW w:w="1710" w:type="dxa"/>
            <w:vAlign w:val="center"/>
          </w:tcPr>
          <w:p w14:paraId="235A81D5" w14:textId="5B913DB4" w:rsidR="00BA4A16" w:rsidRPr="00634AD8" w:rsidRDefault="00BA4A16" w:rsidP="008E6B62">
            <w:pPr>
              <w:jc w:val="center"/>
              <w:rPr>
                <w:rFonts w:ascii="Arial" w:hAnsi="Arial" w:cs="Arial"/>
                <w:sz w:val="20"/>
                <w:lang w:val="es-ES"/>
              </w:rPr>
            </w:pPr>
            <w:r w:rsidRPr="00634AD8">
              <w:rPr>
                <w:rFonts w:ascii="Arial" w:hAnsi="Arial" w:cs="Arial"/>
                <w:sz w:val="20"/>
              </w:rPr>
              <w:t>1</w:t>
            </w:r>
            <w:r w:rsidR="00AA3DC8" w:rsidRPr="00634AD8">
              <w:rPr>
                <w:rFonts w:ascii="Arial" w:hAnsi="Arial" w:cs="Arial"/>
                <w:sz w:val="20"/>
              </w:rPr>
              <w:t>81.440</w:t>
            </w:r>
          </w:p>
        </w:tc>
      </w:tr>
      <w:tr w:rsidR="00BA4A16" w:rsidRPr="00FD7A39" w14:paraId="0736E265" w14:textId="77777777" w:rsidTr="006A6339">
        <w:trPr>
          <w:jc w:val="center"/>
        </w:trPr>
        <w:tc>
          <w:tcPr>
            <w:tcW w:w="3785" w:type="dxa"/>
            <w:vAlign w:val="center"/>
          </w:tcPr>
          <w:p w14:paraId="7A59120C" w14:textId="77777777" w:rsidR="00BA4A16" w:rsidRPr="00266E44" w:rsidRDefault="00BA4A16" w:rsidP="00266E44">
            <w:pPr>
              <w:pStyle w:val="ListParagraph"/>
              <w:numPr>
                <w:ilvl w:val="0"/>
                <w:numId w:val="56"/>
              </w:numPr>
              <w:ind w:left="691"/>
              <w:rPr>
                <w:rFonts w:ascii="Arial" w:hAnsi="Arial" w:cs="Arial"/>
                <w:sz w:val="20"/>
              </w:rPr>
            </w:pPr>
            <w:r w:rsidRPr="00266E44">
              <w:rPr>
                <w:rFonts w:ascii="Arial" w:hAnsi="Arial" w:cs="Arial"/>
                <w:sz w:val="20"/>
              </w:rPr>
              <w:t>Software de gestión implementado</w:t>
            </w:r>
          </w:p>
        </w:tc>
        <w:tc>
          <w:tcPr>
            <w:tcW w:w="1340" w:type="dxa"/>
            <w:vAlign w:val="center"/>
          </w:tcPr>
          <w:p w14:paraId="4616457A" w14:textId="77777777" w:rsidR="00BA4A16" w:rsidRPr="00634AD8" w:rsidRDefault="00BA4A16" w:rsidP="008E6B62">
            <w:pPr>
              <w:jc w:val="center"/>
              <w:rPr>
                <w:rFonts w:ascii="Arial" w:hAnsi="Arial" w:cs="Arial"/>
                <w:sz w:val="20"/>
                <w:lang w:val="es-ES"/>
              </w:rPr>
            </w:pPr>
            <w:r w:rsidRPr="00634AD8">
              <w:rPr>
                <w:rFonts w:ascii="Arial" w:hAnsi="Arial" w:cs="Arial"/>
                <w:sz w:val="20"/>
                <w:lang w:val="es-ES"/>
              </w:rPr>
              <w:t>Software</w:t>
            </w:r>
          </w:p>
        </w:tc>
        <w:tc>
          <w:tcPr>
            <w:tcW w:w="820" w:type="dxa"/>
            <w:vAlign w:val="center"/>
          </w:tcPr>
          <w:p w14:paraId="5F74418B"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60" w:type="dxa"/>
            <w:vAlign w:val="center"/>
          </w:tcPr>
          <w:p w14:paraId="0A0364BD" w14:textId="77777777" w:rsidR="00BA4A16" w:rsidRPr="00634AD8" w:rsidRDefault="00BA4A16" w:rsidP="008E6B62">
            <w:pPr>
              <w:jc w:val="center"/>
              <w:rPr>
                <w:rFonts w:ascii="Arial" w:hAnsi="Arial" w:cs="Arial"/>
                <w:sz w:val="20"/>
              </w:rPr>
            </w:pPr>
            <w:r w:rsidRPr="00634AD8">
              <w:rPr>
                <w:rFonts w:ascii="Arial" w:hAnsi="Arial" w:cs="Arial"/>
                <w:sz w:val="20"/>
              </w:rPr>
              <w:t>2018</w:t>
            </w:r>
          </w:p>
        </w:tc>
        <w:tc>
          <w:tcPr>
            <w:tcW w:w="1005" w:type="dxa"/>
            <w:vAlign w:val="center"/>
          </w:tcPr>
          <w:p w14:paraId="3F3C6813"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990" w:type="dxa"/>
            <w:vAlign w:val="center"/>
          </w:tcPr>
          <w:p w14:paraId="0B716A56"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440" w:type="dxa"/>
            <w:vAlign w:val="center"/>
          </w:tcPr>
          <w:p w14:paraId="19091905" w14:textId="15CFB173" w:rsidR="00BA4A16" w:rsidRPr="00634AD8" w:rsidRDefault="00D7507A" w:rsidP="008E6B62">
            <w:pPr>
              <w:jc w:val="center"/>
              <w:rPr>
                <w:rFonts w:ascii="Arial" w:hAnsi="Arial" w:cs="Arial"/>
                <w:sz w:val="20"/>
              </w:rPr>
            </w:pPr>
            <w:r w:rsidRPr="00634AD8">
              <w:rPr>
                <w:rFonts w:ascii="Arial" w:hAnsi="Arial" w:cs="Arial"/>
                <w:sz w:val="20"/>
              </w:rPr>
              <w:t>4.480.000</w:t>
            </w:r>
          </w:p>
        </w:tc>
        <w:tc>
          <w:tcPr>
            <w:tcW w:w="1969" w:type="dxa"/>
            <w:vAlign w:val="center"/>
          </w:tcPr>
          <w:p w14:paraId="0D119C00" w14:textId="77777777" w:rsidR="00BA4A16" w:rsidRPr="00634AD8" w:rsidRDefault="00BA4A16" w:rsidP="008E6B62">
            <w:pPr>
              <w:jc w:val="center"/>
              <w:rPr>
                <w:rFonts w:ascii="Arial" w:hAnsi="Arial" w:cs="Arial"/>
                <w:sz w:val="20"/>
              </w:rPr>
            </w:pPr>
            <w:r w:rsidRPr="00634AD8">
              <w:rPr>
                <w:rFonts w:ascii="Arial" w:hAnsi="Arial" w:cs="Arial"/>
                <w:sz w:val="20"/>
              </w:rPr>
              <w:t>0</w:t>
            </w:r>
          </w:p>
        </w:tc>
        <w:tc>
          <w:tcPr>
            <w:tcW w:w="1710" w:type="dxa"/>
            <w:vAlign w:val="center"/>
          </w:tcPr>
          <w:p w14:paraId="779A74E7" w14:textId="5BD73582" w:rsidR="00BA4A16" w:rsidRPr="00634AD8" w:rsidRDefault="00AA3DC8" w:rsidP="008E6B62">
            <w:pPr>
              <w:jc w:val="center"/>
              <w:rPr>
                <w:rFonts w:ascii="Arial" w:hAnsi="Arial" w:cs="Arial"/>
                <w:sz w:val="20"/>
              </w:rPr>
            </w:pPr>
            <w:r w:rsidRPr="00634AD8">
              <w:rPr>
                <w:rFonts w:ascii="Arial" w:hAnsi="Arial" w:cs="Arial"/>
                <w:sz w:val="20"/>
              </w:rPr>
              <w:t>4.480.000</w:t>
            </w:r>
          </w:p>
        </w:tc>
      </w:tr>
      <w:tr w:rsidR="00AA3DC8" w:rsidRPr="00FD7A39" w14:paraId="4545C9A1" w14:textId="77777777" w:rsidTr="006A6339">
        <w:trPr>
          <w:jc w:val="center"/>
        </w:trPr>
        <w:tc>
          <w:tcPr>
            <w:tcW w:w="3785" w:type="dxa"/>
            <w:vAlign w:val="center"/>
          </w:tcPr>
          <w:p w14:paraId="5F98030C" w14:textId="77777777" w:rsidR="00AA3DC8" w:rsidRPr="00E769E5" w:rsidRDefault="00AA3DC8" w:rsidP="00266E44">
            <w:pPr>
              <w:pStyle w:val="ListParagraph"/>
              <w:numPr>
                <w:ilvl w:val="0"/>
                <w:numId w:val="56"/>
              </w:numPr>
              <w:ind w:left="691"/>
              <w:rPr>
                <w:rFonts w:ascii="Arial" w:hAnsi="Arial" w:cs="Arial"/>
                <w:sz w:val="20"/>
                <w:lang w:val="es-ES_tradnl"/>
              </w:rPr>
            </w:pPr>
            <w:r w:rsidRPr="00E769E5">
              <w:rPr>
                <w:rFonts w:ascii="Arial" w:hAnsi="Arial" w:cs="Arial"/>
                <w:sz w:val="20"/>
                <w:lang w:val="es-ES_tradnl"/>
              </w:rPr>
              <w:t>Informe legal de fusión aprobado</w:t>
            </w:r>
          </w:p>
        </w:tc>
        <w:tc>
          <w:tcPr>
            <w:tcW w:w="1340" w:type="dxa"/>
            <w:vAlign w:val="center"/>
          </w:tcPr>
          <w:p w14:paraId="65B9D2B3" w14:textId="77777777" w:rsidR="00AA3DC8" w:rsidRPr="00634AD8" w:rsidRDefault="00AA3DC8" w:rsidP="00AA3DC8">
            <w:pPr>
              <w:jc w:val="center"/>
              <w:rPr>
                <w:rFonts w:ascii="Arial" w:hAnsi="Arial" w:cs="Arial"/>
                <w:sz w:val="20"/>
                <w:lang w:val="es-ES"/>
              </w:rPr>
            </w:pPr>
            <w:r w:rsidRPr="00634AD8">
              <w:rPr>
                <w:rFonts w:ascii="Arial" w:hAnsi="Arial" w:cs="Arial"/>
                <w:sz w:val="20"/>
              </w:rPr>
              <w:t>Informe</w:t>
            </w:r>
          </w:p>
        </w:tc>
        <w:tc>
          <w:tcPr>
            <w:tcW w:w="820" w:type="dxa"/>
            <w:vAlign w:val="center"/>
          </w:tcPr>
          <w:p w14:paraId="24D51A16"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60" w:type="dxa"/>
            <w:vAlign w:val="center"/>
          </w:tcPr>
          <w:p w14:paraId="1E56778A" w14:textId="77777777" w:rsidR="00AA3DC8" w:rsidRPr="00634AD8" w:rsidRDefault="00AA3DC8" w:rsidP="00AA3DC8">
            <w:pPr>
              <w:jc w:val="center"/>
              <w:rPr>
                <w:rFonts w:ascii="Arial" w:hAnsi="Arial" w:cs="Arial"/>
                <w:sz w:val="20"/>
              </w:rPr>
            </w:pPr>
            <w:r w:rsidRPr="00634AD8">
              <w:rPr>
                <w:rFonts w:ascii="Arial" w:hAnsi="Arial" w:cs="Arial"/>
                <w:sz w:val="20"/>
              </w:rPr>
              <w:t>2018</w:t>
            </w:r>
          </w:p>
        </w:tc>
        <w:tc>
          <w:tcPr>
            <w:tcW w:w="1005" w:type="dxa"/>
            <w:vAlign w:val="center"/>
          </w:tcPr>
          <w:p w14:paraId="7634AFCA"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90" w:type="dxa"/>
            <w:vAlign w:val="center"/>
          </w:tcPr>
          <w:p w14:paraId="5E48BD3C" w14:textId="4E0C9EC0" w:rsidR="00AA3DC8" w:rsidRPr="00634AD8" w:rsidRDefault="00B72A02" w:rsidP="00AA3DC8">
            <w:pPr>
              <w:jc w:val="center"/>
              <w:rPr>
                <w:rFonts w:ascii="Arial" w:hAnsi="Arial" w:cs="Arial"/>
                <w:sz w:val="20"/>
              </w:rPr>
            </w:pPr>
            <w:r w:rsidRPr="00634AD8">
              <w:rPr>
                <w:rFonts w:ascii="Arial" w:hAnsi="Arial" w:cs="Arial"/>
                <w:sz w:val="20"/>
              </w:rPr>
              <w:t>0</w:t>
            </w:r>
          </w:p>
        </w:tc>
        <w:tc>
          <w:tcPr>
            <w:tcW w:w="1440" w:type="dxa"/>
            <w:vAlign w:val="center"/>
          </w:tcPr>
          <w:p w14:paraId="27909385" w14:textId="5532FE9F" w:rsidR="00AA3DC8" w:rsidRPr="00634AD8" w:rsidRDefault="00B72A02" w:rsidP="00AA3DC8">
            <w:pPr>
              <w:jc w:val="center"/>
              <w:rPr>
                <w:rFonts w:ascii="Arial" w:hAnsi="Arial" w:cs="Arial"/>
                <w:sz w:val="20"/>
              </w:rPr>
            </w:pPr>
            <w:r w:rsidRPr="00634AD8">
              <w:rPr>
                <w:rFonts w:ascii="Arial" w:hAnsi="Arial" w:cs="Arial"/>
                <w:sz w:val="20"/>
              </w:rPr>
              <w:t>1.120.000</w:t>
            </w:r>
          </w:p>
        </w:tc>
        <w:tc>
          <w:tcPr>
            <w:tcW w:w="1969" w:type="dxa"/>
            <w:vAlign w:val="center"/>
          </w:tcPr>
          <w:p w14:paraId="70781E4B"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1710" w:type="dxa"/>
            <w:vAlign w:val="center"/>
          </w:tcPr>
          <w:p w14:paraId="4B2F204D" w14:textId="205EEF8F" w:rsidR="00AA3DC8" w:rsidRPr="00634AD8" w:rsidRDefault="00AA3DC8" w:rsidP="00AA3DC8">
            <w:pPr>
              <w:jc w:val="center"/>
              <w:rPr>
                <w:rFonts w:ascii="Arial" w:hAnsi="Arial" w:cs="Arial"/>
                <w:sz w:val="20"/>
              </w:rPr>
            </w:pPr>
            <w:r w:rsidRPr="00634AD8">
              <w:rPr>
                <w:rFonts w:ascii="Arial" w:hAnsi="Arial" w:cs="Arial"/>
                <w:sz w:val="20"/>
              </w:rPr>
              <w:t>1.120.000</w:t>
            </w:r>
          </w:p>
        </w:tc>
      </w:tr>
      <w:tr w:rsidR="00B94672" w:rsidRPr="00FD7A39" w14:paraId="62EA53B2" w14:textId="77777777" w:rsidTr="00CE76F2">
        <w:trPr>
          <w:jc w:val="center"/>
        </w:trPr>
        <w:tc>
          <w:tcPr>
            <w:tcW w:w="14019" w:type="dxa"/>
            <w:gridSpan w:val="9"/>
            <w:vAlign w:val="center"/>
          </w:tcPr>
          <w:p w14:paraId="714799F6" w14:textId="032F2DEA" w:rsidR="00B94672" w:rsidRPr="00E769E5" w:rsidRDefault="00B94672" w:rsidP="0082645D">
            <w:pPr>
              <w:pStyle w:val="ListParagraph"/>
              <w:numPr>
                <w:ilvl w:val="0"/>
                <w:numId w:val="55"/>
              </w:numPr>
              <w:tabs>
                <w:tab w:val="left" w:pos="842"/>
              </w:tabs>
              <w:ind w:left="511" w:hanging="270"/>
              <w:rPr>
                <w:rFonts w:ascii="Arial" w:hAnsi="Arial" w:cs="Arial"/>
                <w:sz w:val="20"/>
                <w:lang w:val="es-ES_tradnl"/>
              </w:rPr>
            </w:pPr>
            <w:r w:rsidRPr="00E769E5">
              <w:rPr>
                <w:rFonts w:ascii="Arial" w:hAnsi="Arial" w:cs="Arial"/>
                <w:sz w:val="20"/>
                <w:lang w:val="es-ES_tradnl"/>
              </w:rPr>
              <w:t>Optimización del funcionamiento de la CELEC y CNEL</w:t>
            </w:r>
          </w:p>
        </w:tc>
      </w:tr>
      <w:tr w:rsidR="00AA3DC8" w:rsidRPr="00FD7A39" w14:paraId="3B96FFC3" w14:textId="77777777" w:rsidTr="006A6339">
        <w:trPr>
          <w:jc w:val="center"/>
        </w:trPr>
        <w:tc>
          <w:tcPr>
            <w:tcW w:w="3785" w:type="dxa"/>
            <w:vAlign w:val="center"/>
          </w:tcPr>
          <w:p w14:paraId="21550639" w14:textId="42560617" w:rsidR="00AA3DC8" w:rsidRPr="00634AD8" w:rsidRDefault="00AA3DC8" w:rsidP="00C9668D">
            <w:pPr>
              <w:pStyle w:val="ListParagraph"/>
              <w:numPr>
                <w:ilvl w:val="0"/>
                <w:numId w:val="57"/>
              </w:numPr>
              <w:ind w:left="691"/>
              <w:rPr>
                <w:rFonts w:ascii="Arial" w:hAnsi="Arial" w:cs="Arial"/>
                <w:sz w:val="20"/>
                <w:lang w:val="es-ES_tradnl"/>
              </w:rPr>
            </w:pPr>
            <w:r w:rsidRPr="00634AD8">
              <w:rPr>
                <w:rFonts w:ascii="Arial" w:hAnsi="Arial" w:cs="Arial"/>
                <w:sz w:val="20"/>
                <w:lang w:val="es-ES_tradnl"/>
              </w:rPr>
              <w:t>Informe con la optimización del funcionamiento de CELEC, CNEL aprobado</w:t>
            </w:r>
          </w:p>
        </w:tc>
        <w:tc>
          <w:tcPr>
            <w:tcW w:w="1340" w:type="dxa"/>
            <w:vAlign w:val="center"/>
          </w:tcPr>
          <w:p w14:paraId="55DC7F4A" w14:textId="77777777" w:rsidR="00AA3DC8" w:rsidRPr="00634AD8" w:rsidRDefault="00AA3DC8" w:rsidP="00AA3DC8">
            <w:pPr>
              <w:jc w:val="center"/>
              <w:rPr>
                <w:rFonts w:ascii="Arial" w:hAnsi="Arial" w:cs="Arial"/>
                <w:sz w:val="20"/>
              </w:rPr>
            </w:pPr>
            <w:r w:rsidRPr="00634AD8">
              <w:rPr>
                <w:rFonts w:ascii="Arial" w:hAnsi="Arial" w:cs="Arial"/>
                <w:sz w:val="20"/>
                <w:lang w:val="es-ES"/>
              </w:rPr>
              <w:t>Informe</w:t>
            </w:r>
          </w:p>
        </w:tc>
        <w:tc>
          <w:tcPr>
            <w:tcW w:w="820" w:type="dxa"/>
            <w:vAlign w:val="center"/>
          </w:tcPr>
          <w:p w14:paraId="070C17C6"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60" w:type="dxa"/>
            <w:vAlign w:val="center"/>
          </w:tcPr>
          <w:p w14:paraId="75F8AAE4" w14:textId="77777777" w:rsidR="00AA3DC8" w:rsidRPr="00634AD8" w:rsidRDefault="00AA3DC8" w:rsidP="00AA3DC8">
            <w:pPr>
              <w:jc w:val="center"/>
              <w:rPr>
                <w:rFonts w:ascii="Arial" w:hAnsi="Arial" w:cs="Arial"/>
                <w:sz w:val="20"/>
              </w:rPr>
            </w:pPr>
            <w:r w:rsidRPr="00634AD8">
              <w:rPr>
                <w:rFonts w:ascii="Arial" w:hAnsi="Arial" w:cs="Arial"/>
                <w:sz w:val="20"/>
              </w:rPr>
              <w:t>2018</w:t>
            </w:r>
          </w:p>
        </w:tc>
        <w:tc>
          <w:tcPr>
            <w:tcW w:w="1005" w:type="dxa"/>
            <w:vAlign w:val="center"/>
          </w:tcPr>
          <w:p w14:paraId="5FC0F439"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90" w:type="dxa"/>
            <w:vAlign w:val="center"/>
          </w:tcPr>
          <w:p w14:paraId="0866113E" w14:textId="59462CB1" w:rsidR="00AA3DC8" w:rsidRPr="00634AD8" w:rsidRDefault="00B72A02" w:rsidP="00AA3DC8">
            <w:pPr>
              <w:jc w:val="center"/>
              <w:rPr>
                <w:rFonts w:ascii="Arial" w:hAnsi="Arial" w:cs="Arial"/>
                <w:sz w:val="20"/>
              </w:rPr>
            </w:pPr>
            <w:r w:rsidRPr="00634AD8">
              <w:rPr>
                <w:rFonts w:ascii="Arial" w:hAnsi="Arial" w:cs="Arial"/>
                <w:sz w:val="20"/>
              </w:rPr>
              <w:t>0</w:t>
            </w:r>
          </w:p>
        </w:tc>
        <w:tc>
          <w:tcPr>
            <w:tcW w:w="1440" w:type="dxa"/>
            <w:vAlign w:val="center"/>
          </w:tcPr>
          <w:p w14:paraId="4EB02587" w14:textId="742D62BB" w:rsidR="00AA3DC8" w:rsidRPr="00634AD8" w:rsidRDefault="00B72A02" w:rsidP="00AA3DC8">
            <w:pPr>
              <w:jc w:val="center"/>
              <w:rPr>
                <w:rFonts w:ascii="Arial" w:hAnsi="Arial" w:cs="Arial"/>
                <w:sz w:val="20"/>
              </w:rPr>
            </w:pPr>
            <w:r w:rsidRPr="00634AD8">
              <w:rPr>
                <w:rFonts w:ascii="Arial" w:hAnsi="Arial" w:cs="Arial"/>
                <w:sz w:val="20"/>
              </w:rPr>
              <w:t>3.360.000</w:t>
            </w:r>
          </w:p>
        </w:tc>
        <w:tc>
          <w:tcPr>
            <w:tcW w:w="1969" w:type="dxa"/>
            <w:vAlign w:val="center"/>
          </w:tcPr>
          <w:p w14:paraId="569C9A1D"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1710" w:type="dxa"/>
            <w:vAlign w:val="center"/>
          </w:tcPr>
          <w:p w14:paraId="50D11DDB" w14:textId="0C31975F" w:rsidR="00AA3DC8" w:rsidRPr="00634AD8" w:rsidRDefault="00AA3DC8" w:rsidP="00AA3DC8">
            <w:pPr>
              <w:jc w:val="center"/>
              <w:rPr>
                <w:rFonts w:ascii="Arial" w:hAnsi="Arial" w:cs="Arial"/>
                <w:sz w:val="20"/>
              </w:rPr>
            </w:pPr>
            <w:r w:rsidRPr="00634AD8">
              <w:rPr>
                <w:rFonts w:ascii="Arial" w:hAnsi="Arial" w:cs="Arial"/>
                <w:sz w:val="20"/>
              </w:rPr>
              <w:t>3.360.000</w:t>
            </w:r>
          </w:p>
        </w:tc>
      </w:tr>
      <w:tr w:rsidR="00412998" w:rsidRPr="00FD7A39" w14:paraId="4F783ECD" w14:textId="77777777" w:rsidTr="00412998">
        <w:trPr>
          <w:trHeight w:val="304"/>
          <w:jc w:val="center"/>
        </w:trPr>
        <w:tc>
          <w:tcPr>
            <w:tcW w:w="14019" w:type="dxa"/>
            <w:gridSpan w:val="9"/>
            <w:vAlign w:val="center"/>
          </w:tcPr>
          <w:p w14:paraId="602390D6" w14:textId="10D66A5A" w:rsidR="00412998" w:rsidRPr="00634AD8" w:rsidRDefault="00243485" w:rsidP="00A36D77">
            <w:pPr>
              <w:pStyle w:val="ListParagraph"/>
              <w:numPr>
                <w:ilvl w:val="0"/>
                <w:numId w:val="55"/>
              </w:numPr>
              <w:tabs>
                <w:tab w:val="left" w:pos="842"/>
              </w:tabs>
              <w:ind w:left="511" w:hanging="270"/>
              <w:rPr>
                <w:rFonts w:ascii="Arial" w:hAnsi="Arial" w:cs="Arial"/>
                <w:sz w:val="20"/>
              </w:rPr>
            </w:pPr>
            <w:r w:rsidRPr="00243485">
              <w:rPr>
                <w:rFonts w:ascii="Arial" w:hAnsi="Arial" w:cs="Arial"/>
                <w:sz w:val="20"/>
              </w:rPr>
              <w:t>Valoración patrimonial de Tame</w:t>
            </w:r>
          </w:p>
        </w:tc>
      </w:tr>
      <w:tr w:rsidR="00AA3DC8" w:rsidRPr="00FD7A39" w14:paraId="2744955A" w14:textId="77777777" w:rsidTr="006A6339">
        <w:trPr>
          <w:trHeight w:val="768"/>
          <w:jc w:val="center"/>
        </w:trPr>
        <w:tc>
          <w:tcPr>
            <w:tcW w:w="3785" w:type="dxa"/>
            <w:vAlign w:val="center"/>
          </w:tcPr>
          <w:p w14:paraId="2ADEAFD6" w14:textId="693BC495" w:rsidR="00AA3DC8" w:rsidRPr="00E769E5" w:rsidDel="00CC2552" w:rsidRDefault="00AA3DC8" w:rsidP="0066607C">
            <w:pPr>
              <w:pStyle w:val="ListParagraph"/>
              <w:numPr>
                <w:ilvl w:val="0"/>
                <w:numId w:val="58"/>
              </w:numPr>
              <w:ind w:left="691"/>
              <w:rPr>
                <w:rFonts w:ascii="Arial" w:hAnsi="Arial" w:cs="Arial"/>
                <w:sz w:val="20"/>
                <w:lang w:val="es-ES_tradnl"/>
              </w:rPr>
            </w:pPr>
            <w:r w:rsidRPr="00E769E5">
              <w:rPr>
                <w:rFonts w:ascii="Arial" w:hAnsi="Arial" w:cs="Arial"/>
                <w:sz w:val="20"/>
                <w:lang w:val="es-ES_tradnl"/>
              </w:rPr>
              <w:t>Informe con la puesta en valor de TAME aprobado</w:t>
            </w:r>
          </w:p>
        </w:tc>
        <w:tc>
          <w:tcPr>
            <w:tcW w:w="1340" w:type="dxa"/>
            <w:vAlign w:val="center"/>
          </w:tcPr>
          <w:p w14:paraId="3C0C7B6F" w14:textId="77777777" w:rsidR="00AA3DC8" w:rsidRPr="00634AD8" w:rsidDel="008B43E0" w:rsidRDefault="00AA3DC8" w:rsidP="00AA3DC8">
            <w:pPr>
              <w:jc w:val="center"/>
              <w:rPr>
                <w:rFonts w:ascii="Arial" w:hAnsi="Arial" w:cs="Arial"/>
                <w:sz w:val="20"/>
              </w:rPr>
            </w:pPr>
            <w:r w:rsidRPr="00634AD8">
              <w:rPr>
                <w:rFonts w:ascii="Arial" w:hAnsi="Arial" w:cs="Arial"/>
                <w:sz w:val="20"/>
              </w:rPr>
              <w:t xml:space="preserve">Informe </w:t>
            </w:r>
          </w:p>
        </w:tc>
        <w:tc>
          <w:tcPr>
            <w:tcW w:w="820" w:type="dxa"/>
            <w:vAlign w:val="center"/>
          </w:tcPr>
          <w:p w14:paraId="45E8313B"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60" w:type="dxa"/>
            <w:vAlign w:val="center"/>
          </w:tcPr>
          <w:p w14:paraId="77B59174" w14:textId="77777777" w:rsidR="00AA3DC8" w:rsidRPr="00634AD8" w:rsidRDefault="00AA3DC8" w:rsidP="00AA3DC8">
            <w:pPr>
              <w:jc w:val="center"/>
              <w:rPr>
                <w:rFonts w:ascii="Arial" w:hAnsi="Arial" w:cs="Arial"/>
                <w:sz w:val="20"/>
              </w:rPr>
            </w:pPr>
            <w:r w:rsidRPr="00634AD8">
              <w:rPr>
                <w:rFonts w:ascii="Arial" w:hAnsi="Arial" w:cs="Arial"/>
                <w:sz w:val="20"/>
              </w:rPr>
              <w:t>2018</w:t>
            </w:r>
          </w:p>
        </w:tc>
        <w:tc>
          <w:tcPr>
            <w:tcW w:w="1005" w:type="dxa"/>
            <w:vAlign w:val="center"/>
          </w:tcPr>
          <w:p w14:paraId="0B99F3FF"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90" w:type="dxa"/>
          </w:tcPr>
          <w:p w14:paraId="2C3243FF" w14:textId="6588DFAA" w:rsidR="00AA3DC8" w:rsidRPr="00634AD8" w:rsidRDefault="00AA3DC8" w:rsidP="00AA3DC8">
            <w:pPr>
              <w:jc w:val="center"/>
              <w:rPr>
                <w:rFonts w:ascii="Arial" w:hAnsi="Arial" w:cs="Arial"/>
                <w:sz w:val="20"/>
              </w:rPr>
            </w:pPr>
            <w:r w:rsidRPr="00634AD8">
              <w:rPr>
                <w:rFonts w:ascii="Arial" w:hAnsi="Arial" w:cs="Arial"/>
                <w:sz w:val="20"/>
              </w:rPr>
              <w:t>1.120.000</w:t>
            </w:r>
          </w:p>
        </w:tc>
        <w:tc>
          <w:tcPr>
            <w:tcW w:w="1440" w:type="dxa"/>
            <w:vAlign w:val="center"/>
          </w:tcPr>
          <w:p w14:paraId="1F67569F"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1969" w:type="dxa"/>
            <w:vAlign w:val="center"/>
          </w:tcPr>
          <w:p w14:paraId="5A72C217"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1710" w:type="dxa"/>
          </w:tcPr>
          <w:p w14:paraId="7F8CCC43" w14:textId="4EF979E3" w:rsidR="00AA3DC8" w:rsidRPr="00634AD8" w:rsidRDefault="00AA3DC8" w:rsidP="00AA3DC8">
            <w:pPr>
              <w:jc w:val="center"/>
              <w:rPr>
                <w:rFonts w:ascii="Arial" w:hAnsi="Arial" w:cs="Arial"/>
                <w:sz w:val="20"/>
              </w:rPr>
            </w:pPr>
            <w:r w:rsidRPr="00634AD8">
              <w:rPr>
                <w:rFonts w:ascii="Arial" w:hAnsi="Arial" w:cs="Arial"/>
                <w:sz w:val="20"/>
              </w:rPr>
              <w:t>1.120.000</w:t>
            </w:r>
          </w:p>
        </w:tc>
      </w:tr>
      <w:tr w:rsidR="00AA3DC8" w:rsidRPr="00FD7A39" w14:paraId="6CF604E1" w14:textId="77777777" w:rsidTr="006A6339">
        <w:trPr>
          <w:trHeight w:val="768"/>
          <w:jc w:val="center"/>
        </w:trPr>
        <w:tc>
          <w:tcPr>
            <w:tcW w:w="3785" w:type="dxa"/>
            <w:vAlign w:val="center"/>
          </w:tcPr>
          <w:p w14:paraId="0D226AE0" w14:textId="77777777" w:rsidR="00AA3DC8" w:rsidRPr="00E769E5" w:rsidRDefault="00AA3DC8" w:rsidP="0066607C">
            <w:pPr>
              <w:pStyle w:val="ListParagraph"/>
              <w:numPr>
                <w:ilvl w:val="0"/>
                <w:numId w:val="58"/>
              </w:numPr>
              <w:ind w:left="691"/>
              <w:rPr>
                <w:rFonts w:ascii="Arial" w:hAnsi="Arial" w:cs="Arial"/>
                <w:sz w:val="20"/>
                <w:lang w:val="es-ES_tradnl"/>
              </w:rPr>
            </w:pPr>
            <w:r w:rsidRPr="00E769E5">
              <w:rPr>
                <w:rFonts w:ascii="Arial" w:hAnsi="Arial" w:cs="Arial"/>
                <w:sz w:val="20"/>
                <w:lang w:val="es-ES_tradnl"/>
              </w:rPr>
              <w:t>Estados Financieros con las NIIF 2017-2018 aprobados</w:t>
            </w:r>
          </w:p>
        </w:tc>
        <w:tc>
          <w:tcPr>
            <w:tcW w:w="1340" w:type="dxa"/>
            <w:vAlign w:val="center"/>
          </w:tcPr>
          <w:p w14:paraId="7C6ACA4B" w14:textId="77777777" w:rsidR="00AA3DC8" w:rsidRPr="00634AD8" w:rsidRDefault="00AA3DC8" w:rsidP="00AA3DC8">
            <w:pPr>
              <w:jc w:val="center"/>
              <w:rPr>
                <w:rFonts w:ascii="Arial" w:hAnsi="Arial" w:cs="Arial"/>
                <w:sz w:val="20"/>
              </w:rPr>
            </w:pPr>
            <w:r w:rsidRPr="00634AD8">
              <w:rPr>
                <w:rFonts w:ascii="Arial" w:hAnsi="Arial" w:cs="Arial"/>
                <w:sz w:val="20"/>
              </w:rPr>
              <w:t xml:space="preserve">Estados Financieros </w:t>
            </w:r>
          </w:p>
        </w:tc>
        <w:tc>
          <w:tcPr>
            <w:tcW w:w="820" w:type="dxa"/>
            <w:vAlign w:val="center"/>
          </w:tcPr>
          <w:p w14:paraId="27DFA4EC"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60" w:type="dxa"/>
            <w:vAlign w:val="center"/>
          </w:tcPr>
          <w:p w14:paraId="49C6A702" w14:textId="77777777" w:rsidR="00AA3DC8" w:rsidRPr="00634AD8" w:rsidRDefault="00AA3DC8" w:rsidP="00AA3DC8">
            <w:pPr>
              <w:jc w:val="center"/>
              <w:rPr>
                <w:rFonts w:ascii="Arial" w:hAnsi="Arial" w:cs="Arial"/>
                <w:sz w:val="20"/>
              </w:rPr>
            </w:pPr>
            <w:r w:rsidRPr="00634AD8">
              <w:rPr>
                <w:rFonts w:ascii="Arial" w:hAnsi="Arial" w:cs="Arial"/>
                <w:sz w:val="20"/>
              </w:rPr>
              <w:t>2018</w:t>
            </w:r>
          </w:p>
        </w:tc>
        <w:tc>
          <w:tcPr>
            <w:tcW w:w="1005" w:type="dxa"/>
            <w:vAlign w:val="center"/>
          </w:tcPr>
          <w:p w14:paraId="6501D72F" w14:textId="71FEA6C0" w:rsidR="00AA3DC8" w:rsidRPr="005012B8" w:rsidRDefault="00373979" w:rsidP="00AA3DC8">
            <w:pPr>
              <w:jc w:val="center"/>
              <w:rPr>
                <w:rFonts w:ascii="Arial" w:hAnsi="Arial" w:cs="Arial"/>
                <w:sz w:val="20"/>
              </w:rPr>
            </w:pPr>
            <w:r w:rsidRPr="00074E94">
              <w:rPr>
                <w:rFonts w:ascii="Arial" w:hAnsi="Arial" w:cs="Arial"/>
                <w:sz w:val="20"/>
              </w:rPr>
              <w:t>56.000</w:t>
            </w:r>
          </w:p>
        </w:tc>
        <w:tc>
          <w:tcPr>
            <w:tcW w:w="990" w:type="dxa"/>
            <w:vAlign w:val="center"/>
          </w:tcPr>
          <w:p w14:paraId="12A90FA7" w14:textId="5150080A" w:rsidR="00AA3DC8" w:rsidRPr="005012B8" w:rsidRDefault="00373979" w:rsidP="00AA3DC8">
            <w:pPr>
              <w:jc w:val="center"/>
              <w:rPr>
                <w:rFonts w:ascii="Arial" w:hAnsi="Arial" w:cs="Arial"/>
                <w:sz w:val="20"/>
              </w:rPr>
            </w:pPr>
            <w:r w:rsidRPr="00074E94">
              <w:rPr>
                <w:rFonts w:ascii="Arial" w:hAnsi="Arial" w:cs="Arial"/>
                <w:sz w:val="20"/>
              </w:rPr>
              <w:t>56</w:t>
            </w:r>
            <w:r w:rsidR="00AA3DC8" w:rsidRPr="005012B8">
              <w:rPr>
                <w:rFonts w:ascii="Arial" w:hAnsi="Arial" w:cs="Arial"/>
                <w:sz w:val="20"/>
              </w:rPr>
              <w:t>.000</w:t>
            </w:r>
          </w:p>
        </w:tc>
        <w:tc>
          <w:tcPr>
            <w:tcW w:w="1440" w:type="dxa"/>
            <w:vAlign w:val="center"/>
          </w:tcPr>
          <w:p w14:paraId="7ACA2A85" w14:textId="4A360417" w:rsidR="00AA3DC8" w:rsidRPr="00634AD8" w:rsidRDefault="00AA3DC8" w:rsidP="00AA3DC8">
            <w:pPr>
              <w:jc w:val="center"/>
              <w:rPr>
                <w:rFonts w:ascii="Arial" w:hAnsi="Arial" w:cs="Arial"/>
                <w:sz w:val="20"/>
              </w:rPr>
            </w:pPr>
            <w:r w:rsidRPr="00634AD8">
              <w:rPr>
                <w:rFonts w:ascii="Arial" w:hAnsi="Arial" w:cs="Arial"/>
                <w:sz w:val="20"/>
              </w:rPr>
              <w:t>0</w:t>
            </w:r>
          </w:p>
        </w:tc>
        <w:tc>
          <w:tcPr>
            <w:tcW w:w="1969" w:type="dxa"/>
            <w:vAlign w:val="center"/>
          </w:tcPr>
          <w:p w14:paraId="38CE1AA4" w14:textId="1547CF68" w:rsidR="00AA3DC8" w:rsidRPr="00634AD8" w:rsidRDefault="00AA3DC8" w:rsidP="00AA3DC8">
            <w:pPr>
              <w:jc w:val="center"/>
              <w:rPr>
                <w:rFonts w:ascii="Arial" w:hAnsi="Arial" w:cs="Arial"/>
                <w:sz w:val="20"/>
              </w:rPr>
            </w:pPr>
            <w:r w:rsidRPr="00634AD8">
              <w:rPr>
                <w:rFonts w:ascii="Arial" w:hAnsi="Arial" w:cs="Arial"/>
                <w:sz w:val="20"/>
              </w:rPr>
              <w:t>0</w:t>
            </w:r>
          </w:p>
        </w:tc>
        <w:tc>
          <w:tcPr>
            <w:tcW w:w="1710" w:type="dxa"/>
          </w:tcPr>
          <w:p w14:paraId="55E0D5D3" w14:textId="7EEC9594" w:rsidR="00AA3DC8" w:rsidRPr="00634AD8" w:rsidRDefault="00AA3DC8" w:rsidP="00AA3DC8">
            <w:pPr>
              <w:jc w:val="center"/>
              <w:rPr>
                <w:rFonts w:ascii="Arial" w:hAnsi="Arial" w:cs="Arial"/>
                <w:sz w:val="20"/>
              </w:rPr>
            </w:pPr>
            <w:r w:rsidRPr="00634AD8">
              <w:rPr>
                <w:rFonts w:ascii="Arial" w:hAnsi="Arial" w:cs="Arial"/>
                <w:sz w:val="20"/>
              </w:rPr>
              <w:t>112.000</w:t>
            </w:r>
          </w:p>
        </w:tc>
      </w:tr>
      <w:tr w:rsidR="003820FF" w:rsidRPr="00FD7A39" w14:paraId="47C97BA1" w14:textId="77777777" w:rsidTr="00886144">
        <w:trPr>
          <w:trHeight w:val="322"/>
          <w:jc w:val="center"/>
        </w:trPr>
        <w:tc>
          <w:tcPr>
            <w:tcW w:w="14019" w:type="dxa"/>
            <w:gridSpan w:val="9"/>
            <w:shd w:val="clear" w:color="auto" w:fill="DDD9C3" w:themeFill="background2" w:themeFillShade="E6"/>
            <w:vAlign w:val="center"/>
          </w:tcPr>
          <w:p w14:paraId="013ACCA5" w14:textId="01EF8C55" w:rsidR="003820FF" w:rsidRPr="00886144" w:rsidRDefault="00886144" w:rsidP="00886144">
            <w:pPr>
              <w:rPr>
                <w:rFonts w:ascii="Arial" w:hAnsi="Arial" w:cs="Arial"/>
                <w:b/>
                <w:sz w:val="20"/>
              </w:rPr>
            </w:pPr>
            <w:r w:rsidRPr="00886144">
              <w:rPr>
                <w:rFonts w:ascii="Arial" w:hAnsi="Arial" w:cs="Arial"/>
                <w:b/>
                <w:sz w:val="20"/>
              </w:rPr>
              <w:t>Subcomponente 2.2. Mejora de la gestión y optimización del TH</w:t>
            </w:r>
          </w:p>
        </w:tc>
      </w:tr>
      <w:tr w:rsidR="00AA3DC8" w:rsidRPr="00FD7A39" w14:paraId="5708DD20" w14:textId="77777777" w:rsidTr="006A6339">
        <w:trPr>
          <w:trHeight w:val="768"/>
          <w:jc w:val="center"/>
        </w:trPr>
        <w:tc>
          <w:tcPr>
            <w:tcW w:w="3785" w:type="dxa"/>
            <w:vAlign w:val="center"/>
          </w:tcPr>
          <w:p w14:paraId="5535EB0A" w14:textId="3F9A4941" w:rsidR="00AA3DC8" w:rsidRPr="00634AD8" w:rsidRDefault="00F602F4" w:rsidP="008E7D54">
            <w:pPr>
              <w:pStyle w:val="ListParagraph"/>
              <w:numPr>
                <w:ilvl w:val="0"/>
                <w:numId w:val="59"/>
              </w:numPr>
              <w:tabs>
                <w:tab w:val="left" w:pos="842"/>
              </w:tabs>
              <w:ind w:left="511" w:hanging="270"/>
              <w:rPr>
                <w:rFonts w:ascii="Arial" w:hAnsi="Arial" w:cs="Arial"/>
                <w:sz w:val="20"/>
                <w:lang w:val="es-ES_tradnl"/>
              </w:rPr>
            </w:pPr>
            <w:r>
              <w:rPr>
                <w:rFonts w:ascii="Arial" w:hAnsi="Arial" w:cs="Arial"/>
                <w:sz w:val="20"/>
                <w:lang w:val="es-ES_tradnl"/>
              </w:rPr>
              <w:lastRenderedPageBreak/>
              <w:t>Personal con beneficios</w:t>
            </w:r>
            <w:r w:rsidRPr="00634AD8">
              <w:rPr>
                <w:rFonts w:ascii="Arial" w:hAnsi="Arial" w:cs="Arial"/>
                <w:sz w:val="20"/>
                <w:lang w:val="es-ES_tradnl"/>
              </w:rPr>
              <w:t xml:space="preserve"> </w:t>
            </w:r>
            <w:r w:rsidR="00AA3DC8" w:rsidRPr="00634AD8">
              <w:rPr>
                <w:rFonts w:ascii="Arial" w:hAnsi="Arial" w:cs="Arial"/>
                <w:sz w:val="20"/>
                <w:lang w:val="es-ES_tradnl"/>
              </w:rPr>
              <w:t>por desvinculaci</w:t>
            </w:r>
            <w:r>
              <w:rPr>
                <w:rFonts w:ascii="Arial" w:hAnsi="Arial" w:cs="Arial"/>
                <w:sz w:val="20"/>
                <w:lang w:val="es-ES_tradnl"/>
              </w:rPr>
              <w:t>ón devengados en</w:t>
            </w:r>
            <w:r w:rsidR="00AA3DC8" w:rsidRPr="00634AD8">
              <w:rPr>
                <w:rFonts w:ascii="Arial" w:hAnsi="Arial" w:cs="Arial"/>
                <w:sz w:val="20"/>
                <w:lang w:val="es-ES_tradnl"/>
              </w:rPr>
              <w:t xml:space="preserve"> Petroamazonas, Petroecuador, CNEL, CELEC, Tame y EMCO </w:t>
            </w:r>
            <w:r>
              <w:rPr>
                <w:rFonts w:ascii="Arial" w:hAnsi="Arial" w:cs="Arial"/>
                <w:sz w:val="20"/>
                <w:lang w:val="es-ES_tradnl"/>
              </w:rPr>
              <w:t>desvinculadas.</w:t>
            </w:r>
          </w:p>
        </w:tc>
        <w:tc>
          <w:tcPr>
            <w:tcW w:w="1340" w:type="dxa"/>
            <w:vAlign w:val="center"/>
          </w:tcPr>
          <w:p w14:paraId="1086B5ED" w14:textId="77777777" w:rsidR="00AA3DC8" w:rsidRPr="00634AD8" w:rsidRDefault="00AA3DC8" w:rsidP="00AA3DC8">
            <w:pPr>
              <w:jc w:val="center"/>
              <w:rPr>
                <w:rFonts w:ascii="Arial" w:hAnsi="Arial" w:cs="Arial"/>
                <w:sz w:val="20"/>
              </w:rPr>
            </w:pPr>
            <w:r w:rsidRPr="00634AD8">
              <w:rPr>
                <w:rFonts w:ascii="Arial" w:hAnsi="Arial" w:cs="Arial"/>
                <w:sz w:val="20"/>
              </w:rPr>
              <w:t xml:space="preserve">Empleados </w:t>
            </w:r>
          </w:p>
        </w:tc>
        <w:tc>
          <w:tcPr>
            <w:tcW w:w="820" w:type="dxa"/>
            <w:vAlign w:val="center"/>
          </w:tcPr>
          <w:p w14:paraId="1AFE1007" w14:textId="77777777" w:rsidR="00AA3DC8" w:rsidRPr="00634AD8" w:rsidRDefault="00AA3DC8" w:rsidP="00AA3DC8">
            <w:pPr>
              <w:jc w:val="center"/>
              <w:rPr>
                <w:rFonts w:ascii="Arial" w:hAnsi="Arial" w:cs="Arial"/>
                <w:sz w:val="20"/>
              </w:rPr>
            </w:pPr>
            <w:r w:rsidRPr="00634AD8">
              <w:rPr>
                <w:rFonts w:ascii="Arial" w:hAnsi="Arial" w:cs="Arial"/>
                <w:sz w:val="20"/>
              </w:rPr>
              <w:t>0</w:t>
            </w:r>
          </w:p>
        </w:tc>
        <w:tc>
          <w:tcPr>
            <w:tcW w:w="960" w:type="dxa"/>
            <w:vAlign w:val="center"/>
          </w:tcPr>
          <w:p w14:paraId="1FB9A899" w14:textId="77777777" w:rsidR="00AA3DC8" w:rsidRPr="00634AD8" w:rsidRDefault="00AA3DC8" w:rsidP="00AA3DC8">
            <w:pPr>
              <w:jc w:val="center"/>
              <w:rPr>
                <w:rFonts w:ascii="Arial" w:hAnsi="Arial" w:cs="Arial"/>
                <w:sz w:val="20"/>
              </w:rPr>
            </w:pPr>
            <w:r w:rsidRPr="00634AD8">
              <w:rPr>
                <w:rFonts w:ascii="Arial" w:hAnsi="Arial" w:cs="Arial"/>
                <w:sz w:val="20"/>
              </w:rPr>
              <w:t>2018</w:t>
            </w:r>
          </w:p>
        </w:tc>
        <w:tc>
          <w:tcPr>
            <w:tcW w:w="1005" w:type="dxa"/>
            <w:vAlign w:val="center"/>
          </w:tcPr>
          <w:p w14:paraId="3085B712" w14:textId="553355EF" w:rsidR="00AA3DC8" w:rsidRPr="00634AD8" w:rsidRDefault="00AA3DC8" w:rsidP="00AA3DC8">
            <w:pPr>
              <w:jc w:val="center"/>
              <w:rPr>
                <w:rFonts w:ascii="Arial" w:hAnsi="Arial" w:cs="Arial"/>
                <w:sz w:val="20"/>
              </w:rPr>
            </w:pPr>
            <w:r w:rsidRPr="00634AD8">
              <w:rPr>
                <w:rFonts w:ascii="Arial" w:hAnsi="Arial" w:cs="Arial"/>
                <w:sz w:val="20"/>
              </w:rPr>
              <w:t>0</w:t>
            </w:r>
          </w:p>
        </w:tc>
        <w:tc>
          <w:tcPr>
            <w:tcW w:w="990" w:type="dxa"/>
            <w:vAlign w:val="center"/>
          </w:tcPr>
          <w:p w14:paraId="14CCFDF1" w14:textId="2D74A5BD" w:rsidR="00AA3DC8" w:rsidRPr="00634AD8" w:rsidRDefault="00AA3DC8" w:rsidP="00AA3DC8">
            <w:pPr>
              <w:jc w:val="center"/>
              <w:rPr>
                <w:rFonts w:ascii="Arial" w:hAnsi="Arial" w:cs="Arial"/>
                <w:sz w:val="20"/>
              </w:rPr>
            </w:pPr>
            <w:r w:rsidRPr="00634AD8">
              <w:rPr>
                <w:rFonts w:ascii="Arial" w:hAnsi="Arial" w:cs="Arial"/>
                <w:sz w:val="20"/>
              </w:rPr>
              <w:t>43.000.000</w:t>
            </w:r>
          </w:p>
        </w:tc>
        <w:tc>
          <w:tcPr>
            <w:tcW w:w="1440" w:type="dxa"/>
            <w:vAlign w:val="center"/>
          </w:tcPr>
          <w:p w14:paraId="1736B635" w14:textId="6F071D6C" w:rsidR="00AA3DC8" w:rsidRPr="00634AD8" w:rsidRDefault="00AA3DC8" w:rsidP="00AA3DC8">
            <w:pPr>
              <w:jc w:val="center"/>
              <w:rPr>
                <w:rFonts w:ascii="Arial" w:hAnsi="Arial" w:cs="Arial"/>
                <w:sz w:val="20"/>
              </w:rPr>
            </w:pPr>
            <w:r w:rsidRPr="00634AD8">
              <w:rPr>
                <w:rFonts w:ascii="Arial" w:hAnsi="Arial" w:cs="Arial"/>
                <w:sz w:val="20"/>
              </w:rPr>
              <w:t>0</w:t>
            </w:r>
          </w:p>
        </w:tc>
        <w:tc>
          <w:tcPr>
            <w:tcW w:w="1969" w:type="dxa"/>
            <w:vAlign w:val="center"/>
          </w:tcPr>
          <w:p w14:paraId="28F8D6D0" w14:textId="7F00A94C" w:rsidR="00AA3DC8" w:rsidRPr="00634AD8" w:rsidRDefault="00AA3DC8" w:rsidP="00AA3DC8">
            <w:pPr>
              <w:jc w:val="center"/>
              <w:rPr>
                <w:rFonts w:ascii="Arial" w:hAnsi="Arial" w:cs="Arial"/>
                <w:sz w:val="20"/>
              </w:rPr>
            </w:pPr>
            <w:r w:rsidRPr="00634AD8">
              <w:rPr>
                <w:rFonts w:ascii="Arial" w:hAnsi="Arial" w:cs="Arial"/>
                <w:sz w:val="20"/>
              </w:rPr>
              <w:t>0</w:t>
            </w:r>
          </w:p>
        </w:tc>
        <w:tc>
          <w:tcPr>
            <w:tcW w:w="1710" w:type="dxa"/>
          </w:tcPr>
          <w:p w14:paraId="6D55AEF2" w14:textId="576BCC8F" w:rsidR="00AA3DC8" w:rsidRPr="00634AD8" w:rsidRDefault="00AA3DC8" w:rsidP="00AA3DC8">
            <w:pPr>
              <w:jc w:val="center"/>
              <w:rPr>
                <w:rFonts w:ascii="Arial" w:hAnsi="Arial" w:cs="Arial"/>
                <w:sz w:val="20"/>
              </w:rPr>
            </w:pPr>
            <w:r w:rsidRPr="00634AD8">
              <w:rPr>
                <w:rFonts w:ascii="Arial" w:hAnsi="Arial" w:cs="Arial"/>
                <w:sz w:val="20"/>
              </w:rPr>
              <w:t>43.000.000</w:t>
            </w:r>
          </w:p>
        </w:tc>
      </w:tr>
      <w:tr w:rsidR="00373979" w:rsidRPr="00292B45" w14:paraId="60315B6D" w14:textId="77777777" w:rsidTr="00074E94">
        <w:trPr>
          <w:trHeight w:val="768"/>
          <w:jc w:val="center"/>
        </w:trPr>
        <w:tc>
          <w:tcPr>
            <w:tcW w:w="3785" w:type="dxa"/>
            <w:vAlign w:val="center"/>
          </w:tcPr>
          <w:p w14:paraId="0A1804F2" w14:textId="77777777" w:rsidR="00373979" w:rsidRPr="00634AD8" w:rsidDel="00CC2552" w:rsidRDefault="00373979" w:rsidP="00373979">
            <w:pPr>
              <w:pStyle w:val="ListParagraph"/>
              <w:numPr>
                <w:ilvl w:val="0"/>
                <w:numId w:val="59"/>
              </w:numPr>
              <w:tabs>
                <w:tab w:val="left" w:pos="842"/>
              </w:tabs>
              <w:ind w:left="511" w:hanging="270"/>
              <w:rPr>
                <w:rFonts w:ascii="Arial" w:hAnsi="Arial" w:cs="Arial"/>
                <w:sz w:val="20"/>
                <w:lang w:val="es-ES_tradnl"/>
              </w:rPr>
            </w:pPr>
            <w:r w:rsidRPr="00634AD8">
              <w:rPr>
                <w:rFonts w:ascii="Arial" w:hAnsi="Arial" w:cs="Arial"/>
                <w:sz w:val="20"/>
                <w:lang w:val="es-ES_tradnl"/>
              </w:rPr>
              <w:t>Informes anuales de estrategia de comunicación (pública e interna) que facilite la comprensión de los objetivos de la reforma y las beneficios para el ciudadano implementada</w:t>
            </w:r>
          </w:p>
        </w:tc>
        <w:tc>
          <w:tcPr>
            <w:tcW w:w="1340" w:type="dxa"/>
            <w:vAlign w:val="center"/>
          </w:tcPr>
          <w:p w14:paraId="5682761A" w14:textId="77777777" w:rsidR="00373979" w:rsidRPr="00634AD8" w:rsidDel="008B43E0" w:rsidRDefault="00373979" w:rsidP="00373979">
            <w:pPr>
              <w:jc w:val="center"/>
              <w:rPr>
                <w:rFonts w:ascii="Arial" w:hAnsi="Arial" w:cs="Arial"/>
                <w:sz w:val="20"/>
              </w:rPr>
            </w:pPr>
            <w:r w:rsidRPr="00634AD8">
              <w:rPr>
                <w:rFonts w:ascii="Arial" w:hAnsi="Arial" w:cs="Arial"/>
                <w:sz w:val="20"/>
              </w:rPr>
              <w:t>Informe</w:t>
            </w:r>
          </w:p>
        </w:tc>
        <w:tc>
          <w:tcPr>
            <w:tcW w:w="820" w:type="dxa"/>
            <w:vAlign w:val="center"/>
          </w:tcPr>
          <w:p w14:paraId="65F9BA81" w14:textId="77777777" w:rsidR="00373979" w:rsidRPr="00634AD8" w:rsidRDefault="00373979" w:rsidP="00373979">
            <w:pPr>
              <w:jc w:val="center"/>
              <w:rPr>
                <w:rFonts w:ascii="Arial" w:hAnsi="Arial" w:cs="Arial"/>
                <w:sz w:val="20"/>
              </w:rPr>
            </w:pPr>
            <w:r w:rsidRPr="00634AD8">
              <w:rPr>
                <w:rFonts w:ascii="Arial" w:hAnsi="Arial" w:cs="Arial"/>
                <w:sz w:val="20"/>
              </w:rPr>
              <w:t>0</w:t>
            </w:r>
          </w:p>
        </w:tc>
        <w:tc>
          <w:tcPr>
            <w:tcW w:w="960" w:type="dxa"/>
            <w:vAlign w:val="center"/>
          </w:tcPr>
          <w:p w14:paraId="3874D8C1" w14:textId="77777777" w:rsidR="00373979" w:rsidRPr="00634AD8" w:rsidRDefault="00373979" w:rsidP="00373979">
            <w:pPr>
              <w:jc w:val="center"/>
              <w:rPr>
                <w:rFonts w:ascii="Arial" w:hAnsi="Arial" w:cs="Arial"/>
                <w:sz w:val="20"/>
              </w:rPr>
            </w:pPr>
            <w:r w:rsidRPr="00634AD8">
              <w:rPr>
                <w:rFonts w:ascii="Arial" w:hAnsi="Arial" w:cs="Arial"/>
                <w:sz w:val="20"/>
              </w:rPr>
              <w:t>2018</w:t>
            </w:r>
          </w:p>
        </w:tc>
        <w:tc>
          <w:tcPr>
            <w:tcW w:w="1005" w:type="dxa"/>
            <w:vAlign w:val="center"/>
          </w:tcPr>
          <w:p w14:paraId="75AC418C" w14:textId="06513DE1" w:rsidR="00373979" w:rsidRPr="005012B8" w:rsidRDefault="00373979" w:rsidP="00373979">
            <w:pPr>
              <w:jc w:val="center"/>
              <w:rPr>
                <w:rFonts w:ascii="Arial" w:hAnsi="Arial" w:cs="Arial"/>
                <w:sz w:val="20"/>
              </w:rPr>
            </w:pPr>
            <w:r w:rsidRPr="00074E94">
              <w:rPr>
                <w:rFonts w:ascii="Arial" w:hAnsi="Arial" w:cs="Arial"/>
                <w:sz w:val="20"/>
              </w:rPr>
              <w:t>124.186</w:t>
            </w:r>
          </w:p>
        </w:tc>
        <w:tc>
          <w:tcPr>
            <w:tcW w:w="990" w:type="dxa"/>
            <w:vAlign w:val="center"/>
          </w:tcPr>
          <w:p w14:paraId="6C5B851A" w14:textId="75BF96D5" w:rsidR="00373979" w:rsidRPr="005012B8" w:rsidRDefault="00373979" w:rsidP="00373979">
            <w:pPr>
              <w:jc w:val="center"/>
              <w:rPr>
                <w:rFonts w:ascii="Arial" w:hAnsi="Arial" w:cs="Arial"/>
                <w:sz w:val="20"/>
              </w:rPr>
            </w:pPr>
            <w:r w:rsidRPr="00074E94">
              <w:rPr>
                <w:rFonts w:ascii="Arial" w:hAnsi="Arial" w:cs="Arial"/>
                <w:sz w:val="20"/>
              </w:rPr>
              <w:t>155.232</w:t>
            </w:r>
          </w:p>
        </w:tc>
        <w:tc>
          <w:tcPr>
            <w:tcW w:w="1440" w:type="dxa"/>
            <w:vAlign w:val="center"/>
          </w:tcPr>
          <w:p w14:paraId="0E0E305B" w14:textId="520A6F20" w:rsidR="00373979" w:rsidRPr="005012B8" w:rsidRDefault="00373979" w:rsidP="00373979">
            <w:pPr>
              <w:jc w:val="center"/>
              <w:rPr>
                <w:rFonts w:ascii="Arial" w:hAnsi="Arial" w:cs="Arial"/>
                <w:sz w:val="20"/>
              </w:rPr>
            </w:pPr>
            <w:r w:rsidRPr="00074E94">
              <w:rPr>
                <w:rFonts w:ascii="Arial" w:hAnsi="Arial" w:cs="Arial"/>
                <w:sz w:val="20"/>
              </w:rPr>
              <w:t>155.232</w:t>
            </w:r>
          </w:p>
        </w:tc>
        <w:tc>
          <w:tcPr>
            <w:tcW w:w="1969" w:type="dxa"/>
            <w:vAlign w:val="center"/>
          </w:tcPr>
          <w:p w14:paraId="5161DAEA" w14:textId="7F7CEFA3" w:rsidR="00373979" w:rsidRPr="005012B8" w:rsidRDefault="00373979" w:rsidP="00373979">
            <w:pPr>
              <w:jc w:val="center"/>
              <w:rPr>
                <w:rFonts w:ascii="Arial" w:hAnsi="Arial" w:cs="Arial"/>
                <w:sz w:val="20"/>
              </w:rPr>
            </w:pPr>
            <w:r w:rsidRPr="00074E94">
              <w:rPr>
                <w:rFonts w:ascii="Arial" w:hAnsi="Arial" w:cs="Arial"/>
                <w:sz w:val="20"/>
              </w:rPr>
              <w:t>186</w:t>
            </w:r>
            <w:r w:rsidRPr="005012B8">
              <w:rPr>
                <w:rFonts w:ascii="Arial" w:hAnsi="Arial" w:cs="Arial"/>
                <w:sz w:val="20"/>
              </w:rPr>
              <w:t>.2</w:t>
            </w:r>
            <w:r w:rsidRPr="00074E94">
              <w:rPr>
                <w:rFonts w:ascii="Arial" w:hAnsi="Arial" w:cs="Arial"/>
                <w:sz w:val="20"/>
              </w:rPr>
              <w:t>7</w:t>
            </w:r>
            <w:r w:rsidRPr="005012B8">
              <w:rPr>
                <w:rFonts w:ascii="Arial" w:hAnsi="Arial" w:cs="Arial"/>
                <w:sz w:val="20"/>
              </w:rPr>
              <w:t>8</w:t>
            </w:r>
          </w:p>
        </w:tc>
        <w:tc>
          <w:tcPr>
            <w:tcW w:w="1710" w:type="dxa"/>
            <w:vAlign w:val="center"/>
          </w:tcPr>
          <w:p w14:paraId="32182444" w14:textId="6B9A6620" w:rsidR="00373979" w:rsidRPr="00634AD8" w:rsidRDefault="00373979" w:rsidP="00373979">
            <w:pPr>
              <w:jc w:val="center"/>
              <w:rPr>
                <w:rFonts w:ascii="Arial" w:hAnsi="Arial" w:cs="Arial"/>
                <w:sz w:val="20"/>
              </w:rPr>
            </w:pPr>
            <w:r w:rsidRPr="00634AD8">
              <w:rPr>
                <w:rFonts w:ascii="Arial" w:hAnsi="Arial" w:cs="Arial"/>
                <w:sz w:val="20"/>
              </w:rPr>
              <w:t>620.928</w:t>
            </w:r>
          </w:p>
        </w:tc>
      </w:tr>
      <w:tr w:rsidR="005072EC" w:rsidRPr="00292B45" w14:paraId="0E42653A" w14:textId="77777777" w:rsidTr="006A6339">
        <w:trPr>
          <w:trHeight w:val="768"/>
          <w:jc w:val="center"/>
        </w:trPr>
        <w:tc>
          <w:tcPr>
            <w:tcW w:w="3785" w:type="dxa"/>
          </w:tcPr>
          <w:p w14:paraId="14EE9BD6" w14:textId="1CEAE1C4" w:rsidR="005072EC" w:rsidRPr="00843A33" w:rsidRDefault="005072EC" w:rsidP="00843A33">
            <w:pPr>
              <w:rPr>
                <w:rFonts w:ascii="Arial" w:hAnsi="Arial" w:cs="Arial"/>
                <w:sz w:val="20"/>
              </w:rPr>
            </w:pPr>
            <w:r w:rsidRPr="00843A33">
              <w:rPr>
                <w:rFonts w:ascii="Arial" w:hAnsi="Arial" w:cs="Arial"/>
                <w:sz w:val="20"/>
              </w:rPr>
              <w:t>Contratación equipo de coordinación y administración de proyecto</w:t>
            </w:r>
          </w:p>
        </w:tc>
        <w:tc>
          <w:tcPr>
            <w:tcW w:w="1340" w:type="dxa"/>
          </w:tcPr>
          <w:p w14:paraId="20DD1BCA" w14:textId="41DD2591" w:rsidR="005072EC" w:rsidRPr="00634AD8" w:rsidRDefault="005072EC" w:rsidP="005072EC">
            <w:pPr>
              <w:jc w:val="center"/>
              <w:rPr>
                <w:rFonts w:ascii="Arial" w:hAnsi="Arial" w:cs="Arial"/>
                <w:sz w:val="20"/>
              </w:rPr>
            </w:pPr>
          </w:p>
        </w:tc>
        <w:tc>
          <w:tcPr>
            <w:tcW w:w="820" w:type="dxa"/>
          </w:tcPr>
          <w:p w14:paraId="5D7FCCF4" w14:textId="1F341562" w:rsidR="005072EC" w:rsidRPr="00634AD8" w:rsidRDefault="005072EC" w:rsidP="005072EC">
            <w:pPr>
              <w:jc w:val="center"/>
              <w:rPr>
                <w:rFonts w:ascii="Arial" w:hAnsi="Arial" w:cs="Arial"/>
                <w:sz w:val="20"/>
              </w:rPr>
            </w:pPr>
          </w:p>
        </w:tc>
        <w:tc>
          <w:tcPr>
            <w:tcW w:w="960" w:type="dxa"/>
          </w:tcPr>
          <w:p w14:paraId="0AE68BCE" w14:textId="1BB48A1C" w:rsidR="005072EC" w:rsidRPr="00634AD8" w:rsidRDefault="005072EC" w:rsidP="005072EC">
            <w:pPr>
              <w:jc w:val="center"/>
              <w:rPr>
                <w:rFonts w:ascii="Arial" w:hAnsi="Arial" w:cs="Arial"/>
                <w:sz w:val="20"/>
              </w:rPr>
            </w:pPr>
          </w:p>
        </w:tc>
        <w:tc>
          <w:tcPr>
            <w:tcW w:w="1005" w:type="dxa"/>
          </w:tcPr>
          <w:p w14:paraId="498E052C" w14:textId="45F8FEA0" w:rsidR="005072EC" w:rsidRPr="00634AD8" w:rsidRDefault="005072EC" w:rsidP="005072EC">
            <w:pPr>
              <w:jc w:val="center"/>
              <w:rPr>
                <w:rFonts w:ascii="Arial" w:hAnsi="Arial" w:cs="Arial"/>
                <w:sz w:val="20"/>
              </w:rPr>
            </w:pPr>
            <w:r w:rsidRPr="00634AD8">
              <w:rPr>
                <w:rFonts w:ascii="Arial" w:hAnsi="Arial" w:cs="Arial"/>
                <w:sz w:val="20"/>
              </w:rPr>
              <w:t>135.027</w:t>
            </w:r>
          </w:p>
        </w:tc>
        <w:tc>
          <w:tcPr>
            <w:tcW w:w="990" w:type="dxa"/>
          </w:tcPr>
          <w:p w14:paraId="686950AF" w14:textId="041CD95D" w:rsidR="005072EC" w:rsidRPr="00634AD8" w:rsidRDefault="005072EC" w:rsidP="005072EC">
            <w:pPr>
              <w:jc w:val="center"/>
              <w:rPr>
                <w:rFonts w:ascii="Arial" w:hAnsi="Arial" w:cs="Arial"/>
                <w:sz w:val="20"/>
              </w:rPr>
            </w:pPr>
            <w:r w:rsidRPr="00634AD8">
              <w:rPr>
                <w:rFonts w:ascii="Arial" w:hAnsi="Arial" w:cs="Arial"/>
                <w:sz w:val="20"/>
              </w:rPr>
              <w:t>405.082</w:t>
            </w:r>
          </w:p>
        </w:tc>
        <w:tc>
          <w:tcPr>
            <w:tcW w:w="1440" w:type="dxa"/>
          </w:tcPr>
          <w:p w14:paraId="2B493267" w14:textId="45E69BFB" w:rsidR="005072EC" w:rsidRPr="00634AD8" w:rsidRDefault="005072EC" w:rsidP="005072EC">
            <w:pPr>
              <w:jc w:val="center"/>
              <w:rPr>
                <w:rFonts w:ascii="Arial" w:hAnsi="Arial" w:cs="Arial"/>
                <w:sz w:val="20"/>
              </w:rPr>
            </w:pPr>
            <w:r w:rsidRPr="00634AD8">
              <w:rPr>
                <w:rFonts w:ascii="Arial" w:hAnsi="Arial" w:cs="Arial"/>
                <w:sz w:val="20"/>
              </w:rPr>
              <w:t>405.082</w:t>
            </w:r>
          </w:p>
        </w:tc>
        <w:tc>
          <w:tcPr>
            <w:tcW w:w="1969" w:type="dxa"/>
          </w:tcPr>
          <w:p w14:paraId="321F5151" w14:textId="43D32B99" w:rsidR="005072EC" w:rsidRPr="00634AD8" w:rsidRDefault="005072EC" w:rsidP="005072EC">
            <w:pPr>
              <w:jc w:val="center"/>
              <w:rPr>
                <w:rFonts w:ascii="Arial" w:hAnsi="Arial" w:cs="Arial"/>
                <w:sz w:val="20"/>
              </w:rPr>
            </w:pPr>
            <w:r w:rsidRPr="00634AD8">
              <w:rPr>
                <w:rFonts w:ascii="Arial" w:hAnsi="Arial" w:cs="Arial"/>
                <w:sz w:val="20"/>
              </w:rPr>
              <w:t>405.082</w:t>
            </w:r>
          </w:p>
        </w:tc>
        <w:tc>
          <w:tcPr>
            <w:tcW w:w="1710" w:type="dxa"/>
          </w:tcPr>
          <w:p w14:paraId="767F573B" w14:textId="1D4CD915" w:rsidR="005072EC" w:rsidRPr="00634AD8" w:rsidRDefault="001C5EE6" w:rsidP="005072EC">
            <w:pPr>
              <w:jc w:val="center"/>
              <w:rPr>
                <w:rFonts w:ascii="Arial" w:hAnsi="Arial" w:cs="Arial"/>
                <w:sz w:val="20"/>
              </w:rPr>
            </w:pPr>
            <w:r w:rsidRPr="00634AD8">
              <w:rPr>
                <w:rFonts w:ascii="Arial" w:hAnsi="Arial" w:cs="Arial"/>
                <w:sz w:val="20"/>
              </w:rPr>
              <w:t>1.350.272</w:t>
            </w:r>
          </w:p>
        </w:tc>
      </w:tr>
      <w:tr w:rsidR="001C5EE6" w:rsidRPr="00292B45" w14:paraId="4AA5EB5D" w14:textId="77777777" w:rsidTr="006A6339">
        <w:trPr>
          <w:trHeight w:val="475"/>
          <w:jc w:val="center"/>
        </w:trPr>
        <w:tc>
          <w:tcPr>
            <w:tcW w:w="3785" w:type="dxa"/>
          </w:tcPr>
          <w:p w14:paraId="24D07F08" w14:textId="3D054E3F" w:rsidR="001C5EE6" w:rsidRPr="00074E94" w:rsidRDefault="001C5EE6" w:rsidP="00634AD8">
            <w:pPr>
              <w:pStyle w:val="ListParagraph"/>
              <w:rPr>
                <w:rFonts w:ascii="Arial" w:hAnsi="Arial" w:cs="Arial"/>
                <w:i/>
                <w:sz w:val="20"/>
                <w:lang w:val="es-ES_tradnl"/>
              </w:rPr>
            </w:pPr>
            <w:r w:rsidRPr="00074E94">
              <w:rPr>
                <w:rFonts w:ascii="Arial" w:hAnsi="Arial" w:cs="Arial"/>
                <w:i/>
                <w:sz w:val="20"/>
                <w:lang w:val="es-ES_tradnl"/>
              </w:rPr>
              <w:t>Monitoreo</w:t>
            </w:r>
            <w:r w:rsidR="00AC3A78" w:rsidRPr="00074E94">
              <w:rPr>
                <w:rStyle w:val="FootnoteReference"/>
                <w:rFonts w:ascii="Arial" w:hAnsi="Arial" w:cs="Arial"/>
                <w:i/>
                <w:lang w:val="es-ES_tradnl"/>
              </w:rPr>
              <w:footnoteReference w:id="33"/>
            </w:r>
          </w:p>
        </w:tc>
        <w:tc>
          <w:tcPr>
            <w:tcW w:w="1340" w:type="dxa"/>
          </w:tcPr>
          <w:p w14:paraId="6DA618E4" w14:textId="77777777" w:rsidR="001C5EE6" w:rsidRPr="00074E94" w:rsidRDefault="001C5EE6" w:rsidP="001C5EE6">
            <w:pPr>
              <w:jc w:val="center"/>
              <w:rPr>
                <w:rFonts w:ascii="Arial" w:hAnsi="Arial" w:cs="Arial"/>
                <w:sz w:val="20"/>
              </w:rPr>
            </w:pPr>
          </w:p>
        </w:tc>
        <w:tc>
          <w:tcPr>
            <w:tcW w:w="820" w:type="dxa"/>
          </w:tcPr>
          <w:p w14:paraId="1815CB81" w14:textId="77777777" w:rsidR="001C5EE6" w:rsidRPr="00074E94" w:rsidRDefault="001C5EE6" w:rsidP="001C5EE6">
            <w:pPr>
              <w:jc w:val="center"/>
              <w:rPr>
                <w:rFonts w:ascii="Arial" w:hAnsi="Arial" w:cs="Arial"/>
                <w:sz w:val="20"/>
              </w:rPr>
            </w:pPr>
          </w:p>
        </w:tc>
        <w:tc>
          <w:tcPr>
            <w:tcW w:w="960" w:type="dxa"/>
          </w:tcPr>
          <w:p w14:paraId="172CE444" w14:textId="77777777" w:rsidR="001C5EE6" w:rsidRPr="00074E94" w:rsidRDefault="001C5EE6" w:rsidP="001C5EE6">
            <w:pPr>
              <w:jc w:val="center"/>
              <w:rPr>
                <w:rFonts w:ascii="Arial" w:hAnsi="Arial" w:cs="Arial"/>
                <w:sz w:val="20"/>
              </w:rPr>
            </w:pPr>
          </w:p>
        </w:tc>
        <w:tc>
          <w:tcPr>
            <w:tcW w:w="1005" w:type="dxa"/>
          </w:tcPr>
          <w:p w14:paraId="303DB45C" w14:textId="6E6BD54A" w:rsidR="001C5EE6" w:rsidRPr="00074E94" w:rsidRDefault="001C5EE6" w:rsidP="001C5EE6">
            <w:pPr>
              <w:jc w:val="center"/>
              <w:rPr>
                <w:rFonts w:ascii="Arial" w:hAnsi="Arial" w:cs="Arial"/>
                <w:i/>
                <w:sz w:val="20"/>
              </w:rPr>
            </w:pPr>
            <w:r w:rsidRPr="00074E94">
              <w:rPr>
                <w:rFonts w:ascii="Arial" w:hAnsi="Arial" w:cs="Arial"/>
                <w:i/>
                <w:sz w:val="20"/>
              </w:rPr>
              <w:t>13.798</w:t>
            </w:r>
          </w:p>
        </w:tc>
        <w:tc>
          <w:tcPr>
            <w:tcW w:w="990" w:type="dxa"/>
          </w:tcPr>
          <w:p w14:paraId="4A3CF4FA" w14:textId="3D3A575D" w:rsidR="001C5EE6" w:rsidRPr="00074E94" w:rsidRDefault="001C5EE6" w:rsidP="001C5EE6">
            <w:pPr>
              <w:jc w:val="center"/>
              <w:rPr>
                <w:rFonts w:ascii="Arial" w:hAnsi="Arial" w:cs="Arial"/>
                <w:i/>
                <w:sz w:val="20"/>
              </w:rPr>
            </w:pPr>
            <w:r w:rsidRPr="00074E94">
              <w:rPr>
                <w:rFonts w:ascii="Arial" w:hAnsi="Arial" w:cs="Arial"/>
                <w:i/>
                <w:sz w:val="20"/>
              </w:rPr>
              <w:t>41.395</w:t>
            </w:r>
          </w:p>
        </w:tc>
        <w:tc>
          <w:tcPr>
            <w:tcW w:w="1440" w:type="dxa"/>
          </w:tcPr>
          <w:p w14:paraId="1F8F0692" w14:textId="02366873" w:rsidR="001C5EE6" w:rsidRPr="00074E94" w:rsidRDefault="001C5EE6" w:rsidP="001C5EE6">
            <w:pPr>
              <w:jc w:val="center"/>
              <w:rPr>
                <w:rFonts w:ascii="Arial" w:hAnsi="Arial" w:cs="Arial"/>
                <w:i/>
                <w:sz w:val="20"/>
              </w:rPr>
            </w:pPr>
            <w:r w:rsidRPr="00074E94">
              <w:rPr>
                <w:rFonts w:ascii="Arial" w:hAnsi="Arial" w:cs="Arial"/>
                <w:i/>
                <w:sz w:val="20"/>
              </w:rPr>
              <w:t>41.395</w:t>
            </w:r>
          </w:p>
        </w:tc>
        <w:tc>
          <w:tcPr>
            <w:tcW w:w="1969" w:type="dxa"/>
          </w:tcPr>
          <w:p w14:paraId="4CFBCA28" w14:textId="7C51B933" w:rsidR="001C5EE6" w:rsidRPr="00074E94" w:rsidRDefault="001C5EE6" w:rsidP="001C5EE6">
            <w:pPr>
              <w:jc w:val="center"/>
              <w:rPr>
                <w:rFonts w:ascii="Arial" w:hAnsi="Arial" w:cs="Arial"/>
                <w:i/>
                <w:sz w:val="20"/>
              </w:rPr>
            </w:pPr>
            <w:r w:rsidRPr="00074E94">
              <w:rPr>
                <w:rFonts w:ascii="Arial" w:hAnsi="Arial" w:cs="Arial"/>
                <w:i/>
                <w:sz w:val="20"/>
              </w:rPr>
              <w:t>41.395</w:t>
            </w:r>
          </w:p>
        </w:tc>
        <w:tc>
          <w:tcPr>
            <w:tcW w:w="1710" w:type="dxa"/>
          </w:tcPr>
          <w:p w14:paraId="7287466E" w14:textId="663AC6EC" w:rsidR="001C5EE6" w:rsidRPr="00074E94" w:rsidRDefault="001C5EE6" w:rsidP="001C5EE6">
            <w:pPr>
              <w:jc w:val="center"/>
              <w:rPr>
                <w:rFonts w:ascii="Arial" w:hAnsi="Arial" w:cs="Arial"/>
                <w:i/>
                <w:sz w:val="20"/>
              </w:rPr>
            </w:pPr>
            <w:r w:rsidRPr="00074E94">
              <w:rPr>
                <w:rFonts w:ascii="Arial" w:hAnsi="Arial" w:cs="Arial"/>
                <w:i/>
                <w:sz w:val="20"/>
              </w:rPr>
              <w:t>137.983</w:t>
            </w:r>
          </w:p>
        </w:tc>
      </w:tr>
      <w:tr w:rsidR="001C5EE6" w:rsidRPr="00292B45" w14:paraId="66D1BDC0" w14:textId="77777777" w:rsidTr="006A6339">
        <w:trPr>
          <w:trHeight w:val="768"/>
          <w:jc w:val="center"/>
        </w:trPr>
        <w:tc>
          <w:tcPr>
            <w:tcW w:w="3785" w:type="dxa"/>
          </w:tcPr>
          <w:p w14:paraId="70D15075" w14:textId="79E3E8A0" w:rsidR="001C5EE6" w:rsidRPr="00843A33" w:rsidRDefault="001C5EE6" w:rsidP="00843A33">
            <w:pPr>
              <w:rPr>
                <w:rFonts w:ascii="Arial" w:hAnsi="Arial" w:cs="Arial"/>
                <w:sz w:val="20"/>
              </w:rPr>
            </w:pPr>
            <w:r w:rsidRPr="00843A33">
              <w:rPr>
                <w:rFonts w:ascii="Arial" w:hAnsi="Arial" w:cs="Arial"/>
                <w:sz w:val="20"/>
              </w:rPr>
              <w:t>Reserva contingencias</w:t>
            </w:r>
          </w:p>
        </w:tc>
        <w:tc>
          <w:tcPr>
            <w:tcW w:w="1340" w:type="dxa"/>
          </w:tcPr>
          <w:p w14:paraId="29088779" w14:textId="61793DE0" w:rsidR="001C5EE6" w:rsidRPr="00634AD8" w:rsidRDefault="001C5EE6" w:rsidP="001C5EE6">
            <w:pPr>
              <w:jc w:val="center"/>
              <w:rPr>
                <w:rFonts w:ascii="Arial" w:hAnsi="Arial" w:cs="Arial"/>
                <w:sz w:val="20"/>
              </w:rPr>
            </w:pPr>
          </w:p>
        </w:tc>
        <w:tc>
          <w:tcPr>
            <w:tcW w:w="820" w:type="dxa"/>
          </w:tcPr>
          <w:p w14:paraId="4742073F" w14:textId="752DE993" w:rsidR="001C5EE6" w:rsidRPr="00634AD8" w:rsidRDefault="001C5EE6" w:rsidP="001C5EE6">
            <w:pPr>
              <w:jc w:val="center"/>
              <w:rPr>
                <w:rFonts w:ascii="Arial" w:hAnsi="Arial" w:cs="Arial"/>
                <w:sz w:val="20"/>
              </w:rPr>
            </w:pPr>
          </w:p>
        </w:tc>
        <w:tc>
          <w:tcPr>
            <w:tcW w:w="960" w:type="dxa"/>
          </w:tcPr>
          <w:p w14:paraId="4B1CD101" w14:textId="24060C66" w:rsidR="001C5EE6" w:rsidRPr="00634AD8" w:rsidRDefault="001C5EE6" w:rsidP="001C5EE6">
            <w:pPr>
              <w:jc w:val="center"/>
              <w:rPr>
                <w:rFonts w:ascii="Arial" w:hAnsi="Arial" w:cs="Arial"/>
                <w:sz w:val="20"/>
              </w:rPr>
            </w:pPr>
          </w:p>
        </w:tc>
        <w:tc>
          <w:tcPr>
            <w:tcW w:w="1005" w:type="dxa"/>
          </w:tcPr>
          <w:p w14:paraId="2B8AFA64" w14:textId="77EE4424" w:rsidR="001C5EE6" w:rsidRPr="00634AD8" w:rsidRDefault="001C5EE6" w:rsidP="001C5EE6">
            <w:pPr>
              <w:jc w:val="center"/>
              <w:rPr>
                <w:rFonts w:ascii="Arial" w:hAnsi="Arial" w:cs="Arial"/>
                <w:sz w:val="20"/>
              </w:rPr>
            </w:pPr>
            <w:r w:rsidRPr="00634AD8">
              <w:rPr>
                <w:rFonts w:ascii="Arial" w:hAnsi="Arial" w:cs="Arial"/>
                <w:sz w:val="20"/>
              </w:rPr>
              <w:t>0</w:t>
            </w:r>
          </w:p>
        </w:tc>
        <w:tc>
          <w:tcPr>
            <w:tcW w:w="990" w:type="dxa"/>
          </w:tcPr>
          <w:p w14:paraId="0DB49ECE" w14:textId="797357D4" w:rsidR="001C5EE6" w:rsidRPr="00634AD8" w:rsidRDefault="001C5EE6" w:rsidP="001C5EE6">
            <w:pPr>
              <w:jc w:val="center"/>
              <w:rPr>
                <w:rFonts w:ascii="Arial" w:hAnsi="Arial" w:cs="Arial"/>
                <w:sz w:val="20"/>
              </w:rPr>
            </w:pPr>
            <w:r w:rsidRPr="00634AD8">
              <w:rPr>
                <w:rFonts w:ascii="Arial" w:hAnsi="Arial" w:cs="Arial"/>
                <w:sz w:val="20"/>
              </w:rPr>
              <w:t>491.586</w:t>
            </w:r>
          </w:p>
        </w:tc>
        <w:tc>
          <w:tcPr>
            <w:tcW w:w="1440" w:type="dxa"/>
          </w:tcPr>
          <w:p w14:paraId="653CFB75" w14:textId="58FD61F1" w:rsidR="001C5EE6" w:rsidRPr="00634AD8" w:rsidRDefault="001C5EE6" w:rsidP="001C5EE6">
            <w:pPr>
              <w:jc w:val="center"/>
              <w:rPr>
                <w:rFonts w:ascii="Arial" w:hAnsi="Arial" w:cs="Arial"/>
                <w:sz w:val="20"/>
              </w:rPr>
            </w:pPr>
            <w:r w:rsidRPr="00634AD8">
              <w:rPr>
                <w:rFonts w:ascii="Arial" w:hAnsi="Arial" w:cs="Arial"/>
                <w:sz w:val="20"/>
              </w:rPr>
              <w:t>491.586</w:t>
            </w:r>
          </w:p>
        </w:tc>
        <w:tc>
          <w:tcPr>
            <w:tcW w:w="1969" w:type="dxa"/>
          </w:tcPr>
          <w:p w14:paraId="6F87A14D" w14:textId="0BA33332" w:rsidR="001C5EE6" w:rsidRPr="00634AD8" w:rsidRDefault="001C5EE6" w:rsidP="001C5EE6">
            <w:pPr>
              <w:jc w:val="center"/>
              <w:rPr>
                <w:rFonts w:ascii="Arial" w:hAnsi="Arial" w:cs="Arial"/>
                <w:sz w:val="20"/>
              </w:rPr>
            </w:pPr>
            <w:r w:rsidRPr="00634AD8">
              <w:rPr>
                <w:rFonts w:ascii="Arial" w:hAnsi="Arial" w:cs="Arial"/>
                <w:sz w:val="20"/>
              </w:rPr>
              <w:t>655.448</w:t>
            </w:r>
          </w:p>
        </w:tc>
        <w:tc>
          <w:tcPr>
            <w:tcW w:w="1710" w:type="dxa"/>
          </w:tcPr>
          <w:p w14:paraId="4143F318" w14:textId="0EEFB413" w:rsidR="001C5EE6" w:rsidRPr="00634AD8" w:rsidRDefault="001C5EE6" w:rsidP="001C5EE6">
            <w:pPr>
              <w:jc w:val="center"/>
              <w:rPr>
                <w:rFonts w:ascii="Arial" w:hAnsi="Arial" w:cs="Arial"/>
                <w:sz w:val="20"/>
              </w:rPr>
            </w:pPr>
            <w:r w:rsidRPr="00634AD8">
              <w:rPr>
                <w:rFonts w:ascii="Arial" w:hAnsi="Arial" w:cs="Arial"/>
                <w:sz w:val="20"/>
              </w:rPr>
              <w:t>1.638.621</w:t>
            </w:r>
          </w:p>
        </w:tc>
      </w:tr>
      <w:tr w:rsidR="005072EC" w:rsidRPr="00292B45" w14:paraId="54227D23" w14:textId="77777777" w:rsidTr="006A6339">
        <w:trPr>
          <w:trHeight w:val="768"/>
          <w:jc w:val="center"/>
        </w:trPr>
        <w:tc>
          <w:tcPr>
            <w:tcW w:w="3785" w:type="dxa"/>
          </w:tcPr>
          <w:p w14:paraId="236A57C3" w14:textId="1CF922AC" w:rsidR="005072EC" w:rsidRPr="00843A33" w:rsidRDefault="005072EC" w:rsidP="00843A33">
            <w:pPr>
              <w:rPr>
                <w:rFonts w:ascii="Arial" w:hAnsi="Arial" w:cs="Arial"/>
                <w:sz w:val="20"/>
              </w:rPr>
            </w:pPr>
            <w:r w:rsidRPr="00843A33">
              <w:rPr>
                <w:rFonts w:ascii="Arial" w:hAnsi="Arial" w:cs="Arial"/>
                <w:sz w:val="20"/>
              </w:rPr>
              <w:t>Evaluación</w:t>
            </w:r>
          </w:p>
        </w:tc>
        <w:tc>
          <w:tcPr>
            <w:tcW w:w="1340" w:type="dxa"/>
          </w:tcPr>
          <w:p w14:paraId="41B592C8" w14:textId="1336E721" w:rsidR="005072EC" w:rsidRPr="00634AD8" w:rsidRDefault="005072EC" w:rsidP="005072EC">
            <w:pPr>
              <w:jc w:val="center"/>
              <w:rPr>
                <w:rFonts w:ascii="Arial" w:hAnsi="Arial" w:cs="Arial"/>
                <w:sz w:val="20"/>
              </w:rPr>
            </w:pPr>
          </w:p>
        </w:tc>
        <w:tc>
          <w:tcPr>
            <w:tcW w:w="820" w:type="dxa"/>
          </w:tcPr>
          <w:p w14:paraId="6DCCCC4F" w14:textId="64F7D86E" w:rsidR="005072EC" w:rsidRPr="00634AD8" w:rsidRDefault="005072EC" w:rsidP="005072EC">
            <w:pPr>
              <w:jc w:val="center"/>
              <w:rPr>
                <w:rFonts w:ascii="Arial" w:hAnsi="Arial" w:cs="Arial"/>
                <w:sz w:val="20"/>
              </w:rPr>
            </w:pPr>
          </w:p>
        </w:tc>
        <w:tc>
          <w:tcPr>
            <w:tcW w:w="960" w:type="dxa"/>
          </w:tcPr>
          <w:p w14:paraId="64C6E1BE" w14:textId="39A0B2CB" w:rsidR="005072EC" w:rsidRPr="00634AD8" w:rsidRDefault="005072EC" w:rsidP="005072EC">
            <w:pPr>
              <w:jc w:val="center"/>
              <w:rPr>
                <w:rFonts w:ascii="Arial" w:hAnsi="Arial" w:cs="Arial"/>
                <w:sz w:val="20"/>
              </w:rPr>
            </w:pPr>
          </w:p>
        </w:tc>
        <w:tc>
          <w:tcPr>
            <w:tcW w:w="1005" w:type="dxa"/>
          </w:tcPr>
          <w:p w14:paraId="3CCF175B" w14:textId="1CDBE524" w:rsidR="005072EC" w:rsidRPr="00634AD8" w:rsidRDefault="001C5EE6" w:rsidP="005072EC">
            <w:pPr>
              <w:jc w:val="center"/>
              <w:rPr>
                <w:rFonts w:ascii="Arial" w:hAnsi="Arial" w:cs="Arial"/>
                <w:sz w:val="20"/>
              </w:rPr>
            </w:pPr>
            <w:r w:rsidRPr="00634AD8">
              <w:rPr>
                <w:rFonts w:ascii="Arial" w:hAnsi="Arial" w:cs="Arial"/>
                <w:sz w:val="20"/>
              </w:rPr>
              <w:t>0</w:t>
            </w:r>
          </w:p>
        </w:tc>
        <w:tc>
          <w:tcPr>
            <w:tcW w:w="990" w:type="dxa"/>
          </w:tcPr>
          <w:p w14:paraId="6FBFD606" w14:textId="3AF25E4F" w:rsidR="005072EC" w:rsidRPr="00634AD8" w:rsidRDefault="001C5EE6" w:rsidP="005072EC">
            <w:pPr>
              <w:jc w:val="center"/>
              <w:rPr>
                <w:rFonts w:ascii="Arial" w:hAnsi="Arial" w:cs="Arial"/>
                <w:sz w:val="20"/>
              </w:rPr>
            </w:pPr>
            <w:r w:rsidRPr="00634AD8">
              <w:rPr>
                <w:rFonts w:ascii="Arial" w:hAnsi="Arial" w:cs="Arial"/>
                <w:sz w:val="20"/>
              </w:rPr>
              <w:t>0</w:t>
            </w:r>
          </w:p>
        </w:tc>
        <w:tc>
          <w:tcPr>
            <w:tcW w:w="1440" w:type="dxa"/>
          </w:tcPr>
          <w:p w14:paraId="2D828776" w14:textId="7F18DA6E" w:rsidR="005072EC" w:rsidRPr="00634AD8" w:rsidRDefault="001C5EE6" w:rsidP="005072EC">
            <w:pPr>
              <w:jc w:val="center"/>
              <w:rPr>
                <w:rFonts w:ascii="Arial" w:hAnsi="Arial" w:cs="Arial"/>
                <w:sz w:val="20"/>
              </w:rPr>
            </w:pPr>
            <w:r w:rsidRPr="00634AD8">
              <w:rPr>
                <w:rFonts w:ascii="Arial" w:hAnsi="Arial" w:cs="Arial"/>
                <w:sz w:val="20"/>
              </w:rPr>
              <w:t>112</w:t>
            </w:r>
            <w:r w:rsidR="005072EC" w:rsidRPr="00634AD8">
              <w:rPr>
                <w:rFonts w:ascii="Arial" w:hAnsi="Arial" w:cs="Arial"/>
                <w:sz w:val="20"/>
              </w:rPr>
              <w:t>.000</w:t>
            </w:r>
          </w:p>
        </w:tc>
        <w:tc>
          <w:tcPr>
            <w:tcW w:w="1969" w:type="dxa"/>
          </w:tcPr>
          <w:p w14:paraId="03938746" w14:textId="1FFC63B1" w:rsidR="005072EC" w:rsidRPr="00634AD8" w:rsidRDefault="001C5EE6" w:rsidP="005072EC">
            <w:pPr>
              <w:jc w:val="center"/>
              <w:rPr>
                <w:rFonts w:ascii="Arial" w:hAnsi="Arial" w:cs="Arial"/>
                <w:sz w:val="20"/>
              </w:rPr>
            </w:pPr>
            <w:r w:rsidRPr="00634AD8">
              <w:rPr>
                <w:rFonts w:ascii="Arial" w:hAnsi="Arial" w:cs="Arial"/>
                <w:sz w:val="20"/>
              </w:rPr>
              <w:t>145</w:t>
            </w:r>
            <w:r w:rsidR="005072EC" w:rsidRPr="00634AD8">
              <w:rPr>
                <w:rFonts w:ascii="Arial" w:hAnsi="Arial" w:cs="Arial"/>
                <w:sz w:val="20"/>
              </w:rPr>
              <w:t>.</w:t>
            </w:r>
            <w:r w:rsidRPr="00634AD8">
              <w:rPr>
                <w:rFonts w:ascii="Arial" w:hAnsi="Arial" w:cs="Arial"/>
                <w:sz w:val="20"/>
              </w:rPr>
              <w:t>6</w:t>
            </w:r>
            <w:r w:rsidR="005072EC" w:rsidRPr="00634AD8">
              <w:rPr>
                <w:rFonts w:ascii="Arial" w:hAnsi="Arial" w:cs="Arial"/>
                <w:sz w:val="20"/>
              </w:rPr>
              <w:t>00</w:t>
            </w:r>
          </w:p>
        </w:tc>
        <w:tc>
          <w:tcPr>
            <w:tcW w:w="1710" w:type="dxa"/>
          </w:tcPr>
          <w:p w14:paraId="4DB92DE5" w14:textId="1D686E34" w:rsidR="005072EC" w:rsidRPr="00634AD8" w:rsidRDefault="001C5EE6" w:rsidP="005072EC">
            <w:pPr>
              <w:jc w:val="center"/>
              <w:rPr>
                <w:rFonts w:ascii="Arial" w:hAnsi="Arial" w:cs="Arial"/>
                <w:sz w:val="20"/>
              </w:rPr>
            </w:pPr>
            <w:r w:rsidRPr="00634AD8">
              <w:rPr>
                <w:rFonts w:ascii="Arial" w:hAnsi="Arial" w:cs="Arial"/>
                <w:sz w:val="20"/>
              </w:rPr>
              <w:t>25</w:t>
            </w:r>
            <w:r w:rsidR="005072EC" w:rsidRPr="00634AD8">
              <w:rPr>
                <w:rFonts w:ascii="Arial" w:hAnsi="Arial" w:cs="Arial"/>
                <w:sz w:val="20"/>
              </w:rPr>
              <w:t>7.</w:t>
            </w:r>
            <w:r w:rsidRPr="00634AD8">
              <w:rPr>
                <w:rFonts w:ascii="Arial" w:hAnsi="Arial" w:cs="Arial"/>
                <w:sz w:val="20"/>
              </w:rPr>
              <w:t>6</w:t>
            </w:r>
            <w:r w:rsidR="005072EC" w:rsidRPr="00634AD8">
              <w:rPr>
                <w:rFonts w:ascii="Arial" w:hAnsi="Arial" w:cs="Arial"/>
                <w:sz w:val="20"/>
              </w:rPr>
              <w:t>00</w:t>
            </w:r>
          </w:p>
        </w:tc>
      </w:tr>
      <w:tr w:rsidR="005072EC" w:rsidRPr="00292B45" w14:paraId="1DE0CE75" w14:textId="77777777" w:rsidTr="006A6339">
        <w:trPr>
          <w:trHeight w:val="768"/>
          <w:jc w:val="center"/>
        </w:trPr>
        <w:tc>
          <w:tcPr>
            <w:tcW w:w="3785" w:type="dxa"/>
          </w:tcPr>
          <w:p w14:paraId="4185D7A2" w14:textId="1CB3F515" w:rsidR="005072EC" w:rsidRPr="00843A33" w:rsidRDefault="005072EC" w:rsidP="00843A33">
            <w:pPr>
              <w:rPr>
                <w:rFonts w:ascii="Arial" w:hAnsi="Arial" w:cs="Arial"/>
                <w:sz w:val="20"/>
              </w:rPr>
            </w:pPr>
            <w:r w:rsidRPr="00843A33">
              <w:rPr>
                <w:rFonts w:ascii="Arial" w:hAnsi="Arial" w:cs="Arial"/>
                <w:sz w:val="20"/>
              </w:rPr>
              <w:t>Auditoría</w:t>
            </w:r>
          </w:p>
        </w:tc>
        <w:tc>
          <w:tcPr>
            <w:tcW w:w="1340" w:type="dxa"/>
          </w:tcPr>
          <w:p w14:paraId="46AE2A02" w14:textId="3E6C3DE0" w:rsidR="005072EC" w:rsidRPr="00634AD8" w:rsidRDefault="005072EC" w:rsidP="005072EC">
            <w:pPr>
              <w:jc w:val="center"/>
              <w:rPr>
                <w:rFonts w:ascii="Arial" w:hAnsi="Arial" w:cs="Arial"/>
                <w:sz w:val="20"/>
              </w:rPr>
            </w:pPr>
          </w:p>
        </w:tc>
        <w:tc>
          <w:tcPr>
            <w:tcW w:w="820" w:type="dxa"/>
          </w:tcPr>
          <w:p w14:paraId="228E657F" w14:textId="159DBCE9" w:rsidR="005072EC" w:rsidRPr="00634AD8" w:rsidRDefault="005072EC" w:rsidP="005072EC">
            <w:pPr>
              <w:jc w:val="center"/>
              <w:rPr>
                <w:rFonts w:ascii="Arial" w:hAnsi="Arial" w:cs="Arial"/>
                <w:sz w:val="20"/>
              </w:rPr>
            </w:pPr>
          </w:p>
        </w:tc>
        <w:tc>
          <w:tcPr>
            <w:tcW w:w="960" w:type="dxa"/>
          </w:tcPr>
          <w:p w14:paraId="4BD879A6" w14:textId="010426F7" w:rsidR="005072EC" w:rsidRPr="00634AD8" w:rsidRDefault="005072EC" w:rsidP="005072EC">
            <w:pPr>
              <w:jc w:val="center"/>
              <w:rPr>
                <w:rFonts w:ascii="Arial" w:hAnsi="Arial" w:cs="Arial"/>
                <w:sz w:val="20"/>
              </w:rPr>
            </w:pPr>
          </w:p>
        </w:tc>
        <w:tc>
          <w:tcPr>
            <w:tcW w:w="1005" w:type="dxa"/>
          </w:tcPr>
          <w:p w14:paraId="4ABFBE34" w14:textId="2784DD94" w:rsidR="005072EC" w:rsidRPr="00634AD8" w:rsidRDefault="005072EC" w:rsidP="005072EC">
            <w:pPr>
              <w:jc w:val="center"/>
              <w:rPr>
                <w:rFonts w:ascii="Arial" w:hAnsi="Arial" w:cs="Arial"/>
                <w:sz w:val="20"/>
              </w:rPr>
            </w:pPr>
            <w:r w:rsidRPr="00634AD8">
              <w:rPr>
                <w:rFonts w:ascii="Arial" w:hAnsi="Arial" w:cs="Arial"/>
                <w:sz w:val="20"/>
              </w:rPr>
              <w:t>37.000</w:t>
            </w:r>
          </w:p>
        </w:tc>
        <w:tc>
          <w:tcPr>
            <w:tcW w:w="990" w:type="dxa"/>
          </w:tcPr>
          <w:p w14:paraId="38F0B61F" w14:textId="5364F2B7" w:rsidR="005072EC" w:rsidRPr="00634AD8" w:rsidRDefault="005072EC" w:rsidP="005072EC">
            <w:pPr>
              <w:jc w:val="center"/>
              <w:rPr>
                <w:rFonts w:ascii="Arial" w:hAnsi="Arial" w:cs="Arial"/>
                <w:sz w:val="20"/>
              </w:rPr>
            </w:pPr>
            <w:r w:rsidRPr="00634AD8">
              <w:rPr>
                <w:rFonts w:ascii="Arial" w:hAnsi="Arial" w:cs="Arial"/>
                <w:sz w:val="20"/>
              </w:rPr>
              <w:t>37.000</w:t>
            </w:r>
          </w:p>
        </w:tc>
        <w:tc>
          <w:tcPr>
            <w:tcW w:w="1440" w:type="dxa"/>
          </w:tcPr>
          <w:p w14:paraId="058785F4" w14:textId="62C02CF2" w:rsidR="005072EC" w:rsidRPr="00634AD8" w:rsidRDefault="005072EC" w:rsidP="005072EC">
            <w:pPr>
              <w:jc w:val="center"/>
              <w:rPr>
                <w:rFonts w:ascii="Arial" w:hAnsi="Arial" w:cs="Arial"/>
                <w:sz w:val="20"/>
              </w:rPr>
            </w:pPr>
            <w:r w:rsidRPr="00634AD8">
              <w:rPr>
                <w:rFonts w:ascii="Arial" w:hAnsi="Arial" w:cs="Arial"/>
                <w:sz w:val="20"/>
              </w:rPr>
              <w:t>37.000</w:t>
            </w:r>
          </w:p>
        </w:tc>
        <w:tc>
          <w:tcPr>
            <w:tcW w:w="1969" w:type="dxa"/>
          </w:tcPr>
          <w:p w14:paraId="3B2A8814" w14:textId="01893149" w:rsidR="005072EC" w:rsidRPr="00634AD8" w:rsidRDefault="005072EC" w:rsidP="005072EC">
            <w:pPr>
              <w:jc w:val="center"/>
              <w:rPr>
                <w:rFonts w:ascii="Arial" w:hAnsi="Arial" w:cs="Arial"/>
                <w:sz w:val="20"/>
              </w:rPr>
            </w:pPr>
            <w:r w:rsidRPr="00634AD8">
              <w:rPr>
                <w:rFonts w:ascii="Arial" w:hAnsi="Arial" w:cs="Arial"/>
                <w:sz w:val="20"/>
              </w:rPr>
              <w:t>37.000</w:t>
            </w:r>
          </w:p>
        </w:tc>
        <w:tc>
          <w:tcPr>
            <w:tcW w:w="1710" w:type="dxa"/>
          </w:tcPr>
          <w:p w14:paraId="69B34812" w14:textId="4A588C31" w:rsidR="005072EC" w:rsidRPr="00634AD8" w:rsidRDefault="001C5EE6" w:rsidP="005072EC">
            <w:pPr>
              <w:jc w:val="center"/>
              <w:rPr>
                <w:rFonts w:ascii="Arial" w:hAnsi="Arial" w:cs="Arial"/>
                <w:sz w:val="20"/>
              </w:rPr>
            </w:pPr>
            <w:r w:rsidRPr="00634AD8">
              <w:rPr>
                <w:rFonts w:ascii="Arial" w:hAnsi="Arial" w:cs="Arial"/>
                <w:sz w:val="20"/>
              </w:rPr>
              <w:t>140</w:t>
            </w:r>
            <w:r w:rsidR="005072EC" w:rsidRPr="00634AD8">
              <w:rPr>
                <w:rFonts w:ascii="Arial" w:hAnsi="Arial" w:cs="Arial"/>
                <w:sz w:val="20"/>
              </w:rPr>
              <w:t>.000</w:t>
            </w:r>
          </w:p>
        </w:tc>
      </w:tr>
      <w:tr w:rsidR="005072EC" w:rsidRPr="00292B45" w14:paraId="68F857E4" w14:textId="77777777" w:rsidTr="006A6339">
        <w:trPr>
          <w:trHeight w:val="768"/>
          <w:jc w:val="center"/>
        </w:trPr>
        <w:tc>
          <w:tcPr>
            <w:tcW w:w="3785" w:type="dxa"/>
          </w:tcPr>
          <w:p w14:paraId="7C1EFB7F" w14:textId="3ECDDCE1" w:rsidR="005072EC" w:rsidRPr="00843A33" w:rsidRDefault="005072EC" w:rsidP="00843A33">
            <w:pPr>
              <w:rPr>
                <w:rFonts w:ascii="Arial" w:hAnsi="Arial" w:cs="Arial"/>
                <w:sz w:val="20"/>
              </w:rPr>
            </w:pPr>
            <w:r w:rsidRPr="00843A33">
              <w:rPr>
                <w:rFonts w:ascii="Arial" w:hAnsi="Arial" w:cs="Arial"/>
                <w:sz w:val="20"/>
              </w:rPr>
              <w:t>Auditoría desvinculaciones</w:t>
            </w:r>
          </w:p>
        </w:tc>
        <w:tc>
          <w:tcPr>
            <w:tcW w:w="1340" w:type="dxa"/>
          </w:tcPr>
          <w:p w14:paraId="4BA333AB" w14:textId="0F5D0200" w:rsidR="005072EC" w:rsidRPr="00634AD8" w:rsidRDefault="005072EC" w:rsidP="005072EC">
            <w:pPr>
              <w:jc w:val="center"/>
              <w:rPr>
                <w:rFonts w:ascii="Arial" w:hAnsi="Arial" w:cs="Arial"/>
                <w:sz w:val="20"/>
              </w:rPr>
            </w:pPr>
          </w:p>
        </w:tc>
        <w:tc>
          <w:tcPr>
            <w:tcW w:w="820" w:type="dxa"/>
          </w:tcPr>
          <w:p w14:paraId="4F01FCC3" w14:textId="1D4F898F" w:rsidR="005072EC" w:rsidRPr="00634AD8" w:rsidRDefault="005072EC" w:rsidP="005072EC">
            <w:pPr>
              <w:jc w:val="center"/>
              <w:rPr>
                <w:rFonts w:ascii="Arial" w:hAnsi="Arial" w:cs="Arial"/>
                <w:sz w:val="20"/>
              </w:rPr>
            </w:pPr>
          </w:p>
        </w:tc>
        <w:tc>
          <w:tcPr>
            <w:tcW w:w="960" w:type="dxa"/>
          </w:tcPr>
          <w:p w14:paraId="1A4AB649" w14:textId="0580126D" w:rsidR="005072EC" w:rsidRPr="00634AD8" w:rsidRDefault="005072EC" w:rsidP="005072EC">
            <w:pPr>
              <w:jc w:val="center"/>
              <w:rPr>
                <w:rFonts w:ascii="Arial" w:hAnsi="Arial" w:cs="Arial"/>
                <w:sz w:val="20"/>
              </w:rPr>
            </w:pPr>
          </w:p>
        </w:tc>
        <w:tc>
          <w:tcPr>
            <w:tcW w:w="1005" w:type="dxa"/>
          </w:tcPr>
          <w:p w14:paraId="3F3FC225" w14:textId="420722B2" w:rsidR="005072EC" w:rsidRPr="00634AD8" w:rsidRDefault="001C5EE6" w:rsidP="005072EC">
            <w:pPr>
              <w:jc w:val="center"/>
              <w:rPr>
                <w:rFonts w:ascii="Arial" w:hAnsi="Arial" w:cs="Arial"/>
                <w:sz w:val="20"/>
              </w:rPr>
            </w:pPr>
            <w:r w:rsidRPr="00634AD8">
              <w:rPr>
                <w:rFonts w:ascii="Arial" w:hAnsi="Arial" w:cs="Arial"/>
                <w:sz w:val="20"/>
              </w:rPr>
              <w:t>0</w:t>
            </w:r>
          </w:p>
        </w:tc>
        <w:tc>
          <w:tcPr>
            <w:tcW w:w="990" w:type="dxa"/>
          </w:tcPr>
          <w:p w14:paraId="0C07E50E" w14:textId="26CAD9E9" w:rsidR="005072EC" w:rsidRPr="00634AD8" w:rsidRDefault="001C5EE6" w:rsidP="005072EC">
            <w:pPr>
              <w:jc w:val="center"/>
              <w:rPr>
                <w:rFonts w:ascii="Arial" w:hAnsi="Arial" w:cs="Arial"/>
                <w:sz w:val="20"/>
              </w:rPr>
            </w:pPr>
            <w:r w:rsidRPr="00634AD8">
              <w:rPr>
                <w:rFonts w:ascii="Arial" w:hAnsi="Arial" w:cs="Arial"/>
                <w:sz w:val="20"/>
              </w:rPr>
              <w:t>0</w:t>
            </w:r>
          </w:p>
        </w:tc>
        <w:tc>
          <w:tcPr>
            <w:tcW w:w="1440" w:type="dxa"/>
          </w:tcPr>
          <w:p w14:paraId="25EAF4DF" w14:textId="4F1691EA" w:rsidR="005072EC" w:rsidRPr="00634AD8" w:rsidRDefault="001C5EE6" w:rsidP="005072EC">
            <w:pPr>
              <w:jc w:val="center"/>
              <w:rPr>
                <w:rFonts w:ascii="Arial" w:hAnsi="Arial" w:cs="Arial"/>
                <w:sz w:val="20"/>
              </w:rPr>
            </w:pPr>
            <w:r w:rsidRPr="00634AD8">
              <w:rPr>
                <w:rFonts w:ascii="Arial" w:hAnsi="Arial" w:cs="Arial"/>
                <w:sz w:val="20"/>
              </w:rPr>
              <w:t>56</w:t>
            </w:r>
            <w:r w:rsidR="005072EC" w:rsidRPr="00634AD8">
              <w:rPr>
                <w:rFonts w:ascii="Arial" w:hAnsi="Arial" w:cs="Arial"/>
                <w:sz w:val="20"/>
              </w:rPr>
              <w:t>.000</w:t>
            </w:r>
          </w:p>
        </w:tc>
        <w:tc>
          <w:tcPr>
            <w:tcW w:w="1969" w:type="dxa"/>
          </w:tcPr>
          <w:p w14:paraId="41C0DDFD" w14:textId="2FE8A8C8" w:rsidR="005072EC" w:rsidRPr="00634AD8" w:rsidRDefault="001C5EE6" w:rsidP="005072EC">
            <w:pPr>
              <w:jc w:val="center"/>
              <w:rPr>
                <w:rFonts w:ascii="Arial" w:hAnsi="Arial" w:cs="Arial"/>
                <w:sz w:val="20"/>
              </w:rPr>
            </w:pPr>
            <w:r w:rsidRPr="00634AD8">
              <w:rPr>
                <w:rFonts w:ascii="Arial" w:hAnsi="Arial" w:cs="Arial"/>
                <w:sz w:val="20"/>
              </w:rPr>
              <w:t>0</w:t>
            </w:r>
          </w:p>
        </w:tc>
        <w:tc>
          <w:tcPr>
            <w:tcW w:w="1710" w:type="dxa"/>
          </w:tcPr>
          <w:p w14:paraId="1F10F79F" w14:textId="0B9FD448" w:rsidR="005072EC" w:rsidRPr="00634AD8" w:rsidRDefault="001C5EE6" w:rsidP="005072EC">
            <w:pPr>
              <w:jc w:val="center"/>
              <w:rPr>
                <w:rFonts w:ascii="Arial" w:hAnsi="Arial" w:cs="Arial"/>
                <w:sz w:val="20"/>
              </w:rPr>
            </w:pPr>
            <w:r w:rsidRPr="00634AD8">
              <w:rPr>
                <w:rFonts w:ascii="Arial" w:hAnsi="Arial" w:cs="Arial"/>
                <w:sz w:val="20"/>
              </w:rPr>
              <w:t>56</w:t>
            </w:r>
            <w:r w:rsidR="005072EC" w:rsidRPr="00634AD8">
              <w:rPr>
                <w:rFonts w:ascii="Arial" w:hAnsi="Arial" w:cs="Arial"/>
                <w:sz w:val="20"/>
              </w:rPr>
              <w:t>.000</w:t>
            </w:r>
          </w:p>
        </w:tc>
      </w:tr>
      <w:tr w:rsidR="001C5EE6" w:rsidRPr="00292B45" w14:paraId="06D6A18E" w14:textId="77777777" w:rsidTr="006A6339">
        <w:trPr>
          <w:trHeight w:val="448"/>
          <w:jc w:val="center"/>
        </w:trPr>
        <w:tc>
          <w:tcPr>
            <w:tcW w:w="3785" w:type="dxa"/>
          </w:tcPr>
          <w:p w14:paraId="0B9148F7" w14:textId="509083C2" w:rsidR="001C5EE6" w:rsidRPr="00634AD8" w:rsidRDefault="001C5EE6" w:rsidP="00634AD8">
            <w:pPr>
              <w:rPr>
                <w:rFonts w:ascii="Arial" w:hAnsi="Arial" w:cs="Arial"/>
                <w:b/>
                <w:sz w:val="20"/>
              </w:rPr>
            </w:pPr>
            <w:r w:rsidRPr="00634AD8">
              <w:rPr>
                <w:rFonts w:ascii="Arial" w:hAnsi="Arial" w:cs="Arial"/>
                <w:b/>
                <w:sz w:val="20"/>
              </w:rPr>
              <w:t>Total</w:t>
            </w:r>
          </w:p>
        </w:tc>
        <w:tc>
          <w:tcPr>
            <w:tcW w:w="1340" w:type="dxa"/>
          </w:tcPr>
          <w:p w14:paraId="5FA8EDAA" w14:textId="77777777" w:rsidR="001C5EE6" w:rsidRPr="00634AD8" w:rsidRDefault="001C5EE6" w:rsidP="005072EC">
            <w:pPr>
              <w:jc w:val="center"/>
              <w:rPr>
                <w:rFonts w:ascii="Arial" w:hAnsi="Arial" w:cs="Arial"/>
                <w:sz w:val="20"/>
              </w:rPr>
            </w:pPr>
          </w:p>
        </w:tc>
        <w:tc>
          <w:tcPr>
            <w:tcW w:w="820" w:type="dxa"/>
          </w:tcPr>
          <w:p w14:paraId="6EB28CF7" w14:textId="77777777" w:rsidR="001C5EE6" w:rsidRPr="00634AD8" w:rsidRDefault="001C5EE6" w:rsidP="005072EC">
            <w:pPr>
              <w:jc w:val="center"/>
              <w:rPr>
                <w:rFonts w:ascii="Arial" w:hAnsi="Arial" w:cs="Arial"/>
                <w:sz w:val="20"/>
              </w:rPr>
            </w:pPr>
          </w:p>
        </w:tc>
        <w:tc>
          <w:tcPr>
            <w:tcW w:w="960" w:type="dxa"/>
          </w:tcPr>
          <w:p w14:paraId="52D6C362" w14:textId="77777777" w:rsidR="001C5EE6" w:rsidRPr="00634AD8" w:rsidRDefault="001C5EE6" w:rsidP="005072EC">
            <w:pPr>
              <w:jc w:val="center"/>
              <w:rPr>
                <w:rFonts w:ascii="Arial" w:hAnsi="Arial" w:cs="Arial"/>
                <w:sz w:val="20"/>
              </w:rPr>
            </w:pPr>
          </w:p>
        </w:tc>
        <w:tc>
          <w:tcPr>
            <w:tcW w:w="1005" w:type="dxa"/>
          </w:tcPr>
          <w:p w14:paraId="141276EC" w14:textId="77777777" w:rsidR="001C5EE6" w:rsidRPr="00634AD8" w:rsidRDefault="001C5EE6" w:rsidP="005072EC">
            <w:pPr>
              <w:jc w:val="center"/>
              <w:rPr>
                <w:rFonts w:ascii="Arial" w:hAnsi="Arial" w:cs="Arial"/>
                <w:sz w:val="20"/>
              </w:rPr>
            </w:pPr>
          </w:p>
        </w:tc>
        <w:tc>
          <w:tcPr>
            <w:tcW w:w="990" w:type="dxa"/>
          </w:tcPr>
          <w:p w14:paraId="2368F9ED" w14:textId="77777777" w:rsidR="001C5EE6" w:rsidRPr="00634AD8" w:rsidRDefault="001C5EE6" w:rsidP="005072EC">
            <w:pPr>
              <w:jc w:val="center"/>
              <w:rPr>
                <w:rFonts w:ascii="Arial" w:hAnsi="Arial" w:cs="Arial"/>
                <w:sz w:val="20"/>
              </w:rPr>
            </w:pPr>
          </w:p>
        </w:tc>
        <w:tc>
          <w:tcPr>
            <w:tcW w:w="1440" w:type="dxa"/>
          </w:tcPr>
          <w:p w14:paraId="0D48C9CD" w14:textId="77777777" w:rsidR="001C5EE6" w:rsidRPr="00634AD8" w:rsidRDefault="001C5EE6" w:rsidP="005072EC">
            <w:pPr>
              <w:jc w:val="center"/>
              <w:rPr>
                <w:rFonts w:ascii="Arial" w:hAnsi="Arial" w:cs="Arial"/>
                <w:sz w:val="20"/>
              </w:rPr>
            </w:pPr>
          </w:p>
        </w:tc>
        <w:tc>
          <w:tcPr>
            <w:tcW w:w="1969" w:type="dxa"/>
          </w:tcPr>
          <w:p w14:paraId="3C7262A3" w14:textId="77777777" w:rsidR="001C5EE6" w:rsidRPr="00634AD8" w:rsidDel="001C5EE6" w:rsidRDefault="001C5EE6" w:rsidP="005072EC">
            <w:pPr>
              <w:jc w:val="center"/>
              <w:rPr>
                <w:rFonts w:ascii="Arial" w:hAnsi="Arial" w:cs="Arial"/>
                <w:sz w:val="20"/>
              </w:rPr>
            </w:pPr>
          </w:p>
        </w:tc>
        <w:tc>
          <w:tcPr>
            <w:tcW w:w="1710" w:type="dxa"/>
          </w:tcPr>
          <w:p w14:paraId="0B3EE4A7" w14:textId="1D402D7B" w:rsidR="001C5EE6" w:rsidRPr="00634AD8" w:rsidRDefault="00635DDB" w:rsidP="005072EC">
            <w:pPr>
              <w:jc w:val="center"/>
              <w:rPr>
                <w:rFonts w:ascii="Arial" w:hAnsi="Arial" w:cs="Arial"/>
                <w:sz w:val="20"/>
              </w:rPr>
            </w:pPr>
            <w:r>
              <w:rPr>
                <w:rFonts w:ascii="Arial" w:hAnsi="Arial" w:cs="Arial"/>
                <w:sz w:val="20"/>
              </w:rPr>
              <w:t>78.840.00</w:t>
            </w:r>
          </w:p>
        </w:tc>
      </w:tr>
    </w:tbl>
    <w:p w14:paraId="0FB53DB0" w14:textId="21F3E8B3" w:rsidR="009A488F" w:rsidRDefault="009A488F" w:rsidP="00534766">
      <w:pPr>
        <w:spacing w:line="276" w:lineRule="auto"/>
        <w:jc w:val="both"/>
        <w:rPr>
          <w:rFonts w:ascii="Arial" w:hAnsi="Arial" w:cs="Arial"/>
          <w:sz w:val="22"/>
          <w:szCs w:val="22"/>
          <w:lang w:val="es-ES"/>
        </w:rPr>
      </w:pPr>
    </w:p>
    <w:p w14:paraId="2532CEA8" w14:textId="77777777" w:rsidR="00737E37" w:rsidRDefault="00737E37" w:rsidP="00534766">
      <w:pPr>
        <w:spacing w:line="276" w:lineRule="auto"/>
        <w:jc w:val="both"/>
        <w:rPr>
          <w:rFonts w:ascii="Arial" w:hAnsi="Arial" w:cs="Arial"/>
          <w:sz w:val="22"/>
          <w:szCs w:val="22"/>
          <w:lang w:val="es-ES"/>
        </w:rPr>
      </w:pPr>
    </w:p>
    <w:bookmarkEnd w:id="13"/>
    <w:p w14:paraId="370C54D7" w14:textId="77777777" w:rsidR="009A488F" w:rsidRPr="00570B45" w:rsidRDefault="009A488F" w:rsidP="00534766">
      <w:pPr>
        <w:spacing w:line="276" w:lineRule="auto"/>
        <w:jc w:val="both"/>
        <w:rPr>
          <w:rFonts w:ascii="Arial" w:hAnsi="Arial" w:cs="Arial"/>
          <w:sz w:val="22"/>
          <w:szCs w:val="22"/>
          <w:lang w:val="es-ES"/>
        </w:rPr>
        <w:sectPr w:rsidR="009A488F" w:rsidRPr="00570B45" w:rsidSect="006900CB">
          <w:pgSz w:w="20160" w:h="12240" w:orient="landscape" w:code="5"/>
          <w:pgMar w:top="1135" w:right="1440" w:bottom="1800" w:left="1440" w:header="720" w:footer="720" w:gutter="0"/>
          <w:cols w:space="720"/>
          <w:docGrid w:linePitch="360"/>
        </w:sectPr>
      </w:pPr>
    </w:p>
    <w:p w14:paraId="6B067E3C" w14:textId="77777777" w:rsidR="001B5186" w:rsidRPr="00570B45" w:rsidRDefault="00450255" w:rsidP="00A06DD5">
      <w:pPr>
        <w:pStyle w:val="TableTitle"/>
        <w:numPr>
          <w:ilvl w:val="0"/>
          <w:numId w:val="19"/>
        </w:numPr>
        <w:spacing w:before="0" w:after="0" w:line="276" w:lineRule="auto"/>
        <w:jc w:val="both"/>
        <w:rPr>
          <w:rStyle w:val="Heading1Char"/>
          <w:rFonts w:ascii="Arial" w:hAnsi="Arial" w:cs="Arial"/>
          <w:b/>
          <w:sz w:val="22"/>
          <w:szCs w:val="22"/>
        </w:rPr>
      </w:pPr>
      <w:bookmarkStart w:id="21" w:name="_Toc491518988"/>
      <w:bookmarkStart w:id="22" w:name="_Hlk10630463"/>
      <w:r w:rsidRPr="00570B45">
        <w:rPr>
          <w:rFonts w:ascii="Arial" w:hAnsi="Arial" w:cs="Arial"/>
          <w:sz w:val="22"/>
          <w:szCs w:val="22"/>
        </w:rPr>
        <w:lastRenderedPageBreak/>
        <w:t>Instrumentos para el Monitoreo de los indicadores y recopilación de datos</w:t>
      </w:r>
      <w:r w:rsidRPr="00570B45">
        <w:rPr>
          <w:rStyle w:val="Heading1Char"/>
          <w:rFonts w:ascii="Arial" w:hAnsi="Arial" w:cs="Arial"/>
          <w:b/>
          <w:sz w:val="22"/>
          <w:szCs w:val="22"/>
        </w:rPr>
        <w:t xml:space="preserve"> </w:t>
      </w:r>
      <w:bookmarkEnd w:id="21"/>
    </w:p>
    <w:p w14:paraId="3326B5A5" w14:textId="77777777" w:rsidR="00131BCB" w:rsidRPr="00570B45" w:rsidRDefault="00131BCB" w:rsidP="004B1FA3">
      <w:pPr>
        <w:autoSpaceDE w:val="0"/>
        <w:autoSpaceDN w:val="0"/>
        <w:adjustRightInd w:val="0"/>
        <w:spacing w:line="276" w:lineRule="auto"/>
        <w:ind w:left="720"/>
        <w:jc w:val="both"/>
        <w:rPr>
          <w:rFonts w:ascii="Arial" w:hAnsi="Arial" w:cs="Arial"/>
          <w:sz w:val="22"/>
          <w:szCs w:val="22"/>
          <w:lang w:val="es-ES"/>
        </w:rPr>
      </w:pPr>
    </w:p>
    <w:p w14:paraId="680B9A57" w14:textId="6EEF8D58" w:rsidR="00615A23" w:rsidRPr="00570B45" w:rsidRDefault="00615A23" w:rsidP="004B1FA3">
      <w:pPr>
        <w:numPr>
          <w:ilvl w:val="1"/>
          <w:numId w:val="11"/>
        </w:numPr>
        <w:spacing w:line="276" w:lineRule="auto"/>
        <w:ind w:left="720" w:hanging="720"/>
        <w:jc w:val="both"/>
        <w:rPr>
          <w:rFonts w:ascii="Arial" w:hAnsi="Arial" w:cs="Arial"/>
          <w:sz w:val="22"/>
          <w:szCs w:val="22"/>
          <w:lang w:val="es-ES"/>
        </w:rPr>
      </w:pPr>
      <w:r w:rsidRPr="00570B45">
        <w:rPr>
          <w:rFonts w:ascii="Arial" w:hAnsi="Arial" w:cs="Arial"/>
          <w:sz w:val="22"/>
          <w:szCs w:val="22"/>
          <w:lang w:val="es-ES"/>
        </w:rPr>
        <w:t>El MEF es el encargado de la planeación y monitoreo de los proyectos del BID.</w:t>
      </w:r>
      <w:r w:rsidR="00D85964" w:rsidRPr="00570B45">
        <w:rPr>
          <w:rFonts w:ascii="Arial" w:hAnsi="Arial" w:cs="Arial"/>
          <w:sz w:val="22"/>
          <w:szCs w:val="22"/>
          <w:lang w:val="es-ES"/>
        </w:rPr>
        <w:t xml:space="preserve"> </w:t>
      </w:r>
      <w:r w:rsidRPr="00570B45">
        <w:rPr>
          <w:rFonts w:ascii="Arial" w:hAnsi="Arial" w:cs="Arial"/>
          <w:sz w:val="22"/>
          <w:szCs w:val="22"/>
          <w:lang w:val="es-ES"/>
        </w:rPr>
        <w:t xml:space="preserve">El MEF, </w:t>
      </w:r>
      <w:r w:rsidRPr="00570B45">
        <w:rPr>
          <w:rFonts w:ascii="Arial" w:hAnsi="Arial" w:cs="Arial"/>
          <w:spacing w:val="-10"/>
          <w:sz w:val="22"/>
          <w:szCs w:val="22"/>
          <w:lang w:val="es-ES"/>
        </w:rPr>
        <w:t>r</w:t>
      </w:r>
      <w:r w:rsidRPr="00570B45">
        <w:rPr>
          <w:rFonts w:ascii="Arial" w:hAnsi="Arial" w:cs="Arial"/>
          <w:sz w:val="22"/>
          <w:szCs w:val="22"/>
          <w:lang w:val="es-ES"/>
        </w:rPr>
        <w:t xml:space="preserve">ealizará, entre otras, las siguientes actividades para la planeación del Programa: </w:t>
      </w:r>
    </w:p>
    <w:p w14:paraId="448F92AA" w14:textId="77777777" w:rsidR="004B1FA3" w:rsidRPr="004B1FA3" w:rsidRDefault="004B1FA3" w:rsidP="004B1FA3">
      <w:pPr>
        <w:spacing w:line="276" w:lineRule="auto"/>
        <w:ind w:left="720"/>
        <w:jc w:val="both"/>
        <w:rPr>
          <w:rStyle w:val="Heading1Char"/>
          <w:rFonts w:ascii="Arial" w:hAnsi="Arial" w:cs="Arial"/>
          <w:b w:val="0"/>
          <w:smallCaps w:val="0"/>
          <w:noProof w:val="0"/>
          <w:sz w:val="22"/>
          <w:szCs w:val="22"/>
          <w:lang w:val="es-ES"/>
        </w:rPr>
      </w:pPr>
      <w:bookmarkStart w:id="23" w:name="_Toc491518989"/>
    </w:p>
    <w:p w14:paraId="202CF0B8" w14:textId="77777777" w:rsidR="00615A23" w:rsidRPr="00570B45" w:rsidRDefault="00615A23" w:rsidP="004B1FA3">
      <w:pPr>
        <w:numPr>
          <w:ilvl w:val="1"/>
          <w:numId w:val="11"/>
        </w:numPr>
        <w:spacing w:line="276" w:lineRule="auto"/>
        <w:ind w:left="720" w:hanging="720"/>
        <w:jc w:val="both"/>
        <w:rPr>
          <w:rFonts w:ascii="Arial" w:hAnsi="Arial" w:cs="Arial"/>
          <w:sz w:val="22"/>
          <w:szCs w:val="22"/>
          <w:lang w:val="es-ES"/>
        </w:rPr>
      </w:pPr>
      <w:r w:rsidRPr="00570B45">
        <w:rPr>
          <w:rStyle w:val="Heading1Char"/>
          <w:rFonts w:ascii="Arial" w:hAnsi="Arial" w:cs="Arial"/>
          <w:sz w:val="22"/>
          <w:szCs w:val="22"/>
          <w:lang w:val="es-ES"/>
        </w:rPr>
        <w:t>Plan de Ejecución de Proyecto (PEP).</w:t>
      </w:r>
      <w:bookmarkEnd w:id="23"/>
      <w:r w:rsidRPr="00570B45">
        <w:rPr>
          <w:rFonts w:ascii="Arial" w:hAnsi="Arial" w:cs="Arial"/>
          <w:b/>
          <w:sz w:val="22"/>
          <w:szCs w:val="22"/>
          <w:lang w:val="es-ES"/>
        </w:rPr>
        <w:t xml:space="preserve"> </w:t>
      </w:r>
      <w:r w:rsidRPr="00570B45">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p>
    <w:p w14:paraId="52FA6696" w14:textId="77777777" w:rsidR="004B1FA3" w:rsidRPr="004B1FA3" w:rsidRDefault="004B1FA3" w:rsidP="004B1FA3">
      <w:pPr>
        <w:spacing w:line="276" w:lineRule="auto"/>
        <w:ind w:left="720"/>
        <w:jc w:val="both"/>
        <w:rPr>
          <w:rStyle w:val="Heading1Char"/>
          <w:rFonts w:ascii="Arial" w:hAnsi="Arial" w:cs="Arial"/>
          <w:b w:val="0"/>
          <w:smallCaps w:val="0"/>
          <w:noProof w:val="0"/>
          <w:sz w:val="22"/>
          <w:szCs w:val="22"/>
          <w:lang w:val="es-ES"/>
        </w:rPr>
      </w:pPr>
      <w:bookmarkStart w:id="24" w:name="_Toc491518990"/>
    </w:p>
    <w:p w14:paraId="771B9902" w14:textId="116D46D4" w:rsidR="00615A23" w:rsidRPr="00570B45" w:rsidRDefault="00615A23" w:rsidP="004B1FA3">
      <w:pPr>
        <w:numPr>
          <w:ilvl w:val="1"/>
          <w:numId w:val="11"/>
        </w:numPr>
        <w:spacing w:line="276" w:lineRule="auto"/>
        <w:ind w:left="720" w:hanging="720"/>
        <w:jc w:val="both"/>
        <w:rPr>
          <w:rFonts w:ascii="Arial" w:hAnsi="Arial" w:cs="Arial"/>
          <w:sz w:val="22"/>
          <w:szCs w:val="22"/>
          <w:lang w:val="es-ES"/>
        </w:rPr>
      </w:pPr>
      <w:r w:rsidRPr="00570B45">
        <w:rPr>
          <w:rStyle w:val="Heading1Char"/>
          <w:rFonts w:ascii="Arial" w:hAnsi="Arial" w:cs="Arial"/>
          <w:sz w:val="22"/>
          <w:szCs w:val="22"/>
          <w:lang w:val="es-ES"/>
        </w:rPr>
        <w:t>Plan Operativo Anual (POA).</w:t>
      </w:r>
      <w:bookmarkEnd w:id="24"/>
      <w:r w:rsidRPr="00570B45">
        <w:rPr>
          <w:rFonts w:ascii="Arial" w:hAnsi="Arial" w:cs="Arial"/>
          <w:sz w:val="22"/>
          <w:szCs w:val="22"/>
          <w:lang w:val="es-ES"/>
        </w:rPr>
        <w:t xml:space="preserve"> El POA consolida todas las actividades que serán desarrolladas durante determinado período de ejecución, por producto</w:t>
      </w:r>
      <w:r w:rsidR="00570B45" w:rsidRPr="00570B45">
        <w:rPr>
          <w:rFonts w:ascii="Arial" w:hAnsi="Arial" w:cs="Arial"/>
          <w:sz w:val="22"/>
          <w:szCs w:val="22"/>
          <w:lang w:val="es-ES"/>
        </w:rPr>
        <w:t>,</w:t>
      </w:r>
      <w:r w:rsidRPr="00570B45">
        <w:rPr>
          <w:rFonts w:ascii="Arial" w:hAnsi="Arial" w:cs="Arial"/>
          <w:sz w:val="22"/>
          <w:szCs w:val="22"/>
          <w:lang w:val="es-ES"/>
        </w:rPr>
        <w:t xml:space="preserve"> y cuenta con un cronograma físico financiero. </w:t>
      </w:r>
    </w:p>
    <w:p w14:paraId="6B3E78BC" w14:textId="77777777" w:rsidR="004B1FA3" w:rsidRDefault="004B1FA3" w:rsidP="004B1FA3">
      <w:pPr>
        <w:spacing w:line="276" w:lineRule="auto"/>
        <w:ind w:left="720"/>
        <w:jc w:val="both"/>
        <w:rPr>
          <w:rFonts w:ascii="Arial" w:hAnsi="Arial" w:cs="Arial"/>
          <w:sz w:val="22"/>
          <w:szCs w:val="22"/>
          <w:lang w:val="es-ES"/>
        </w:rPr>
      </w:pPr>
    </w:p>
    <w:p w14:paraId="78C9DD94" w14:textId="6DB86CB8" w:rsidR="00615A23" w:rsidRPr="00570B45" w:rsidRDefault="00615A23" w:rsidP="004B1FA3">
      <w:pPr>
        <w:numPr>
          <w:ilvl w:val="1"/>
          <w:numId w:val="11"/>
        </w:numPr>
        <w:spacing w:line="276" w:lineRule="auto"/>
        <w:ind w:left="720" w:hanging="720"/>
        <w:jc w:val="both"/>
        <w:rPr>
          <w:rFonts w:ascii="Arial" w:hAnsi="Arial" w:cs="Arial"/>
          <w:sz w:val="22"/>
          <w:szCs w:val="22"/>
          <w:lang w:val="es-ES"/>
        </w:rPr>
      </w:pPr>
      <w:r w:rsidRPr="00570B45">
        <w:rPr>
          <w:rFonts w:ascii="Arial" w:hAnsi="Arial" w:cs="Arial"/>
          <w:sz w:val="22"/>
          <w:szCs w:val="22"/>
          <w:lang w:val="es-ES"/>
        </w:rPr>
        <w:t xml:space="preserve">El MEF presentará </w:t>
      </w:r>
      <w:r w:rsidRPr="00570B45">
        <w:rPr>
          <w:rFonts w:ascii="Arial" w:hAnsi="Arial" w:cs="Arial"/>
          <w:b/>
          <w:sz w:val="22"/>
          <w:szCs w:val="22"/>
          <w:lang w:val="es-ES"/>
        </w:rPr>
        <w:t>semestralmente</w:t>
      </w:r>
      <w:r w:rsidRPr="00570B45">
        <w:rPr>
          <w:rFonts w:ascii="Arial" w:hAnsi="Arial" w:cs="Arial"/>
          <w:sz w:val="22"/>
          <w:szCs w:val="22"/>
          <w:lang w:val="es-ES"/>
        </w:rPr>
        <w:t xml:space="preserve">, como parte integral de los informes semestrales de seguimiento, el PEP y el POA para los siguientes dos semestres, incluyendo las actividades, cronogramas y presupuestos estimados para los proyectos financiados </w:t>
      </w:r>
      <w:r w:rsidR="001D02DD" w:rsidRPr="00570B45">
        <w:rPr>
          <w:rFonts w:ascii="Arial" w:hAnsi="Arial" w:cs="Arial"/>
          <w:sz w:val="22"/>
          <w:szCs w:val="22"/>
          <w:lang w:val="es-ES"/>
        </w:rPr>
        <w:t>d</w:t>
      </w:r>
      <w:r w:rsidRPr="00570B45">
        <w:rPr>
          <w:rFonts w:ascii="Arial" w:hAnsi="Arial" w:cs="Arial"/>
          <w:sz w:val="22"/>
          <w:szCs w:val="22"/>
          <w:lang w:val="es-ES"/>
        </w:rPr>
        <w:t xml:space="preserve">el año consecutivo anterior y aquellos propuestos para el año siguiente. </w:t>
      </w:r>
    </w:p>
    <w:p w14:paraId="56AAA1E2" w14:textId="77777777" w:rsidR="004B1FA3" w:rsidRDefault="004B1FA3" w:rsidP="004B1FA3">
      <w:pPr>
        <w:spacing w:line="276" w:lineRule="auto"/>
        <w:ind w:left="720"/>
        <w:jc w:val="both"/>
        <w:rPr>
          <w:rFonts w:ascii="Arial" w:hAnsi="Arial" w:cs="Arial"/>
          <w:sz w:val="22"/>
          <w:szCs w:val="22"/>
          <w:lang w:val="es-ES"/>
        </w:rPr>
      </w:pPr>
    </w:p>
    <w:p w14:paraId="734680B5" w14:textId="2AA25529" w:rsidR="00615A23" w:rsidRPr="00570B45" w:rsidRDefault="00615A23" w:rsidP="004B1FA3">
      <w:pPr>
        <w:numPr>
          <w:ilvl w:val="1"/>
          <w:numId w:val="11"/>
        </w:numPr>
        <w:spacing w:line="276" w:lineRule="auto"/>
        <w:ind w:left="720" w:hanging="720"/>
        <w:jc w:val="both"/>
        <w:rPr>
          <w:rFonts w:ascii="Arial" w:hAnsi="Arial" w:cs="Arial"/>
          <w:sz w:val="22"/>
          <w:szCs w:val="22"/>
          <w:lang w:val="es-ES"/>
        </w:rPr>
      </w:pPr>
      <w:r w:rsidRPr="00570B45">
        <w:rPr>
          <w:rFonts w:ascii="Arial" w:hAnsi="Arial" w:cs="Arial"/>
          <w:sz w:val="22"/>
          <w:szCs w:val="22"/>
          <w:lang w:val="es-ES"/>
        </w:rPr>
        <w:t>El PEP y POA del primer año serán incluidos en el informe inicial de la operación. Este informe inicial debe contener como mínimo, la siguiente, información: (i) estado de ejecución del proyecto, discriminado por componentes; (</w:t>
      </w:r>
      <w:proofErr w:type="spellStart"/>
      <w:r w:rsidRPr="00570B45">
        <w:rPr>
          <w:rFonts w:ascii="Arial" w:hAnsi="Arial" w:cs="Arial"/>
          <w:sz w:val="22"/>
          <w:szCs w:val="22"/>
          <w:lang w:val="es-ES"/>
        </w:rPr>
        <w:t>ii</w:t>
      </w:r>
      <w:proofErr w:type="spellEnd"/>
      <w:r w:rsidRPr="00570B45">
        <w:rPr>
          <w:rFonts w:ascii="Arial" w:hAnsi="Arial" w:cs="Arial"/>
          <w:sz w:val="22"/>
          <w:szCs w:val="22"/>
          <w:lang w:val="es-ES"/>
        </w:rPr>
        <w:t>) el plan de adquisiciones del programa</w:t>
      </w:r>
      <w:r w:rsidR="00570B45" w:rsidRPr="00570B45">
        <w:rPr>
          <w:rFonts w:ascii="Arial" w:hAnsi="Arial" w:cs="Arial"/>
          <w:sz w:val="22"/>
          <w:szCs w:val="22"/>
          <w:lang w:val="es-ES"/>
        </w:rPr>
        <w:t>,</w:t>
      </w:r>
      <w:r w:rsidRPr="00570B45">
        <w:rPr>
          <w:rFonts w:ascii="Arial" w:hAnsi="Arial" w:cs="Arial"/>
          <w:sz w:val="22"/>
          <w:szCs w:val="22"/>
          <w:lang w:val="es-ES"/>
        </w:rPr>
        <w:t xml:space="preserve"> incluyendo presupuesto y proyecciones de desembolsos; (</w:t>
      </w:r>
      <w:proofErr w:type="spellStart"/>
      <w:r w:rsidRPr="00570B45">
        <w:rPr>
          <w:rFonts w:ascii="Arial" w:hAnsi="Arial" w:cs="Arial"/>
          <w:sz w:val="22"/>
          <w:szCs w:val="22"/>
          <w:lang w:val="es-ES"/>
        </w:rPr>
        <w:t>iii</w:t>
      </w:r>
      <w:proofErr w:type="spellEnd"/>
      <w:r w:rsidRPr="00570B45">
        <w:rPr>
          <w:rFonts w:ascii="Arial" w:hAnsi="Arial" w:cs="Arial"/>
          <w:sz w:val="22"/>
          <w:szCs w:val="22"/>
          <w:lang w:val="es-ES"/>
        </w:rPr>
        <w:t>) indicadores con metas y resultados previstos; (</w:t>
      </w:r>
      <w:proofErr w:type="spellStart"/>
      <w:r w:rsidRPr="00570B45">
        <w:rPr>
          <w:rFonts w:ascii="Arial" w:hAnsi="Arial" w:cs="Arial"/>
          <w:sz w:val="22"/>
          <w:szCs w:val="22"/>
          <w:lang w:val="es-ES"/>
        </w:rPr>
        <w:t>iv</w:t>
      </w:r>
      <w:proofErr w:type="spellEnd"/>
      <w:r w:rsidRPr="00570B45">
        <w:rPr>
          <w:rFonts w:ascii="Arial" w:hAnsi="Arial" w:cs="Arial"/>
          <w:sz w:val="22"/>
          <w:szCs w:val="22"/>
          <w:lang w:val="es-ES"/>
        </w:rPr>
        <w:t>) indicadores de productos para cada componente, de acuerdo a la Matriz de Resultados y el cronograma de su implementación.</w:t>
      </w:r>
    </w:p>
    <w:p w14:paraId="6B112FFE" w14:textId="77777777" w:rsidR="004B1FA3" w:rsidRPr="004B1FA3" w:rsidRDefault="004B1FA3" w:rsidP="004B1FA3">
      <w:pPr>
        <w:spacing w:line="276" w:lineRule="auto"/>
        <w:ind w:left="720"/>
        <w:jc w:val="both"/>
        <w:rPr>
          <w:rStyle w:val="Heading1Char"/>
          <w:rFonts w:ascii="Arial" w:hAnsi="Arial" w:cs="Arial"/>
          <w:b w:val="0"/>
          <w:smallCaps w:val="0"/>
          <w:noProof w:val="0"/>
          <w:sz w:val="22"/>
          <w:szCs w:val="22"/>
          <w:lang w:val="es-ES"/>
        </w:rPr>
      </w:pPr>
      <w:bookmarkStart w:id="25" w:name="_Toc491518991"/>
    </w:p>
    <w:p w14:paraId="72C48906" w14:textId="2B8FA57C" w:rsidR="00615A23" w:rsidRPr="00680D17" w:rsidRDefault="00615A23" w:rsidP="004B1FA3">
      <w:pPr>
        <w:numPr>
          <w:ilvl w:val="1"/>
          <w:numId w:val="11"/>
        </w:numPr>
        <w:spacing w:line="276" w:lineRule="auto"/>
        <w:ind w:left="720" w:hanging="720"/>
        <w:jc w:val="both"/>
        <w:rPr>
          <w:rFonts w:ascii="Arial" w:hAnsi="Arial" w:cs="Arial"/>
          <w:sz w:val="22"/>
          <w:szCs w:val="22"/>
          <w:lang w:val="es-ES"/>
        </w:rPr>
      </w:pPr>
      <w:r w:rsidRPr="00570B45">
        <w:rPr>
          <w:rStyle w:val="Heading1Char"/>
          <w:rFonts w:ascii="Arial" w:hAnsi="Arial" w:cs="Arial"/>
          <w:sz w:val="22"/>
          <w:szCs w:val="22"/>
          <w:lang w:val="es-ES"/>
        </w:rPr>
        <w:t>Plan de Adquisiciones (PA).</w:t>
      </w:r>
      <w:bookmarkEnd w:id="25"/>
      <w:r w:rsidRPr="00570B45">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w:t>
      </w:r>
      <w:r w:rsidR="001D02DD" w:rsidRPr="00570B45">
        <w:rPr>
          <w:rFonts w:ascii="Arial" w:hAnsi="Arial" w:cs="Arial"/>
          <w:sz w:val="22"/>
          <w:szCs w:val="22"/>
          <w:lang w:val="es-ES"/>
        </w:rPr>
        <w:t>í</w:t>
      </w:r>
      <w:r w:rsidRPr="00570B45">
        <w:rPr>
          <w:rFonts w:ascii="Arial" w:hAnsi="Arial" w:cs="Arial"/>
          <w:sz w:val="22"/>
          <w:szCs w:val="22"/>
          <w:lang w:val="es-ES"/>
        </w:rPr>
        <w:t xml:space="preserve">odo de ejecución del proyecto. El PA informa sobres las adquisiciones y contratos que se ejecutarán de conformidad con las “Políticas para Adquisiciones de bienes y obras financiadas por el Banco” </w:t>
      </w:r>
      <w:r w:rsidRPr="00570B45">
        <w:rPr>
          <w:rFonts w:ascii="Arial" w:hAnsi="Arial" w:cs="Arial"/>
          <w:sz w:val="22"/>
          <w:szCs w:val="22"/>
          <w:lang w:val="es-ES"/>
        </w:rPr>
        <w:br/>
        <w:t xml:space="preserve">(GN-2349-9) y las “Políticas para la selección y contratación de consultores financiadas por el Banco” (GN-2350-9) de conformidad con lo establecido en el Contrato de Préstamo. </w:t>
      </w:r>
      <w:r w:rsidRPr="00570B45">
        <w:rPr>
          <w:rFonts w:ascii="Arial" w:eastAsia="Arial" w:hAnsi="Arial" w:cs="Arial"/>
          <w:iCs/>
          <w:sz w:val="22"/>
          <w:szCs w:val="22"/>
          <w:lang w:val="es-ES"/>
        </w:rPr>
        <w:t>Adquisiciones por debajo del límite de licitación pública internacional (en</w:t>
      </w:r>
      <w:r w:rsidR="00570B45" w:rsidRPr="00570B45">
        <w:rPr>
          <w:rFonts w:ascii="Arial" w:eastAsia="Arial" w:hAnsi="Arial" w:cs="Arial"/>
          <w:iCs/>
          <w:sz w:val="22"/>
          <w:szCs w:val="22"/>
          <w:lang w:val="es-ES"/>
        </w:rPr>
        <w:t xml:space="preserve"> obras para montos menores a USD 3,000,000;</w:t>
      </w:r>
      <w:r w:rsidRPr="00570B45">
        <w:rPr>
          <w:rFonts w:ascii="Arial" w:eastAsia="Arial" w:hAnsi="Arial" w:cs="Arial"/>
          <w:iCs/>
          <w:sz w:val="22"/>
          <w:szCs w:val="22"/>
          <w:lang w:val="es-ES"/>
        </w:rPr>
        <w:t xml:space="preserve"> para bienes y servicios d</w:t>
      </w:r>
      <w:r w:rsidRPr="00680D17">
        <w:rPr>
          <w:rFonts w:ascii="Arial" w:eastAsia="Arial" w:hAnsi="Arial" w:cs="Arial"/>
          <w:iCs/>
          <w:sz w:val="22"/>
          <w:szCs w:val="22"/>
          <w:lang w:val="es-ES"/>
        </w:rPr>
        <w:t>iferentes de consultoría para montos menor</w:t>
      </w:r>
      <w:r w:rsidR="00570B45" w:rsidRPr="00680D17">
        <w:rPr>
          <w:rFonts w:ascii="Arial" w:eastAsia="Arial" w:hAnsi="Arial" w:cs="Arial"/>
          <w:iCs/>
          <w:sz w:val="22"/>
          <w:szCs w:val="22"/>
          <w:lang w:val="es-ES"/>
        </w:rPr>
        <w:t>es USD 250,</w:t>
      </w:r>
      <w:r w:rsidRPr="00680D17">
        <w:rPr>
          <w:rFonts w:ascii="Arial" w:eastAsia="Arial" w:hAnsi="Arial" w:cs="Arial"/>
          <w:iCs/>
          <w:sz w:val="22"/>
          <w:szCs w:val="22"/>
          <w:lang w:val="es-ES"/>
        </w:rPr>
        <w:t xml:space="preserve">000 y firmas </w:t>
      </w:r>
      <w:r w:rsidR="00570B45" w:rsidRPr="00680D17">
        <w:rPr>
          <w:rFonts w:ascii="Arial" w:eastAsia="Arial" w:hAnsi="Arial" w:cs="Arial"/>
          <w:iCs/>
          <w:sz w:val="22"/>
          <w:szCs w:val="22"/>
          <w:lang w:val="es-ES"/>
        </w:rPr>
        <w:t>consultoras montos menores a USD 200,</w:t>
      </w:r>
      <w:r w:rsidRPr="00680D17">
        <w:rPr>
          <w:rFonts w:ascii="Arial" w:eastAsia="Arial" w:hAnsi="Arial" w:cs="Arial"/>
          <w:iCs/>
          <w:sz w:val="22"/>
          <w:szCs w:val="22"/>
          <w:lang w:val="es-ES"/>
        </w:rPr>
        <w:t>000), podrían llevarse a cabo en el marco del Sistema Nacional de Contratación Pública Ecuador. La gestión financiera seguirá la Guía OP-273-6</w:t>
      </w:r>
      <w:r w:rsidRPr="00680D17">
        <w:rPr>
          <w:rFonts w:ascii="Arial" w:eastAsia="Arial" w:hAnsi="Arial" w:cs="Arial"/>
          <w:sz w:val="22"/>
          <w:szCs w:val="22"/>
        </w:rPr>
        <w:t xml:space="preserve">. </w:t>
      </w:r>
      <w:r w:rsidRPr="00680D17">
        <w:rPr>
          <w:rFonts w:ascii="Arial" w:hAnsi="Arial" w:cs="Arial"/>
          <w:sz w:val="22"/>
          <w:szCs w:val="22"/>
          <w:lang w:val="es-ES"/>
        </w:rPr>
        <w:t>El PA debe ser presentado como parte integral de los informes semestrales de seguimiento, para consideración del Banco, y debe ser actualizado anualmente o cuando sea necesario, durante todo el período de ejecución del proyecto.</w:t>
      </w:r>
    </w:p>
    <w:p w14:paraId="0D6B1BC3" w14:textId="77777777" w:rsidR="004B1FA3" w:rsidRDefault="004B1FA3" w:rsidP="004B1FA3">
      <w:pPr>
        <w:spacing w:line="276" w:lineRule="auto"/>
        <w:ind w:left="720"/>
        <w:jc w:val="both"/>
        <w:rPr>
          <w:rFonts w:ascii="Arial" w:hAnsi="Arial" w:cs="Arial"/>
          <w:sz w:val="22"/>
          <w:szCs w:val="22"/>
          <w:lang w:val="es-ES"/>
        </w:rPr>
      </w:pPr>
    </w:p>
    <w:p w14:paraId="78C9B352" w14:textId="6189DDF4" w:rsidR="00615A23" w:rsidRPr="00680D17" w:rsidRDefault="00615A23"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t xml:space="preserve">En cuanto al monitoreo del proyecto, los principales medios de verificación corresponden a </w:t>
      </w:r>
      <w:r w:rsidRPr="00B61103">
        <w:rPr>
          <w:rFonts w:ascii="Arial" w:hAnsi="Arial" w:cs="Arial"/>
          <w:sz w:val="22"/>
          <w:szCs w:val="22"/>
          <w:lang w:val="es-ES"/>
        </w:rPr>
        <w:t xml:space="preserve">documentos administrativos y contractuales del MEF, a saber: (i) </w:t>
      </w:r>
      <w:r w:rsidRPr="00B61103">
        <w:rPr>
          <w:rFonts w:ascii="Arial" w:hAnsi="Arial" w:cs="Arial"/>
          <w:sz w:val="22"/>
          <w:szCs w:val="22"/>
        </w:rPr>
        <w:t>informes semestrales de avance de ejecución</w:t>
      </w:r>
      <w:r w:rsidRPr="00B61103">
        <w:rPr>
          <w:rFonts w:ascii="Arial" w:hAnsi="Arial" w:cs="Arial"/>
          <w:sz w:val="22"/>
          <w:szCs w:val="22"/>
          <w:lang w:val="es-ES"/>
        </w:rPr>
        <w:t>; (</w:t>
      </w:r>
      <w:proofErr w:type="spellStart"/>
      <w:r w:rsidRPr="00B61103">
        <w:rPr>
          <w:rFonts w:ascii="Arial" w:hAnsi="Arial" w:cs="Arial"/>
          <w:sz w:val="22"/>
          <w:szCs w:val="22"/>
          <w:lang w:val="es-ES"/>
        </w:rPr>
        <w:t>ii</w:t>
      </w:r>
      <w:proofErr w:type="spellEnd"/>
      <w:r w:rsidRPr="00B61103">
        <w:rPr>
          <w:rFonts w:ascii="Arial" w:hAnsi="Arial" w:cs="Arial"/>
          <w:sz w:val="22"/>
          <w:szCs w:val="22"/>
          <w:lang w:val="es-ES"/>
        </w:rPr>
        <w:t>) informe de evaluación de medio término; y (</w:t>
      </w:r>
      <w:proofErr w:type="spellStart"/>
      <w:r w:rsidRPr="00B61103">
        <w:rPr>
          <w:rFonts w:ascii="Arial" w:hAnsi="Arial" w:cs="Arial"/>
          <w:sz w:val="22"/>
          <w:szCs w:val="22"/>
          <w:lang w:val="es-ES"/>
        </w:rPr>
        <w:t>iii</w:t>
      </w:r>
      <w:proofErr w:type="spellEnd"/>
      <w:r w:rsidRPr="00B61103">
        <w:rPr>
          <w:rFonts w:ascii="Arial" w:hAnsi="Arial" w:cs="Arial"/>
          <w:sz w:val="22"/>
          <w:szCs w:val="22"/>
          <w:lang w:val="es-ES"/>
        </w:rPr>
        <w:t>) Informe de evaluación final.</w:t>
      </w:r>
      <w:r w:rsidRPr="00680D17">
        <w:rPr>
          <w:rFonts w:ascii="Arial" w:hAnsi="Arial" w:cs="Arial"/>
          <w:sz w:val="22"/>
          <w:szCs w:val="22"/>
          <w:lang w:val="es-ES"/>
        </w:rPr>
        <w:t xml:space="preserve"> </w:t>
      </w:r>
    </w:p>
    <w:p w14:paraId="6114BE50" w14:textId="77777777" w:rsidR="004B1FA3" w:rsidRDefault="004B1FA3" w:rsidP="004B1FA3">
      <w:pPr>
        <w:spacing w:line="276" w:lineRule="auto"/>
        <w:ind w:left="720"/>
        <w:jc w:val="both"/>
        <w:rPr>
          <w:rFonts w:ascii="Arial" w:hAnsi="Arial" w:cs="Arial"/>
          <w:sz w:val="22"/>
          <w:szCs w:val="22"/>
          <w:lang w:val="es-ES"/>
        </w:rPr>
      </w:pPr>
    </w:p>
    <w:p w14:paraId="6CF152A3" w14:textId="178583C1" w:rsidR="00615A23" w:rsidRPr="00680D17" w:rsidRDefault="00615A23"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lastRenderedPageBreak/>
        <w:t>El</w:t>
      </w:r>
      <w:r w:rsidR="00680D17" w:rsidRPr="00680D17">
        <w:rPr>
          <w:rFonts w:ascii="Arial" w:hAnsi="Arial" w:cs="Arial"/>
          <w:sz w:val="22"/>
          <w:szCs w:val="22"/>
          <w:lang w:val="es-ES"/>
        </w:rPr>
        <w:t xml:space="preserve"> Equipo de proyecto, realizará V</w:t>
      </w:r>
      <w:r w:rsidRPr="00680D17">
        <w:rPr>
          <w:rFonts w:ascii="Arial" w:hAnsi="Arial" w:cs="Arial"/>
          <w:sz w:val="22"/>
          <w:szCs w:val="22"/>
          <w:lang w:val="es-ES"/>
        </w:rPr>
        <w:t>isitas de Inspección anuales con la finalidad de monitorear las actividades del proyecto. También</w:t>
      </w:r>
      <w:r w:rsidR="001D02DD" w:rsidRPr="00680D17">
        <w:rPr>
          <w:rFonts w:ascii="Arial" w:hAnsi="Arial" w:cs="Arial"/>
          <w:sz w:val="22"/>
          <w:szCs w:val="22"/>
          <w:lang w:val="es-ES"/>
        </w:rPr>
        <w:t>,</w:t>
      </w:r>
      <w:r w:rsidRPr="00680D17">
        <w:rPr>
          <w:rFonts w:ascii="Arial" w:hAnsi="Arial" w:cs="Arial"/>
          <w:sz w:val="22"/>
          <w:szCs w:val="22"/>
          <w:lang w:val="es-ES"/>
        </w:rPr>
        <w:t xml:space="preserve"> se apoyará de Misiones de Administración anuales con el objetivo de analizar los avances del proyecto y tratar temas específicos identificados. </w:t>
      </w:r>
    </w:p>
    <w:p w14:paraId="73D5DEEC" w14:textId="77777777" w:rsidR="004B1FA3" w:rsidRDefault="004B1FA3" w:rsidP="004B1FA3">
      <w:pPr>
        <w:spacing w:line="276" w:lineRule="auto"/>
        <w:ind w:left="720"/>
        <w:jc w:val="both"/>
        <w:rPr>
          <w:rFonts w:ascii="Arial" w:hAnsi="Arial" w:cs="Arial"/>
          <w:sz w:val="22"/>
          <w:szCs w:val="22"/>
          <w:lang w:val="es-ES"/>
        </w:rPr>
      </w:pPr>
    </w:p>
    <w:p w14:paraId="06B96C5B" w14:textId="7AF0FB19" w:rsidR="00AD45B5" w:rsidRPr="00680D17" w:rsidRDefault="00615A23"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t xml:space="preserve">Finalmente, durante la ejecución del proyecto, </w:t>
      </w:r>
      <w:r w:rsidRPr="00680D17">
        <w:rPr>
          <w:rFonts w:ascii="Arial" w:hAnsi="Arial" w:cs="Arial"/>
          <w:iCs/>
          <w:sz w:val="22"/>
          <w:szCs w:val="22"/>
          <w:lang w:val="es-ES"/>
        </w:rPr>
        <w:t>dentro de los 120 días del cierre del ejercicio fiscal, el equipo de gestión del MEF presentará al Banco los estados financieros auditados anuales consolidados del programa. El último estado financiero auditado se presentará dentro de los 120 días siguientes de la fecha estipulada para el último desembolso. El MEF será el responsable de contratar la auditoría externa del programa</w:t>
      </w:r>
      <w:r w:rsidRPr="00680D17">
        <w:rPr>
          <w:rFonts w:ascii="Arial" w:hAnsi="Arial" w:cs="Arial"/>
          <w:sz w:val="22"/>
          <w:szCs w:val="22"/>
          <w:lang w:val="es-ES"/>
        </w:rPr>
        <w:t>.</w:t>
      </w:r>
    </w:p>
    <w:p w14:paraId="127E995B" w14:textId="77777777" w:rsidR="00450255" w:rsidRPr="00294D7C" w:rsidRDefault="00450255" w:rsidP="00534766">
      <w:pPr>
        <w:spacing w:line="276" w:lineRule="auto"/>
        <w:jc w:val="both"/>
        <w:rPr>
          <w:rFonts w:ascii="Arial" w:hAnsi="Arial" w:cs="Arial"/>
          <w:sz w:val="22"/>
          <w:szCs w:val="22"/>
          <w:highlight w:val="yellow"/>
          <w:lang w:val="es-ES"/>
        </w:rPr>
      </w:pPr>
    </w:p>
    <w:p w14:paraId="1DCDF7AD" w14:textId="77777777" w:rsidR="00CF61F4" w:rsidRPr="00680D17" w:rsidRDefault="00CF61F4" w:rsidP="00534766">
      <w:pPr>
        <w:spacing w:line="276" w:lineRule="auto"/>
        <w:jc w:val="both"/>
        <w:rPr>
          <w:rFonts w:ascii="Arial" w:hAnsi="Arial" w:cs="Arial"/>
          <w:sz w:val="22"/>
          <w:szCs w:val="22"/>
          <w:lang w:val="es-ES"/>
        </w:rPr>
      </w:pPr>
    </w:p>
    <w:p w14:paraId="01A3637F" w14:textId="77777777" w:rsidR="00450255" w:rsidRPr="00680D17" w:rsidRDefault="003F6179" w:rsidP="003F6179">
      <w:pPr>
        <w:pStyle w:val="Paragraph"/>
        <w:numPr>
          <w:ilvl w:val="1"/>
          <w:numId w:val="0"/>
        </w:numPr>
        <w:tabs>
          <w:tab w:val="num" w:pos="1296"/>
        </w:tabs>
        <w:spacing w:before="0" w:after="0" w:line="276" w:lineRule="auto"/>
        <w:ind w:left="720"/>
        <w:jc w:val="left"/>
        <w:rPr>
          <w:rFonts w:ascii="Arial" w:eastAsia="Arial" w:hAnsi="Arial" w:cs="Arial"/>
          <w:sz w:val="22"/>
          <w:lang w:val="es-ES"/>
        </w:rPr>
      </w:pPr>
      <w:r w:rsidRPr="00680D17">
        <w:rPr>
          <w:rStyle w:val="Heading1Char"/>
          <w:rFonts w:ascii="Arial" w:hAnsi="Arial" w:cs="Arial"/>
          <w:sz w:val="22"/>
          <w:lang w:val="es-ES"/>
        </w:rPr>
        <w:t>Tabla 3. Actividades de Recolección de Datos y Cronograma</w:t>
      </w:r>
    </w:p>
    <w:tbl>
      <w:tblPr>
        <w:tblW w:w="8647" w:type="dxa"/>
        <w:tblInd w:w="496" w:type="dxa"/>
        <w:tblCellMar>
          <w:left w:w="70" w:type="dxa"/>
          <w:right w:w="70" w:type="dxa"/>
        </w:tblCellMar>
        <w:tblLook w:val="04A0" w:firstRow="1" w:lastRow="0" w:firstColumn="1" w:lastColumn="0" w:noHBand="0" w:noVBand="1"/>
      </w:tblPr>
      <w:tblGrid>
        <w:gridCol w:w="3053"/>
        <w:gridCol w:w="229"/>
        <w:gridCol w:w="229"/>
        <w:gridCol w:w="229"/>
        <w:gridCol w:w="229"/>
        <w:gridCol w:w="229"/>
        <w:gridCol w:w="229"/>
        <w:gridCol w:w="229"/>
        <w:gridCol w:w="229"/>
        <w:gridCol w:w="229"/>
        <w:gridCol w:w="229"/>
        <w:gridCol w:w="229"/>
        <w:gridCol w:w="229"/>
        <w:gridCol w:w="229"/>
        <w:gridCol w:w="229"/>
        <w:gridCol w:w="229"/>
        <w:gridCol w:w="229"/>
        <w:gridCol w:w="1930"/>
      </w:tblGrid>
      <w:tr w:rsidR="00CF61F4" w:rsidRPr="00680D17" w14:paraId="4FBFC7DC" w14:textId="77777777" w:rsidTr="00696679">
        <w:trPr>
          <w:trHeight w:val="300"/>
        </w:trPr>
        <w:tc>
          <w:tcPr>
            <w:tcW w:w="305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42CA2BA" w14:textId="77777777" w:rsidR="00CF61F4" w:rsidRPr="00680D17" w:rsidRDefault="00CF61F4" w:rsidP="00CF61F4">
            <w:pPr>
              <w:jc w:val="both"/>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Actividades de Monitoreo</w:t>
            </w:r>
          </w:p>
        </w:tc>
        <w:tc>
          <w:tcPr>
            <w:tcW w:w="916" w:type="dxa"/>
            <w:gridSpan w:val="4"/>
            <w:tcBorders>
              <w:top w:val="single" w:sz="4" w:space="0" w:color="auto"/>
              <w:left w:val="nil"/>
              <w:bottom w:val="single" w:sz="4" w:space="0" w:color="auto"/>
              <w:right w:val="single" w:sz="4" w:space="0" w:color="auto"/>
            </w:tcBorders>
            <w:shd w:val="clear" w:color="000000" w:fill="F2F2F2"/>
            <w:vAlign w:val="center"/>
            <w:hideMark/>
          </w:tcPr>
          <w:p w14:paraId="6F6B9E1F" w14:textId="77777777" w:rsidR="00CF61F4" w:rsidRPr="00680D17" w:rsidRDefault="00CF61F4" w:rsidP="00CF61F4">
            <w:pPr>
              <w:jc w:val="center"/>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Año 1</w:t>
            </w:r>
          </w:p>
        </w:tc>
        <w:tc>
          <w:tcPr>
            <w:tcW w:w="916" w:type="dxa"/>
            <w:gridSpan w:val="4"/>
            <w:tcBorders>
              <w:top w:val="single" w:sz="4" w:space="0" w:color="auto"/>
              <w:left w:val="nil"/>
              <w:bottom w:val="single" w:sz="4" w:space="0" w:color="auto"/>
              <w:right w:val="single" w:sz="4" w:space="0" w:color="auto"/>
            </w:tcBorders>
            <w:shd w:val="clear" w:color="000000" w:fill="F2F2F2"/>
            <w:vAlign w:val="center"/>
            <w:hideMark/>
          </w:tcPr>
          <w:p w14:paraId="0E9E0DDD" w14:textId="77777777" w:rsidR="00CF61F4" w:rsidRPr="00680D17" w:rsidRDefault="00CF61F4" w:rsidP="00CF61F4">
            <w:pPr>
              <w:jc w:val="center"/>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Año 2</w:t>
            </w:r>
          </w:p>
        </w:tc>
        <w:tc>
          <w:tcPr>
            <w:tcW w:w="916" w:type="dxa"/>
            <w:gridSpan w:val="4"/>
            <w:tcBorders>
              <w:top w:val="single" w:sz="4" w:space="0" w:color="auto"/>
              <w:left w:val="nil"/>
              <w:bottom w:val="single" w:sz="4" w:space="0" w:color="auto"/>
              <w:right w:val="single" w:sz="4" w:space="0" w:color="auto"/>
            </w:tcBorders>
            <w:shd w:val="clear" w:color="000000" w:fill="F2F2F2"/>
            <w:vAlign w:val="center"/>
            <w:hideMark/>
          </w:tcPr>
          <w:p w14:paraId="6086A1D6" w14:textId="77777777" w:rsidR="00CF61F4" w:rsidRPr="00680D17" w:rsidRDefault="00CF61F4" w:rsidP="00CF61F4">
            <w:pPr>
              <w:jc w:val="center"/>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Año 3</w:t>
            </w:r>
          </w:p>
        </w:tc>
        <w:tc>
          <w:tcPr>
            <w:tcW w:w="916" w:type="dxa"/>
            <w:gridSpan w:val="4"/>
            <w:tcBorders>
              <w:top w:val="single" w:sz="4" w:space="0" w:color="auto"/>
              <w:left w:val="nil"/>
              <w:bottom w:val="single" w:sz="4" w:space="0" w:color="auto"/>
              <w:right w:val="single" w:sz="4" w:space="0" w:color="auto"/>
            </w:tcBorders>
            <w:shd w:val="clear" w:color="000000" w:fill="F2F2F2"/>
            <w:vAlign w:val="center"/>
            <w:hideMark/>
          </w:tcPr>
          <w:p w14:paraId="27FB84AE" w14:textId="77777777" w:rsidR="00CF61F4" w:rsidRPr="00680D17" w:rsidRDefault="00CF61F4" w:rsidP="00CF61F4">
            <w:pPr>
              <w:jc w:val="center"/>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Año 4</w:t>
            </w:r>
          </w:p>
        </w:tc>
        <w:tc>
          <w:tcPr>
            <w:tcW w:w="193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1DDD4D" w14:textId="77777777" w:rsidR="00CF61F4" w:rsidRPr="00680D17" w:rsidRDefault="00CF61F4" w:rsidP="00CF61F4">
            <w:pPr>
              <w:jc w:val="both"/>
              <w:rPr>
                <w:rFonts w:ascii="Arial" w:hAnsi="Arial" w:cs="Arial"/>
                <w:b/>
                <w:bCs/>
                <w:color w:val="000000"/>
                <w:spacing w:val="0"/>
                <w:sz w:val="16"/>
                <w:szCs w:val="16"/>
                <w:lang w:val="es-ES" w:eastAsia="es-EC"/>
              </w:rPr>
            </w:pPr>
            <w:r w:rsidRPr="00680D17">
              <w:rPr>
                <w:rFonts w:ascii="Arial" w:hAnsi="Arial" w:cs="Arial"/>
                <w:b/>
                <w:bCs/>
                <w:color w:val="000000"/>
                <w:spacing w:val="0"/>
                <w:sz w:val="16"/>
                <w:szCs w:val="16"/>
                <w:lang w:val="es-ES" w:eastAsia="es-EC"/>
              </w:rPr>
              <w:t>Responsables</w:t>
            </w:r>
          </w:p>
        </w:tc>
      </w:tr>
      <w:tr w:rsidR="00CF61F4" w:rsidRPr="00680D17" w14:paraId="7509059C" w14:textId="77777777" w:rsidTr="00696679">
        <w:trPr>
          <w:trHeight w:val="300"/>
        </w:trPr>
        <w:tc>
          <w:tcPr>
            <w:tcW w:w="3053" w:type="dxa"/>
            <w:vMerge/>
            <w:tcBorders>
              <w:top w:val="single" w:sz="4" w:space="0" w:color="auto"/>
              <w:left w:val="single" w:sz="4" w:space="0" w:color="auto"/>
              <w:bottom w:val="single" w:sz="4" w:space="0" w:color="auto"/>
              <w:right w:val="single" w:sz="4" w:space="0" w:color="auto"/>
            </w:tcBorders>
            <w:vAlign w:val="center"/>
            <w:hideMark/>
          </w:tcPr>
          <w:p w14:paraId="0B632A8D" w14:textId="77777777" w:rsidR="00CF61F4" w:rsidRPr="00680D17" w:rsidRDefault="00CF61F4" w:rsidP="00CF61F4">
            <w:pPr>
              <w:rPr>
                <w:rFonts w:ascii="Arial" w:hAnsi="Arial" w:cs="Arial"/>
                <w:b/>
                <w:bCs/>
                <w:color w:val="000000"/>
                <w:spacing w:val="0"/>
                <w:sz w:val="16"/>
                <w:szCs w:val="16"/>
                <w:lang w:val="es-ES" w:eastAsia="es-EC"/>
              </w:rPr>
            </w:pPr>
          </w:p>
        </w:tc>
        <w:tc>
          <w:tcPr>
            <w:tcW w:w="229" w:type="dxa"/>
            <w:tcBorders>
              <w:top w:val="nil"/>
              <w:left w:val="nil"/>
              <w:bottom w:val="single" w:sz="4" w:space="0" w:color="auto"/>
              <w:right w:val="single" w:sz="4" w:space="0" w:color="auto"/>
            </w:tcBorders>
            <w:shd w:val="clear" w:color="000000" w:fill="F2F2F2"/>
            <w:vAlign w:val="center"/>
            <w:hideMark/>
          </w:tcPr>
          <w:p w14:paraId="76641EB6"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1</w:t>
            </w:r>
          </w:p>
        </w:tc>
        <w:tc>
          <w:tcPr>
            <w:tcW w:w="229" w:type="dxa"/>
            <w:tcBorders>
              <w:top w:val="nil"/>
              <w:left w:val="nil"/>
              <w:bottom w:val="single" w:sz="4" w:space="0" w:color="auto"/>
              <w:right w:val="single" w:sz="4" w:space="0" w:color="auto"/>
            </w:tcBorders>
            <w:shd w:val="clear" w:color="000000" w:fill="F2F2F2"/>
            <w:vAlign w:val="center"/>
            <w:hideMark/>
          </w:tcPr>
          <w:p w14:paraId="79FB34DC"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2</w:t>
            </w:r>
          </w:p>
        </w:tc>
        <w:tc>
          <w:tcPr>
            <w:tcW w:w="229" w:type="dxa"/>
            <w:tcBorders>
              <w:top w:val="nil"/>
              <w:left w:val="nil"/>
              <w:bottom w:val="single" w:sz="4" w:space="0" w:color="auto"/>
              <w:right w:val="single" w:sz="4" w:space="0" w:color="auto"/>
            </w:tcBorders>
            <w:shd w:val="clear" w:color="000000" w:fill="F2F2F2"/>
            <w:vAlign w:val="center"/>
            <w:hideMark/>
          </w:tcPr>
          <w:p w14:paraId="3527C8CB"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3</w:t>
            </w:r>
          </w:p>
        </w:tc>
        <w:tc>
          <w:tcPr>
            <w:tcW w:w="229" w:type="dxa"/>
            <w:tcBorders>
              <w:top w:val="nil"/>
              <w:left w:val="nil"/>
              <w:bottom w:val="single" w:sz="4" w:space="0" w:color="auto"/>
              <w:right w:val="single" w:sz="4" w:space="0" w:color="auto"/>
            </w:tcBorders>
            <w:shd w:val="clear" w:color="000000" w:fill="F2F2F2"/>
            <w:vAlign w:val="center"/>
            <w:hideMark/>
          </w:tcPr>
          <w:p w14:paraId="524EEABD"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4</w:t>
            </w:r>
          </w:p>
        </w:tc>
        <w:tc>
          <w:tcPr>
            <w:tcW w:w="229" w:type="dxa"/>
            <w:tcBorders>
              <w:top w:val="nil"/>
              <w:left w:val="nil"/>
              <w:bottom w:val="single" w:sz="4" w:space="0" w:color="auto"/>
              <w:right w:val="single" w:sz="4" w:space="0" w:color="auto"/>
            </w:tcBorders>
            <w:shd w:val="clear" w:color="000000" w:fill="F2F2F2"/>
            <w:vAlign w:val="center"/>
            <w:hideMark/>
          </w:tcPr>
          <w:p w14:paraId="38902A14"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1</w:t>
            </w:r>
          </w:p>
        </w:tc>
        <w:tc>
          <w:tcPr>
            <w:tcW w:w="229" w:type="dxa"/>
            <w:tcBorders>
              <w:top w:val="nil"/>
              <w:left w:val="nil"/>
              <w:bottom w:val="single" w:sz="4" w:space="0" w:color="auto"/>
              <w:right w:val="single" w:sz="4" w:space="0" w:color="auto"/>
            </w:tcBorders>
            <w:shd w:val="clear" w:color="000000" w:fill="F2F2F2"/>
            <w:vAlign w:val="center"/>
            <w:hideMark/>
          </w:tcPr>
          <w:p w14:paraId="0DAB1DCE"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2</w:t>
            </w:r>
          </w:p>
        </w:tc>
        <w:tc>
          <w:tcPr>
            <w:tcW w:w="229" w:type="dxa"/>
            <w:tcBorders>
              <w:top w:val="nil"/>
              <w:left w:val="nil"/>
              <w:bottom w:val="single" w:sz="4" w:space="0" w:color="auto"/>
              <w:right w:val="single" w:sz="4" w:space="0" w:color="auto"/>
            </w:tcBorders>
            <w:shd w:val="clear" w:color="000000" w:fill="F2F2F2"/>
            <w:vAlign w:val="center"/>
            <w:hideMark/>
          </w:tcPr>
          <w:p w14:paraId="78A327D2"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3</w:t>
            </w:r>
          </w:p>
        </w:tc>
        <w:tc>
          <w:tcPr>
            <w:tcW w:w="229" w:type="dxa"/>
            <w:tcBorders>
              <w:top w:val="nil"/>
              <w:left w:val="nil"/>
              <w:bottom w:val="single" w:sz="4" w:space="0" w:color="auto"/>
              <w:right w:val="single" w:sz="4" w:space="0" w:color="auto"/>
            </w:tcBorders>
            <w:shd w:val="clear" w:color="000000" w:fill="F2F2F2"/>
            <w:vAlign w:val="center"/>
            <w:hideMark/>
          </w:tcPr>
          <w:p w14:paraId="263BA824"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4</w:t>
            </w:r>
          </w:p>
        </w:tc>
        <w:tc>
          <w:tcPr>
            <w:tcW w:w="229" w:type="dxa"/>
            <w:tcBorders>
              <w:top w:val="nil"/>
              <w:left w:val="nil"/>
              <w:bottom w:val="single" w:sz="4" w:space="0" w:color="auto"/>
              <w:right w:val="single" w:sz="4" w:space="0" w:color="auto"/>
            </w:tcBorders>
            <w:shd w:val="clear" w:color="000000" w:fill="F2F2F2"/>
            <w:vAlign w:val="center"/>
            <w:hideMark/>
          </w:tcPr>
          <w:p w14:paraId="59AE2280"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1</w:t>
            </w:r>
          </w:p>
        </w:tc>
        <w:tc>
          <w:tcPr>
            <w:tcW w:w="229" w:type="dxa"/>
            <w:tcBorders>
              <w:top w:val="nil"/>
              <w:left w:val="nil"/>
              <w:bottom w:val="single" w:sz="4" w:space="0" w:color="auto"/>
              <w:right w:val="single" w:sz="4" w:space="0" w:color="auto"/>
            </w:tcBorders>
            <w:shd w:val="clear" w:color="000000" w:fill="F2F2F2"/>
            <w:vAlign w:val="center"/>
            <w:hideMark/>
          </w:tcPr>
          <w:p w14:paraId="086E75E6"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2</w:t>
            </w:r>
          </w:p>
        </w:tc>
        <w:tc>
          <w:tcPr>
            <w:tcW w:w="229" w:type="dxa"/>
            <w:tcBorders>
              <w:top w:val="nil"/>
              <w:left w:val="nil"/>
              <w:bottom w:val="single" w:sz="4" w:space="0" w:color="auto"/>
              <w:right w:val="single" w:sz="4" w:space="0" w:color="auto"/>
            </w:tcBorders>
            <w:shd w:val="clear" w:color="000000" w:fill="F2F2F2"/>
            <w:vAlign w:val="center"/>
            <w:hideMark/>
          </w:tcPr>
          <w:p w14:paraId="10ADB387"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3</w:t>
            </w:r>
          </w:p>
        </w:tc>
        <w:tc>
          <w:tcPr>
            <w:tcW w:w="229" w:type="dxa"/>
            <w:tcBorders>
              <w:top w:val="nil"/>
              <w:left w:val="nil"/>
              <w:bottom w:val="single" w:sz="4" w:space="0" w:color="auto"/>
              <w:right w:val="single" w:sz="4" w:space="0" w:color="auto"/>
            </w:tcBorders>
            <w:shd w:val="clear" w:color="000000" w:fill="F2F2F2"/>
            <w:vAlign w:val="center"/>
            <w:hideMark/>
          </w:tcPr>
          <w:p w14:paraId="72CCF3A5"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4</w:t>
            </w:r>
          </w:p>
        </w:tc>
        <w:tc>
          <w:tcPr>
            <w:tcW w:w="229" w:type="dxa"/>
            <w:tcBorders>
              <w:top w:val="nil"/>
              <w:left w:val="nil"/>
              <w:bottom w:val="single" w:sz="4" w:space="0" w:color="auto"/>
              <w:right w:val="single" w:sz="4" w:space="0" w:color="auto"/>
            </w:tcBorders>
            <w:shd w:val="clear" w:color="000000" w:fill="F2F2F2"/>
            <w:vAlign w:val="center"/>
            <w:hideMark/>
          </w:tcPr>
          <w:p w14:paraId="3BABE439"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1</w:t>
            </w:r>
          </w:p>
        </w:tc>
        <w:tc>
          <w:tcPr>
            <w:tcW w:w="229" w:type="dxa"/>
            <w:tcBorders>
              <w:top w:val="nil"/>
              <w:left w:val="nil"/>
              <w:bottom w:val="single" w:sz="4" w:space="0" w:color="auto"/>
              <w:right w:val="single" w:sz="4" w:space="0" w:color="auto"/>
            </w:tcBorders>
            <w:shd w:val="clear" w:color="000000" w:fill="F2F2F2"/>
            <w:vAlign w:val="center"/>
            <w:hideMark/>
          </w:tcPr>
          <w:p w14:paraId="4C5F2C1C"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2</w:t>
            </w:r>
          </w:p>
        </w:tc>
        <w:tc>
          <w:tcPr>
            <w:tcW w:w="229" w:type="dxa"/>
            <w:tcBorders>
              <w:top w:val="nil"/>
              <w:left w:val="nil"/>
              <w:bottom w:val="single" w:sz="4" w:space="0" w:color="auto"/>
              <w:right w:val="single" w:sz="4" w:space="0" w:color="auto"/>
            </w:tcBorders>
            <w:shd w:val="clear" w:color="000000" w:fill="F2F2F2"/>
            <w:vAlign w:val="center"/>
            <w:hideMark/>
          </w:tcPr>
          <w:p w14:paraId="7A2BF9FF"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3</w:t>
            </w:r>
          </w:p>
        </w:tc>
        <w:tc>
          <w:tcPr>
            <w:tcW w:w="229" w:type="dxa"/>
            <w:tcBorders>
              <w:top w:val="nil"/>
              <w:left w:val="nil"/>
              <w:bottom w:val="single" w:sz="4" w:space="0" w:color="auto"/>
              <w:right w:val="single" w:sz="4" w:space="0" w:color="auto"/>
            </w:tcBorders>
            <w:shd w:val="clear" w:color="000000" w:fill="F2F2F2"/>
            <w:vAlign w:val="center"/>
            <w:hideMark/>
          </w:tcPr>
          <w:p w14:paraId="0422A4F3" w14:textId="77777777" w:rsidR="00CF61F4" w:rsidRPr="00680D17" w:rsidRDefault="00CF61F4" w:rsidP="00CF61F4">
            <w:pPr>
              <w:jc w:val="cente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4</w:t>
            </w:r>
          </w:p>
        </w:tc>
        <w:tc>
          <w:tcPr>
            <w:tcW w:w="1930" w:type="dxa"/>
            <w:vMerge/>
            <w:tcBorders>
              <w:top w:val="single" w:sz="4" w:space="0" w:color="auto"/>
              <w:left w:val="single" w:sz="4" w:space="0" w:color="auto"/>
              <w:bottom w:val="single" w:sz="4" w:space="0" w:color="auto"/>
              <w:right w:val="single" w:sz="4" w:space="0" w:color="auto"/>
            </w:tcBorders>
            <w:vAlign w:val="center"/>
            <w:hideMark/>
          </w:tcPr>
          <w:p w14:paraId="401EB4C0" w14:textId="77777777" w:rsidR="00CF61F4" w:rsidRPr="00680D17" w:rsidRDefault="00CF61F4" w:rsidP="00CF61F4">
            <w:pPr>
              <w:rPr>
                <w:rFonts w:ascii="Arial" w:hAnsi="Arial" w:cs="Arial"/>
                <w:b/>
                <w:bCs/>
                <w:color w:val="000000"/>
                <w:spacing w:val="0"/>
                <w:sz w:val="16"/>
                <w:szCs w:val="16"/>
                <w:lang w:val="es-ES" w:eastAsia="es-EC"/>
              </w:rPr>
            </w:pPr>
          </w:p>
        </w:tc>
      </w:tr>
      <w:tr w:rsidR="00CF61F4" w:rsidRPr="00680D17" w14:paraId="7680C521" w14:textId="77777777" w:rsidTr="00696679">
        <w:trPr>
          <w:trHeight w:val="147"/>
        </w:trPr>
        <w:tc>
          <w:tcPr>
            <w:tcW w:w="3053" w:type="dxa"/>
            <w:tcBorders>
              <w:top w:val="nil"/>
              <w:left w:val="single" w:sz="4" w:space="0" w:color="auto"/>
              <w:bottom w:val="single" w:sz="4" w:space="0" w:color="auto"/>
              <w:right w:val="single" w:sz="4" w:space="0" w:color="auto"/>
            </w:tcBorders>
            <w:shd w:val="clear" w:color="000000" w:fill="FFFFFF"/>
            <w:vAlign w:val="center"/>
            <w:hideMark/>
          </w:tcPr>
          <w:p w14:paraId="76292608" w14:textId="77777777" w:rsidR="00CF61F4" w:rsidRPr="00680D17" w:rsidRDefault="00CF61F4" w:rsidP="00CF61F4">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1. Identificación de las fuentes /sistemas/ responsables donde la información será recolectada.</w:t>
            </w:r>
          </w:p>
        </w:tc>
        <w:tc>
          <w:tcPr>
            <w:tcW w:w="229" w:type="dxa"/>
            <w:tcBorders>
              <w:top w:val="nil"/>
              <w:left w:val="nil"/>
              <w:bottom w:val="single" w:sz="4" w:space="0" w:color="auto"/>
              <w:right w:val="single" w:sz="4" w:space="0" w:color="auto"/>
            </w:tcBorders>
            <w:shd w:val="clear" w:color="000000" w:fill="B7DEE8"/>
            <w:vAlign w:val="center"/>
            <w:hideMark/>
          </w:tcPr>
          <w:p w14:paraId="23A5048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CAC9AF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4C1FEB3"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3154F45E"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232F7DBC"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FF768F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0183ADF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33B6BB52"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043D0EA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35682E8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8CD5A3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90B442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40435BC6"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3248448"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AF3B7B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2DACCC1"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1930" w:type="dxa"/>
            <w:tcBorders>
              <w:top w:val="nil"/>
              <w:left w:val="nil"/>
              <w:bottom w:val="single" w:sz="4" w:space="0" w:color="auto"/>
              <w:right w:val="single" w:sz="4" w:space="0" w:color="auto"/>
            </w:tcBorders>
            <w:shd w:val="clear" w:color="000000" w:fill="FFFFFF"/>
            <w:vAlign w:val="center"/>
            <w:hideMark/>
          </w:tcPr>
          <w:p w14:paraId="2EEDDE95" w14:textId="77777777" w:rsidR="00CF61F4" w:rsidRPr="00680D17" w:rsidRDefault="00CF61F4" w:rsidP="00696679">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OE, Monitoreo y Evaluación</w:t>
            </w:r>
          </w:p>
        </w:tc>
      </w:tr>
      <w:tr w:rsidR="00CF61F4" w:rsidRPr="00680D17" w14:paraId="4A76A1FF" w14:textId="77777777" w:rsidTr="00696679">
        <w:trPr>
          <w:trHeight w:val="45"/>
        </w:trPr>
        <w:tc>
          <w:tcPr>
            <w:tcW w:w="3053" w:type="dxa"/>
            <w:tcBorders>
              <w:top w:val="nil"/>
              <w:left w:val="single" w:sz="4" w:space="0" w:color="auto"/>
              <w:bottom w:val="single" w:sz="4" w:space="0" w:color="auto"/>
              <w:right w:val="single" w:sz="4" w:space="0" w:color="auto"/>
            </w:tcBorders>
            <w:shd w:val="clear" w:color="000000" w:fill="FFFFFF"/>
            <w:vAlign w:val="center"/>
            <w:hideMark/>
          </w:tcPr>
          <w:p w14:paraId="45177C5F" w14:textId="77777777" w:rsidR="00CF61F4" w:rsidRPr="00680D17" w:rsidRDefault="00CF61F4" w:rsidP="00CF61F4">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2. Recolección de la información.</w:t>
            </w:r>
          </w:p>
        </w:tc>
        <w:tc>
          <w:tcPr>
            <w:tcW w:w="229" w:type="dxa"/>
            <w:tcBorders>
              <w:top w:val="nil"/>
              <w:left w:val="nil"/>
              <w:bottom w:val="single" w:sz="4" w:space="0" w:color="auto"/>
              <w:right w:val="single" w:sz="4" w:space="0" w:color="auto"/>
            </w:tcBorders>
            <w:shd w:val="clear" w:color="000000" w:fill="FFFFFF"/>
            <w:vAlign w:val="center"/>
            <w:hideMark/>
          </w:tcPr>
          <w:p w14:paraId="310B2C3E"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14AD174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4F63911B"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39C2922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86C9CE1"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9CB59F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947979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1A8EAE7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6EC77FF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68603AB"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E47B39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6FC1035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AAAF561"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6B9467F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37659E37"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073670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1930" w:type="dxa"/>
            <w:tcBorders>
              <w:top w:val="nil"/>
              <w:left w:val="nil"/>
              <w:bottom w:val="single" w:sz="4" w:space="0" w:color="auto"/>
              <w:right w:val="single" w:sz="4" w:space="0" w:color="auto"/>
            </w:tcBorders>
            <w:shd w:val="clear" w:color="000000" w:fill="FFFFFF"/>
            <w:vAlign w:val="center"/>
            <w:hideMark/>
          </w:tcPr>
          <w:p w14:paraId="7644DA46" w14:textId="77777777" w:rsidR="00CF61F4" w:rsidRPr="00680D17" w:rsidRDefault="00CF61F4" w:rsidP="00696679">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OE, Monitoreo y Evaluación</w:t>
            </w:r>
          </w:p>
        </w:tc>
      </w:tr>
      <w:tr w:rsidR="00CF61F4" w:rsidRPr="00680D17" w14:paraId="4942D14F" w14:textId="77777777" w:rsidTr="00696679">
        <w:trPr>
          <w:trHeight w:val="45"/>
        </w:trPr>
        <w:tc>
          <w:tcPr>
            <w:tcW w:w="3053" w:type="dxa"/>
            <w:tcBorders>
              <w:top w:val="nil"/>
              <w:left w:val="single" w:sz="4" w:space="0" w:color="auto"/>
              <w:bottom w:val="single" w:sz="4" w:space="0" w:color="auto"/>
              <w:right w:val="single" w:sz="4" w:space="0" w:color="auto"/>
            </w:tcBorders>
            <w:shd w:val="clear" w:color="000000" w:fill="FFFFFF"/>
            <w:vAlign w:val="center"/>
            <w:hideMark/>
          </w:tcPr>
          <w:p w14:paraId="44318323" w14:textId="77777777" w:rsidR="00CF61F4" w:rsidRPr="00680D17" w:rsidRDefault="00CF61F4" w:rsidP="00CF61F4">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3. Consolidación de la información para evaluación.</w:t>
            </w:r>
          </w:p>
        </w:tc>
        <w:tc>
          <w:tcPr>
            <w:tcW w:w="229" w:type="dxa"/>
            <w:tcBorders>
              <w:top w:val="nil"/>
              <w:left w:val="nil"/>
              <w:bottom w:val="single" w:sz="4" w:space="0" w:color="auto"/>
              <w:right w:val="single" w:sz="4" w:space="0" w:color="auto"/>
            </w:tcBorders>
            <w:shd w:val="clear" w:color="000000" w:fill="FFFFFF"/>
            <w:vAlign w:val="center"/>
            <w:hideMark/>
          </w:tcPr>
          <w:p w14:paraId="3A80A4D7"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4409EC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E17130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640CC88"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EF335A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35F177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0215417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47D8CB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F8CD09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382B9FA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C98433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857CA1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AF0628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3004887"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4CEB566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B5FAFAC"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1930" w:type="dxa"/>
            <w:tcBorders>
              <w:top w:val="nil"/>
              <w:left w:val="nil"/>
              <w:bottom w:val="single" w:sz="4" w:space="0" w:color="auto"/>
              <w:right w:val="single" w:sz="4" w:space="0" w:color="auto"/>
            </w:tcBorders>
            <w:shd w:val="clear" w:color="000000" w:fill="FFFFFF"/>
            <w:vAlign w:val="center"/>
            <w:hideMark/>
          </w:tcPr>
          <w:p w14:paraId="20E3410A" w14:textId="77777777" w:rsidR="00CF61F4" w:rsidRPr="00680D17" w:rsidRDefault="00CF61F4" w:rsidP="00696679">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OE, Monitoreo y Evaluación</w:t>
            </w:r>
          </w:p>
        </w:tc>
      </w:tr>
      <w:tr w:rsidR="00CF61F4" w:rsidRPr="00680D17" w14:paraId="5ED725FA" w14:textId="77777777" w:rsidTr="00696679">
        <w:trPr>
          <w:trHeight w:val="45"/>
        </w:trPr>
        <w:tc>
          <w:tcPr>
            <w:tcW w:w="3053" w:type="dxa"/>
            <w:tcBorders>
              <w:top w:val="nil"/>
              <w:left w:val="single" w:sz="4" w:space="0" w:color="auto"/>
              <w:bottom w:val="single" w:sz="4" w:space="0" w:color="auto"/>
              <w:right w:val="single" w:sz="4" w:space="0" w:color="auto"/>
            </w:tcBorders>
            <w:shd w:val="clear" w:color="000000" w:fill="FFFFFF"/>
            <w:vAlign w:val="center"/>
            <w:hideMark/>
          </w:tcPr>
          <w:p w14:paraId="236491C7" w14:textId="77777777" w:rsidR="00CF61F4" w:rsidRPr="00680D17" w:rsidRDefault="00CF61F4" w:rsidP="00CF61F4">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4. Entrevistas con los responsables por la información.</w:t>
            </w:r>
          </w:p>
        </w:tc>
        <w:tc>
          <w:tcPr>
            <w:tcW w:w="229" w:type="dxa"/>
            <w:tcBorders>
              <w:top w:val="nil"/>
              <w:left w:val="nil"/>
              <w:bottom w:val="single" w:sz="4" w:space="0" w:color="auto"/>
              <w:right w:val="single" w:sz="4" w:space="0" w:color="auto"/>
            </w:tcBorders>
            <w:shd w:val="clear" w:color="000000" w:fill="FFFFFF"/>
            <w:vAlign w:val="center"/>
            <w:hideMark/>
          </w:tcPr>
          <w:p w14:paraId="64393D1B"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2EA2F6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D28EF7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6775D6E"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3C483488"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39140AA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0E9091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170FD86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5EDE812"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22ECCFA9"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71E7470E"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09DDAEC"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52E46CD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20317863"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24E42B7C"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6064EC6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1930" w:type="dxa"/>
            <w:tcBorders>
              <w:top w:val="nil"/>
              <w:left w:val="nil"/>
              <w:bottom w:val="single" w:sz="4" w:space="0" w:color="auto"/>
              <w:right w:val="single" w:sz="4" w:space="0" w:color="auto"/>
            </w:tcBorders>
            <w:shd w:val="clear" w:color="000000" w:fill="FFFFFF"/>
            <w:vAlign w:val="center"/>
            <w:hideMark/>
          </w:tcPr>
          <w:p w14:paraId="1ACDA8F3" w14:textId="77777777" w:rsidR="00CF61F4" w:rsidRPr="00680D17" w:rsidRDefault="00CF61F4" w:rsidP="00696679">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OE, Monitoreo y Evaluación</w:t>
            </w:r>
          </w:p>
        </w:tc>
      </w:tr>
      <w:tr w:rsidR="00CF61F4" w:rsidRPr="00680D17" w14:paraId="41115C88" w14:textId="77777777" w:rsidTr="00696679">
        <w:trPr>
          <w:trHeight w:val="45"/>
        </w:trPr>
        <w:tc>
          <w:tcPr>
            <w:tcW w:w="3053" w:type="dxa"/>
            <w:tcBorders>
              <w:top w:val="nil"/>
              <w:left w:val="single" w:sz="4" w:space="0" w:color="auto"/>
              <w:bottom w:val="single" w:sz="4" w:space="0" w:color="auto"/>
              <w:right w:val="single" w:sz="4" w:space="0" w:color="auto"/>
            </w:tcBorders>
            <w:shd w:val="clear" w:color="000000" w:fill="FFFFFF"/>
            <w:vAlign w:val="center"/>
            <w:hideMark/>
          </w:tcPr>
          <w:p w14:paraId="7ED8CE65" w14:textId="77777777" w:rsidR="00CF61F4" w:rsidRPr="00680D17" w:rsidRDefault="00CF61F4" w:rsidP="00CF61F4">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5.Informes Semestrales de Progreso</w:t>
            </w:r>
          </w:p>
        </w:tc>
        <w:tc>
          <w:tcPr>
            <w:tcW w:w="229" w:type="dxa"/>
            <w:tcBorders>
              <w:top w:val="nil"/>
              <w:left w:val="nil"/>
              <w:bottom w:val="single" w:sz="4" w:space="0" w:color="auto"/>
              <w:right w:val="single" w:sz="4" w:space="0" w:color="auto"/>
            </w:tcBorders>
            <w:shd w:val="clear" w:color="000000" w:fill="FFFFFF"/>
            <w:vAlign w:val="center"/>
            <w:hideMark/>
          </w:tcPr>
          <w:p w14:paraId="5E72EC14"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9D7B0F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2AD4E5F"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2DA46D8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180B884D"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0D78AFCB"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9FCAC9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1D767015"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63B68AD3"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6CF8BF81"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1DD7A59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74F735C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4AD7743A"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4692BA00"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FFFFFF"/>
            <w:vAlign w:val="center"/>
            <w:hideMark/>
          </w:tcPr>
          <w:p w14:paraId="05F65F2E"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229" w:type="dxa"/>
            <w:tcBorders>
              <w:top w:val="nil"/>
              <w:left w:val="nil"/>
              <w:bottom w:val="single" w:sz="4" w:space="0" w:color="auto"/>
              <w:right w:val="single" w:sz="4" w:space="0" w:color="auto"/>
            </w:tcBorders>
            <w:shd w:val="clear" w:color="000000" w:fill="B7DEE8"/>
            <w:vAlign w:val="center"/>
            <w:hideMark/>
          </w:tcPr>
          <w:p w14:paraId="57AE1EA2" w14:textId="77777777" w:rsidR="00CF61F4" w:rsidRPr="00680D17" w:rsidRDefault="00CF61F4" w:rsidP="00CF61F4">
            <w:pPr>
              <w:jc w:val="both"/>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 </w:t>
            </w:r>
          </w:p>
        </w:tc>
        <w:tc>
          <w:tcPr>
            <w:tcW w:w="1930" w:type="dxa"/>
            <w:tcBorders>
              <w:top w:val="nil"/>
              <w:left w:val="nil"/>
              <w:bottom w:val="single" w:sz="4" w:space="0" w:color="auto"/>
              <w:right w:val="single" w:sz="4" w:space="0" w:color="auto"/>
            </w:tcBorders>
            <w:shd w:val="clear" w:color="000000" w:fill="FFFFFF"/>
            <w:vAlign w:val="center"/>
            <w:hideMark/>
          </w:tcPr>
          <w:p w14:paraId="4DDA0C29" w14:textId="77777777" w:rsidR="00CF61F4" w:rsidRPr="00680D17" w:rsidRDefault="00CF61F4" w:rsidP="00696679">
            <w:pPr>
              <w:rPr>
                <w:rFonts w:ascii="Arial" w:hAnsi="Arial" w:cs="Arial"/>
                <w:color w:val="000000"/>
                <w:spacing w:val="0"/>
                <w:sz w:val="16"/>
                <w:szCs w:val="16"/>
                <w:lang w:val="es-ES" w:eastAsia="es-EC"/>
              </w:rPr>
            </w:pPr>
            <w:r w:rsidRPr="00680D17">
              <w:rPr>
                <w:rFonts w:ascii="Arial" w:hAnsi="Arial" w:cs="Arial"/>
                <w:color w:val="000000"/>
                <w:spacing w:val="0"/>
                <w:sz w:val="16"/>
                <w:szCs w:val="16"/>
                <w:lang w:val="es-ES" w:eastAsia="es-EC"/>
              </w:rPr>
              <w:t>OE, Monitoreo y Evaluación</w:t>
            </w:r>
          </w:p>
        </w:tc>
      </w:tr>
    </w:tbl>
    <w:p w14:paraId="5217ACDD" w14:textId="77777777" w:rsidR="007179E2" w:rsidRPr="00680D17" w:rsidRDefault="007179E2" w:rsidP="00534766">
      <w:pPr>
        <w:spacing w:line="276" w:lineRule="auto"/>
        <w:ind w:left="360"/>
        <w:jc w:val="both"/>
        <w:rPr>
          <w:rFonts w:ascii="Arial" w:hAnsi="Arial" w:cs="Arial"/>
          <w:sz w:val="22"/>
          <w:szCs w:val="22"/>
          <w:lang w:val="es-ES"/>
        </w:rPr>
      </w:pPr>
    </w:p>
    <w:p w14:paraId="714F83DB" w14:textId="77777777" w:rsidR="00CF61F4" w:rsidRPr="00680D17" w:rsidRDefault="00CF61F4" w:rsidP="004B1FA3">
      <w:pPr>
        <w:spacing w:line="276" w:lineRule="auto"/>
        <w:ind w:left="360"/>
        <w:jc w:val="both"/>
        <w:rPr>
          <w:rFonts w:ascii="Arial" w:hAnsi="Arial" w:cs="Arial"/>
          <w:sz w:val="22"/>
          <w:szCs w:val="22"/>
          <w:lang w:val="es-ES"/>
        </w:rPr>
      </w:pPr>
    </w:p>
    <w:p w14:paraId="1DDBA850" w14:textId="77777777" w:rsidR="00403CEA" w:rsidRPr="00680D17" w:rsidRDefault="00403CEA" w:rsidP="00A06DD5">
      <w:pPr>
        <w:pStyle w:val="TableTitle"/>
        <w:numPr>
          <w:ilvl w:val="0"/>
          <w:numId w:val="19"/>
        </w:numPr>
        <w:spacing w:before="0" w:after="0" w:line="276" w:lineRule="auto"/>
        <w:jc w:val="both"/>
        <w:rPr>
          <w:rStyle w:val="Heading1Char"/>
          <w:rFonts w:ascii="Arial" w:hAnsi="Arial" w:cs="Arial"/>
          <w:b/>
          <w:sz w:val="22"/>
          <w:szCs w:val="22"/>
        </w:rPr>
      </w:pPr>
      <w:bookmarkStart w:id="26" w:name="_Toc491518992"/>
      <w:r w:rsidRPr="00680D17">
        <w:rPr>
          <w:rFonts w:ascii="Arial" w:hAnsi="Arial" w:cs="Arial"/>
          <w:sz w:val="22"/>
          <w:szCs w:val="22"/>
        </w:rPr>
        <w:t>Presentación de informes</w:t>
      </w:r>
      <w:r w:rsidR="00C61302" w:rsidRPr="00680D17">
        <w:rPr>
          <w:rFonts w:ascii="Arial" w:hAnsi="Arial" w:cs="Arial"/>
          <w:sz w:val="22"/>
          <w:szCs w:val="22"/>
        </w:rPr>
        <w:t xml:space="preserve"> de monitoreo</w:t>
      </w:r>
    </w:p>
    <w:bookmarkEnd w:id="26"/>
    <w:p w14:paraId="0ED4D8FC" w14:textId="77777777" w:rsidR="002F2A98" w:rsidRPr="00680D17" w:rsidRDefault="002F2A98" w:rsidP="004B1FA3">
      <w:pPr>
        <w:spacing w:line="276" w:lineRule="auto"/>
        <w:ind w:left="720"/>
        <w:jc w:val="both"/>
        <w:rPr>
          <w:rFonts w:ascii="Arial" w:hAnsi="Arial" w:cs="Arial"/>
          <w:sz w:val="22"/>
          <w:szCs w:val="22"/>
          <w:lang w:val="es-ES"/>
        </w:rPr>
      </w:pPr>
    </w:p>
    <w:p w14:paraId="1694FFCF" w14:textId="77777777" w:rsidR="0081230D" w:rsidRPr="00680D17" w:rsidRDefault="006D01D1"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t xml:space="preserve">Durante la ejecución del programa se </w:t>
      </w:r>
      <w:r w:rsidR="00D85262" w:rsidRPr="00680D17">
        <w:rPr>
          <w:rFonts w:ascii="Arial" w:hAnsi="Arial" w:cs="Arial"/>
          <w:sz w:val="22"/>
          <w:szCs w:val="22"/>
          <w:lang w:val="es-ES"/>
        </w:rPr>
        <w:t>prevé</w:t>
      </w:r>
      <w:r w:rsidR="00677CF7" w:rsidRPr="00680D17">
        <w:rPr>
          <w:rFonts w:ascii="Arial" w:hAnsi="Arial" w:cs="Arial"/>
          <w:sz w:val="22"/>
          <w:szCs w:val="22"/>
          <w:lang w:val="es-ES"/>
        </w:rPr>
        <w:t xml:space="preserve"> la entrega de Informes s</w:t>
      </w:r>
      <w:r w:rsidRPr="00680D17">
        <w:rPr>
          <w:rFonts w:ascii="Arial" w:hAnsi="Arial" w:cs="Arial"/>
          <w:sz w:val="22"/>
          <w:szCs w:val="22"/>
          <w:lang w:val="es-ES"/>
        </w:rPr>
        <w:t xml:space="preserve">emestrales </w:t>
      </w:r>
      <w:r w:rsidR="0081230D" w:rsidRPr="00680D17">
        <w:rPr>
          <w:rFonts w:ascii="Arial" w:hAnsi="Arial" w:cs="Arial"/>
          <w:sz w:val="22"/>
          <w:szCs w:val="22"/>
          <w:lang w:val="es-ES"/>
        </w:rPr>
        <w:t xml:space="preserve">de progreso, con el objetivo de </w:t>
      </w:r>
      <w:r w:rsidRPr="00680D17">
        <w:rPr>
          <w:rFonts w:ascii="Arial" w:hAnsi="Arial" w:cs="Arial"/>
          <w:sz w:val="22"/>
          <w:szCs w:val="22"/>
          <w:lang w:val="es-ES"/>
        </w:rPr>
        <w:t>conocer el avance de</w:t>
      </w:r>
      <w:r w:rsidR="00AD45B5" w:rsidRPr="00680D17">
        <w:rPr>
          <w:rFonts w:ascii="Arial" w:hAnsi="Arial" w:cs="Arial"/>
          <w:sz w:val="22"/>
          <w:szCs w:val="22"/>
          <w:lang w:val="es-ES"/>
        </w:rPr>
        <w:t xml:space="preserve">l </w:t>
      </w:r>
      <w:r w:rsidR="00936DCD" w:rsidRPr="00680D17">
        <w:rPr>
          <w:rFonts w:ascii="Arial" w:hAnsi="Arial" w:cs="Arial"/>
          <w:sz w:val="22"/>
          <w:szCs w:val="22"/>
          <w:lang w:val="es-ES"/>
        </w:rPr>
        <w:t>pro</w:t>
      </w:r>
      <w:r w:rsidR="0081230D" w:rsidRPr="00680D17">
        <w:rPr>
          <w:rFonts w:ascii="Arial" w:hAnsi="Arial" w:cs="Arial"/>
          <w:sz w:val="22"/>
          <w:szCs w:val="22"/>
          <w:lang w:val="es-ES"/>
        </w:rPr>
        <w:t>grama; y, un informe de evaluación final</w:t>
      </w:r>
      <w:r w:rsidRPr="00680D17">
        <w:rPr>
          <w:rFonts w:ascii="Arial" w:hAnsi="Arial" w:cs="Arial"/>
          <w:sz w:val="22"/>
          <w:szCs w:val="22"/>
          <w:lang w:val="es-ES"/>
        </w:rPr>
        <w:t>. Dichos inf</w:t>
      </w:r>
      <w:r w:rsidR="00033ABA" w:rsidRPr="00680D17">
        <w:rPr>
          <w:rFonts w:ascii="Arial" w:hAnsi="Arial" w:cs="Arial"/>
          <w:sz w:val="22"/>
          <w:szCs w:val="22"/>
          <w:lang w:val="es-ES"/>
        </w:rPr>
        <w:t xml:space="preserve">ormes serán elaborados por </w:t>
      </w:r>
      <w:r w:rsidR="00432BEA" w:rsidRPr="00680D17">
        <w:rPr>
          <w:rFonts w:ascii="Arial" w:hAnsi="Arial" w:cs="Arial"/>
          <w:sz w:val="22"/>
          <w:szCs w:val="22"/>
          <w:lang w:val="es-ES"/>
        </w:rPr>
        <w:t xml:space="preserve">el MEF </w:t>
      </w:r>
      <w:r w:rsidRPr="00680D17">
        <w:rPr>
          <w:rFonts w:ascii="Arial" w:hAnsi="Arial" w:cs="Arial"/>
          <w:sz w:val="22"/>
          <w:szCs w:val="22"/>
          <w:lang w:val="es-ES"/>
        </w:rPr>
        <w:t xml:space="preserve">y entregados </w:t>
      </w:r>
      <w:r w:rsidR="0081230D" w:rsidRPr="00680D17">
        <w:rPr>
          <w:rFonts w:ascii="Arial" w:hAnsi="Arial" w:cs="Arial"/>
          <w:sz w:val="22"/>
          <w:szCs w:val="22"/>
          <w:lang w:val="es-ES"/>
        </w:rPr>
        <w:t xml:space="preserve">al </w:t>
      </w:r>
      <w:r w:rsidRPr="00680D17">
        <w:rPr>
          <w:rFonts w:ascii="Arial" w:hAnsi="Arial" w:cs="Arial"/>
          <w:sz w:val="22"/>
          <w:szCs w:val="22"/>
          <w:lang w:val="es-ES"/>
        </w:rPr>
        <w:t>Jefe de Equipo</w:t>
      </w:r>
      <w:r w:rsidR="00432BEA" w:rsidRPr="00680D17">
        <w:rPr>
          <w:rFonts w:ascii="Arial" w:hAnsi="Arial" w:cs="Arial"/>
          <w:sz w:val="22"/>
          <w:szCs w:val="22"/>
          <w:lang w:val="es-ES"/>
        </w:rPr>
        <w:t xml:space="preserve"> de proyecto del BID</w:t>
      </w:r>
      <w:r w:rsidRPr="00680D17">
        <w:rPr>
          <w:rFonts w:ascii="Arial" w:hAnsi="Arial" w:cs="Arial"/>
          <w:sz w:val="22"/>
          <w:szCs w:val="22"/>
          <w:lang w:val="es-ES"/>
        </w:rPr>
        <w:t xml:space="preserve">, </w:t>
      </w:r>
      <w:r w:rsidR="002F0E4B" w:rsidRPr="00680D17">
        <w:rPr>
          <w:rFonts w:ascii="Arial" w:hAnsi="Arial" w:cs="Arial"/>
          <w:sz w:val="22"/>
          <w:szCs w:val="22"/>
          <w:lang w:val="es-ES"/>
        </w:rPr>
        <w:t xml:space="preserve">dentro de los </w:t>
      </w:r>
      <w:r w:rsidR="00131BCB" w:rsidRPr="00680D17">
        <w:rPr>
          <w:rFonts w:ascii="Arial" w:hAnsi="Arial" w:cs="Arial"/>
          <w:sz w:val="22"/>
          <w:szCs w:val="22"/>
          <w:lang w:val="es-ES"/>
        </w:rPr>
        <w:t>30</w:t>
      </w:r>
      <w:r w:rsidR="002F0E4B" w:rsidRPr="00680D17">
        <w:rPr>
          <w:rFonts w:ascii="Arial" w:hAnsi="Arial" w:cs="Arial"/>
          <w:sz w:val="22"/>
          <w:szCs w:val="22"/>
          <w:lang w:val="es-ES"/>
        </w:rPr>
        <w:t xml:space="preserve"> días siguientes de la finalización de cada semestre</w:t>
      </w:r>
      <w:r w:rsidR="00131BCB" w:rsidRPr="00680D17">
        <w:rPr>
          <w:rFonts w:ascii="Arial" w:hAnsi="Arial" w:cs="Arial"/>
          <w:sz w:val="22"/>
          <w:szCs w:val="22"/>
          <w:lang w:val="es-ES"/>
        </w:rPr>
        <w:t xml:space="preserve"> e incluye la actualización de la matriz de riesgo</w:t>
      </w:r>
      <w:r w:rsidRPr="00680D17">
        <w:rPr>
          <w:rFonts w:ascii="Arial" w:hAnsi="Arial" w:cs="Arial"/>
          <w:sz w:val="22"/>
          <w:szCs w:val="22"/>
          <w:lang w:val="es-ES"/>
        </w:rPr>
        <w:t xml:space="preserve">. </w:t>
      </w:r>
      <w:r w:rsidR="0081230D" w:rsidRPr="00680D17">
        <w:rPr>
          <w:rFonts w:ascii="Arial" w:hAnsi="Arial" w:cs="Arial"/>
          <w:sz w:val="22"/>
          <w:szCs w:val="22"/>
          <w:lang w:val="es-ES"/>
        </w:rPr>
        <w:t>Los</w:t>
      </w:r>
      <w:r w:rsidRPr="00680D17">
        <w:rPr>
          <w:rFonts w:ascii="Arial" w:hAnsi="Arial" w:cs="Arial"/>
          <w:sz w:val="22"/>
          <w:szCs w:val="22"/>
          <w:lang w:val="es-ES"/>
        </w:rPr>
        <w:t xml:space="preserve"> informe</w:t>
      </w:r>
      <w:r w:rsidR="0081230D" w:rsidRPr="00680D17">
        <w:rPr>
          <w:rFonts w:ascii="Arial" w:hAnsi="Arial" w:cs="Arial"/>
          <w:sz w:val="22"/>
          <w:szCs w:val="22"/>
          <w:lang w:val="es-ES"/>
        </w:rPr>
        <w:t xml:space="preserve">s </w:t>
      </w:r>
      <w:r w:rsidRPr="00680D17">
        <w:rPr>
          <w:rFonts w:ascii="Arial" w:hAnsi="Arial" w:cs="Arial"/>
          <w:sz w:val="22"/>
          <w:szCs w:val="22"/>
          <w:lang w:val="es-ES"/>
        </w:rPr>
        <w:t>tiene</w:t>
      </w:r>
      <w:r w:rsidR="0081230D" w:rsidRPr="00680D17">
        <w:rPr>
          <w:rFonts w:ascii="Arial" w:hAnsi="Arial" w:cs="Arial"/>
          <w:sz w:val="22"/>
          <w:szCs w:val="22"/>
          <w:lang w:val="es-ES"/>
        </w:rPr>
        <w:t>n</w:t>
      </w:r>
      <w:r w:rsidRPr="00680D17">
        <w:rPr>
          <w:rFonts w:ascii="Arial" w:hAnsi="Arial" w:cs="Arial"/>
          <w:sz w:val="22"/>
          <w:szCs w:val="22"/>
          <w:lang w:val="es-ES"/>
        </w:rPr>
        <w:t xml:space="preserve"> por finalidad presentar al Banco los resultados alcanzados en la ejecución del </w:t>
      </w:r>
      <w:r w:rsidR="00DE2A82" w:rsidRPr="00680D17">
        <w:rPr>
          <w:rFonts w:ascii="Arial" w:hAnsi="Arial" w:cs="Arial"/>
          <w:sz w:val="22"/>
          <w:szCs w:val="22"/>
          <w:lang w:val="es-ES"/>
        </w:rPr>
        <w:t>PEP</w:t>
      </w:r>
      <w:r w:rsidR="0081230D" w:rsidRPr="00680D17">
        <w:rPr>
          <w:rFonts w:ascii="Arial" w:hAnsi="Arial" w:cs="Arial"/>
          <w:sz w:val="22"/>
          <w:szCs w:val="22"/>
          <w:lang w:val="es-ES"/>
        </w:rPr>
        <w:t>, POA</w:t>
      </w:r>
      <w:r w:rsidR="00DE2A82" w:rsidRPr="00680D17">
        <w:rPr>
          <w:rFonts w:ascii="Arial" w:hAnsi="Arial" w:cs="Arial"/>
          <w:sz w:val="22"/>
          <w:szCs w:val="22"/>
          <w:lang w:val="es-ES"/>
        </w:rPr>
        <w:t xml:space="preserve"> </w:t>
      </w:r>
      <w:r w:rsidRPr="00680D17">
        <w:rPr>
          <w:rFonts w:ascii="Arial" w:hAnsi="Arial" w:cs="Arial"/>
          <w:sz w:val="22"/>
          <w:szCs w:val="22"/>
          <w:lang w:val="es-ES"/>
        </w:rPr>
        <w:t xml:space="preserve">y </w:t>
      </w:r>
      <w:r w:rsidR="00DE2A82" w:rsidRPr="00680D17">
        <w:rPr>
          <w:rFonts w:ascii="Arial" w:hAnsi="Arial" w:cs="Arial"/>
          <w:sz w:val="22"/>
          <w:szCs w:val="22"/>
          <w:lang w:val="es-ES"/>
        </w:rPr>
        <w:t xml:space="preserve">el </w:t>
      </w:r>
      <w:r w:rsidRPr="00680D17">
        <w:rPr>
          <w:rFonts w:ascii="Arial" w:hAnsi="Arial" w:cs="Arial"/>
          <w:sz w:val="22"/>
          <w:szCs w:val="22"/>
          <w:lang w:val="es-ES"/>
        </w:rPr>
        <w:t>PA, así como informar sobre el estado de ejecución de los contratos y programa</w:t>
      </w:r>
      <w:r w:rsidR="00DA6B71" w:rsidRPr="00680D17">
        <w:rPr>
          <w:rFonts w:ascii="Arial" w:hAnsi="Arial" w:cs="Arial"/>
          <w:sz w:val="22"/>
          <w:szCs w:val="22"/>
          <w:lang w:val="es-ES"/>
        </w:rPr>
        <w:t>s</w:t>
      </w:r>
      <w:r w:rsidRPr="00680D17">
        <w:rPr>
          <w:rFonts w:ascii="Arial" w:hAnsi="Arial" w:cs="Arial"/>
          <w:sz w:val="22"/>
          <w:szCs w:val="22"/>
          <w:lang w:val="es-ES"/>
        </w:rPr>
        <w:t xml:space="preserve"> de</w:t>
      </w:r>
      <w:r w:rsidR="00033ABA" w:rsidRPr="00680D17">
        <w:rPr>
          <w:rFonts w:ascii="Arial" w:hAnsi="Arial" w:cs="Arial"/>
          <w:sz w:val="22"/>
          <w:szCs w:val="22"/>
          <w:lang w:val="es-ES"/>
        </w:rPr>
        <w:t xml:space="preserve"> inversiones del </w:t>
      </w:r>
      <w:r w:rsidR="00936DCD" w:rsidRPr="00680D17">
        <w:rPr>
          <w:rFonts w:ascii="Arial" w:hAnsi="Arial" w:cs="Arial"/>
          <w:sz w:val="22"/>
          <w:szCs w:val="22"/>
          <w:lang w:val="es-ES"/>
        </w:rPr>
        <w:t>proyecto</w:t>
      </w:r>
      <w:r w:rsidR="00033ABA" w:rsidRPr="00680D17">
        <w:rPr>
          <w:rFonts w:ascii="Arial" w:hAnsi="Arial" w:cs="Arial"/>
          <w:sz w:val="22"/>
          <w:szCs w:val="22"/>
          <w:lang w:val="es-ES"/>
        </w:rPr>
        <w:t xml:space="preserve">. </w:t>
      </w:r>
      <w:r w:rsidR="0081230D" w:rsidRPr="00680D17">
        <w:rPr>
          <w:rFonts w:ascii="Arial" w:hAnsi="Arial" w:cs="Arial"/>
          <w:sz w:val="22"/>
          <w:szCs w:val="22"/>
          <w:lang w:val="es-ES"/>
        </w:rPr>
        <w:t>Los informes deberán</w:t>
      </w:r>
      <w:r w:rsidRPr="00680D17">
        <w:rPr>
          <w:rFonts w:ascii="Arial" w:hAnsi="Arial" w:cs="Arial"/>
          <w:sz w:val="22"/>
          <w:szCs w:val="22"/>
          <w:lang w:val="es-ES"/>
        </w:rPr>
        <w:t xml:space="preserve"> indica</w:t>
      </w:r>
      <w:r w:rsidR="0081230D" w:rsidRPr="00680D17">
        <w:rPr>
          <w:rFonts w:ascii="Arial" w:hAnsi="Arial" w:cs="Arial"/>
          <w:sz w:val="22"/>
          <w:szCs w:val="22"/>
          <w:lang w:val="es-ES"/>
        </w:rPr>
        <w:t>r</w:t>
      </w:r>
      <w:r w:rsidRPr="00680D17">
        <w:rPr>
          <w:rFonts w:ascii="Arial" w:hAnsi="Arial" w:cs="Arial"/>
          <w:sz w:val="22"/>
          <w:szCs w:val="22"/>
          <w:lang w:val="es-ES"/>
        </w:rPr>
        <w:t xml:space="preserve"> los avances logrados en cada uno de los componentes y en el desempeño global del </w:t>
      </w:r>
      <w:r w:rsidR="00936DCD" w:rsidRPr="00680D17">
        <w:rPr>
          <w:rFonts w:ascii="Arial" w:hAnsi="Arial" w:cs="Arial"/>
          <w:sz w:val="22"/>
          <w:szCs w:val="22"/>
          <w:lang w:val="es-ES"/>
        </w:rPr>
        <w:t>proyecto</w:t>
      </w:r>
      <w:r w:rsidRPr="00680D17">
        <w:rPr>
          <w:rFonts w:ascii="Arial" w:hAnsi="Arial" w:cs="Arial"/>
          <w:sz w:val="22"/>
          <w:szCs w:val="22"/>
          <w:lang w:val="es-ES"/>
        </w:rPr>
        <w:t xml:space="preserve">, en base a los indicadores </w:t>
      </w:r>
      <w:r w:rsidR="0081230D" w:rsidRPr="00680D17">
        <w:rPr>
          <w:rFonts w:ascii="Arial" w:hAnsi="Arial" w:cs="Arial"/>
          <w:sz w:val="22"/>
          <w:szCs w:val="22"/>
          <w:lang w:val="es-ES"/>
        </w:rPr>
        <w:t>de</w:t>
      </w:r>
      <w:r w:rsidRPr="00680D17">
        <w:rPr>
          <w:rFonts w:ascii="Arial" w:hAnsi="Arial" w:cs="Arial"/>
          <w:sz w:val="22"/>
          <w:szCs w:val="22"/>
          <w:lang w:val="es-ES"/>
        </w:rPr>
        <w:t xml:space="preserve"> la Matriz de Resultados. </w:t>
      </w:r>
    </w:p>
    <w:p w14:paraId="6D266DE1" w14:textId="77777777" w:rsidR="00131BCB" w:rsidRPr="00680D17" w:rsidRDefault="00131BCB" w:rsidP="004B1FA3">
      <w:pPr>
        <w:spacing w:line="276" w:lineRule="auto"/>
        <w:ind w:left="720"/>
        <w:jc w:val="both"/>
        <w:rPr>
          <w:rFonts w:ascii="Arial" w:hAnsi="Arial" w:cs="Arial"/>
          <w:sz w:val="22"/>
          <w:szCs w:val="22"/>
          <w:lang w:val="es-ES"/>
        </w:rPr>
      </w:pPr>
    </w:p>
    <w:p w14:paraId="76524E17" w14:textId="77777777" w:rsidR="0081230D" w:rsidRPr="00680D17" w:rsidRDefault="006D01D1"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t>Los informes semestrales</w:t>
      </w:r>
      <w:r w:rsidR="00677CF7" w:rsidRPr="00680D17">
        <w:rPr>
          <w:rFonts w:ascii="Arial" w:hAnsi="Arial" w:cs="Arial"/>
          <w:sz w:val="22"/>
          <w:szCs w:val="22"/>
          <w:lang w:val="es-ES"/>
        </w:rPr>
        <w:t xml:space="preserve"> y final</w:t>
      </w:r>
      <w:r w:rsidRPr="00680D17">
        <w:rPr>
          <w:rFonts w:ascii="Arial" w:hAnsi="Arial" w:cs="Arial"/>
          <w:sz w:val="22"/>
          <w:szCs w:val="22"/>
          <w:lang w:val="es-ES"/>
        </w:rPr>
        <w:t xml:space="preserve"> deberán incluir, como mínimo:</w:t>
      </w:r>
      <w:r w:rsidR="00F0016D" w:rsidRPr="00680D17">
        <w:rPr>
          <w:rFonts w:ascii="Arial" w:hAnsi="Arial" w:cs="Arial"/>
          <w:sz w:val="22"/>
          <w:szCs w:val="22"/>
          <w:lang w:val="es-ES"/>
        </w:rPr>
        <w:t xml:space="preserve"> </w:t>
      </w:r>
      <w:r w:rsidR="00AD45B5" w:rsidRPr="00680D17">
        <w:rPr>
          <w:rFonts w:ascii="Arial" w:hAnsi="Arial" w:cs="Arial"/>
          <w:sz w:val="22"/>
          <w:szCs w:val="22"/>
          <w:lang w:val="es-ES"/>
        </w:rPr>
        <w:t>(</w:t>
      </w:r>
      <w:r w:rsidRPr="00680D17">
        <w:rPr>
          <w:rFonts w:ascii="Arial" w:hAnsi="Arial" w:cs="Arial"/>
          <w:sz w:val="22"/>
          <w:szCs w:val="22"/>
          <w:lang w:val="es-ES"/>
        </w:rPr>
        <w:t xml:space="preserve">i) cumplimiento de las condiciones contractuales; </w:t>
      </w:r>
      <w:r w:rsidR="00AD45B5" w:rsidRPr="00680D17">
        <w:rPr>
          <w:rFonts w:ascii="Arial" w:hAnsi="Arial" w:cs="Arial"/>
          <w:sz w:val="22"/>
          <w:szCs w:val="22"/>
          <w:lang w:val="es-ES"/>
        </w:rPr>
        <w:t>(</w:t>
      </w:r>
      <w:proofErr w:type="spellStart"/>
      <w:r w:rsidRPr="00680D17">
        <w:rPr>
          <w:rFonts w:ascii="Arial" w:hAnsi="Arial" w:cs="Arial"/>
          <w:sz w:val="22"/>
          <w:szCs w:val="22"/>
          <w:lang w:val="es-ES"/>
        </w:rPr>
        <w:t>ii</w:t>
      </w:r>
      <w:proofErr w:type="spellEnd"/>
      <w:r w:rsidRPr="00680D17">
        <w:rPr>
          <w:rFonts w:ascii="Arial" w:hAnsi="Arial" w:cs="Arial"/>
          <w:sz w:val="22"/>
          <w:szCs w:val="22"/>
          <w:lang w:val="es-ES"/>
        </w:rPr>
        <w:t xml:space="preserve">) descripción e información general sobre las actividades realizadas; </w:t>
      </w:r>
      <w:r w:rsidR="00AD45B5" w:rsidRPr="00680D17">
        <w:rPr>
          <w:rFonts w:ascii="Arial" w:hAnsi="Arial" w:cs="Arial"/>
          <w:sz w:val="22"/>
          <w:szCs w:val="22"/>
          <w:lang w:val="es-ES"/>
        </w:rPr>
        <w:t>(</w:t>
      </w:r>
      <w:proofErr w:type="spellStart"/>
      <w:r w:rsidRPr="00680D17">
        <w:rPr>
          <w:rFonts w:ascii="Arial" w:hAnsi="Arial" w:cs="Arial"/>
          <w:sz w:val="22"/>
          <w:szCs w:val="22"/>
          <w:lang w:val="es-ES"/>
        </w:rPr>
        <w:t>iii</w:t>
      </w:r>
      <w:proofErr w:type="spellEnd"/>
      <w:r w:rsidRPr="00680D17">
        <w:rPr>
          <w:rFonts w:ascii="Arial" w:hAnsi="Arial" w:cs="Arial"/>
          <w:sz w:val="22"/>
          <w:szCs w:val="22"/>
          <w:lang w:val="es-ES"/>
        </w:rPr>
        <w:t>) progreso en relación con los indicadores de ejecución y calendario de desembolsos convenido</w:t>
      </w:r>
      <w:r w:rsidR="00C61302" w:rsidRPr="00680D17">
        <w:rPr>
          <w:rFonts w:ascii="Arial" w:hAnsi="Arial" w:cs="Arial"/>
          <w:sz w:val="22"/>
          <w:szCs w:val="22"/>
          <w:lang w:val="es-ES"/>
        </w:rPr>
        <w:t>,</w:t>
      </w:r>
      <w:r w:rsidRPr="00680D17">
        <w:rPr>
          <w:rFonts w:ascii="Arial" w:hAnsi="Arial" w:cs="Arial"/>
          <w:sz w:val="22"/>
          <w:szCs w:val="22"/>
          <w:lang w:val="es-ES"/>
        </w:rPr>
        <w:t xml:space="preserve"> y cronogramas actualizados de ejecución </w:t>
      </w:r>
      <w:r w:rsidR="00432BEA" w:rsidRPr="00680D17">
        <w:rPr>
          <w:rFonts w:ascii="Arial" w:hAnsi="Arial" w:cs="Arial"/>
          <w:sz w:val="22"/>
          <w:szCs w:val="22"/>
          <w:lang w:val="es-ES"/>
        </w:rPr>
        <w:t>y</w:t>
      </w:r>
      <w:r w:rsidRPr="00680D17">
        <w:rPr>
          <w:rFonts w:ascii="Arial" w:hAnsi="Arial" w:cs="Arial"/>
          <w:sz w:val="22"/>
          <w:szCs w:val="22"/>
          <w:lang w:val="es-ES"/>
        </w:rPr>
        <w:t xml:space="preserve"> desembolsos; </w:t>
      </w:r>
      <w:r w:rsidR="00432BEA" w:rsidRPr="00680D17">
        <w:rPr>
          <w:rFonts w:ascii="Arial" w:hAnsi="Arial" w:cs="Arial"/>
          <w:sz w:val="22"/>
          <w:szCs w:val="22"/>
          <w:lang w:val="es-ES"/>
        </w:rPr>
        <w:t>y</w:t>
      </w:r>
      <w:r w:rsidR="00C61302" w:rsidRPr="00680D17">
        <w:rPr>
          <w:rFonts w:ascii="Arial" w:hAnsi="Arial" w:cs="Arial"/>
          <w:sz w:val="22"/>
          <w:szCs w:val="22"/>
          <w:lang w:val="es-ES"/>
        </w:rPr>
        <w:t>,</w:t>
      </w:r>
      <w:r w:rsidR="00432BEA" w:rsidRPr="00680D17">
        <w:rPr>
          <w:rFonts w:ascii="Arial" w:hAnsi="Arial" w:cs="Arial"/>
          <w:sz w:val="22"/>
          <w:szCs w:val="22"/>
          <w:lang w:val="es-ES"/>
        </w:rPr>
        <w:t xml:space="preserve"> </w:t>
      </w:r>
      <w:r w:rsidR="00AD45B5" w:rsidRPr="00680D17">
        <w:rPr>
          <w:rFonts w:ascii="Arial" w:hAnsi="Arial" w:cs="Arial"/>
          <w:sz w:val="22"/>
          <w:szCs w:val="22"/>
          <w:lang w:val="es-ES"/>
        </w:rPr>
        <w:t>(</w:t>
      </w:r>
      <w:proofErr w:type="spellStart"/>
      <w:r w:rsidR="00432BEA" w:rsidRPr="00680D17">
        <w:rPr>
          <w:rFonts w:ascii="Arial" w:hAnsi="Arial" w:cs="Arial"/>
          <w:sz w:val="22"/>
          <w:szCs w:val="22"/>
          <w:lang w:val="es-ES"/>
        </w:rPr>
        <w:t>iv</w:t>
      </w:r>
      <w:proofErr w:type="spellEnd"/>
      <w:r w:rsidR="00C00AFB" w:rsidRPr="00680D17">
        <w:rPr>
          <w:rFonts w:ascii="Arial" w:hAnsi="Arial" w:cs="Arial"/>
          <w:sz w:val="22"/>
          <w:szCs w:val="22"/>
          <w:lang w:val="es-ES"/>
        </w:rPr>
        <w:t>)</w:t>
      </w:r>
      <w:r w:rsidRPr="00680D17">
        <w:rPr>
          <w:rFonts w:ascii="Arial" w:hAnsi="Arial" w:cs="Arial"/>
          <w:sz w:val="22"/>
          <w:szCs w:val="22"/>
          <w:lang w:val="es-ES"/>
        </w:rPr>
        <w:t xml:space="preserve"> el Plan de Adquisiciones</w:t>
      </w:r>
      <w:r w:rsidR="00133BE3" w:rsidRPr="00680D17">
        <w:rPr>
          <w:rFonts w:ascii="Arial" w:hAnsi="Arial" w:cs="Arial"/>
          <w:sz w:val="22"/>
          <w:szCs w:val="22"/>
          <w:lang w:val="es-ES"/>
        </w:rPr>
        <w:t>.</w:t>
      </w:r>
      <w:r w:rsidR="00677CF7" w:rsidRPr="00680D17">
        <w:rPr>
          <w:rFonts w:ascii="Arial" w:hAnsi="Arial" w:cs="Arial"/>
          <w:sz w:val="22"/>
          <w:szCs w:val="22"/>
          <w:lang w:val="es-ES"/>
        </w:rPr>
        <w:t xml:space="preserve"> </w:t>
      </w:r>
      <w:r w:rsidRPr="00680D17">
        <w:rPr>
          <w:rFonts w:ascii="Arial" w:hAnsi="Arial" w:cs="Arial"/>
          <w:sz w:val="22"/>
          <w:szCs w:val="22"/>
          <w:lang w:val="es-ES"/>
        </w:rPr>
        <w:t xml:space="preserve">Los informes deberán incluir toda la información que sea relevante para reconocer el avance </w:t>
      </w:r>
      <w:r w:rsidR="00C61302" w:rsidRPr="00680D17">
        <w:rPr>
          <w:rFonts w:ascii="Arial" w:hAnsi="Arial" w:cs="Arial"/>
          <w:sz w:val="22"/>
          <w:szCs w:val="22"/>
          <w:lang w:val="es-ES"/>
        </w:rPr>
        <w:t xml:space="preserve">y logro </w:t>
      </w:r>
      <w:r w:rsidRPr="00680D17">
        <w:rPr>
          <w:rFonts w:ascii="Arial" w:hAnsi="Arial" w:cs="Arial"/>
          <w:sz w:val="22"/>
          <w:szCs w:val="22"/>
          <w:lang w:val="es-ES"/>
        </w:rPr>
        <w:t xml:space="preserve">en la medición </w:t>
      </w:r>
      <w:r w:rsidR="00C61302" w:rsidRPr="00680D17">
        <w:rPr>
          <w:rFonts w:ascii="Arial" w:hAnsi="Arial" w:cs="Arial"/>
          <w:sz w:val="22"/>
          <w:szCs w:val="22"/>
          <w:lang w:val="es-ES"/>
        </w:rPr>
        <w:t>de los indicadores e identificación de</w:t>
      </w:r>
      <w:r w:rsidRPr="00680D17">
        <w:rPr>
          <w:rFonts w:ascii="Arial" w:hAnsi="Arial" w:cs="Arial"/>
          <w:sz w:val="22"/>
          <w:szCs w:val="22"/>
          <w:lang w:val="es-ES"/>
        </w:rPr>
        <w:t xml:space="preserve"> necesidades de mejora en el proceso de recolección de información, procesamient</w:t>
      </w:r>
      <w:r w:rsidR="00AD45B5" w:rsidRPr="00680D17">
        <w:rPr>
          <w:rFonts w:ascii="Arial" w:hAnsi="Arial" w:cs="Arial"/>
          <w:sz w:val="22"/>
          <w:szCs w:val="22"/>
          <w:lang w:val="es-ES"/>
        </w:rPr>
        <w:t>o, análisis y reporte de datos.</w:t>
      </w:r>
    </w:p>
    <w:p w14:paraId="4E8AC436" w14:textId="77777777" w:rsidR="00131BCB" w:rsidRPr="00680D17" w:rsidRDefault="00131BCB" w:rsidP="004B1FA3">
      <w:pPr>
        <w:spacing w:line="276" w:lineRule="auto"/>
        <w:ind w:left="720"/>
        <w:jc w:val="both"/>
        <w:rPr>
          <w:rFonts w:ascii="Arial" w:hAnsi="Arial" w:cs="Arial"/>
          <w:sz w:val="22"/>
          <w:szCs w:val="22"/>
          <w:lang w:val="es-ES"/>
        </w:rPr>
      </w:pPr>
    </w:p>
    <w:p w14:paraId="3C962F33" w14:textId="46DF945C" w:rsidR="0081230D" w:rsidRPr="00680D17" w:rsidRDefault="0081230D" w:rsidP="004B1FA3">
      <w:pPr>
        <w:numPr>
          <w:ilvl w:val="1"/>
          <w:numId w:val="11"/>
        </w:numPr>
        <w:spacing w:line="276" w:lineRule="auto"/>
        <w:ind w:left="720" w:hanging="720"/>
        <w:jc w:val="both"/>
        <w:rPr>
          <w:rFonts w:ascii="Arial" w:hAnsi="Arial" w:cs="Arial"/>
          <w:sz w:val="22"/>
          <w:szCs w:val="22"/>
          <w:lang w:val="es-ES"/>
        </w:rPr>
      </w:pPr>
      <w:r w:rsidRPr="00680D17">
        <w:rPr>
          <w:rFonts w:ascii="Arial" w:hAnsi="Arial" w:cs="Arial"/>
          <w:sz w:val="22"/>
          <w:szCs w:val="22"/>
          <w:lang w:val="es-ES"/>
        </w:rPr>
        <w:t xml:space="preserve">Finalmente, durante la ejecución del proyecto, </w:t>
      </w:r>
      <w:r w:rsidR="00522F2E" w:rsidRPr="00680D17">
        <w:rPr>
          <w:rFonts w:ascii="Arial" w:hAnsi="Arial" w:cs="Arial"/>
          <w:sz w:val="22"/>
          <w:szCs w:val="22"/>
          <w:lang w:val="es-ES"/>
        </w:rPr>
        <w:t xml:space="preserve">se solicitarán estados financieros auditados anuales del programa, dentro de los 120 días siguientes al cierre de cada ejercicio económico por auditores </w:t>
      </w:r>
      <w:r w:rsidR="00522F2E" w:rsidRPr="00680D17">
        <w:rPr>
          <w:rFonts w:ascii="Arial" w:hAnsi="Arial" w:cs="Arial"/>
          <w:sz w:val="22"/>
          <w:szCs w:val="22"/>
          <w:lang w:val="es-ES"/>
        </w:rPr>
        <w:lastRenderedPageBreak/>
        <w:t>independientes aceptables por el Banco. El último estado financiero auditado</w:t>
      </w:r>
      <w:r w:rsidR="00680D17" w:rsidRPr="00680D17">
        <w:rPr>
          <w:rFonts w:ascii="Arial" w:hAnsi="Arial" w:cs="Arial"/>
          <w:sz w:val="22"/>
          <w:szCs w:val="22"/>
          <w:lang w:val="es-ES"/>
        </w:rPr>
        <w:t>,</w:t>
      </w:r>
      <w:r w:rsidR="00522F2E" w:rsidRPr="00680D17">
        <w:rPr>
          <w:rFonts w:ascii="Arial" w:hAnsi="Arial" w:cs="Arial"/>
          <w:sz w:val="22"/>
          <w:szCs w:val="22"/>
          <w:lang w:val="es-ES"/>
        </w:rPr>
        <w:t xml:space="preserve"> se presentará dentro de los 120 días siguientes de la fecha del último desembolso</w:t>
      </w:r>
      <w:r w:rsidR="006075AF" w:rsidRPr="00680D17">
        <w:rPr>
          <w:rFonts w:ascii="Arial" w:hAnsi="Arial" w:cs="Arial"/>
          <w:iCs/>
          <w:sz w:val="22"/>
          <w:szCs w:val="22"/>
          <w:lang w:val="es-ES"/>
        </w:rPr>
        <w:t xml:space="preserve">. </w:t>
      </w:r>
      <w:r w:rsidRPr="00680D17">
        <w:rPr>
          <w:rFonts w:ascii="Arial" w:hAnsi="Arial" w:cs="Arial"/>
          <w:sz w:val="22"/>
          <w:szCs w:val="22"/>
          <w:lang w:val="es-ES"/>
        </w:rPr>
        <w:t xml:space="preserve">El Cuadro </w:t>
      </w:r>
      <w:r w:rsidR="00680D17" w:rsidRPr="00680D17">
        <w:rPr>
          <w:rFonts w:ascii="Arial" w:hAnsi="Arial" w:cs="Arial"/>
          <w:sz w:val="22"/>
          <w:szCs w:val="22"/>
          <w:lang w:val="es-ES"/>
        </w:rPr>
        <w:t>4</w:t>
      </w:r>
      <w:r w:rsidRPr="00680D17">
        <w:rPr>
          <w:rFonts w:ascii="Arial" w:hAnsi="Arial" w:cs="Arial"/>
          <w:sz w:val="22"/>
          <w:szCs w:val="22"/>
          <w:lang w:val="es-ES"/>
        </w:rPr>
        <w:t xml:space="preserve"> muestra el presupuesto asignado al monitoreo, el cual se detalla en la sección de presupuesto administrativo del proyecto.</w:t>
      </w:r>
    </w:p>
    <w:p w14:paraId="689D7A5C" w14:textId="77777777" w:rsidR="00C61302" w:rsidRPr="00A116FA" w:rsidRDefault="00C61302" w:rsidP="004B1FA3">
      <w:pPr>
        <w:spacing w:line="276" w:lineRule="auto"/>
        <w:ind w:left="720"/>
        <w:jc w:val="both"/>
        <w:rPr>
          <w:rFonts w:ascii="Arial" w:hAnsi="Arial" w:cs="Arial"/>
          <w:sz w:val="22"/>
          <w:szCs w:val="22"/>
          <w:lang w:val="es-ES"/>
        </w:rPr>
      </w:pPr>
    </w:p>
    <w:p w14:paraId="7C6C1C85" w14:textId="77777777" w:rsidR="002F2A98" w:rsidRPr="00A116FA" w:rsidRDefault="002F2A98" w:rsidP="004B1FA3">
      <w:pPr>
        <w:spacing w:line="276" w:lineRule="auto"/>
        <w:ind w:left="720"/>
        <w:jc w:val="both"/>
        <w:rPr>
          <w:rFonts w:ascii="Arial" w:hAnsi="Arial" w:cs="Arial"/>
          <w:sz w:val="22"/>
          <w:szCs w:val="22"/>
          <w:lang w:val="es-ES"/>
        </w:rPr>
      </w:pPr>
    </w:p>
    <w:p w14:paraId="5A8F193E" w14:textId="77777777" w:rsidR="00C61302" w:rsidRPr="00A116FA" w:rsidRDefault="00C61302" w:rsidP="00A06DD5">
      <w:pPr>
        <w:pStyle w:val="TableTitle"/>
        <w:numPr>
          <w:ilvl w:val="0"/>
          <w:numId w:val="19"/>
        </w:numPr>
        <w:spacing w:before="0" w:after="0" w:line="276" w:lineRule="auto"/>
        <w:jc w:val="both"/>
        <w:rPr>
          <w:rStyle w:val="Heading1Char"/>
          <w:rFonts w:ascii="Arial" w:hAnsi="Arial" w:cs="Arial"/>
          <w:b/>
          <w:sz w:val="22"/>
          <w:szCs w:val="22"/>
          <w:lang w:val="es-ES_tradnl"/>
        </w:rPr>
      </w:pPr>
      <w:bookmarkStart w:id="27" w:name="_Toc491518993"/>
      <w:r w:rsidRPr="00A116FA">
        <w:rPr>
          <w:rFonts w:ascii="Arial" w:hAnsi="Arial" w:cs="Arial"/>
          <w:sz w:val="22"/>
          <w:szCs w:val="22"/>
        </w:rPr>
        <w:t>Coordinación, Plan de trabajo y presupuesto del Monitoreo</w:t>
      </w:r>
    </w:p>
    <w:bookmarkEnd w:id="27"/>
    <w:p w14:paraId="3EC85456" w14:textId="77777777" w:rsidR="002F2A98" w:rsidRPr="00A116FA" w:rsidRDefault="002F2A98" w:rsidP="004B1FA3">
      <w:pPr>
        <w:spacing w:line="276" w:lineRule="auto"/>
        <w:ind w:left="720"/>
        <w:jc w:val="both"/>
        <w:rPr>
          <w:rFonts w:ascii="Arial" w:hAnsi="Arial" w:cs="Arial"/>
          <w:sz w:val="22"/>
          <w:szCs w:val="22"/>
          <w:lang w:val="es-ES"/>
        </w:rPr>
      </w:pPr>
    </w:p>
    <w:p w14:paraId="265847E7" w14:textId="3F09D593" w:rsidR="00AF4CA1" w:rsidRPr="00A116FA" w:rsidRDefault="00C61302" w:rsidP="004B1FA3">
      <w:pPr>
        <w:numPr>
          <w:ilvl w:val="1"/>
          <w:numId w:val="11"/>
        </w:numPr>
        <w:spacing w:line="276" w:lineRule="auto"/>
        <w:ind w:left="720" w:hanging="720"/>
        <w:jc w:val="both"/>
        <w:rPr>
          <w:rFonts w:ascii="Arial" w:hAnsi="Arial" w:cs="Arial"/>
          <w:sz w:val="22"/>
          <w:szCs w:val="22"/>
          <w:lang w:val="es-ES"/>
        </w:rPr>
      </w:pPr>
      <w:r w:rsidRPr="00A116FA">
        <w:rPr>
          <w:rFonts w:ascii="Arial" w:hAnsi="Arial" w:cs="Arial"/>
          <w:sz w:val="22"/>
          <w:szCs w:val="22"/>
          <w:lang w:val="es-ES"/>
        </w:rPr>
        <w:t xml:space="preserve">El </w:t>
      </w:r>
      <w:r w:rsidR="00432BEA" w:rsidRPr="00A116FA">
        <w:rPr>
          <w:rFonts w:ascii="Arial" w:hAnsi="Arial" w:cs="Arial"/>
          <w:sz w:val="22"/>
          <w:szCs w:val="22"/>
          <w:lang w:val="es-ES"/>
        </w:rPr>
        <w:t xml:space="preserve">MEF </w:t>
      </w:r>
      <w:r w:rsidRPr="00A116FA">
        <w:rPr>
          <w:rFonts w:ascii="Arial" w:hAnsi="Arial" w:cs="Arial"/>
          <w:sz w:val="22"/>
          <w:szCs w:val="22"/>
          <w:lang w:val="es-ES"/>
        </w:rPr>
        <w:t>es</w:t>
      </w:r>
      <w:r w:rsidR="006D01D1" w:rsidRPr="00A116FA">
        <w:rPr>
          <w:rFonts w:ascii="Arial" w:hAnsi="Arial" w:cs="Arial"/>
          <w:sz w:val="22"/>
          <w:szCs w:val="22"/>
          <w:lang w:val="es-ES"/>
        </w:rPr>
        <w:t xml:space="preserve"> responsable, entre otras, d</w:t>
      </w:r>
      <w:r w:rsidR="00AD45B5" w:rsidRPr="00A116FA">
        <w:rPr>
          <w:rFonts w:ascii="Arial" w:hAnsi="Arial" w:cs="Arial"/>
          <w:sz w:val="22"/>
          <w:szCs w:val="22"/>
          <w:lang w:val="es-ES"/>
        </w:rPr>
        <w:t>e las siguientes actividades, (i)</w:t>
      </w:r>
      <w:r w:rsidR="006D01D1" w:rsidRPr="00A116FA">
        <w:rPr>
          <w:rFonts w:ascii="Arial" w:eastAsia="Batang" w:hAnsi="Arial" w:cs="Arial"/>
          <w:sz w:val="22"/>
          <w:szCs w:val="22"/>
          <w:lang w:val="es-ES"/>
        </w:rPr>
        <w:t xml:space="preserve"> la planificación d</w:t>
      </w:r>
      <w:r w:rsidR="00AD45B5" w:rsidRPr="00A116FA">
        <w:rPr>
          <w:rFonts w:ascii="Arial" w:eastAsia="Batang" w:hAnsi="Arial" w:cs="Arial"/>
          <w:sz w:val="22"/>
          <w:szCs w:val="22"/>
          <w:lang w:val="es-ES"/>
        </w:rPr>
        <w:t>e la ejecución del pr</w:t>
      </w:r>
      <w:r w:rsidR="00676693" w:rsidRPr="00A116FA">
        <w:rPr>
          <w:rFonts w:ascii="Arial" w:eastAsia="Batang" w:hAnsi="Arial" w:cs="Arial"/>
          <w:sz w:val="22"/>
          <w:szCs w:val="22"/>
          <w:lang w:val="es-ES"/>
        </w:rPr>
        <w:t>ograma</w:t>
      </w:r>
      <w:r w:rsidR="00AD45B5" w:rsidRPr="00A116FA">
        <w:rPr>
          <w:rFonts w:ascii="Arial" w:eastAsia="Batang" w:hAnsi="Arial" w:cs="Arial"/>
          <w:sz w:val="22"/>
          <w:szCs w:val="22"/>
          <w:lang w:val="es-ES"/>
        </w:rPr>
        <w:t>; (</w:t>
      </w:r>
      <w:proofErr w:type="spellStart"/>
      <w:r w:rsidR="00AD45B5" w:rsidRPr="00A116FA">
        <w:rPr>
          <w:rFonts w:ascii="Arial" w:eastAsia="Batang" w:hAnsi="Arial" w:cs="Arial"/>
          <w:sz w:val="22"/>
          <w:szCs w:val="22"/>
          <w:lang w:val="es-ES"/>
        </w:rPr>
        <w:t>ii</w:t>
      </w:r>
      <w:proofErr w:type="spellEnd"/>
      <w:r w:rsidR="00AD45B5" w:rsidRPr="00A116FA">
        <w:rPr>
          <w:rFonts w:ascii="Arial" w:eastAsia="Batang" w:hAnsi="Arial" w:cs="Arial"/>
          <w:sz w:val="22"/>
          <w:szCs w:val="22"/>
          <w:lang w:val="es-ES"/>
        </w:rPr>
        <w:t xml:space="preserve">) </w:t>
      </w:r>
      <w:r w:rsidR="006D01D1" w:rsidRPr="00A116FA">
        <w:rPr>
          <w:rFonts w:ascii="Arial" w:eastAsia="Batang" w:hAnsi="Arial" w:cs="Arial"/>
          <w:sz w:val="22"/>
          <w:szCs w:val="22"/>
          <w:lang w:val="es-ES"/>
        </w:rPr>
        <w:t>la preparación y actualización de los informes semestrales de</w:t>
      </w:r>
      <w:r w:rsidRPr="00A116FA">
        <w:rPr>
          <w:rFonts w:ascii="Arial" w:eastAsia="Batang" w:hAnsi="Arial" w:cs="Arial"/>
          <w:sz w:val="22"/>
          <w:szCs w:val="22"/>
          <w:lang w:val="es-ES"/>
        </w:rPr>
        <w:t xml:space="preserve"> progreso o</w:t>
      </w:r>
      <w:r w:rsidR="006D01D1" w:rsidRPr="00A116FA">
        <w:rPr>
          <w:rFonts w:ascii="Arial" w:eastAsia="Batang" w:hAnsi="Arial" w:cs="Arial"/>
          <w:sz w:val="22"/>
          <w:szCs w:val="22"/>
          <w:lang w:val="es-ES"/>
        </w:rPr>
        <w:t xml:space="preserve"> </w:t>
      </w:r>
      <w:r w:rsidR="004A3A57" w:rsidRPr="00A116FA">
        <w:rPr>
          <w:rFonts w:ascii="Arial" w:eastAsia="Batang" w:hAnsi="Arial" w:cs="Arial"/>
          <w:sz w:val="22"/>
          <w:szCs w:val="22"/>
          <w:lang w:val="es-ES"/>
        </w:rPr>
        <w:t>avance de ejecución</w:t>
      </w:r>
      <w:r w:rsidR="006D01D1" w:rsidRPr="00A116FA">
        <w:rPr>
          <w:rFonts w:ascii="Arial" w:eastAsia="Batang" w:hAnsi="Arial" w:cs="Arial"/>
          <w:sz w:val="22"/>
          <w:szCs w:val="22"/>
          <w:lang w:val="es-ES"/>
        </w:rPr>
        <w:t>, los que incluirán las actualizaciones del P</w:t>
      </w:r>
      <w:r w:rsidR="00676693" w:rsidRPr="00A116FA">
        <w:rPr>
          <w:rFonts w:ascii="Arial" w:eastAsia="Batang" w:hAnsi="Arial" w:cs="Arial"/>
          <w:sz w:val="22"/>
          <w:szCs w:val="22"/>
          <w:lang w:val="es-ES"/>
        </w:rPr>
        <w:t>EP</w:t>
      </w:r>
      <w:r w:rsidR="006D01D1" w:rsidRPr="00A116FA">
        <w:rPr>
          <w:rFonts w:ascii="Arial" w:eastAsia="Batang" w:hAnsi="Arial" w:cs="Arial"/>
          <w:sz w:val="22"/>
          <w:szCs w:val="22"/>
          <w:lang w:val="es-ES"/>
        </w:rPr>
        <w:t>, P</w:t>
      </w:r>
      <w:r w:rsidR="00676693" w:rsidRPr="00A116FA">
        <w:rPr>
          <w:rFonts w:ascii="Arial" w:eastAsia="Batang" w:hAnsi="Arial" w:cs="Arial"/>
          <w:sz w:val="22"/>
          <w:szCs w:val="22"/>
          <w:lang w:val="es-ES"/>
        </w:rPr>
        <w:t>OA</w:t>
      </w:r>
      <w:r w:rsidRPr="00A116FA">
        <w:rPr>
          <w:rFonts w:ascii="Arial" w:eastAsia="Batang" w:hAnsi="Arial" w:cs="Arial"/>
          <w:sz w:val="22"/>
          <w:szCs w:val="22"/>
          <w:lang w:val="es-ES"/>
        </w:rPr>
        <w:t>,</w:t>
      </w:r>
      <w:r w:rsidR="006D01D1" w:rsidRPr="00A116FA">
        <w:rPr>
          <w:rFonts w:ascii="Arial" w:eastAsia="Batang" w:hAnsi="Arial" w:cs="Arial"/>
          <w:sz w:val="22"/>
          <w:szCs w:val="22"/>
          <w:lang w:val="es-ES"/>
        </w:rPr>
        <w:t xml:space="preserve"> </w:t>
      </w:r>
      <w:r w:rsidR="00676693" w:rsidRPr="00A116FA">
        <w:rPr>
          <w:rFonts w:ascii="Arial" w:eastAsia="Batang" w:hAnsi="Arial" w:cs="Arial"/>
          <w:sz w:val="22"/>
          <w:szCs w:val="22"/>
          <w:lang w:val="es-ES"/>
        </w:rPr>
        <w:t>PA</w:t>
      </w:r>
      <w:r w:rsidRPr="00A116FA">
        <w:rPr>
          <w:rFonts w:ascii="Arial" w:eastAsia="Batang" w:hAnsi="Arial" w:cs="Arial"/>
          <w:sz w:val="22"/>
          <w:szCs w:val="22"/>
          <w:lang w:val="es-ES"/>
        </w:rPr>
        <w:t xml:space="preserve"> e indicadores de la Matriz de Resultados</w:t>
      </w:r>
      <w:r w:rsidR="00AD45B5" w:rsidRPr="00A116FA">
        <w:rPr>
          <w:rFonts w:ascii="Arial" w:eastAsia="Batang" w:hAnsi="Arial" w:cs="Arial"/>
          <w:sz w:val="22"/>
          <w:szCs w:val="22"/>
          <w:lang w:val="es-ES"/>
        </w:rPr>
        <w:t>;</w:t>
      </w:r>
      <w:r w:rsidR="00676693" w:rsidRPr="00A116FA">
        <w:rPr>
          <w:rFonts w:ascii="Arial" w:eastAsia="Batang" w:hAnsi="Arial" w:cs="Arial"/>
          <w:sz w:val="22"/>
          <w:szCs w:val="22"/>
          <w:lang w:val="es-ES"/>
        </w:rPr>
        <w:t xml:space="preserve"> </w:t>
      </w:r>
      <w:r w:rsidR="00AD45B5" w:rsidRPr="00A116FA">
        <w:rPr>
          <w:rFonts w:ascii="Arial" w:eastAsia="Batang" w:hAnsi="Arial" w:cs="Arial"/>
          <w:sz w:val="22"/>
          <w:szCs w:val="22"/>
          <w:lang w:val="es-ES"/>
        </w:rPr>
        <w:t>(</w:t>
      </w:r>
      <w:proofErr w:type="spellStart"/>
      <w:r w:rsidR="00AD45B5" w:rsidRPr="00A116FA">
        <w:rPr>
          <w:rFonts w:ascii="Arial" w:eastAsia="Batang" w:hAnsi="Arial" w:cs="Arial"/>
          <w:sz w:val="22"/>
          <w:szCs w:val="22"/>
          <w:lang w:val="es-ES"/>
        </w:rPr>
        <w:t>iii</w:t>
      </w:r>
      <w:proofErr w:type="spellEnd"/>
      <w:r w:rsidR="00AD45B5" w:rsidRPr="00A116FA">
        <w:rPr>
          <w:rFonts w:ascii="Arial" w:eastAsia="Batang" w:hAnsi="Arial" w:cs="Arial"/>
          <w:sz w:val="22"/>
          <w:szCs w:val="22"/>
          <w:lang w:val="es-ES"/>
        </w:rPr>
        <w:t>)</w:t>
      </w:r>
      <w:r w:rsidR="006D01D1" w:rsidRPr="00A116FA">
        <w:rPr>
          <w:rFonts w:ascii="Arial" w:eastAsia="Batang" w:hAnsi="Arial" w:cs="Arial"/>
          <w:sz w:val="22"/>
          <w:szCs w:val="22"/>
          <w:lang w:val="es-ES"/>
        </w:rPr>
        <w:t xml:space="preserve"> el acompañamiento y monitoreo del avance de contratos, incluyendo el </w:t>
      </w:r>
      <w:r w:rsidR="006D01D1" w:rsidRPr="00A116FA">
        <w:rPr>
          <w:rFonts w:ascii="Arial" w:hAnsi="Arial" w:cs="Arial"/>
          <w:sz w:val="22"/>
          <w:szCs w:val="22"/>
          <w:lang w:val="es-ES"/>
        </w:rPr>
        <w:t>apoyo en los procesos de contrataciones,</w:t>
      </w:r>
      <w:r w:rsidR="006D01D1" w:rsidRPr="00A116FA">
        <w:rPr>
          <w:rFonts w:ascii="Arial" w:eastAsia="Batang" w:hAnsi="Arial" w:cs="Arial"/>
          <w:sz w:val="22"/>
          <w:szCs w:val="22"/>
          <w:lang w:val="es-ES"/>
        </w:rPr>
        <w:t xml:space="preserve"> la </w:t>
      </w:r>
      <w:r w:rsidR="006D01D1" w:rsidRPr="00A116FA">
        <w:rPr>
          <w:rFonts w:ascii="Arial" w:hAnsi="Arial" w:cs="Arial"/>
          <w:sz w:val="22"/>
          <w:szCs w:val="22"/>
          <w:lang w:val="es-ES"/>
        </w:rPr>
        <w:t>formulación de los inform</w:t>
      </w:r>
      <w:r w:rsidR="00394726" w:rsidRPr="00A116FA">
        <w:rPr>
          <w:rFonts w:ascii="Arial" w:hAnsi="Arial" w:cs="Arial"/>
          <w:sz w:val="22"/>
          <w:szCs w:val="22"/>
          <w:lang w:val="es-ES"/>
        </w:rPr>
        <w:t>es de acompañamiento y análisis;</w:t>
      </w:r>
      <w:r w:rsidR="006D01D1" w:rsidRPr="00A116FA">
        <w:rPr>
          <w:rFonts w:ascii="Arial" w:hAnsi="Arial" w:cs="Arial"/>
          <w:sz w:val="22"/>
          <w:szCs w:val="22"/>
          <w:lang w:val="es-ES"/>
        </w:rPr>
        <w:t xml:space="preserve"> y</w:t>
      </w:r>
      <w:r w:rsidR="00394726" w:rsidRPr="00A116FA">
        <w:rPr>
          <w:rFonts w:ascii="Arial" w:hAnsi="Arial" w:cs="Arial"/>
          <w:sz w:val="22"/>
          <w:szCs w:val="22"/>
          <w:lang w:val="es-ES"/>
        </w:rPr>
        <w:t>,</w:t>
      </w:r>
      <w:r w:rsidR="006D01D1" w:rsidRPr="00A116FA">
        <w:rPr>
          <w:rFonts w:ascii="Arial" w:hAnsi="Arial" w:cs="Arial"/>
          <w:sz w:val="22"/>
          <w:szCs w:val="22"/>
          <w:lang w:val="es-ES"/>
        </w:rPr>
        <w:t xml:space="preserve"> l</w:t>
      </w:r>
      <w:r w:rsidR="006D01D1" w:rsidRPr="00A116FA">
        <w:rPr>
          <w:rFonts w:ascii="Arial" w:eastAsia="Batang" w:hAnsi="Arial" w:cs="Arial"/>
          <w:sz w:val="22"/>
          <w:szCs w:val="22"/>
          <w:lang w:val="es-ES"/>
        </w:rPr>
        <w:t xml:space="preserve">a preparación y tramitación </w:t>
      </w:r>
      <w:r w:rsidR="00AD45B5" w:rsidRPr="00A116FA">
        <w:rPr>
          <w:rFonts w:ascii="Arial" w:eastAsia="Batang" w:hAnsi="Arial" w:cs="Arial"/>
          <w:sz w:val="22"/>
          <w:szCs w:val="22"/>
          <w:lang w:val="es-ES"/>
        </w:rPr>
        <w:t>de los pagos correspondientes; (</w:t>
      </w:r>
      <w:proofErr w:type="spellStart"/>
      <w:r w:rsidR="00AD45B5" w:rsidRPr="00A116FA">
        <w:rPr>
          <w:rFonts w:ascii="Arial" w:eastAsia="Batang" w:hAnsi="Arial" w:cs="Arial"/>
          <w:sz w:val="22"/>
          <w:szCs w:val="22"/>
          <w:lang w:val="es-ES"/>
        </w:rPr>
        <w:t>iv</w:t>
      </w:r>
      <w:proofErr w:type="spellEnd"/>
      <w:r w:rsidR="00AD45B5" w:rsidRPr="00A116FA">
        <w:rPr>
          <w:rFonts w:ascii="Arial" w:eastAsia="Batang" w:hAnsi="Arial" w:cs="Arial"/>
          <w:sz w:val="22"/>
          <w:szCs w:val="22"/>
          <w:lang w:val="es-ES"/>
        </w:rPr>
        <w:t>)</w:t>
      </w:r>
      <w:r w:rsidR="006D01D1" w:rsidRPr="00A116FA">
        <w:rPr>
          <w:rFonts w:ascii="Arial" w:eastAsia="Batang" w:hAnsi="Arial" w:cs="Arial"/>
          <w:sz w:val="22"/>
          <w:szCs w:val="22"/>
          <w:lang w:val="es-ES"/>
        </w:rPr>
        <w:t xml:space="preserve"> la recolección de datos y el </w:t>
      </w:r>
      <w:r w:rsidR="006D01D1" w:rsidRPr="00A116FA">
        <w:rPr>
          <w:rFonts w:ascii="Arial" w:hAnsi="Arial" w:cs="Arial"/>
          <w:sz w:val="22"/>
          <w:szCs w:val="22"/>
          <w:lang w:val="es-ES"/>
        </w:rPr>
        <w:t>seguimiento de los indicad</w:t>
      </w:r>
      <w:r w:rsidR="00AD45B5" w:rsidRPr="00A116FA">
        <w:rPr>
          <w:rFonts w:ascii="Arial" w:hAnsi="Arial" w:cs="Arial"/>
          <w:sz w:val="22"/>
          <w:szCs w:val="22"/>
          <w:lang w:val="es-ES"/>
        </w:rPr>
        <w:t>ores de productos</w:t>
      </w:r>
      <w:r w:rsidR="00676693" w:rsidRPr="00A116FA">
        <w:rPr>
          <w:rFonts w:ascii="Arial" w:hAnsi="Arial" w:cs="Arial"/>
          <w:sz w:val="22"/>
          <w:szCs w:val="22"/>
          <w:lang w:val="es-ES"/>
        </w:rPr>
        <w:t xml:space="preserve">, </w:t>
      </w:r>
      <w:r w:rsidR="00AD45B5" w:rsidRPr="00A116FA">
        <w:rPr>
          <w:rFonts w:ascii="Arial" w:hAnsi="Arial" w:cs="Arial"/>
          <w:sz w:val="22"/>
          <w:szCs w:val="22"/>
          <w:lang w:val="es-ES"/>
        </w:rPr>
        <w:t>resultados</w:t>
      </w:r>
      <w:r w:rsidR="00676693" w:rsidRPr="00A116FA">
        <w:rPr>
          <w:rFonts w:ascii="Arial" w:hAnsi="Arial" w:cs="Arial"/>
          <w:sz w:val="22"/>
          <w:szCs w:val="22"/>
          <w:lang w:val="es-ES"/>
        </w:rPr>
        <w:t xml:space="preserve"> e impacto</w:t>
      </w:r>
      <w:r w:rsidR="006D01D1" w:rsidRPr="00A116FA">
        <w:rPr>
          <w:rFonts w:ascii="Arial" w:hAnsi="Arial" w:cs="Arial"/>
          <w:sz w:val="22"/>
          <w:szCs w:val="22"/>
          <w:lang w:val="es-ES"/>
        </w:rPr>
        <w:t>, s</w:t>
      </w:r>
      <w:r w:rsidR="00AD45B5" w:rsidRPr="00A116FA">
        <w:rPr>
          <w:rFonts w:ascii="Arial" w:hAnsi="Arial" w:cs="Arial"/>
          <w:sz w:val="22"/>
          <w:szCs w:val="22"/>
          <w:lang w:val="es-ES"/>
        </w:rPr>
        <w:t>u procesamiento y análisis;</w:t>
      </w:r>
      <w:r w:rsidR="00676693" w:rsidRPr="00A116FA">
        <w:rPr>
          <w:rFonts w:ascii="Arial" w:hAnsi="Arial" w:cs="Arial"/>
          <w:sz w:val="22"/>
          <w:szCs w:val="22"/>
          <w:lang w:val="es-ES"/>
        </w:rPr>
        <w:t xml:space="preserve"> </w:t>
      </w:r>
      <w:r w:rsidR="00AD45B5" w:rsidRPr="00A116FA">
        <w:rPr>
          <w:rFonts w:ascii="Arial" w:hAnsi="Arial" w:cs="Arial"/>
          <w:sz w:val="22"/>
          <w:szCs w:val="22"/>
          <w:lang w:val="es-ES"/>
        </w:rPr>
        <w:t>(v)</w:t>
      </w:r>
      <w:r w:rsidR="00676693" w:rsidRPr="00A116FA">
        <w:rPr>
          <w:rFonts w:ascii="Arial" w:hAnsi="Arial" w:cs="Arial"/>
          <w:sz w:val="22"/>
          <w:szCs w:val="22"/>
          <w:lang w:val="es-ES"/>
        </w:rPr>
        <w:t xml:space="preserve"> la preparac</w:t>
      </w:r>
      <w:r w:rsidR="00394726" w:rsidRPr="00A116FA">
        <w:rPr>
          <w:rFonts w:ascii="Arial" w:hAnsi="Arial" w:cs="Arial"/>
          <w:sz w:val="22"/>
          <w:szCs w:val="22"/>
          <w:lang w:val="es-ES"/>
        </w:rPr>
        <w:t>ión de los reportes financieros;</w:t>
      </w:r>
      <w:r w:rsidR="00A116FA" w:rsidRPr="00A116FA">
        <w:rPr>
          <w:rFonts w:ascii="Arial" w:hAnsi="Arial" w:cs="Arial"/>
          <w:sz w:val="22"/>
          <w:szCs w:val="22"/>
          <w:lang w:val="es-ES"/>
        </w:rPr>
        <w:t xml:space="preserve"> (vi</w:t>
      </w:r>
      <w:r w:rsidR="00676693" w:rsidRPr="00A116FA">
        <w:rPr>
          <w:rFonts w:ascii="Arial" w:hAnsi="Arial" w:cs="Arial"/>
          <w:sz w:val="22"/>
          <w:szCs w:val="22"/>
          <w:lang w:val="es-ES"/>
        </w:rPr>
        <w:t>)</w:t>
      </w:r>
      <w:r w:rsidR="00AD45B5" w:rsidRPr="00A116FA">
        <w:rPr>
          <w:rFonts w:ascii="Arial" w:hAnsi="Arial" w:cs="Arial"/>
          <w:sz w:val="22"/>
          <w:szCs w:val="22"/>
          <w:lang w:val="es-ES"/>
        </w:rPr>
        <w:t xml:space="preserve"> </w:t>
      </w:r>
      <w:r w:rsidR="00676693" w:rsidRPr="00A116FA">
        <w:rPr>
          <w:rFonts w:ascii="Arial" w:hAnsi="Arial" w:cs="Arial"/>
          <w:sz w:val="22"/>
          <w:szCs w:val="22"/>
          <w:lang w:val="es-ES"/>
        </w:rPr>
        <w:t xml:space="preserve">el </w:t>
      </w:r>
      <w:r w:rsidR="00432BEA" w:rsidRPr="00A116FA">
        <w:rPr>
          <w:rFonts w:ascii="Arial" w:hAnsi="Arial" w:cs="Arial"/>
          <w:sz w:val="22"/>
          <w:szCs w:val="22"/>
          <w:lang w:val="es-ES"/>
        </w:rPr>
        <w:t>mantenimiento</w:t>
      </w:r>
      <w:r w:rsidR="00D83461" w:rsidRPr="00A116FA">
        <w:rPr>
          <w:rFonts w:ascii="Arial" w:hAnsi="Arial" w:cs="Arial"/>
          <w:sz w:val="22"/>
          <w:szCs w:val="22"/>
          <w:lang w:val="es-ES"/>
        </w:rPr>
        <w:t xml:space="preserve"> de la</w:t>
      </w:r>
      <w:r w:rsidR="006D01D1" w:rsidRPr="00A116FA">
        <w:rPr>
          <w:rFonts w:ascii="Arial" w:hAnsi="Arial" w:cs="Arial"/>
          <w:sz w:val="22"/>
          <w:szCs w:val="22"/>
          <w:lang w:val="es-ES"/>
        </w:rPr>
        <w:t xml:space="preserve"> información relevante sobre la ejecución y el monitoreo de las actividades del programa y sus recursos</w:t>
      </w:r>
      <w:r w:rsidR="00D83461" w:rsidRPr="00A116FA">
        <w:rPr>
          <w:rFonts w:ascii="Arial" w:hAnsi="Arial" w:cs="Arial"/>
          <w:sz w:val="22"/>
          <w:szCs w:val="22"/>
          <w:lang w:val="es-ES"/>
        </w:rPr>
        <w:t>; de forma ordenada, accesible y actualizada</w:t>
      </w:r>
      <w:r w:rsidR="00A116FA" w:rsidRPr="00A116FA">
        <w:rPr>
          <w:rFonts w:ascii="Arial" w:hAnsi="Arial" w:cs="Arial"/>
          <w:sz w:val="22"/>
          <w:szCs w:val="22"/>
          <w:lang w:val="es-ES"/>
        </w:rPr>
        <w:t>; y, (</w:t>
      </w:r>
      <w:proofErr w:type="spellStart"/>
      <w:r w:rsidR="00A116FA" w:rsidRPr="00A116FA">
        <w:rPr>
          <w:rFonts w:ascii="Arial" w:hAnsi="Arial" w:cs="Arial"/>
          <w:sz w:val="22"/>
          <w:szCs w:val="22"/>
          <w:lang w:val="es-ES"/>
        </w:rPr>
        <w:t>vi</w:t>
      </w:r>
      <w:r w:rsidR="00394726" w:rsidRPr="00A116FA">
        <w:rPr>
          <w:rFonts w:ascii="Arial" w:hAnsi="Arial" w:cs="Arial"/>
          <w:sz w:val="22"/>
          <w:szCs w:val="22"/>
          <w:lang w:val="es-ES"/>
        </w:rPr>
        <w:t>i</w:t>
      </w:r>
      <w:proofErr w:type="spellEnd"/>
      <w:r w:rsidR="00394726" w:rsidRPr="00A116FA">
        <w:rPr>
          <w:rFonts w:ascii="Arial" w:hAnsi="Arial" w:cs="Arial"/>
          <w:sz w:val="22"/>
          <w:szCs w:val="22"/>
          <w:lang w:val="es-ES"/>
        </w:rPr>
        <w:t>) la identificación, de ser el caso, de desvíos, atrasos y factores externos que afecten el desarrollo del programa, proponiendo, medidas correctivas</w:t>
      </w:r>
      <w:r w:rsidR="006D01D1" w:rsidRPr="00A116FA">
        <w:rPr>
          <w:rFonts w:ascii="Arial" w:hAnsi="Arial" w:cs="Arial"/>
          <w:sz w:val="22"/>
          <w:szCs w:val="22"/>
          <w:lang w:val="es-ES"/>
        </w:rPr>
        <w:t>.</w:t>
      </w:r>
      <w:r w:rsidR="009B657F" w:rsidRPr="00A116FA">
        <w:rPr>
          <w:rFonts w:ascii="Arial" w:hAnsi="Arial" w:cs="Arial"/>
          <w:sz w:val="22"/>
          <w:szCs w:val="22"/>
          <w:lang w:val="es-ES"/>
        </w:rPr>
        <w:t xml:space="preserve"> El MEF</w:t>
      </w:r>
      <w:r w:rsidR="00F0312B" w:rsidRPr="00A116FA">
        <w:rPr>
          <w:rFonts w:ascii="Arial" w:hAnsi="Arial" w:cs="Arial"/>
          <w:sz w:val="22"/>
          <w:szCs w:val="22"/>
          <w:lang w:val="es-ES"/>
        </w:rPr>
        <w:t xml:space="preserve"> </w:t>
      </w:r>
      <w:r w:rsidR="009B657F" w:rsidRPr="00A116FA">
        <w:rPr>
          <w:rFonts w:ascii="Arial" w:hAnsi="Arial" w:cs="Arial"/>
          <w:sz w:val="22"/>
          <w:szCs w:val="22"/>
          <w:lang w:val="es-ES"/>
        </w:rPr>
        <w:t xml:space="preserve">es responsable de la contratación de las auditorías financieras y </w:t>
      </w:r>
      <w:r w:rsidR="00394726" w:rsidRPr="00A116FA">
        <w:rPr>
          <w:rFonts w:ascii="Arial" w:hAnsi="Arial" w:cs="Arial"/>
          <w:sz w:val="22"/>
          <w:szCs w:val="22"/>
          <w:lang w:val="es-ES"/>
        </w:rPr>
        <w:t>de la evaluación final del programa.</w:t>
      </w:r>
    </w:p>
    <w:p w14:paraId="23CB2889" w14:textId="77777777" w:rsidR="00522F2E" w:rsidRPr="00A116FA" w:rsidRDefault="00522F2E" w:rsidP="004B1FA3">
      <w:pPr>
        <w:spacing w:line="276" w:lineRule="auto"/>
        <w:jc w:val="both"/>
        <w:rPr>
          <w:rFonts w:ascii="Arial" w:hAnsi="Arial" w:cs="Arial"/>
          <w:sz w:val="22"/>
          <w:szCs w:val="22"/>
          <w:lang w:val="es-ES"/>
        </w:rPr>
      </w:pPr>
    </w:p>
    <w:p w14:paraId="43DECB6A" w14:textId="77777777" w:rsidR="001718B2" w:rsidRPr="00A116FA" w:rsidRDefault="006D01D1" w:rsidP="004B1FA3">
      <w:pPr>
        <w:numPr>
          <w:ilvl w:val="1"/>
          <w:numId w:val="11"/>
        </w:numPr>
        <w:spacing w:line="276" w:lineRule="auto"/>
        <w:ind w:left="720" w:hanging="720"/>
        <w:jc w:val="both"/>
        <w:rPr>
          <w:rFonts w:ascii="Arial" w:hAnsi="Arial" w:cs="Arial"/>
          <w:sz w:val="22"/>
          <w:szCs w:val="22"/>
          <w:lang w:val="es-ES"/>
        </w:rPr>
      </w:pPr>
      <w:r w:rsidRPr="00A116FA">
        <w:rPr>
          <w:rFonts w:ascii="Arial" w:hAnsi="Arial" w:cs="Arial"/>
          <w:sz w:val="22"/>
          <w:szCs w:val="22"/>
          <w:lang w:val="es-ES"/>
        </w:rPr>
        <w:t>Por su parte</w:t>
      </w:r>
      <w:r w:rsidR="00432BEA" w:rsidRPr="00A116FA">
        <w:rPr>
          <w:rFonts w:ascii="Arial" w:hAnsi="Arial" w:cs="Arial"/>
          <w:sz w:val="22"/>
          <w:szCs w:val="22"/>
          <w:lang w:val="es-ES"/>
        </w:rPr>
        <w:t>,</w:t>
      </w:r>
      <w:r w:rsidRPr="00A116FA">
        <w:rPr>
          <w:rFonts w:ascii="Arial" w:hAnsi="Arial" w:cs="Arial"/>
          <w:sz w:val="22"/>
          <w:szCs w:val="22"/>
          <w:lang w:val="es-ES"/>
        </w:rPr>
        <w:t xml:space="preserve"> el BID, a través del Jefe</w:t>
      </w:r>
      <w:r w:rsidR="00D83461" w:rsidRPr="00A116FA">
        <w:rPr>
          <w:rFonts w:ascii="Arial" w:hAnsi="Arial" w:cs="Arial"/>
          <w:sz w:val="22"/>
          <w:szCs w:val="22"/>
          <w:lang w:val="es-ES"/>
        </w:rPr>
        <w:t xml:space="preserve"> de Equipo</w:t>
      </w:r>
      <w:r w:rsidRPr="00A116FA">
        <w:rPr>
          <w:rFonts w:ascii="Arial" w:hAnsi="Arial" w:cs="Arial"/>
          <w:sz w:val="22"/>
          <w:szCs w:val="22"/>
          <w:lang w:val="es-ES"/>
        </w:rPr>
        <w:t xml:space="preserve"> </w:t>
      </w:r>
      <w:r w:rsidR="00D83461" w:rsidRPr="00A116FA">
        <w:rPr>
          <w:rFonts w:ascii="Arial" w:hAnsi="Arial" w:cs="Arial"/>
          <w:sz w:val="22"/>
          <w:szCs w:val="22"/>
          <w:lang w:val="es-ES"/>
        </w:rPr>
        <w:t>d</w:t>
      </w:r>
      <w:r w:rsidRPr="00A116FA">
        <w:rPr>
          <w:rFonts w:ascii="Arial" w:hAnsi="Arial" w:cs="Arial"/>
          <w:sz w:val="22"/>
          <w:szCs w:val="22"/>
          <w:lang w:val="es-ES"/>
        </w:rPr>
        <w:t>e Proyecto es responsable de coordinar y asegu</w:t>
      </w:r>
      <w:r w:rsidR="00936DCD" w:rsidRPr="00A116FA">
        <w:rPr>
          <w:rFonts w:ascii="Arial" w:hAnsi="Arial" w:cs="Arial"/>
          <w:sz w:val="22"/>
          <w:szCs w:val="22"/>
          <w:lang w:val="es-ES"/>
        </w:rPr>
        <w:t xml:space="preserve">rar que el plan de monitoreo </w:t>
      </w:r>
      <w:r w:rsidRPr="00A116FA">
        <w:rPr>
          <w:rFonts w:ascii="Arial" w:hAnsi="Arial" w:cs="Arial"/>
          <w:sz w:val="22"/>
          <w:szCs w:val="22"/>
          <w:lang w:val="es-ES"/>
        </w:rPr>
        <w:t>cu</w:t>
      </w:r>
      <w:r w:rsidR="00AD45B5" w:rsidRPr="00A116FA">
        <w:rPr>
          <w:rFonts w:ascii="Arial" w:hAnsi="Arial" w:cs="Arial"/>
          <w:sz w:val="22"/>
          <w:szCs w:val="22"/>
          <w:lang w:val="es-ES"/>
        </w:rPr>
        <w:t>mple con la calidad técnica y dentro de los</w:t>
      </w:r>
      <w:r w:rsidRPr="00A116FA">
        <w:rPr>
          <w:rFonts w:ascii="Arial" w:hAnsi="Arial" w:cs="Arial"/>
          <w:sz w:val="22"/>
          <w:szCs w:val="22"/>
          <w:lang w:val="es-ES"/>
        </w:rPr>
        <w:t xml:space="preserve"> tiempo</w:t>
      </w:r>
      <w:r w:rsidR="00AD45B5" w:rsidRPr="00A116FA">
        <w:rPr>
          <w:rFonts w:ascii="Arial" w:hAnsi="Arial" w:cs="Arial"/>
          <w:sz w:val="22"/>
          <w:szCs w:val="22"/>
          <w:lang w:val="es-ES"/>
        </w:rPr>
        <w:t>s</w:t>
      </w:r>
      <w:r w:rsidRPr="00A116FA">
        <w:rPr>
          <w:rFonts w:ascii="Arial" w:hAnsi="Arial" w:cs="Arial"/>
          <w:sz w:val="22"/>
          <w:szCs w:val="22"/>
          <w:lang w:val="es-ES"/>
        </w:rPr>
        <w:t xml:space="preserve"> establecidos. Para ello, llevará a cabo reuniones periódicas con los responsables de la ejecución de este plan</w:t>
      </w:r>
      <w:r w:rsidR="00394726" w:rsidRPr="00A116FA">
        <w:rPr>
          <w:rFonts w:ascii="Arial" w:hAnsi="Arial" w:cs="Arial"/>
          <w:sz w:val="22"/>
          <w:szCs w:val="22"/>
          <w:lang w:val="es-ES"/>
        </w:rPr>
        <w:t>,</w:t>
      </w:r>
      <w:r w:rsidRPr="00A116FA">
        <w:rPr>
          <w:rFonts w:ascii="Arial" w:hAnsi="Arial" w:cs="Arial"/>
          <w:sz w:val="22"/>
          <w:szCs w:val="22"/>
          <w:lang w:val="es-ES"/>
        </w:rPr>
        <w:t xml:space="preserve"> y de ser necesario solicitará informes o presentaciones de resultados extraordinari</w:t>
      </w:r>
      <w:r w:rsidR="00D83461" w:rsidRPr="00A116FA">
        <w:rPr>
          <w:rFonts w:ascii="Arial" w:hAnsi="Arial" w:cs="Arial"/>
          <w:sz w:val="22"/>
          <w:szCs w:val="22"/>
          <w:lang w:val="es-ES"/>
        </w:rPr>
        <w:t>o</w:t>
      </w:r>
      <w:r w:rsidRPr="00A116FA">
        <w:rPr>
          <w:rFonts w:ascii="Arial" w:hAnsi="Arial" w:cs="Arial"/>
          <w:sz w:val="22"/>
          <w:szCs w:val="22"/>
          <w:lang w:val="es-ES"/>
        </w:rPr>
        <w:t xml:space="preserve">s. </w:t>
      </w:r>
    </w:p>
    <w:p w14:paraId="552E6B76" w14:textId="77777777" w:rsidR="00522F2E" w:rsidRPr="00294D7C" w:rsidRDefault="00522F2E" w:rsidP="004B1FA3">
      <w:pPr>
        <w:spacing w:line="276" w:lineRule="auto"/>
        <w:ind w:left="720"/>
        <w:jc w:val="both"/>
        <w:rPr>
          <w:rFonts w:ascii="Arial" w:hAnsi="Arial" w:cs="Arial"/>
          <w:sz w:val="22"/>
          <w:szCs w:val="22"/>
          <w:highlight w:val="yellow"/>
          <w:lang w:val="es-ES"/>
        </w:rPr>
      </w:pPr>
    </w:p>
    <w:p w14:paraId="70DD726B" w14:textId="77777777" w:rsidR="00E209D3" w:rsidRPr="00E02908" w:rsidRDefault="006D01D1" w:rsidP="004B1FA3">
      <w:pPr>
        <w:numPr>
          <w:ilvl w:val="1"/>
          <w:numId w:val="11"/>
        </w:numPr>
        <w:spacing w:line="276" w:lineRule="auto"/>
        <w:ind w:left="720" w:hanging="720"/>
        <w:jc w:val="both"/>
        <w:rPr>
          <w:rFonts w:ascii="Arial" w:hAnsi="Arial" w:cs="Arial"/>
          <w:sz w:val="22"/>
          <w:szCs w:val="22"/>
          <w:lang w:val="es-ES"/>
        </w:rPr>
      </w:pPr>
      <w:r w:rsidRPr="00E02908">
        <w:rPr>
          <w:rFonts w:ascii="Arial" w:hAnsi="Arial" w:cs="Arial"/>
          <w:sz w:val="22"/>
          <w:szCs w:val="22"/>
          <w:lang w:val="es-ES"/>
        </w:rPr>
        <w:t xml:space="preserve">Los resultados de los indicadores al final de la ejecución de la operación </w:t>
      </w:r>
      <w:r w:rsidR="00D85262" w:rsidRPr="00E02908">
        <w:rPr>
          <w:rFonts w:ascii="Arial" w:hAnsi="Arial" w:cs="Arial"/>
          <w:sz w:val="22"/>
          <w:szCs w:val="22"/>
          <w:lang w:val="es-ES"/>
        </w:rPr>
        <w:t>deberán</w:t>
      </w:r>
      <w:r w:rsidRPr="00E02908">
        <w:rPr>
          <w:rFonts w:ascii="Arial" w:hAnsi="Arial" w:cs="Arial"/>
          <w:sz w:val="22"/>
          <w:szCs w:val="22"/>
          <w:lang w:val="es-ES"/>
        </w:rPr>
        <w:t xml:space="preserve"> ser incluidos en el Informe </w:t>
      </w:r>
      <w:r w:rsidR="00394726" w:rsidRPr="00E02908">
        <w:rPr>
          <w:rFonts w:ascii="Arial" w:hAnsi="Arial" w:cs="Arial"/>
          <w:sz w:val="22"/>
          <w:szCs w:val="22"/>
          <w:lang w:val="es-ES"/>
        </w:rPr>
        <w:t>de evaluación f</w:t>
      </w:r>
      <w:r w:rsidR="00012907" w:rsidRPr="00E02908">
        <w:rPr>
          <w:rFonts w:ascii="Arial" w:hAnsi="Arial" w:cs="Arial"/>
          <w:sz w:val="22"/>
          <w:szCs w:val="22"/>
          <w:lang w:val="es-ES"/>
        </w:rPr>
        <w:t>inal</w:t>
      </w:r>
      <w:r w:rsidR="00394726" w:rsidRPr="00E02908">
        <w:rPr>
          <w:rFonts w:ascii="Arial" w:hAnsi="Arial" w:cs="Arial"/>
          <w:sz w:val="22"/>
          <w:szCs w:val="22"/>
          <w:lang w:val="es-ES"/>
        </w:rPr>
        <w:t>,</w:t>
      </w:r>
      <w:r w:rsidR="00012907" w:rsidRPr="00E02908">
        <w:rPr>
          <w:rFonts w:ascii="Arial" w:hAnsi="Arial" w:cs="Arial"/>
          <w:sz w:val="22"/>
          <w:szCs w:val="22"/>
          <w:lang w:val="es-ES"/>
        </w:rPr>
        <w:t xml:space="preserve"> siguiendo la guía </w:t>
      </w:r>
      <w:r w:rsidRPr="00E02908">
        <w:rPr>
          <w:rFonts w:ascii="Arial" w:hAnsi="Arial" w:cs="Arial"/>
          <w:sz w:val="22"/>
          <w:szCs w:val="22"/>
          <w:lang w:val="es-ES"/>
        </w:rPr>
        <w:t xml:space="preserve">de Terminación de Proyecto (PCR, por sus siglas en </w:t>
      </w:r>
      <w:r w:rsidR="00936DCD" w:rsidRPr="00E02908">
        <w:rPr>
          <w:rFonts w:ascii="Arial" w:hAnsi="Arial" w:cs="Arial"/>
          <w:sz w:val="22"/>
          <w:szCs w:val="22"/>
          <w:lang w:val="es-ES"/>
        </w:rPr>
        <w:t>inglés</w:t>
      </w:r>
      <w:r w:rsidRPr="00E02908">
        <w:rPr>
          <w:rFonts w:ascii="Arial" w:hAnsi="Arial" w:cs="Arial"/>
          <w:sz w:val="22"/>
          <w:szCs w:val="22"/>
          <w:lang w:val="es-ES"/>
        </w:rPr>
        <w:t>)</w:t>
      </w:r>
      <w:r w:rsidR="00012907" w:rsidRPr="00E02908">
        <w:rPr>
          <w:rFonts w:ascii="Arial" w:hAnsi="Arial" w:cs="Arial"/>
          <w:sz w:val="22"/>
          <w:szCs w:val="22"/>
          <w:lang w:val="es-ES"/>
        </w:rPr>
        <w:t xml:space="preserve"> del Banco.</w:t>
      </w:r>
    </w:p>
    <w:p w14:paraId="7A7B69EE" w14:textId="77777777" w:rsidR="003F6179" w:rsidRDefault="003F6179" w:rsidP="004B1FA3">
      <w:pPr>
        <w:spacing w:line="276" w:lineRule="auto"/>
        <w:jc w:val="both"/>
        <w:rPr>
          <w:rStyle w:val="Heading1Char"/>
          <w:rFonts w:ascii="Arial" w:hAnsi="Arial" w:cs="Arial"/>
          <w:sz w:val="22"/>
          <w:szCs w:val="22"/>
          <w:lang w:val="es-ES"/>
        </w:rPr>
      </w:pPr>
      <w:bookmarkStart w:id="28" w:name="_Toc491518994"/>
    </w:p>
    <w:p w14:paraId="25FEC459" w14:textId="77777777" w:rsidR="0028406C" w:rsidRPr="00DD2307" w:rsidRDefault="0028406C" w:rsidP="004B1FA3">
      <w:pPr>
        <w:spacing w:line="276" w:lineRule="auto"/>
        <w:jc w:val="both"/>
        <w:rPr>
          <w:rStyle w:val="Heading1Char"/>
          <w:rFonts w:ascii="Arial" w:hAnsi="Arial" w:cs="Arial"/>
          <w:sz w:val="22"/>
          <w:szCs w:val="22"/>
          <w:lang w:val="es-ES"/>
        </w:rPr>
      </w:pPr>
    </w:p>
    <w:p w14:paraId="51585713" w14:textId="77777777" w:rsidR="00FB7EB4" w:rsidRPr="00DD2307" w:rsidRDefault="003F6179" w:rsidP="003F6179">
      <w:pPr>
        <w:spacing w:line="276" w:lineRule="auto"/>
        <w:jc w:val="both"/>
        <w:rPr>
          <w:rFonts w:ascii="Arial" w:hAnsi="Arial" w:cs="Arial"/>
          <w:b/>
          <w:smallCaps/>
          <w:noProof/>
          <w:sz w:val="22"/>
          <w:szCs w:val="22"/>
          <w:lang w:val="es-ES"/>
        </w:rPr>
      </w:pPr>
      <w:r w:rsidRPr="00DD2307">
        <w:rPr>
          <w:rStyle w:val="Heading1Char"/>
          <w:rFonts w:ascii="Arial" w:hAnsi="Arial" w:cs="Arial"/>
          <w:sz w:val="22"/>
          <w:szCs w:val="22"/>
          <w:lang w:val="es-ES"/>
        </w:rPr>
        <w:t>Tabla 4. Monitoreo - Plan de Trabajo y Presupuesto</w:t>
      </w:r>
      <w:bookmarkEnd w:id="28"/>
    </w:p>
    <w:p w14:paraId="45116412" w14:textId="77777777" w:rsidR="00113FF2" w:rsidRPr="00DD2307" w:rsidRDefault="00113FF2" w:rsidP="003F6179">
      <w:pPr>
        <w:spacing w:line="276" w:lineRule="auto"/>
        <w:jc w:val="both"/>
        <w:rPr>
          <w:rFonts w:ascii="Arial" w:hAnsi="Arial" w:cs="Arial"/>
          <w:sz w:val="22"/>
          <w:szCs w:val="22"/>
          <w:lang w:val="es-ES"/>
        </w:rPr>
      </w:pPr>
    </w:p>
    <w:tbl>
      <w:tblPr>
        <w:tblW w:w="9680" w:type="dxa"/>
        <w:tblInd w:w="-1010" w:type="dxa"/>
        <w:tblCellMar>
          <w:left w:w="70" w:type="dxa"/>
          <w:right w:w="70" w:type="dxa"/>
        </w:tblCellMar>
        <w:tblLook w:val="04A0" w:firstRow="1" w:lastRow="0" w:firstColumn="1" w:lastColumn="0" w:noHBand="0" w:noVBand="1"/>
      </w:tblPr>
      <w:tblGrid>
        <w:gridCol w:w="3613"/>
        <w:gridCol w:w="280"/>
        <w:gridCol w:w="280"/>
        <w:gridCol w:w="280"/>
        <w:gridCol w:w="280"/>
        <w:gridCol w:w="280"/>
        <w:gridCol w:w="280"/>
        <w:gridCol w:w="280"/>
        <w:gridCol w:w="280"/>
        <w:gridCol w:w="280"/>
        <w:gridCol w:w="280"/>
        <w:gridCol w:w="280"/>
        <w:gridCol w:w="280"/>
        <w:gridCol w:w="280"/>
        <w:gridCol w:w="280"/>
        <w:gridCol w:w="280"/>
        <w:gridCol w:w="280"/>
        <w:gridCol w:w="1587"/>
      </w:tblGrid>
      <w:tr w:rsidR="009227AB" w:rsidRPr="00DD2307" w14:paraId="69F82768" w14:textId="77777777" w:rsidTr="00074E94">
        <w:trPr>
          <w:trHeight w:val="300"/>
        </w:trPr>
        <w:tc>
          <w:tcPr>
            <w:tcW w:w="361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738DD2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Actividades</w:t>
            </w:r>
          </w:p>
        </w:tc>
        <w:tc>
          <w:tcPr>
            <w:tcW w:w="1120" w:type="dxa"/>
            <w:gridSpan w:val="4"/>
            <w:tcBorders>
              <w:top w:val="single" w:sz="4" w:space="0" w:color="auto"/>
              <w:left w:val="nil"/>
              <w:bottom w:val="single" w:sz="4" w:space="0" w:color="auto"/>
              <w:right w:val="single" w:sz="4" w:space="0" w:color="auto"/>
            </w:tcBorders>
            <w:shd w:val="clear" w:color="000000" w:fill="F2F2F2"/>
            <w:vAlign w:val="center"/>
            <w:hideMark/>
          </w:tcPr>
          <w:p w14:paraId="6B89207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1</w:t>
            </w:r>
          </w:p>
        </w:tc>
        <w:tc>
          <w:tcPr>
            <w:tcW w:w="1120" w:type="dxa"/>
            <w:gridSpan w:val="4"/>
            <w:tcBorders>
              <w:top w:val="single" w:sz="4" w:space="0" w:color="auto"/>
              <w:left w:val="nil"/>
              <w:bottom w:val="single" w:sz="4" w:space="0" w:color="auto"/>
              <w:right w:val="single" w:sz="4" w:space="0" w:color="auto"/>
            </w:tcBorders>
            <w:shd w:val="clear" w:color="000000" w:fill="F2F2F2"/>
            <w:vAlign w:val="center"/>
            <w:hideMark/>
          </w:tcPr>
          <w:p w14:paraId="06AF8CBD"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2</w:t>
            </w:r>
          </w:p>
        </w:tc>
        <w:tc>
          <w:tcPr>
            <w:tcW w:w="1120" w:type="dxa"/>
            <w:gridSpan w:val="4"/>
            <w:tcBorders>
              <w:top w:val="single" w:sz="4" w:space="0" w:color="auto"/>
              <w:left w:val="nil"/>
              <w:bottom w:val="single" w:sz="4" w:space="0" w:color="auto"/>
              <w:right w:val="single" w:sz="4" w:space="0" w:color="auto"/>
            </w:tcBorders>
            <w:shd w:val="clear" w:color="000000" w:fill="F2F2F2"/>
            <w:vAlign w:val="center"/>
            <w:hideMark/>
          </w:tcPr>
          <w:p w14:paraId="17B6ECEE"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3</w:t>
            </w:r>
          </w:p>
        </w:tc>
        <w:tc>
          <w:tcPr>
            <w:tcW w:w="1120" w:type="dxa"/>
            <w:gridSpan w:val="4"/>
            <w:tcBorders>
              <w:top w:val="single" w:sz="4" w:space="0" w:color="auto"/>
              <w:left w:val="nil"/>
              <w:bottom w:val="single" w:sz="4" w:space="0" w:color="auto"/>
              <w:right w:val="single" w:sz="4" w:space="0" w:color="000000"/>
            </w:tcBorders>
            <w:shd w:val="clear" w:color="000000" w:fill="F2F2F2"/>
            <w:vAlign w:val="center"/>
            <w:hideMark/>
          </w:tcPr>
          <w:p w14:paraId="6818819C" w14:textId="4D4B5510"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 xml:space="preserve">Año </w:t>
            </w:r>
            <w:r>
              <w:rPr>
                <w:rFonts w:ascii="Arial" w:hAnsi="Arial" w:cs="Arial"/>
                <w:b/>
                <w:bCs/>
                <w:color w:val="000000"/>
                <w:spacing w:val="0"/>
                <w:sz w:val="16"/>
                <w:szCs w:val="16"/>
                <w:lang w:val="es-ES" w:eastAsia="es-EC"/>
              </w:rPr>
              <w:t>4</w:t>
            </w:r>
          </w:p>
        </w:tc>
        <w:tc>
          <w:tcPr>
            <w:tcW w:w="158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F311B7C" w14:textId="77777777" w:rsidR="009227AB" w:rsidRPr="00DD2307" w:rsidRDefault="009227AB" w:rsidP="00113FF2">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Fuente y Costos</w:t>
            </w:r>
          </w:p>
        </w:tc>
      </w:tr>
      <w:tr w:rsidR="00FA481D" w:rsidRPr="00DD2307" w14:paraId="7558E5B1" w14:textId="77777777" w:rsidTr="009227AB">
        <w:trPr>
          <w:trHeight w:val="300"/>
        </w:trPr>
        <w:tc>
          <w:tcPr>
            <w:tcW w:w="3613" w:type="dxa"/>
            <w:vMerge/>
            <w:tcBorders>
              <w:top w:val="single" w:sz="4" w:space="0" w:color="auto"/>
              <w:left w:val="single" w:sz="4" w:space="0" w:color="auto"/>
              <w:bottom w:val="single" w:sz="4" w:space="0" w:color="000000"/>
              <w:right w:val="single" w:sz="4" w:space="0" w:color="auto"/>
            </w:tcBorders>
            <w:vAlign w:val="center"/>
            <w:hideMark/>
          </w:tcPr>
          <w:p w14:paraId="700CA5EF" w14:textId="77777777" w:rsidR="009227AB" w:rsidRPr="00DD2307" w:rsidRDefault="009227AB" w:rsidP="00113FF2">
            <w:pPr>
              <w:rPr>
                <w:rFonts w:ascii="Arial" w:hAnsi="Arial" w:cs="Arial"/>
                <w:b/>
                <w:bCs/>
                <w:color w:val="000000"/>
                <w:spacing w:val="0"/>
                <w:sz w:val="16"/>
                <w:szCs w:val="16"/>
                <w:lang w:val="es-ES" w:eastAsia="es-EC"/>
              </w:rPr>
            </w:pPr>
          </w:p>
        </w:tc>
        <w:tc>
          <w:tcPr>
            <w:tcW w:w="280" w:type="dxa"/>
            <w:tcBorders>
              <w:top w:val="nil"/>
              <w:left w:val="nil"/>
              <w:bottom w:val="single" w:sz="4" w:space="0" w:color="auto"/>
              <w:right w:val="single" w:sz="4" w:space="0" w:color="auto"/>
            </w:tcBorders>
            <w:shd w:val="clear" w:color="000000" w:fill="F2F2F2"/>
            <w:vAlign w:val="center"/>
            <w:hideMark/>
          </w:tcPr>
          <w:p w14:paraId="3046A3E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280" w:type="dxa"/>
            <w:tcBorders>
              <w:top w:val="nil"/>
              <w:left w:val="nil"/>
              <w:bottom w:val="single" w:sz="4" w:space="0" w:color="auto"/>
              <w:right w:val="single" w:sz="4" w:space="0" w:color="auto"/>
            </w:tcBorders>
            <w:shd w:val="clear" w:color="000000" w:fill="F2F2F2"/>
            <w:vAlign w:val="center"/>
            <w:hideMark/>
          </w:tcPr>
          <w:p w14:paraId="210ACC4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280" w:type="dxa"/>
            <w:tcBorders>
              <w:top w:val="nil"/>
              <w:left w:val="nil"/>
              <w:bottom w:val="single" w:sz="4" w:space="0" w:color="auto"/>
              <w:right w:val="single" w:sz="4" w:space="0" w:color="auto"/>
            </w:tcBorders>
            <w:shd w:val="clear" w:color="000000" w:fill="F2F2F2"/>
            <w:vAlign w:val="center"/>
            <w:hideMark/>
          </w:tcPr>
          <w:p w14:paraId="364BA732"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280" w:type="dxa"/>
            <w:tcBorders>
              <w:top w:val="nil"/>
              <w:left w:val="nil"/>
              <w:bottom w:val="single" w:sz="4" w:space="0" w:color="auto"/>
              <w:right w:val="single" w:sz="4" w:space="0" w:color="auto"/>
            </w:tcBorders>
            <w:shd w:val="clear" w:color="000000" w:fill="F2F2F2"/>
            <w:vAlign w:val="center"/>
            <w:hideMark/>
          </w:tcPr>
          <w:p w14:paraId="0F59F61E"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280" w:type="dxa"/>
            <w:tcBorders>
              <w:top w:val="nil"/>
              <w:left w:val="nil"/>
              <w:bottom w:val="single" w:sz="4" w:space="0" w:color="auto"/>
              <w:right w:val="single" w:sz="4" w:space="0" w:color="auto"/>
            </w:tcBorders>
            <w:shd w:val="clear" w:color="000000" w:fill="F2F2F2"/>
            <w:vAlign w:val="center"/>
            <w:hideMark/>
          </w:tcPr>
          <w:p w14:paraId="0943A54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280" w:type="dxa"/>
            <w:tcBorders>
              <w:top w:val="nil"/>
              <w:left w:val="nil"/>
              <w:bottom w:val="single" w:sz="4" w:space="0" w:color="auto"/>
              <w:right w:val="single" w:sz="4" w:space="0" w:color="auto"/>
            </w:tcBorders>
            <w:shd w:val="clear" w:color="000000" w:fill="F2F2F2"/>
            <w:vAlign w:val="center"/>
            <w:hideMark/>
          </w:tcPr>
          <w:p w14:paraId="0328807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280" w:type="dxa"/>
            <w:tcBorders>
              <w:top w:val="nil"/>
              <w:left w:val="nil"/>
              <w:bottom w:val="single" w:sz="4" w:space="0" w:color="auto"/>
              <w:right w:val="single" w:sz="4" w:space="0" w:color="auto"/>
            </w:tcBorders>
            <w:shd w:val="clear" w:color="000000" w:fill="F2F2F2"/>
            <w:vAlign w:val="center"/>
            <w:hideMark/>
          </w:tcPr>
          <w:p w14:paraId="43D52FBE"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280" w:type="dxa"/>
            <w:tcBorders>
              <w:top w:val="nil"/>
              <w:left w:val="nil"/>
              <w:bottom w:val="single" w:sz="4" w:space="0" w:color="auto"/>
              <w:right w:val="single" w:sz="4" w:space="0" w:color="auto"/>
            </w:tcBorders>
            <w:shd w:val="clear" w:color="000000" w:fill="F2F2F2"/>
            <w:vAlign w:val="center"/>
            <w:hideMark/>
          </w:tcPr>
          <w:p w14:paraId="6495760C"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280" w:type="dxa"/>
            <w:tcBorders>
              <w:top w:val="nil"/>
              <w:left w:val="nil"/>
              <w:bottom w:val="single" w:sz="4" w:space="0" w:color="auto"/>
              <w:right w:val="single" w:sz="4" w:space="0" w:color="auto"/>
            </w:tcBorders>
            <w:shd w:val="clear" w:color="000000" w:fill="F2F2F2"/>
            <w:vAlign w:val="center"/>
            <w:hideMark/>
          </w:tcPr>
          <w:p w14:paraId="54DE9C06"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280" w:type="dxa"/>
            <w:tcBorders>
              <w:top w:val="nil"/>
              <w:left w:val="nil"/>
              <w:bottom w:val="single" w:sz="4" w:space="0" w:color="auto"/>
              <w:right w:val="single" w:sz="4" w:space="0" w:color="auto"/>
            </w:tcBorders>
            <w:shd w:val="clear" w:color="000000" w:fill="F2F2F2"/>
            <w:vAlign w:val="center"/>
            <w:hideMark/>
          </w:tcPr>
          <w:p w14:paraId="7B148112"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280" w:type="dxa"/>
            <w:tcBorders>
              <w:top w:val="nil"/>
              <w:left w:val="nil"/>
              <w:bottom w:val="single" w:sz="4" w:space="0" w:color="auto"/>
              <w:right w:val="single" w:sz="4" w:space="0" w:color="auto"/>
            </w:tcBorders>
            <w:shd w:val="clear" w:color="000000" w:fill="F2F2F2"/>
            <w:vAlign w:val="center"/>
            <w:hideMark/>
          </w:tcPr>
          <w:p w14:paraId="5CA88925"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280" w:type="dxa"/>
            <w:tcBorders>
              <w:top w:val="nil"/>
              <w:left w:val="nil"/>
              <w:bottom w:val="single" w:sz="4" w:space="0" w:color="auto"/>
              <w:right w:val="single" w:sz="4" w:space="0" w:color="auto"/>
            </w:tcBorders>
            <w:shd w:val="clear" w:color="000000" w:fill="F2F2F2"/>
            <w:vAlign w:val="center"/>
            <w:hideMark/>
          </w:tcPr>
          <w:p w14:paraId="48A24927"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280" w:type="dxa"/>
            <w:tcBorders>
              <w:top w:val="nil"/>
              <w:left w:val="nil"/>
              <w:bottom w:val="single" w:sz="4" w:space="0" w:color="auto"/>
              <w:right w:val="single" w:sz="4" w:space="0" w:color="auto"/>
            </w:tcBorders>
            <w:shd w:val="clear" w:color="000000" w:fill="F2F2F2"/>
            <w:vAlign w:val="center"/>
            <w:hideMark/>
          </w:tcPr>
          <w:p w14:paraId="3C0DA731"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280" w:type="dxa"/>
            <w:tcBorders>
              <w:top w:val="nil"/>
              <w:left w:val="nil"/>
              <w:bottom w:val="single" w:sz="4" w:space="0" w:color="auto"/>
              <w:right w:val="single" w:sz="4" w:space="0" w:color="auto"/>
            </w:tcBorders>
            <w:shd w:val="clear" w:color="000000" w:fill="F2F2F2"/>
            <w:vAlign w:val="center"/>
            <w:hideMark/>
          </w:tcPr>
          <w:p w14:paraId="72D3C8C8"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280" w:type="dxa"/>
            <w:tcBorders>
              <w:top w:val="nil"/>
              <w:left w:val="nil"/>
              <w:bottom w:val="single" w:sz="4" w:space="0" w:color="auto"/>
              <w:right w:val="single" w:sz="4" w:space="0" w:color="auto"/>
            </w:tcBorders>
            <w:shd w:val="clear" w:color="000000" w:fill="F2F2F2"/>
            <w:vAlign w:val="center"/>
            <w:hideMark/>
          </w:tcPr>
          <w:p w14:paraId="41CA9386"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280" w:type="dxa"/>
            <w:tcBorders>
              <w:top w:val="nil"/>
              <w:left w:val="nil"/>
              <w:bottom w:val="single" w:sz="4" w:space="0" w:color="auto"/>
              <w:right w:val="single" w:sz="4" w:space="0" w:color="auto"/>
            </w:tcBorders>
            <w:shd w:val="clear" w:color="000000" w:fill="F2F2F2"/>
            <w:vAlign w:val="center"/>
            <w:hideMark/>
          </w:tcPr>
          <w:p w14:paraId="138A40B1" w14:textId="77777777" w:rsidR="009227AB" w:rsidRPr="00DD2307" w:rsidRDefault="009227AB"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39E084F1" w14:textId="77777777" w:rsidR="009227AB" w:rsidRPr="00DD2307" w:rsidRDefault="009227AB" w:rsidP="00113FF2">
            <w:pPr>
              <w:rPr>
                <w:rFonts w:ascii="Arial" w:hAnsi="Arial" w:cs="Arial"/>
                <w:b/>
                <w:bCs/>
                <w:color w:val="000000"/>
                <w:spacing w:val="0"/>
                <w:sz w:val="16"/>
                <w:szCs w:val="16"/>
                <w:lang w:val="es-ES" w:eastAsia="es-EC"/>
              </w:rPr>
            </w:pPr>
          </w:p>
        </w:tc>
      </w:tr>
      <w:tr w:rsidR="00FA481D" w:rsidRPr="00DD2307" w14:paraId="426FBB2B"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6E70B6D4" w14:textId="4F7E2E05" w:rsidR="009227AB" w:rsidRPr="00DD2307" w:rsidRDefault="009227AB" w:rsidP="00113FF2">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 xml:space="preserve">Coste de </w:t>
            </w:r>
            <w:r w:rsidRPr="00DD2307">
              <w:rPr>
                <w:rFonts w:ascii="Arial" w:hAnsi="Arial" w:cs="Arial"/>
                <w:color w:val="000000"/>
                <w:spacing w:val="0"/>
                <w:sz w:val="16"/>
                <w:szCs w:val="16"/>
                <w:lang w:val="es-ES" w:eastAsia="es-EC"/>
              </w:rPr>
              <w:t>Especialistas en Monitoreo y Evaluación del OE u OSE</w:t>
            </w:r>
          </w:p>
        </w:tc>
        <w:tc>
          <w:tcPr>
            <w:tcW w:w="280" w:type="dxa"/>
            <w:tcBorders>
              <w:top w:val="nil"/>
              <w:left w:val="nil"/>
              <w:bottom w:val="single" w:sz="4" w:space="0" w:color="auto"/>
              <w:right w:val="single" w:sz="4" w:space="0" w:color="auto"/>
            </w:tcBorders>
            <w:shd w:val="clear" w:color="000000" w:fill="B7DEE8"/>
            <w:vAlign w:val="center"/>
            <w:hideMark/>
          </w:tcPr>
          <w:p w14:paraId="7522C2D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199E4F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7F17B0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6095DD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062A21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2F1AFD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3CF3904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6F24D5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88E6EE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B42764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FBF74B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3EECF61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B683F0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946DAB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E4093F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E783DA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05E1CC85" w14:textId="6EF8956B" w:rsidR="009227AB" w:rsidRPr="00DD2307" w:rsidRDefault="009227AB" w:rsidP="00113FF2">
            <w:pPr>
              <w:jc w:val="both"/>
              <w:rPr>
                <w:rFonts w:ascii="Arial" w:hAnsi="Arial" w:cs="Arial"/>
                <w:spacing w:val="0"/>
                <w:sz w:val="16"/>
                <w:szCs w:val="16"/>
                <w:lang w:val="es-ES" w:eastAsia="es-EC"/>
              </w:rPr>
            </w:pPr>
            <w:r w:rsidRPr="00DD2307">
              <w:rPr>
                <w:rFonts w:ascii="Arial" w:hAnsi="Arial" w:cs="Arial"/>
                <w:spacing w:val="0"/>
                <w:sz w:val="16"/>
                <w:szCs w:val="16"/>
                <w:lang w:val="es-ES" w:eastAsia="es-EC"/>
              </w:rPr>
              <w:t>EC-L1251 USD 1</w:t>
            </w:r>
            <w:r>
              <w:rPr>
                <w:rFonts w:ascii="Arial" w:hAnsi="Arial" w:cs="Arial"/>
                <w:spacing w:val="0"/>
                <w:sz w:val="16"/>
                <w:szCs w:val="16"/>
                <w:lang w:val="es-ES" w:eastAsia="es-EC"/>
              </w:rPr>
              <w:t>37.984</w:t>
            </w:r>
          </w:p>
        </w:tc>
      </w:tr>
      <w:tr w:rsidR="00FA481D" w:rsidRPr="00DD2307" w14:paraId="432CC3FC"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536C4AF2" w14:textId="6A4E6918"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Visitas técnicas a</w:t>
            </w:r>
            <w:r>
              <w:rPr>
                <w:rFonts w:ascii="Arial" w:hAnsi="Arial" w:cs="Arial"/>
                <w:color w:val="000000"/>
                <w:spacing w:val="0"/>
                <w:sz w:val="16"/>
                <w:szCs w:val="16"/>
                <w:lang w:val="es-ES" w:eastAsia="es-EC"/>
              </w:rPr>
              <w:t>l OE y OSE</w:t>
            </w:r>
          </w:p>
        </w:tc>
        <w:tc>
          <w:tcPr>
            <w:tcW w:w="280" w:type="dxa"/>
            <w:tcBorders>
              <w:top w:val="nil"/>
              <w:left w:val="nil"/>
              <w:bottom w:val="single" w:sz="4" w:space="0" w:color="auto"/>
              <w:right w:val="single" w:sz="4" w:space="0" w:color="auto"/>
            </w:tcBorders>
            <w:shd w:val="clear" w:color="000000" w:fill="B7DEE8"/>
            <w:vAlign w:val="center"/>
            <w:hideMark/>
          </w:tcPr>
          <w:p w14:paraId="7C83F61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D84917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1CD7C9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331782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BDB856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F9A79D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444125D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2548E4F"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0E415D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92681D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3550F44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DB8C87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C8668D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B70606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12F7C5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5C26B3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vMerge w:val="restart"/>
            <w:tcBorders>
              <w:top w:val="nil"/>
              <w:left w:val="single" w:sz="4" w:space="0" w:color="auto"/>
              <w:right w:val="single" w:sz="4" w:space="0" w:color="auto"/>
            </w:tcBorders>
            <w:shd w:val="clear" w:color="000000" w:fill="FFFFFF"/>
            <w:vAlign w:val="center"/>
            <w:hideMark/>
          </w:tcPr>
          <w:p w14:paraId="5E986470" w14:textId="77777777" w:rsidR="009227AB" w:rsidRPr="00DD2307" w:rsidRDefault="009227AB" w:rsidP="00113FF2">
            <w:pPr>
              <w:jc w:val="center"/>
              <w:rPr>
                <w:rFonts w:ascii="Arial" w:hAnsi="Arial" w:cs="Arial"/>
                <w:spacing w:val="0"/>
                <w:sz w:val="16"/>
                <w:szCs w:val="16"/>
                <w:lang w:val="es-ES" w:eastAsia="es-EC"/>
              </w:rPr>
            </w:pPr>
            <w:r w:rsidRPr="00DD2307">
              <w:rPr>
                <w:rFonts w:ascii="Arial" w:hAnsi="Arial" w:cs="Arial"/>
                <w:spacing w:val="0"/>
                <w:sz w:val="16"/>
                <w:szCs w:val="16"/>
                <w:lang w:val="es-ES" w:eastAsia="es-EC"/>
              </w:rPr>
              <w:t>Planes de Supervisión</w:t>
            </w:r>
          </w:p>
          <w:p w14:paraId="17521643" w14:textId="77777777" w:rsidR="009227AB" w:rsidRPr="00DD2307" w:rsidRDefault="009227AB" w:rsidP="00113FF2">
            <w:pPr>
              <w:jc w:val="both"/>
              <w:rPr>
                <w:rFonts w:ascii="Arial" w:hAnsi="Arial" w:cs="Arial"/>
                <w:spacing w:val="0"/>
                <w:sz w:val="16"/>
                <w:szCs w:val="16"/>
                <w:lang w:val="es-ES" w:eastAsia="es-EC"/>
              </w:rPr>
            </w:pPr>
          </w:p>
        </w:tc>
      </w:tr>
      <w:tr w:rsidR="00FA481D" w:rsidRPr="00DD2307" w14:paraId="2A19BB02"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2767648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Informes consolidados de las visitas técnicas y de las reuniones con los ejecutores</w:t>
            </w:r>
          </w:p>
        </w:tc>
        <w:tc>
          <w:tcPr>
            <w:tcW w:w="280" w:type="dxa"/>
            <w:tcBorders>
              <w:top w:val="nil"/>
              <w:left w:val="nil"/>
              <w:bottom w:val="single" w:sz="4" w:space="0" w:color="auto"/>
              <w:right w:val="single" w:sz="4" w:space="0" w:color="auto"/>
            </w:tcBorders>
            <w:shd w:val="clear" w:color="000000" w:fill="FFFFFF"/>
            <w:vAlign w:val="center"/>
            <w:hideMark/>
          </w:tcPr>
          <w:p w14:paraId="4487670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98954C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4866E8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44BCE4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B36007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1BDB55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5E1D29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358055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2D153A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382722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E62F9A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61022D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B99E99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AA39988"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145AF0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9596BD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vMerge/>
            <w:tcBorders>
              <w:left w:val="single" w:sz="4" w:space="0" w:color="auto"/>
              <w:right w:val="single" w:sz="4" w:space="0" w:color="auto"/>
            </w:tcBorders>
            <w:vAlign w:val="center"/>
            <w:hideMark/>
          </w:tcPr>
          <w:p w14:paraId="068B53C7" w14:textId="77777777" w:rsidR="009227AB" w:rsidRPr="00DD2307" w:rsidRDefault="009227AB" w:rsidP="00113FF2">
            <w:pPr>
              <w:jc w:val="both"/>
              <w:rPr>
                <w:rFonts w:ascii="Arial" w:hAnsi="Arial" w:cs="Arial"/>
                <w:spacing w:val="0"/>
                <w:sz w:val="16"/>
                <w:szCs w:val="16"/>
                <w:lang w:val="es-ES" w:eastAsia="es-EC"/>
              </w:rPr>
            </w:pPr>
          </w:p>
        </w:tc>
      </w:tr>
      <w:tr w:rsidR="00FA481D" w:rsidRPr="00074E94" w14:paraId="32F7E279"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3827FAAB"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xml:space="preserve">Informe semestral de </w:t>
            </w:r>
            <w:proofErr w:type="spellStart"/>
            <w:r w:rsidRPr="00D51B14">
              <w:rPr>
                <w:rFonts w:ascii="Arial" w:hAnsi="Arial" w:cs="Arial"/>
                <w:color w:val="000000"/>
                <w:spacing w:val="0"/>
                <w:sz w:val="16"/>
                <w:szCs w:val="16"/>
                <w:lang w:val="pt-BR" w:eastAsia="es-EC"/>
              </w:rPr>
              <w:t>progreso</w:t>
            </w:r>
            <w:proofErr w:type="spellEnd"/>
            <w:r w:rsidRPr="00D51B14">
              <w:rPr>
                <w:rFonts w:ascii="Arial" w:hAnsi="Arial" w:cs="Arial"/>
                <w:color w:val="000000"/>
                <w:spacing w:val="0"/>
                <w:sz w:val="16"/>
                <w:szCs w:val="16"/>
                <w:lang w:val="pt-BR" w:eastAsia="es-EC"/>
              </w:rPr>
              <w:t xml:space="preserve"> o avance</w:t>
            </w:r>
          </w:p>
        </w:tc>
        <w:tc>
          <w:tcPr>
            <w:tcW w:w="280" w:type="dxa"/>
            <w:tcBorders>
              <w:top w:val="nil"/>
              <w:left w:val="nil"/>
              <w:bottom w:val="single" w:sz="4" w:space="0" w:color="auto"/>
              <w:right w:val="single" w:sz="4" w:space="0" w:color="auto"/>
            </w:tcBorders>
            <w:shd w:val="clear" w:color="000000" w:fill="FFFFFF"/>
            <w:vAlign w:val="center"/>
            <w:hideMark/>
          </w:tcPr>
          <w:p w14:paraId="70C83BC6"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4CAA09F9"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24D76CA"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0D2FB59"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901689D"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6171C5C"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FA7E0A6"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661F103"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667B61C"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3C24EF4"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05BA701"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6722AC53"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D848FBF"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18B42A5"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6886684"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9D1C719" w14:textId="77777777" w:rsidR="009227AB" w:rsidRPr="00D51B14" w:rsidRDefault="009227AB" w:rsidP="00113FF2">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w:t>
            </w:r>
          </w:p>
        </w:tc>
        <w:tc>
          <w:tcPr>
            <w:tcW w:w="1587" w:type="dxa"/>
            <w:vMerge/>
            <w:tcBorders>
              <w:left w:val="single" w:sz="4" w:space="0" w:color="auto"/>
              <w:bottom w:val="single" w:sz="4" w:space="0" w:color="auto"/>
              <w:right w:val="single" w:sz="4" w:space="0" w:color="auto"/>
            </w:tcBorders>
            <w:shd w:val="clear" w:color="000000" w:fill="FFFFFF"/>
            <w:vAlign w:val="center"/>
            <w:hideMark/>
          </w:tcPr>
          <w:p w14:paraId="0FCFD3AA" w14:textId="77777777" w:rsidR="009227AB" w:rsidRPr="00D51B14" w:rsidRDefault="009227AB" w:rsidP="00113FF2">
            <w:pPr>
              <w:jc w:val="both"/>
              <w:rPr>
                <w:rFonts w:ascii="Arial" w:hAnsi="Arial" w:cs="Arial"/>
                <w:spacing w:val="0"/>
                <w:sz w:val="16"/>
                <w:szCs w:val="16"/>
                <w:lang w:val="pt-BR" w:eastAsia="es-EC"/>
              </w:rPr>
            </w:pPr>
          </w:p>
        </w:tc>
      </w:tr>
      <w:tr w:rsidR="00FA481D" w:rsidRPr="00DD2307" w14:paraId="5BF5FF24"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6AB7FAE5" w14:textId="23AAB59B" w:rsidR="009227AB" w:rsidRPr="00DD2307" w:rsidRDefault="009227AB" w:rsidP="00113F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Informes de Auditor</w:t>
            </w:r>
            <w:r>
              <w:rPr>
                <w:rFonts w:ascii="Arial" w:hAnsi="Arial" w:cs="Arial"/>
                <w:color w:val="000000"/>
                <w:spacing w:val="0"/>
                <w:sz w:val="16"/>
                <w:szCs w:val="16"/>
                <w:lang w:val="es-ES" w:eastAsia="es-EC"/>
              </w:rPr>
              <w:t>í</w:t>
            </w:r>
            <w:r w:rsidRPr="00DD2307">
              <w:rPr>
                <w:rFonts w:ascii="Arial" w:hAnsi="Arial" w:cs="Arial"/>
                <w:color w:val="000000"/>
                <w:spacing w:val="0"/>
                <w:sz w:val="16"/>
                <w:szCs w:val="16"/>
                <w:lang w:val="es-ES" w:eastAsia="es-EC"/>
              </w:rPr>
              <w:t>a</w:t>
            </w:r>
          </w:p>
        </w:tc>
        <w:tc>
          <w:tcPr>
            <w:tcW w:w="280" w:type="dxa"/>
            <w:tcBorders>
              <w:top w:val="nil"/>
              <w:left w:val="nil"/>
              <w:bottom w:val="single" w:sz="4" w:space="0" w:color="auto"/>
              <w:right w:val="single" w:sz="4" w:space="0" w:color="auto"/>
            </w:tcBorders>
            <w:shd w:val="clear" w:color="000000" w:fill="FFFFFF"/>
            <w:vAlign w:val="center"/>
            <w:hideMark/>
          </w:tcPr>
          <w:p w14:paraId="2F21133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2EAC74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3EC8FC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455528C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F0A1F7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26571B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8C86BE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BE0181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F0A0E4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FD218C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A0C539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5F0B46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8597DC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C3C28D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AF8AF1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1626C5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57E3DF2F" w14:textId="51892979" w:rsidR="009227AB" w:rsidRPr="00DD2307" w:rsidRDefault="009227AB" w:rsidP="00113FF2">
            <w:pPr>
              <w:jc w:val="both"/>
              <w:rPr>
                <w:rFonts w:ascii="Arial" w:hAnsi="Arial" w:cs="Arial"/>
                <w:spacing w:val="0"/>
                <w:sz w:val="16"/>
                <w:szCs w:val="16"/>
                <w:lang w:val="es-ES" w:eastAsia="es-EC"/>
              </w:rPr>
            </w:pPr>
            <w:r w:rsidRPr="00DD2307">
              <w:rPr>
                <w:rFonts w:ascii="Arial" w:hAnsi="Arial" w:cs="Arial"/>
                <w:spacing w:val="0"/>
                <w:sz w:val="16"/>
                <w:szCs w:val="16"/>
                <w:lang w:val="es-ES" w:eastAsia="es-EC"/>
              </w:rPr>
              <w:t>EC-L1251 Auditor</w:t>
            </w:r>
            <w:r>
              <w:rPr>
                <w:rFonts w:ascii="Arial" w:hAnsi="Arial" w:cs="Arial"/>
                <w:spacing w:val="0"/>
                <w:sz w:val="16"/>
                <w:szCs w:val="16"/>
                <w:lang w:val="es-ES" w:eastAsia="es-EC"/>
              </w:rPr>
              <w:t>í</w:t>
            </w:r>
            <w:r w:rsidRPr="00DD2307">
              <w:rPr>
                <w:rFonts w:ascii="Arial" w:hAnsi="Arial" w:cs="Arial"/>
                <w:spacing w:val="0"/>
                <w:sz w:val="16"/>
                <w:szCs w:val="16"/>
                <w:lang w:val="es-ES" w:eastAsia="es-EC"/>
              </w:rPr>
              <w:t>a USD 1</w:t>
            </w:r>
            <w:r>
              <w:rPr>
                <w:rFonts w:ascii="Arial" w:hAnsi="Arial" w:cs="Arial"/>
                <w:spacing w:val="0"/>
                <w:sz w:val="16"/>
                <w:szCs w:val="16"/>
                <w:lang w:val="es-ES" w:eastAsia="es-EC"/>
              </w:rPr>
              <w:t>40.</w:t>
            </w:r>
            <w:r w:rsidRPr="00DD2307">
              <w:rPr>
                <w:rFonts w:ascii="Arial" w:hAnsi="Arial" w:cs="Arial"/>
                <w:spacing w:val="0"/>
                <w:sz w:val="16"/>
                <w:szCs w:val="16"/>
                <w:lang w:val="es-ES" w:eastAsia="es-EC"/>
              </w:rPr>
              <w:t>000</w:t>
            </w:r>
          </w:p>
        </w:tc>
      </w:tr>
      <w:tr w:rsidR="00FA481D" w:rsidRPr="00DD2307" w14:paraId="0C7C3F6F"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0749E598" w14:textId="64BB07E5" w:rsidR="009227AB" w:rsidRPr="00DD2307" w:rsidRDefault="009227AB" w:rsidP="00113F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lastRenderedPageBreak/>
              <w:t>Informes de Auditor</w:t>
            </w:r>
            <w:r>
              <w:rPr>
                <w:rFonts w:ascii="Arial" w:hAnsi="Arial" w:cs="Arial"/>
                <w:color w:val="000000"/>
                <w:spacing w:val="0"/>
                <w:sz w:val="16"/>
                <w:szCs w:val="16"/>
                <w:lang w:val="es-ES" w:eastAsia="es-EC"/>
              </w:rPr>
              <w:t>í</w:t>
            </w:r>
            <w:r w:rsidRPr="00DD2307">
              <w:rPr>
                <w:rFonts w:ascii="Arial" w:hAnsi="Arial" w:cs="Arial"/>
                <w:color w:val="000000"/>
                <w:spacing w:val="0"/>
                <w:sz w:val="16"/>
                <w:szCs w:val="16"/>
                <w:lang w:val="es-ES" w:eastAsia="es-EC"/>
              </w:rPr>
              <w:t>a (desvinculaciones)</w:t>
            </w:r>
          </w:p>
        </w:tc>
        <w:tc>
          <w:tcPr>
            <w:tcW w:w="280" w:type="dxa"/>
            <w:tcBorders>
              <w:top w:val="nil"/>
              <w:left w:val="nil"/>
              <w:bottom w:val="single" w:sz="4" w:space="0" w:color="auto"/>
              <w:right w:val="single" w:sz="4" w:space="0" w:color="auto"/>
            </w:tcBorders>
            <w:shd w:val="clear" w:color="000000" w:fill="FFFFFF"/>
            <w:vAlign w:val="center"/>
            <w:hideMark/>
          </w:tcPr>
          <w:p w14:paraId="38F99FB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B70B20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D6A972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D3485A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2F77DF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BA8CFC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637541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3A0DD0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4D4D237F"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357AEEF"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5DEBA9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CA96D2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8D3C95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FDF4998"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417414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B2F505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612967B4" w14:textId="1608EDB0" w:rsidR="009227AB" w:rsidRPr="00DD2307" w:rsidRDefault="009227AB" w:rsidP="00113FF2">
            <w:pPr>
              <w:jc w:val="both"/>
              <w:rPr>
                <w:rFonts w:ascii="Arial" w:hAnsi="Arial" w:cs="Arial"/>
                <w:spacing w:val="0"/>
                <w:sz w:val="16"/>
                <w:szCs w:val="16"/>
                <w:lang w:val="es-ES" w:eastAsia="es-EC"/>
              </w:rPr>
            </w:pPr>
            <w:r w:rsidRPr="00DD2307">
              <w:rPr>
                <w:rFonts w:ascii="Arial" w:hAnsi="Arial" w:cs="Arial"/>
                <w:spacing w:val="0"/>
                <w:sz w:val="16"/>
                <w:szCs w:val="16"/>
                <w:lang w:val="es-ES" w:eastAsia="es-EC"/>
              </w:rPr>
              <w:t>EC-L1251 Auditor</w:t>
            </w:r>
            <w:r>
              <w:rPr>
                <w:rFonts w:ascii="Arial" w:hAnsi="Arial" w:cs="Arial"/>
                <w:spacing w:val="0"/>
                <w:sz w:val="16"/>
                <w:szCs w:val="16"/>
                <w:lang w:val="es-ES" w:eastAsia="es-EC"/>
              </w:rPr>
              <w:t>í</w:t>
            </w:r>
            <w:r w:rsidRPr="00DD2307">
              <w:rPr>
                <w:rFonts w:ascii="Arial" w:hAnsi="Arial" w:cs="Arial"/>
                <w:spacing w:val="0"/>
                <w:sz w:val="16"/>
                <w:szCs w:val="16"/>
                <w:lang w:val="es-ES" w:eastAsia="es-EC"/>
              </w:rPr>
              <w:t>a USD 5</w:t>
            </w:r>
            <w:r>
              <w:rPr>
                <w:rFonts w:ascii="Arial" w:hAnsi="Arial" w:cs="Arial"/>
                <w:spacing w:val="0"/>
                <w:sz w:val="16"/>
                <w:szCs w:val="16"/>
                <w:lang w:val="es-ES" w:eastAsia="es-EC"/>
              </w:rPr>
              <w:t>6.</w:t>
            </w:r>
            <w:r w:rsidRPr="00DD2307">
              <w:rPr>
                <w:rFonts w:ascii="Arial" w:hAnsi="Arial" w:cs="Arial"/>
                <w:spacing w:val="0"/>
                <w:sz w:val="16"/>
                <w:szCs w:val="16"/>
                <w:lang w:val="es-ES" w:eastAsia="es-EC"/>
              </w:rPr>
              <w:t>000</w:t>
            </w:r>
          </w:p>
        </w:tc>
      </w:tr>
      <w:tr w:rsidR="00FA481D" w:rsidRPr="00DD2307" w14:paraId="0FC72340"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159A2D0A" w14:textId="77777777" w:rsidR="009227AB" w:rsidRPr="00DD2307" w:rsidRDefault="009227AB" w:rsidP="00113F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Evaluación de Resultados intermedia</w:t>
            </w:r>
          </w:p>
        </w:tc>
        <w:tc>
          <w:tcPr>
            <w:tcW w:w="280" w:type="dxa"/>
            <w:tcBorders>
              <w:top w:val="nil"/>
              <w:left w:val="nil"/>
              <w:bottom w:val="single" w:sz="4" w:space="0" w:color="auto"/>
              <w:right w:val="single" w:sz="4" w:space="0" w:color="auto"/>
            </w:tcBorders>
            <w:shd w:val="clear" w:color="000000" w:fill="FFFFFF"/>
            <w:vAlign w:val="center"/>
            <w:hideMark/>
          </w:tcPr>
          <w:p w14:paraId="56BE967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89E8DFF"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5BA4FC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793142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0780E7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8D04C1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A03EC2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3387F0F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134B25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DAA6F5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E7D941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2A688C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C14675C"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5CDE60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6FE577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66E173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687C9E05" w14:textId="7C46CE3D" w:rsidR="009227AB" w:rsidRPr="00DD2307" w:rsidRDefault="009227AB" w:rsidP="00113FF2">
            <w:pPr>
              <w:jc w:val="both"/>
              <w:rPr>
                <w:rFonts w:ascii="Arial" w:hAnsi="Arial" w:cs="Arial"/>
                <w:spacing w:val="0"/>
                <w:sz w:val="16"/>
                <w:szCs w:val="16"/>
                <w:lang w:val="es-ES" w:eastAsia="es-EC"/>
              </w:rPr>
            </w:pPr>
            <w:r w:rsidRPr="00DD2307">
              <w:rPr>
                <w:rFonts w:ascii="Arial" w:hAnsi="Arial" w:cs="Arial"/>
                <w:spacing w:val="0"/>
                <w:sz w:val="16"/>
                <w:szCs w:val="16"/>
                <w:lang w:val="es-ES" w:eastAsia="es-EC"/>
              </w:rPr>
              <w:t>EC-L1251 Consultoría USD 3</w:t>
            </w:r>
            <w:r>
              <w:rPr>
                <w:rFonts w:ascii="Arial" w:hAnsi="Arial" w:cs="Arial"/>
                <w:spacing w:val="0"/>
                <w:sz w:val="16"/>
                <w:szCs w:val="16"/>
                <w:lang w:val="es-ES" w:eastAsia="es-EC"/>
              </w:rPr>
              <w:t>3</w:t>
            </w:r>
            <w:r w:rsidRPr="00DD2307">
              <w:rPr>
                <w:rFonts w:ascii="Arial" w:hAnsi="Arial" w:cs="Arial"/>
                <w:spacing w:val="0"/>
                <w:sz w:val="16"/>
                <w:szCs w:val="16"/>
                <w:lang w:val="es-ES" w:eastAsia="es-EC"/>
              </w:rPr>
              <w:t>.</w:t>
            </w:r>
            <w:r>
              <w:rPr>
                <w:rFonts w:ascii="Arial" w:hAnsi="Arial" w:cs="Arial"/>
                <w:spacing w:val="0"/>
                <w:sz w:val="16"/>
                <w:szCs w:val="16"/>
                <w:lang w:val="es-ES" w:eastAsia="es-EC"/>
              </w:rPr>
              <w:t>6</w:t>
            </w:r>
            <w:r w:rsidRPr="00DD2307">
              <w:rPr>
                <w:rFonts w:ascii="Arial" w:hAnsi="Arial" w:cs="Arial"/>
                <w:spacing w:val="0"/>
                <w:sz w:val="16"/>
                <w:szCs w:val="16"/>
                <w:lang w:val="es-ES" w:eastAsia="es-EC"/>
              </w:rPr>
              <w:t>00</w:t>
            </w:r>
          </w:p>
        </w:tc>
      </w:tr>
      <w:tr w:rsidR="00FA481D" w:rsidRPr="00DD2307" w14:paraId="42A8763A"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65A00445" w14:textId="14374B76" w:rsidR="009227AB" w:rsidRPr="00B61103" w:rsidRDefault="009227AB" w:rsidP="00113FF2">
            <w:pPr>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xml:space="preserve">Evaluación de Resultados final (Antes y después) </w:t>
            </w:r>
          </w:p>
        </w:tc>
        <w:tc>
          <w:tcPr>
            <w:tcW w:w="280" w:type="dxa"/>
            <w:tcBorders>
              <w:top w:val="nil"/>
              <w:left w:val="nil"/>
              <w:bottom w:val="single" w:sz="4" w:space="0" w:color="auto"/>
              <w:right w:val="single" w:sz="4" w:space="0" w:color="auto"/>
            </w:tcBorders>
            <w:shd w:val="clear" w:color="000000" w:fill="FFFFFF"/>
            <w:vAlign w:val="center"/>
            <w:hideMark/>
          </w:tcPr>
          <w:p w14:paraId="46D0C9D8"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2DC4A32"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8173B20"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E442818"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7C30904"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03DD8AA"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FADAF20"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5242F66"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83B2E8D"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175B08A"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B026564"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5F87D33"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74CDE941"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A7A56FB"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267921B"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3A5CF51E" w14:textId="77777777" w:rsidR="009227AB" w:rsidRPr="00B61103" w:rsidRDefault="009227AB" w:rsidP="00113FF2">
            <w:pPr>
              <w:jc w:val="both"/>
              <w:rPr>
                <w:rFonts w:ascii="Arial" w:hAnsi="Arial" w:cs="Arial"/>
                <w:color w:val="000000"/>
                <w:spacing w:val="0"/>
                <w:sz w:val="16"/>
                <w:szCs w:val="16"/>
                <w:lang w:val="es-ES" w:eastAsia="es-EC"/>
              </w:rPr>
            </w:pPr>
            <w:r w:rsidRPr="00B61103">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1B345B8A" w14:textId="4362E289" w:rsidR="009227AB" w:rsidRPr="00B61103" w:rsidRDefault="009227AB" w:rsidP="00113FF2">
            <w:pPr>
              <w:jc w:val="both"/>
              <w:rPr>
                <w:rFonts w:ascii="Arial" w:hAnsi="Arial" w:cs="Arial"/>
                <w:spacing w:val="0"/>
                <w:sz w:val="16"/>
                <w:szCs w:val="16"/>
                <w:lang w:val="es-ES" w:eastAsia="es-EC"/>
              </w:rPr>
            </w:pPr>
            <w:r w:rsidRPr="00B61103">
              <w:rPr>
                <w:rFonts w:ascii="Arial" w:hAnsi="Arial" w:cs="Arial"/>
                <w:spacing w:val="0"/>
                <w:sz w:val="16"/>
                <w:szCs w:val="16"/>
                <w:lang w:val="es-ES" w:eastAsia="es-EC"/>
              </w:rPr>
              <w:t>EC-L1251 Consultoría USD 1</w:t>
            </w:r>
            <w:r>
              <w:rPr>
                <w:rFonts w:ascii="Arial" w:hAnsi="Arial" w:cs="Arial"/>
                <w:spacing w:val="0"/>
                <w:sz w:val="16"/>
                <w:szCs w:val="16"/>
                <w:lang w:val="es-ES" w:eastAsia="es-EC"/>
              </w:rPr>
              <w:t>12</w:t>
            </w:r>
            <w:r w:rsidRPr="00B61103">
              <w:rPr>
                <w:rFonts w:ascii="Arial" w:hAnsi="Arial" w:cs="Arial"/>
                <w:spacing w:val="0"/>
                <w:sz w:val="16"/>
                <w:szCs w:val="16"/>
                <w:lang w:val="es-ES" w:eastAsia="es-EC"/>
              </w:rPr>
              <w:t>.000</w:t>
            </w:r>
          </w:p>
        </w:tc>
      </w:tr>
      <w:tr w:rsidR="00FA481D" w:rsidRPr="00DD2307" w14:paraId="0FB0A5D4"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53CC78A5" w14:textId="392BB026" w:rsidR="009227AB" w:rsidRPr="00DD2307" w:rsidRDefault="009227AB" w:rsidP="00113F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Evaluación económica</w:t>
            </w:r>
            <w:r w:rsidRPr="00DD2307" w:rsidDel="00730A86">
              <w:rPr>
                <w:rFonts w:ascii="Arial" w:hAnsi="Arial" w:cs="Arial"/>
                <w:color w:val="000000"/>
                <w:spacing w:val="0"/>
                <w:sz w:val="16"/>
                <w:szCs w:val="16"/>
                <w:lang w:val="es-ES" w:eastAsia="es-EC"/>
              </w:rPr>
              <w:t xml:space="preserve"> </w:t>
            </w:r>
            <w:proofErr w:type="spellStart"/>
            <w:r>
              <w:rPr>
                <w:rFonts w:ascii="Arial" w:hAnsi="Arial" w:cs="Arial"/>
                <w:color w:val="000000"/>
                <w:spacing w:val="0"/>
                <w:sz w:val="16"/>
                <w:szCs w:val="16"/>
                <w:lang w:val="es-ES" w:eastAsia="es-EC"/>
              </w:rPr>
              <w:t>expost</w:t>
            </w:r>
            <w:proofErr w:type="spellEnd"/>
          </w:p>
        </w:tc>
        <w:tc>
          <w:tcPr>
            <w:tcW w:w="280" w:type="dxa"/>
            <w:tcBorders>
              <w:top w:val="nil"/>
              <w:left w:val="nil"/>
              <w:bottom w:val="single" w:sz="4" w:space="0" w:color="auto"/>
              <w:right w:val="single" w:sz="4" w:space="0" w:color="auto"/>
            </w:tcBorders>
            <w:shd w:val="clear" w:color="000000" w:fill="FFFFFF"/>
            <w:vAlign w:val="center"/>
            <w:hideMark/>
          </w:tcPr>
          <w:p w14:paraId="663D2928"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360CDD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43C61AB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1FC5F6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9E5131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419377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670895F"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652D88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348A247"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48680B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703ECB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6C9D8105"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877AE8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026FD4D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174483B0"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3A7CB308"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5CED1E4F" w14:textId="43997CA8" w:rsidR="009227AB" w:rsidRPr="00DD2307" w:rsidRDefault="009227AB" w:rsidP="00113FF2">
            <w:pPr>
              <w:jc w:val="both"/>
              <w:rPr>
                <w:rFonts w:ascii="Arial" w:hAnsi="Arial" w:cs="Arial"/>
                <w:spacing w:val="0"/>
                <w:sz w:val="16"/>
                <w:szCs w:val="16"/>
                <w:lang w:val="es-ES" w:eastAsia="es-EC"/>
              </w:rPr>
            </w:pPr>
            <w:r w:rsidRPr="00DD2307">
              <w:rPr>
                <w:rFonts w:ascii="Arial" w:hAnsi="Arial" w:cs="Arial"/>
                <w:spacing w:val="0"/>
                <w:sz w:val="16"/>
                <w:szCs w:val="16"/>
                <w:lang w:val="es-ES" w:eastAsia="es-EC"/>
              </w:rPr>
              <w:t>EC-L1251 Consultoría USD 1</w:t>
            </w:r>
            <w:r>
              <w:rPr>
                <w:rFonts w:ascii="Arial" w:hAnsi="Arial" w:cs="Arial"/>
                <w:spacing w:val="0"/>
                <w:sz w:val="16"/>
                <w:szCs w:val="16"/>
                <w:lang w:val="es-ES" w:eastAsia="es-EC"/>
              </w:rPr>
              <w:t>12</w:t>
            </w:r>
            <w:r w:rsidRPr="00DD2307">
              <w:rPr>
                <w:rFonts w:ascii="Arial" w:hAnsi="Arial" w:cs="Arial"/>
                <w:spacing w:val="0"/>
                <w:sz w:val="16"/>
                <w:szCs w:val="16"/>
                <w:lang w:val="es-ES" w:eastAsia="es-EC"/>
              </w:rPr>
              <w:t>.000*</w:t>
            </w:r>
          </w:p>
        </w:tc>
      </w:tr>
      <w:tr w:rsidR="00FA481D" w:rsidRPr="00DD2307" w14:paraId="64B7D4EF" w14:textId="77777777" w:rsidTr="009227AB">
        <w:trPr>
          <w:trHeight w:val="585"/>
        </w:trPr>
        <w:tc>
          <w:tcPr>
            <w:tcW w:w="3613" w:type="dxa"/>
            <w:tcBorders>
              <w:top w:val="nil"/>
              <w:left w:val="single" w:sz="4" w:space="0" w:color="auto"/>
              <w:bottom w:val="single" w:sz="4" w:space="0" w:color="auto"/>
              <w:right w:val="single" w:sz="4" w:space="0" w:color="auto"/>
            </w:tcBorders>
            <w:shd w:val="clear" w:color="000000" w:fill="FFFFFF"/>
            <w:vAlign w:val="center"/>
            <w:hideMark/>
          </w:tcPr>
          <w:p w14:paraId="06D6636D" w14:textId="27482907" w:rsidR="009227AB" w:rsidRPr="00DD2307" w:rsidRDefault="009227AB" w:rsidP="00113FF2">
            <w:pPr>
              <w:rPr>
                <w:rFonts w:ascii="Arial" w:hAnsi="Arial" w:cs="Arial"/>
                <w:i/>
                <w:iCs/>
                <w:color w:val="000000"/>
                <w:spacing w:val="0"/>
                <w:sz w:val="16"/>
                <w:szCs w:val="16"/>
                <w:lang w:val="es-ES" w:eastAsia="es-EC"/>
              </w:rPr>
            </w:pPr>
            <w:r w:rsidRPr="00DD2307">
              <w:rPr>
                <w:rFonts w:ascii="Arial" w:hAnsi="Arial" w:cs="Arial"/>
                <w:i/>
                <w:iCs/>
                <w:color w:val="000000"/>
                <w:spacing w:val="0"/>
                <w:sz w:val="16"/>
                <w:szCs w:val="16"/>
                <w:lang w:val="es-ES" w:eastAsia="es-EC"/>
              </w:rPr>
              <w:t xml:space="preserve">Project </w:t>
            </w:r>
            <w:proofErr w:type="spellStart"/>
            <w:r w:rsidRPr="00DD2307">
              <w:rPr>
                <w:rFonts w:ascii="Arial" w:hAnsi="Arial" w:cs="Arial"/>
                <w:i/>
                <w:iCs/>
                <w:color w:val="000000"/>
                <w:spacing w:val="0"/>
                <w:sz w:val="16"/>
                <w:szCs w:val="16"/>
                <w:lang w:val="es-ES" w:eastAsia="es-EC"/>
              </w:rPr>
              <w:t>Completion</w:t>
            </w:r>
            <w:proofErr w:type="spellEnd"/>
            <w:r w:rsidRPr="00DD2307">
              <w:rPr>
                <w:rFonts w:ascii="Arial" w:hAnsi="Arial" w:cs="Arial"/>
                <w:i/>
                <w:iCs/>
                <w:color w:val="000000"/>
                <w:spacing w:val="0"/>
                <w:sz w:val="16"/>
                <w:szCs w:val="16"/>
                <w:lang w:val="es-ES" w:eastAsia="es-EC"/>
              </w:rPr>
              <w:t xml:space="preserve"> </w:t>
            </w:r>
            <w:proofErr w:type="spellStart"/>
            <w:r w:rsidRPr="00DD2307">
              <w:rPr>
                <w:rFonts w:ascii="Arial" w:hAnsi="Arial" w:cs="Arial"/>
                <w:i/>
                <w:iCs/>
                <w:color w:val="000000"/>
                <w:spacing w:val="0"/>
                <w:sz w:val="16"/>
                <w:szCs w:val="16"/>
                <w:lang w:val="es-ES" w:eastAsia="es-EC"/>
              </w:rPr>
              <w:t>Report</w:t>
            </w:r>
            <w:proofErr w:type="spellEnd"/>
            <w:r w:rsidRPr="00DD2307">
              <w:rPr>
                <w:rFonts w:ascii="Arial" w:hAnsi="Arial" w:cs="Arial"/>
                <w:color w:val="000000"/>
                <w:spacing w:val="0"/>
                <w:sz w:val="16"/>
                <w:szCs w:val="16"/>
                <w:lang w:val="es-ES" w:eastAsia="es-EC"/>
              </w:rPr>
              <w:t xml:space="preserve"> (PCR)</w:t>
            </w:r>
          </w:p>
        </w:tc>
        <w:tc>
          <w:tcPr>
            <w:tcW w:w="280" w:type="dxa"/>
            <w:tcBorders>
              <w:top w:val="nil"/>
              <w:left w:val="nil"/>
              <w:bottom w:val="single" w:sz="4" w:space="0" w:color="auto"/>
              <w:right w:val="single" w:sz="4" w:space="0" w:color="auto"/>
            </w:tcBorders>
            <w:shd w:val="clear" w:color="000000" w:fill="FFFFFF"/>
            <w:vAlign w:val="center"/>
            <w:hideMark/>
          </w:tcPr>
          <w:p w14:paraId="69B102E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6C9E5A9"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A7C5AA3"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FADFBA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09CFB3B"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15EE90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11EFFF8"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5D4EB70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FD0F4B1"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7E480004"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2B3591D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4129A13A"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5B6E2662"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B7DEE8"/>
            <w:vAlign w:val="center"/>
            <w:hideMark/>
          </w:tcPr>
          <w:p w14:paraId="2BC3709E"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03C43046"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280" w:type="dxa"/>
            <w:tcBorders>
              <w:top w:val="nil"/>
              <w:left w:val="nil"/>
              <w:bottom w:val="single" w:sz="4" w:space="0" w:color="auto"/>
              <w:right w:val="single" w:sz="4" w:space="0" w:color="auto"/>
            </w:tcBorders>
            <w:shd w:val="clear" w:color="000000" w:fill="FFFFFF"/>
            <w:vAlign w:val="center"/>
            <w:hideMark/>
          </w:tcPr>
          <w:p w14:paraId="187C9CDD" w14:textId="77777777" w:rsidR="009227AB" w:rsidRPr="00DD2307" w:rsidRDefault="009227AB"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587" w:type="dxa"/>
            <w:tcBorders>
              <w:top w:val="nil"/>
              <w:left w:val="nil"/>
              <w:bottom w:val="single" w:sz="4" w:space="0" w:color="auto"/>
              <w:right w:val="single" w:sz="4" w:space="0" w:color="auto"/>
            </w:tcBorders>
            <w:shd w:val="clear" w:color="000000" w:fill="FFFFFF"/>
            <w:vAlign w:val="center"/>
            <w:hideMark/>
          </w:tcPr>
          <w:p w14:paraId="7F9A7CEF" w14:textId="17EC0D97" w:rsidR="009227AB" w:rsidRPr="00DD2307" w:rsidRDefault="009227AB" w:rsidP="00113FF2">
            <w:pPr>
              <w:jc w:val="both"/>
              <w:rPr>
                <w:rFonts w:ascii="Arial" w:hAnsi="Arial" w:cs="Arial"/>
                <w:spacing w:val="0"/>
                <w:sz w:val="16"/>
                <w:szCs w:val="16"/>
                <w:lang w:val="es-ES" w:eastAsia="es-EC"/>
              </w:rPr>
            </w:pPr>
            <w:r>
              <w:rPr>
                <w:rFonts w:ascii="Arial" w:hAnsi="Arial" w:cs="Arial"/>
                <w:spacing w:val="0"/>
                <w:sz w:val="16"/>
                <w:szCs w:val="16"/>
                <w:lang w:val="es-ES" w:eastAsia="es-EC"/>
              </w:rPr>
              <w:t xml:space="preserve">Equipo de proyecto FMM </w:t>
            </w:r>
          </w:p>
        </w:tc>
      </w:tr>
    </w:tbl>
    <w:p w14:paraId="7E5112F0" w14:textId="77777777" w:rsidR="009227AB" w:rsidRDefault="009227AB" w:rsidP="00534766">
      <w:pPr>
        <w:spacing w:line="276" w:lineRule="auto"/>
        <w:ind w:right="-450"/>
        <w:jc w:val="both"/>
        <w:rPr>
          <w:rStyle w:val="Heading1Char"/>
          <w:rFonts w:ascii="Arial" w:hAnsi="Arial" w:cs="Arial"/>
          <w:sz w:val="22"/>
          <w:szCs w:val="22"/>
          <w:lang w:val="es-ES"/>
        </w:rPr>
      </w:pPr>
    </w:p>
    <w:p w14:paraId="5834C681" w14:textId="600015CC" w:rsidR="006E21C8" w:rsidRPr="00DD2307" w:rsidRDefault="00F6691F" w:rsidP="00534766">
      <w:pPr>
        <w:spacing w:line="276" w:lineRule="auto"/>
        <w:ind w:right="-450"/>
        <w:jc w:val="both"/>
        <w:rPr>
          <w:rStyle w:val="Heading1Char"/>
          <w:rFonts w:ascii="Arial" w:hAnsi="Arial" w:cs="Arial"/>
          <w:sz w:val="22"/>
          <w:szCs w:val="22"/>
          <w:lang w:val="es-ES"/>
        </w:rPr>
      </w:pPr>
      <w:r w:rsidRPr="00DD2307">
        <w:rPr>
          <w:rStyle w:val="Heading1Char"/>
          <w:rFonts w:ascii="Arial" w:hAnsi="Arial" w:cs="Arial"/>
          <w:sz w:val="22"/>
          <w:szCs w:val="22"/>
          <w:lang w:val="es-ES"/>
        </w:rPr>
        <w:t>Tabla</w:t>
      </w:r>
      <w:r w:rsidR="006E21C8" w:rsidRPr="00DD2307">
        <w:rPr>
          <w:rStyle w:val="Heading1Char"/>
          <w:rFonts w:ascii="Arial" w:hAnsi="Arial" w:cs="Arial"/>
          <w:sz w:val="22"/>
          <w:szCs w:val="22"/>
          <w:lang w:val="es-ES"/>
        </w:rPr>
        <w:t xml:space="preserve"> </w:t>
      </w:r>
      <w:r w:rsidR="003F6179" w:rsidRPr="00DD2307">
        <w:rPr>
          <w:rStyle w:val="Heading1Char"/>
          <w:rFonts w:ascii="Arial" w:hAnsi="Arial" w:cs="Arial"/>
          <w:sz w:val="22"/>
          <w:szCs w:val="22"/>
          <w:lang w:val="es-ES"/>
        </w:rPr>
        <w:t>5</w:t>
      </w:r>
      <w:r w:rsidR="006E21C8" w:rsidRPr="00DD2307">
        <w:rPr>
          <w:rStyle w:val="Heading1Char"/>
          <w:rFonts w:ascii="Arial" w:hAnsi="Arial" w:cs="Arial"/>
          <w:sz w:val="22"/>
          <w:szCs w:val="22"/>
          <w:lang w:val="es-ES"/>
        </w:rPr>
        <w:t>. Presupuesto Anual para la Operación del Sistema de Monitoreo del Proyecto (US$)</w:t>
      </w:r>
    </w:p>
    <w:p w14:paraId="7BB029E3" w14:textId="77777777" w:rsidR="00DA60A3" w:rsidRPr="00DD2307" w:rsidRDefault="00DA60A3" w:rsidP="00534766">
      <w:pPr>
        <w:spacing w:line="276" w:lineRule="auto"/>
        <w:ind w:right="-450"/>
        <w:jc w:val="both"/>
        <w:rPr>
          <w:rStyle w:val="Heading1Char"/>
          <w:rFonts w:ascii="Arial" w:hAnsi="Arial" w:cs="Arial"/>
          <w:sz w:val="22"/>
          <w:szCs w:val="22"/>
          <w:lang w:val="es-ES"/>
        </w:rPr>
      </w:pPr>
    </w:p>
    <w:tbl>
      <w:tblPr>
        <w:tblW w:w="8282" w:type="dxa"/>
        <w:jc w:val="center"/>
        <w:tblCellMar>
          <w:left w:w="70" w:type="dxa"/>
          <w:right w:w="70" w:type="dxa"/>
        </w:tblCellMar>
        <w:tblLook w:val="04A0" w:firstRow="1" w:lastRow="0" w:firstColumn="1" w:lastColumn="0" w:noHBand="0" w:noVBand="1"/>
      </w:tblPr>
      <w:tblGrid>
        <w:gridCol w:w="2953"/>
        <w:gridCol w:w="986"/>
        <w:gridCol w:w="1119"/>
        <w:gridCol w:w="1119"/>
        <w:gridCol w:w="1119"/>
        <w:gridCol w:w="986"/>
      </w:tblGrid>
      <w:tr w:rsidR="00CE76F2" w:rsidRPr="00DD2307" w14:paraId="4CA02E5B" w14:textId="77777777" w:rsidTr="00074E94">
        <w:trPr>
          <w:trHeight w:val="300"/>
          <w:jc w:val="center"/>
        </w:trPr>
        <w:tc>
          <w:tcPr>
            <w:tcW w:w="29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043E04D" w14:textId="77777777"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Actividades</w:t>
            </w:r>
          </w:p>
        </w:tc>
        <w:tc>
          <w:tcPr>
            <w:tcW w:w="986" w:type="dxa"/>
            <w:tcBorders>
              <w:top w:val="single" w:sz="4" w:space="0" w:color="auto"/>
              <w:left w:val="nil"/>
              <w:bottom w:val="single" w:sz="4" w:space="0" w:color="auto"/>
              <w:right w:val="single" w:sz="4" w:space="0" w:color="auto"/>
            </w:tcBorders>
            <w:shd w:val="clear" w:color="000000" w:fill="F2F2F2"/>
            <w:vAlign w:val="center"/>
            <w:hideMark/>
          </w:tcPr>
          <w:p w14:paraId="3700C71C" w14:textId="77777777"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1</w:t>
            </w:r>
          </w:p>
        </w:tc>
        <w:tc>
          <w:tcPr>
            <w:tcW w:w="1119" w:type="dxa"/>
            <w:tcBorders>
              <w:top w:val="single" w:sz="4" w:space="0" w:color="auto"/>
              <w:left w:val="nil"/>
              <w:bottom w:val="single" w:sz="4" w:space="0" w:color="auto"/>
              <w:right w:val="single" w:sz="4" w:space="0" w:color="auto"/>
            </w:tcBorders>
            <w:shd w:val="clear" w:color="000000" w:fill="F2F2F2"/>
            <w:vAlign w:val="center"/>
            <w:hideMark/>
          </w:tcPr>
          <w:p w14:paraId="33E34E8C" w14:textId="77777777"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2</w:t>
            </w:r>
          </w:p>
        </w:tc>
        <w:tc>
          <w:tcPr>
            <w:tcW w:w="1119" w:type="dxa"/>
            <w:tcBorders>
              <w:top w:val="single" w:sz="4" w:space="0" w:color="auto"/>
              <w:left w:val="nil"/>
              <w:bottom w:val="single" w:sz="4" w:space="0" w:color="auto"/>
              <w:right w:val="single" w:sz="4" w:space="0" w:color="auto"/>
            </w:tcBorders>
            <w:shd w:val="clear" w:color="000000" w:fill="F2F2F2"/>
            <w:vAlign w:val="center"/>
            <w:hideMark/>
          </w:tcPr>
          <w:p w14:paraId="32490E60" w14:textId="77777777"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3</w:t>
            </w:r>
          </w:p>
        </w:tc>
        <w:tc>
          <w:tcPr>
            <w:tcW w:w="1119" w:type="dxa"/>
            <w:tcBorders>
              <w:top w:val="single" w:sz="4" w:space="0" w:color="auto"/>
              <w:left w:val="nil"/>
              <w:bottom w:val="single" w:sz="4" w:space="0" w:color="auto"/>
              <w:right w:val="single" w:sz="4" w:space="0" w:color="auto"/>
            </w:tcBorders>
            <w:shd w:val="clear" w:color="000000" w:fill="F2F2F2"/>
            <w:vAlign w:val="center"/>
            <w:hideMark/>
          </w:tcPr>
          <w:p w14:paraId="5C61DFBF" w14:textId="72501F88"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 xml:space="preserve">Año </w:t>
            </w:r>
            <w:r>
              <w:rPr>
                <w:rFonts w:ascii="Arial" w:hAnsi="Arial" w:cs="Arial"/>
                <w:b/>
                <w:bCs/>
                <w:color w:val="000000"/>
                <w:spacing w:val="0"/>
                <w:sz w:val="16"/>
                <w:szCs w:val="16"/>
                <w:lang w:val="es-ES" w:eastAsia="es-EC"/>
              </w:rPr>
              <w:t>4</w:t>
            </w:r>
          </w:p>
        </w:tc>
        <w:tc>
          <w:tcPr>
            <w:tcW w:w="986" w:type="dxa"/>
            <w:tcBorders>
              <w:top w:val="single" w:sz="4" w:space="0" w:color="auto"/>
              <w:left w:val="nil"/>
              <w:bottom w:val="single" w:sz="4" w:space="0" w:color="auto"/>
              <w:right w:val="single" w:sz="4" w:space="0" w:color="auto"/>
            </w:tcBorders>
            <w:shd w:val="clear" w:color="000000" w:fill="F2F2F2"/>
            <w:vAlign w:val="center"/>
            <w:hideMark/>
          </w:tcPr>
          <w:p w14:paraId="31D17C74" w14:textId="77777777" w:rsidR="00CE76F2" w:rsidRPr="00DD2307" w:rsidRDefault="00CE76F2" w:rsidP="00DA60A3">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Total</w:t>
            </w:r>
          </w:p>
        </w:tc>
      </w:tr>
      <w:tr w:rsidR="00CE76F2" w:rsidRPr="00DD2307" w14:paraId="3ABEB24B"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381F2616" w14:textId="5FF4FE4F" w:rsidR="00CE76F2" w:rsidRPr="00DD2307" w:rsidRDefault="00CE76F2" w:rsidP="00CE76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Especialistas en Monitoreo y Evaluación del OE u OSE</w:t>
            </w:r>
          </w:p>
        </w:tc>
        <w:tc>
          <w:tcPr>
            <w:tcW w:w="986" w:type="dxa"/>
            <w:tcBorders>
              <w:top w:val="nil"/>
              <w:left w:val="nil"/>
              <w:bottom w:val="single" w:sz="4" w:space="0" w:color="auto"/>
              <w:right w:val="single" w:sz="4" w:space="0" w:color="auto"/>
            </w:tcBorders>
            <w:shd w:val="clear" w:color="000000" w:fill="FFFFFF"/>
            <w:vAlign w:val="center"/>
            <w:hideMark/>
          </w:tcPr>
          <w:p w14:paraId="1E04E958" w14:textId="707EE88F" w:rsidR="00CE76F2" w:rsidRPr="00DD2307" w:rsidRDefault="00CE76F2" w:rsidP="00CE76F2">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xml:space="preserve"> </w:t>
            </w:r>
            <w:r>
              <w:rPr>
                <w:rFonts w:ascii="Arial" w:hAnsi="Arial" w:cs="Arial"/>
                <w:color w:val="000000"/>
                <w:spacing w:val="0"/>
                <w:sz w:val="16"/>
                <w:szCs w:val="16"/>
                <w:lang w:val="es-ES" w:eastAsia="es-EC"/>
              </w:rPr>
              <w:t>13.798</w:t>
            </w:r>
            <w:r w:rsidRPr="00DD2307">
              <w:rPr>
                <w:rFonts w:ascii="Arial" w:hAnsi="Arial" w:cs="Arial"/>
                <w:color w:val="000000"/>
                <w:spacing w:val="0"/>
                <w:sz w:val="16"/>
                <w:szCs w:val="16"/>
                <w:lang w:val="es-ES" w:eastAsia="es-EC"/>
              </w:rPr>
              <w:t xml:space="preserve">   </w:t>
            </w:r>
          </w:p>
        </w:tc>
        <w:tc>
          <w:tcPr>
            <w:tcW w:w="1119" w:type="dxa"/>
            <w:tcBorders>
              <w:top w:val="nil"/>
              <w:left w:val="nil"/>
              <w:bottom w:val="single" w:sz="4" w:space="0" w:color="auto"/>
              <w:right w:val="single" w:sz="4" w:space="0" w:color="auto"/>
            </w:tcBorders>
            <w:shd w:val="clear" w:color="000000" w:fill="FFFFFF"/>
            <w:vAlign w:val="center"/>
            <w:hideMark/>
          </w:tcPr>
          <w:p w14:paraId="3D789628" w14:textId="2D200729" w:rsidR="00CE76F2" w:rsidRPr="00DD2307" w:rsidRDefault="00CE76F2" w:rsidP="00CE76F2">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xml:space="preserve"> </w:t>
            </w:r>
            <w:r>
              <w:rPr>
                <w:rFonts w:ascii="Arial" w:hAnsi="Arial" w:cs="Arial"/>
                <w:color w:val="000000"/>
                <w:spacing w:val="0"/>
                <w:sz w:val="16"/>
                <w:szCs w:val="16"/>
                <w:lang w:val="es-ES" w:eastAsia="es-EC"/>
              </w:rPr>
              <w:t>41</w:t>
            </w:r>
            <w:r w:rsidRPr="00DD2307">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395</w:t>
            </w:r>
            <w:r w:rsidRPr="00DD2307">
              <w:rPr>
                <w:rFonts w:ascii="Arial" w:hAnsi="Arial" w:cs="Arial"/>
                <w:color w:val="000000"/>
                <w:spacing w:val="0"/>
                <w:sz w:val="16"/>
                <w:szCs w:val="16"/>
                <w:lang w:val="es-ES" w:eastAsia="es-EC"/>
              </w:rPr>
              <w:t xml:space="preserve">   </w:t>
            </w:r>
          </w:p>
        </w:tc>
        <w:tc>
          <w:tcPr>
            <w:tcW w:w="1119" w:type="dxa"/>
            <w:tcBorders>
              <w:top w:val="nil"/>
              <w:left w:val="nil"/>
              <w:bottom w:val="single" w:sz="4" w:space="0" w:color="auto"/>
              <w:right w:val="single" w:sz="4" w:space="0" w:color="auto"/>
            </w:tcBorders>
            <w:shd w:val="clear" w:color="000000" w:fill="FFFFFF"/>
            <w:hideMark/>
          </w:tcPr>
          <w:p w14:paraId="5625576B" w14:textId="40BF6C96" w:rsidR="00CE76F2" w:rsidRPr="00DD2307" w:rsidRDefault="00CE76F2" w:rsidP="00CE76F2">
            <w:pPr>
              <w:jc w:val="right"/>
              <w:rPr>
                <w:rFonts w:ascii="Arial" w:hAnsi="Arial" w:cs="Arial"/>
                <w:color w:val="000000"/>
                <w:spacing w:val="0"/>
                <w:sz w:val="16"/>
                <w:szCs w:val="16"/>
                <w:lang w:val="es-ES" w:eastAsia="es-EC"/>
              </w:rPr>
            </w:pPr>
            <w:r w:rsidRPr="001A6310">
              <w:rPr>
                <w:rFonts w:ascii="Arial" w:hAnsi="Arial" w:cs="Arial"/>
                <w:color w:val="000000"/>
                <w:spacing w:val="0"/>
                <w:sz w:val="16"/>
                <w:szCs w:val="16"/>
                <w:lang w:val="es-ES" w:eastAsia="es-EC"/>
              </w:rPr>
              <w:t xml:space="preserve">41,395   </w:t>
            </w:r>
          </w:p>
        </w:tc>
        <w:tc>
          <w:tcPr>
            <w:tcW w:w="1119" w:type="dxa"/>
            <w:tcBorders>
              <w:top w:val="nil"/>
              <w:left w:val="nil"/>
              <w:bottom w:val="single" w:sz="4" w:space="0" w:color="auto"/>
              <w:right w:val="single" w:sz="4" w:space="0" w:color="auto"/>
            </w:tcBorders>
            <w:shd w:val="clear" w:color="000000" w:fill="FFFFFF"/>
            <w:hideMark/>
          </w:tcPr>
          <w:p w14:paraId="5DA44AEE" w14:textId="0AB59548" w:rsidR="00CE76F2" w:rsidRPr="00DD2307" w:rsidRDefault="00CE76F2" w:rsidP="00CE76F2">
            <w:pPr>
              <w:jc w:val="right"/>
              <w:rPr>
                <w:rFonts w:ascii="Arial" w:hAnsi="Arial" w:cs="Arial"/>
                <w:color w:val="000000"/>
                <w:spacing w:val="0"/>
                <w:sz w:val="16"/>
                <w:szCs w:val="16"/>
                <w:lang w:val="es-ES" w:eastAsia="es-EC"/>
              </w:rPr>
            </w:pPr>
            <w:r w:rsidRPr="001A6310">
              <w:rPr>
                <w:rFonts w:ascii="Arial" w:hAnsi="Arial" w:cs="Arial"/>
                <w:color w:val="000000"/>
                <w:spacing w:val="0"/>
                <w:sz w:val="16"/>
                <w:szCs w:val="16"/>
                <w:lang w:val="es-ES" w:eastAsia="es-EC"/>
              </w:rPr>
              <w:t xml:space="preserve">41,395   </w:t>
            </w:r>
          </w:p>
        </w:tc>
        <w:tc>
          <w:tcPr>
            <w:tcW w:w="986" w:type="dxa"/>
            <w:tcBorders>
              <w:top w:val="nil"/>
              <w:left w:val="nil"/>
              <w:bottom w:val="single" w:sz="4" w:space="0" w:color="auto"/>
              <w:right w:val="single" w:sz="4" w:space="0" w:color="auto"/>
            </w:tcBorders>
            <w:shd w:val="clear" w:color="000000" w:fill="FFFFFF"/>
            <w:vAlign w:val="center"/>
            <w:hideMark/>
          </w:tcPr>
          <w:p w14:paraId="02DB8660" w14:textId="1083ED66" w:rsidR="00CE76F2" w:rsidRPr="00DD2307" w:rsidRDefault="00CE76F2" w:rsidP="00CE76F2">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r>
              <w:rPr>
                <w:rFonts w:ascii="Arial" w:hAnsi="Arial" w:cs="Arial"/>
                <w:b/>
                <w:bCs/>
                <w:color w:val="000000"/>
                <w:spacing w:val="0"/>
                <w:sz w:val="16"/>
                <w:szCs w:val="16"/>
                <w:lang w:val="es-ES" w:eastAsia="es-EC"/>
              </w:rPr>
              <w:t>37</w:t>
            </w:r>
            <w:r w:rsidRPr="00DD2307">
              <w:rPr>
                <w:rFonts w:ascii="Arial" w:hAnsi="Arial" w:cs="Arial"/>
                <w:b/>
                <w:bCs/>
                <w:color w:val="000000"/>
                <w:spacing w:val="0"/>
                <w:sz w:val="16"/>
                <w:szCs w:val="16"/>
                <w:lang w:val="es-ES" w:eastAsia="es-EC"/>
              </w:rPr>
              <w:t>,</w:t>
            </w:r>
            <w:r>
              <w:rPr>
                <w:rFonts w:ascii="Arial" w:hAnsi="Arial" w:cs="Arial"/>
                <w:b/>
                <w:bCs/>
                <w:color w:val="000000"/>
                <w:spacing w:val="0"/>
                <w:sz w:val="16"/>
                <w:szCs w:val="16"/>
                <w:lang w:val="es-ES" w:eastAsia="es-EC"/>
              </w:rPr>
              <w:t>984</w:t>
            </w:r>
          </w:p>
        </w:tc>
      </w:tr>
      <w:tr w:rsidR="00CE76F2" w:rsidRPr="00DD2307" w14:paraId="2EDC828B"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40CAC18A" w14:textId="77777777" w:rsidR="00CE76F2" w:rsidRPr="00D51B14" w:rsidRDefault="00CE76F2" w:rsidP="00DA60A3">
            <w:pPr>
              <w:jc w:val="both"/>
              <w:rPr>
                <w:rFonts w:ascii="Arial" w:hAnsi="Arial" w:cs="Arial"/>
                <w:color w:val="000000"/>
                <w:spacing w:val="0"/>
                <w:sz w:val="16"/>
                <w:szCs w:val="16"/>
                <w:lang w:val="pt-BR" w:eastAsia="es-EC"/>
              </w:rPr>
            </w:pPr>
            <w:r w:rsidRPr="00D51B14">
              <w:rPr>
                <w:rFonts w:ascii="Arial" w:hAnsi="Arial" w:cs="Arial"/>
                <w:color w:val="000000"/>
                <w:spacing w:val="0"/>
                <w:sz w:val="16"/>
                <w:szCs w:val="16"/>
                <w:lang w:val="pt-BR" w:eastAsia="es-EC"/>
              </w:rPr>
              <w:t xml:space="preserve">Informe semestral de </w:t>
            </w:r>
            <w:proofErr w:type="spellStart"/>
            <w:r w:rsidRPr="00D51B14">
              <w:rPr>
                <w:rFonts w:ascii="Arial" w:hAnsi="Arial" w:cs="Arial"/>
                <w:color w:val="000000"/>
                <w:spacing w:val="0"/>
                <w:sz w:val="16"/>
                <w:szCs w:val="16"/>
                <w:lang w:val="pt-BR" w:eastAsia="es-EC"/>
              </w:rPr>
              <w:t>progreso</w:t>
            </w:r>
            <w:proofErr w:type="spellEnd"/>
            <w:r w:rsidRPr="00D51B14">
              <w:rPr>
                <w:rFonts w:ascii="Arial" w:hAnsi="Arial" w:cs="Arial"/>
                <w:color w:val="000000"/>
                <w:spacing w:val="0"/>
                <w:sz w:val="16"/>
                <w:szCs w:val="16"/>
                <w:lang w:val="pt-BR" w:eastAsia="es-EC"/>
              </w:rPr>
              <w:t xml:space="preserve"> o avance</w:t>
            </w:r>
          </w:p>
        </w:tc>
        <w:tc>
          <w:tcPr>
            <w:tcW w:w="986" w:type="dxa"/>
            <w:tcBorders>
              <w:top w:val="nil"/>
              <w:left w:val="nil"/>
              <w:bottom w:val="single" w:sz="4" w:space="0" w:color="auto"/>
              <w:right w:val="single" w:sz="4" w:space="0" w:color="auto"/>
            </w:tcBorders>
            <w:shd w:val="clear" w:color="000000" w:fill="FFFFFF"/>
            <w:vAlign w:val="center"/>
            <w:hideMark/>
          </w:tcPr>
          <w:p w14:paraId="3D6F90E4"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0</w:t>
            </w:r>
          </w:p>
        </w:tc>
        <w:tc>
          <w:tcPr>
            <w:tcW w:w="1119" w:type="dxa"/>
            <w:tcBorders>
              <w:top w:val="nil"/>
              <w:left w:val="nil"/>
              <w:bottom w:val="single" w:sz="4" w:space="0" w:color="auto"/>
              <w:right w:val="single" w:sz="4" w:space="0" w:color="auto"/>
            </w:tcBorders>
            <w:shd w:val="clear" w:color="000000" w:fill="FFFFFF"/>
            <w:vAlign w:val="center"/>
            <w:hideMark/>
          </w:tcPr>
          <w:p w14:paraId="7C1658C9"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0</w:t>
            </w:r>
          </w:p>
        </w:tc>
        <w:tc>
          <w:tcPr>
            <w:tcW w:w="1119" w:type="dxa"/>
            <w:tcBorders>
              <w:top w:val="nil"/>
              <w:left w:val="nil"/>
              <w:bottom w:val="single" w:sz="4" w:space="0" w:color="auto"/>
              <w:right w:val="single" w:sz="4" w:space="0" w:color="auto"/>
            </w:tcBorders>
            <w:shd w:val="clear" w:color="000000" w:fill="FFFFFF"/>
            <w:vAlign w:val="center"/>
            <w:hideMark/>
          </w:tcPr>
          <w:p w14:paraId="00590EAF"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0</w:t>
            </w:r>
          </w:p>
        </w:tc>
        <w:tc>
          <w:tcPr>
            <w:tcW w:w="1119" w:type="dxa"/>
            <w:tcBorders>
              <w:top w:val="nil"/>
              <w:left w:val="nil"/>
              <w:bottom w:val="single" w:sz="4" w:space="0" w:color="auto"/>
              <w:right w:val="single" w:sz="4" w:space="0" w:color="auto"/>
            </w:tcBorders>
            <w:shd w:val="clear" w:color="000000" w:fill="FFFFFF"/>
            <w:vAlign w:val="center"/>
            <w:hideMark/>
          </w:tcPr>
          <w:p w14:paraId="371B95F7"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0</w:t>
            </w:r>
          </w:p>
        </w:tc>
        <w:tc>
          <w:tcPr>
            <w:tcW w:w="986" w:type="dxa"/>
            <w:tcBorders>
              <w:top w:val="nil"/>
              <w:left w:val="nil"/>
              <w:bottom w:val="single" w:sz="4" w:space="0" w:color="auto"/>
              <w:right w:val="single" w:sz="4" w:space="0" w:color="auto"/>
            </w:tcBorders>
            <w:shd w:val="clear" w:color="000000" w:fill="FFFFFF"/>
            <w:vAlign w:val="center"/>
            <w:hideMark/>
          </w:tcPr>
          <w:p w14:paraId="3854F8E0" w14:textId="77777777" w:rsidR="00CE76F2" w:rsidRPr="00DD2307" w:rsidRDefault="00CE76F2" w:rsidP="00DA60A3">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0</w:t>
            </w:r>
          </w:p>
        </w:tc>
      </w:tr>
      <w:tr w:rsidR="00CE76F2" w:rsidRPr="00DD2307" w14:paraId="614A9DD5"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5C88C7D1" w14:textId="54CD079F" w:rsidR="00CE76F2" w:rsidRPr="00DD2307" w:rsidRDefault="00CE76F2" w:rsidP="00CE76F2">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Informes de Auditor</w:t>
            </w:r>
            <w:r>
              <w:rPr>
                <w:rFonts w:ascii="Arial" w:hAnsi="Arial" w:cs="Arial"/>
                <w:color w:val="000000"/>
                <w:spacing w:val="0"/>
                <w:sz w:val="16"/>
                <w:szCs w:val="16"/>
                <w:lang w:val="es-ES" w:eastAsia="es-EC"/>
              </w:rPr>
              <w:t>í</w:t>
            </w:r>
            <w:r w:rsidRPr="00DD2307">
              <w:rPr>
                <w:rFonts w:ascii="Arial" w:hAnsi="Arial" w:cs="Arial"/>
                <w:color w:val="000000"/>
                <w:spacing w:val="0"/>
                <w:sz w:val="16"/>
                <w:szCs w:val="16"/>
                <w:lang w:val="es-ES" w:eastAsia="es-EC"/>
              </w:rPr>
              <w:t>a (x5)</w:t>
            </w:r>
          </w:p>
        </w:tc>
        <w:tc>
          <w:tcPr>
            <w:tcW w:w="986" w:type="dxa"/>
            <w:tcBorders>
              <w:top w:val="nil"/>
              <w:left w:val="nil"/>
              <w:bottom w:val="single" w:sz="4" w:space="0" w:color="auto"/>
              <w:right w:val="single" w:sz="4" w:space="0" w:color="auto"/>
            </w:tcBorders>
            <w:shd w:val="clear" w:color="000000" w:fill="FFFFFF"/>
            <w:vAlign w:val="center"/>
            <w:hideMark/>
          </w:tcPr>
          <w:p w14:paraId="0666750C" w14:textId="4E3BBD51" w:rsidR="00CE76F2" w:rsidRPr="00DD2307" w:rsidRDefault="00CE76F2" w:rsidP="00CE76F2">
            <w:pPr>
              <w:jc w:val="right"/>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35</w:t>
            </w:r>
            <w:r w:rsidRPr="00DD2307">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00</w:t>
            </w:r>
            <w:r w:rsidRPr="00DD2307">
              <w:rPr>
                <w:rFonts w:ascii="Arial" w:hAnsi="Arial" w:cs="Arial"/>
                <w:color w:val="000000"/>
                <w:spacing w:val="0"/>
                <w:sz w:val="16"/>
                <w:szCs w:val="16"/>
                <w:lang w:val="es-ES" w:eastAsia="es-EC"/>
              </w:rPr>
              <w:t>0</w:t>
            </w:r>
          </w:p>
        </w:tc>
        <w:tc>
          <w:tcPr>
            <w:tcW w:w="1119" w:type="dxa"/>
            <w:tcBorders>
              <w:top w:val="nil"/>
              <w:left w:val="nil"/>
              <w:bottom w:val="single" w:sz="4" w:space="0" w:color="auto"/>
              <w:right w:val="single" w:sz="4" w:space="0" w:color="auto"/>
            </w:tcBorders>
            <w:shd w:val="clear" w:color="000000" w:fill="FFFFFF"/>
            <w:hideMark/>
          </w:tcPr>
          <w:p w14:paraId="23A4F1DA" w14:textId="64DAA969" w:rsidR="00CE76F2" w:rsidRPr="00DD2307" w:rsidRDefault="00CE76F2" w:rsidP="00CE76F2">
            <w:pPr>
              <w:jc w:val="right"/>
              <w:rPr>
                <w:rFonts w:ascii="Arial" w:hAnsi="Arial" w:cs="Arial"/>
                <w:color w:val="000000"/>
                <w:spacing w:val="0"/>
                <w:sz w:val="16"/>
                <w:szCs w:val="16"/>
                <w:lang w:val="es-ES" w:eastAsia="es-EC"/>
              </w:rPr>
            </w:pPr>
            <w:r w:rsidRPr="006E003D">
              <w:rPr>
                <w:rFonts w:ascii="Arial" w:hAnsi="Arial" w:cs="Arial"/>
                <w:color w:val="000000"/>
                <w:spacing w:val="0"/>
                <w:sz w:val="16"/>
                <w:szCs w:val="16"/>
                <w:lang w:val="es-ES" w:eastAsia="es-EC"/>
              </w:rPr>
              <w:t>35,000</w:t>
            </w:r>
          </w:p>
        </w:tc>
        <w:tc>
          <w:tcPr>
            <w:tcW w:w="1119" w:type="dxa"/>
            <w:tcBorders>
              <w:top w:val="nil"/>
              <w:left w:val="nil"/>
              <w:bottom w:val="single" w:sz="4" w:space="0" w:color="auto"/>
              <w:right w:val="single" w:sz="4" w:space="0" w:color="auto"/>
            </w:tcBorders>
            <w:shd w:val="clear" w:color="000000" w:fill="FFFFFF"/>
            <w:hideMark/>
          </w:tcPr>
          <w:p w14:paraId="09DEFD48" w14:textId="33A20AF2" w:rsidR="00CE76F2" w:rsidRPr="00DD2307" w:rsidRDefault="00CE76F2" w:rsidP="00CE76F2">
            <w:pPr>
              <w:jc w:val="right"/>
              <w:rPr>
                <w:rFonts w:ascii="Arial" w:hAnsi="Arial" w:cs="Arial"/>
                <w:color w:val="000000"/>
                <w:spacing w:val="0"/>
                <w:sz w:val="16"/>
                <w:szCs w:val="16"/>
                <w:lang w:val="es-ES" w:eastAsia="es-EC"/>
              </w:rPr>
            </w:pPr>
            <w:r w:rsidRPr="006E003D">
              <w:rPr>
                <w:rFonts w:ascii="Arial" w:hAnsi="Arial" w:cs="Arial"/>
                <w:color w:val="000000"/>
                <w:spacing w:val="0"/>
                <w:sz w:val="16"/>
                <w:szCs w:val="16"/>
                <w:lang w:val="es-ES" w:eastAsia="es-EC"/>
              </w:rPr>
              <w:t>35,000</w:t>
            </w:r>
          </w:p>
        </w:tc>
        <w:tc>
          <w:tcPr>
            <w:tcW w:w="1119" w:type="dxa"/>
            <w:tcBorders>
              <w:top w:val="nil"/>
              <w:left w:val="nil"/>
              <w:bottom w:val="single" w:sz="4" w:space="0" w:color="auto"/>
              <w:right w:val="single" w:sz="4" w:space="0" w:color="auto"/>
            </w:tcBorders>
            <w:shd w:val="clear" w:color="000000" w:fill="FFFFFF"/>
            <w:hideMark/>
          </w:tcPr>
          <w:p w14:paraId="15D0C73B" w14:textId="6A8AABAC" w:rsidR="00CE76F2" w:rsidRPr="00DD2307" w:rsidRDefault="00CE76F2" w:rsidP="00CE76F2">
            <w:pPr>
              <w:jc w:val="right"/>
              <w:rPr>
                <w:rFonts w:ascii="Arial" w:hAnsi="Arial" w:cs="Arial"/>
                <w:color w:val="000000"/>
                <w:spacing w:val="0"/>
                <w:sz w:val="16"/>
                <w:szCs w:val="16"/>
                <w:lang w:val="es-ES" w:eastAsia="es-EC"/>
              </w:rPr>
            </w:pPr>
            <w:r w:rsidRPr="006E003D">
              <w:rPr>
                <w:rFonts w:ascii="Arial" w:hAnsi="Arial" w:cs="Arial"/>
                <w:color w:val="000000"/>
                <w:spacing w:val="0"/>
                <w:sz w:val="16"/>
                <w:szCs w:val="16"/>
                <w:lang w:val="es-ES" w:eastAsia="es-EC"/>
              </w:rPr>
              <w:t>35,000</w:t>
            </w:r>
          </w:p>
        </w:tc>
        <w:tc>
          <w:tcPr>
            <w:tcW w:w="986" w:type="dxa"/>
            <w:tcBorders>
              <w:top w:val="nil"/>
              <w:left w:val="nil"/>
              <w:bottom w:val="single" w:sz="4" w:space="0" w:color="auto"/>
              <w:right w:val="single" w:sz="4" w:space="0" w:color="auto"/>
            </w:tcBorders>
            <w:shd w:val="clear" w:color="000000" w:fill="FFFFFF"/>
            <w:vAlign w:val="center"/>
            <w:hideMark/>
          </w:tcPr>
          <w:p w14:paraId="0577D59D" w14:textId="64E8C371" w:rsidR="00CE76F2" w:rsidRPr="00DD2307" w:rsidRDefault="00CE76F2" w:rsidP="00CE76F2">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r>
              <w:rPr>
                <w:rFonts w:ascii="Arial" w:hAnsi="Arial" w:cs="Arial"/>
                <w:b/>
                <w:bCs/>
                <w:color w:val="000000"/>
                <w:spacing w:val="0"/>
                <w:sz w:val="16"/>
                <w:szCs w:val="16"/>
                <w:lang w:val="es-ES" w:eastAsia="es-EC"/>
              </w:rPr>
              <w:t>40</w:t>
            </w:r>
            <w:r w:rsidRPr="00DD2307">
              <w:rPr>
                <w:rFonts w:ascii="Arial" w:hAnsi="Arial" w:cs="Arial"/>
                <w:b/>
                <w:bCs/>
                <w:color w:val="000000"/>
                <w:spacing w:val="0"/>
                <w:sz w:val="16"/>
                <w:szCs w:val="16"/>
                <w:lang w:val="es-ES" w:eastAsia="es-EC"/>
              </w:rPr>
              <w:t>,000</w:t>
            </w:r>
          </w:p>
        </w:tc>
      </w:tr>
      <w:tr w:rsidR="00CE76F2" w:rsidRPr="00DD2307" w14:paraId="71F7ED8A"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0695DE42" w14:textId="58AA4051" w:rsidR="00CE76F2" w:rsidRPr="00DD2307" w:rsidRDefault="00CE76F2" w:rsidP="00DA60A3">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Informes de Auditor</w:t>
            </w:r>
            <w:r>
              <w:rPr>
                <w:rFonts w:ascii="Arial" w:hAnsi="Arial" w:cs="Arial"/>
                <w:color w:val="000000"/>
                <w:spacing w:val="0"/>
                <w:sz w:val="16"/>
                <w:szCs w:val="16"/>
                <w:lang w:val="es-ES" w:eastAsia="es-EC"/>
              </w:rPr>
              <w:t>í</w:t>
            </w:r>
            <w:r w:rsidRPr="00DD2307">
              <w:rPr>
                <w:rFonts w:ascii="Arial" w:hAnsi="Arial" w:cs="Arial"/>
                <w:color w:val="000000"/>
                <w:spacing w:val="0"/>
                <w:sz w:val="16"/>
                <w:szCs w:val="16"/>
                <w:lang w:val="es-ES" w:eastAsia="es-EC"/>
              </w:rPr>
              <w:t>a (desvinculaciones) (x</w:t>
            </w:r>
            <w:r>
              <w:rPr>
                <w:rFonts w:ascii="Arial" w:hAnsi="Arial" w:cs="Arial"/>
                <w:color w:val="000000"/>
                <w:spacing w:val="0"/>
                <w:sz w:val="16"/>
                <w:szCs w:val="16"/>
                <w:lang w:val="es-ES" w:eastAsia="es-EC"/>
              </w:rPr>
              <w:t>6</w:t>
            </w:r>
            <w:r w:rsidRPr="00DD2307">
              <w:rPr>
                <w:rFonts w:ascii="Arial" w:hAnsi="Arial" w:cs="Arial"/>
                <w:color w:val="000000"/>
                <w:spacing w:val="0"/>
                <w:sz w:val="16"/>
                <w:szCs w:val="16"/>
                <w:lang w:val="es-ES" w:eastAsia="es-EC"/>
              </w:rPr>
              <w:t>)</w:t>
            </w:r>
          </w:p>
        </w:tc>
        <w:tc>
          <w:tcPr>
            <w:tcW w:w="986" w:type="dxa"/>
            <w:tcBorders>
              <w:top w:val="nil"/>
              <w:left w:val="nil"/>
              <w:bottom w:val="single" w:sz="4" w:space="0" w:color="auto"/>
              <w:right w:val="single" w:sz="4" w:space="0" w:color="auto"/>
            </w:tcBorders>
            <w:shd w:val="clear" w:color="000000" w:fill="FFFFFF"/>
            <w:vAlign w:val="center"/>
            <w:hideMark/>
          </w:tcPr>
          <w:p w14:paraId="3E7C3057"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3D575372"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5A290E16" w14:textId="509EBDB6"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5</w:t>
            </w:r>
            <w:r>
              <w:rPr>
                <w:rFonts w:ascii="Arial" w:hAnsi="Arial" w:cs="Arial"/>
                <w:color w:val="000000"/>
                <w:spacing w:val="0"/>
                <w:sz w:val="16"/>
                <w:szCs w:val="16"/>
                <w:lang w:val="es-ES" w:eastAsia="es-EC"/>
              </w:rPr>
              <w:t>6</w:t>
            </w:r>
            <w:r w:rsidRPr="00DD2307">
              <w:rPr>
                <w:rFonts w:ascii="Arial" w:hAnsi="Arial" w:cs="Arial"/>
                <w:color w:val="000000"/>
                <w:spacing w:val="0"/>
                <w:sz w:val="16"/>
                <w:szCs w:val="16"/>
                <w:lang w:val="es-ES" w:eastAsia="es-EC"/>
              </w:rPr>
              <w:t>,000</w:t>
            </w:r>
          </w:p>
        </w:tc>
        <w:tc>
          <w:tcPr>
            <w:tcW w:w="1119" w:type="dxa"/>
            <w:tcBorders>
              <w:top w:val="nil"/>
              <w:left w:val="nil"/>
              <w:bottom w:val="single" w:sz="4" w:space="0" w:color="auto"/>
              <w:right w:val="single" w:sz="4" w:space="0" w:color="auto"/>
            </w:tcBorders>
            <w:shd w:val="clear" w:color="000000" w:fill="FFFFFF"/>
            <w:vAlign w:val="center"/>
            <w:hideMark/>
          </w:tcPr>
          <w:p w14:paraId="6108ECD3"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986" w:type="dxa"/>
            <w:tcBorders>
              <w:top w:val="nil"/>
              <w:left w:val="nil"/>
              <w:bottom w:val="single" w:sz="4" w:space="0" w:color="auto"/>
              <w:right w:val="single" w:sz="4" w:space="0" w:color="auto"/>
            </w:tcBorders>
            <w:shd w:val="clear" w:color="000000" w:fill="FFFFFF"/>
            <w:vAlign w:val="center"/>
            <w:hideMark/>
          </w:tcPr>
          <w:p w14:paraId="2E724CC5" w14:textId="74E0CC06" w:rsidR="00CE76F2" w:rsidRPr="00DD2307" w:rsidRDefault="00CE76F2" w:rsidP="00DA60A3">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5</w:t>
            </w:r>
            <w:r>
              <w:rPr>
                <w:rFonts w:ascii="Arial" w:hAnsi="Arial" w:cs="Arial"/>
                <w:b/>
                <w:bCs/>
                <w:color w:val="000000"/>
                <w:spacing w:val="0"/>
                <w:sz w:val="16"/>
                <w:szCs w:val="16"/>
                <w:lang w:val="es-ES" w:eastAsia="es-EC"/>
              </w:rPr>
              <w:t>6</w:t>
            </w:r>
            <w:r w:rsidRPr="00DD2307">
              <w:rPr>
                <w:rFonts w:ascii="Arial" w:hAnsi="Arial" w:cs="Arial"/>
                <w:b/>
                <w:bCs/>
                <w:color w:val="000000"/>
                <w:spacing w:val="0"/>
                <w:sz w:val="16"/>
                <w:szCs w:val="16"/>
                <w:lang w:val="es-ES" w:eastAsia="es-EC"/>
              </w:rPr>
              <w:t>,000</w:t>
            </w:r>
          </w:p>
        </w:tc>
      </w:tr>
      <w:tr w:rsidR="00CE76F2" w:rsidRPr="00DD2307" w14:paraId="0C98E36C"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4F60CE61" w14:textId="77777777" w:rsidR="00CE76F2" w:rsidRPr="00DD2307" w:rsidRDefault="00CE76F2" w:rsidP="00DA60A3">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Evaluación de Resultados intermedia</w:t>
            </w:r>
          </w:p>
        </w:tc>
        <w:tc>
          <w:tcPr>
            <w:tcW w:w="986" w:type="dxa"/>
            <w:tcBorders>
              <w:top w:val="nil"/>
              <w:left w:val="nil"/>
              <w:bottom w:val="single" w:sz="4" w:space="0" w:color="auto"/>
              <w:right w:val="single" w:sz="4" w:space="0" w:color="auto"/>
            </w:tcBorders>
            <w:shd w:val="clear" w:color="000000" w:fill="FFFFFF"/>
            <w:vAlign w:val="center"/>
            <w:hideMark/>
          </w:tcPr>
          <w:p w14:paraId="4FDA33D5"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01034EFF"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76FA2D3A" w14:textId="6FC12BD4"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w:t>
            </w:r>
            <w:r>
              <w:rPr>
                <w:rFonts w:ascii="Arial" w:hAnsi="Arial" w:cs="Arial"/>
                <w:color w:val="000000"/>
                <w:spacing w:val="0"/>
                <w:sz w:val="16"/>
                <w:szCs w:val="16"/>
                <w:lang w:val="es-ES" w:eastAsia="es-EC"/>
              </w:rPr>
              <w:t>3</w:t>
            </w:r>
            <w:r w:rsidRPr="00DD2307">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6</w:t>
            </w:r>
            <w:r w:rsidRPr="00DD2307">
              <w:rPr>
                <w:rFonts w:ascii="Arial" w:hAnsi="Arial" w:cs="Arial"/>
                <w:color w:val="000000"/>
                <w:spacing w:val="0"/>
                <w:sz w:val="16"/>
                <w:szCs w:val="16"/>
                <w:lang w:val="es-ES" w:eastAsia="es-EC"/>
              </w:rPr>
              <w:t>00</w:t>
            </w:r>
          </w:p>
        </w:tc>
        <w:tc>
          <w:tcPr>
            <w:tcW w:w="1119" w:type="dxa"/>
            <w:tcBorders>
              <w:top w:val="nil"/>
              <w:left w:val="nil"/>
              <w:bottom w:val="single" w:sz="4" w:space="0" w:color="auto"/>
              <w:right w:val="single" w:sz="4" w:space="0" w:color="auto"/>
            </w:tcBorders>
            <w:shd w:val="clear" w:color="000000" w:fill="FFFFFF"/>
            <w:vAlign w:val="center"/>
            <w:hideMark/>
          </w:tcPr>
          <w:p w14:paraId="5AF91BBC"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986" w:type="dxa"/>
            <w:tcBorders>
              <w:top w:val="nil"/>
              <w:left w:val="nil"/>
              <w:bottom w:val="single" w:sz="4" w:space="0" w:color="auto"/>
              <w:right w:val="single" w:sz="4" w:space="0" w:color="auto"/>
            </w:tcBorders>
            <w:shd w:val="clear" w:color="000000" w:fill="FFFFFF"/>
            <w:vAlign w:val="center"/>
            <w:hideMark/>
          </w:tcPr>
          <w:p w14:paraId="21A9DD3B" w14:textId="0BDEB9B0" w:rsidR="00CE76F2" w:rsidRPr="00DD2307" w:rsidRDefault="00CE76F2" w:rsidP="00DA60A3">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r>
              <w:rPr>
                <w:rFonts w:ascii="Arial" w:hAnsi="Arial" w:cs="Arial"/>
                <w:b/>
                <w:bCs/>
                <w:color w:val="000000"/>
                <w:spacing w:val="0"/>
                <w:sz w:val="16"/>
                <w:szCs w:val="16"/>
                <w:lang w:val="es-ES" w:eastAsia="es-EC"/>
              </w:rPr>
              <w:t>3</w:t>
            </w:r>
            <w:r w:rsidRPr="00DD2307">
              <w:rPr>
                <w:rFonts w:ascii="Arial" w:hAnsi="Arial" w:cs="Arial"/>
                <w:b/>
                <w:bCs/>
                <w:color w:val="000000"/>
                <w:spacing w:val="0"/>
                <w:sz w:val="16"/>
                <w:szCs w:val="16"/>
                <w:lang w:val="es-ES" w:eastAsia="es-EC"/>
              </w:rPr>
              <w:t>,</w:t>
            </w:r>
            <w:r>
              <w:rPr>
                <w:rFonts w:ascii="Arial" w:hAnsi="Arial" w:cs="Arial"/>
                <w:b/>
                <w:bCs/>
                <w:color w:val="000000"/>
                <w:spacing w:val="0"/>
                <w:sz w:val="16"/>
                <w:szCs w:val="16"/>
                <w:lang w:val="es-ES" w:eastAsia="es-EC"/>
              </w:rPr>
              <w:t>6</w:t>
            </w:r>
            <w:r w:rsidRPr="00DD2307">
              <w:rPr>
                <w:rFonts w:ascii="Arial" w:hAnsi="Arial" w:cs="Arial"/>
                <w:b/>
                <w:bCs/>
                <w:color w:val="000000"/>
                <w:spacing w:val="0"/>
                <w:sz w:val="16"/>
                <w:szCs w:val="16"/>
                <w:lang w:val="es-ES" w:eastAsia="es-EC"/>
              </w:rPr>
              <w:t>00</w:t>
            </w:r>
          </w:p>
        </w:tc>
      </w:tr>
      <w:tr w:rsidR="00CE76F2" w:rsidRPr="00DD2307" w14:paraId="6313721C"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6059688B" w14:textId="65BDB794" w:rsidR="00CE76F2" w:rsidRPr="00DD2307" w:rsidRDefault="00CE76F2" w:rsidP="00DA60A3">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Evaluación de Resultados final</w:t>
            </w:r>
            <w:r>
              <w:rPr>
                <w:rFonts w:ascii="Arial" w:hAnsi="Arial" w:cs="Arial"/>
                <w:color w:val="000000"/>
                <w:spacing w:val="0"/>
                <w:sz w:val="16"/>
                <w:szCs w:val="16"/>
                <w:lang w:val="es-ES" w:eastAsia="es-EC"/>
              </w:rPr>
              <w:t xml:space="preserve"> (Antes y Después)</w:t>
            </w:r>
          </w:p>
        </w:tc>
        <w:tc>
          <w:tcPr>
            <w:tcW w:w="986" w:type="dxa"/>
            <w:tcBorders>
              <w:top w:val="nil"/>
              <w:left w:val="nil"/>
              <w:bottom w:val="single" w:sz="4" w:space="0" w:color="auto"/>
              <w:right w:val="single" w:sz="4" w:space="0" w:color="auto"/>
            </w:tcBorders>
            <w:shd w:val="clear" w:color="000000" w:fill="FFFFFF"/>
            <w:vAlign w:val="center"/>
            <w:hideMark/>
          </w:tcPr>
          <w:p w14:paraId="610C932E"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3A774120"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0C0A344E"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5CC169F8" w14:textId="7A863CF2"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w:t>
            </w:r>
            <w:r>
              <w:rPr>
                <w:rFonts w:ascii="Arial" w:hAnsi="Arial" w:cs="Arial"/>
                <w:color w:val="000000"/>
                <w:spacing w:val="0"/>
                <w:sz w:val="16"/>
                <w:szCs w:val="16"/>
                <w:lang w:val="es-ES" w:eastAsia="es-EC"/>
              </w:rPr>
              <w:t>12</w:t>
            </w:r>
            <w:r w:rsidRPr="00DD2307">
              <w:rPr>
                <w:rFonts w:ascii="Arial" w:hAnsi="Arial" w:cs="Arial"/>
                <w:color w:val="000000"/>
                <w:spacing w:val="0"/>
                <w:sz w:val="16"/>
                <w:szCs w:val="16"/>
                <w:lang w:val="es-ES" w:eastAsia="es-EC"/>
              </w:rPr>
              <w:t>,000</w:t>
            </w:r>
          </w:p>
        </w:tc>
        <w:tc>
          <w:tcPr>
            <w:tcW w:w="986" w:type="dxa"/>
            <w:tcBorders>
              <w:top w:val="nil"/>
              <w:left w:val="nil"/>
              <w:bottom w:val="single" w:sz="4" w:space="0" w:color="auto"/>
              <w:right w:val="single" w:sz="4" w:space="0" w:color="auto"/>
            </w:tcBorders>
            <w:shd w:val="clear" w:color="000000" w:fill="FFFFFF"/>
            <w:vAlign w:val="center"/>
            <w:hideMark/>
          </w:tcPr>
          <w:p w14:paraId="030B499B" w14:textId="0ADD0FF8" w:rsidR="00CE76F2" w:rsidRPr="00DD2307" w:rsidRDefault="00CE76F2" w:rsidP="00DA60A3">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r>
              <w:rPr>
                <w:rFonts w:ascii="Arial" w:hAnsi="Arial" w:cs="Arial"/>
                <w:b/>
                <w:bCs/>
                <w:color w:val="000000"/>
                <w:spacing w:val="0"/>
                <w:sz w:val="16"/>
                <w:szCs w:val="16"/>
                <w:lang w:val="es-ES" w:eastAsia="es-EC"/>
              </w:rPr>
              <w:t>12</w:t>
            </w:r>
            <w:r w:rsidRPr="00DD2307">
              <w:rPr>
                <w:rFonts w:ascii="Arial" w:hAnsi="Arial" w:cs="Arial"/>
                <w:b/>
                <w:bCs/>
                <w:color w:val="000000"/>
                <w:spacing w:val="0"/>
                <w:sz w:val="16"/>
                <w:szCs w:val="16"/>
                <w:lang w:val="es-ES" w:eastAsia="es-EC"/>
              </w:rPr>
              <w:t>,000</w:t>
            </w:r>
          </w:p>
        </w:tc>
      </w:tr>
      <w:tr w:rsidR="00CE76F2" w:rsidRPr="00DD2307" w14:paraId="5A4B94DE"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7C0D7BDB" w14:textId="7E13D3B2" w:rsidR="00CE76F2" w:rsidRPr="00DD2307" w:rsidRDefault="00CE76F2" w:rsidP="00DA60A3">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xml:space="preserve">Evaluación </w:t>
            </w:r>
            <w:r>
              <w:rPr>
                <w:rFonts w:ascii="Arial" w:hAnsi="Arial" w:cs="Arial"/>
                <w:color w:val="000000"/>
                <w:spacing w:val="0"/>
                <w:sz w:val="16"/>
                <w:szCs w:val="16"/>
                <w:lang w:val="es-ES" w:eastAsia="es-EC"/>
              </w:rPr>
              <w:t xml:space="preserve">Económica </w:t>
            </w:r>
            <w:proofErr w:type="spellStart"/>
            <w:r>
              <w:rPr>
                <w:rFonts w:ascii="Arial" w:hAnsi="Arial" w:cs="Arial"/>
                <w:color w:val="000000"/>
                <w:spacing w:val="0"/>
                <w:sz w:val="16"/>
                <w:szCs w:val="16"/>
                <w:lang w:val="es-ES" w:eastAsia="es-EC"/>
              </w:rPr>
              <w:t>expost</w:t>
            </w:r>
            <w:proofErr w:type="spellEnd"/>
          </w:p>
        </w:tc>
        <w:tc>
          <w:tcPr>
            <w:tcW w:w="986" w:type="dxa"/>
            <w:tcBorders>
              <w:top w:val="nil"/>
              <w:left w:val="nil"/>
              <w:bottom w:val="single" w:sz="4" w:space="0" w:color="auto"/>
              <w:right w:val="single" w:sz="4" w:space="0" w:color="auto"/>
            </w:tcBorders>
            <w:shd w:val="clear" w:color="000000" w:fill="FFFFFF"/>
            <w:vAlign w:val="center"/>
            <w:hideMark/>
          </w:tcPr>
          <w:p w14:paraId="2C556FAE"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64AA2812"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6ED02DC7"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16DD630C" w14:textId="5DBA60E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w:t>
            </w:r>
            <w:r>
              <w:rPr>
                <w:rFonts w:ascii="Arial" w:hAnsi="Arial" w:cs="Arial"/>
                <w:color w:val="000000"/>
                <w:spacing w:val="0"/>
                <w:sz w:val="16"/>
                <w:szCs w:val="16"/>
                <w:lang w:val="es-ES" w:eastAsia="es-EC"/>
              </w:rPr>
              <w:t>12</w:t>
            </w:r>
            <w:r w:rsidRPr="00DD2307">
              <w:rPr>
                <w:rFonts w:ascii="Arial" w:hAnsi="Arial" w:cs="Arial"/>
                <w:color w:val="000000"/>
                <w:spacing w:val="0"/>
                <w:sz w:val="16"/>
                <w:szCs w:val="16"/>
                <w:lang w:val="es-ES" w:eastAsia="es-EC"/>
              </w:rPr>
              <w:t>,000</w:t>
            </w:r>
          </w:p>
        </w:tc>
        <w:tc>
          <w:tcPr>
            <w:tcW w:w="986" w:type="dxa"/>
            <w:tcBorders>
              <w:top w:val="nil"/>
              <w:left w:val="nil"/>
              <w:bottom w:val="single" w:sz="4" w:space="0" w:color="auto"/>
              <w:right w:val="single" w:sz="4" w:space="0" w:color="auto"/>
            </w:tcBorders>
            <w:shd w:val="clear" w:color="000000" w:fill="FFFFFF"/>
            <w:vAlign w:val="center"/>
            <w:hideMark/>
          </w:tcPr>
          <w:p w14:paraId="462D7E1A" w14:textId="52246684" w:rsidR="00CE76F2" w:rsidRPr="00DD2307" w:rsidRDefault="00CE76F2" w:rsidP="00DA60A3">
            <w:pPr>
              <w:jc w:val="right"/>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r>
              <w:rPr>
                <w:rFonts w:ascii="Arial" w:hAnsi="Arial" w:cs="Arial"/>
                <w:b/>
                <w:bCs/>
                <w:color w:val="000000"/>
                <w:spacing w:val="0"/>
                <w:sz w:val="16"/>
                <w:szCs w:val="16"/>
                <w:lang w:val="es-ES" w:eastAsia="es-EC"/>
              </w:rPr>
              <w:t>12</w:t>
            </w:r>
            <w:r w:rsidRPr="00DD2307">
              <w:rPr>
                <w:rFonts w:ascii="Arial" w:hAnsi="Arial" w:cs="Arial"/>
                <w:b/>
                <w:bCs/>
                <w:color w:val="000000"/>
                <w:spacing w:val="0"/>
                <w:sz w:val="16"/>
                <w:szCs w:val="16"/>
                <w:lang w:val="es-ES" w:eastAsia="es-EC"/>
              </w:rPr>
              <w:t>,000</w:t>
            </w:r>
          </w:p>
        </w:tc>
      </w:tr>
      <w:tr w:rsidR="00CE76F2" w:rsidRPr="00DD2307" w14:paraId="68DAE548" w14:textId="77777777" w:rsidTr="00074E94">
        <w:trPr>
          <w:trHeight w:val="450"/>
          <w:jc w:val="center"/>
        </w:trPr>
        <w:tc>
          <w:tcPr>
            <w:tcW w:w="2953" w:type="dxa"/>
            <w:tcBorders>
              <w:top w:val="nil"/>
              <w:left w:val="single" w:sz="4" w:space="0" w:color="auto"/>
              <w:bottom w:val="single" w:sz="4" w:space="0" w:color="auto"/>
              <w:right w:val="single" w:sz="4" w:space="0" w:color="auto"/>
            </w:tcBorders>
            <w:shd w:val="clear" w:color="000000" w:fill="FFFFFF"/>
            <w:vAlign w:val="center"/>
            <w:hideMark/>
          </w:tcPr>
          <w:p w14:paraId="209AF84B" w14:textId="59AD4CF9" w:rsidR="00CE76F2" w:rsidRPr="00DD2307" w:rsidRDefault="00CE76F2" w:rsidP="00DA60A3">
            <w:pPr>
              <w:rPr>
                <w:rFonts w:ascii="Arial" w:hAnsi="Arial" w:cs="Arial"/>
                <w:i/>
                <w:iCs/>
                <w:color w:val="000000"/>
                <w:spacing w:val="0"/>
                <w:sz w:val="16"/>
                <w:szCs w:val="16"/>
                <w:lang w:val="es-ES" w:eastAsia="es-EC"/>
              </w:rPr>
            </w:pPr>
            <w:r w:rsidRPr="00DD2307">
              <w:rPr>
                <w:rFonts w:ascii="Arial" w:hAnsi="Arial" w:cs="Arial"/>
                <w:i/>
                <w:iCs/>
                <w:color w:val="000000"/>
                <w:spacing w:val="0"/>
                <w:sz w:val="16"/>
                <w:szCs w:val="16"/>
                <w:lang w:val="es-ES" w:eastAsia="es-EC"/>
              </w:rPr>
              <w:t xml:space="preserve">Project </w:t>
            </w:r>
            <w:proofErr w:type="spellStart"/>
            <w:r w:rsidRPr="00DD2307">
              <w:rPr>
                <w:rFonts w:ascii="Arial" w:hAnsi="Arial" w:cs="Arial"/>
                <w:i/>
                <w:iCs/>
                <w:color w:val="000000"/>
                <w:spacing w:val="0"/>
                <w:sz w:val="16"/>
                <w:szCs w:val="16"/>
                <w:lang w:val="es-ES" w:eastAsia="es-EC"/>
              </w:rPr>
              <w:t>Completion</w:t>
            </w:r>
            <w:proofErr w:type="spellEnd"/>
            <w:r w:rsidRPr="00DD2307">
              <w:rPr>
                <w:rFonts w:ascii="Arial" w:hAnsi="Arial" w:cs="Arial"/>
                <w:i/>
                <w:iCs/>
                <w:color w:val="000000"/>
                <w:spacing w:val="0"/>
                <w:sz w:val="16"/>
                <w:szCs w:val="16"/>
                <w:lang w:val="es-ES" w:eastAsia="es-EC"/>
              </w:rPr>
              <w:t xml:space="preserve"> </w:t>
            </w:r>
            <w:proofErr w:type="spellStart"/>
            <w:r w:rsidRPr="00DD2307">
              <w:rPr>
                <w:rFonts w:ascii="Arial" w:hAnsi="Arial" w:cs="Arial"/>
                <w:i/>
                <w:iCs/>
                <w:color w:val="000000"/>
                <w:spacing w:val="0"/>
                <w:sz w:val="16"/>
                <w:szCs w:val="16"/>
                <w:lang w:val="es-ES" w:eastAsia="es-EC"/>
              </w:rPr>
              <w:t>Report</w:t>
            </w:r>
            <w:proofErr w:type="spellEnd"/>
            <w:r w:rsidRPr="00DD2307">
              <w:rPr>
                <w:rFonts w:ascii="Arial" w:hAnsi="Arial" w:cs="Arial"/>
                <w:color w:val="000000"/>
                <w:spacing w:val="0"/>
                <w:sz w:val="16"/>
                <w:szCs w:val="16"/>
                <w:lang w:val="es-ES" w:eastAsia="es-EC"/>
              </w:rPr>
              <w:t xml:space="preserve"> (PCR)</w:t>
            </w:r>
          </w:p>
        </w:tc>
        <w:tc>
          <w:tcPr>
            <w:tcW w:w="986" w:type="dxa"/>
            <w:tcBorders>
              <w:top w:val="nil"/>
              <w:left w:val="nil"/>
              <w:bottom w:val="single" w:sz="4" w:space="0" w:color="auto"/>
              <w:right w:val="single" w:sz="4" w:space="0" w:color="auto"/>
            </w:tcBorders>
            <w:shd w:val="clear" w:color="000000" w:fill="FFFFFF"/>
            <w:vAlign w:val="center"/>
            <w:hideMark/>
          </w:tcPr>
          <w:p w14:paraId="74342172"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0EF40834"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hideMark/>
          </w:tcPr>
          <w:p w14:paraId="42EB7B0C" w14:textId="77777777" w:rsidR="00CE76F2" w:rsidRPr="00DD2307" w:rsidRDefault="00CE76F2" w:rsidP="00DA60A3">
            <w:pPr>
              <w:jc w:val="right"/>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119" w:type="dxa"/>
            <w:tcBorders>
              <w:top w:val="nil"/>
              <w:left w:val="nil"/>
              <w:bottom w:val="single" w:sz="4" w:space="0" w:color="auto"/>
              <w:right w:val="single" w:sz="4" w:space="0" w:color="auto"/>
            </w:tcBorders>
            <w:shd w:val="clear" w:color="000000" w:fill="FFFFFF"/>
            <w:vAlign w:val="center"/>
          </w:tcPr>
          <w:p w14:paraId="45477C80" w14:textId="7D2D1E1B" w:rsidR="00CE76F2" w:rsidRPr="00DD2307" w:rsidRDefault="00CE76F2" w:rsidP="00DA60A3">
            <w:pPr>
              <w:jc w:val="right"/>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0</w:t>
            </w:r>
          </w:p>
        </w:tc>
        <w:tc>
          <w:tcPr>
            <w:tcW w:w="986" w:type="dxa"/>
            <w:tcBorders>
              <w:top w:val="nil"/>
              <w:left w:val="nil"/>
              <w:bottom w:val="single" w:sz="4" w:space="0" w:color="auto"/>
              <w:right w:val="single" w:sz="4" w:space="0" w:color="auto"/>
            </w:tcBorders>
            <w:shd w:val="clear" w:color="000000" w:fill="FFFFFF"/>
            <w:vAlign w:val="center"/>
          </w:tcPr>
          <w:p w14:paraId="62802366" w14:textId="6FD30344" w:rsidR="00CE76F2" w:rsidRPr="00DD2307" w:rsidRDefault="00CE76F2" w:rsidP="00DA60A3">
            <w:pPr>
              <w:jc w:val="right"/>
              <w:rPr>
                <w:rFonts w:ascii="Arial" w:hAnsi="Arial" w:cs="Arial"/>
                <w:b/>
                <w:bCs/>
                <w:color w:val="000000"/>
                <w:spacing w:val="0"/>
                <w:sz w:val="16"/>
                <w:szCs w:val="16"/>
                <w:lang w:val="es-ES" w:eastAsia="es-EC"/>
              </w:rPr>
            </w:pPr>
            <w:r>
              <w:rPr>
                <w:rFonts w:ascii="Arial" w:hAnsi="Arial" w:cs="Arial"/>
                <w:b/>
                <w:bCs/>
                <w:color w:val="000000"/>
                <w:spacing w:val="0"/>
                <w:sz w:val="16"/>
                <w:szCs w:val="16"/>
                <w:lang w:val="es-ES" w:eastAsia="es-EC"/>
              </w:rPr>
              <w:t>0</w:t>
            </w:r>
          </w:p>
        </w:tc>
      </w:tr>
      <w:tr w:rsidR="00CE76F2" w:rsidRPr="00DD2307" w14:paraId="7A4C76B6" w14:textId="77777777" w:rsidTr="00074E94">
        <w:trPr>
          <w:trHeight w:val="300"/>
          <w:jc w:val="center"/>
        </w:trPr>
        <w:tc>
          <w:tcPr>
            <w:tcW w:w="2953" w:type="dxa"/>
            <w:tcBorders>
              <w:top w:val="nil"/>
              <w:left w:val="single" w:sz="4" w:space="0" w:color="auto"/>
              <w:bottom w:val="single" w:sz="4" w:space="0" w:color="auto"/>
              <w:right w:val="single" w:sz="4" w:space="0" w:color="auto"/>
            </w:tcBorders>
            <w:shd w:val="clear" w:color="000000" w:fill="F2F2F2"/>
            <w:vAlign w:val="center"/>
            <w:hideMark/>
          </w:tcPr>
          <w:p w14:paraId="309AE435" w14:textId="77777777" w:rsidR="00CE76F2" w:rsidRPr="00DD2307" w:rsidRDefault="00CE76F2" w:rsidP="00DA60A3">
            <w:pP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Total Presupuesto Monitoreo</w:t>
            </w:r>
          </w:p>
        </w:tc>
        <w:tc>
          <w:tcPr>
            <w:tcW w:w="986" w:type="dxa"/>
            <w:tcBorders>
              <w:top w:val="nil"/>
              <w:left w:val="nil"/>
              <w:bottom w:val="single" w:sz="4" w:space="0" w:color="auto"/>
              <w:right w:val="single" w:sz="4" w:space="0" w:color="auto"/>
            </w:tcBorders>
            <w:shd w:val="clear" w:color="000000" w:fill="F2F2F2"/>
            <w:vAlign w:val="center"/>
            <w:hideMark/>
          </w:tcPr>
          <w:p w14:paraId="4131920E" w14:textId="2FF76517" w:rsidR="00CE76F2" w:rsidRPr="00DD2307" w:rsidRDefault="00CE76F2" w:rsidP="00DA60A3">
            <w:pPr>
              <w:jc w:val="right"/>
              <w:rPr>
                <w:rFonts w:ascii="Arial" w:hAnsi="Arial" w:cs="Arial"/>
                <w:b/>
                <w:bCs/>
                <w:spacing w:val="0"/>
                <w:sz w:val="16"/>
                <w:szCs w:val="16"/>
                <w:lang w:val="es-ES" w:eastAsia="es-EC"/>
              </w:rPr>
            </w:pPr>
            <w:r>
              <w:rPr>
                <w:rFonts w:ascii="Arial" w:hAnsi="Arial" w:cs="Arial"/>
                <w:b/>
                <w:bCs/>
                <w:spacing w:val="0"/>
                <w:sz w:val="16"/>
                <w:szCs w:val="16"/>
                <w:lang w:val="es-ES" w:eastAsia="es-EC"/>
              </w:rPr>
              <w:t>37</w:t>
            </w:r>
            <w:r w:rsidRPr="00DD2307">
              <w:rPr>
                <w:rFonts w:ascii="Arial" w:hAnsi="Arial" w:cs="Arial"/>
                <w:b/>
                <w:bCs/>
                <w:spacing w:val="0"/>
                <w:sz w:val="16"/>
                <w:szCs w:val="16"/>
                <w:lang w:val="es-ES" w:eastAsia="es-EC"/>
              </w:rPr>
              <w:t>,</w:t>
            </w:r>
            <w:r>
              <w:rPr>
                <w:rFonts w:ascii="Arial" w:hAnsi="Arial" w:cs="Arial"/>
                <w:b/>
                <w:bCs/>
                <w:spacing w:val="0"/>
                <w:sz w:val="16"/>
                <w:szCs w:val="16"/>
                <w:lang w:val="es-ES" w:eastAsia="es-EC"/>
              </w:rPr>
              <w:t>320</w:t>
            </w:r>
          </w:p>
        </w:tc>
        <w:tc>
          <w:tcPr>
            <w:tcW w:w="1119" w:type="dxa"/>
            <w:tcBorders>
              <w:top w:val="nil"/>
              <w:left w:val="nil"/>
              <w:bottom w:val="single" w:sz="4" w:space="0" w:color="auto"/>
              <w:right w:val="single" w:sz="4" w:space="0" w:color="auto"/>
            </w:tcBorders>
            <w:shd w:val="clear" w:color="000000" w:fill="F2F2F2"/>
            <w:vAlign w:val="center"/>
            <w:hideMark/>
          </w:tcPr>
          <w:p w14:paraId="25BD03E5" w14:textId="77777777" w:rsidR="00CE76F2" w:rsidRPr="00DD2307" w:rsidRDefault="00CE76F2" w:rsidP="00DA60A3">
            <w:pPr>
              <w:jc w:val="right"/>
              <w:rPr>
                <w:rFonts w:ascii="Arial" w:hAnsi="Arial" w:cs="Arial"/>
                <w:b/>
                <w:bCs/>
                <w:spacing w:val="0"/>
                <w:sz w:val="16"/>
                <w:szCs w:val="16"/>
                <w:lang w:val="es-ES" w:eastAsia="es-EC"/>
              </w:rPr>
            </w:pPr>
            <w:r w:rsidRPr="00DD2307">
              <w:rPr>
                <w:rFonts w:ascii="Arial" w:hAnsi="Arial" w:cs="Arial"/>
                <w:b/>
                <w:bCs/>
                <w:spacing w:val="0"/>
                <w:sz w:val="16"/>
                <w:szCs w:val="16"/>
                <w:lang w:val="es-ES" w:eastAsia="es-EC"/>
              </w:rPr>
              <w:t>61,960</w:t>
            </w:r>
          </w:p>
        </w:tc>
        <w:tc>
          <w:tcPr>
            <w:tcW w:w="1119" w:type="dxa"/>
            <w:tcBorders>
              <w:top w:val="nil"/>
              <w:left w:val="nil"/>
              <w:bottom w:val="single" w:sz="4" w:space="0" w:color="auto"/>
              <w:right w:val="single" w:sz="4" w:space="0" w:color="auto"/>
            </w:tcBorders>
            <w:shd w:val="clear" w:color="000000" w:fill="F2F2F2"/>
            <w:vAlign w:val="center"/>
            <w:hideMark/>
          </w:tcPr>
          <w:p w14:paraId="5F4B35BE" w14:textId="77777777" w:rsidR="00CE76F2" w:rsidRPr="00DD2307" w:rsidRDefault="00CE76F2" w:rsidP="00DA60A3">
            <w:pPr>
              <w:jc w:val="right"/>
              <w:rPr>
                <w:rFonts w:ascii="Arial" w:hAnsi="Arial" w:cs="Arial"/>
                <w:b/>
                <w:bCs/>
                <w:spacing w:val="0"/>
                <w:sz w:val="16"/>
                <w:szCs w:val="16"/>
                <w:lang w:val="es-ES" w:eastAsia="es-EC"/>
              </w:rPr>
            </w:pPr>
            <w:r w:rsidRPr="00DD2307">
              <w:rPr>
                <w:rFonts w:ascii="Arial" w:hAnsi="Arial" w:cs="Arial"/>
                <w:b/>
                <w:bCs/>
                <w:spacing w:val="0"/>
                <w:sz w:val="16"/>
                <w:szCs w:val="16"/>
                <w:lang w:val="es-ES" w:eastAsia="es-EC"/>
              </w:rPr>
              <w:t>141,960</w:t>
            </w:r>
          </w:p>
        </w:tc>
        <w:tc>
          <w:tcPr>
            <w:tcW w:w="1119" w:type="dxa"/>
            <w:tcBorders>
              <w:top w:val="nil"/>
              <w:left w:val="nil"/>
              <w:bottom w:val="single" w:sz="4" w:space="0" w:color="auto"/>
              <w:right w:val="single" w:sz="4" w:space="0" w:color="auto"/>
            </w:tcBorders>
            <w:shd w:val="clear" w:color="000000" w:fill="F2F2F2"/>
            <w:vAlign w:val="center"/>
            <w:hideMark/>
          </w:tcPr>
          <w:p w14:paraId="7E877715" w14:textId="0D314D61" w:rsidR="00CE76F2" w:rsidRPr="00DD2307" w:rsidRDefault="00CE76F2" w:rsidP="00DA60A3">
            <w:pPr>
              <w:jc w:val="right"/>
              <w:rPr>
                <w:rFonts w:ascii="Arial" w:hAnsi="Arial" w:cs="Arial"/>
                <w:b/>
                <w:bCs/>
                <w:spacing w:val="0"/>
                <w:sz w:val="16"/>
                <w:szCs w:val="16"/>
                <w:lang w:val="es-ES" w:eastAsia="es-EC"/>
              </w:rPr>
            </w:pPr>
            <w:r w:rsidRPr="00DD2307">
              <w:rPr>
                <w:rFonts w:ascii="Arial" w:hAnsi="Arial" w:cs="Arial"/>
                <w:b/>
                <w:bCs/>
                <w:spacing w:val="0"/>
                <w:sz w:val="16"/>
                <w:szCs w:val="16"/>
                <w:lang w:val="es-ES" w:eastAsia="es-EC"/>
              </w:rPr>
              <w:t>2</w:t>
            </w:r>
            <w:r>
              <w:rPr>
                <w:rFonts w:ascii="Arial" w:hAnsi="Arial" w:cs="Arial"/>
                <w:b/>
                <w:bCs/>
                <w:spacing w:val="0"/>
                <w:sz w:val="16"/>
                <w:szCs w:val="16"/>
                <w:lang w:val="es-ES" w:eastAsia="es-EC"/>
              </w:rPr>
              <w:t>2</w:t>
            </w:r>
            <w:r w:rsidRPr="00DD2307">
              <w:rPr>
                <w:rFonts w:ascii="Arial" w:hAnsi="Arial" w:cs="Arial"/>
                <w:b/>
                <w:bCs/>
                <w:spacing w:val="0"/>
                <w:sz w:val="16"/>
                <w:szCs w:val="16"/>
                <w:lang w:val="es-ES" w:eastAsia="es-EC"/>
              </w:rPr>
              <w:t>5,000</w:t>
            </w:r>
          </w:p>
        </w:tc>
        <w:tc>
          <w:tcPr>
            <w:tcW w:w="986" w:type="dxa"/>
            <w:tcBorders>
              <w:top w:val="nil"/>
              <w:left w:val="nil"/>
              <w:bottom w:val="single" w:sz="4" w:space="0" w:color="auto"/>
              <w:right w:val="single" w:sz="4" w:space="0" w:color="auto"/>
            </w:tcBorders>
            <w:shd w:val="clear" w:color="000000" w:fill="F2F2F2"/>
            <w:vAlign w:val="center"/>
            <w:hideMark/>
          </w:tcPr>
          <w:p w14:paraId="2DF06481" w14:textId="6B0515CC" w:rsidR="00CE76F2" w:rsidRPr="00DD2307" w:rsidRDefault="00CE76F2" w:rsidP="00DA60A3">
            <w:pPr>
              <w:jc w:val="right"/>
              <w:rPr>
                <w:rFonts w:ascii="Arial" w:hAnsi="Arial" w:cs="Arial"/>
                <w:b/>
                <w:bCs/>
                <w:spacing w:val="0"/>
                <w:sz w:val="16"/>
                <w:szCs w:val="16"/>
                <w:lang w:val="es-ES" w:eastAsia="es-EC"/>
              </w:rPr>
            </w:pPr>
            <w:r w:rsidRPr="00DD2307">
              <w:rPr>
                <w:rFonts w:ascii="Arial" w:hAnsi="Arial" w:cs="Arial"/>
                <w:b/>
                <w:bCs/>
                <w:spacing w:val="0"/>
                <w:sz w:val="16"/>
                <w:szCs w:val="16"/>
                <w:lang w:val="es-ES" w:eastAsia="es-EC"/>
              </w:rPr>
              <w:t>5</w:t>
            </w:r>
            <w:r>
              <w:rPr>
                <w:rFonts w:ascii="Arial" w:hAnsi="Arial" w:cs="Arial"/>
                <w:b/>
                <w:bCs/>
                <w:spacing w:val="0"/>
                <w:sz w:val="16"/>
                <w:szCs w:val="16"/>
                <w:lang w:val="es-ES" w:eastAsia="es-EC"/>
              </w:rPr>
              <w:t>28</w:t>
            </w:r>
            <w:r w:rsidRPr="00DD2307">
              <w:rPr>
                <w:rFonts w:ascii="Arial" w:hAnsi="Arial" w:cs="Arial"/>
                <w:b/>
                <w:bCs/>
                <w:spacing w:val="0"/>
                <w:sz w:val="16"/>
                <w:szCs w:val="16"/>
                <w:lang w:val="es-ES" w:eastAsia="es-EC"/>
              </w:rPr>
              <w:t>,</w:t>
            </w:r>
            <w:r>
              <w:rPr>
                <w:rFonts w:ascii="Arial" w:hAnsi="Arial" w:cs="Arial"/>
                <w:b/>
                <w:bCs/>
                <w:spacing w:val="0"/>
                <w:sz w:val="16"/>
                <w:szCs w:val="16"/>
                <w:lang w:val="es-ES" w:eastAsia="es-EC"/>
              </w:rPr>
              <w:t>200</w:t>
            </w:r>
          </w:p>
        </w:tc>
      </w:tr>
    </w:tbl>
    <w:p w14:paraId="627319C1" w14:textId="77777777" w:rsidR="00DA60A3" w:rsidRPr="00DD2307" w:rsidRDefault="00DA60A3" w:rsidP="00534766">
      <w:pPr>
        <w:spacing w:line="276" w:lineRule="auto"/>
        <w:ind w:right="-450"/>
        <w:jc w:val="both"/>
        <w:rPr>
          <w:rStyle w:val="Heading1Char"/>
          <w:rFonts w:ascii="Arial" w:hAnsi="Arial" w:cs="Arial"/>
          <w:sz w:val="22"/>
          <w:szCs w:val="22"/>
          <w:lang w:val="es-ES"/>
        </w:rPr>
      </w:pPr>
    </w:p>
    <w:bookmarkEnd w:id="22"/>
    <w:p w14:paraId="74AFE1D8" w14:textId="5F70C413" w:rsidR="003F6179" w:rsidRPr="00DD2307" w:rsidRDefault="003F6179" w:rsidP="003F6179">
      <w:pPr>
        <w:pStyle w:val="ListParagraph"/>
        <w:spacing w:line="276" w:lineRule="auto"/>
        <w:ind w:left="1080"/>
        <w:rPr>
          <w:rFonts w:ascii="Arial" w:hAnsi="Arial" w:cs="Arial"/>
          <w:color w:val="FF0000"/>
          <w:sz w:val="22"/>
          <w:szCs w:val="22"/>
          <w:lang w:val="es-ES"/>
        </w:rPr>
        <w:sectPr w:rsidR="003F6179" w:rsidRPr="00DD2307" w:rsidSect="001C647D">
          <w:pgSz w:w="12240" w:h="15840" w:code="1"/>
          <w:pgMar w:top="720" w:right="1440" w:bottom="1440" w:left="720" w:header="720" w:footer="720" w:gutter="0"/>
          <w:cols w:space="720"/>
          <w:docGrid w:linePitch="360"/>
        </w:sectPr>
      </w:pPr>
    </w:p>
    <w:p w14:paraId="1A78086B" w14:textId="77777777" w:rsidR="003E54AD" w:rsidRPr="0028406C" w:rsidRDefault="006D01D1" w:rsidP="0028406C">
      <w:pPr>
        <w:pStyle w:val="Heading1"/>
        <w:spacing w:before="0" w:after="0" w:line="276" w:lineRule="auto"/>
        <w:jc w:val="both"/>
        <w:rPr>
          <w:rFonts w:ascii="Arial" w:hAnsi="Arial" w:cs="Arial"/>
          <w:sz w:val="22"/>
          <w:szCs w:val="22"/>
          <w:lang w:val="es-ES"/>
        </w:rPr>
      </w:pPr>
      <w:bookmarkStart w:id="29" w:name="_Toc491518995"/>
      <w:r w:rsidRPr="0028406C">
        <w:rPr>
          <w:rFonts w:ascii="Arial" w:hAnsi="Arial" w:cs="Arial"/>
          <w:sz w:val="22"/>
          <w:szCs w:val="22"/>
          <w:lang w:val="es-ES"/>
        </w:rPr>
        <w:lastRenderedPageBreak/>
        <w:t>Evaluación</w:t>
      </w:r>
      <w:bookmarkEnd w:id="29"/>
    </w:p>
    <w:p w14:paraId="09E7A88C" w14:textId="77777777" w:rsidR="000C4FF8" w:rsidRPr="0028406C" w:rsidRDefault="000C4FF8"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1739B4C4" w14:textId="1672504D" w:rsidR="001351DD" w:rsidRPr="00B61103" w:rsidRDefault="001351DD"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sz w:val="22"/>
          <w:szCs w:val="22"/>
          <w:lang w:val="es-ES"/>
        </w:rPr>
        <w:t xml:space="preserve">Evaluación. </w:t>
      </w:r>
      <w:r w:rsidRPr="0028406C">
        <w:rPr>
          <w:rFonts w:ascii="Arial" w:hAnsi="Arial" w:cs="Arial"/>
          <w:b w:val="0"/>
          <w:sz w:val="22"/>
          <w:szCs w:val="22"/>
          <w:lang w:val="es-ES"/>
        </w:rPr>
        <w:t xml:space="preserve">Para realizar la evaluación del programa se utilizará la </w:t>
      </w:r>
      <w:r w:rsidR="00920D4F" w:rsidRPr="0028406C">
        <w:rPr>
          <w:rFonts w:ascii="Arial" w:hAnsi="Arial" w:cs="Arial"/>
          <w:b w:val="0"/>
          <w:sz w:val="22"/>
          <w:szCs w:val="22"/>
          <w:lang w:val="es-ES"/>
        </w:rPr>
        <w:t>Matriz de Resultados</w:t>
      </w:r>
      <w:r w:rsidRPr="0028406C">
        <w:rPr>
          <w:rFonts w:ascii="Arial" w:hAnsi="Arial" w:cs="Arial"/>
          <w:b w:val="0"/>
          <w:sz w:val="22"/>
          <w:szCs w:val="22"/>
          <w:lang w:val="es-ES"/>
        </w:rPr>
        <w:t xml:space="preserve"> y </w:t>
      </w:r>
      <w:r w:rsidR="00920D4F" w:rsidRPr="0028406C">
        <w:rPr>
          <w:rFonts w:ascii="Arial" w:hAnsi="Arial" w:cs="Arial"/>
          <w:b w:val="0"/>
          <w:sz w:val="22"/>
          <w:szCs w:val="22"/>
          <w:lang w:val="es-ES"/>
        </w:rPr>
        <w:t>el PME. Se tiene previsto realizar</w:t>
      </w:r>
      <w:r w:rsidRPr="0028406C">
        <w:rPr>
          <w:rFonts w:ascii="Arial" w:hAnsi="Arial" w:cs="Arial"/>
          <w:b w:val="0"/>
          <w:sz w:val="22"/>
          <w:szCs w:val="22"/>
          <w:lang w:val="es-ES"/>
        </w:rPr>
        <w:t xml:space="preserve"> las siguientes evaluaciones</w:t>
      </w:r>
      <w:r w:rsidRPr="0028406C">
        <w:rPr>
          <w:rFonts w:ascii="Arial" w:hAnsi="Arial" w:cs="Arial"/>
          <w:sz w:val="22"/>
          <w:szCs w:val="22"/>
          <w:lang w:val="es-ES"/>
        </w:rPr>
        <w:t>:</w:t>
      </w:r>
      <w:r w:rsidRPr="0028406C">
        <w:rPr>
          <w:rFonts w:ascii="Arial" w:hAnsi="Arial" w:cs="Arial"/>
          <w:b w:val="0"/>
          <w:noProof w:val="0"/>
          <w:sz w:val="22"/>
          <w:szCs w:val="22"/>
          <w:lang w:val="es-ES"/>
        </w:rPr>
        <w:t xml:space="preserve"> (i) </w:t>
      </w:r>
      <w:r w:rsidR="00920D4F" w:rsidRPr="0028406C">
        <w:rPr>
          <w:rFonts w:ascii="Arial" w:hAnsi="Arial" w:cs="Arial"/>
          <w:b w:val="0"/>
          <w:noProof w:val="0"/>
          <w:sz w:val="22"/>
          <w:szCs w:val="22"/>
          <w:lang w:val="es-ES"/>
        </w:rPr>
        <w:t>E</w:t>
      </w:r>
      <w:r w:rsidRPr="0028406C">
        <w:rPr>
          <w:rFonts w:ascii="Arial" w:hAnsi="Arial" w:cs="Arial"/>
          <w:b w:val="0"/>
          <w:noProof w:val="0"/>
          <w:sz w:val="22"/>
          <w:szCs w:val="22"/>
          <w:lang w:val="es-ES"/>
        </w:rPr>
        <w:t>valuación</w:t>
      </w:r>
      <w:r w:rsidR="00920D4F" w:rsidRPr="0028406C">
        <w:rPr>
          <w:rFonts w:ascii="Arial" w:hAnsi="Arial" w:cs="Arial"/>
          <w:b w:val="0"/>
          <w:noProof w:val="0"/>
          <w:sz w:val="22"/>
          <w:szCs w:val="22"/>
          <w:lang w:val="es-ES"/>
        </w:rPr>
        <w:t xml:space="preserve"> de resultados intermedia</w:t>
      </w:r>
      <w:r w:rsidRPr="0028406C">
        <w:rPr>
          <w:rFonts w:ascii="Arial" w:hAnsi="Arial" w:cs="Arial"/>
          <w:b w:val="0"/>
          <w:noProof w:val="0"/>
          <w:sz w:val="22"/>
          <w:szCs w:val="22"/>
          <w:lang w:val="es-ES"/>
        </w:rPr>
        <w:t xml:space="preserve"> </w:t>
      </w:r>
      <w:r w:rsidR="00920D4F" w:rsidRPr="0028406C">
        <w:rPr>
          <w:rFonts w:ascii="Arial" w:hAnsi="Arial" w:cs="Arial"/>
          <w:b w:val="0"/>
          <w:noProof w:val="0"/>
          <w:sz w:val="22"/>
          <w:szCs w:val="22"/>
          <w:lang w:val="es-ES"/>
        </w:rPr>
        <w:t xml:space="preserve">o </w:t>
      </w:r>
      <w:r w:rsidRPr="0028406C">
        <w:rPr>
          <w:rFonts w:ascii="Arial" w:hAnsi="Arial" w:cs="Arial"/>
          <w:b w:val="0"/>
          <w:noProof w:val="0"/>
          <w:sz w:val="22"/>
          <w:szCs w:val="22"/>
          <w:lang w:val="es-ES"/>
        </w:rPr>
        <w:t>de medio término</w:t>
      </w:r>
      <w:r w:rsidR="00920D4F" w:rsidRPr="0028406C">
        <w:rPr>
          <w:rFonts w:ascii="Arial" w:hAnsi="Arial" w:cs="Arial"/>
          <w:b w:val="0"/>
          <w:noProof w:val="0"/>
          <w:sz w:val="22"/>
          <w:szCs w:val="22"/>
          <w:lang w:val="es-ES"/>
        </w:rPr>
        <w:t xml:space="preserve">, la cual </w:t>
      </w:r>
      <w:r w:rsidR="00920D4F" w:rsidRPr="0028406C">
        <w:rPr>
          <w:rFonts w:ascii="Arial" w:hAnsi="Arial" w:cs="Arial"/>
          <w:b w:val="0"/>
          <w:sz w:val="22"/>
          <w:szCs w:val="22"/>
          <w:lang w:val="es-ES"/>
        </w:rPr>
        <w:t>abarca</w:t>
      </w:r>
      <w:r w:rsidRPr="0028406C">
        <w:rPr>
          <w:rFonts w:ascii="Arial" w:hAnsi="Arial" w:cs="Arial"/>
          <w:b w:val="0"/>
          <w:sz w:val="22"/>
          <w:szCs w:val="22"/>
          <w:lang w:val="es-ES"/>
        </w:rPr>
        <w:t xml:space="preserve"> los aspectos técnicos, administrativos y financieros; particularmente, revisará el cumplimiento de los indicadores de resultado y producto previstos, así como la formulación de recomendaciones</w:t>
      </w:r>
      <w:r w:rsidR="00837B8B"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w:t>
      </w:r>
      <w:r w:rsidR="00837B8B" w:rsidRPr="0028406C">
        <w:rPr>
          <w:rFonts w:ascii="Arial" w:hAnsi="Arial" w:cs="Arial"/>
          <w:b w:val="0"/>
          <w:noProof w:val="0"/>
          <w:sz w:val="22"/>
          <w:szCs w:val="22"/>
          <w:lang w:val="es-ES"/>
        </w:rPr>
        <w:t>(</w:t>
      </w:r>
      <w:proofErr w:type="spellStart"/>
      <w:r w:rsidR="00837B8B" w:rsidRPr="0028406C">
        <w:rPr>
          <w:rFonts w:ascii="Arial" w:hAnsi="Arial" w:cs="Arial"/>
          <w:b w:val="0"/>
          <w:noProof w:val="0"/>
          <w:sz w:val="22"/>
          <w:szCs w:val="22"/>
          <w:lang w:val="es-ES"/>
        </w:rPr>
        <w:t>ii</w:t>
      </w:r>
      <w:proofErr w:type="spellEnd"/>
      <w:r w:rsidR="00837B8B" w:rsidRPr="0028406C">
        <w:rPr>
          <w:rFonts w:ascii="Arial" w:hAnsi="Arial" w:cs="Arial"/>
          <w:b w:val="0"/>
          <w:noProof w:val="0"/>
          <w:sz w:val="22"/>
          <w:szCs w:val="22"/>
          <w:lang w:val="es-ES"/>
        </w:rPr>
        <w:t>)</w:t>
      </w:r>
      <w:r w:rsidR="00920D4F" w:rsidRPr="0028406C">
        <w:rPr>
          <w:rFonts w:ascii="Arial" w:hAnsi="Arial" w:cs="Arial"/>
          <w:b w:val="0"/>
          <w:noProof w:val="0"/>
          <w:sz w:val="22"/>
          <w:szCs w:val="22"/>
          <w:lang w:val="es-ES"/>
        </w:rPr>
        <w:t xml:space="preserve"> Evaluación</w:t>
      </w:r>
      <w:r w:rsidR="00837B8B" w:rsidRPr="0028406C">
        <w:rPr>
          <w:rFonts w:ascii="Arial" w:hAnsi="Arial" w:cs="Arial"/>
          <w:b w:val="0"/>
          <w:noProof w:val="0"/>
          <w:sz w:val="22"/>
          <w:szCs w:val="22"/>
          <w:lang w:val="es-ES"/>
        </w:rPr>
        <w:t xml:space="preserve"> </w:t>
      </w:r>
      <w:r w:rsidR="00920D4F" w:rsidRPr="0028406C">
        <w:rPr>
          <w:rFonts w:ascii="Arial" w:hAnsi="Arial" w:cs="Arial"/>
          <w:b w:val="0"/>
          <w:noProof w:val="0"/>
          <w:sz w:val="22"/>
          <w:szCs w:val="22"/>
          <w:lang w:val="es-ES"/>
        </w:rPr>
        <w:t>económica y financiera</w:t>
      </w:r>
      <w:r w:rsidRPr="0028406C">
        <w:rPr>
          <w:rFonts w:ascii="Arial" w:hAnsi="Arial" w:cs="Arial"/>
          <w:b w:val="0"/>
          <w:noProof w:val="0"/>
          <w:sz w:val="22"/>
          <w:szCs w:val="22"/>
          <w:lang w:val="es-ES"/>
        </w:rPr>
        <w:t xml:space="preserve"> ex post</w:t>
      </w:r>
      <w:r w:rsidR="00920D4F"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que permitiría reportar si los beneficios </w:t>
      </w:r>
      <w:r w:rsidR="00920D4F" w:rsidRPr="0028406C">
        <w:rPr>
          <w:rFonts w:ascii="Arial" w:hAnsi="Arial" w:cs="Arial"/>
          <w:b w:val="0"/>
          <w:noProof w:val="0"/>
          <w:sz w:val="22"/>
          <w:szCs w:val="22"/>
          <w:lang w:val="es-ES"/>
        </w:rPr>
        <w:t xml:space="preserve">y costos realizados </w:t>
      </w:r>
      <w:r w:rsidRPr="0028406C">
        <w:rPr>
          <w:rFonts w:ascii="Arial" w:hAnsi="Arial" w:cs="Arial"/>
          <w:b w:val="0"/>
          <w:noProof w:val="0"/>
          <w:sz w:val="22"/>
          <w:szCs w:val="22"/>
          <w:lang w:val="es-ES"/>
        </w:rPr>
        <w:t>fueron suficientes para recuperar la inversión; y además</w:t>
      </w:r>
      <w:r w:rsidR="00834E22"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si con los costos incurrido</w:t>
      </w:r>
      <w:r w:rsidR="00D17CE5" w:rsidRPr="0028406C">
        <w:rPr>
          <w:rFonts w:ascii="Arial" w:hAnsi="Arial" w:cs="Arial"/>
          <w:b w:val="0"/>
          <w:noProof w:val="0"/>
          <w:sz w:val="22"/>
          <w:szCs w:val="22"/>
          <w:lang w:val="es-ES"/>
        </w:rPr>
        <w:t>s y los beneficios obtenidos de</w:t>
      </w:r>
      <w:r w:rsidRPr="0028406C">
        <w:rPr>
          <w:rFonts w:ascii="Arial" w:hAnsi="Arial" w:cs="Arial"/>
          <w:b w:val="0"/>
          <w:noProof w:val="0"/>
          <w:sz w:val="22"/>
          <w:szCs w:val="22"/>
          <w:lang w:val="es-ES"/>
        </w:rPr>
        <w:t xml:space="preserve"> la ejecución del pro</w:t>
      </w:r>
      <w:r w:rsidR="00D17CE5" w:rsidRPr="0028406C">
        <w:rPr>
          <w:rFonts w:ascii="Arial" w:hAnsi="Arial" w:cs="Arial"/>
          <w:b w:val="0"/>
          <w:noProof w:val="0"/>
          <w:sz w:val="22"/>
          <w:szCs w:val="22"/>
          <w:lang w:val="es-ES"/>
        </w:rPr>
        <w:t>grama,</w:t>
      </w:r>
      <w:r w:rsidRPr="0028406C">
        <w:rPr>
          <w:rFonts w:ascii="Arial" w:hAnsi="Arial" w:cs="Arial"/>
          <w:b w:val="0"/>
          <w:noProof w:val="0"/>
          <w:sz w:val="22"/>
          <w:szCs w:val="22"/>
          <w:lang w:val="es-ES"/>
        </w:rPr>
        <w:t xml:space="preserve"> el mismo generó valor para la sociedad</w:t>
      </w:r>
      <w:r w:rsidR="00302C1E" w:rsidRPr="0028406C">
        <w:rPr>
          <w:rFonts w:ascii="Arial" w:hAnsi="Arial" w:cs="Arial"/>
          <w:b w:val="0"/>
          <w:noProof w:val="0"/>
          <w:sz w:val="22"/>
          <w:szCs w:val="22"/>
          <w:lang w:val="es-ES"/>
        </w:rPr>
        <w:t>; y</w:t>
      </w:r>
      <w:r w:rsidR="00E02908" w:rsidRPr="0028406C">
        <w:rPr>
          <w:rFonts w:ascii="Arial" w:hAnsi="Arial" w:cs="Arial"/>
          <w:b w:val="0"/>
          <w:noProof w:val="0"/>
          <w:sz w:val="22"/>
          <w:szCs w:val="22"/>
          <w:lang w:val="es-ES"/>
        </w:rPr>
        <w:t>,</w:t>
      </w:r>
      <w:r w:rsidR="00302C1E" w:rsidRPr="0028406C">
        <w:rPr>
          <w:rFonts w:ascii="Arial" w:hAnsi="Arial" w:cs="Arial"/>
          <w:b w:val="0"/>
          <w:noProof w:val="0"/>
          <w:sz w:val="22"/>
          <w:szCs w:val="22"/>
          <w:lang w:val="es-ES"/>
        </w:rPr>
        <w:t xml:space="preserve"> (</w:t>
      </w:r>
      <w:proofErr w:type="spellStart"/>
      <w:r w:rsidR="00302C1E" w:rsidRPr="0028406C">
        <w:rPr>
          <w:rFonts w:ascii="Arial" w:hAnsi="Arial" w:cs="Arial"/>
          <w:b w:val="0"/>
          <w:noProof w:val="0"/>
          <w:sz w:val="22"/>
          <w:szCs w:val="22"/>
          <w:lang w:val="es-ES"/>
        </w:rPr>
        <w:t>i</w:t>
      </w:r>
      <w:r w:rsidR="006B34B1" w:rsidRPr="0028406C">
        <w:rPr>
          <w:rFonts w:ascii="Arial" w:hAnsi="Arial" w:cs="Arial"/>
          <w:b w:val="0"/>
          <w:noProof w:val="0"/>
          <w:sz w:val="22"/>
          <w:szCs w:val="22"/>
          <w:lang w:val="es-ES"/>
        </w:rPr>
        <w:t>ii</w:t>
      </w:r>
      <w:proofErr w:type="spellEnd"/>
      <w:r w:rsidR="00302C1E" w:rsidRPr="0028406C">
        <w:rPr>
          <w:rFonts w:ascii="Arial" w:hAnsi="Arial" w:cs="Arial"/>
          <w:b w:val="0"/>
          <w:noProof w:val="0"/>
          <w:sz w:val="22"/>
          <w:szCs w:val="22"/>
          <w:lang w:val="es-ES"/>
        </w:rPr>
        <w:t xml:space="preserve">) una </w:t>
      </w:r>
      <w:r w:rsidR="00920D4F" w:rsidRPr="0028406C">
        <w:rPr>
          <w:rFonts w:ascii="Arial" w:hAnsi="Arial" w:cs="Arial"/>
          <w:b w:val="0"/>
          <w:noProof w:val="0"/>
          <w:sz w:val="22"/>
          <w:szCs w:val="22"/>
          <w:lang w:val="es-ES"/>
        </w:rPr>
        <w:t xml:space="preserve">Evaluación </w:t>
      </w:r>
      <w:r w:rsidR="005A0030" w:rsidRPr="0028406C">
        <w:rPr>
          <w:rFonts w:ascii="Arial" w:hAnsi="Arial" w:cs="Arial"/>
          <w:b w:val="0"/>
          <w:noProof w:val="0"/>
          <w:sz w:val="22"/>
          <w:szCs w:val="22"/>
          <w:lang w:val="es-ES"/>
        </w:rPr>
        <w:t xml:space="preserve">Final </w:t>
      </w:r>
      <w:r w:rsidR="00CE64E9" w:rsidRPr="0028406C">
        <w:rPr>
          <w:rFonts w:ascii="Arial" w:hAnsi="Arial" w:cs="Arial"/>
          <w:b w:val="0"/>
          <w:noProof w:val="0"/>
          <w:sz w:val="22"/>
          <w:szCs w:val="22"/>
          <w:lang w:val="es-ES"/>
        </w:rPr>
        <w:t>Antes y Después, en la que</w:t>
      </w:r>
      <w:r w:rsidR="00CE64E9" w:rsidRPr="0028406C">
        <w:rPr>
          <w:rFonts w:ascii="Arial" w:hAnsi="Arial" w:cs="Arial"/>
          <w:b w:val="0"/>
          <w:sz w:val="22"/>
          <w:szCs w:val="22"/>
          <w:lang w:val="es-ES" w:eastAsia="es-ES"/>
        </w:rPr>
        <w:t xml:space="preserve"> el resultado para el grupo de tratamiento </w:t>
      </w:r>
      <w:r w:rsidR="00CE64E9" w:rsidRPr="0028406C">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t=1</m:t>
            </m:r>
          </m:sub>
          <m:sup>
            <m:r>
              <m:rPr>
                <m:sty m:val="bi"/>
              </m:rPr>
              <w:rPr>
                <w:rFonts w:ascii="Cambria Math" w:hAnsi="Cambria Math" w:cs="Arial"/>
                <w:sz w:val="22"/>
                <w:szCs w:val="22"/>
                <w:lang w:val="es-ES"/>
              </w:rPr>
              <m:t>T</m:t>
            </m:r>
          </m:sup>
        </m:sSubSup>
        <m:r>
          <m:rPr>
            <m:sty m:val="bi"/>
          </m:rPr>
          <w:rPr>
            <w:rFonts w:ascii="Cambria Math" w:hAnsi="Cambria Math" w:cs="Arial"/>
            <w:sz w:val="22"/>
            <w:szCs w:val="22"/>
            <w:lang w:val="es-ES"/>
          </w:rPr>
          <m:t xml:space="preserve"> /T=1</m:t>
        </m:r>
      </m:oMath>
      <w:r w:rsidR="00CE64E9" w:rsidRPr="0028406C">
        <w:rPr>
          <w:rFonts w:ascii="Arial" w:hAnsi="Arial" w:cs="Arial"/>
          <w:b w:val="0"/>
          <w:sz w:val="22"/>
          <w:szCs w:val="22"/>
          <w:lang w:val="es-ES"/>
        </w:rPr>
        <w:t>)</w:t>
      </w:r>
      <w:r w:rsidR="00CE64E9" w:rsidRPr="0028406C">
        <w:rPr>
          <w:rFonts w:ascii="Arial" w:hAnsi="Arial" w:cs="Arial"/>
          <w:b w:val="0"/>
          <w:sz w:val="22"/>
          <w:szCs w:val="22"/>
          <w:lang w:val="es-ES" w:eastAsia="es-ES"/>
        </w:rPr>
        <w:t xml:space="preserve"> es la variable de impacto medida posterior a la intervención (ejecución) del Programa, y el contrafactual </w:t>
      </w:r>
      <w:r w:rsidR="00CE64E9" w:rsidRPr="0028406C">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t=0</m:t>
            </m:r>
          </m:sub>
          <m:sup>
            <m:r>
              <m:rPr>
                <m:sty m:val="bi"/>
              </m:rPr>
              <w:rPr>
                <w:rFonts w:ascii="Cambria Math" w:hAnsi="Cambria Math" w:cs="Arial"/>
                <w:sz w:val="22"/>
                <w:szCs w:val="22"/>
                <w:lang w:val="es-ES"/>
              </w:rPr>
              <m:t>C</m:t>
            </m:r>
          </m:sup>
        </m:sSubSup>
        <m:r>
          <m:rPr>
            <m:sty m:val="bi"/>
          </m:rPr>
          <w:rPr>
            <w:rFonts w:ascii="Cambria Math" w:hAnsi="Cambria Math" w:cs="Arial"/>
            <w:sz w:val="22"/>
            <w:szCs w:val="22"/>
            <w:lang w:val="es-ES"/>
          </w:rPr>
          <m:t xml:space="preserve"> /T=0</m:t>
        </m:r>
      </m:oMath>
      <w:r w:rsidR="00CE64E9" w:rsidRPr="0028406C">
        <w:rPr>
          <w:rFonts w:ascii="Arial" w:hAnsi="Arial" w:cs="Arial"/>
          <w:b w:val="0"/>
          <w:sz w:val="22"/>
          <w:szCs w:val="22"/>
          <w:lang w:val="es-ES"/>
        </w:rPr>
        <w:t>)</w:t>
      </w:r>
      <w:r w:rsidR="00CE64E9" w:rsidRPr="0028406C">
        <w:rPr>
          <w:rFonts w:ascii="Arial" w:hAnsi="Arial" w:cs="Arial"/>
          <w:b w:val="0"/>
          <w:sz w:val="22"/>
          <w:szCs w:val="22"/>
          <w:lang w:val="es-ES" w:eastAsia="es-ES"/>
        </w:rPr>
        <w:t xml:space="preserve"> se define como la variable de impacto medida previo a la intervención</w:t>
      </w:r>
      <w:r w:rsidRPr="0028406C">
        <w:rPr>
          <w:rFonts w:ascii="Arial" w:hAnsi="Arial" w:cs="Arial"/>
          <w:b w:val="0"/>
          <w:noProof w:val="0"/>
          <w:sz w:val="22"/>
          <w:szCs w:val="22"/>
          <w:lang w:val="es-ES"/>
        </w:rPr>
        <w:t>.</w:t>
      </w:r>
      <w:r w:rsidR="00CD7DB3" w:rsidRPr="0028406C">
        <w:rPr>
          <w:rFonts w:ascii="Arial" w:hAnsi="Arial" w:cs="Arial"/>
          <w:b w:val="0"/>
          <w:noProof w:val="0"/>
          <w:sz w:val="22"/>
          <w:szCs w:val="22"/>
          <w:lang w:val="es-ES"/>
        </w:rPr>
        <w:t xml:space="preserve"> El prestatario, por sí o a través del OE, preparará y enviará al Banco un informe de </w:t>
      </w:r>
      <w:r w:rsidR="00CD7DB3" w:rsidRPr="0028406C">
        <w:rPr>
          <w:rFonts w:ascii="Arial" w:hAnsi="Arial" w:cs="Arial"/>
          <w:b w:val="0"/>
          <w:sz w:val="22"/>
          <w:szCs w:val="22"/>
          <w:lang w:val="es-ES"/>
        </w:rPr>
        <w:t xml:space="preserve">evaluación </w:t>
      </w:r>
      <w:r w:rsidR="00CD7DB3" w:rsidRPr="0028406C">
        <w:rPr>
          <w:rFonts w:ascii="Arial" w:hAnsi="Arial" w:cs="Arial"/>
          <w:b w:val="0"/>
          <w:noProof w:val="0"/>
          <w:sz w:val="22"/>
          <w:szCs w:val="22"/>
          <w:lang w:val="es-ES"/>
        </w:rPr>
        <w:t>intermedia, a los 90 días contados a partir</w:t>
      </w:r>
      <w:r w:rsidR="00CD7DB3" w:rsidRPr="0028406C">
        <w:rPr>
          <w:rFonts w:ascii="Arial" w:hAnsi="Arial" w:cs="Arial"/>
          <w:b w:val="0"/>
          <w:sz w:val="22"/>
          <w:szCs w:val="22"/>
          <w:lang w:val="es-ES"/>
        </w:rPr>
        <w:t xml:space="preserve"> de </w:t>
      </w:r>
      <w:r w:rsidR="00CD7DB3" w:rsidRPr="0028406C">
        <w:rPr>
          <w:rFonts w:ascii="Arial" w:hAnsi="Arial" w:cs="Arial"/>
          <w:b w:val="0"/>
          <w:noProof w:val="0"/>
          <w:sz w:val="22"/>
          <w:szCs w:val="22"/>
          <w:lang w:val="es-ES"/>
        </w:rPr>
        <w:t xml:space="preserve">la fecha en </w:t>
      </w:r>
      <w:r w:rsidR="00CD7DB3" w:rsidRPr="0028406C">
        <w:rPr>
          <w:rFonts w:ascii="Arial" w:hAnsi="Arial" w:cs="Arial"/>
          <w:b w:val="0"/>
          <w:sz w:val="22"/>
          <w:szCs w:val="22"/>
          <w:lang w:val="es-ES"/>
        </w:rPr>
        <w:t xml:space="preserve">que se </w:t>
      </w:r>
      <w:r w:rsidR="00CD7DB3" w:rsidRPr="0028406C">
        <w:rPr>
          <w:rFonts w:ascii="Arial" w:hAnsi="Arial" w:cs="Arial"/>
          <w:b w:val="0"/>
          <w:noProof w:val="0"/>
          <w:sz w:val="22"/>
          <w:szCs w:val="22"/>
          <w:lang w:val="es-ES"/>
        </w:rPr>
        <w:t>haya desembolsado</w:t>
      </w:r>
      <w:r w:rsidR="00CD7DB3" w:rsidRPr="0028406C">
        <w:rPr>
          <w:rFonts w:ascii="Arial" w:hAnsi="Arial" w:cs="Arial"/>
          <w:b w:val="0"/>
          <w:sz w:val="22"/>
          <w:szCs w:val="22"/>
          <w:lang w:val="es-ES"/>
        </w:rPr>
        <w:t xml:space="preserve"> el </w:t>
      </w:r>
      <w:r w:rsidR="00114A8C" w:rsidRPr="0028406C">
        <w:rPr>
          <w:rFonts w:ascii="Arial" w:hAnsi="Arial" w:cs="Arial"/>
          <w:b w:val="0"/>
          <w:sz w:val="22"/>
          <w:szCs w:val="22"/>
          <w:lang w:val="es-ES"/>
        </w:rPr>
        <w:t>6</w:t>
      </w:r>
      <w:r w:rsidR="00CD7DB3" w:rsidRPr="0028406C">
        <w:rPr>
          <w:rFonts w:ascii="Arial" w:hAnsi="Arial" w:cs="Arial"/>
          <w:b w:val="0"/>
          <w:sz w:val="22"/>
          <w:szCs w:val="22"/>
          <w:lang w:val="es-ES"/>
        </w:rPr>
        <w:t xml:space="preserve">0% de los recursos </w:t>
      </w:r>
      <w:r w:rsidR="00CD7DB3" w:rsidRPr="0028406C">
        <w:rPr>
          <w:rFonts w:ascii="Arial" w:hAnsi="Arial" w:cs="Arial"/>
          <w:b w:val="0"/>
          <w:noProof w:val="0"/>
          <w:sz w:val="22"/>
          <w:szCs w:val="22"/>
          <w:lang w:val="es-ES"/>
        </w:rPr>
        <w:t xml:space="preserve">o cuando hayan transcurrido </w:t>
      </w:r>
      <w:r w:rsidR="00114A8C" w:rsidRPr="0028406C">
        <w:rPr>
          <w:rFonts w:ascii="Arial" w:hAnsi="Arial" w:cs="Arial"/>
          <w:b w:val="0"/>
          <w:noProof w:val="0"/>
          <w:sz w:val="22"/>
          <w:szCs w:val="22"/>
          <w:lang w:val="es-ES"/>
        </w:rPr>
        <w:t>30</w:t>
      </w:r>
      <w:r w:rsidR="00CD7DB3" w:rsidRPr="0028406C">
        <w:rPr>
          <w:rFonts w:ascii="Arial" w:hAnsi="Arial" w:cs="Arial"/>
          <w:b w:val="0"/>
          <w:noProof w:val="0"/>
          <w:sz w:val="22"/>
          <w:szCs w:val="22"/>
          <w:lang w:val="es-ES"/>
        </w:rPr>
        <w:t xml:space="preserve"> meses de ejecución del programa, lo que </w:t>
      </w:r>
      <w:r w:rsidR="00CD7DB3" w:rsidRPr="00B61103">
        <w:rPr>
          <w:rFonts w:ascii="Arial" w:hAnsi="Arial" w:cs="Arial"/>
          <w:b w:val="0"/>
          <w:noProof w:val="0"/>
          <w:sz w:val="22"/>
          <w:szCs w:val="22"/>
          <w:lang w:val="es-ES"/>
        </w:rPr>
        <w:t xml:space="preserve">ocurra primero. </w:t>
      </w:r>
    </w:p>
    <w:p w14:paraId="1BD875A2" w14:textId="77777777" w:rsidR="00694721" w:rsidRPr="00B61103" w:rsidRDefault="00694721"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5A2584B1" w14:textId="321B4A9A" w:rsidR="00F94273" w:rsidRPr="0028406C" w:rsidRDefault="00F94273"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B61103">
        <w:rPr>
          <w:rFonts w:ascii="Arial" w:hAnsi="Arial" w:cs="Arial"/>
          <w:b w:val="0"/>
          <w:noProof w:val="0"/>
          <w:sz w:val="22"/>
          <w:szCs w:val="22"/>
          <w:lang w:val="es-ES"/>
        </w:rPr>
        <w:t>El</w:t>
      </w:r>
      <w:r w:rsidR="007864E2" w:rsidRPr="00B61103">
        <w:rPr>
          <w:rFonts w:ascii="Arial" w:hAnsi="Arial" w:cs="Arial"/>
          <w:b w:val="0"/>
          <w:noProof w:val="0"/>
          <w:sz w:val="22"/>
          <w:szCs w:val="22"/>
          <w:lang w:val="es-ES"/>
        </w:rPr>
        <w:t xml:space="preserve"> </w:t>
      </w:r>
      <w:r w:rsidR="00432BEA" w:rsidRPr="00B61103">
        <w:rPr>
          <w:rFonts w:ascii="Arial" w:hAnsi="Arial" w:cs="Arial"/>
          <w:b w:val="0"/>
          <w:noProof w:val="0"/>
          <w:sz w:val="22"/>
          <w:szCs w:val="22"/>
          <w:lang w:val="es-ES"/>
        </w:rPr>
        <w:t xml:space="preserve">MEF </w:t>
      </w:r>
      <w:r w:rsidRPr="00B61103">
        <w:rPr>
          <w:rFonts w:ascii="Arial" w:hAnsi="Arial" w:cs="Arial"/>
          <w:b w:val="0"/>
          <w:noProof w:val="0"/>
          <w:sz w:val="22"/>
          <w:szCs w:val="22"/>
          <w:lang w:val="es-ES"/>
        </w:rPr>
        <w:t>contratará</w:t>
      </w:r>
      <w:r w:rsidR="00D3652F" w:rsidRPr="00B61103">
        <w:rPr>
          <w:rFonts w:ascii="Arial" w:hAnsi="Arial" w:cs="Arial"/>
          <w:b w:val="0"/>
          <w:noProof w:val="0"/>
          <w:sz w:val="22"/>
          <w:szCs w:val="22"/>
          <w:lang w:val="es-ES"/>
        </w:rPr>
        <w:t xml:space="preserve"> consultorías</w:t>
      </w:r>
      <w:r w:rsidRPr="00B61103">
        <w:rPr>
          <w:rFonts w:ascii="Arial" w:hAnsi="Arial" w:cs="Arial"/>
          <w:b w:val="0"/>
          <w:noProof w:val="0"/>
          <w:sz w:val="22"/>
          <w:szCs w:val="22"/>
          <w:lang w:val="es-ES"/>
        </w:rPr>
        <w:t xml:space="preserve"> externas e independientes </w:t>
      </w:r>
      <w:r w:rsidR="00D3652F" w:rsidRPr="00B61103">
        <w:rPr>
          <w:rFonts w:ascii="Arial" w:hAnsi="Arial" w:cs="Arial"/>
          <w:b w:val="0"/>
          <w:noProof w:val="0"/>
          <w:sz w:val="22"/>
          <w:szCs w:val="22"/>
          <w:lang w:val="es-ES"/>
        </w:rPr>
        <w:t>para la Evaluación de</w:t>
      </w:r>
      <w:r w:rsidR="00D17CE5" w:rsidRPr="00B61103">
        <w:rPr>
          <w:rFonts w:ascii="Arial" w:hAnsi="Arial" w:cs="Arial"/>
          <w:b w:val="0"/>
          <w:noProof w:val="0"/>
          <w:sz w:val="22"/>
          <w:szCs w:val="22"/>
          <w:lang w:val="es-ES"/>
        </w:rPr>
        <w:t xml:space="preserve"> resultados intermedia</w:t>
      </w:r>
      <w:r w:rsidR="00747D3D" w:rsidRPr="00B61103">
        <w:rPr>
          <w:rFonts w:ascii="Arial" w:hAnsi="Arial" w:cs="Arial"/>
          <w:b w:val="0"/>
          <w:noProof w:val="0"/>
          <w:sz w:val="22"/>
          <w:szCs w:val="22"/>
          <w:lang w:val="es-ES"/>
        </w:rPr>
        <w:t>,</w:t>
      </w:r>
      <w:r w:rsidR="00D17CE5" w:rsidRPr="00B61103">
        <w:rPr>
          <w:rFonts w:ascii="Arial" w:hAnsi="Arial" w:cs="Arial"/>
          <w:b w:val="0"/>
          <w:noProof w:val="0"/>
          <w:sz w:val="22"/>
          <w:szCs w:val="22"/>
          <w:lang w:val="es-ES"/>
        </w:rPr>
        <w:t xml:space="preserve"> y </w:t>
      </w:r>
      <w:r w:rsidR="00590AB9" w:rsidRPr="00B61103">
        <w:rPr>
          <w:rFonts w:ascii="Arial" w:hAnsi="Arial" w:cs="Arial"/>
          <w:b w:val="0"/>
          <w:noProof w:val="0"/>
          <w:sz w:val="22"/>
          <w:szCs w:val="22"/>
          <w:lang w:val="es-ES"/>
        </w:rPr>
        <w:t>Evaluación F</w:t>
      </w:r>
      <w:r w:rsidR="00D17CE5" w:rsidRPr="00B61103">
        <w:rPr>
          <w:rFonts w:ascii="Arial" w:hAnsi="Arial" w:cs="Arial"/>
          <w:b w:val="0"/>
          <w:noProof w:val="0"/>
          <w:sz w:val="22"/>
          <w:szCs w:val="22"/>
          <w:lang w:val="es-ES"/>
        </w:rPr>
        <w:t>inal</w:t>
      </w:r>
      <w:r w:rsidR="00590AB9" w:rsidRPr="00B61103">
        <w:rPr>
          <w:rFonts w:ascii="Arial" w:hAnsi="Arial" w:cs="Arial"/>
          <w:b w:val="0"/>
          <w:noProof w:val="0"/>
          <w:sz w:val="22"/>
          <w:szCs w:val="22"/>
          <w:lang w:val="es-ES"/>
        </w:rPr>
        <w:t xml:space="preserve"> antes y después</w:t>
      </w:r>
      <w:r w:rsidRPr="00B61103">
        <w:rPr>
          <w:rFonts w:ascii="Arial" w:hAnsi="Arial" w:cs="Arial"/>
          <w:b w:val="0"/>
          <w:noProof w:val="0"/>
          <w:sz w:val="22"/>
          <w:szCs w:val="22"/>
          <w:lang w:val="es-ES"/>
        </w:rPr>
        <w:t xml:space="preserve">. Estas evaluaciones serán financiadas con recursos del </w:t>
      </w:r>
      <w:r w:rsidR="00CA65C6" w:rsidRPr="00B61103">
        <w:rPr>
          <w:rFonts w:ascii="Arial" w:hAnsi="Arial" w:cs="Arial"/>
          <w:b w:val="0"/>
          <w:noProof w:val="0"/>
          <w:sz w:val="22"/>
          <w:szCs w:val="22"/>
          <w:lang w:val="es-ES"/>
        </w:rPr>
        <w:t>proyecto</w:t>
      </w:r>
      <w:r w:rsidRPr="00B61103">
        <w:rPr>
          <w:rFonts w:ascii="Arial" w:hAnsi="Arial" w:cs="Arial"/>
          <w:b w:val="0"/>
          <w:noProof w:val="0"/>
          <w:sz w:val="22"/>
          <w:szCs w:val="22"/>
          <w:lang w:val="es-ES"/>
        </w:rPr>
        <w:t xml:space="preserve"> y serán realizadas por consultores individuales o firmas consultoras independientes y calificadas, cuyo</w:t>
      </w:r>
      <w:r w:rsidR="00D83461" w:rsidRPr="00B61103">
        <w:rPr>
          <w:rFonts w:ascii="Arial" w:hAnsi="Arial" w:cs="Arial"/>
          <w:b w:val="0"/>
          <w:noProof w:val="0"/>
          <w:sz w:val="22"/>
          <w:szCs w:val="22"/>
          <w:lang w:val="es-ES"/>
        </w:rPr>
        <w:t>s</w:t>
      </w:r>
      <w:r w:rsidRPr="00B61103">
        <w:rPr>
          <w:rFonts w:ascii="Arial" w:hAnsi="Arial" w:cs="Arial"/>
          <w:b w:val="0"/>
          <w:noProof w:val="0"/>
          <w:sz w:val="22"/>
          <w:szCs w:val="22"/>
          <w:lang w:val="es-ES"/>
        </w:rPr>
        <w:t xml:space="preserve"> términos de referencia </w:t>
      </w:r>
      <w:r w:rsidR="00AC3303" w:rsidRPr="00B61103">
        <w:rPr>
          <w:rFonts w:ascii="Arial" w:hAnsi="Arial" w:cs="Arial"/>
          <w:b w:val="0"/>
          <w:noProof w:val="0"/>
          <w:sz w:val="22"/>
          <w:szCs w:val="22"/>
          <w:lang w:val="es-ES"/>
        </w:rPr>
        <w:t xml:space="preserve">tendrán el visto bueno de ambos ejecutores </w:t>
      </w:r>
      <w:r w:rsidR="00A56585" w:rsidRPr="00B61103">
        <w:rPr>
          <w:rFonts w:ascii="Arial" w:hAnsi="Arial" w:cs="Arial"/>
          <w:b w:val="0"/>
          <w:noProof w:val="0"/>
          <w:sz w:val="22"/>
          <w:szCs w:val="22"/>
          <w:lang w:val="es-ES"/>
        </w:rPr>
        <w:t>y</w:t>
      </w:r>
      <w:r w:rsidRPr="00B61103">
        <w:rPr>
          <w:rFonts w:ascii="Arial" w:hAnsi="Arial" w:cs="Arial"/>
          <w:b w:val="0"/>
          <w:noProof w:val="0"/>
          <w:sz w:val="22"/>
          <w:szCs w:val="22"/>
          <w:lang w:val="es-ES"/>
        </w:rPr>
        <w:t xml:space="preserve"> la No objeción</w:t>
      </w:r>
      <w:r w:rsidRPr="0028406C">
        <w:rPr>
          <w:rFonts w:ascii="Arial" w:hAnsi="Arial" w:cs="Arial"/>
          <w:b w:val="0"/>
          <w:noProof w:val="0"/>
          <w:sz w:val="22"/>
          <w:szCs w:val="22"/>
          <w:lang w:val="es-ES"/>
        </w:rPr>
        <w:t xml:space="preserve"> del BID.</w:t>
      </w:r>
    </w:p>
    <w:p w14:paraId="6C606705" w14:textId="77777777" w:rsidR="00694721" w:rsidRPr="0028406C" w:rsidRDefault="00694721"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495D1A29" w14:textId="7D4A5CA6" w:rsidR="00F94273" w:rsidRPr="0028406C" w:rsidRDefault="008C7E58"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b w:val="0"/>
          <w:noProof w:val="0"/>
          <w:sz w:val="22"/>
          <w:szCs w:val="22"/>
          <w:lang w:val="es-ES"/>
        </w:rPr>
        <w:t>La</w:t>
      </w:r>
      <w:r w:rsidR="00F94273" w:rsidRPr="0028406C">
        <w:rPr>
          <w:rFonts w:ascii="Arial" w:hAnsi="Arial" w:cs="Arial"/>
          <w:b w:val="0"/>
          <w:noProof w:val="0"/>
          <w:sz w:val="22"/>
          <w:szCs w:val="22"/>
          <w:lang w:val="es-ES"/>
        </w:rPr>
        <w:t xml:space="preserve"> evaluación intermedia </w:t>
      </w:r>
      <w:r w:rsidRPr="0028406C">
        <w:rPr>
          <w:rFonts w:ascii="Arial" w:hAnsi="Arial" w:cs="Arial"/>
          <w:b w:val="0"/>
          <w:noProof w:val="0"/>
          <w:sz w:val="22"/>
          <w:szCs w:val="22"/>
          <w:lang w:val="es-ES"/>
        </w:rPr>
        <w:t xml:space="preserve">tiene como objetivo </w:t>
      </w:r>
      <w:r w:rsidR="00F94273" w:rsidRPr="0028406C">
        <w:rPr>
          <w:rFonts w:ascii="Arial" w:hAnsi="Arial" w:cs="Arial"/>
          <w:b w:val="0"/>
          <w:noProof w:val="0"/>
          <w:sz w:val="22"/>
          <w:szCs w:val="22"/>
          <w:lang w:val="es-ES"/>
        </w:rPr>
        <w:t xml:space="preserve">verificar el cumplimiento en la ejecución general del </w:t>
      </w:r>
      <w:r w:rsidR="00CA65C6" w:rsidRPr="0028406C">
        <w:rPr>
          <w:rFonts w:ascii="Arial" w:hAnsi="Arial" w:cs="Arial"/>
          <w:b w:val="0"/>
          <w:noProof w:val="0"/>
          <w:sz w:val="22"/>
          <w:szCs w:val="22"/>
          <w:lang w:val="es-ES"/>
        </w:rPr>
        <w:t>pro</w:t>
      </w:r>
      <w:r w:rsidR="00F0312B" w:rsidRPr="0028406C">
        <w:rPr>
          <w:rFonts w:ascii="Arial" w:hAnsi="Arial" w:cs="Arial"/>
          <w:b w:val="0"/>
          <w:noProof w:val="0"/>
          <w:sz w:val="22"/>
          <w:szCs w:val="22"/>
          <w:lang w:val="es-ES"/>
        </w:rPr>
        <w:t>grama</w:t>
      </w:r>
      <w:r w:rsidR="00F94273" w:rsidRPr="0028406C">
        <w:rPr>
          <w:rFonts w:ascii="Arial" w:hAnsi="Arial" w:cs="Arial"/>
          <w:b w:val="0"/>
          <w:noProof w:val="0"/>
          <w:sz w:val="22"/>
          <w:szCs w:val="22"/>
          <w:lang w:val="es-ES"/>
        </w:rPr>
        <w:t xml:space="preserve"> y el avance hacia la consecución de metas de la </w:t>
      </w:r>
      <w:r w:rsidR="00CA65C6" w:rsidRPr="0028406C">
        <w:rPr>
          <w:rFonts w:ascii="Arial" w:hAnsi="Arial" w:cs="Arial"/>
          <w:b w:val="0"/>
          <w:noProof w:val="0"/>
          <w:sz w:val="22"/>
          <w:szCs w:val="22"/>
          <w:lang w:val="es-ES"/>
        </w:rPr>
        <w:t>M</w:t>
      </w:r>
      <w:r w:rsidR="00F94273" w:rsidRPr="0028406C">
        <w:rPr>
          <w:rFonts w:ascii="Arial" w:hAnsi="Arial" w:cs="Arial"/>
          <w:b w:val="0"/>
          <w:noProof w:val="0"/>
          <w:sz w:val="22"/>
          <w:szCs w:val="22"/>
          <w:lang w:val="es-ES"/>
        </w:rPr>
        <w:t xml:space="preserve">atriz de </w:t>
      </w:r>
      <w:r w:rsidR="00CA65C6" w:rsidRPr="0028406C">
        <w:rPr>
          <w:rFonts w:ascii="Arial" w:hAnsi="Arial" w:cs="Arial"/>
          <w:b w:val="0"/>
          <w:noProof w:val="0"/>
          <w:sz w:val="22"/>
          <w:szCs w:val="22"/>
          <w:lang w:val="es-ES"/>
        </w:rPr>
        <w:t>R</w:t>
      </w:r>
      <w:r w:rsidR="00F94273" w:rsidRPr="0028406C">
        <w:rPr>
          <w:rFonts w:ascii="Arial" w:hAnsi="Arial" w:cs="Arial"/>
          <w:b w:val="0"/>
          <w:noProof w:val="0"/>
          <w:sz w:val="22"/>
          <w:szCs w:val="22"/>
          <w:lang w:val="es-ES"/>
        </w:rPr>
        <w:t>esultados. Esta</w:t>
      </w:r>
      <w:r w:rsidR="00CA65C6" w:rsidRPr="0028406C">
        <w:rPr>
          <w:rFonts w:ascii="Arial" w:hAnsi="Arial" w:cs="Arial"/>
          <w:b w:val="0"/>
          <w:noProof w:val="0"/>
          <w:sz w:val="22"/>
          <w:szCs w:val="22"/>
          <w:lang w:val="es-ES"/>
        </w:rPr>
        <w:t xml:space="preserve"> evaluación </w:t>
      </w:r>
      <w:r w:rsidR="00406053" w:rsidRPr="0028406C">
        <w:rPr>
          <w:rFonts w:ascii="Arial" w:hAnsi="Arial" w:cs="Arial"/>
          <w:b w:val="0"/>
          <w:noProof w:val="0"/>
          <w:sz w:val="22"/>
          <w:szCs w:val="22"/>
          <w:lang w:val="es-ES"/>
        </w:rPr>
        <w:t>se realizará siguiendo el formato de PCR</w:t>
      </w:r>
      <w:r w:rsidR="00EF1C57" w:rsidRPr="0028406C">
        <w:rPr>
          <w:rFonts w:ascii="Arial" w:hAnsi="Arial" w:cs="Arial"/>
          <w:b w:val="0"/>
          <w:noProof w:val="0"/>
          <w:sz w:val="22"/>
          <w:szCs w:val="22"/>
          <w:lang w:val="es-ES"/>
        </w:rPr>
        <w:t xml:space="preserve"> (Project </w:t>
      </w:r>
      <w:proofErr w:type="spellStart"/>
      <w:r w:rsidR="00EF1C57" w:rsidRPr="0028406C">
        <w:rPr>
          <w:rFonts w:ascii="Arial" w:hAnsi="Arial" w:cs="Arial"/>
          <w:b w:val="0"/>
          <w:noProof w:val="0"/>
          <w:sz w:val="22"/>
          <w:szCs w:val="22"/>
          <w:lang w:val="es-ES"/>
        </w:rPr>
        <w:t>Completion</w:t>
      </w:r>
      <w:proofErr w:type="spellEnd"/>
      <w:r w:rsidR="00EF1C57" w:rsidRPr="0028406C">
        <w:rPr>
          <w:rFonts w:ascii="Arial" w:hAnsi="Arial" w:cs="Arial"/>
          <w:b w:val="0"/>
          <w:noProof w:val="0"/>
          <w:sz w:val="22"/>
          <w:szCs w:val="22"/>
          <w:lang w:val="es-ES"/>
        </w:rPr>
        <w:t xml:space="preserve"> </w:t>
      </w:r>
      <w:proofErr w:type="spellStart"/>
      <w:r w:rsidR="00EF1C57" w:rsidRPr="0028406C">
        <w:rPr>
          <w:rFonts w:ascii="Arial" w:hAnsi="Arial" w:cs="Arial"/>
          <w:b w:val="0"/>
          <w:noProof w:val="0"/>
          <w:sz w:val="22"/>
          <w:szCs w:val="22"/>
          <w:lang w:val="es-ES"/>
        </w:rPr>
        <w:t>Report</w:t>
      </w:r>
      <w:proofErr w:type="spellEnd"/>
      <w:r w:rsidR="00EF1C57" w:rsidRPr="0028406C">
        <w:rPr>
          <w:rFonts w:ascii="Arial" w:hAnsi="Arial" w:cs="Arial"/>
          <w:b w:val="0"/>
          <w:noProof w:val="0"/>
          <w:sz w:val="22"/>
          <w:szCs w:val="22"/>
          <w:lang w:val="es-ES"/>
        </w:rPr>
        <w:t>, por sus siglas en inglés)</w:t>
      </w:r>
      <w:r w:rsidR="00406053" w:rsidRPr="0028406C">
        <w:rPr>
          <w:rFonts w:ascii="Arial" w:hAnsi="Arial" w:cs="Arial"/>
          <w:b w:val="0"/>
          <w:noProof w:val="0"/>
          <w:sz w:val="22"/>
          <w:szCs w:val="22"/>
          <w:lang w:val="es-ES"/>
        </w:rPr>
        <w:t xml:space="preserve"> e </w:t>
      </w:r>
      <w:r w:rsidR="00CA65C6" w:rsidRPr="0028406C">
        <w:rPr>
          <w:rFonts w:ascii="Arial" w:hAnsi="Arial" w:cs="Arial"/>
          <w:b w:val="0"/>
          <w:noProof w:val="0"/>
          <w:sz w:val="22"/>
          <w:szCs w:val="22"/>
          <w:lang w:val="es-ES"/>
        </w:rPr>
        <w:t>identificará si el proyecto</w:t>
      </w:r>
      <w:r w:rsidR="00F94273" w:rsidRPr="0028406C">
        <w:rPr>
          <w:rFonts w:ascii="Arial" w:hAnsi="Arial" w:cs="Arial"/>
          <w:b w:val="0"/>
          <w:noProof w:val="0"/>
          <w:sz w:val="22"/>
          <w:szCs w:val="22"/>
          <w:lang w:val="es-ES"/>
        </w:rPr>
        <w:t xml:space="preserve"> está</w:t>
      </w:r>
      <w:r w:rsidR="00EF1C57" w:rsidRPr="0028406C">
        <w:rPr>
          <w:rFonts w:ascii="Arial" w:hAnsi="Arial" w:cs="Arial"/>
          <w:b w:val="0"/>
          <w:noProof w:val="0"/>
          <w:sz w:val="22"/>
          <w:szCs w:val="22"/>
          <w:lang w:val="es-ES"/>
        </w:rPr>
        <w:t xml:space="preserve"> logrando los resultados</w:t>
      </w:r>
      <w:r w:rsidR="00F94273" w:rsidRPr="0028406C">
        <w:rPr>
          <w:rFonts w:ascii="Arial" w:hAnsi="Arial" w:cs="Arial"/>
          <w:b w:val="0"/>
          <w:noProof w:val="0"/>
          <w:sz w:val="22"/>
          <w:szCs w:val="22"/>
          <w:lang w:val="es-ES"/>
        </w:rPr>
        <w:t xml:space="preserve"> previstos y si está avanzando adecuadamente hacia la consecución del objetivo planteado. Además</w:t>
      </w:r>
      <w:r w:rsidR="00D83461" w:rsidRPr="0028406C">
        <w:rPr>
          <w:rFonts w:ascii="Arial" w:hAnsi="Arial" w:cs="Arial"/>
          <w:b w:val="0"/>
          <w:noProof w:val="0"/>
          <w:sz w:val="22"/>
          <w:szCs w:val="22"/>
          <w:lang w:val="es-ES"/>
        </w:rPr>
        <w:t>,</w:t>
      </w:r>
      <w:r w:rsidR="00CA65C6" w:rsidRPr="0028406C">
        <w:rPr>
          <w:rFonts w:ascii="Arial" w:hAnsi="Arial" w:cs="Arial"/>
          <w:b w:val="0"/>
          <w:noProof w:val="0"/>
          <w:sz w:val="22"/>
          <w:szCs w:val="22"/>
          <w:lang w:val="es-ES"/>
        </w:rPr>
        <w:t xml:space="preserve"> analizará la estrategia de la o</w:t>
      </w:r>
      <w:r w:rsidR="00F94273" w:rsidRPr="0028406C">
        <w:rPr>
          <w:rFonts w:ascii="Arial" w:hAnsi="Arial" w:cs="Arial"/>
          <w:b w:val="0"/>
          <w:noProof w:val="0"/>
          <w:sz w:val="22"/>
          <w:szCs w:val="22"/>
          <w:lang w:val="es-ES"/>
        </w:rPr>
        <w:t xml:space="preserve">peración y su pertinencia </w:t>
      </w:r>
      <w:r w:rsidR="00CA65C6" w:rsidRPr="0028406C">
        <w:rPr>
          <w:rFonts w:ascii="Arial" w:hAnsi="Arial" w:cs="Arial"/>
          <w:b w:val="0"/>
          <w:noProof w:val="0"/>
          <w:sz w:val="22"/>
          <w:szCs w:val="22"/>
          <w:lang w:val="es-ES"/>
        </w:rPr>
        <w:t xml:space="preserve">para la situación del entorno. </w:t>
      </w:r>
      <w:r w:rsidR="00F94273" w:rsidRPr="0028406C">
        <w:rPr>
          <w:rFonts w:ascii="Arial" w:hAnsi="Arial" w:cs="Arial"/>
          <w:b w:val="0"/>
          <w:noProof w:val="0"/>
          <w:sz w:val="22"/>
          <w:szCs w:val="22"/>
          <w:lang w:val="es-ES"/>
        </w:rPr>
        <w:t xml:space="preserve">Verificará si los supuestos </w:t>
      </w:r>
      <w:r w:rsidR="00EF1C57" w:rsidRPr="0028406C">
        <w:rPr>
          <w:rFonts w:ascii="Arial" w:hAnsi="Arial" w:cs="Arial"/>
          <w:b w:val="0"/>
          <w:noProof w:val="0"/>
          <w:sz w:val="22"/>
          <w:szCs w:val="22"/>
          <w:lang w:val="es-ES"/>
        </w:rPr>
        <w:t>definidos</w:t>
      </w:r>
      <w:r w:rsidR="00F94273" w:rsidRPr="0028406C">
        <w:rPr>
          <w:rFonts w:ascii="Arial" w:hAnsi="Arial" w:cs="Arial"/>
          <w:b w:val="0"/>
          <w:noProof w:val="0"/>
          <w:sz w:val="22"/>
          <w:szCs w:val="22"/>
          <w:lang w:val="es-ES"/>
        </w:rPr>
        <w:t xml:space="preserve"> en la </w:t>
      </w:r>
      <w:r w:rsidR="00CA65C6" w:rsidRPr="0028406C">
        <w:rPr>
          <w:rFonts w:ascii="Arial" w:hAnsi="Arial" w:cs="Arial"/>
          <w:b w:val="0"/>
          <w:noProof w:val="0"/>
          <w:sz w:val="22"/>
          <w:szCs w:val="22"/>
          <w:lang w:val="es-ES"/>
        </w:rPr>
        <w:t xml:space="preserve">Matriz de Resultados se han cumplido. </w:t>
      </w:r>
      <w:r w:rsidR="00F94273" w:rsidRPr="0028406C">
        <w:rPr>
          <w:rFonts w:ascii="Arial" w:hAnsi="Arial" w:cs="Arial"/>
          <w:b w:val="0"/>
          <w:noProof w:val="0"/>
          <w:sz w:val="22"/>
          <w:szCs w:val="22"/>
          <w:lang w:val="es-ES"/>
        </w:rPr>
        <w:t>También</w:t>
      </w:r>
      <w:r w:rsidR="00924B3A" w:rsidRPr="0028406C">
        <w:rPr>
          <w:rFonts w:ascii="Arial" w:hAnsi="Arial" w:cs="Arial"/>
          <w:b w:val="0"/>
          <w:noProof w:val="0"/>
          <w:sz w:val="22"/>
          <w:szCs w:val="22"/>
          <w:lang w:val="es-ES"/>
        </w:rPr>
        <w:t>,</w:t>
      </w:r>
      <w:r w:rsidR="00F94273" w:rsidRPr="0028406C">
        <w:rPr>
          <w:rFonts w:ascii="Arial" w:hAnsi="Arial" w:cs="Arial"/>
          <w:b w:val="0"/>
          <w:noProof w:val="0"/>
          <w:sz w:val="22"/>
          <w:szCs w:val="22"/>
          <w:lang w:val="es-ES"/>
        </w:rPr>
        <w:t xml:space="preserve"> incluirá un análisis de los arreglos operativos y administrativos empleados y recomendaciones para su optimización. </w:t>
      </w:r>
      <w:r w:rsidR="00EF1C57" w:rsidRPr="0028406C">
        <w:rPr>
          <w:rFonts w:ascii="Arial" w:hAnsi="Arial" w:cs="Arial"/>
          <w:b w:val="0"/>
          <w:noProof w:val="0"/>
          <w:sz w:val="22"/>
          <w:szCs w:val="22"/>
          <w:lang w:val="es-ES"/>
        </w:rPr>
        <w:t>De la misma manera</w:t>
      </w:r>
      <w:r w:rsidR="00D83461" w:rsidRPr="0028406C">
        <w:rPr>
          <w:rFonts w:ascii="Arial" w:hAnsi="Arial" w:cs="Arial"/>
          <w:b w:val="0"/>
          <w:noProof w:val="0"/>
          <w:sz w:val="22"/>
          <w:szCs w:val="22"/>
          <w:lang w:val="es-ES"/>
        </w:rPr>
        <w:t>,</w:t>
      </w:r>
      <w:r w:rsidR="00F94273" w:rsidRPr="0028406C">
        <w:rPr>
          <w:rFonts w:ascii="Arial" w:hAnsi="Arial" w:cs="Arial"/>
          <w:b w:val="0"/>
          <w:noProof w:val="0"/>
          <w:sz w:val="22"/>
          <w:szCs w:val="22"/>
          <w:lang w:val="es-ES"/>
        </w:rPr>
        <w:t xml:space="preserve"> analizará el cumplimiento de los compromisos establecidos en el Con</w:t>
      </w:r>
      <w:r w:rsidR="00D34266" w:rsidRPr="0028406C">
        <w:rPr>
          <w:rFonts w:ascii="Arial" w:hAnsi="Arial" w:cs="Arial"/>
          <w:b w:val="0"/>
          <w:noProof w:val="0"/>
          <w:sz w:val="22"/>
          <w:szCs w:val="22"/>
          <w:lang w:val="es-ES"/>
        </w:rPr>
        <w:t>trato de Préstamo</w:t>
      </w:r>
      <w:r w:rsidR="007864E2" w:rsidRPr="0028406C">
        <w:rPr>
          <w:rFonts w:ascii="Arial" w:hAnsi="Arial" w:cs="Arial"/>
          <w:b w:val="0"/>
          <w:noProof w:val="0"/>
          <w:sz w:val="22"/>
          <w:szCs w:val="22"/>
          <w:lang w:val="es-ES"/>
        </w:rPr>
        <w:t xml:space="preserve">, y en </w:t>
      </w:r>
      <w:r w:rsidR="00736C10" w:rsidRPr="0028406C">
        <w:rPr>
          <w:rFonts w:ascii="Arial" w:hAnsi="Arial" w:cs="Arial"/>
          <w:b w:val="0"/>
          <w:noProof w:val="0"/>
          <w:sz w:val="22"/>
          <w:szCs w:val="22"/>
          <w:lang w:val="es-ES"/>
        </w:rPr>
        <w:t>los</w:t>
      </w:r>
      <w:r w:rsidR="007864E2" w:rsidRPr="0028406C">
        <w:rPr>
          <w:rFonts w:ascii="Arial" w:hAnsi="Arial" w:cs="Arial"/>
          <w:b w:val="0"/>
          <w:noProof w:val="0"/>
          <w:sz w:val="22"/>
          <w:szCs w:val="22"/>
          <w:lang w:val="es-ES"/>
        </w:rPr>
        <w:t xml:space="preserve"> </w:t>
      </w:r>
      <w:r w:rsidR="00432BEA" w:rsidRPr="0028406C">
        <w:rPr>
          <w:rFonts w:ascii="Arial" w:hAnsi="Arial" w:cs="Arial"/>
          <w:b w:val="0"/>
          <w:noProof w:val="0"/>
          <w:sz w:val="22"/>
          <w:szCs w:val="22"/>
          <w:lang w:val="es-ES"/>
        </w:rPr>
        <w:t>R</w:t>
      </w:r>
      <w:r w:rsidR="007864E2" w:rsidRPr="0028406C">
        <w:rPr>
          <w:rFonts w:ascii="Arial" w:hAnsi="Arial" w:cs="Arial"/>
          <w:b w:val="0"/>
          <w:noProof w:val="0"/>
          <w:sz w:val="22"/>
          <w:szCs w:val="22"/>
          <w:lang w:val="es-ES"/>
        </w:rPr>
        <w:t>OP</w:t>
      </w:r>
      <w:r w:rsidR="00590AB9" w:rsidRPr="0028406C">
        <w:rPr>
          <w:rFonts w:ascii="Arial" w:hAnsi="Arial" w:cs="Arial"/>
          <w:b w:val="0"/>
          <w:noProof w:val="0"/>
          <w:sz w:val="22"/>
          <w:szCs w:val="22"/>
          <w:lang w:val="es-ES"/>
        </w:rPr>
        <w:t>,</w:t>
      </w:r>
      <w:r w:rsidR="00736C10" w:rsidRPr="0028406C">
        <w:rPr>
          <w:rFonts w:ascii="Arial" w:hAnsi="Arial" w:cs="Arial"/>
          <w:b w:val="0"/>
          <w:noProof w:val="0"/>
          <w:sz w:val="22"/>
          <w:szCs w:val="22"/>
          <w:lang w:val="es-ES"/>
        </w:rPr>
        <w:t xml:space="preserve"> correspondientes</w:t>
      </w:r>
      <w:r w:rsidR="007864E2" w:rsidRPr="0028406C">
        <w:rPr>
          <w:rFonts w:ascii="Arial" w:hAnsi="Arial" w:cs="Arial"/>
          <w:b w:val="0"/>
          <w:noProof w:val="0"/>
          <w:sz w:val="22"/>
          <w:szCs w:val="22"/>
          <w:lang w:val="es-ES"/>
        </w:rPr>
        <w:t xml:space="preserve">. </w:t>
      </w:r>
      <w:r w:rsidR="00F94273" w:rsidRPr="0028406C">
        <w:rPr>
          <w:rFonts w:ascii="Arial" w:hAnsi="Arial" w:cs="Arial"/>
          <w:b w:val="0"/>
          <w:noProof w:val="0"/>
          <w:sz w:val="22"/>
          <w:szCs w:val="22"/>
          <w:lang w:val="es-ES"/>
        </w:rPr>
        <w:t xml:space="preserve">La evaluación de medio término deberá orientar a los ejecutores del </w:t>
      </w:r>
      <w:r w:rsidR="00CA65C6" w:rsidRPr="0028406C">
        <w:rPr>
          <w:rFonts w:ascii="Arial" w:hAnsi="Arial" w:cs="Arial"/>
          <w:b w:val="0"/>
          <w:noProof w:val="0"/>
          <w:sz w:val="22"/>
          <w:szCs w:val="22"/>
          <w:lang w:val="es-ES"/>
        </w:rPr>
        <w:t>proyecto</w:t>
      </w:r>
      <w:r w:rsidR="00590AB9" w:rsidRPr="0028406C">
        <w:rPr>
          <w:rFonts w:ascii="Arial" w:hAnsi="Arial" w:cs="Arial"/>
          <w:b w:val="0"/>
          <w:noProof w:val="0"/>
          <w:sz w:val="22"/>
          <w:szCs w:val="22"/>
          <w:lang w:val="es-ES"/>
        </w:rPr>
        <w:t>,</w:t>
      </w:r>
      <w:r w:rsidR="00CA65C6" w:rsidRPr="0028406C">
        <w:rPr>
          <w:rFonts w:ascii="Arial" w:hAnsi="Arial" w:cs="Arial"/>
          <w:b w:val="0"/>
          <w:noProof w:val="0"/>
          <w:sz w:val="22"/>
          <w:szCs w:val="22"/>
          <w:lang w:val="es-ES"/>
        </w:rPr>
        <w:t xml:space="preserve"> </w:t>
      </w:r>
      <w:r w:rsidR="00F94273" w:rsidRPr="0028406C">
        <w:rPr>
          <w:rFonts w:ascii="Arial" w:hAnsi="Arial" w:cs="Arial"/>
          <w:b w:val="0"/>
          <w:noProof w:val="0"/>
          <w:sz w:val="22"/>
          <w:szCs w:val="22"/>
          <w:lang w:val="es-ES"/>
        </w:rPr>
        <w:t xml:space="preserve">respecto a ajustes estratégicos y operativos que fuesen necesarios adoptar. </w:t>
      </w:r>
    </w:p>
    <w:p w14:paraId="13C16DBD" w14:textId="77777777" w:rsidR="00694721" w:rsidRPr="0028406C" w:rsidRDefault="00694721"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7E9BB323" w14:textId="169B8944" w:rsidR="003F57E6" w:rsidRPr="0028406C" w:rsidRDefault="00CA65C6"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B61103">
        <w:rPr>
          <w:rFonts w:ascii="Arial" w:hAnsi="Arial" w:cs="Arial"/>
          <w:b w:val="0"/>
          <w:noProof w:val="0"/>
          <w:sz w:val="22"/>
          <w:szCs w:val="22"/>
          <w:lang w:val="es-ES"/>
        </w:rPr>
        <w:t>Una vez finalizado el proyecto</w:t>
      </w:r>
      <w:r w:rsidR="003F57E6" w:rsidRPr="00B61103">
        <w:rPr>
          <w:rFonts w:ascii="Arial" w:hAnsi="Arial" w:cs="Arial"/>
          <w:b w:val="0"/>
          <w:noProof w:val="0"/>
          <w:sz w:val="22"/>
          <w:szCs w:val="22"/>
          <w:lang w:val="es-ES"/>
        </w:rPr>
        <w:t xml:space="preserve">, el BID contratará </w:t>
      </w:r>
      <w:r w:rsidR="00751673" w:rsidRPr="00B61103">
        <w:rPr>
          <w:rFonts w:ascii="Arial" w:hAnsi="Arial" w:cs="Arial"/>
          <w:b w:val="0"/>
          <w:noProof w:val="0"/>
          <w:sz w:val="22"/>
          <w:szCs w:val="22"/>
          <w:lang w:val="es-ES"/>
        </w:rPr>
        <w:t>consultores individuales o firmas consultoras independientes y calificadas</w:t>
      </w:r>
      <w:r w:rsidR="003F57E6" w:rsidRPr="00B61103">
        <w:rPr>
          <w:rFonts w:ascii="Arial" w:hAnsi="Arial" w:cs="Arial"/>
          <w:b w:val="0"/>
          <w:noProof w:val="0"/>
          <w:sz w:val="22"/>
          <w:szCs w:val="22"/>
          <w:lang w:val="es-ES"/>
        </w:rPr>
        <w:t xml:space="preserve"> para la preparación de</w:t>
      </w:r>
      <w:r w:rsidR="00EF1C57" w:rsidRPr="00B61103">
        <w:rPr>
          <w:rFonts w:ascii="Arial" w:hAnsi="Arial" w:cs="Arial"/>
          <w:b w:val="0"/>
          <w:noProof w:val="0"/>
          <w:sz w:val="22"/>
          <w:szCs w:val="22"/>
          <w:lang w:val="es-ES"/>
        </w:rPr>
        <w:t xml:space="preserve"> </w:t>
      </w:r>
      <w:r w:rsidR="00F0312B" w:rsidRPr="00B61103">
        <w:rPr>
          <w:rFonts w:ascii="Arial" w:hAnsi="Arial" w:cs="Arial"/>
          <w:b w:val="0"/>
          <w:noProof w:val="0"/>
          <w:sz w:val="22"/>
          <w:szCs w:val="22"/>
          <w:lang w:val="es-ES"/>
        </w:rPr>
        <w:t>l</w:t>
      </w:r>
      <w:r w:rsidR="00EF1C57" w:rsidRPr="00B61103">
        <w:rPr>
          <w:rFonts w:ascii="Arial" w:hAnsi="Arial" w:cs="Arial"/>
          <w:b w:val="0"/>
          <w:noProof w:val="0"/>
          <w:sz w:val="22"/>
          <w:szCs w:val="22"/>
          <w:lang w:val="es-ES"/>
        </w:rPr>
        <w:t>a</w:t>
      </w:r>
      <w:r w:rsidR="003F57E6" w:rsidRPr="00B61103">
        <w:rPr>
          <w:rFonts w:ascii="Arial" w:hAnsi="Arial" w:cs="Arial"/>
          <w:b w:val="0"/>
          <w:noProof w:val="0"/>
          <w:sz w:val="22"/>
          <w:szCs w:val="22"/>
          <w:lang w:val="es-ES"/>
        </w:rPr>
        <w:t xml:space="preserve"> </w:t>
      </w:r>
      <w:r w:rsidR="00EF1C57" w:rsidRPr="00B61103">
        <w:rPr>
          <w:rFonts w:ascii="Arial" w:hAnsi="Arial" w:cs="Arial"/>
          <w:b w:val="0"/>
          <w:sz w:val="22"/>
          <w:szCs w:val="22"/>
          <w:lang w:val="es-ES"/>
        </w:rPr>
        <w:t>Evaluación</w:t>
      </w:r>
      <w:r w:rsidR="00D34266" w:rsidRPr="00B61103">
        <w:rPr>
          <w:rFonts w:ascii="Arial" w:hAnsi="Arial" w:cs="Arial"/>
          <w:b w:val="0"/>
          <w:sz w:val="22"/>
          <w:szCs w:val="22"/>
          <w:lang w:val="es-ES"/>
        </w:rPr>
        <w:t xml:space="preserve"> </w:t>
      </w:r>
      <w:r w:rsidR="0056495E" w:rsidRPr="00B61103">
        <w:rPr>
          <w:rFonts w:ascii="Arial" w:hAnsi="Arial" w:cs="Arial"/>
          <w:b w:val="0"/>
          <w:sz w:val="22"/>
          <w:szCs w:val="22"/>
          <w:lang w:val="es-ES"/>
        </w:rPr>
        <w:t>e</w:t>
      </w:r>
      <w:r w:rsidR="00EF1C57" w:rsidRPr="00B61103">
        <w:rPr>
          <w:rFonts w:ascii="Arial" w:hAnsi="Arial" w:cs="Arial"/>
          <w:b w:val="0"/>
          <w:sz w:val="22"/>
          <w:szCs w:val="22"/>
          <w:lang w:val="es-ES"/>
        </w:rPr>
        <w:t>conómica</w:t>
      </w:r>
      <w:r w:rsidR="00D34266" w:rsidRPr="00B61103">
        <w:rPr>
          <w:rFonts w:ascii="Arial" w:hAnsi="Arial" w:cs="Arial"/>
          <w:b w:val="0"/>
          <w:sz w:val="22"/>
          <w:szCs w:val="22"/>
          <w:lang w:val="es-ES"/>
        </w:rPr>
        <w:t xml:space="preserve"> </w:t>
      </w:r>
      <w:r w:rsidR="003F57E6" w:rsidRPr="00B61103">
        <w:rPr>
          <w:rFonts w:ascii="Arial" w:hAnsi="Arial" w:cs="Arial"/>
          <w:b w:val="0"/>
          <w:noProof w:val="0"/>
          <w:sz w:val="22"/>
          <w:szCs w:val="22"/>
          <w:lang w:val="es-ES"/>
        </w:rPr>
        <w:lastRenderedPageBreak/>
        <w:t>ex post</w:t>
      </w:r>
      <w:r w:rsidR="00F0312B" w:rsidRPr="00B61103">
        <w:rPr>
          <w:rFonts w:ascii="Arial" w:hAnsi="Arial" w:cs="Arial"/>
          <w:b w:val="0"/>
          <w:noProof w:val="0"/>
          <w:sz w:val="22"/>
          <w:szCs w:val="22"/>
          <w:lang w:val="es-ES"/>
        </w:rPr>
        <w:t>, que</w:t>
      </w:r>
      <w:r w:rsidR="003F57E6" w:rsidRPr="00B61103">
        <w:rPr>
          <w:rFonts w:ascii="Arial" w:hAnsi="Arial" w:cs="Arial"/>
          <w:b w:val="0"/>
          <w:noProof w:val="0"/>
          <w:sz w:val="22"/>
          <w:szCs w:val="22"/>
          <w:lang w:val="es-ES"/>
        </w:rPr>
        <w:t xml:space="preserve"> se desarrollará</w:t>
      </w:r>
      <w:r w:rsidR="003F57E6" w:rsidRPr="0028406C">
        <w:rPr>
          <w:rFonts w:ascii="Arial" w:hAnsi="Arial" w:cs="Arial"/>
          <w:b w:val="0"/>
          <w:noProof w:val="0"/>
          <w:sz w:val="22"/>
          <w:szCs w:val="22"/>
          <w:lang w:val="es-ES"/>
        </w:rPr>
        <w:t xml:space="preserve"> siguiendo la misma met</w:t>
      </w:r>
      <w:r w:rsidR="00EF1C57" w:rsidRPr="0028406C">
        <w:rPr>
          <w:rFonts w:ascii="Arial" w:hAnsi="Arial" w:cs="Arial"/>
          <w:b w:val="0"/>
          <w:noProof w:val="0"/>
          <w:sz w:val="22"/>
          <w:szCs w:val="22"/>
          <w:lang w:val="es-ES"/>
        </w:rPr>
        <w:t>odología básica descrita para la Evaluación</w:t>
      </w:r>
      <w:r w:rsidR="003F57E6" w:rsidRPr="0028406C">
        <w:rPr>
          <w:rFonts w:ascii="Arial" w:hAnsi="Arial" w:cs="Arial"/>
          <w:b w:val="0"/>
          <w:noProof w:val="0"/>
          <w:sz w:val="22"/>
          <w:szCs w:val="22"/>
          <w:lang w:val="es-ES"/>
        </w:rPr>
        <w:t xml:space="preserve"> </w:t>
      </w:r>
      <w:r w:rsidR="00EF1C57" w:rsidRPr="0028406C">
        <w:rPr>
          <w:rFonts w:ascii="Arial" w:hAnsi="Arial" w:cs="Arial"/>
          <w:b w:val="0"/>
          <w:noProof w:val="0"/>
          <w:sz w:val="22"/>
          <w:szCs w:val="22"/>
          <w:lang w:val="es-ES"/>
        </w:rPr>
        <w:t xml:space="preserve">económica </w:t>
      </w:r>
      <w:r w:rsidR="003F57E6" w:rsidRPr="0028406C">
        <w:rPr>
          <w:rFonts w:ascii="Arial" w:hAnsi="Arial" w:cs="Arial"/>
          <w:b w:val="0"/>
          <w:noProof w:val="0"/>
          <w:sz w:val="22"/>
          <w:szCs w:val="22"/>
          <w:lang w:val="es-ES"/>
        </w:rPr>
        <w:t>ex ante</w:t>
      </w:r>
      <w:r w:rsidR="00747D3D" w:rsidRPr="0028406C">
        <w:rPr>
          <w:rFonts w:ascii="Arial" w:hAnsi="Arial" w:cs="Arial"/>
          <w:b w:val="0"/>
          <w:noProof w:val="0"/>
          <w:sz w:val="22"/>
          <w:szCs w:val="22"/>
          <w:lang w:val="es-ES"/>
        </w:rPr>
        <w:t>.</w:t>
      </w:r>
      <w:r w:rsidR="00EF1C57" w:rsidRPr="0028406C">
        <w:rPr>
          <w:rFonts w:ascii="Arial" w:hAnsi="Arial" w:cs="Arial"/>
          <w:b w:val="0"/>
          <w:noProof w:val="0"/>
          <w:sz w:val="22"/>
          <w:szCs w:val="22"/>
          <w:lang w:val="es-ES"/>
        </w:rPr>
        <w:t xml:space="preserve"> </w:t>
      </w:r>
    </w:p>
    <w:p w14:paraId="7FCA534D" w14:textId="77777777" w:rsidR="00C144BC" w:rsidRPr="0028406C" w:rsidRDefault="00C144BC"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363450DC" w14:textId="28D141CB" w:rsidR="00562112" w:rsidRPr="0028406C" w:rsidRDefault="00F94273" w:rsidP="0028406C">
      <w:pPr>
        <w:pStyle w:val="Heading4"/>
        <w:numPr>
          <w:ilvl w:val="1"/>
          <w:numId w:val="10"/>
        </w:numPr>
        <w:tabs>
          <w:tab w:val="clear" w:pos="1440"/>
          <w:tab w:val="left" w:pos="720"/>
        </w:tabs>
        <w:spacing w:before="0" w:after="0" w:line="276" w:lineRule="auto"/>
        <w:ind w:left="720" w:hanging="720"/>
        <w:rPr>
          <w:rStyle w:val="Heading1Char"/>
          <w:rFonts w:ascii="Arial" w:hAnsi="Arial" w:cs="Arial"/>
          <w:smallCaps w:val="0"/>
          <w:noProof w:val="0"/>
          <w:sz w:val="22"/>
          <w:szCs w:val="22"/>
          <w:lang w:val="es-ES"/>
        </w:rPr>
      </w:pPr>
      <w:r w:rsidRPr="0028406C">
        <w:rPr>
          <w:rFonts w:ascii="Arial" w:hAnsi="Arial" w:cs="Arial"/>
          <w:b w:val="0"/>
          <w:noProof w:val="0"/>
          <w:sz w:val="22"/>
          <w:szCs w:val="22"/>
          <w:lang w:val="es-ES"/>
        </w:rPr>
        <w:t xml:space="preserve">La </w:t>
      </w:r>
      <w:r w:rsidR="00C144BC" w:rsidRPr="0028406C">
        <w:rPr>
          <w:rFonts w:ascii="Arial" w:hAnsi="Arial" w:cs="Arial"/>
          <w:b w:val="0"/>
          <w:noProof w:val="0"/>
          <w:sz w:val="22"/>
          <w:szCs w:val="22"/>
          <w:lang w:val="es-ES"/>
        </w:rPr>
        <w:t xml:space="preserve">evaluación final </w:t>
      </w:r>
      <w:r w:rsidR="008B73A7" w:rsidRPr="0028406C">
        <w:rPr>
          <w:rFonts w:ascii="Arial" w:hAnsi="Arial" w:cs="Arial"/>
          <w:b w:val="0"/>
          <w:noProof w:val="0"/>
          <w:sz w:val="22"/>
          <w:szCs w:val="22"/>
          <w:lang w:val="es-ES"/>
        </w:rPr>
        <w:t xml:space="preserve">se </w:t>
      </w:r>
      <w:r w:rsidR="00CA65C6" w:rsidRPr="0028406C">
        <w:rPr>
          <w:rFonts w:ascii="Arial" w:hAnsi="Arial" w:cs="Arial"/>
          <w:b w:val="0"/>
          <w:noProof w:val="0"/>
          <w:sz w:val="22"/>
          <w:szCs w:val="22"/>
          <w:lang w:val="es-ES"/>
        </w:rPr>
        <w:t>realizará</w:t>
      </w:r>
      <w:r w:rsidR="008B73A7" w:rsidRPr="0028406C">
        <w:rPr>
          <w:rFonts w:ascii="Arial" w:hAnsi="Arial" w:cs="Arial"/>
          <w:b w:val="0"/>
          <w:noProof w:val="0"/>
          <w:sz w:val="22"/>
          <w:szCs w:val="22"/>
          <w:lang w:val="es-ES"/>
        </w:rPr>
        <w:t xml:space="preserve"> en formato de PCR</w:t>
      </w:r>
      <w:r w:rsidRPr="0028406C">
        <w:rPr>
          <w:rFonts w:ascii="Arial" w:hAnsi="Arial" w:cs="Arial"/>
          <w:b w:val="0"/>
          <w:noProof w:val="0"/>
          <w:sz w:val="22"/>
          <w:szCs w:val="22"/>
          <w:lang w:val="es-ES"/>
        </w:rPr>
        <w:t xml:space="preserve">. </w:t>
      </w:r>
      <w:r w:rsidR="008B73A7" w:rsidRPr="0028406C">
        <w:rPr>
          <w:rFonts w:ascii="Arial" w:hAnsi="Arial" w:cs="Arial"/>
          <w:b w:val="0"/>
          <w:noProof w:val="0"/>
          <w:sz w:val="22"/>
          <w:szCs w:val="22"/>
          <w:lang w:val="es-ES"/>
        </w:rPr>
        <w:t xml:space="preserve">La misma </w:t>
      </w:r>
      <w:r w:rsidR="00D34266" w:rsidRPr="0028406C">
        <w:rPr>
          <w:rFonts w:ascii="Arial" w:hAnsi="Arial" w:cs="Arial"/>
          <w:b w:val="0"/>
          <w:noProof w:val="0"/>
          <w:sz w:val="22"/>
          <w:szCs w:val="22"/>
          <w:lang w:val="es-ES"/>
        </w:rPr>
        <w:t xml:space="preserve">que deberá estar contratada por el </w:t>
      </w:r>
      <w:r w:rsidR="002806E2" w:rsidRPr="0028406C">
        <w:rPr>
          <w:rFonts w:ascii="Arial" w:hAnsi="Arial" w:cs="Arial"/>
          <w:b w:val="0"/>
          <w:noProof w:val="0"/>
          <w:sz w:val="22"/>
          <w:szCs w:val="22"/>
          <w:lang w:val="es-ES"/>
        </w:rPr>
        <w:t>MEF</w:t>
      </w:r>
      <w:r w:rsidR="00590AB9" w:rsidRPr="0028406C">
        <w:rPr>
          <w:rFonts w:ascii="Arial" w:hAnsi="Arial" w:cs="Arial"/>
          <w:b w:val="0"/>
          <w:noProof w:val="0"/>
          <w:sz w:val="22"/>
          <w:szCs w:val="22"/>
          <w:lang w:val="es-ES"/>
        </w:rPr>
        <w:t>,</w:t>
      </w:r>
      <w:r w:rsidR="002806E2" w:rsidRPr="0028406C">
        <w:rPr>
          <w:rFonts w:ascii="Arial" w:hAnsi="Arial" w:cs="Arial"/>
          <w:b w:val="0"/>
          <w:noProof w:val="0"/>
          <w:sz w:val="22"/>
          <w:szCs w:val="22"/>
          <w:lang w:val="es-ES"/>
        </w:rPr>
        <w:t xml:space="preserve"> </w:t>
      </w:r>
      <w:r w:rsidR="00F0312B" w:rsidRPr="0028406C">
        <w:rPr>
          <w:rFonts w:ascii="Arial" w:hAnsi="Arial" w:cs="Arial"/>
          <w:b w:val="0"/>
          <w:noProof w:val="0"/>
          <w:sz w:val="22"/>
          <w:szCs w:val="22"/>
          <w:lang w:val="es-ES"/>
        </w:rPr>
        <w:t>a los 90 días contados a partir de la fecha en que se haya desembolsado el 95% de los recursos del préstamo</w:t>
      </w:r>
      <w:r w:rsidRPr="0028406C">
        <w:rPr>
          <w:rFonts w:ascii="Arial" w:hAnsi="Arial" w:cs="Arial"/>
          <w:b w:val="0"/>
          <w:noProof w:val="0"/>
          <w:sz w:val="22"/>
          <w:szCs w:val="22"/>
          <w:lang w:val="es-ES"/>
        </w:rPr>
        <w:t xml:space="preserve">.  </w:t>
      </w:r>
      <w:bookmarkStart w:id="30" w:name="_Hlk519180566"/>
      <w:bookmarkStart w:id="31" w:name="_Toc491518999"/>
    </w:p>
    <w:bookmarkEnd w:id="30"/>
    <w:p w14:paraId="7ED5DB63" w14:textId="77777777" w:rsidR="00590AB9" w:rsidRDefault="00590AB9" w:rsidP="0028406C">
      <w:pPr>
        <w:pStyle w:val="TableTitle"/>
        <w:spacing w:before="0" w:after="0" w:line="276" w:lineRule="auto"/>
        <w:ind w:left="360"/>
        <w:jc w:val="both"/>
        <w:rPr>
          <w:rStyle w:val="Heading1Char"/>
          <w:rFonts w:ascii="Arial" w:hAnsi="Arial" w:cs="Arial"/>
          <w:b/>
          <w:sz w:val="22"/>
          <w:szCs w:val="22"/>
          <w:highlight w:val="yellow"/>
        </w:rPr>
      </w:pPr>
    </w:p>
    <w:p w14:paraId="707AD1F8" w14:textId="77777777" w:rsidR="0028406C" w:rsidRPr="0028406C" w:rsidRDefault="0028406C" w:rsidP="0028406C">
      <w:pPr>
        <w:pStyle w:val="TableTitle"/>
        <w:spacing w:before="0" w:after="0" w:line="276" w:lineRule="auto"/>
        <w:ind w:left="360"/>
        <w:jc w:val="both"/>
        <w:rPr>
          <w:rStyle w:val="Heading1Char"/>
          <w:rFonts w:ascii="Arial" w:hAnsi="Arial" w:cs="Arial"/>
          <w:b/>
          <w:sz w:val="22"/>
          <w:szCs w:val="22"/>
          <w:highlight w:val="yellow"/>
        </w:rPr>
      </w:pPr>
    </w:p>
    <w:p w14:paraId="304F58B0" w14:textId="77777777" w:rsidR="00113D56" w:rsidRPr="0028406C" w:rsidRDefault="00113D56" w:rsidP="00A06DD5">
      <w:pPr>
        <w:pStyle w:val="ListParagraph"/>
        <w:numPr>
          <w:ilvl w:val="0"/>
          <w:numId w:val="20"/>
        </w:numPr>
        <w:spacing w:line="276" w:lineRule="auto"/>
        <w:jc w:val="both"/>
        <w:rPr>
          <w:rFonts w:ascii="Arial" w:hAnsi="Arial" w:cs="Arial"/>
          <w:b/>
          <w:sz w:val="22"/>
          <w:szCs w:val="22"/>
          <w:lang w:val="es-ES" w:eastAsia="es-AR"/>
        </w:rPr>
      </w:pPr>
      <w:r w:rsidRPr="0028406C">
        <w:rPr>
          <w:rFonts w:ascii="Arial" w:hAnsi="Arial" w:cs="Arial"/>
          <w:b/>
          <w:sz w:val="22"/>
          <w:szCs w:val="22"/>
          <w:lang w:val="es-ES" w:eastAsia="es-AR"/>
        </w:rPr>
        <w:t>Metodología de Evaluación de Resultados</w:t>
      </w:r>
    </w:p>
    <w:p w14:paraId="6F0A14A0" w14:textId="77777777" w:rsidR="00751673" w:rsidRPr="0028406C" w:rsidRDefault="00751673"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70C64345" w14:textId="3BB33DE3" w:rsidR="00EF1C57" w:rsidRPr="0028406C" w:rsidRDefault="00EF1C57"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noProof w:val="0"/>
          <w:sz w:val="22"/>
          <w:szCs w:val="22"/>
          <w:lang w:val="es-ES"/>
        </w:rPr>
        <w:t xml:space="preserve">Evaluación </w:t>
      </w:r>
      <w:r w:rsidR="00165C07" w:rsidRPr="0028406C">
        <w:rPr>
          <w:rFonts w:ascii="Arial" w:hAnsi="Arial" w:cs="Arial"/>
          <w:noProof w:val="0"/>
          <w:sz w:val="22"/>
          <w:szCs w:val="22"/>
          <w:lang w:val="es-ES"/>
        </w:rPr>
        <w:t>de Resultados intermedia</w:t>
      </w:r>
      <w:r w:rsidRPr="0028406C">
        <w:rPr>
          <w:rFonts w:ascii="Arial" w:hAnsi="Arial" w:cs="Arial"/>
          <w:noProof w:val="0"/>
          <w:sz w:val="22"/>
          <w:szCs w:val="22"/>
          <w:lang w:val="es-ES"/>
        </w:rPr>
        <w:t xml:space="preserve"> y </w:t>
      </w:r>
      <w:r w:rsidR="00D85964" w:rsidRPr="0028406C">
        <w:rPr>
          <w:rFonts w:ascii="Arial" w:hAnsi="Arial" w:cs="Arial"/>
          <w:noProof w:val="0"/>
          <w:sz w:val="22"/>
          <w:szCs w:val="22"/>
          <w:lang w:val="es-ES"/>
        </w:rPr>
        <w:t>evalu</w:t>
      </w:r>
      <w:r w:rsidR="005A0030" w:rsidRPr="0028406C">
        <w:rPr>
          <w:rFonts w:ascii="Arial" w:hAnsi="Arial" w:cs="Arial"/>
          <w:noProof w:val="0"/>
          <w:sz w:val="22"/>
          <w:szCs w:val="22"/>
          <w:lang w:val="es-ES"/>
        </w:rPr>
        <w:t>a</w:t>
      </w:r>
      <w:r w:rsidR="00D85964" w:rsidRPr="0028406C">
        <w:rPr>
          <w:rFonts w:ascii="Arial" w:hAnsi="Arial" w:cs="Arial"/>
          <w:noProof w:val="0"/>
          <w:sz w:val="22"/>
          <w:szCs w:val="22"/>
          <w:lang w:val="es-ES"/>
        </w:rPr>
        <w:t xml:space="preserve">ción </w:t>
      </w:r>
      <w:r w:rsidRPr="0028406C">
        <w:rPr>
          <w:rFonts w:ascii="Arial" w:hAnsi="Arial" w:cs="Arial"/>
          <w:noProof w:val="0"/>
          <w:sz w:val="22"/>
          <w:szCs w:val="22"/>
          <w:lang w:val="es-ES"/>
        </w:rPr>
        <w:t>final</w:t>
      </w:r>
      <w:r w:rsidR="0090638B" w:rsidRPr="0028406C">
        <w:rPr>
          <w:rFonts w:ascii="Arial" w:hAnsi="Arial" w:cs="Arial"/>
          <w:noProof w:val="0"/>
          <w:sz w:val="22"/>
          <w:szCs w:val="22"/>
          <w:lang w:val="es-ES"/>
        </w:rPr>
        <w:t xml:space="preserve"> </w:t>
      </w:r>
      <w:r w:rsidR="00D15645" w:rsidRPr="0028406C">
        <w:rPr>
          <w:rFonts w:ascii="Arial" w:hAnsi="Arial" w:cs="Arial"/>
          <w:noProof w:val="0"/>
          <w:sz w:val="22"/>
          <w:szCs w:val="22"/>
          <w:lang w:val="es-ES"/>
        </w:rPr>
        <w:t>(PCR)</w:t>
      </w:r>
      <w:r w:rsidRPr="0028406C">
        <w:rPr>
          <w:rFonts w:ascii="Arial" w:hAnsi="Arial" w:cs="Arial"/>
          <w:b w:val="0"/>
          <w:noProof w:val="0"/>
          <w:sz w:val="22"/>
          <w:szCs w:val="22"/>
          <w:lang w:val="es-ES"/>
        </w:rPr>
        <w:t xml:space="preserve">: Estas evaluaciones proveerán información crítica con relación a lo que </w:t>
      </w:r>
      <w:r w:rsidR="00165C07" w:rsidRPr="0028406C">
        <w:rPr>
          <w:rFonts w:ascii="Arial" w:hAnsi="Arial" w:cs="Arial"/>
          <w:b w:val="0"/>
          <w:noProof w:val="0"/>
          <w:sz w:val="22"/>
          <w:szCs w:val="22"/>
          <w:lang w:val="es-ES"/>
        </w:rPr>
        <w:t xml:space="preserve">favorece y perjudica </w:t>
      </w:r>
      <w:r w:rsidR="00AE5665" w:rsidRPr="0028406C">
        <w:rPr>
          <w:rFonts w:ascii="Arial" w:hAnsi="Arial" w:cs="Arial"/>
          <w:b w:val="0"/>
          <w:noProof w:val="0"/>
          <w:sz w:val="22"/>
          <w:szCs w:val="22"/>
          <w:lang w:val="es-ES"/>
        </w:rPr>
        <w:t>e</w:t>
      </w:r>
      <w:r w:rsidR="00165C07" w:rsidRPr="0028406C">
        <w:rPr>
          <w:rFonts w:ascii="Arial" w:hAnsi="Arial" w:cs="Arial"/>
          <w:b w:val="0"/>
          <w:noProof w:val="0"/>
          <w:sz w:val="22"/>
          <w:szCs w:val="22"/>
          <w:lang w:val="es-ES"/>
        </w:rPr>
        <w:t>l desarrollo y ejecución del programa</w:t>
      </w:r>
      <w:r w:rsidRPr="0028406C">
        <w:rPr>
          <w:rFonts w:ascii="Arial" w:hAnsi="Arial" w:cs="Arial"/>
          <w:b w:val="0"/>
          <w:noProof w:val="0"/>
          <w:sz w:val="22"/>
          <w:szCs w:val="22"/>
          <w:lang w:val="es-ES"/>
        </w:rPr>
        <w:t xml:space="preserve">, así como las lecciones aprendidas que serán útiles para los futuros proyectos. </w:t>
      </w:r>
      <w:r w:rsidR="00AE5665" w:rsidRPr="0028406C">
        <w:rPr>
          <w:rFonts w:ascii="Arial" w:hAnsi="Arial" w:cs="Arial"/>
          <w:b w:val="0"/>
          <w:noProof w:val="0"/>
          <w:sz w:val="22"/>
          <w:szCs w:val="22"/>
          <w:lang w:val="es-ES"/>
        </w:rPr>
        <w:t>La</w:t>
      </w:r>
      <w:r w:rsidRPr="0028406C">
        <w:rPr>
          <w:rFonts w:ascii="Arial" w:hAnsi="Arial" w:cs="Arial"/>
          <w:b w:val="0"/>
          <w:noProof w:val="0"/>
          <w:sz w:val="22"/>
          <w:szCs w:val="22"/>
          <w:lang w:val="es-ES"/>
        </w:rPr>
        <w:t xml:space="preserve"> metodología tratará de determinar en qué medida fue exitoso el pro</w:t>
      </w:r>
      <w:r w:rsidR="00165C07" w:rsidRPr="0028406C">
        <w:rPr>
          <w:rFonts w:ascii="Arial" w:hAnsi="Arial" w:cs="Arial"/>
          <w:b w:val="0"/>
          <w:noProof w:val="0"/>
          <w:sz w:val="22"/>
          <w:szCs w:val="22"/>
          <w:lang w:val="es-ES"/>
        </w:rPr>
        <w:t>grama</w:t>
      </w:r>
      <w:r w:rsidRPr="0028406C">
        <w:rPr>
          <w:rFonts w:ascii="Arial" w:hAnsi="Arial" w:cs="Arial"/>
          <w:b w:val="0"/>
          <w:noProof w:val="0"/>
          <w:sz w:val="22"/>
          <w:szCs w:val="22"/>
          <w:lang w:val="es-ES"/>
        </w:rPr>
        <w:t>, a partir de</w:t>
      </w:r>
      <w:r w:rsidR="00165C07" w:rsidRPr="0028406C">
        <w:rPr>
          <w:rFonts w:ascii="Arial" w:hAnsi="Arial" w:cs="Arial"/>
          <w:b w:val="0"/>
          <w:noProof w:val="0"/>
          <w:sz w:val="22"/>
          <w:szCs w:val="22"/>
          <w:lang w:val="es-ES"/>
        </w:rPr>
        <w:t>l alcance o logro de los</w:t>
      </w:r>
      <w:r w:rsidRPr="0028406C">
        <w:rPr>
          <w:rFonts w:ascii="Arial" w:hAnsi="Arial" w:cs="Arial"/>
          <w:b w:val="0"/>
          <w:noProof w:val="0"/>
          <w:sz w:val="22"/>
          <w:szCs w:val="22"/>
          <w:lang w:val="es-ES"/>
        </w:rPr>
        <w:t xml:space="preserve"> indicadores de resultados</w:t>
      </w:r>
      <w:r w:rsidR="00165C07" w:rsidRPr="0028406C">
        <w:rPr>
          <w:rFonts w:ascii="Arial" w:hAnsi="Arial" w:cs="Arial"/>
          <w:b w:val="0"/>
          <w:noProof w:val="0"/>
          <w:sz w:val="22"/>
          <w:szCs w:val="22"/>
          <w:lang w:val="es-ES"/>
        </w:rPr>
        <w:t xml:space="preserve"> o producto que integran la</w:t>
      </w:r>
      <w:r w:rsidRPr="0028406C">
        <w:rPr>
          <w:rFonts w:ascii="Arial" w:hAnsi="Arial" w:cs="Arial"/>
          <w:b w:val="0"/>
          <w:noProof w:val="0"/>
          <w:sz w:val="22"/>
          <w:szCs w:val="22"/>
          <w:lang w:val="es-ES"/>
        </w:rPr>
        <w:t xml:space="preserve"> Matriz de Resultados del programa y que se evaluarán de forma periódica. </w:t>
      </w:r>
      <w:r w:rsidRPr="0028406C">
        <w:rPr>
          <w:rFonts w:ascii="Arial" w:hAnsi="Arial" w:cs="Arial"/>
          <w:b w:val="0"/>
          <w:noProof w:val="0"/>
          <w:spacing w:val="-3"/>
          <w:sz w:val="22"/>
          <w:szCs w:val="22"/>
          <w:lang w:val="es-ES" w:eastAsia="en-US"/>
        </w:rPr>
        <w:t>Se</w:t>
      </w:r>
      <w:r w:rsidR="00165C07" w:rsidRPr="0028406C">
        <w:rPr>
          <w:rFonts w:ascii="Arial" w:hAnsi="Arial" w:cs="Arial"/>
          <w:b w:val="0"/>
          <w:noProof w:val="0"/>
          <w:spacing w:val="-3"/>
          <w:sz w:val="22"/>
          <w:szCs w:val="22"/>
          <w:lang w:val="es-ES" w:eastAsia="en-US"/>
        </w:rPr>
        <w:t xml:space="preserve"> asume</w:t>
      </w:r>
      <w:r w:rsidRPr="0028406C">
        <w:rPr>
          <w:rFonts w:ascii="Arial" w:hAnsi="Arial" w:cs="Arial"/>
          <w:b w:val="0"/>
          <w:noProof w:val="0"/>
          <w:spacing w:val="-3"/>
          <w:sz w:val="22"/>
          <w:szCs w:val="22"/>
          <w:lang w:val="es-ES" w:eastAsia="en-US"/>
        </w:rPr>
        <w:t xml:space="preserve"> que los</w:t>
      </w:r>
      <w:r w:rsidRPr="0028406C">
        <w:rPr>
          <w:rFonts w:ascii="Arial" w:hAnsi="Arial" w:cs="Arial"/>
          <w:b w:val="0"/>
          <w:noProof w:val="0"/>
          <w:sz w:val="22"/>
          <w:szCs w:val="22"/>
          <w:lang w:val="es-ES"/>
        </w:rPr>
        <w:t xml:space="preserve"> factores externos no van a ser relevantes en la consecución de los resultados esperados, ya que este programa es el único Programa de </w:t>
      </w:r>
      <w:r w:rsidR="00AE5665" w:rsidRPr="0028406C">
        <w:rPr>
          <w:rFonts w:ascii="Arial" w:hAnsi="Arial" w:cs="Arial"/>
          <w:b w:val="0"/>
          <w:noProof w:val="0"/>
          <w:sz w:val="22"/>
          <w:szCs w:val="22"/>
          <w:lang w:val="es-ES"/>
        </w:rPr>
        <w:t>Reforma a Empresas Públicas</w:t>
      </w:r>
      <w:r w:rsidRPr="0028406C">
        <w:rPr>
          <w:rFonts w:ascii="Arial" w:hAnsi="Arial" w:cs="Arial"/>
          <w:b w:val="0"/>
          <w:noProof w:val="0"/>
          <w:sz w:val="22"/>
          <w:szCs w:val="22"/>
          <w:lang w:val="es-ES"/>
        </w:rPr>
        <w:t xml:space="preserve"> en el país.  </w:t>
      </w:r>
    </w:p>
    <w:p w14:paraId="010FA5BB" w14:textId="77777777" w:rsidR="00BF0D78" w:rsidRPr="0028406C" w:rsidRDefault="00BF0D78"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5055AD8E" w14:textId="77777777" w:rsidR="00EF1C57" w:rsidRPr="0028406C" w:rsidRDefault="00EF1C57"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b w:val="0"/>
          <w:noProof w:val="0"/>
          <w:sz w:val="22"/>
          <w:szCs w:val="22"/>
          <w:lang w:val="es-ES"/>
        </w:rPr>
        <w:t>Específicamente, las actividades de las evaluaciones serán las siguientes:</w:t>
      </w:r>
    </w:p>
    <w:p w14:paraId="01F00A64" w14:textId="77777777" w:rsidR="00BF0D78" w:rsidRPr="0028406C" w:rsidRDefault="00BF0D78" w:rsidP="0028406C">
      <w:pPr>
        <w:spacing w:line="276" w:lineRule="auto"/>
        <w:jc w:val="both"/>
        <w:rPr>
          <w:rFonts w:ascii="Arial" w:hAnsi="Arial" w:cs="Arial"/>
          <w:b/>
          <w:sz w:val="22"/>
          <w:szCs w:val="22"/>
          <w:lang w:val="es-ES"/>
        </w:rPr>
      </w:pPr>
    </w:p>
    <w:p w14:paraId="70CB492F" w14:textId="68F0B471" w:rsidR="00BF0D78" w:rsidRPr="0028406C" w:rsidRDefault="00EF1C57" w:rsidP="00A06DD5">
      <w:pPr>
        <w:pStyle w:val="Heading4"/>
        <w:numPr>
          <w:ilvl w:val="2"/>
          <w:numId w:val="17"/>
        </w:numPr>
        <w:tabs>
          <w:tab w:val="clear" w:pos="1440"/>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Llevar a cabo una revisión detallada de los de</w:t>
      </w:r>
      <w:r w:rsidR="00AE5665" w:rsidRPr="0028406C">
        <w:rPr>
          <w:rFonts w:ascii="Arial" w:hAnsi="Arial" w:cs="Arial"/>
          <w:b w:val="0"/>
          <w:noProof w:val="0"/>
          <w:sz w:val="22"/>
          <w:szCs w:val="22"/>
          <w:lang w:val="es-ES"/>
        </w:rPr>
        <w:t>sembolsos y contrataciones del p</w:t>
      </w:r>
      <w:r w:rsidRPr="0028406C">
        <w:rPr>
          <w:rFonts w:ascii="Arial" w:hAnsi="Arial" w:cs="Arial"/>
          <w:b w:val="0"/>
          <w:noProof w:val="0"/>
          <w:sz w:val="22"/>
          <w:szCs w:val="22"/>
          <w:lang w:val="es-ES"/>
        </w:rPr>
        <w:t>rograma</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con referencia a la docu</w:t>
      </w:r>
      <w:r w:rsidR="00AE5665" w:rsidRPr="0028406C">
        <w:rPr>
          <w:rFonts w:ascii="Arial" w:hAnsi="Arial" w:cs="Arial"/>
          <w:b w:val="0"/>
          <w:noProof w:val="0"/>
          <w:sz w:val="22"/>
          <w:szCs w:val="22"/>
          <w:lang w:val="es-ES"/>
        </w:rPr>
        <w:t>mentación aprobada</w:t>
      </w:r>
      <w:r w:rsidR="00B42AD5" w:rsidRPr="0028406C">
        <w:rPr>
          <w:rFonts w:ascii="Arial" w:hAnsi="Arial" w:cs="Arial"/>
          <w:b w:val="0"/>
          <w:noProof w:val="0"/>
          <w:sz w:val="22"/>
          <w:szCs w:val="22"/>
          <w:lang w:val="es-ES"/>
        </w:rPr>
        <w:t>,</w:t>
      </w:r>
      <w:r w:rsidR="00AE5665" w:rsidRPr="0028406C">
        <w:rPr>
          <w:rFonts w:ascii="Arial" w:hAnsi="Arial" w:cs="Arial"/>
          <w:b w:val="0"/>
          <w:noProof w:val="0"/>
          <w:sz w:val="22"/>
          <w:szCs w:val="22"/>
          <w:lang w:val="es-ES"/>
        </w:rPr>
        <w:t xml:space="preserve"> como el PEP,</w:t>
      </w:r>
      <w:r w:rsidRPr="0028406C">
        <w:rPr>
          <w:rFonts w:ascii="Arial" w:hAnsi="Arial" w:cs="Arial"/>
          <w:b w:val="0"/>
          <w:noProof w:val="0"/>
          <w:sz w:val="22"/>
          <w:szCs w:val="22"/>
          <w:lang w:val="es-ES"/>
        </w:rPr>
        <w:t xml:space="preserve"> POA</w:t>
      </w:r>
      <w:r w:rsidR="00AE5665" w:rsidRPr="0028406C">
        <w:rPr>
          <w:rFonts w:ascii="Arial" w:hAnsi="Arial" w:cs="Arial"/>
          <w:b w:val="0"/>
          <w:noProof w:val="0"/>
          <w:sz w:val="22"/>
          <w:szCs w:val="22"/>
          <w:lang w:val="es-ES"/>
        </w:rPr>
        <w:t xml:space="preserve"> y PA</w:t>
      </w:r>
      <w:r w:rsidRPr="0028406C">
        <w:rPr>
          <w:rFonts w:ascii="Arial" w:hAnsi="Arial" w:cs="Arial"/>
          <w:b w:val="0"/>
          <w:noProof w:val="0"/>
          <w:sz w:val="22"/>
          <w:szCs w:val="22"/>
          <w:lang w:val="es-ES"/>
        </w:rPr>
        <w:t>. Se identificará cualquier déficit o rezago</w:t>
      </w:r>
      <w:r w:rsidR="00B42AD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y las causas de los mismos, a fin de proponer acciones correctivas (y generar lecciones aprendidas para futuros programas), así como cualquier ahorro en términos presupuestales o de tiempos. </w:t>
      </w:r>
    </w:p>
    <w:p w14:paraId="32D6023E" w14:textId="77777777" w:rsidR="0028406C" w:rsidRDefault="0028406C" w:rsidP="0028406C">
      <w:pPr>
        <w:pStyle w:val="Heading4"/>
        <w:numPr>
          <w:ilvl w:val="0"/>
          <w:numId w:val="0"/>
        </w:numPr>
        <w:tabs>
          <w:tab w:val="clear" w:pos="1440"/>
          <w:tab w:val="left" w:pos="720"/>
        </w:tabs>
        <w:spacing w:before="0" w:after="0" w:line="276" w:lineRule="auto"/>
        <w:ind w:left="993"/>
        <w:rPr>
          <w:rFonts w:ascii="Arial" w:hAnsi="Arial" w:cs="Arial"/>
          <w:b w:val="0"/>
          <w:noProof w:val="0"/>
          <w:sz w:val="22"/>
          <w:szCs w:val="22"/>
          <w:lang w:val="es-ES"/>
        </w:rPr>
      </w:pPr>
    </w:p>
    <w:p w14:paraId="05ED6332" w14:textId="2D3D0324" w:rsidR="00EF1C57" w:rsidRPr="0028406C" w:rsidRDefault="00EF1C57" w:rsidP="00A06DD5">
      <w:pPr>
        <w:pStyle w:val="Heading4"/>
        <w:numPr>
          <w:ilvl w:val="2"/>
          <w:numId w:val="17"/>
        </w:numPr>
        <w:tabs>
          <w:tab w:val="clear" w:pos="1440"/>
          <w:tab w:val="left" w:pos="720"/>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 xml:space="preserve">Llevar a cabo una revisión detallada del avance de los indicadores </w:t>
      </w:r>
      <w:r w:rsidR="00AE5665" w:rsidRPr="0028406C">
        <w:rPr>
          <w:rFonts w:ascii="Arial" w:hAnsi="Arial" w:cs="Arial"/>
          <w:b w:val="0"/>
          <w:noProof w:val="0"/>
          <w:sz w:val="22"/>
          <w:szCs w:val="22"/>
          <w:lang w:val="es-ES"/>
        </w:rPr>
        <w:t xml:space="preserve">de resultado y producto </w:t>
      </w:r>
      <w:r w:rsidRPr="0028406C">
        <w:rPr>
          <w:rFonts w:ascii="Arial" w:hAnsi="Arial" w:cs="Arial"/>
          <w:b w:val="0"/>
          <w:noProof w:val="0"/>
          <w:sz w:val="22"/>
          <w:szCs w:val="22"/>
          <w:lang w:val="es-ES"/>
        </w:rPr>
        <w:t xml:space="preserve">de la </w:t>
      </w:r>
      <w:r w:rsidR="00AE5665" w:rsidRPr="0028406C">
        <w:rPr>
          <w:rFonts w:ascii="Arial" w:hAnsi="Arial" w:cs="Arial"/>
          <w:b w:val="0"/>
          <w:noProof w:val="0"/>
          <w:sz w:val="22"/>
          <w:szCs w:val="22"/>
          <w:lang w:val="es-ES"/>
        </w:rPr>
        <w:t>M</w:t>
      </w:r>
      <w:r w:rsidRPr="0028406C">
        <w:rPr>
          <w:rFonts w:ascii="Arial" w:hAnsi="Arial" w:cs="Arial"/>
          <w:b w:val="0"/>
          <w:noProof w:val="0"/>
          <w:sz w:val="22"/>
          <w:szCs w:val="22"/>
          <w:lang w:val="es-ES"/>
        </w:rPr>
        <w:t xml:space="preserve">atriz de resultados, incluyendo una revisión del soporte documental o físico de los mismos. Se identificará cualquier déficit o rezago de cumplimiento y </w:t>
      </w:r>
      <w:r w:rsidR="00AE5665" w:rsidRPr="0028406C">
        <w:rPr>
          <w:rFonts w:ascii="Arial" w:hAnsi="Arial" w:cs="Arial"/>
          <w:b w:val="0"/>
          <w:noProof w:val="0"/>
          <w:sz w:val="22"/>
          <w:szCs w:val="22"/>
          <w:lang w:val="es-ES"/>
        </w:rPr>
        <w:t xml:space="preserve">se </w:t>
      </w:r>
      <w:r w:rsidRPr="0028406C">
        <w:rPr>
          <w:rFonts w:ascii="Arial" w:hAnsi="Arial" w:cs="Arial"/>
          <w:b w:val="0"/>
          <w:noProof w:val="0"/>
          <w:sz w:val="22"/>
          <w:szCs w:val="22"/>
          <w:lang w:val="es-ES"/>
        </w:rPr>
        <w:t>analizará</w:t>
      </w:r>
      <w:r w:rsidR="00AE5665" w:rsidRPr="0028406C">
        <w:rPr>
          <w:rFonts w:ascii="Arial" w:hAnsi="Arial" w:cs="Arial"/>
          <w:b w:val="0"/>
          <w:noProof w:val="0"/>
          <w:sz w:val="22"/>
          <w:szCs w:val="22"/>
          <w:lang w:val="es-ES"/>
        </w:rPr>
        <w:t>n</w:t>
      </w:r>
      <w:r w:rsidRPr="0028406C">
        <w:rPr>
          <w:rFonts w:ascii="Arial" w:hAnsi="Arial" w:cs="Arial"/>
          <w:b w:val="0"/>
          <w:noProof w:val="0"/>
          <w:sz w:val="22"/>
          <w:szCs w:val="22"/>
          <w:lang w:val="es-ES"/>
        </w:rPr>
        <w:t xml:space="preserve"> las causas del mismo, a fin de proponer acciones correctivas. Adicionalmente, se hará nota de cualquier ajuste que se haya </w:t>
      </w:r>
      <w:r w:rsidR="00C702D7" w:rsidRPr="0028406C">
        <w:rPr>
          <w:rFonts w:ascii="Arial" w:hAnsi="Arial" w:cs="Arial"/>
          <w:b w:val="0"/>
          <w:noProof w:val="0"/>
          <w:sz w:val="22"/>
          <w:szCs w:val="22"/>
          <w:lang w:val="es-ES"/>
        </w:rPr>
        <w:t>realizado</w:t>
      </w:r>
      <w:r w:rsidRPr="0028406C">
        <w:rPr>
          <w:rFonts w:ascii="Arial" w:hAnsi="Arial" w:cs="Arial"/>
          <w:b w:val="0"/>
          <w:noProof w:val="0"/>
          <w:sz w:val="22"/>
          <w:szCs w:val="22"/>
          <w:lang w:val="es-ES"/>
        </w:rPr>
        <w:t xml:space="preserve"> a la </w:t>
      </w:r>
      <w:r w:rsidR="00AE5665" w:rsidRPr="0028406C">
        <w:rPr>
          <w:rFonts w:ascii="Arial" w:hAnsi="Arial" w:cs="Arial"/>
          <w:b w:val="0"/>
          <w:noProof w:val="0"/>
          <w:sz w:val="22"/>
          <w:szCs w:val="22"/>
          <w:lang w:val="es-ES"/>
        </w:rPr>
        <w:t>M</w:t>
      </w:r>
      <w:r w:rsidRPr="0028406C">
        <w:rPr>
          <w:rFonts w:ascii="Arial" w:hAnsi="Arial" w:cs="Arial"/>
          <w:b w:val="0"/>
          <w:noProof w:val="0"/>
          <w:sz w:val="22"/>
          <w:szCs w:val="22"/>
          <w:lang w:val="es-ES"/>
        </w:rPr>
        <w:t xml:space="preserve">atriz de </w:t>
      </w:r>
      <w:r w:rsidR="00C702D7" w:rsidRPr="0028406C">
        <w:rPr>
          <w:rFonts w:ascii="Arial" w:hAnsi="Arial" w:cs="Arial"/>
          <w:b w:val="0"/>
          <w:noProof w:val="0"/>
          <w:sz w:val="22"/>
          <w:szCs w:val="22"/>
          <w:lang w:val="es-ES"/>
        </w:rPr>
        <w:t>R</w:t>
      </w:r>
      <w:r w:rsidRPr="0028406C">
        <w:rPr>
          <w:rFonts w:ascii="Arial" w:hAnsi="Arial" w:cs="Arial"/>
          <w:b w:val="0"/>
          <w:noProof w:val="0"/>
          <w:sz w:val="22"/>
          <w:szCs w:val="22"/>
          <w:lang w:val="es-ES"/>
        </w:rPr>
        <w:t>esultados durante la implementación del pro</w:t>
      </w:r>
      <w:r w:rsidR="00AE5665" w:rsidRPr="0028406C">
        <w:rPr>
          <w:rFonts w:ascii="Arial" w:hAnsi="Arial" w:cs="Arial"/>
          <w:b w:val="0"/>
          <w:noProof w:val="0"/>
          <w:sz w:val="22"/>
          <w:szCs w:val="22"/>
          <w:lang w:val="es-ES"/>
        </w:rPr>
        <w:t>grama</w:t>
      </w:r>
      <w:r w:rsidRPr="0028406C">
        <w:rPr>
          <w:rFonts w:ascii="Arial" w:hAnsi="Arial" w:cs="Arial"/>
          <w:b w:val="0"/>
          <w:noProof w:val="0"/>
          <w:sz w:val="22"/>
          <w:szCs w:val="22"/>
          <w:lang w:val="es-ES"/>
        </w:rPr>
        <w:t xml:space="preserve"> (del indicador mismo, su valor de línea de base o las metas)</w:t>
      </w:r>
      <w:r w:rsidR="00C702D7"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y la justificación por dicho ajuste. Finalmente, se debe analizar si las metas y los indicadores planteados (en la propuesta de préstamo) son adecuados para medir los objetivos declarados y si las metas fueron infundadamente optimistas o injustificadamente conservadoras. Entre otras fuentes, este ejercicio se </w:t>
      </w:r>
      <w:r w:rsidRPr="0028406C">
        <w:rPr>
          <w:rFonts w:ascii="Arial" w:hAnsi="Arial" w:cs="Arial"/>
          <w:b w:val="0"/>
          <w:noProof w:val="0"/>
          <w:sz w:val="22"/>
          <w:szCs w:val="22"/>
          <w:lang w:val="es-ES"/>
        </w:rPr>
        <w:lastRenderedPageBreak/>
        <w:t xml:space="preserve">beneficiará de la información contenida dentro de la herramienta de monitoreo del BID, PMR. </w:t>
      </w:r>
    </w:p>
    <w:p w14:paraId="5720D4C5" w14:textId="77777777" w:rsidR="0028406C" w:rsidRDefault="0028406C" w:rsidP="0028406C">
      <w:pPr>
        <w:pStyle w:val="Heading4"/>
        <w:numPr>
          <w:ilvl w:val="0"/>
          <w:numId w:val="0"/>
        </w:numPr>
        <w:tabs>
          <w:tab w:val="clear" w:pos="1440"/>
          <w:tab w:val="left" w:pos="720"/>
        </w:tabs>
        <w:spacing w:before="0" w:after="0" w:line="276" w:lineRule="auto"/>
        <w:ind w:left="993"/>
        <w:rPr>
          <w:rFonts w:ascii="Arial" w:hAnsi="Arial" w:cs="Arial"/>
          <w:b w:val="0"/>
          <w:noProof w:val="0"/>
          <w:sz w:val="22"/>
          <w:szCs w:val="22"/>
          <w:lang w:val="es-ES"/>
        </w:rPr>
      </w:pPr>
    </w:p>
    <w:p w14:paraId="385CB6CB" w14:textId="1D6BEB16" w:rsidR="007B7CEC" w:rsidRPr="0028406C" w:rsidRDefault="00EF1C57" w:rsidP="00A06DD5">
      <w:pPr>
        <w:pStyle w:val="Heading4"/>
        <w:numPr>
          <w:ilvl w:val="2"/>
          <w:numId w:val="17"/>
        </w:numPr>
        <w:tabs>
          <w:tab w:val="clear" w:pos="1440"/>
          <w:tab w:val="left" w:pos="720"/>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 xml:space="preserve">Identificar los resultados imprevistos (no incluidos en el objetivo declarado o la </w:t>
      </w:r>
      <w:r w:rsidR="00AE5665" w:rsidRPr="0028406C">
        <w:rPr>
          <w:rFonts w:ascii="Arial" w:hAnsi="Arial" w:cs="Arial"/>
          <w:b w:val="0"/>
          <w:noProof w:val="0"/>
          <w:sz w:val="22"/>
          <w:szCs w:val="22"/>
          <w:lang w:val="es-ES"/>
        </w:rPr>
        <w:t>M</w:t>
      </w:r>
      <w:r w:rsidRPr="0028406C">
        <w:rPr>
          <w:rFonts w:ascii="Arial" w:hAnsi="Arial" w:cs="Arial"/>
          <w:b w:val="0"/>
          <w:noProof w:val="0"/>
          <w:sz w:val="22"/>
          <w:szCs w:val="22"/>
          <w:lang w:val="es-ES"/>
        </w:rPr>
        <w:t xml:space="preserve">atriz de resultados) observados hasta la fecha y presentar evidencia de la influencia del proyecto sobre dichos resultados. </w:t>
      </w:r>
    </w:p>
    <w:p w14:paraId="218F7803" w14:textId="77777777" w:rsidR="0028406C" w:rsidRDefault="0028406C" w:rsidP="0028406C">
      <w:pPr>
        <w:pStyle w:val="Heading4"/>
        <w:numPr>
          <w:ilvl w:val="0"/>
          <w:numId w:val="0"/>
        </w:numPr>
        <w:tabs>
          <w:tab w:val="clear" w:pos="1440"/>
          <w:tab w:val="left" w:pos="720"/>
        </w:tabs>
        <w:spacing w:before="0" w:after="0" w:line="276" w:lineRule="auto"/>
        <w:ind w:left="993"/>
        <w:rPr>
          <w:rFonts w:ascii="Arial" w:hAnsi="Arial" w:cs="Arial"/>
          <w:b w:val="0"/>
          <w:noProof w:val="0"/>
          <w:sz w:val="22"/>
          <w:szCs w:val="22"/>
          <w:lang w:val="es-ES"/>
        </w:rPr>
      </w:pPr>
    </w:p>
    <w:p w14:paraId="32BE39C1" w14:textId="77777777" w:rsidR="00EF1C57" w:rsidRPr="0028406C" w:rsidRDefault="00EF1C57" w:rsidP="00A06DD5">
      <w:pPr>
        <w:pStyle w:val="Heading4"/>
        <w:numPr>
          <w:ilvl w:val="2"/>
          <w:numId w:val="17"/>
        </w:numPr>
        <w:tabs>
          <w:tab w:val="clear" w:pos="1440"/>
          <w:tab w:val="left" w:pos="720"/>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Llevar a cabo una revisión de la administración del pro</w:t>
      </w:r>
      <w:r w:rsidR="00AE5665" w:rsidRPr="0028406C">
        <w:rPr>
          <w:rFonts w:ascii="Arial" w:hAnsi="Arial" w:cs="Arial"/>
          <w:b w:val="0"/>
          <w:noProof w:val="0"/>
          <w:sz w:val="22"/>
          <w:szCs w:val="22"/>
          <w:lang w:val="es-ES"/>
        </w:rPr>
        <w:t>grama</w:t>
      </w:r>
      <w:r w:rsidRPr="0028406C">
        <w:rPr>
          <w:rFonts w:ascii="Arial" w:hAnsi="Arial" w:cs="Arial"/>
          <w:b w:val="0"/>
          <w:noProof w:val="0"/>
          <w:sz w:val="22"/>
          <w:szCs w:val="22"/>
          <w:lang w:val="es-ES"/>
        </w:rPr>
        <w:t xml:space="preserve"> y su impacto en el éxito del proyecto hasta la fecha, incluyendo: (i) los mandatos, las relaciones, las estructuras, los recursos</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las capacidades del organismo ejecutor y su coordinación con otras entidades involucradas; (</w:t>
      </w:r>
      <w:proofErr w:type="spellStart"/>
      <w:r w:rsidRPr="0028406C">
        <w:rPr>
          <w:rFonts w:ascii="Arial" w:hAnsi="Arial" w:cs="Arial"/>
          <w:b w:val="0"/>
          <w:noProof w:val="0"/>
          <w:sz w:val="22"/>
          <w:szCs w:val="22"/>
          <w:lang w:val="es-ES"/>
        </w:rPr>
        <w:t>ii</w:t>
      </w:r>
      <w:proofErr w:type="spellEnd"/>
      <w:r w:rsidRPr="0028406C">
        <w:rPr>
          <w:rFonts w:ascii="Arial" w:hAnsi="Arial" w:cs="Arial"/>
          <w:b w:val="0"/>
          <w:noProof w:val="0"/>
          <w:sz w:val="22"/>
          <w:szCs w:val="22"/>
          <w:lang w:val="es-ES"/>
        </w:rPr>
        <w:t>) la gestión fiduciaria (gestión financiera y de adquisiciones); (</w:t>
      </w:r>
      <w:proofErr w:type="spellStart"/>
      <w:r w:rsidRPr="0028406C">
        <w:rPr>
          <w:rFonts w:ascii="Arial" w:hAnsi="Arial" w:cs="Arial"/>
          <w:b w:val="0"/>
          <w:noProof w:val="0"/>
          <w:sz w:val="22"/>
          <w:szCs w:val="22"/>
          <w:lang w:val="es-ES"/>
        </w:rPr>
        <w:t>iii</w:t>
      </w:r>
      <w:proofErr w:type="spellEnd"/>
      <w:r w:rsidRPr="0028406C">
        <w:rPr>
          <w:rFonts w:ascii="Arial" w:hAnsi="Arial" w:cs="Arial"/>
          <w:b w:val="0"/>
          <w:noProof w:val="0"/>
          <w:sz w:val="22"/>
          <w:szCs w:val="22"/>
          <w:lang w:val="es-ES"/>
        </w:rPr>
        <w:t>) cualquier conducta o acción de algún participante público o privado; (</w:t>
      </w:r>
      <w:proofErr w:type="spellStart"/>
      <w:r w:rsidRPr="0028406C">
        <w:rPr>
          <w:rFonts w:ascii="Arial" w:hAnsi="Arial" w:cs="Arial"/>
          <w:b w:val="0"/>
          <w:noProof w:val="0"/>
          <w:sz w:val="22"/>
          <w:szCs w:val="22"/>
          <w:lang w:val="es-ES"/>
        </w:rPr>
        <w:t>iv</w:t>
      </w:r>
      <w:proofErr w:type="spellEnd"/>
      <w:r w:rsidRPr="0028406C">
        <w:rPr>
          <w:rFonts w:ascii="Arial" w:hAnsi="Arial" w:cs="Arial"/>
          <w:b w:val="0"/>
          <w:noProof w:val="0"/>
          <w:sz w:val="22"/>
          <w:szCs w:val="22"/>
          <w:lang w:val="es-ES"/>
        </w:rPr>
        <w:t>) aspectos jurídicos o normativos, del país o del Banco; y (v) otro factor influyente.</w:t>
      </w:r>
    </w:p>
    <w:p w14:paraId="46BA6D77" w14:textId="77777777" w:rsidR="00BF0D78" w:rsidRPr="0028406C" w:rsidRDefault="00BF0D78"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79064B97" w14:textId="4EDAB211" w:rsidR="00EF1C57" w:rsidRPr="0028406C" w:rsidRDefault="00EF1C57"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b w:val="0"/>
          <w:noProof w:val="0"/>
          <w:sz w:val="22"/>
          <w:szCs w:val="22"/>
          <w:lang w:val="es-ES"/>
        </w:rPr>
        <w:t>Además de estas actividades</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la evaluación </w:t>
      </w:r>
      <w:r w:rsidR="00D15645" w:rsidRPr="0028406C">
        <w:rPr>
          <w:rFonts w:ascii="Arial" w:hAnsi="Arial" w:cs="Arial"/>
          <w:b w:val="0"/>
          <w:noProof w:val="0"/>
          <w:sz w:val="22"/>
          <w:szCs w:val="22"/>
          <w:lang w:val="es-ES"/>
        </w:rPr>
        <w:t xml:space="preserve">intermedia </w:t>
      </w:r>
      <w:r w:rsidRPr="0028406C">
        <w:rPr>
          <w:rFonts w:ascii="Arial" w:hAnsi="Arial" w:cs="Arial"/>
          <w:b w:val="0"/>
          <w:noProof w:val="0"/>
          <w:sz w:val="22"/>
          <w:szCs w:val="22"/>
          <w:lang w:val="es-ES"/>
        </w:rPr>
        <w:t>incluirá las siguientes actividades adicionales, siguiendo las directrices del Banco, con las que se generará la información requerida para preparar, posteriormente</w:t>
      </w:r>
      <w:r w:rsidR="00C702D7"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w:t>
      </w:r>
      <w:r w:rsidR="00D15645" w:rsidRPr="0028406C">
        <w:rPr>
          <w:rFonts w:ascii="Arial" w:hAnsi="Arial" w:cs="Arial"/>
          <w:b w:val="0"/>
          <w:noProof w:val="0"/>
          <w:sz w:val="22"/>
          <w:szCs w:val="22"/>
          <w:lang w:val="es-ES"/>
        </w:rPr>
        <w:t>la evaluación final d</w:t>
      </w:r>
      <w:r w:rsidRPr="0028406C">
        <w:rPr>
          <w:rFonts w:ascii="Arial" w:hAnsi="Arial" w:cs="Arial"/>
          <w:b w:val="0"/>
          <w:noProof w:val="0"/>
          <w:sz w:val="22"/>
          <w:szCs w:val="22"/>
          <w:lang w:val="es-ES"/>
        </w:rPr>
        <w:t>el Informe de PCR.</w:t>
      </w:r>
    </w:p>
    <w:p w14:paraId="018EC623" w14:textId="77777777" w:rsidR="00BF0D78" w:rsidRPr="0028406C" w:rsidRDefault="00BF0D78"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75764D5A" w14:textId="5D2D200E" w:rsidR="00BF0D78"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Análisis de la lógica vertical</w:t>
      </w:r>
      <w:r w:rsidR="00AE5665" w:rsidRPr="0028406C">
        <w:rPr>
          <w:rFonts w:ascii="Arial" w:hAnsi="Arial" w:cs="Arial"/>
          <w:b w:val="0"/>
          <w:noProof w:val="0"/>
          <w:sz w:val="22"/>
          <w:szCs w:val="22"/>
          <w:lang w:val="es-ES"/>
        </w:rPr>
        <w:t xml:space="preserve"> del programa</w:t>
      </w:r>
      <w:r w:rsidRPr="0028406C">
        <w:rPr>
          <w:rFonts w:ascii="Arial" w:hAnsi="Arial" w:cs="Arial"/>
          <w:b w:val="0"/>
          <w:noProof w:val="0"/>
          <w:sz w:val="22"/>
          <w:szCs w:val="22"/>
          <w:lang w:val="es-ES"/>
        </w:rPr>
        <w:t>: la evaluación de la efectividad analiza la validez de los vínculos previstos entre los productos del proyecto, los efectos directos deseados y los impactos (la cadena de resultados). La evaluación procurará examinar la cadena de resultados y proporcionar elementos de prueba</w:t>
      </w:r>
      <w:r w:rsidR="000D0D1E"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que determinen si se dio la vinculación prevista entre los productos y los efectos directos.</w:t>
      </w:r>
    </w:p>
    <w:p w14:paraId="17FBDAE4"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63204AAF" w14:textId="318C4DC8" w:rsidR="00BF0D78"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 xml:space="preserve">Análisis de atribución de resultados: </w:t>
      </w:r>
      <w:r w:rsidR="00AE5665" w:rsidRPr="0028406C">
        <w:rPr>
          <w:rFonts w:ascii="Arial" w:hAnsi="Arial" w:cs="Arial"/>
          <w:b w:val="0"/>
          <w:noProof w:val="0"/>
          <w:sz w:val="22"/>
          <w:szCs w:val="22"/>
          <w:lang w:val="es-ES"/>
        </w:rPr>
        <w:t xml:space="preserve">se </w:t>
      </w:r>
      <w:r w:rsidRPr="0028406C">
        <w:rPr>
          <w:rFonts w:ascii="Arial" w:hAnsi="Arial" w:cs="Arial"/>
          <w:b w:val="0"/>
          <w:noProof w:val="0"/>
          <w:sz w:val="22"/>
          <w:szCs w:val="22"/>
          <w:lang w:val="es-ES"/>
        </w:rPr>
        <w:t>debe analizar los elementos teóricos o pruebas de otro tipo sobre los que se apoye la atribución de los efectos directos. En este caso, el análisis de la consecución de los resultados esperados debería complementarse con un informe de atribución cualitativa basada en una cadena causal</w:t>
      </w:r>
      <w:r w:rsidR="00D2679B"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que sintetice los factores determinantes de los vínculos</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entre los efectos directos y los productos. Las pruebas, cua</w:t>
      </w:r>
      <w:r w:rsidR="00D2679B" w:rsidRPr="0028406C">
        <w:rPr>
          <w:rFonts w:ascii="Arial" w:hAnsi="Arial" w:cs="Arial"/>
          <w:b w:val="0"/>
          <w:noProof w:val="0"/>
          <w:sz w:val="22"/>
          <w:szCs w:val="22"/>
          <w:lang w:val="es-ES"/>
        </w:rPr>
        <w:t>ndo las haya disponibles, deberá</w:t>
      </w:r>
      <w:r w:rsidRPr="0028406C">
        <w:rPr>
          <w:rFonts w:ascii="Arial" w:hAnsi="Arial" w:cs="Arial"/>
          <w:b w:val="0"/>
          <w:noProof w:val="0"/>
          <w:sz w:val="22"/>
          <w:szCs w:val="22"/>
          <w:lang w:val="es-ES"/>
        </w:rPr>
        <w:t>n considerar las evaluaciones rigurosas que existan de las intervenciones en otros contextos similares (validez interna), así como</w:t>
      </w:r>
      <w:r w:rsidR="00D2679B"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información sobre la aplicabilidad de la intervención en el país en el que se haya implementado (validez externa).</w:t>
      </w:r>
    </w:p>
    <w:p w14:paraId="34092177"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2B949633" w14:textId="6E90C101" w:rsidR="00BF0D78"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 xml:space="preserve">Análisis de relevancia: La relevancia se refiere a la concordancia de los objetivos del proyecto con las necesidades del beneficiario, las prioridades y estrategias normativas o de desarrollo del país, y la estrategia de asistencia del Banco y sus objetivos institucionales. La relevancia se evalúa teniendo en cuenta las circunstancias predominantes en el momento de la evaluación. La evaluación de la relevancia se estructura en torno a la siguiente pregunta: </w:t>
      </w:r>
      <w:r w:rsidRPr="0028406C">
        <w:rPr>
          <w:rFonts w:ascii="Arial" w:hAnsi="Arial" w:cs="Arial"/>
          <w:b w:val="0"/>
          <w:i/>
          <w:noProof w:val="0"/>
          <w:sz w:val="22"/>
          <w:szCs w:val="22"/>
          <w:lang w:val="es-ES"/>
        </w:rPr>
        <w:t>¿Han variado las condiciones que hacían que el proyecto fuera relevante en el momento de su aprobación?</w:t>
      </w:r>
      <w:r w:rsidRPr="0028406C">
        <w:rPr>
          <w:rFonts w:ascii="Arial" w:hAnsi="Arial" w:cs="Arial"/>
          <w:b w:val="0"/>
          <w:noProof w:val="0"/>
          <w:sz w:val="22"/>
          <w:szCs w:val="22"/>
          <w:lang w:val="es-ES"/>
        </w:rPr>
        <w:t xml:space="preserve"> La relevancia del proyecto puede estar determinada por factores ajenos a la relevancia de los objetivos, </w:t>
      </w:r>
      <w:r w:rsidRPr="0028406C">
        <w:rPr>
          <w:rFonts w:ascii="Arial" w:hAnsi="Arial" w:cs="Arial"/>
          <w:b w:val="0"/>
          <w:noProof w:val="0"/>
          <w:sz w:val="22"/>
          <w:szCs w:val="22"/>
          <w:lang w:val="es-ES"/>
        </w:rPr>
        <w:lastRenderedPageBreak/>
        <w:t>como la lógica de la cadena de resultados</w:t>
      </w:r>
      <w:r w:rsidR="00D2679B"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o del diseño del proyecto</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dada</w:t>
      </w:r>
      <w:r w:rsidR="00AE5665" w:rsidRPr="0028406C">
        <w:rPr>
          <w:rFonts w:ascii="Arial" w:hAnsi="Arial" w:cs="Arial"/>
          <w:b w:val="0"/>
          <w:noProof w:val="0"/>
          <w:sz w:val="22"/>
          <w:szCs w:val="22"/>
          <w:lang w:val="es-ES"/>
        </w:rPr>
        <w:t>s</w:t>
      </w:r>
      <w:r w:rsidRPr="0028406C">
        <w:rPr>
          <w:rFonts w:ascii="Arial" w:hAnsi="Arial" w:cs="Arial"/>
          <w:b w:val="0"/>
          <w:noProof w:val="0"/>
          <w:sz w:val="22"/>
          <w:szCs w:val="22"/>
          <w:lang w:val="es-ES"/>
        </w:rPr>
        <w:t xml:space="preserve"> las circunstancias locales.</w:t>
      </w:r>
    </w:p>
    <w:p w14:paraId="5D559464"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7E52EFDA" w14:textId="77777777" w:rsidR="00EF1C57"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Análisis de sostenibilidad: Tomando en cuenta</w:t>
      </w:r>
      <w:r w:rsidR="00AE5665" w:rsidRPr="0028406C">
        <w:rPr>
          <w:rFonts w:ascii="Arial" w:hAnsi="Arial" w:cs="Arial"/>
          <w:b w:val="0"/>
          <w:noProof w:val="0"/>
          <w:sz w:val="22"/>
          <w:szCs w:val="22"/>
          <w:lang w:val="es-ES"/>
        </w:rPr>
        <w:t xml:space="preserve">: </w:t>
      </w:r>
      <w:r w:rsidRPr="0028406C">
        <w:rPr>
          <w:rFonts w:ascii="Arial" w:hAnsi="Arial" w:cs="Arial"/>
          <w:b w:val="0"/>
          <w:noProof w:val="0"/>
          <w:sz w:val="22"/>
          <w:szCs w:val="22"/>
          <w:lang w:val="es-ES"/>
        </w:rPr>
        <w:t>a) los resultad</w:t>
      </w:r>
      <w:r w:rsidR="00AE5665" w:rsidRPr="0028406C">
        <w:rPr>
          <w:rFonts w:ascii="Arial" w:hAnsi="Arial" w:cs="Arial"/>
          <w:b w:val="0"/>
          <w:noProof w:val="0"/>
          <w:sz w:val="22"/>
          <w:szCs w:val="22"/>
          <w:lang w:val="es-ES"/>
        </w:rPr>
        <w:t xml:space="preserve">os logrados por el proyecto; y, </w:t>
      </w:r>
      <w:r w:rsidRPr="0028406C">
        <w:rPr>
          <w:rFonts w:ascii="Arial" w:hAnsi="Arial" w:cs="Arial"/>
          <w:b w:val="0"/>
          <w:noProof w:val="0"/>
          <w:sz w:val="22"/>
          <w:szCs w:val="22"/>
          <w:lang w:val="es-ES"/>
        </w:rPr>
        <w:t>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tanto de la probabilidad como del impacto de varias amenazas sobre la continuidad de los efectos directos</w:t>
      </w:r>
      <w:r w:rsidR="00AE5665"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más allá de la terminación del proyecto (implementación del proyecto ex post), teniendo en cuenta cómo se mitigaron esas amenazas en el diseño del proyecto o durante la ejecución.</w:t>
      </w:r>
    </w:p>
    <w:p w14:paraId="372AA914"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79810502" w14:textId="77777777" w:rsidR="00EF1C57"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Contribución a los objetivos estratégicos del Banco (objetivos estratégicos institucionales, sectoriales, y con el país) y del país (enmarcados en su plan de desarrollo u otro documento oficial).</w:t>
      </w:r>
    </w:p>
    <w:p w14:paraId="7AA53B8E"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4BB814DC" w14:textId="66422DB7" w:rsidR="00EF1C57"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 xml:space="preserve">Análisis de la calidad del plan de </w:t>
      </w:r>
      <w:r w:rsidR="00572CCF" w:rsidRPr="0028406C">
        <w:rPr>
          <w:rFonts w:ascii="Arial" w:hAnsi="Arial" w:cs="Arial"/>
          <w:b w:val="0"/>
          <w:noProof w:val="0"/>
          <w:sz w:val="22"/>
          <w:szCs w:val="22"/>
          <w:lang w:val="es-ES"/>
        </w:rPr>
        <w:t xml:space="preserve">monitoreo y </w:t>
      </w:r>
      <w:r w:rsidRPr="0028406C">
        <w:rPr>
          <w:rFonts w:ascii="Arial" w:hAnsi="Arial" w:cs="Arial"/>
          <w:b w:val="0"/>
          <w:noProof w:val="0"/>
          <w:sz w:val="22"/>
          <w:szCs w:val="22"/>
          <w:lang w:val="es-ES"/>
        </w:rPr>
        <w:t>seguimiento del pro</w:t>
      </w:r>
      <w:r w:rsidR="00572CCF" w:rsidRPr="0028406C">
        <w:rPr>
          <w:rFonts w:ascii="Arial" w:hAnsi="Arial" w:cs="Arial"/>
          <w:b w:val="0"/>
          <w:noProof w:val="0"/>
          <w:sz w:val="22"/>
          <w:szCs w:val="22"/>
          <w:lang w:val="es-ES"/>
        </w:rPr>
        <w:t>grama</w:t>
      </w:r>
      <w:r w:rsidR="00897622"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y su implementación. Esta sección resume la idoneidad del diseño y la implementación del plan de </w:t>
      </w:r>
      <w:r w:rsidR="00572CCF" w:rsidRPr="0028406C">
        <w:rPr>
          <w:rFonts w:ascii="Arial" w:hAnsi="Arial" w:cs="Arial"/>
          <w:b w:val="0"/>
          <w:noProof w:val="0"/>
          <w:sz w:val="22"/>
          <w:szCs w:val="22"/>
          <w:lang w:val="es-ES"/>
        </w:rPr>
        <w:t xml:space="preserve">monitoreo y </w:t>
      </w:r>
      <w:r w:rsidRPr="0028406C">
        <w:rPr>
          <w:rFonts w:ascii="Arial" w:hAnsi="Arial" w:cs="Arial"/>
          <w:b w:val="0"/>
          <w:noProof w:val="0"/>
          <w:sz w:val="22"/>
          <w:szCs w:val="22"/>
          <w:lang w:val="es-ES"/>
        </w:rPr>
        <w:t>seguimiento, así como el uso de la información</w:t>
      </w:r>
      <w:r w:rsidR="00572CCF" w:rsidRPr="0028406C">
        <w:rPr>
          <w:rFonts w:ascii="Arial" w:hAnsi="Arial" w:cs="Arial"/>
          <w:b w:val="0"/>
          <w:noProof w:val="0"/>
          <w:sz w:val="22"/>
          <w:szCs w:val="22"/>
          <w:lang w:val="es-ES"/>
        </w:rPr>
        <w:t xml:space="preserve"> generada por el mismo</w:t>
      </w:r>
      <w:r w:rsidRPr="0028406C">
        <w:rPr>
          <w:rFonts w:ascii="Arial" w:hAnsi="Arial" w:cs="Arial"/>
          <w:b w:val="0"/>
          <w:noProof w:val="0"/>
          <w:sz w:val="22"/>
          <w:szCs w:val="22"/>
          <w:lang w:val="es-ES"/>
        </w:rPr>
        <w:t>.</w:t>
      </w:r>
    </w:p>
    <w:p w14:paraId="2FEAA7E1"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0C745EC9" w14:textId="77777777" w:rsidR="00EF1C57"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Análisis de uso de sistemas nacionales: en qué medida el diseño y la ejecución del pro</w:t>
      </w:r>
      <w:r w:rsidR="00572CCF" w:rsidRPr="0028406C">
        <w:rPr>
          <w:rFonts w:ascii="Arial" w:hAnsi="Arial" w:cs="Arial"/>
          <w:b w:val="0"/>
          <w:noProof w:val="0"/>
          <w:sz w:val="22"/>
          <w:szCs w:val="22"/>
          <w:lang w:val="es-ES"/>
        </w:rPr>
        <w:t>grama</w:t>
      </w:r>
      <w:r w:rsidRPr="0028406C">
        <w:rPr>
          <w:rFonts w:ascii="Arial" w:hAnsi="Arial" w:cs="Arial"/>
          <w:b w:val="0"/>
          <w:noProof w:val="0"/>
          <w:sz w:val="22"/>
          <w:szCs w:val="22"/>
          <w:lang w:val="es-ES"/>
        </w:rPr>
        <w:t xml:space="preserve">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58372ECA" w14:textId="77777777" w:rsidR="0028406C" w:rsidRDefault="0028406C" w:rsidP="0028406C">
      <w:pPr>
        <w:pStyle w:val="Heading4"/>
        <w:numPr>
          <w:ilvl w:val="0"/>
          <w:numId w:val="0"/>
        </w:numPr>
        <w:tabs>
          <w:tab w:val="clear" w:pos="1440"/>
          <w:tab w:val="left" w:pos="993"/>
        </w:tabs>
        <w:spacing w:before="0" w:after="0" w:line="276" w:lineRule="auto"/>
        <w:ind w:left="993"/>
        <w:rPr>
          <w:rFonts w:ascii="Arial" w:hAnsi="Arial" w:cs="Arial"/>
          <w:b w:val="0"/>
          <w:noProof w:val="0"/>
          <w:sz w:val="22"/>
          <w:szCs w:val="22"/>
          <w:lang w:val="es-ES"/>
        </w:rPr>
      </w:pPr>
    </w:p>
    <w:p w14:paraId="27983212" w14:textId="39A8E235" w:rsidR="00EF1C57" w:rsidRPr="0028406C" w:rsidRDefault="00EF1C57" w:rsidP="00A06DD5">
      <w:pPr>
        <w:pStyle w:val="Heading4"/>
        <w:numPr>
          <w:ilvl w:val="2"/>
          <w:numId w:val="18"/>
        </w:numPr>
        <w:tabs>
          <w:tab w:val="clear" w:pos="1440"/>
          <w:tab w:val="left" w:pos="993"/>
        </w:tabs>
        <w:spacing w:before="0" w:after="0" w:line="276" w:lineRule="auto"/>
        <w:ind w:left="993" w:hanging="284"/>
        <w:rPr>
          <w:rFonts w:ascii="Arial" w:hAnsi="Arial" w:cs="Arial"/>
          <w:b w:val="0"/>
          <w:noProof w:val="0"/>
          <w:sz w:val="22"/>
          <w:szCs w:val="22"/>
          <w:lang w:val="es-ES"/>
        </w:rPr>
      </w:pPr>
      <w:r w:rsidRPr="0028406C">
        <w:rPr>
          <w:rFonts w:ascii="Arial" w:hAnsi="Arial" w:cs="Arial"/>
          <w:b w:val="0"/>
          <w:noProof w:val="0"/>
          <w:sz w:val="22"/>
          <w:szCs w:val="22"/>
          <w:lang w:val="es-ES"/>
        </w:rPr>
        <w:t>Una sección de conclusiones y recomendaciones con base en la evidencia recopilada. Las recomendaciones se dirigirán tanto al país</w:t>
      </w:r>
      <w:r w:rsidR="00446584"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para aumentar la sostenibilidad del proyecto o fortalecer otras iniciativas parecidas, como al Banco para mejorar su desempeño con el país en otras operaciones y con otros países en operaciones parecidas.</w:t>
      </w:r>
    </w:p>
    <w:p w14:paraId="10064FB9" w14:textId="77777777" w:rsidR="000D0D1E" w:rsidRDefault="000D0D1E" w:rsidP="0028406C">
      <w:pPr>
        <w:spacing w:line="276" w:lineRule="auto"/>
        <w:jc w:val="both"/>
        <w:rPr>
          <w:rFonts w:ascii="Arial" w:hAnsi="Arial" w:cs="Arial"/>
          <w:sz w:val="22"/>
          <w:szCs w:val="22"/>
          <w:highlight w:val="yellow"/>
          <w:lang w:val="es-ES" w:eastAsia="es-AR"/>
        </w:rPr>
      </w:pPr>
    </w:p>
    <w:p w14:paraId="580AE33B" w14:textId="77777777" w:rsidR="0028406C" w:rsidRPr="0028406C" w:rsidRDefault="0028406C" w:rsidP="0028406C">
      <w:pPr>
        <w:spacing w:line="276" w:lineRule="auto"/>
        <w:jc w:val="both"/>
        <w:rPr>
          <w:rFonts w:ascii="Arial" w:hAnsi="Arial" w:cs="Arial"/>
          <w:sz w:val="22"/>
          <w:szCs w:val="22"/>
          <w:highlight w:val="yellow"/>
          <w:lang w:val="es-ES" w:eastAsia="es-AR"/>
        </w:rPr>
      </w:pPr>
    </w:p>
    <w:p w14:paraId="53DC98A4" w14:textId="77777777" w:rsidR="00FC129B" w:rsidRPr="0028406C" w:rsidRDefault="00831C48" w:rsidP="00A06DD5">
      <w:pPr>
        <w:pStyle w:val="ListParagraph"/>
        <w:numPr>
          <w:ilvl w:val="0"/>
          <w:numId w:val="20"/>
        </w:numPr>
        <w:spacing w:line="276" w:lineRule="auto"/>
        <w:jc w:val="both"/>
        <w:rPr>
          <w:rFonts w:ascii="Arial" w:hAnsi="Arial" w:cs="Arial"/>
          <w:b/>
          <w:sz w:val="22"/>
          <w:szCs w:val="22"/>
          <w:lang w:val="es-ES" w:eastAsia="es-AR"/>
        </w:rPr>
      </w:pPr>
      <w:r w:rsidRPr="0028406C">
        <w:rPr>
          <w:rFonts w:ascii="Arial" w:hAnsi="Arial" w:cs="Arial"/>
          <w:b/>
          <w:sz w:val="22"/>
          <w:szCs w:val="22"/>
          <w:lang w:val="es-ES" w:eastAsia="es-AR"/>
        </w:rPr>
        <w:t>Evaluación Económica Ex ante y Ex post</w:t>
      </w:r>
    </w:p>
    <w:p w14:paraId="2EAFCE9D" w14:textId="77777777" w:rsidR="00144583" w:rsidRPr="0028406C" w:rsidRDefault="00144583" w:rsidP="0028406C">
      <w:pPr>
        <w:pStyle w:val="Heading4"/>
        <w:numPr>
          <w:ilvl w:val="0"/>
          <w:numId w:val="0"/>
        </w:numPr>
        <w:tabs>
          <w:tab w:val="clear" w:pos="1440"/>
          <w:tab w:val="left" w:pos="720"/>
        </w:tabs>
        <w:spacing w:before="0" w:after="0" w:line="276" w:lineRule="auto"/>
        <w:ind w:left="720"/>
        <w:rPr>
          <w:rStyle w:val="Heading1Char"/>
          <w:rFonts w:ascii="Arial" w:hAnsi="Arial" w:cs="Arial"/>
          <w:smallCaps w:val="0"/>
          <w:color w:val="000000"/>
          <w:sz w:val="22"/>
          <w:szCs w:val="22"/>
          <w:lang w:val="es-ES"/>
        </w:rPr>
      </w:pPr>
    </w:p>
    <w:p w14:paraId="63948693" w14:textId="6E667E22" w:rsidR="00CF7E5E" w:rsidRPr="0028406C" w:rsidRDefault="00043160" w:rsidP="0028406C">
      <w:pPr>
        <w:pStyle w:val="Heading4"/>
        <w:numPr>
          <w:ilvl w:val="1"/>
          <w:numId w:val="10"/>
        </w:numPr>
        <w:tabs>
          <w:tab w:val="clear" w:pos="1440"/>
          <w:tab w:val="left" w:pos="720"/>
        </w:tabs>
        <w:spacing w:before="0" w:after="0" w:line="276" w:lineRule="auto"/>
        <w:ind w:left="720" w:hanging="720"/>
        <w:rPr>
          <w:rFonts w:ascii="Arial" w:hAnsi="Arial" w:cs="Arial"/>
          <w:b w:val="0"/>
          <w:color w:val="000000"/>
          <w:sz w:val="22"/>
          <w:szCs w:val="22"/>
          <w:lang w:val="es-ES"/>
        </w:rPr>
      </w:pPr>
      <w:r w:rsidRPr="0028406C">
        <w:rPr>
          <w:rStyle w:val="Heading1Char"/>
          <w:rFonts w:ascii="Arial" w:hAnsi="Arial" w:cs="Arial"/>
          <w:b/>
          <w:spacing w:val="-3"/>
          <w:sz w:val="22"/>
          <w:szCs w:val="22"/>
          <w:lang w:val="es-ES"/>
        </w:rPr>
        <w:t xml:space="preserve">Evaluación Económica Ex Ante: </w:t>
      </w:r>
      <w:r w:rsidR="00B33AE9" w:rsidRPr="0028406C">
        <w:rPr>
          <w:rFonts w:ascii="Arial" w:hAnsi="Arial" w:cs="Arial"/>
          <w:b w:val="0"/>
          <w:color w:val="000000"/>
          <w:sz w:val="22"/>
          <w:szCs w:val="22"/>
          <w:lang w:val="es-ES"/>
        </w:rPr>
        <w:t xml:space="preserve">El equipo del </w:t>
      </w:r>
      <w:r w:rsidR="00B34445" w:rsidRPr="0028406C">
        <w:rPr>
          <w:rFonts w:ascii="Arial" w:hAnsi="Arial" w:cs="Arial"/>
          <w:b w:val="0"/>
          <w:color w:val="000000"/>
          <w:sz w:val="22"/>
          <w:szCs w:val="22"/>
          <w:lang w:val="es-ES"/>
        </w:rPr>
        <w:t>p</w:t>
      </w:r>
      <w:r w:rsidR="00831C48" w:rsidRPr="0028406C">
        <w:rPr>
          <w:rFonts w:ascii="Arial" w:hAnsi="Arial" w:cs="Arial"/>
          <w:b w:val="0"/>
          <w:color w:val="000000"/>
          <w:sz w:val="22"/>
          <w:szCs w:val="22"/>
          <w:lang w:val="es-ES"/>
        </w:rPr>
        <w:t xml:space="preserve">rograma realizó la Evaluación económica </w:t>
      </w:r>
      <w:r w:rsidR="00B33AE9" w:rsidRPr="0028406C">
        <w:rPr>
          <w:rFonts w:ascii="Arial" w:hAnsi="Arial" w:cs="Arial"/>
          <w:b w:val="0"/>
          <w:color w:val="000000"/>
          <w:sz w:val="22"/>
          <w:szCs w:val="22"/>
          <w:lang w:val="es-ES"/>
        </w:rPr>
        <w:t>ex ante</w:t>
      </w:r>
      <w:r w:rsidR="00831C48" w:rsidRPr="0028406C">
        <w:rPr>
          <w:rFonts w:ascii="Arial" w:hAnsi="Arial" w:cs="Arial"/>
          <w:b w:val="0"/>
          <w:color w:val="000000"/>
          <w:sz w:val="22"/>
          <w:szCs w:val="22"/>
          <w:lang w:val="es-ES"/>
        </w:rPr>
        <w:t>, y estimó</w:t>
      </w:r>
      <w:r w:rsidR="00B33AE9" w:rsidRPr="0028406C">
        <w:rPr>
          <w:rFonts w:ascii="Arial" w:hAnsi="Arial" w:cs="Arial"/>
          <w:b w:val="0"/>
          <w:color w:val="000000"/>
          <w:sz w:val="22"/>
          <w:szCs w:val="22"/>
          <w:lang w:val="es-ES"/>
        </w:rPr>
        <w:t xml:space="preserve"> los costos y beneficios económicos del programa</w:t>
      </w:r>
      <w:r w:rsidR="00B33AE9" w:rsidRPr="0028406C">
        <w:rPr>
          <w:rFonts w:ascii="Arial" w:hAnsi="Arial" w:cs="Arial"/>
          <w:b w:val="0"/>
          <w:sz w:val="22"/>
          <w:szCs w:val="22"/>
          <w:lang w:val="es-ES"/>
        </w:rPr>
        <w:t xml:space="preserve">. </w:t>
      </w:r>
      <w:r w:rsidR="00C61158" w:rsidRPr="0028406C">
        <w:rPr>
          <w:rFonts w:ascii="Arial" w:hAnsi="Arial" w:cs="Arial"/>
          <w:b w:val="0"/>
          <w:sz w:val="22"/>
          <w:szCs w:val="22"/>
          <w:lang w:val="es-ES"/>
        </w:rPr>
        <w:t>Se asumió que</w:t>
      </w:r>
      <w:r w:rsidR="004E056F" w:rsidRPr="0028406C">
        <w:rPr>
          <w:rFonts w:ascii="Arial" w:hAnsi="Arial" w:cs="Arial"/>
          <w:b w:val="0"/>
          <w:sz w:val="22"/>
          <w:szCs w:val="22"/>
          <w:lang w:val="es-ES"/>
        </w:rPr>
        <w:t>,</w:t>
      </w:r>
      <w:r w:rsidR="00C61158" w:rsidRPr="0028406C">
        <w:rPr>
          <w:rFonts w:ascii="Arial" w:hAnsi="Arial" w:cs="Arial"/>
          <w:b w:val="0"/>
          <w:sz w:val="22"/>
          <w:szCs w:val="22"/>
          <w:lang w:val="es-ES"/>
        </w:rPr>
        <w:t xml:space="preserve"> a</w:t>
      </w:r>
      <w:r w:rsidR="00C61158" w:rsidRPr="0028406C">
        <w:rPr>
          <w:rFonts w:ascii="Arial" w:hAnsi="Arial" w:cs="Arial"/>
          <w:b w:val="0"/>
          <w:color w:val="000000"/>
          <w:sz w:val="22"/>
          <w:szCs w:val="22"/>
          <w:lang w:val="es-ES"/>
        </w:rPr>
        <w:t xml:space="preserve"> partir del fortalecimiento del Marco de Gobernanza Corporativa y Fiscal de las </w:t>
      </w:r>
      <w:r w:rsidR="007F130A" w:rsidRPr="0028406C">
        <w:rPr>
          <w:rFonts w:ascii="Arial" w:hAnsi="Arial" w:cs="Arial"/>
          <w:b w:val="0"/>
          <w:color w:val="000000"/>
          <w:sz w:val="22"/>
          <w:szCs w:val="22"/>
          <w:lang w:val="es-ES"/>
        </w:rPr>
        <w:t>EEPP</w:t>
      </w:r>
      <w:r w:rsidR="00C61158" w:rsidRPr="0028406C">
        <w:rPr>
          <w:rFonts w:ascii="Arial" w:hAnsi="Arial" w:cs="Arial"/>
          <w:b w:val="0"/>
          <w:color w:val="000000"/>
          <w:sz w:val="22"/>
          <w:szCs w:val="22"/>
          <w:lang w:val="es-ES"/>
        </w:rPr>
        <w:t xml:space="preserve">; y, de la Optimización de la cartera de </w:t>
      </w:r>
      <w:r w:rsidR="007F130A" w:rsidRPr="0028406C">
        <w:rPr>
          <w:rFonts w:ascii="Arial" w:hAnsi="Arial" w:cs="Arial"/>
          <w:b w:val="0"/>
          <w:color w:val="000000"/>
          <w:sz w:val="22"/>
          <w:szCs w:val="22"/>
          <w:lang w:val="es-ES"/>
        </w:rPr>
        <w:t>EEPP</w:t>
      </w:r>
      <w:r w:rsidR="00CF7E5E" w:rsidRPr="0028406C">
        <w:rPr>
          <w:rFonts w:ascii="Arial" w:hAnsi="Arial" w:cs="Arial"/>
          <w:b w:val="0"/>
          <w:color w:val="000000"/>
          <w:sz w:val="22"/>
          <w:szCs w:val="22"/>
          <w:lang w:val="es-ES"/>
        </w:rPr>
        <w:t>, se</w:t>
      </w:r>
      <w:r w:rsidR="00C61158" w:rsidRPr="0028406C">
        <w:rPr>
          <w:rFonts w:ascii="Arial" w:hAnsi="Arial" w:cs="Arial"/>
          <w:b w:val="0"/>
          <w:color w:val="000000"/>
          <w:sz w:val="22"/>
          <w:szCs w:val="22"/>
          <w:lang w:val="es-ES"/>
        </w:rPr>
        <w:t xml:space="preserve"> reducir</w:t>
      </w:r>
      <w:r w:rsidR="00CF7E5E" w:rsidRPr="0028406C">
        <w:rPr>
          <w:rFonts w:ascii="Arial" w:hAnsi="Arial" w:cs="Arial"/>
          <w:b w:val="0"/>
          <w:color w:val="000000"/>
          <w:sz w:val="22"/>
          <w:szCs w:val="22"/>
          <w:lang w:val="es-ES"/>
        </w:rPr>
        <w:t>á</w:t>
      </w:r>
      <w:r w:rsidR="00C61158" w:rsidRPr="0028406C">
        <w:rPr>
          <w:rFonts w:ascii="Arial" w:hAnsi="Arial" w:cs="Arial"/>
          <w:b w:val="0"/>
          <w:color w:val="000000"/>
          <w:sz w:val="22"/>
          <w:szCs w:val="22"/>
          <w:lang w:val="es-ES"/>
        </w:rPr>
        <w:t xml:space="preserve"> la carga fiscal del Estado, derivada de la propiedad de empresas públicas. El beneficio económico fue el resultado de los ahorros que se producen por la mejora en transparencia de los procesos de las </w:t>
      </w:r>
      <w:r w:rsidR="007F130A" w:rsidRPr="0028406C">
        <w:rPr>
          <w:rFonts w:ascii="Arial" w:hAnsi="Arial" w:cs="Arial"/>
          <w:b w:val="0"/>
          <w:color w:val="000000"/>
          <w:sz w:val="22"/>
          <w:szCs w:val="22"/>
          <w:lang w:val="es-ES"/>
        </w:rPr>
        <w:t>EEPP</w:t>
      </w:r>
      <w:r w:rsidR="00C61158" w:rsidRPr="0028406C">
        <w:rPr>
          <w:rFonts w:ascii="Arial" w:hAnsi="Arial" w:cs="Arial"/>
          <w:b w:val="0"/>
          <w:color w:val="000000"/>
          <w:sz w:val="22"/>
          <w:szCs w:val="22"/>
          <w:lang w:val="es-ES"/>
        </w:rPr>
        <w:t>, debido a su alineación a los principios de gobernanza corporativa de la O</w:t>
      </w:r>
      <w:r w:rsidR="004E056F" w:rsidRPr="0028406C">
        <w:rPr>
          <w:rFonts w:ascii="Arial" w:hAnsi="Arial" w:cs="Arial"/>
          <w:b w:val="0"/>
          <w:color w:val="000000"/>
          <w:sz w:val="22"/>
          <w:szCs w:val="22"/>
          <w:lang w:val="es-ES"/>
        </w:rPr>
        <w:t>ECD</w:t>
      </w:r>
      <w:r w:rsidR="00C61158" w:rsidRPr="0028406C">
        <w:rPr>
          <w:rFonts w:ascii="Arial" w:hAnsi="Arial" w:cs="Arial"/>
          <w:b w:val="0"/>
          <w:color w:val="000000"/>
          <w:sz w:val="22"/>
          <w:szCs w:val="22"/>
          <w:lang w:val="es-ES"/>
        </w:rPr>
        <w:t xml:space="preserve"> e incorporación de mecanismos de transparencia</w:t>
      </w:r>
      <w:r w:rsidR="004E056F" w:rsidRPr="0028406C">
        <w:rPr>
          <w:rFonts w:ascii="Arial" w:hAnsi="Arial" w:cs="Arial"/>
          <w:b w:val="0"/>
          <w:color w:val="000000"/>
          <w:sz w:val="22"/>
          <w:szCs w:val="22"/>
          <w:lang w:val="es-ES"/>
        </w:rPr>
        <w:t xml:space="preserve"> (certificado ISO-37001)</w:t>
      </w:r>
      <w:r w:rsidR="00C61158" w:rsidRPr="0028406C">
        <w:rPr>
          <w:rFonts w:ascii="Arial" w:hAnsi="Arial" w:cs="Arial"/>
          <w:b w:val="0"/>
          <w:color w:val="000000"/>
          <w:sz w:val="22"/>
          <w:szCs w:val="22"/>
          <w:lang w:val="es-ES"/>
        </w:rPr>
        <w:t xml:space="preserve"> y rendición de </w:t>
      </w:r>
      <w:r w:rsidR="00C61158" w:rsidRPr="0028406C">
        <w:rPr>
          <w:rFonts w:ascii="Arial" w:hAnsi="Arial" w:cs="Arial"/>
          <w:b w:val="0"/>
          <w:color w:val="000000"/>
          <w:sz w:val="22"/>
          <w:szCs w:val="22"/>
          <w:lang w:val="es-ES"/>
        </w:rPr>
        <w:lastRenderedPageBreak/>
        <w:t xml:space="preserve">cuentas; así como los ahorros generados por la mejora de la eficiencia por la fusión de las empresas públicas petroleras; y, los ahorros derivados de la desvinculación de personal en las </w:t>
      </w:r>
      <w:r w:rsidR="007F130A" w:rsidRPr="0028406C">
        <w:rPr>
          <w:rFonts w:ascii="Arial" w:hAnsi="Arial" w:cs="Arial"/>
          <w:b w:val="0"/>
          <w:color w:val="000000"/>
          <w:sz w:val="22"/>
          <w:szCs w:val="22"/>
          <w:lang w:val="es-ES"/>
        </w:rPr>
        <w:t>EEPP</w:t>
      </w:r>
      <w:r w:rsidR="00C61158" w:rsidRPr="0028406C">
        <w:rPr>
          <w:rFonts w:ascii="Arial" w:hAnsi="Arial" w:cs="Arial"/>
          <w:b w:val="0"/>
          <w:color w:val="000000"/>
          <w:sz w:val="22"/>
          <w:szCs w:val="22"/>
          <w:lang w:val="es-ES"/>
        </w:rPr>
        <w:t xml:space="preserve"> Petroamazonas, Petroecuador, CNEL, CELEC</w:t>
      </w:r>
      <w:r w:rsidR="007F130A" w:rsidRPr="0028406C">
        <w:rPr>
          <w:rFonts w:ascii="Arial" w:hAnsi="Arial" w:cs="Arial"/>
          <w:b w:val="0"/>
          <w:color w:val="000000"/>
          <w:sz w:val="22"/>
          <w:szCs w:val="22"/>
          <w:lang w:val="es-ES"/>
        </w:rPr>
        <w:t xml:space="preserve">, </w:t>
      </w:r>
      <w:r w:rsidR="00C61158" w:rsidRPr="0028406C">
        <w:rPr>
          <w:rFonts w:ascii="Arial" w:hAnsi="Arial" w:cs="Arial"/>
          <w:b w:val="0"/>
          <w:color w:val="000000"/>
          <w:sz w:val="22"/>
          <w:szCs w:val="22"/>
          <w:lang w:val="es-ES"/>
        </w:rPr>
        <w:t>TAME</w:t>
      </w:r>
      <w:r w:rsidR="007F130A" w:rsidRPr="0028406C">
        <w:rPr>
          <w:rFonts w:ascii="Arial" w:hAnsi="Arial" w:cs="Arial"/>
          <w:b w:val="0"/>
          <w:color w:val="000000"/>
          <w:sz w:val="22"/>
          <w:szCs w:val="22"/>
          <w:lang w:val="es-ES"/>
        </w:rPr>
        <w:t xml:space="preserve"> y EMCO</w:t>
      </w:r>
      <w:r w:rsidR="00C61158" w:rsidRPr="0028406C">
        <w:rPr>
          <w:rFonts w:ascii="Arial" w:hAnsi="Arial" w:cs="Arial"/>
          <w:b w:val="0"/>
          <w:color w:val="000000"/>
          <w:sz w:val="22"/>
          <w:szCs w:val="22"/>
          <w:lang w:val="es-ES"/>
        </w:rPr>
        <w:t xml:space="preserve">. </w:t>
      </w:r>
    </w:p>
    <w:p w14:paraId="6C8ED0DE" w14:textId="77777777" w:rsidR="00385555" w:rsidRPr="0028406C" w:rsidRDefault="00385555"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rPr>
      </w:pPr>
    </w:p>
    <w:p w14:paraId="3DEFB8E7" w14:textId="7C33DA5C" w:rsidR="00AB3ECB" w:rsidRPr="0028406C" w:rsidRDefault="00AB3ECB"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rPr>
      </w:pPr>
      <w:r w:rsidRPr="0028406C">
        <w:rPr>
          <w:rFonts w:ascii="Arial" w:hAnsi="Arial" w:cs="Arial"/>
          <w:b w:val="0"/>
          <w:sz w:val="22"/>
          <w:szCs w:val="22"/>
          <w:lang w:val="es-ES"/>
        </w:rPr>
        <w:t xml:space="preserve">El supuesto está directamente asociado a todos los resultados de la Matriz de Resultados del programa, los cuales están orientados a: (i) aumentar las sesiones ordinarias de los Directorios, respecto al total de sesiones; (ii) incrementar el porcentaje de </w:t>
      </w:r>
      <w:r w:rsidR="007F130A" w:rsidRPr="0028406C">
        <w:rPr>
          <w:rFonts w:ascii="Arial" w:hAnsi="Arial" w:cs="Arial"/>
          <w:b w:val="0"/>
          <w:sz w:val="22"/>
          <w:szCs w:val="22"/>
          <w:lang w:val="es-ES"/>
        </w:rPr>
        <w:t>EEPP</w:t>
      </w:r>
      <w:r w:rsidRPr="0028406C">
        <w:rPr>
          <w:rFonts w:ascii="Arial" w:hAnsi="Arial" w:cs="Arial"/>
          <w:b w:val="0"/>
          <w:sz w:val="22"/>
          <w:szCs w:val="22"/>
          <w:lang w:val="es-ES"/>
        </w:rPr>
        <w:t xml:space="preserve"> con estados financieros auditados al día; (iii) aumentar la proporción de mujeres en los Directorios de las </w:t>
      </w:r>
      <w:r w:rsidR="007F130A" w:rsidRPr="0028406C">
        <w:rPr>
          <w:rFonts w:ascii="Arial" w:hAnsi="Arial" w:cs="Arial"/>
          <w:b w:val="0"/>
          <w:sz w:val="22"/>
          <w:szCs w:val="22"/>
          <w:lang w:val="es-ES"/>
        </w:rPr>
        <w:t>EEPP</w:t>
      </w:r>
      <w:r w:rsidRPr="0028406C">
        <w:rPr>
          <w:rFonts w:ascii="Arial" w:hAnsi="Arial" w:cs="Arial"/>
          <w:b w:val="0"/>
          <w:sz w:val="22"/>
          <w:szCs w:val="22"/>
          <w:lang w:val="es-ES"/>
        </w:rPr>
        <w:t>;</w:t>
      </w:r>
      <w:r w:rsidR="006F6F0D" w:rsidRPr="0028406C">
        <w:rPr>
          <w:rFonts w:ascii="Arial" w:hAnsi="Arial" w:cs="Arial"/>
          <w:b w:val="0"/>
          <w:sz w:val="22"/>
          <w:szCs w:val="22"/>
          <w:lang w:val="es-ES"/>
        </w:rPr>
        <w:t xml:space="preserve"> e,</w:t>
      </w:r>
      <w:r w:rsidRPr="0028406C">
        <w:rPr>
          <w:rFonts w:ascii="Arial" w:hAnsi="Arial" w:cs="Arial"/>
          <w:b w:val="0"/>
          <w:sz w:val="22"/>
          <w:szCs w:val="22"/>
          <w:lang w:val="es-ES"/>
        </w:rPr>
        <w:t xml:space="preserve"> (iv) </w:t>
      </w:r>
      <w:r w:rsidR="006F6F0D" w:rsidRPr="0028406C">
        <w:rPr>
          <w:rFonts w:ascii="Arial" w:hAnsi="Arial" w:cs="Arial"/>
          <w:b w:val="0"/>
          <w:sz w:val="22"/>
          <w:szCs w:val="22"/>
          <w:lang w:val="es-ES"/>
        </w:rPr>
        <w:t>incrementar la eficiencia productiva</w:t>
      </w:r>
      <w:r w:rsidRPr="0028406C">
        <w:rPr>
          <w:rFonts w:ascii="Arial" w:hAnsi="Arial" w:cs="Arial"/>
          <w:b w:val="0"/>
          <w:sz w:val="22"/>
          <w:szCs w:val="22"/>
          <w:lang w:val="es-ES"/>
        </w:rPr>
        <w:t>. En caso que las actividades y productos relacionados a estos resultados no se ejecuten, el beneficio esperado no s</w:t>
      </w:r>
      <w:r w:rsidR="004E056F" w:rsidRPr="0028406C">
        <w:rPr>
          <w:rFonts w:ascii="Arial" w:hAnsi="Arial" w:cs="Arial"/>
          <w:b w:val="0"/>
          <w:sz w:val="22"/>
          <w:szCs w:val="22"/>
          <w:lang w:val="es-ES"/>
        </w:rPr>
        <w:t>e generaría; y, por ende, no se</w:t>
      </w:r>
      <w:r w:rsidRPr="0028406C">
        <w:rPr>
          <w:rFonts w:ascii="Arial" w:hAnsi="Arial" w:cs="Arial"/>
          <w:b w:val="0"/>
          <w:sz w:val="22"/>
          <w:szCs w:val="22"/>
          <w:lang w:val="es-ES"/>
        </w:rPr>
        <w:t xml:space="preserve"> alcanzaría el objetivo del proyecto. Es decir, se </w:t>
      </w:r>
      <w:r w:rsidR="006F6F0D" w:rsidRPr="0028406C">
        <w:rPr>
          <w:rFonts w:ascii="Arial" w:hAnsi="Arial" w:cs="Arial"/>
          <w:b w:val="0"/>
          <w:sz w:val="22"/>
          <w:szCs w:val="22"/>
          <w:lang w:val="es-ES"/>
        </w:rPr>
        <w:t>consideró</w:t>
      </w:r>
      <w:r w:rsidRPr="0028406C">
        <w:rPr>
          <w:rFonts w:ascii="Arial" w:hAnsi="Arial" w:cs="Arial"/>
          <w:b w:val="0"/>
          <w:sz w:val="22"/>
          <w:szCs w:val="22"/>
          <w:lang w:val="es-ES"/>
        </w:rPr>
        <w:t xml:space="preserve"> la lógica vertical del proyecto, donde sus resultados contribuyen al alcance de los objetivos específicos y del objetivo general del programa.</w:t>
      </w:r>
    </w:p>
    <w:p w14:paraId="30955142" w14:textId="77777777" w:rsidR="00385555" w:rsidRPr="0028406C" w:rsidRDefault="00385555"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rPr>
      </w:pPr>
    </w:p>
    <w:p w14:paraId="6B5B148F" w14:textId="4D36D6DC" w:rsidR="00A75CD8" w:rsidRPr="0028406C" w:rsidRDefault="003350C3"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rPr>
      </w:pPr>
      <w:r w:rsidRPr="0028406C">
        <w:rPr>
          <w:rFonts w:ascii="Arial" w:hAnsi="Arial" w:cs="Arial"/>
          <w:b w:val="0"/>
          <w:sz w:val="22"/>
          <w:szCs w:val="22"/>
          <w:lang w:val="es-ES"/>
        </w:rPr>
        <w:t xml:space="preserve">Al final del año 2028 (10 años desde el </w:t>
      </w:r>
      <w:r w:rsidRPr="00B61103">
        <w:rPr>
          <w:rFonts w:ascii="Arial" w:hAnsi="Arial" w:cs="Arial"/>
          <w:b w:val="0"/>
          <w:sz w:val="22"/>
          <w:szCs w:val="22"/>
          <w:lang w:val="es-ES"/>
        </w:rPr>
        <w:t>inicio de la ejecución del programa) se estima que las inversiones estarán generando un Valor Presente Neto (VPN) de US</w:t>
      </w:r>
      <w:r w:rsidR="006F6F0D" w:rsidRPr="00B61103">
        <w:rPr>
          <w:rFonts w:ascii="Arial" w:hAnsi="Arial" w:cs="Arial"/>
          <w:b w:val="0"/>
          <w:sz w:val="22"/>
          <w:szCs w:val="22"/>
          <w:lang w:val="es-ES"/>
        </w:rPr>
        <w:t xml:space="preserve">D </w:t>
      </w:r>
      <w:r w:rsidR="00D60929" w:rsidRPr="00B61103">
        <w:rPr>
          <w:rFonts w:ascii="Arial" w:hAnsi="Arial" w:cs="Arial"/>
          <w:b w:val="0"/>
          <w:sz w:val="22"/>
          <w:szCs w:val="22"/>
          <w:lang w:val="es-ES"/>
        </w:rPr>
        <w:t>6</w:t>
      </w:r>
      <w:r w:rsidR="00B61103" w:rsidRPr="00B61103">
        <w:rPr>
          <w:rFonts w:ascii="Arial" w:hAnsi="Arial" w:cs="Arial"/>
          <w:b w:val="0"/>
          <w:sz w:val="22"/>
          <w:szCs w:val="22"/>
          <w:lang w:val="es-ES"/>
        </w:rPr>
        <w:t>0.04</w:t>
      </w:r>
      <w:r w:rsidR="00D60929" w:rsidRPr="00B61103">
        <w:rPr>
          <w:rFonts w:ascii="Arial" w:hAnsi="Arial" w:cs="Arial"/>
          <w:b w:val="0"/>
          <w:sz w:val="22"/>
          <w:szCs w:val="22"/>
          <w:lang w:val="es-ES"/>
        </w:rPr>
        <w:t xml:space="preserve"> </w:t>
      </w:r>
      <w:r w:rsidRPr="00B61103">
        <w:rPr>
          <w:rFonts w:ascii="Arial" w:hAnsi="Arial" w:cs="Arial"/>
          <w:b w:val="0"/>
          <w:sz w:val="22"/>
          <w:szCs w:val="22"/>
          <w:lang w:val="es-ES"/>
        </w:rPr>
        <w:t xml:space="preserve">millones, con una Tasa Interna de Retorno (TIR) de </w:t>
      </w:r>
      <w:r w:rsidR="00D60929" w:rsidRPr="00B61103">
        <w:rPr>
          <w:rFonts w:ascii="Arial" w:hAnsi="Arial" w:cs="Arial"/>
          <w:b w:val="0"/>
          <w:sz w:val="22"/>
          <w:szCs w:val="22"/>
          <w:lang w:val="es-ES"/>
        </w:rPr>
        <w:t>3</w:t>
      </w:r>
      <w:r w:rsidR="00B61103" w:rsidRPr="00B61103">
        <w:rPr>
          <w:rFonts w:ascii="Arial" w:hAnsi="Arial" w:cs="Arial"/>
          <w:b w:val="0"/>
          <w:sz w:val="22"/>
          <w:szCs w:val="22"/>
          <w:lang w:val="es-ES"/>
        </w:rPr>
        <w:t>3</w:t>
      </w:r>
      <w:r w:rsidR="00D60929" w:rsidRPr="00B61103">
        <w:rPr>
          <w:rFonts w:ascii="Arial" w:hAnsi="Arial" w:cs="Arial"/>
          <w:b w:val="0"/>
          <w:sz w:val="22"/>
          <w:szCs w:val="22"/>
          <w:lang w:val="es-ES"/>
        </w:rPr>
        <w:t>%</w:t>
      </w:r>
      <w:r w:rsidRPr="00B61103">
        <w:rPr>
          <w:rFonts w:ascii="Arial" w:hAnsi="Arial" w:cs="Arial"/>
          <w:b w:val="0"/>
          <w:sz w:val="22"/>
          <w:szCs w:val="22"/>
          <w:lang w:val="es-ES"/>
        </w:rPr>
        <w:t xml:space="preserve">. </w:t>
      </w:r>
      <w:r w:rsidR="006F6F0D" w:rsidRPr="00B61103">
        <w:rPr>
          <w:rFonts w:ascii="Arial" w:hAnsi="Arial" w:cs="Arial"/>
          <w:b w:val="0"/>
          <w:sz w:val="22"/>
          <w:szCs w:val="22"/>
          <w:lang w:val="es-ES"/>
        </w:rPr>
        <w:t>Es importante mencionar que</w:t>
      </w:r>
      <w:r w:rsidR="00144583" w:rsidRPr="00B61103">
        <w:rPr>
          <w:rFonts w:ascii="Arial" w:hAnsi="Arial" w:cs="Arial"/>
          <w:b w:val="0"/>
          <w:sz w:val="22"/>
          <w:szCs w:val="22"/>
          <w:lang w:val="es-ES"/>
        </w:rPr>
        <w:t>,</w:t>
      </w:r>
      <w:r w:rsidR="006F6F0D" w:rsidRPr="00B61103">
        <w:rPr>
          <w:rFonts w:ascii="Arial" w:hAnsi="Arial" w:cs="Arial"/>
          <w:b w:val="0"/>
          <w:sz w:val="22"/>
          <w:szCs w:val="22"/>
          <w:lang w:val="es-ES"/>
        </w:rPr>
        <w:t xml:space="preserve"> la alta tasa interna de retorno está influenciada principalmente por el ahorro generado por las desvinculaciones del personal de las </w:t>
      </w:r>
      <w:r w:rsidR="007F130A" w:rsidRPr="00B61103">
        <w:rPr>
          <w:rFonts w:ascii="Arial" w:hAnsi="Arial" w:cs="Arial"/>
          <w:b w:val="0"/>
          <w:sz w:val="22"/>
          <w:szCs w:val="22"/>
          <w:lang w:val="es-ES"/>
        </w:rPr>
        <w:t>EEPP</w:t>
      </w:r>
      <w:r w:rsidR="00144583" w:rsidRPr="00B61103">
        <w:rPr>
          <w:rFonts w:ascii="Arial" w:hAnsi="Arial" w:cs="Arial"/>
          <w:b w:val="0"/>
          <w:sz w:val="22"/>
          <w:szCs w:val="22"/>
          <w:lang w:val="es-ES"/>
        </w:rPr>
        <w:t>.</w:t>
      </w:r>
      <w:r w:rsidR="006F6F0D" w:rsidRPr="00B61103">
        <w:rPr>
          <w:rFonts w:ascii="Arial" w:hAnsi="Arial" w:cs="Arial"/>
          <w:b w:val="0"/>
          <w:sz w:val="22"/>
          <w:szCs w:val="22"/>
          <w:lang w:val="es-ES"/>
        </w:rPr>
        <w:t xml:space="preserve"> Considerando únicamente el eje de las desvinculaciones, el programa registraría una TIR de </w:t>
      </w:r>
      <w:r w:rsidR="00D60929" w:rsidRPr="00B61103">
        <w:rPr>
          <w:rFonts w:ascii="Arial" w:hAnsi="Arial" w:cs="Arial"/>
          <w:b w:val="0"/>
          <w:sz w:val="22"/>
          <w:szCs w:val="22"/>
          <w:lang w:val="es-ES"/>
        </w:rPr>
        <w:t>58</w:t>
      </w:r>
      <w:r w:rsidR="006F6F0D" w:rsidRPr="00B61103">
        <w:rPr>
          <w:rFonts w:ascii="Arial" w:hAnsi="Arial" w:cs="Arial"/>
          <w:b w:val="0"/>
          <w:sz w:val="22"/>
          <w:szCs w:val="22"/>
          <w:lang w:val="es-ES"/>
        </w:rPr>
        <w:t>%. En</w:t>
      </w:r>
      <w:r w:rsidR="006F6F0D" w:rsidRPr="0028406C">
        <w:rPr>
          <w:rFonts w:ascii="Arial" w:hAnsi="Arial" w:cs="Arial"/>
          <w:b w:val="0"/>
          <w:sz w:val="22"/>
          <w:szCs w:val="22"/>
          <w:lang w:val="es-ES"/>
        </w:rPr>
        <w:t xml:space="preserve"> conclusión, el análisis indica que el programa genera beneficios netos positivos y es altamente rentable.</w:t>
      </w:r>
    </w:p>
    <w:bookmarkEnd w:id="31"/>
    <w:p w14:paraId="2030AC02" w14:textId="77777777" w:rsidR="00385555" w:rsidRPr="0028406C" w:rsidRDefault="00385555" w:rsidP="0028406C">
      <w:pPr>
        <w:pStyle w:val="Heading4"/>
        <w:numPr>
          <w:ilvl w:val="0"/>
          <w:numId w:val="0"/>
        </w:numPr>
        <w:tabs>
          <w:tab w:val="clear" w:pos="1440"/>
          <w:tab w:val="left" w:pos="720"/>
        </w:tabs>
        <w:spacing w:before="0" w:after="0" w:line="276" w:lineRule="auto"/>
        <w:ind w:left="720"/>
        <w:rPr>
          <w:rStyle w:val="Heading1Char"/>
          <w:rFonts w:ascii="Arial" w:hAnsi="Arial" w:cs="Arial"/>
          <w:smallCaps w:val="0"/>
          <w:noProof w:val="0"/>
          <w:sz w:val="22"/>
          <w:szCs w:val="22"/>
          <w:lang w:val="es-ES"/>
        </w:rPr>
      </w:pPr>
    </w:p>
    <w:p w14:paraId="06439E86" w14:textId="77777777" w:rsidR="00CB7AB2" w:rsidRPr="0028406C" w:rsidRDefault="00793F46"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Style w:val="Heading1Char"/>
          <w:rFonts w:ascii="Arial" w:hAnsi="Arial" w:cs="Arial"/>
          <w:b/>
          <w:spacing w:val="-3"/>
          <w:sz w:val="22"/>
          <w:szCs w:val="22"/>
          <w:lang w:val="es-ES"/>
        </w:rPr>
        <w:t xml:space="preserve">Evaluación Económica Ex Post: </w:t>
      </w:r>
      <w:r w:rsidRPr="0028406C">
        <w:rPr>
          <w:rFonts w:ascii="Arial" w:hAnsi="Arial" w:cs="Arial"/>
          <w:b w:val="0"/>
          <w:noProof w:val="0"/>
          <w:sz w:val="22"/>
          <w:szCs w:val="22"/>
          <w:lang w:val="es-ES"/>
        </w:rPr>
        <w:t>Se utilizará</w:t>
      </w:r>
      <w:r w:rsidR="00CB7AB2" w:rsidRPr="0028406C">
        <w:rPr>
          <w:rFonts w:ascii="Arial" w:hAnsi="Arial" w:cs="Arial"/>
          <w:b w:val="0"/>
          <w:noProof w:val="0"/>
          <w:sz w:val="22"/>
          <w:szCs w:val="22"/>
          <w:lang w:val="es-ES"/>
        </w:rPr>
        <w:t xml:space="preserve"> la metodología </w:t>
      </w:r>
      <w:r w:rsidRPr="0028406C">
        <w:rPr>
          <w:rFonts w:ascii="Arial" w:hAnsi="Arial" w:cs="Arial"/>
          <w:b w:val="0"/>
          <w:noProof w:val="0"/>
          <w:sz w:val="22"/>
          <w:szCs w:val="22"/>
          <w:lang w:val="es-ES"/>
        </w:rPr>
        <w:t xml:space="preserve">de </w:t>
      </w:r>
      <w:r w:rsidR="00CB7AB2" w:rsidRPr="0028406C">
        <w:rPr>
          <w:rFonts w:ascii="Arial" w:hAnsi="Arial" w:cs="Arial"/>
          <w:b w:val="0"/>
          <w:noProof w:val="0"/>
          <w:sz w:val="22"/>
          <w:szCs w:val="22"/>
          <w:lang w:val="es-ES"/>
        </w:rPr>
        <w:t xml:space="preserve">Análisis Costo-Beneficio ex Post para medir los indicadores de resultado del programa. El análisis económico ex post del programa será una réplica del modelo utilizado </w:t>
      </w:r>
      <w:r w:rsidRPr="0028406C">
        <w:rPr>
          <w:rFonts w:ascii="Arial" w:hAnsi="Arial" w:cs="Arial"/>
          <w:b w:val="0"/>
          <w:noProof w:val="0"/>
          <w:sz w:val="22"/>
          <w:szCs w:val="22"/>
          <w:lang w:val="es-ES"/>
        </w:rPr>
        <w:t xml:space="preserve">en la Evaluación económica </w:t>
      </w:r>
      <w:r w:rsidR="00CB7AB2" w:rsidRPr="0028406C">
        <w:rPr>
          <w:rFonts w:ascii="Arial" w:hAnsi="Arial" w:cs="Arial"/>
          <w:b w:val="0"/>
          <w:noProof w:val="0"/>
          <w:sz w:val="22"/>
          <w:szCs w:val="22"/>
          <w:lang w:val="es-ES"/>
        </w:rPr>
        <w:t xml:space="preserve">ex ante. </w:t>
      </w:r>
    </w:p>
    <w:p w14:paraId="6B252D54" w14:textId="77777777" w:rsidR="0097338E" w:rsidRPr="0028406C" w:rsidRDefault="0097338E"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0C48E7A1" w14:textId="7ADA6FFB" w:rsidR="00CB7AB2" w:rsidRPr="0028406C" w:rsidRDefault="00CB7AB2"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b w:val="0"/>
          <w:noProof w:val="0"/>
          <w:sz w:val="22"/>
          <w:szCs w:val="22"/>
          <w:lang w:val="es-ES"/>
        </w:rPr>
        <w:t xml:space="preserve">Al final de la ejecución del programa, </w:t>
      </w:r>
      <w:bookmarkStart w:id="32" w:name="_Hlk525032641"/>
      <w:r w:rsidR="00793F46" w:rsidRPr="0028406C">
        <w:rPr>
          <w:rFonts w:ascii="Arial" w:hAnsi="Arial" w:cs="Arial"/>
          <w:b w:val="0"/>
          <w:noProof w:val="0"/>
          <w:sz w:val="22"/>
          <w:szCs w:val="22"/>
          <w:lang w:val="es-ES"/>
        </w:rPr>
        <w:t>se realizará una E</w:t>
      </w:r>
      <w:r w:rsidRPr="0028406C">
        <w:rPr>
          <w:rFonts w:ascii="Arial" w:hAnsi="Arial" w:cs="Arial"/>
          <w:b w:val="0"/>
          <w:noProof w:val="0"/>
          <w:sz w:val="22"/>
          <w:szCs w:val="22"/>
          <w:lang w:val="es-ES"/>
        </w:rPr>
        <w:t>valuación económica ex post</w:t>
      </w:r>
      <w:r w:rsidR="004D1DEF"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siguiendo la misma metodología </w:t>
      </w:r>
      <w:r w:rsidR="004D1DEF" w:rsidRPr="0028406C">
        <w:rPr>
          <w:rFonts w:ascii="Arial" w:hAnsi="Arial" w:cs="Arial"/>
          <w:b w:val="0"/>
          <w:noProof w:val="0"/>
          <w:sz w:val="22"/>
          <w:szCs w:val="22"/>
          <w:lang w:val="es-ES"/>
        </w:rPr>
        <w:t xml:space="preserve">de la Evaluación económica </w:t>
      </w:r>
      <w:r w:rsidRPr="0028406C">
        <w:rPr>
          <w:rFonts w:ascii="Arial" w:hAnsi="Arial" w:cs="Arial"/>
          <w:b w:val="0"/>
          <w:noProof w:val="0"/>
          <w:sz w:val="22"/>
          <w:szCs w:val="22"/>
          <w:lang w:val="es-ES"/>
        </w:rPr>
        <w:t>ex ante</w:t>
      </w:r>
      <w:r w:rsidR="004D1DEF"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utilizada en la preparación</w:t>
      </w:r>
      <w:r w:rsidR="00581408" w:rsidRPr="0028406C">
        <w:rPr>
          <w:rFonts w:ascii="Arial" w:hAnsi="Arial" w:cs="Arial"/>
          <w:b w:val="0"/>
          <w:noProof w:val="0"/>
          <w:sz w:val="22"/>
          <w:szCs w:val="22"/>
          <w:lang w:val="es-ES"/>
        </w:rPr>
        <w:t xml:space="preserve"> del proyecto</w:t>
      </w:r>
      <w:r w:rsidRPr="0028406C">
        <w:rPr>
          <w:rFonts w:ascii="Arial" w:hAnsi="Arial" w:cs="Arial"/>
          <w:b w:val="0"/>
          <w:noProof w:val="0"/>
          <w:sz w:val="22"/>
          <w:szCs w:val="22"/>
          <w:lang w:val="es-ES"/>
        </w:rPr>
        <w:t xml:space="preserve">, para comparar la rentabilidad </w:t>
      </w:r>
      <w:r w:rsidR="00793F46" w:rsidRPr="0028406C">
        <w:rPr>
          <w:rFonts w:ascii="Arial" w:hAnsi="Arial" w:cs="Arial"/>
          <w:b w:val="0"/>
          <w:noProof w:val="0"/>
          <w:sz w:val="22"/>
          <w:szCs w:val="22"/>
          <w:lang w:val="es-ES"/>
        </w:rPr>
        <w:t>obtenida</w:t>
      </w:r>
      <w:r w:rsidR="00156D27" w:rsidRPr="0028406C">
        <w:rPr>
          <w:rFonts w:ascii="Arial" w:hAnsi="Arial" w:cs="Arial"/>
          <w:b w:val="0"/>
          <w:noProof w:val="0"/>
          <w:sz w:val="22"/>
          <w:szCs w:val="22"/>
          <w:lang w:val="es-ES"/>
        </w:rPr>
        <w:t>,</w:t>
      </w:r>
      <w:r w:rsidR="00793F46" w:rsidRPr="0028406C">
        <w:rPr>
          <w:rFonts w:ascii="Arial" w:hAnsi="Arial" w:cs="Arial"/>
          <w:b w:val="0"/>
          <w:noProof w:val="0"/>
          <w:sz w:val="22"/>
          <w:szCs w:val="22"/>
          <w:lang w:val="es-ES"/>
        </w:rPr>
        <w:t xml:space="preserve"> </w:t>
      </w:r>
      <w:r w:rsidRPr="0028406C">
        <w:rPr>
          <w:rFonts w:ascii="Arial" w:hAnsi="Arial" w:cs="Arial"/>
          <w:b w:val="0"/>
          <w:noProof w:val="0"/>
          <w:sz w:val="22"/>
          <w:szCs w:val="22"/>
          <w:lang w:val="es-ES"/>
        </w:rPr>
        <w:t>con lo estimado durante su preparación</w:t>
      </w:r>
      <w:bookmarkEnd w:id="32"/>
      <w:r w:rsidRPr="0028406C">
        <w:rPr>
          <w:rFonts w:ascii="Arial" w:hAnsi="Arial" w:cs="Arial"/>
          <w:b w:val="0"/>
          <w:noProof w:val="0"/>
          <w:sz w:val="22"/>
          <w:szCs w:val="22"/>
          <w:lang w:val="es-ES"/>
        </w:rPr>
        <w:t>. Serán utilizados los beneficios que efectivamente ocurran</w:t>
      </w:r>
      <w:r w:rsidR="00581408"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derivados de</w:t>
      </w:r>
      <w:r w:rsidR="00156D27" w:rsidRPr="0028406C">
        <w:rPr>
          <w:rFonts w:ascii="Arial" w:hAnsi="Arial" w:cs="Arial"/>
          <w:b w:val="0"/>
          <w:noProof w:val="0"/>
          <w:sz w:val="22"/>
          <w:szCs w:val="22"/>
          <w:lang w:val="es-ES"/>
        </w:rPr>
        <w:t xml:space="preserve"> los ahorros </w:t>
      </w:r>
      <w:r w:rsidR="00581408" w:rsidRPr="0028406C">
        <w:rPr>
          <w:rFonts w:ascii="Arial" w:hAnsi="Arial" w:cs="Arial"/>
          <w:b w:val="0"/>
          <w:noProof w:val="0"/>
          <w:sz w:val="22"/>
          <w:szCs w:val="22"/>
          <w:lang w:val="es-ES"/>
        </w:rPr>
        <w:t>generados</w:t>
      </w:r>
      <w:r w:rsidR="00156D27" w:rsidRPr="0028406C">
        <w:rPr>
          <w:rFonts w:ascii="Arial" w:hAnsi="Arial" w:cs="Arial"/>
          <w:b w:val="0"/>
          <w:noProof w:val="0"/>
          <w:sz w:val="22"/>
          <w:szCs w:val="22"/>
          <w:lang w:val="es-ES"/>
        </w:rPr>
        <w:t xml:space="preserve"> </w:t>
      </w:r>
      <w:r w:rsidR="00581408" w:rsidRPr="0028406C">
        <w:rPr>
          <w:rFonts w:ascii="Arial" w:hAnsi="Arial" w:cs="Arial"/>
          <w:b w:val="0"/>
          <w:sz w:val="22"/>
          <w:szCs w:val="22"/>
          <w:lang w:val="es-ES"/>
        </w:rPr>
        <w:t xml:space="preserve">por el programa, </w:t>
      </w:r>
      <w:r w:rsidR="004D1DEF" w:rsidRPr="0028406C">
        <w:rPr>
          <w:rFonts w:ascii="Arial" w:hAnsi="Arial" w:cs="Arial"/>
          <w:b w:val="0"/>
          <w:sz w:val="22"/>
          <w:szCs w:val="22"/>
          <w:lang w:val="es-ES"/>
        </w:rPr>
        <w:t>por</w:t>
      </w:r>
      <w:r w:rsidR="00581408" w:rsidRPr="0028406C">
        <w:rPr>
          <w:rFonts w:ascii="Arial" w:hAnsi="Arial" w:cs="Arial"/>
          <w:b w:val="0"/>
          <w:sz w:val="22"/>
          <w:szCs w:val="22"/>
          <w:lang w:val="es-ES"/>
        </w:rPr>
        <w:t xml:space="preserve"> la mayor eficiencia en la fusión de las </w:t>
      </w:r>
      <w:r w:rsidR="007F130A" w:rsidRPr="0028406C">
        <w:rPr>
          <w:rFonts w:ascii="Arial" w:hAnsi="Arial" w:cs="Arial"/>
          <w:b w:val="0"/>
          <w:sz w:val="22"/>
          <w:szCs w:val="22"/>
          <w:lang w:val="es-ES"/>
        </w:rPr>
        <w:t>EEPP</w:t>
      </w:r>
      <w:r w:rsidR="00581408" w:rsidRPr="0028406C">
        <w:rPr>
          <w:rFonts w:ascii="Arial" w:hAnsi="Arial" w:cs="Arial"/>
          <w:b w:val="0"/>
          <w:sz w:val="22"/>
          <w:szCs w:val="22"/>
          <w:lang w:val="es-ES"/>
        </w:rPr>
        <w:t xml:space="preserve"> petroleras, mayor transparencia en las </w:t>
      </w:r>
      <w:r w:rsidR="007F130A" w:rsidRPr="0028406C">
        <w:rPr>
          <w:rFonts w:ascii="Arial" w:hAnsi="Arial" w:cs="Arial"/>
          <w:b w:val="0"/>
          <w:sz w:val="22"/>
          <w:szCs w:val="22"/>
          <w:lang w:val="es-ES"/>
        </w:rPr>
        <w:t>EEPP</w:t>
      </w:r>
      <w:r w:rsidR="00581408" w:rsidRPr="0028406C">
        <w:rPr>
          <w:rFonts w:ascii="Arial" w:hAnsi="Arial" w:cs="Arial"/>
          <w:b w:val="0"/>
          <w:sz w:val="22"/>
          <w:szCs w:val="22"/>
          <w:lang w:val="es-ES"/>
        </w:rPr>
        <w:t xml:space="preserve"> por su alineación a los principios de gobernanza corporativa de la OECD; y, el ahorro por las desvinculaciones de personal.</w:t>
      </w:r>
      <w:r w:rsidRPr="0028406C">
        <w:rPr>
          <w:rFonts w:ascii="Arial" w:hAnsi="Arial" w:cs="Arial"/>
          <w:b w:val="0"/>
          <w:noProof w:val="0"/>
          <w:sz w:val="22"/>
          <w:szCs w:val="22"/>
          <w:lang w:val="es-ES"/>
        </w:rPr>
        <w:t xml:space="preserve"> Dicho beneficio será comparado con los escenarios estimados en la </w:t>
      </w:r>
      <w:r w:rsidR="004D1DEF" w:rsidRPr="0028406C">
        <w:rPr>
          <w:rFonts w:ascii="Arial" w:hAnsi="Arial" w:cs="Arial"/>
          <w:b w:val="0"/>
          <w:noProof w:val="0"/>
          <w:sz w:val="22"/>
          <w:szCs w:val="22"/>
          <w:lang w:val="es-ES"/>
        </w:rPr>
        <w:t>E</w:t>
      </w:r>
      <w:r w:rsidRPr="0028406C">
        <w:rPr>
          <w:rFonts w:ascii="Arial" w:hAnsi="Arial" w:cs="Arial"/>
          <w:b w:val="0"/>
          <w:noProof w:val="0"/>
          <w:sz w:val="22"/>
          <w:szCs w:val="22"/>
          <w:lang w:val="es-ES"/>
        </w:rPr>
        <w:t xml:space="preserve">valuación </w:t>
      </w:r>
      <w:r w:rsidR="004D1DEF" w:rsidRPr="0028406C">
        <w:rPr>
          <w:rFonts w:ascii="Arial" w:hAnsi="Arial" w:cs="Arial"/>
          <w:b w:val="0"/>
          <w:noProof w:val="0"/>
          <w:sz w:val="22"/>
          <w:szCs w:val="22"/>
          <w:lang w:val="es-ES"/>
        </w:rPr>
        <w:t xml:space="preserve">económica </w:t>
      </w:r>
      <w:r w:rsidRPr="0028406C">
        <w:rPr>
          <w:rFonts w:ascii="Arial" w:hAnsi="Arial" w:cs="Arial"/>
          <w:b w:val="0"/>
          <w:noProof w:val="0"/>
          <w:sz w:val="22"/>
          <w:szCs w:val="22"/>
          <w:lang w:val="es-ES"/>
        </w:rPr>
        <w:t xml:space="preserve">ex ante. Los costos incurridos en el programa serán actualizados de acuerdo </w:t>
      </w:r>
      <w:r w:rsidR="004D1DEF" w:rsidRPr="0028406C">
        <w:rPr>
          <w:rFonts w:ascii="Arial" w:hAnsi="Arial" w:cs="Arial"/>
          <w:b w:val="0"/>
          <w:noProof w:val="0"/>
          <w:sz w:val="22"/>
          <w:szCs w:val="22"/>
          <w:lang w:val="es-ES"/>
        </w:rPr>
        <w:t>a</w:t>
      </w:r>
      <w:r w:rsidRPr="0028406C">
        <w:rPr>
          <w:rFonts w:ascii="Arial" w:hAnsi="Arial" w:cs="Arial"/>
          <w:b w:val="0"/>
          <w:noProof w:val="0"/>
          <w:sz w:val="22"/>
          <w:szCs w:val="22"/>
          <w:lang w:val="es-ES"/>
        </w:rPr>
        <w:t xml:space="preserve"> la información p</w:t>
      </w:r>
      <w:r w:rsidR="004D1DEF" w:rsidRPr="0028406C">
        <w:rPr>
          <w:rFonts w:ascii="Arial" w:hAnsi="Arial" w:cs="Arial"/>
          <w:b w:val="0"/>
          <w:noProof w:val="0"/>
          <w:sz w:val="22"/>
          <w:szCs w:val="22"/>
          <w:lang w:val="es-ES"/>
        </w:rPr>
        <w:t>roveniente de los POA y de los I</w:t>
      </w:r>
      <w:r w:rsidRPr="0028406C">
        <w:rPr>
          <w:rFonts w:ascii="Arial" w:hAnsi="Arial" w:cs="Arial"/>
          <w:b w:val="0"/>
          <w:noProof w:val="0"/>
          <w:sz w:val="22"/>
          <w:szCs w:val="22"/>
          <w:lang w:val="es-ES"/>
        </w:rPr>
        <w:t xml:space="preserve">nformes semestrales de </w:t>
      </w:r>
      <w:r w:rsidR="004D1DEF" w:rsidRPr="0028406C">
        <w:rPr>
          <w:rFonts w:ascii="Arial" w:hAnsi="Arial" w:cs="Arial"/>
          <w:b w:val="0"/>
          <w:noProof w:val="0"/>
          <w:sz w:val="22"/>
          <w:szCs w:val="22"/>
          <w:lang w:val="es-ES"/>
        </w:rPr>
        <w:t>monitoreo, realizados por el MEF, considerando servicios, consultorías,</w:t>
      </w:r>
      <w:r w:rsidRPr="0028406C">
        <w:rPr>
          <w:rFonts w:ascii="Arial" w:hAnsi="Arial" w:cs="Arial"/>
          <w:b w:val="0"/>
          <w:noProof w:val="0"/>
          <w:sz w:val="22"/>
          <w:szCs w:val="22"/>
          <w:lang w:val="es-ES"/>
        </w:rPr>
        <w:t xml:space="preserve"> mano de obra, ajustados a sus respectivos valores económicos</w:t>
      </w:r>
      <w:r w:rsidR="004D1DEF"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de la misma forma que se </w:t>
      </w:r>
      <w:r w:rsidR="004D1DEF" w:rsidRPr="0028406C">
        <w:rPr>
          <w:rFonts w:ascii="Arial" w:hAnsi="Arial" w:cs="Arial"/>
          <w:b w:val="0"/>
          <w:noProof w:val="0"/>
          <w:sz w:val="22"/>
          <w:szCs w:val="22"/>
          <w:lang w:val="es-ES"/>
        </w:rPr>
        <w:t>realizó en la E</w:t>
      </w:r>
      <w:r w:rsidRPr="0028406C">
        <w:rPr>
          <w:rFonts w:ascii="Arial" w:hAnsi="Arial" w:cs="Arial"/>
          <w:b w:val="0"/>
          <w:noProof w:val="0"/>
          <w:sz w:val="22"/>
          <w:szCs w:val="22"/>
          <w:lang w:val="es-ES"/>
        </w:rPr>
        <w:t>valuación ex ante.</w:t>
      </w:r>
    </w:p>
    <w:p w14:paraId="63EAC58E" w14:textId="77777777" w:rsidR="0097338E" w:rsidRPr="0028406C" w:rsidRDefault="0097338E"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40A9D006" w14:textId="77777777" w:rsidR="00CB7AB2" w:rsidRPr="0028406C" w:rsidRDefault="00CB7AB2"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28406C">
        <w:rPr>
          <w:rFonts w:ascii="Arial" w:hAnsi="Arial" w:cs="Arial"/>
          <w:b w:val="0"/>
          <w:noProof w:val="0"/>
          <w:sz w:val="22"/>
          <w:szCs w:val="22"/>
          <w:lang w:val="es-ES"/>
        </w:rPr>
        <w:t>La información</w:t>
      </w:r>
      <w:r w:rsidR="004D1DEF" w:rsidRPr="0028406C">
        <w:rPr>
          <w:rFonts w:ascii="Arial" w:hAnsi="Arial" w:cs="Arial"/>
          <w:b w:val="0"/>
          <w:noProof w:val="0"/>
          <w:sz w:val="22"/>
          <w:szCs w:val="22"/>
          <w:lang w:val="es-ES"/>
        </w:rPr>
        <w:t xml:space="preserve"> requerida para la E</w:t>
      </w:r>
      <w:r w:rsidRPr="0028406C">
        <w:rPr>
          <w:rFonts w:ascii="Arial" w:hAnsi="Arial" w:cs="Arial"/>
          <w:b w:val="0"/>
          <w:noProof w:val="0"/>
          <w:sz w:val="22"/>
          <w:szCs w:val="22"/>
          <w:lang w:val="es-ES"/>
        </w:rPr>
        <w:t>valuación</w:t>
      </w:r>
      <w:r w:rsidR="004D1DEF" w:rsidRPr="0028406C">
        <w:rPr>
          <w:rFonts w:ascii="Arial" w:hAnsi="Arial" w:cs="Arial"/>
          <w:b w:val="0"/>
          <w:noProof w:val="0"/>
          <w:sz w:val="22"/>
          <w:szCs w:val="22"/>
          <w:lang w:val="es-ES"/>
        </w:rPr>
        <w:t xml:space="preserve"> económica</w:t>
      </w:r>
      <w:r w:rsidRPr="0028406C">
        <w:rPr>
          <w:rFonts w:ascii="Arial" w:hAnsi="Arial" w:cs="Arial"/>
          <w:b w:val="0"/>
          <w:noProof w:val="0"/>
          <w:sz w:val="22"/>
          <w:szCs w:val="22"/>
          <w:lang w:val="es-ES"/>
        </w:rPr>
        <w:t xml:space="preserve"> ex post será recopilada anualmente</w:t>
      </w:r>
      <w:r w:rsidR="004D1DEF" w:rsidRPr="0028406C">
        <w:rPr>
          <w:rFonts w:ascii="Arial" w:hAnsi="Arial" w:cs="Arial"/>
          <w:b w:val="0"/>
          <w:noProof w:val="0"/>
          <w:sz w:val="22"/>
          <w:szCs w:val="22"/>
          <w:lang w:val="es-ES"/>
        </w:rPr>
        <w:t>, mediante los registros e información de los I</w:t>
      </w:r>
      <w:r w:rsidRPr="0028406C">
        <w:rPr>
          <w:rFonts w:ascii="Arial" w:hAnsi="Arial" w:cs="Arial"/>
          <w:b w:val="0"/>
          <w:noProof w:val="0"/>
          <w:sz w:val="22"/>
          <w:szCs w:val="22"/>
          <w:lang w:val="es-ES"/>
        </w:rPr>
        <w:t>nforme</w:t>
      </w:r>
      <w:r w:rsidR="004D1DEF" w:rsidRPr="0028406C">
        <w:rPr>
          <w:rFonts w:ascii="Arial" w:hAnsi="Arial" w:cs="Arial"/>
          <w:b w:val="0"/>
          <w:noProof w:val="0"/>
          <w:sz w:val="22"/>
          <w:szCs w:val="22"/>
          <w:lang w:val="es-ES"/>
        </w:rPr>
        <w:t>s</w:t>
      </w:r>
      <w:r w:rsidRPr="0028406C">
        <w:rPr>
          <w:rFonts w:ascii="Arial" w:hAnsi="Arial" w:cs="Arial"/>
          <w:b w:val="0"/>
          <w:noProof w:val="0"/>
          <w:sz w:val="22"/>
          <w:szCs w:val="22"/>
          <w:lang w:val="es-ES"/>
        </w:rPr>
        <w:t xml:space="preserve"> semestral</w:t>
      </w:r>
      <w:r w:rsidR="004D1DEF" w:rsidRPr="0028406C">
        <w:rPr>
          <w:rFonts w:ascii="Arial" w:hAnsi="Arial" w:cs="Arial"/>
          <w:b w:val="0"/>
          <w:noProof w:val="0"/>
          <w:sz w:val="22"/>
          <w:szCs w:val="22"/>
          <w:lang w:val="es-ES"/>
        </w:rPr>
        <w:t>es</w:t>
      </w:r>
      <w:r w:rsidRPr="0028406C">
        <w:rPr>
          <w:rFonts w:ascii="Arial" w:hAnsi="Arial" w:cs="Arial"/>
          <w:b w:val="0"/>
          <w:noProof w:val="0"/>
          <w:sz w:val="22"/>
          <w:szCs w:val="22"/>
          <w:lang w:val="es-ES"/>
        </w:rPr>
        <w:t xml:space="preserve"> de progreso</w:t>
      </w:r>
      <w:r w:rsidR="004D1DEF" w:rsidRPr="0028406C">
        <w:rPr>
          <w:rFonts w:ascii="Arial" w:hAnsi="Arial" w:cs="Arial"/>
          <w:b w:val="0"/>
          <w:noProof w:val="0"/>
          <w:sz w:val="22"/>
          <w:szCs w:val="22"/>
          <w:lang w:val="es-ES"/>
        </w:rPr>
        <w:t>,</w:t>
      </w:r>
      <w:r w:rsidRPr="0028406C">
        <w:rPr>
          <w:rFonts w:ascii="Arial" w:hAnsi="Arial" w:cs="Arial"/>
          <w:b w:val="0"/>
          <w:noProof w:val="0"/>
          <w:sz w:val="22"/>
          <w:szCs w:val="22"/>
          <w:lang w:val="es-ES"/>
        </w:rPr>
        <w:t xml:space="preserve"> correspondiente</w:t>
      </w:r>
      <w:r w:rsidR="004D1DEF" w:rsidRPr="0028406C">
        <w:rPr>
          <w:rFonts w:ascii="Arial" w:hAnsi="Arial" w:cs="Arial"/>
          <w:b w:val="0"/>
          <w:noProof w:val="0"/>
          <w:sz w:val="22"/>
          <w:szCs w:val="22"/>
          <w:lang w:val="es-ES"/>
        </w:rPr>
        <w:t>s</w:t>
      </w:r>
      <w:r w:rsidRPr="0028406C">
        <w:rPr>
          <w:rFonts w:ascii="Arial" w:hAnsi="Arial" w:cs="Arial"/>
          <w:b w:val="0"/>
          <w:noProof w:val="0"/>
          <w:sz w:val="22"/>
          <w:szCs w:val="22"/>
          <w:lang w:val="es-ES"/>
        </w:rPr>
        <w:t xml:space="preserve"> al segundo semestre de cada año. Este informe presentará </w:t>
      </w:r>
      <w:r w:rsidRPr="0028406C">
        <w:rPr>
          <w:rFonts w:ascii="Arial" w:hAnsi="Arial" w:cs="Arial"/>
          <w:b w:val="0"/>
          <w:noProof w:val="0"/>
          <w:sz w:val="22"/>
          <w:szCs w:val="22"/>
          <w:lang w:val="es-ES"/>
        </w:rPr>
        <w:lastRenderedPageBreak/>
        <w:t xml:space="preserve">una síntesis de los indicadores anuales requeridos para la </w:t>
      </w:r>
      <w:r w:rsidR="004D1DEF" w:rsidRPr="0028406C">
        <w:rPr>
          <w:rFonts w:ascii="Arial" w:hAnsi="Arial" w:cs="Arial"/>
          <w:b w:val="0"/>
          <w:noProof w:val="0"/>
          <w:sz w:val="22"/>
          <w:szCs w:val="22"/>
          <w:lang w:val="es-ES"/>
        </w:rPr>
        <w:t>E</w:t>
      </w:r>
      <w:r w:rsidRPr="0028406C">
        <w:rPr>
          <w:rFonts w:ascii="Arial" w:hAnsi="Arial" w:cs="Arial"/>
          <w:b w:val="0"/>
          <w:noProof w:val="0"/>
          <w:sz w:val="22"/>
          <w:szCs w:val="22"/>
          <w:lang w:val="es-ES"/>
        </w:rPr>
        <w:t xml:space="preserve">valuación </w:t>
      </w:r>
      <w:r w:rsidR="004D1DEF" w:rsidRPr="0028406C">
        <w:rPr>
          <w:rFonts w:ascii="Arial" w:hAnsi="Arial" w:cs="Arial"/>
          <w:b w:val="0"/>
          <w:noProof w:val="0"/>
          <w:sz w:val="22"/>
          <w:szCs w:val="22"/>
          <w:lang w:val="es-ES"/>
        </w:rPr>
        <w:t xml:space="preserve">económica </w:t>
      </w:r>
      <w:r w:rsidRPr="0028406C">
        <w:rPr>
          <w:rFonts w:ascii="Arial" w:hAnsi="Arial" w:cs="Arial"/>
          <w:b w:val="0"/>
          <w:noProof w:val="0"/>
          <w:sz w:val="22"/>
          <w:szCs w:val="22"/>
          <w:lang w:val="es-ES"/>
        </w:rPr>
        <w:t>ex</w:t>
      </w:r>
      <w:r w:rsidR="004D1DEF" w:rsidRPr="0028406C">
        <w:rPr>
          <w:rFonts w:ascii="Arial" w:hAnsi="Arial" w:cs="Arial"/>
          <w:b w:val="0"/>
          <w:noProof w:val="0"/>
          <w:sz w:val="22"/>
          <w:szCs w:val="22"/>
          <w:lang w:val="es-ES"/>
        </w:rPr>
        <w:t xml:space="preserve"> </w:t>
      </w:r>
      <w:r w:rsidRPr="0028406C">
        <w:rPr>
          <w:rFonts w:ascii="Arial" w:hAnsi="Arial" w:cs="Arial"/>
          <w:b w:val="0"/>
          <w:noProof w:val="0"/>
          <w:sz w:val="22"/>
          <w:szCs w:val="22"/>
          <w:lang w:val="es-ES"/>
        </w:rPr>
        <w:t>post del programa.</w:t>
      </w:r>
    </w:p>
    <w:p w14:paraId="4D9E3E2F" w14:textId="77777777" w:rsidR="00CB7AB2" w:rsidRPr="00DD2307" w:rsidRDefault="00CB7AB2" w:rsidP="00534766">
      <w:pPr>
        <w:spacing w:line="276" w:lineRule="auto"/>
        <w:jc w:val="both"/>
        <w:rPr>
          <w:rFonts w:ascii="Arial" w:hAnsi="Arial" w:cs="Arial"/>
          <w:sz w:val="22"/>
          <w:szCs w:val="22"/>
          <w:lang w:val="es-ES"/>
        </w:rPr>
        <w:sectPr w:rsidR="00CB7AB2" w:rsidRPr="00DD2307" w:rsidSect="00B4298D">
          <w:pgSz w:w="12240" w:h="15840" w:code="1"/>
          <w:pgMar w:top="1440" w:right="1440" w:bottom="1440" w:left="1440" w:header="720" w:footer="720" w:gutter="0"/>
          <w:cols w:space="720"/>
          <w:docGrid w:linePitch="360"/>
        </w:sectPr>
      </w:pPr>
    </w:p>
    <w:p w14:paraId="4AC48044" w14:textId="77777777" w:rsidR="009452B5" w:rsidRPr="00DD2307" w:rsidRDefault="009452B5" w:rsidP="00534766">
      <w:pPr>
        <w:pStyle w:val="Heading4"/>
        <w:numPr>
          <w:ilvl w:val="0"/>
          <w:numId w:val="0"/>
        </w:numPr>
        <w:tabs>
          <w:tab w:val="clear" w:pos="1440"/>
          <w:tab w:val="left" w:pos="720"/>
        </w:tabs>
        <w:spacing w:before="0" w:after="0" w:line="276" w:lineRule="auto"/>
        <w:rPr>
          <w:rStyle w:val="Heading1Char"/>
          <w:rFonts w:ascii="Arial" w:hAnsi="Arial" w:cs="Arial"/>
          <w:b/>
          <w:spacing w:val="-3"/>
          <w:sz w:val="22"/>
          <w:szCs w:val="22"/>
          <w:lang w:val="es-ES" w:eastAsia="en-US"/>
        </w:rPr>
      </w:pPr>
      <w:r w:rsidRPr="00DD2307">
        <w:rPr>
          <w:rStyle w:val="Heading1Char"/>
          <w:rFonts w:ascii="Arial" w:hAnsi="Arial" w:cs="Arial"/>
          <w:b/>
          <w:spacing w:val="-3"/>
          <w:sz w:val="22"/>
          <w:szCs w:val="22"/>
          <w:lang w:val="es-ES" w:eastAsia="en-US"/>
        </w:rPr>
        <w:lastRenderedPageBreak/>
        <w:t xml:space="preserve">Principales Indicadores de Resultados </w:t>
      </w:r>
    </w:p>
    <w:p w14:paraId="6F799FD2" w14:textId="77777777" w:rsidR="009452B5" w:rsidRPr="00DD2307" w:rsidRDefault="009452B5" w:rsidP="00534766">
      <w:pPr>
        <w:pStyle w:val="TableTitle"/>
        <w:spacing w:before="0" w:after="0" w:line="276" w:lineRule="auto"/>
        <w:jc w:val="both"/>
        <w:rPr>
          <w:rStyle w:val="Heading1Char"/>
          <w:rFonts w:ascii="Arial" w:hAnsi="Arial" w:cs="Arial"/>
          <w:b/>
          <w:sz w:val="22"/>
          <w:szCs w:val="22"/>
        </w:rPr>
      </w:pPr>
      <w:r w:rsidRPr="00DD2307">
        <w:rPr>
          <w:rStyle w:val="Heading1Char"/>
          <w:rFonts w:ascii="Arial" w:hAnsi="Arial" w:cs="Arial"/>
          <w:b/>
          <w:sz w:val="22"/>
          <w:szCs w:val="22"/>
        </w:rPr>
        <w:t xml:space="preserve">Tabla </w:t>
      </w:r>
      <w:r w:rsidR="00A75CD8" w:rsidRPr="00DD2307">
        <w:rPr>
          <w:rStyle w:val="Heading1Char"/>
          <w:rFonts w:ascii="Arial" w:hAnsi="Arial" w:cs="Arial"/>
          <w:b/>
          <w:sz w:val="22"/>
          <w:szCs w:val="22"/>
        </w:rPr>
        <w:t>6</w:t>
      </w:r>
      <w:r w:rsidRPr="00DD2307">
        <w:rPr>
          <w:rStyle w:val="Heading1Char"/>
          <w:rFonts w:ascii="Arial" w:hAnsi="Arial" w:cs="Arial"/>
          <w:b/>
          <w:sz w:val="22"/>
          <w:szCs w:val="22"/>
        </w:rPr>
        <w:t>. Indicadores de Resultados</w:t>
      </w:r>
    </w:p>
    <w:tbl>
      <w:tblPr>
        <w:tblW w:w="5000" w:type="pct"/>
        <w:tblCellMar>
          <w:left w:w="115" w:type="dxa"/>
          <w:right w:w="115" w:type="dxa"/>
        </w:tblCellMar>
        <w:tblLook w:val="04A0" w:firstRow="1" w:lastRow="0" w:firstColumn="1" w:lastColumn="0" w:noHBand="0" w:noVBand="1"/>
      </w:tblPr>
      <w:tblGrid>
        <w:gridCol w:w="1471"/>
        <w:gridCol w:w="876"/>
        <w:gridCol w:w="779"/>
        <w:gridCol w:w="7"/>
        <w:gridCol w:w="660"/>
        <w:gridCol w:w="730"/>
        <w:gridCol w:w="730"/>
        <w:gridCol w:w="656"/>
        <w:gridCol w:w="957"/>
        <w:gridCol w:w="1032"/>
        <w:gridCol w:w="2006"/>
        <w:gridCol w:w="3056"/>
      </w:tblGrid>
      <w:tr w:rsidR="00C60C84" w:rsidRPr="00DD2307" w14:paraId="025D6C1D" w14:textId="77777777" w:rsidTr="00ED5D03">
        <w:trPr>
          <w:tblHeader/>
        </w:trPr>
        <w:tc>
          <w:tcPr>
            <w:tcW w:w="5000" w:type="pct"/>
            <w:gridSpan w:val="12"/>
            <w:tcBorders>
              <w:top w:val="single" w:sz="4" w:space="0" w:color="auto"/>
              <w:left w:val="nil"/>
              <w:bottom w:val="single" w:sz="4" w:space="0" w:color="auto"/>
              <w:right w:val="nil"/>
            </w:tcBorders>
            <w:vAlign w:val="center"/>
            <w:hideMark/>
          </w:tcPr>
          <w:p w14:paraId="27F52371" w14:textId="77777777" w:rsidR="00C60C84" w:rsidRPr="00DD2307" w:rsidRDefault="00C60C84" w:rsidP="00534766">
            <w:pPr>
              <w:spacing w:line="276" w:lineRule="auto"/>
              <w:jc w:val="both"/>
              <w:rPr>
                <w:rFonts w:ascii="Arial" w:hAnsi="Arial" w:cs="Arial"/>
                <w:b/>
                <w:spacing w:val="0"/>
                <w:sz w:val="16"/>
                <w:szCs w:val="16"/>
                <w:lang w:val="es-ES" w:eastAsia="zh-CN"/>
              </w:rPr>
            </w:pPr>
            <w:bookmarkStart w:id="33" w:name="_Hlk494834275"/>
            <w:r w:rsidRPr="00DD2307">
              <w:rPr>
                <w:rFonts w:ascii="Arial" w:hAnsi="Arial" w:cs="Arial"/>
                <w:b/>
                <w:bCs/>
                <w:smallCaps/>
                <w:sz w:val="16"/>
                <w:szCs w:val="16"/>
                <w:lang w:val="es-ES"/>
              </w:rPr>
              <w:t>Impacto Esperado</w:t>
            </w:r>
          </w:p>
        </w:tc>
      </w:tr>
      <w:tr w:rsidR="00C60C84" w:rsidRPr="00DD2307" w14:paraId="54C53AC4" w14:textId="77777777" w:rsidTr="006139FD">
        <w:trPr>
          <w:trHeight w:val="264"/>
          <w:tblHeader/>
        </w:trPr>
        <w:tc>
          <w:tcPr>
            <w:tcW w:w="5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0941A4" w14:textId="77777777" w:rsidR="00C60C84" w:rsidRPr="00DD2307" w:rsidRDefault="00C60C84" w:rsidP="00534766">
            <w:pPr>
              <w:spacing w:line="276" w:lineRule="auto"/>
              <w:jc w:val="both"/>
              <w:rPr>
                <w:rFonts w:ascii="Arial" w:hAnsi="Arial" w:cs="Arial"/>
                <w:b/>
                <w:sz w:val="16"/>
                <w:szCs w:val="16"/>
                <w:lang w:val="es-ES"/>
              </w:rPr>
            </w:pPr>
            <w:r w:rsidRPr="00DD2307">
              <w:rPr>
                <w:rFonts w:ascii="Arial" w:hAnsi="Arial" w:cs="Arial"/>
                <w:b/>
                <w:sz w:val="16"/>
                <w:szCs w:val="16"/>
                <w:lang w:val="es-ES"/>
              </w:rPr>
              <w:t>Indicador</w:t>
            </w:r>
          </w:p>
        </w:tc>
        <w:tc>
          <w:tcPr>
            <w:tcW w:w="2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2817C1" w14:textId="77777777" w:rsidR="00C60C84" w:rsidRPr="00DD2307" w:rsidRDefault="00C60C84" w:rsidP="00534766">
            <w:pPr>
              <w:spacing w:line="276" w:lineRule="auto"/>
              <w:ind w:left="-110" w:right="-110"/>
              <w:jc w:val="both"/>
              <w:rPr>
                <w:rFonts w:ascii="Arial" w:hAnsi="Arial" w:cs="Arial"/>
                <w:b/>
                <w:sz w:val="16"/>
                <w:szCs w:val="16"/>
                <w:lang w:val="es-ES"/>
              </w:rPr>
            </w:pPr>
            <w:r w:rsidRPr="00DD2307">
              <w:rPr>
                <w:rFonts w:ascii="Arial" w:hAnsi="Arial" w:cs="Arial"/>
                <w:b/>
                <w:sz w:val="16"/>
                <w:szCs w:val="16"/>
                <w:lang w:val="es-ES"/>
              </w:rPr>
              <w:t>Unidad de Medida</w:t>
            </w: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243C87" w14:textId="77777777" w:rsidR="00C60C84" w:rsidRPr="00DD2307" w:rsidRDefault="00C60C84" w:rsidP="00534766">
            <w:pPr>
              <w:spacing w:line="276" w:lineRule="auto"/>
              <w:jc w:val="both"/>
              <w:rPr>
                <w:rFonts w:ascii="Arial" w:hAnsi="Arial" w:cs="Arial"/>
                <w:b/>
                <w:sz w:val="16"/>
                <w:szCs w:val="16"/>
                <w:lang w:val="es-ES"/>
              </w:rPr>
            </w:pPr>
            <w:r w:rsidRPr="00DD2307">
              <w:rPr>
                <w:rFonts w:ascii="Arial" w:hAnsi="Arial" w:cs="Arial"/>
                <w:b/>
                <w:sz w:val="16"/>
                <w:szCs w:val="16"/>
                <w:lang w:val="es-ES"/>
              </w:rPr>
              <w:t>Línea de Base</w:t>
            </w:r>
          </w:p>
        </w:tc>
        <w:tc>
          <w:tcPr>
            <w:tcW w:w="2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32D2B9" w14:textId="77777777" w:rsidR="00C60C84" w:rsidRPr="00DD2307" w:rsidRDefault="00C60C84" w:rsidP="00534766">
            <w:pPr>
              <w:spacing w:line="276" w:lineRule="auto"/>
              <w:ind w:left="-110"/>
              <w:jc w:val="both"/>
              <w:rPr>
                <w:rFonts w:ascii="Arial" w:hAnsi="Arial" w:cs="Arial"/>
                <w:b/>
                <w:sz w:val="16"/>
                <w:szCs w:val="16"/>
                <w:lang w:val="es-ES"/>
              </w:rPr>
            </w:pPr>
            <w:r w:rsidRPr="00DD2307">
              <w:rPr>
                <w:rFonts w:ascii="Arial" w:hAnsi="Arial" w:cs="Arial"/>
                <w:b/>
                <w:sz w:val="16"/>
                <w:szCs w:val="16"/>
                <w:lang w:val="es-ES"/>
              </w:rPr>
              <w:t>Año Línea de Base</w:t>
            </w:r>
          </w:p>
        </w:tc>
        <w:tc>
          <w:tcPr>
            <w:tcW w:w="2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CAC838" w14:textId="77777777" w:rsidR="00C60C84" w:rsidRPr="00DD2307" w:rsidRDefault="00C60C84" w:rsidP="00534766">
            <w:pPr>
              <w:spacing w:line="276" w:lineRule="auto"/>
              <w:ind w:right="-80"/>
              <w:jc w:val="both"/>
              <w:rPr>
                <w:rFonts w:ascii="Arial" w:hAnsi="Arial" w:cs="Arial"/>
                <w:b/>
                <w:sz w:val="16"/>
                <w:szCs w:val="16"/>
                <w:lang w:val="es-ES"/>
              </w:rPr>
            </w:pPr>
            <w:r w:rsidRPr="00DD2307">
              <w:rPr>
                <w:rFonts w:ascii="Arial" w:hAnsi="Arial" w:cs="Arial"/>
                <w:b/>
                <w:sz w:val="16"/>
                <w:szCs w:val="16"/>
                <w:lang w:val="es-ES"/>
              </w:rPr>
              <w:t>2019</w:t>
            </w:r>
          </w:p>
        </w:tc>
        <w:tc>
          <w:tcPr>
            <w:tcW w:w="2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6FCAFD" w14:textId="77777777" w:rsidR="00C60C84" w:rsidRPr="00DD2307" w:rsidRDefault="00C60C84" w:rsidP="00534766">
            <w:pPr>
              <w:spacing w:line="276" w:lineRule="auto"/>
              <w:ind w:right="-140"/>
              <w:jc w:val="both"/>
              <w:rPr>
                <w:rFonts w:ascii="Arial" w:hAnsi="Arial" w:cs="Arial"/>
                <w:b/>
                <w:sz w:val="16"/>
                <w:szCs w:val="16"/>
                <w:lang w:val="es-ES"/>
              </w:rPr>
            </w:pPr>
            <w:r w:rsidRPr="00DD2307">
              <w:rPr>
                <w:rFonts w:ascii="Arial" w:hAnsi="Arial" w:cs="Arial"/>
                <w:b/>
                <w:sz w:val="16"/>
                <w:szCs w:val="16"/>
                <w:lang w:val="es-ES"/>
              </w:rPr>
              <w:t>2020</w:t>
            </w:r>
          </w:p>
        </w:tc>
        <w:tc>
          <w:tcPr>
            <w:tcW w:w="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CAF9B0" w14:textId="77777777" w:rsidR="00C60C84" w:rsidRPr="00DD2307" w:rsidRDefault="00C60C84" w:rsidP="00534766">
            <w:pPr>
              <w:spacing w:line="276" w:lineRule="auto"/>
              <w:ind w:right="-110"/>
              <w:jc w:val="both"/>
              <w:rPr>
                <w:rFonts w:ascii="Arial" w:hAnsi="Arial" w:cs="Arial"/>
                <w:b/>
                <w:sz w:val="16"/>
                <w:szCs w:val="16"/>
                <w:lang w:val="es-ES"/>
              </w:rPr>
            </w:pPr>
            <w:r w:rsidRPr="00DD2307">
              <w:rPr>
                <w:rFonts w:ascii="Arial" w:hAnsi="Arial" w:cs="Arial"/>
                <w:b/>
                <w:sz w:val="16"/>
                <w:szCs w:val="16"/>
                <w:lang w:val="es-ES"/>
              </w:rPr>
              <w:t>2021</w:t>
            </w:r>
          </w:p>
        </w:tc>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D9D478" w14:textId="77777777" w:rsidR="00C60C84" w:rsidRPr="00DD2307" w:rsidRDefault="00C60C84" w:rsidP="00534766">
            <w:pPr>
              <w:spacing w:line="276" w:lineRule="auto"/>
              <w:ind w:right="-80"/>
              <w:jc w:val="both"/>
              <w:rPr>
                <w:rFonts w:ascii="Arial" w:hAnsi="Arial" w:cs="Arial"/>
                <w:b/>
                <w:sz w:val="16"/>
                <w:szCs w:val="16"/>
                <w:lang w:val="es-ES"/>
              </w:rPr>
            </w:pPr>
            <w:r w:rsidRPr="00DD2307">
              <w:rPr>
                <w:rFonts w:ascii="Arial" w:hAnsi="Arial" w:cs="Arial"/>
                <w:b/>
                <w:sz w:val="16"/>
                <w:szCs w:val="16"/>
                <w:lang w:val="es-ES"/>
              </w:rPr>
              <w:t>2022</w:t>
            </w:r>
          </w:p>
        </w:tc>
        <w:tc>
          <w:tcPr>
            <w:tcW w:w="4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B8B8EA" w14:textId="77777777" w:rsidR="00C60C84" w:rsidRPr="00DD2307" w:rsidRDefault="00C60C84" w:rsidP="00534766">
            <w:pPr>
              <w:spacing w:line="276" w:lineRule="auto"/>
              <w:jc w:val="both"/>
              <w:rPr>
                <w:rFonts w:ascii="Arial" w:hAnsi="Arial" w:cs="Arial"/>
                <w:b/>
                <w:sz w:val="16"/>
                <w:szCs w:val="16"/>
                <w:lang w:val="es-ES"/>
              </w:rPr>
            </w:pPr>
            <w:r w:rsidRPr="00DD2307">
              <w:rPr>
                <w:rFonts w:ascii="Arial" w:hAnsi="Arial" w:cs="Arial"/>
                <w:b/>
                <w:sz w:val="16"/>
                <w:szCs w:val="16"/>
                <w:lang w:val="es-ES"/>
              </w:rPr>
              <w:t>Meta Final</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9AC120" w14:textId="77777777" w:rsidR="00C60C84" w:rsidRPr="00DD2307" w:rsidRDefault="00C60C84" w:rsidP="00534766">
            <w:pPr>
              <w:spacing w:line="276" w:lineRule="auto"/>
              <w:ind w:left="-110" w:right="-110"/>
              <w:jc w:val="both"/>
              <w:rPr>
                <w:rFonts w:ascii="Arial" w:hAnsi="Arial" w:cs="Arial"/>
                <w:b/>
                <w:sz w:val="16"/>
                <w:szCs w:val="16"/>
                <w:lang w:val="es-ES"/>
              </w:rPr>
            </w:pPr>
            <w:r w:rsidRPr="00DD2307">
              <w:rPr>
                <w:rFonts w:ascii="Arial" w:hAnsi="Arial" w:cs="Arial"/>
                <w:b/>
                <w:sz w:val="16"/>
                <w:szCs w:val="16"/>
                <w:lang w:val="es-ES"/>
              </w:rPr>
              <w:t>Medios de Verificación</w:t>
            </w:r>
          </w:p>
        </w:tc>
        <w:tc>
          <w:tcPr>
            <w:tcW w:w="11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EFB37B" w14:textId="77777777" w:rsidR="00C60C84" w:rsidRPr="00DD2307" w:rsidRDefault="00C60C84" w:rsidP="00534766">
            <w:pPr>
              <w:spacing w:line="276" w:lineRule="auto"/>
              <w:jc w:val="both"/>
              <w:rPr>
                <w:rFonts w:ascii="Arial" w:hAnsi="Arial" w:cs="Arial"/>
                <w:b/>
                <w:sz w:val="16"/>
                <w:szCs w:val="16"/>
                <w:lang w:val="es-ES"/>
              </w:rPr>
            </w:pPr>
            <w:r w:rsidRPr="00DD2307">
              <w:rPr>
                <w:rFonts w:ascii="Arial" w:hAnsi="Arial" w:cs="Arial"/>
                <w:b/>
                <w:sz w:val="16"/>
                <w:szCs w:val="16"/>
                <w:lang w:val="es-ES"/>
              </w:rPr>
              <w:t>Comentarios</w:t>
            </w:r>
          </w:p>
        </w:tc>
      </w:tr>
      <w:tr w:rsidR="00C60C84" w:rsidRPr="00DD2307" w14:paraId="313F575F" w14:textId="77777777" w:rsidTr="00ED5D03">
        <w:trPr>
          <w:tblHeader/>
        </w:trPr>
        <w:tc>
          <w:tcPr>
            <w:tcW w:w="5000" w:type="pct"/>
            <w:gridSpan w:val="12"/>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2D6C5D2D" w14:textId="091E84DA" w:rsidR="00C60C84" w:rsidRPr="00DD2307" w:rsidRDefault="00C60C84" w:rsidP="00534766">
            <w:pPr>
              <w:spacing w:line="276" w:lineRule="auto"/>
              <w:jc w:val="both"/>
              <w:rPr>
                <w:rFonts w:ascii="Arial" w:hAnsi="Arial" w:cs="Arial"/>
                <w:b/>
                <w:caps/>
                <w:sz w:val="16"/>
                <w:szCs w:val="16"/>
                <w:u w:val="single"/>
                <w:lang w:val="es-ES" w:eastAsia="zh-CN"/>
              </w:rPr>
            </w:pPr>
            <w:r w:rsidRPr="00DD2307">
              <w:rPr>
                <w:rFonts w:ascii="Arial" w:hAnsi="Arial" w:cs="Arial"/>
                <w:b/>
                <w:caps/>
                <w:sz w:val="16"/>
                <w:szCs w:val="16"/>
                <w:u w:val="single"/>
                <w:lang w:val="es-ES"/>
              </w:rPr>
              <w:t xml:space="preserve">Impacto #1: </w:t>
            </w:r>
            <w:r w:rsidRPr="00DD2307">
              <w:rPr>
                <w:rFonts w:ascii="Arial" w:hAnsi="Arial" w:cs="Arial"/>
                <w:b/>
                <w:sz w:val="16"/>
                <w:szCs w:val="16"/>
                <w:lang w:val="es-ES"/>
              </w:rPr>
              <w:t xml:space="preserve">Reducción de la carga fiscal del Estado derivada de la propiedad de </w:t>
            </w:r>
            <w:r w:rsidR="007F130A">
              <w:rPr>
                <w:rFonts w:ascii="Arial" w:hAnsi="Arial" w:cs="Arial"/>
                <w:b/>
                <w:sz w:val="16"/>
                <w:szCs w:val="16"/>
                <w:lang w:val="es-ES"/>
              </w:rPr>
              <w:t>EEPP</w:t>
            </w:r>
          </w:p>
        </w:tc>
      </w:tr>
      <w:tr w:rsidR="00C60C84" w:rsidRPr="00DD2307" w14:paraId="17D0CA6F" w14:textId="77777777" w:rsidTr="006139FD">
        <w:trPr>
          <w:trHeight w:val="948"/>
          <w:tblHeader/>
        </w:trPr>
        <w:tc>
          <w:tcPr>
            <w:tcW w:w="575"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6607B10D"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Monto de transferencias del Presupuesto General del Estado (PGE) a las EE. PP / PIB</w:t>
            </w:r>
          </w:p>
        </w:tc>
        <w:tc>
          <w:tcPr>
            <w:tcW w:w="25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66CEA11" w14:textId="77777777" w:rsidR="00C35ED9" w:rsidRPr="00C35ED9" w:rsidRDefault="00C60C84" w:rsidP="00C35ED9">
            <w:pPr>
              <w:spacing w:line="276" w:lineRule="auto"/>
              <w:jc w:val="both"/>
              <w:rPr>
                <w:rFonts w:ascii="Arial" w:hAnsi="Arial" w:cs="Arial"/>
                <w:sz w:val="16"/>
                <w:szCs w:val="16"/>
                <w:lang w:val="es-ES"/>
              </w:rPr>
            </w:pPr>
            <w:r w:rsidRPr="00DD2307">
              <w:rPr>
                <w:rFonts w:ascii="Arial" w:hAnsi="Arial" w:cs="Arial"/>
                <w:sz w:val="16"/>
                <w:szCs w:val="16"/>
                <w:lang w:val="es-ES"/>
              </w:rPr>
              <w:t xml:space="preserve"> </w:t>
            </w:r>
            <w:r w:rsidR="00C35ED9" w:rsidRPr="00C35ED9" w:rsidDel="00C96168">
              <w:rPr>
                <w:rFonts w:ascii="Arial" w:hAnsi="Arial" w:cs="Arial"/>
                <w:sz w:val="16"/>
                <w:szCs w:val="16"/>
              </w:rPr>
              <w:t xml:space="preserve"> </w:t>
            </w:r>
            <w:r w:rsidR="00C35ED9" w:rsidRPr="00C35ED9">
              <w:rPr>
                <w:rFonts w:ascii="Arial" w:hAnsi="Arial" w:cs="Arial"/>
                <w:sz w:val="16"/>
                <w:szCs w:val="16"/>
                <w:lang w:val="es-ES"/>
              </w:rPr>
              <w:t>%</w:t>
            </w:r>
          </w:p>
          <w:p w14:paraId="2B5C701C" w14:textId="77777777" w:rsidR="00C35ED9" w:rsidRPr="00C35ED9" w:rsidRDefault="00C35ED9" w:rsidP="00C35ED9">
            <w:pPr>
              <w:spacing w:line="276" w:lineRule="auto"/>
              <w:jc w:val="both"/>
              <w:rPr>
                <w:rFonts w:ascii="Arial" w:hAnsi="Arial" w:cs="Arial"/>
                <w:sz w:val="16"/>
                <w:szCs w:val="16"/>
              </w:rPr>
            </w:pPr>
            <w:r w:rsidRPr="00C35ED9">
              <w:rPr>
                <w:rFonts w:ascii="Arial" w:hAnsi="Arial" w:cs="Arial"/>
                <w:sz w:val="16"/>
                <w:szCs w:val="16"/>
                <w:lang w:val="es-ES"/>
              </w:rPr>
              <w:t>US$/US$</w:t>
            </w:r>
          </w:p>
          <w:p w14:paraId="50201BE2" w14:textId="7D4EE324" w:rsidR="00C60C84" w:rsidRPr="00DD2307" w:rsidRDefault="00C60C84" w:rsidP="00534766">
            <w:pPr>
              <w:spacing w:line="276" w:lineRule="auto"/>
              <w:jc w:val="both"/>
              <w:rPr>
                <w:rFonts w:ascii="Arial" w:hAnsi="Arial" w:cs="Arial"/>
                <w:sz w:val="16"/>
                <w:szCs w:val="16"/>
                <w:lang w:val="es-ES"/>
              </w:rPr>
            </w:pPr>
          </w:p>
          <w:p w14:paraId="7ADA96F9" w14:textId="77777777" w:rsidR="00C60C84" w:rsidRPr="00DD2307" w:rsidRDefault="00C60C84" w:rsidP="00534766">
            <w:pPr>
              <w:spacing w:line="276" w:lineRule="auto"/>
              <w:jc w:val="both"/>
              <w:rPr>
                <w:rFonts w:ascii="Arial" w:hAnsi="Arial" w:cs="Arial"/>
                <w:sz w:val="16"/>
                <w:szCs w:val="16"/>
                <w:lang w:val="es-ES"/>
              </w:rPr>
            </w:pPr>
          </w:p>
        </w:tc>
        <w:tc>
          <w:tcPr>
            <w:tcW w:w="318" w:type="pct"/>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2EDEC18C"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4.2</w:t>
            </w:r>
          </w:p>
        </w:tc>
        <w:tc>
          <w:tcPr>
            <w:tcW w:w="262"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32B3F1B3"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2018</w:t>
            </w:r>
          </w:p>
        </w:tc>
        <w:tc>
          <w:tcPr>
            <w:tcW w:w="28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3C4C31B3"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4.2</w:t>
            </w:r>
          </w:p>
        </w:tc>
        <w:tc>
          <w:tcPr>
            <w:tcW w:w="289"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521B796B"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3.9</w:t>
            </w:r>
          </w:p>
        </w:tc>
        <w:tc>
          <w:tcPr>
            <w:tcW w:w="260"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030DCC1A"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3.6</w:t>
            </w:r>
          </w:p>
        </w:tc>
        <w:tc>
          <w:tcPr>
            <w:tcW w:w="376"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435BA6D6"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3.2</w:t>
            </w:r>
          </w:p>
        </w:tc>
        <w:tc>
          <w:tcPr>
            <w:tcW w:w="405"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2E1C2BB9"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sz w:val="16"/>
                <w:szCs w:val="16"/>
                <w:lang w:val="es-ES"/>
              </w:rPr>
              <w:t>3.2</w:t>
            </w:r>
          </w:p>
        </w:tc>
        <w:tc>
          <w:tcPr>
            <w:tcW w:w="781"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09C629BC"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color w:val="000000" w:themeColor="text1"/>
                <w:sz w:val="16"/>
                <w:szCs w:val="16"/>
                <w:lang w:val="es-ES"/>
              </w:rPr>
              <w:t>Informe del Balance presupuestario anual presentado por el Ministerio de Economía y Finanzas (MEF)</w:t>
            </w:r>
          </w:p>
        </w:tc>
        <w:tc>
          <w:tcPr>
            <w:tcW w:w="1186"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14:paraId="123BB664" w14:textId="77777777" w:rsidR="00C60C84" w:rsidRPr="00DD2307" w:rsidRDefault="00C60C84" w:rsidP="00534766">
            <w:pPr>
              <w:spacing w:line="276" w:lineRule="auto"/>
              <w:jc w:val="both"/>
              <w:rPr>
                <w:rFonts w:ascii="Arial" w:hAnsi="Arial" w:cs="Arial"/>
                <w:b/>
                <w:caps/>
                <w:sz w:val="16"/>
                <w:szCs w:val="16"/>
                <w:u w:val="single"/>
                <w:lang w:val="es-ES"/>
              </w:rPr>
            </w:pPr>
            <w:r w:rsidRPr="00DD2307">
              <w:rPr>
                <w:rFonts w:ascii="Arial" w:hAnsi="Arial" w:cs="Arial"/>
                <w:b/>
                <w:sz w:val="16"/>
                <w:szCs w:val="16"/>
                <w:lang w:val="es-ES"/>
              </w:rPr>
              <w:t xml:space="preserve">Línea de Base (LB): </w:t>
            </w:r>
            <w:r w:rsidRPr="00DD2307">
              <w:rPr>
                <w:rFonts w:ascii="Arial" w:hAnsi="Arial" w:cs="Arial"/>
                <w:sz w:val="16"/>
                <w:szCs w:val="16"/>
                <w:lang w:val="es-ES"/>
              </w:rPr>
              <w:t>4.2 = Monto de transferencias del PGE a las EE. PP (US$4.515 millones) / PIB (US$107.511 millones)</w:t>
            </w:r>
          </w:p>
        </w:tc>
      </w:tr>
    </w:tbl>
    <w:tbl>
      <w:tblPr>
        <w:tblStyle w:val="TableGrid"/>
        <w:tblpPr w:leftFromText="180" w:rightFromText="180" w:vertAnchor="text" w:horzAnchor="margin" w:tblpXSpec="center" w:tblpY="-1413"/>
        <w:tblW w:w="15552" w:type="dxa"/>
        <w:tblLayout w:type="fixed"/>
        <w:tblLook w:val="04A0" w:firstRow="1" w:lastRow="0" w:firstColumn="1" w:lastColumn="0" w:noHBand="0" w:noVBand="1"/>
      </w:tblPr>
      <w:tblGrid>
        <w:gridCol w:w="1782"/>
        <w:gridCol w:w="810"/>
        <w:gridCol w:w="990"/>
        <w:gridCol w:w="810"/>
        <w:gridCol w:w="900"/>
        <w:gridCol w:w="900"/>
        <w:gridCol w:w="810"/>
        <w:gridCol w:w="1170"/>
        <w:gridCol w:w="1260"/>
        <w:gridCol w:w="2430"/>
        <w:gridCol w:w="3690"/>
      </w:tblGrid>
      <w:tr w:rsidR="00BE468F" w:rsidRPr="000F6626" w14:paraId="24049832" w14:textId="77777777" w:rsidTr="00BE468F">
        <w:trPr>
          <w:trHeight w:val="336"/>
          <w:tblHeader/>
        </w:trPr>
        <w:tc>
          <w:tcPr>
            <w:tcW w:w="15552" w:type="dxa"/>
            <w:gridSpan w:val="11"/>
            <w:tcBorders>
              <w:top w:val="nil"/>
              <w:left w:val="nil"/>
              <w:bottom w:val="single" w:sz="4" w:space="0" w:color="000000"/>
              <w:right w:val="nil"/>
            </w:tcBorders>
            <w:vAlign w:val="center"/>
          </w:tcPr>
          <w:bookmarkEnd w:id="33"/>
          <w:p w14:paraId="25F0DABF" w14:textId="77777777" w:rsidR="00BE468F" w:rsidRPr="000F6626" w:rsidRDefault="00BE468F" w:rsidP="00BE468F">
            <w:pPr>
              <w:spacing w:before="60" w:after="60"/>
              <w:jc w:val="center"/>
              <w:rPr>
                <w:rFonts w:ascii="Arial" w:hAnsi="Arial" w:cs="Arial"/>
                <w:b/>
                <w:sz w:val="16"/>
                <w:szCs w:val="16"/>
              </w:rPr>
            </w:pPr>
            <w:r w:rsidRPr="000F6626">
              <w:rPr>
                <w:rFonts w:ascii="Arial" w:hAnsi="Arial" w:cs="Arial"/>
                <w:b/>
                <w:smallCaps/>
                <w:sz w:val="16"/>
                <w:szCs w:val="16"/>
              </w:rPr>
              <w:lastRenderedPageBreak/>
              <w:t>Resultados Esperados</w:t>
            </w:r>
            <w:r w:rsidRPr="000F6626">
              <w:rPr>
                <w:rStyle w:val="FootnoteReference"/>
                <w:rFonts w:ascii="Arial" w:hAnsi="Arial" w:cs="Arial"/>
                <w:smallCaps/>
                <w:color w:val="000000"/>
                <w:sz w:val="16"/>
                <w:szCs w:val="16"/>
              </w:rPr>
              <w:footnoteReference w:id="34"/>
            </w:r>
          </w:p>
        </w:tc>
      </w:tr>
      <w:tr w:rsidR="00BE468F" w:rsidRPr="000F6626" w14:paraId="4C700AB4" w14:textId="77777777" w:rsidTr="00BE468F">
        <w:trPr>
          <w:trHeight w:val="336"/>
          <w:tblHeader/>
        </w:trPr>
        <w:tc>
          <w:tcPr>
            <w:tcW w:w="1782" w:type="dxa"/>
            <w:tcBorders>
              <w:top w:val="single" w:sz="4" w:space="0" w:color="000000"/>
              <w:left w:val="single" w:sz="4" w:space="0" w:color="000000"/>
              <w:right w:val="single" w:sz="4" w:space="0" w:color="000000"/>
            </w:tcBorders>
            <w:shd w:val="clear" w:color="auto" w:fill="D9D9D9" w:themeFill="background1" w:themeFillShade="D9"/>
            <w:vAlign w:val="center"/>
          </w:tcPr>
          <w:p w14:paraId="5F4F8297" w14:textId="77777777" w:rsidR="00BE468F" w:rsidRPr="000F6626" w:rsidRDefault="00BE468F" w:rsidP="00BE468F">
            <w:pPr>
              <w:jc w:val="center"/>
              <w:rPr>
                <w:rFonts w:ascii="Arial" w:hAnsi="Arial" w:cs="Arial"/>
                <w:b/>
                <w:sz w:val="16"/>
                <w:szCs w:val="16"/>
              </w:rPr>
            </w:pPr>
            <w:r w:rsidRPr="000F6626">
              <w:rPr>
                <w:rFonts w:ascii="Arial" w:hAnsi="Arial" w:cs="Arial"/>
                <w:b/>
                <w:sz w:val="16"/>
                <w:szCs w:val="16"/>
              </w:rPr>
              <w:t>Indicador</w:t>
            </w:r>
          </w:p>
        </w:tc>
        <w:tc>
          <w:tcPr>
            <w:tcW w:w="810" w:type="dxa"/>
            <w:tcBorders>
              <w:top w:val="single" w:sz="4" w:space="0" w:color="000000"/>
              <w:left w:val="single" w:sz="4" w:space="0" w:color="000000"/>
              <w:right w:val="single" w:sz="4" w:space="0" w:color="000000"/>
            </w:tcBorders>
            <w:shd w:val="clear" w:color="auto" w:fill="D9D9D9" w:themeFill="background1" w:themeFillShade="D9"/>
            <w:vAlign w:val="center"/>
          </w:tcPr>
          <w:p w14:paraId="0851BF30" w14:textId="77777777" w:rsidR="00BE468F" w:rsidRPr="000F6626" w:rsidRDefault="00BE468F" w:rsidP="00BE468F">
            <w:pPr>
              <w:ind w:left="-110" w:right="-80"/>
              <w:jc w:val="center"/>
              <w:rPr>
                <w:rFonts w:ascii="Arial" w:hAnsi="Arial" w:cs="Arial"/>
                <w:b/>
                <w:sz w:val="16"/>
                <w:szCs w:val="16"/>
              </w:rPr>
            </w:pPr>
            <w:r w:rsidRPr="000F6626">
              <w:rPr>
                <w:rFonts w:ascii="Arial" w:hAnsi="Arial" w:cs="Arial"/>
                <w:b/>
                <w:sz w:val="16"/>
                <w:szCs w:val="16"/>
              </w:rPr>
              <w:t>Unidad de Medida</w:t>
            </w:r>
          </w:p>
        </w:tc>
        <w:tc>
          <w:tcPr>
            <w:tcW w:w="990" w:type="dxa"/>
            <w:tcBorders>
              <w:top w:val="single" w:sz="4" w:space="0" w:color="000000"/>
              <w:left w:val="single" w:sz="4" w:space="0" w:color="000000"/>
              <w:right w:val="single" w:sz="4" w:space="0" w:color="000000"/>
            </w:tcBorders>
            <w:shd w:val="clear" w:color="auto" w:fill="D9D9D9" w:themeFill="background1" w:themeFillShade="D9"/>
            <w:vAlign w:val="center"/>
          </w:tcPr>
          <w:p w14:paraId="4320503B" w14:textId="77777777" w:rsidR="00BE468F" w:rsidRPr="000F6626" w:rsidRDefault="00BE468F" w:rsidP="00BE468F">
            <w:pPr>
              <w:jc w:val="center"/>
              <w:rPr>
                <w:rFonts w:ascii="Arial" w:hAnsi="Arial" w:cs="Arial"/>
                <w:b/>
                <w:sz w:val="16"/>
                <w:szCs w:val="16"/>
              </w:rPr>
            </w:pPr>
            <w:r w:rsidRPr="000F6626">
              <w:rPr>
                <w:rFonts w:ascii="Arial" w:hAnsi="Arial" w:cs="Arial"/>
                <w:b/>
                <w:sz w:val="16"/>
                <w:szCs w:val="16"/>
              </w:rPr>
              <w:t>Línea de Base</w:t>
            </w:r>
          </w:p>
        </w:tc>
        <w:tc>
          <w:tcPr>
            <w:tcW w:w="810" w:type="dxa"/>
            <w:tcBorders>
              <w:top w:val="single" w:sz="4" w:space="0" w:color="000000"/>
              <w:left w:val="single" w:sz="4" w:space="0" w:color="000000"/>
              <w:right w:val="single" w:sz="4" w:space="0" w:color="000000"/>
            </w:tcBorders>
            <w:shd w:val="clear" w:color="auto" w:fill="D9D9D9" w:themeFill="background1" w:themeFillShade="D9"/>
          </w:tcPr>
          <w:p w14:paraId="49B2BF53" w14:textId="77777777" w:rsidR="00BE468F" w:rsidRPr="000F6626" w:rsidRDefault="00BE468F" w:rsidP="00BE468F">
            <w:pPr>
              <w:ind w:left="-80"/>
              <w:jc w:val="center"/>
              <w:rPr>
                <w:rFonts w:ascii="Arial" w:hAnsi="Arial" w:cs="Arial"/>
                <w:b/>
                <w:sz w:val="16"/>
                <w:szCs w:val="16"/>
              </w:rPr>
            </w:pPr>
            <w:r w:rsidRPr="000F6626">
              <w:rPr>
                <w:rFonts w:ascii="Arial" w:hAnsi="Arial" w:cs="Arial"/>
                <w:b/>
                <w:sz w:val="16"/>
                <w:szCs w:val="16"/>
              </w:rPr>
              <w:t>Año Línea de Base</w:t>
            </w:r>
          </w:p>
        </w:tc>
        <w:tc>
          <w:tcPr>
            <w:tcW w:w="900" w:type="dxa"/>
            <w:tcBorders>
              <w:top w:val="single" w:sz="4" w:space="0" w:color="000000"/>
              <w:left w:val="single" w:sz="4" w:space="0" w:color="000000"/>
              <w:right w:val="single" w:sz="4" w:space="0" w:color="000000"/>
            </w:tcBorders>
            <w:shd w:val="clear" w:color="auto" w:fill="D9D9D9" w:themeFill="background1" w:themeFillShade="D9"/>
            <w:vAlign w:val="center"/>
          </w:tcPr>
          <w:p w14:paraId="6962AF76" w14:textId="77777777" w:rsidR="00BE468F" w:rsidRPr="000F6626" w:rsidRDefault="00BE468F" w:rsidP="00BE468F">
            <w:pPr>
              <w:ind w:right="-70"/>
              <w:jc w:val="center"/>
              <w:rPr>
                <w:rFonts w:ascii="Arial" w:hAnsi="Arial" w:cs="Arial"/>
                <w:b/>
                <w:sz w:val="16"/>
                <w:szCs w:val="16"/>
              </w:rPr>
            </w:pPr>
            <w:r w:rsidRPr="000F6626">
              <w:rPr>
                <w:rFonts w:ascii="Arial" w:hAnsi="Arial" w:cs="Arial"/>
                <w:b/>
                <w:sz w:val="16"/>
                <w:szCs w:val="16"/>
              </w:rPr>
              <w:t>2019</w:t>
            </w:r>
          </w:p>
        </w:tc>
        <w:tc>
          <w:tcPr>
            <w:tcW w:w="900" w:type="dxa"/>
            <w:tcBorders>
              <w:top w:val="single" w:sz="4" w:space="0" w:color="000000"/>
              <w:left w:val="single" w:sz="4" w:space="0" w:color="000000"/>
              <w:right w:val="single" w:sz="4" w:space="0" w:color="000000"/>
            </w:tcBorders>
            <w:shd w:val="clear" w:color="auto" w:fill="D9D9D9" w:themeFill="background1" w:themeFillShade="D9"/>
            <w:vAlign w:val="center"/>
          </w:tcPr>
          <w:p w14:paraId="09F239AE" w14:textId="77777777" w:rsidR="00BE468F" w:rsidRPr="000F6626" w:rsidRDefault="00BE468F" w:rsidP="00BE468F">
            <w:pPr>
              <w:ind w:right="-130"/>
              <w:jc w:val="center"/>
              <w:rPr>
                <w:rFonts w:ascii="Arial" w:hAnsi="Arial" w:cs="Arial"/>
                <w:b/>
                <w:sz w:val="16"/>
                <w:szCs w:val="16"/>
              </w:rPr>
            </w:pPr>
            <w:r w:rsidRPr="000F6626">
              <w:rPr>
                <w:rFonts w:ascii="Arial" w:hAnsi="Arial" w:cs="Arial"/>
                <w:b/>
                <w:sz w:val="16"/>
                <w:szCs w:val="16"/>
              </w:rPr>
              <w:t>2020</w:t>
            </w:r>
          </w:p>
        </w:tc>
        <w:tc>
          <w:tcPr>
            <w:tcW w:w="810" w:type="dxa"/>
            <w:tcBorders>
              <w:top w:val="single" w:sz="4" w:space="0" w:color="000000"/>
              <w:left w:val="single" w:sz="4" w:space="0" w:color="000000"/>
              <w:right w:val="single" w:sz="4" w:space="0" w:color="000000"/>
            </w:tcBorders>
            <w:shd w:val="clear" w:color="auto" w:fill="D9D9D9" w:themeFill="background1" w:themeFillShade="D9"/>
            <w:vAlign w:val="center"/>
          </w:tcPr>
          <w:p w14:paraId="2C9B8CB2" w14:textId="77777777" w:rsidR="00BE468F" w:rsidRPr="000F6626" w:rsidRDefault="00BE468F" w:rsidP="00BE468F">
            <w:pPr>
              <w:ind w:right="-90"/>
              <w:jc w:val="center"/>
              <w:rPr>
                <w:rFonts w:ascii="Arial" w:hAnsi="Arial" w:cs="Arial"/>
                <w:b/>
                <w:sz w:val="16"/>
                <w:szCs w:val="16"/>
              </w:rPr>
            </w:pPr>
            <w:r w:rsidRPr="000F6626">
              <w:rPr>
                <w:rFonts w:ascii="Arial" w:hAnsi="Arial" w:cs="Arial"/>
                <w:b/>
                <w:sz w:val="16"/>
                <w:szCs w:val="16"/>
              </w:rPr>
              <w:t>2021</w:t>
            </w:r>
          </w:p>
        </w:tc>
        <w:tc>
          <w:tcPr>
            <w:tcW w:w="1170" w:type="dxa"/>
            <w:tcBorders>
              <w:top w:val="single" w:sz="4" w:space="0" w:color="000000"/>
              <w:left w:val="single" w:sz="4" w:space="0" w:color="000000"/>
              <w:right w:val="single" w:sz="4" w:space="0" w:color="000000"/>
            </w:tcBorders>
            <w:shd w:val="clear" w:color="auto" w:fill="D9D9D9" w:themeFill="background1" w:themeFillShade="D9"/>
            <w:vAlign w:val="center"/>
          </w:tcPr>
          <w:p w14:paraId="66716340" w14:textId="77777777" w:rsidR="00BE468F" w:rsidRPr="000F6626" w:rsidRDefault="00BE468F" w:rsidP="00BE468F">
            <w:pPr>
              <w:ind w:right="-50"/>
              <w:jc w:val="center"/>
              <w:rPr>
                <w:rFonts w:ascii="Arial" w:hAnsi="Arial" w:cs="Arial"/>
                <w:b/>
                <w:sz w:val="16"/>
                <w:szCs w:val="16"/>
              </w:rPr>
            </w:pPr>
            <w:r w:rsidRPr="000F6626">
              <w:rPr>
                <w:rFonts w:ascii="Arial" w:hAnsi="Arial" w:cs="Arial"/>
                <w:b/>
                <w:sz w:val="16"/>
                <w:szCs w:val="16"/>
              </w:rPr>
              <w:t>2022</w:t>
            </w:r>
          </w:p>
        </w:tc>
        <w:tc>
          <w:tcPr>
            <w:tcW w:w="1260" w:type="dxa"/>
            <w:tcBorders>
              <w:top w:val="single" w:sz="4" w:space="0" w:color="000000"/>
              <w:left w:val="single" w:sz="4" w:space="0" w:color="000000"/>
              <w:right w:val="single" w:sz="4" w:space="0" w:color="000000"/>
            </w:tcBorders>
            <w:shd w:val="clear" w:color="auto" w:fill="D9D9D9" w:themeFill="background1" w:themeFillShade="D9"/>
            <w:vAlign w:val="center"/>
          </w:tcPr>
          <w:p w14:paraId="26F97F3E" w14:textId="77777777" w:rsidR="00BE468F" w:rsidRPr="000F6626" w:rsidRDefault="00BE468F" w:rsidP="00BE468F">
            <w:pPr>
              <w:jc w:val="center"/>
              <w:rPr>
                <w:rFonts w:ascii="Arial" w:hAnsi="Arial" w:cs="Arial"/>
                <w:b/>
                <w:sz w:val="16"/>
                <w:szCs w:val="16"/>
              </w:rPr>
            </w:pPr>
            <w:r w:rsidRPr="000F6626">
              <w:rPr>
                <w:rFonts w:ascii="Arial" w:hAnsi="Arial" w:cs="Arial"/>
                <w:b/>
                <w:sz w:val="16"/>
                <w:szCs w:val="16"/>
              </w:rPr>
              <w:t>Meta Final</w:t>
            </w:r>
          </w:p>
        </w:tc>
        <w:tc>
          <w:tcPr>
            <w:tcW w:w="2430" w:type="dxa"/>
            <w:tcBorders>
              <w:top w:val="single" w:sz="4" w:space="0" w:color="000000"/>
              <w:left w:val="single" w:sz="4" w:space="0" w:color="000000"/>
              <w:right w:val="single" w:sz="4" w:space="0" w:color="000000"/>
            </w:tcBorders>
            <w:shd w:val="clear" w:color="auto" w:fill="D9D9D9" w:themeFill="background1" w:themeFillShade="D9"/>
            <w:vAlign w:val="center"/>
          </w:tcPr>
          <w:p w14:paraId="4C934411" w14:textId="77777777" w:rsidR="00BE468F" w:rsidRPr="000F6626" w:rsidRDefault="00BE468F" w:rsidP="00BE468F">
            <w:pPr>
              <w:ind w:left="-110" w:right="-110"/>
              <w:jc w:val="center"/>
              <w:rPr>
                <w:rFonts w:ascii="Arial" w:hAnsi="Arial" w:cs="Arial"/>
                <w:b/>
                <w:sz w:val="16"/>
                <w:szCs w:val="16"/>
              </w:rPr>
            </w:pPr>
            <w:r w:rsidRPr="000F6626">
              <w:rPr>
                <w:rFonts w:ascii="Arial" w:hAnsi="Arial" w:cs="Arial"/>
                <w:b/>
                <w:sz w:val="16"/>
                <w:szCs w:val="16"/>
              </w:rPr>
              <w:t>Medios de Verificación</w:t>
            </w:r>
          </w:p>
        </w:tc>
        <w:tc>
          <w:tcPr>
            <w:tcW w:w="3690" w:type="dxa"/>
            <w:tcBorders>
              <w:top w:val="single" w:sz="4" w:space="0" w:color="000000"/>
              <w:left w:val="single" w:sz="4" w:space="0" w:color="000000"/>
              <w:right w:val="single" w:sz="4" w:space="0" w:color="000000"/>
            </w:tcBorders>
            <w:shd w:val="clear" w:color="auto" w:fill="D9D9D9" w:themeFill="background1" w:themeFillShade="D9"/>
            <w:vAlign w:val="center"/>
          </w:tcPr>
          <w:p w14:paraId="48A71226" w14:textId="77777777" w:rsidR="00BE468F" w:rsidRPr="000F6626" w:rsidRDefault="00BE468F" w:rsidP="00BE468F">
            <w:pPr>
              <w:jc w:val="center"/>
              <w:rPr>
                <w:rFonts w:ascii="Arial" w:hAnsi="Arial" w:cs="Arial"/>
                <w:b/>
                <w:sz w:val="16"/>
                <w:szCs w:val="16"/>
              </w:rPr>
            </w:pPr>
            <w:r w:rsidRPr="000F6626">
              <w:rPr>
                <w:rFonts w:ascii="Arial" w:hAnsi="Arial" w:cs="Arial"/>
                <w:b/>
                <w:sz w:val="16"/>
                <w:szCs w:val="16"/>
              </w:rPr>
              <w:t>Comentarios</w:t>
            </w:r>
          </w:p>
        </w:tc>
      </w:tr>
      <w:tr w:rsidR="00BE468F" w:rsidRPr="000F6626" w14:paraId="14C2F864" w14:textId="77777777" w:rsidTr="00BE468F">
        <w:trPr>
          <w:trHeight w:val="336"/>
        </w:trPr>
        <w:tc>
          <w:tcPr>
            <w:tcW w:w="15552" w:type="dxa"/>
            <w:gridSpan w:val="11"/>
            <w:tcBorders>
              <w:top w:val="single" w:sz="4" w:space="0" w:color="auto"/>
            </w:tcBorders>
            <w:vAlign w:val="center"/>
          </w:tcPr>
          <w:p w14:paraId="01577F80" w14:textId="77777777" w:rsidR="00BE468F" w:rsidRPr="000F6626" w:rsidRDefault="00BE468F" w:rsidP="00BE468F">
            <w:pPr>
              <w:spacing w:before="60" w:after="60" w:line="276" w:lineRule="auto"/>
              <w:rPr>
                <w:rFonts w:ascii="Arial" w:hAnsi="Arial" w:cs="Arial"/>
                <w:b/>
                <w:sz w:val="16"/>
                <w:szCs w:val="16"/>
                <w:lang w:val="es-ES" w:eastAsia="zh-CN"/>
              </w:rPr>
            </w:pPr>
            <w:bookmarkStart w:id="34" w:name="_Hlk9950761"/>
            <w:r w:rsidRPr="000F6626">
              <w:rPr>
                <w:rFonts w:ascii="Arial" w:hAnsi="Arial" w:cs="Arial"/>
                <w:b/>
                <w:sz w:val="16"/>
                <w:szCs w:val="16"/>
                <w:u w:val="single"/>
              </w:rPr>
              <w:t>OBJETIVO # 1</w:t>
            </w:r>
            <w:r w:rsidRPr="000F6626">
              <w:rPr>
                <w:rFonts w:ascii="Arial" w:hAnsi="Arial" w:cs="Arial"/>
                <w:b/>
                <w:sz w:val="16"/>
                <w:szCs w:val="16"/>
              </w:rPr>
              <w:t xml:space="preserve">: </w:t>
            </w:r>
            <w:r w:rsidRPr="000F6626">
              <w:rPr>
                <w:rFonts w:ascii="Arial" w:hAnsi="Arial" w:cs="Arial"/>
                <w:b/>
                <w:sz w:val="16"/>
                <w:szCs w:val="16"/>
                <w:lang w:val="es-ES"/>
              </w:rPr>
              <w:t>Incrementar el número de EEPP alineadas a los principios de gobernanza corporativa de la OCDE; incluyendo una gobernanza fiscal análoga a la del sector privado</w:t>
            </w:r>
          </w:p>
        </w:tc>
      </w:tr>
      <w:bookmarkEnd w:id="34"/>
      <w:tr w:rsidR="00BE468F" w:rsidRPr="000F6626" w14:paraId="159CDCCC" w14:textId="77777777" w:rsidTr="00BE468F">
        <w:tc>
          <w:tcPr>
            <w:tcW w:w="1782" w:type="dxa"/>
            <w:vAlign w:val="center"/>
          </w:tcPr>
          <w:p w14:paraId="43923E91" w14:textId="260368BB" w:rsidR="00BE468F" w:rsidRPr="000F6626" w:rsidRDefault="00BE468F" w:rsidP="00BE468F">
            <w:pPr>
              <w:rPr>
                <w:rFonts w:ascii="Arial" w:hAnsi="Arial" w:cs="Arial"/>
                <w:sz w:val="16"/>
                <w:szCs w:val="16"/>
              </w:rPr>
            </w:pPr>
            <w:r w:rsidRPr="000F6626">
              <w:rPr>
                <w:rFonts w:ascii="Arial" w:hAnsi="Arial" w:cs="Arial"/>
                <w:sz w:val="16"/>
                <w:szCs w:val="16"/>
                <w:lang w:val="es-ES"/>
              </w:rPr>
              <w:t xml:space="preserve">Ratio entre las sesiones ordinarias de directorios de </w:t>
            </w:r>
            <w:r w:rsidR="007F130A">
              <w:rPr>
                <w:rFonts w:ascii="Arial" w:hAnsi="Arial" w:cs="Arial"/>
                <w:sz w:val="16"/>
                <w:szCs w:val="16"/>
                <w:lang w:val="es-ES"/>
              </w:rPr>
              <w:t>EEPP</w:t>
            </w:r>
            <w:r w:rsidRPr="000F6626">
              <w:rPr>
                <w:rFonts w:ascii="Arial" w:hAnsi="Arial" w:cs="Arial"/>
                <w:sz w:val="16"/>
                <w:szCs w:val="16"/>
                <w:lang w:val="es-ES"/>
              </w:rPr>
              <w:t xml:space="preserve"> </w:t>
            </w:r>
            <w:r w:rsidRPr="000F6626">
              <w:rPr>
                <w:rFonts w:ascii="Arial" w:hAnsi="Arial" w:cs="Arial"/>
                <w:sz w:val="16"/>
                <w:szCs w:val="16"/>
              </w:rPr>
              <w:t xml:space="preserve">/ Total de </w:t>
            </w:r>
            <w:r w:rsidRPr="000F6626">
              <w:rPr>
                <w:rFonts w:ascii="Arial" w:hAnsi="Arial" w:cs="Arial"/>
                <w:sz w:val="16"/>
                <w:szCs w:val="16"/>
                <w:lang w:val="es-ES"/>
              </w:rPr>
              <w:t>sesiones</w:t>
            </w:r>
            <w:r w:rsidRPr="000F6626">
              <w:rPr>
                <w:rFonts w:ascii="Arial" w:hAnsi="Arial" w:cs="Arial"/>
                <w:sz w:val="16"/>
                <w:szCs w:val="16"/>
              </w:rPr>
              <w:t xml:space="preserve"> </w:t>
            </w:r>
          </w:p>
          <w:p w14:paraId="5C771CFC" w14:textId="77777777" w:rsidR="00BE468F" w:rsidRPr="000F6626" w:rsidRDefault="00BE468F" w:rsidP="00BE468F">
            <w:pPr>
              <w:rPr>
                <w:rFonts w:ascii="Arial" w:hAnsi="Arial" w:cs="Arial"/>
                <w:sz w:val="16"/>
                <w:szCs w:val="16"/>
              </w:rPr>
            </w:pPr>
          </w:p>
          <w:p w14:paraId="609FE75B" w14:textId="77777777" w:rsidR="00BE468F" w:rsidRPr="000F6626" w:rsidRDefault="00BE468F" w:rsidP="00BE468F">
            <w:pPr>
              <w:rPr>
                <w:rFonts w:ascii="Arial" w:hAnsi="Arial" w:cs="Arial"/>
                <w:sz w:val="16"/>
                <w:szCs w:val="16"/>
              </w:rPr>
            </w:pPr>
          </w:p>
          <w:p w14:paraId="717B78E7" w14:textId="77777777" w:rsidR="00BE468F" w:rsidRPr="000F6626" w:rsidRDefault="00BE468F" w:rsidP="00BE468F">
            <w:pPr>
              <w:rPr>
                <w:rFonts w:ascii="Arial" w:hAnsi="Arial" w:cs="Arial"/>
                <w:sz w:val="16"/>
                <w:szCs w:val="16"/>
              </w:rPr>
            </w:pPr>
          </w:p>
          <w:p w14:paraId="28DA36DF" w14:textId="77777777" w:rsidR="00BE468F" w:rsidRPr="000F6626" w:rsidRDefault="00BE468F" w:rsidP="00BE468F">
            <w:pPr>
              <w:rPr>
                <w:rFonts w:ascii="Arial" w:hAnsi="Arial" w:cs="Arial"/>
                <w:sz w:val="16"/>
                <w:szCs w:val="16"/>
              </w:rPr>
            </w:pPr>
          </w:p>
        </w:tc>
        <w:tc>
          <w:tcPr>
            <w:tcW w:w="810" w:type="dxa"/>
            <w:vAlign w:val="center"/>
          </w:tcPr>
          <w:p w14:paraId="714F3631" w14:textId="77777777" w:rsidR="00C35ED9" w:rsidRPr="00C35ED9" w:rsidRDefault="00C35ED9" w:rsidP="00C35ED9">
            <w:pPr>
              <w:jc w:val="center"/>
              <w:rPr>
                <w:rFonts w:ascii="Arial" w:hAnsi="Arial" w:cs="Arial"/>
                <w:sz w:val="16"/>
                <w:szCs w:val="16"/>
              </w:rPr>
            </w:pPr>
            <w:r w:rsidRPr="00C35ED9">
              <w:rPr>
                <w:rFonts w:ascii="Arial" w:hAnsi="Arial" w:cs="Arial"/>
                <w:sz w:val="16"/>
                <w:szCs w:val="16"/>
              </w:rPr>
              <w:t>%</w:t>
            </w:r>
          </w:p>
          <w:p w14:paraId="06DEE705" w14:textId="77777777" w:rsidR="00C35ED9" w:rsidRPr="00C35ED9" w:rsidRDefault="00C35ED9" w:rsidP="00C35ED9">
            <w:pPr>
              <w:jc w:val="center"/>
              <w:rPr>
                <w:rFonts w:ascii="Arial" w:hAnsi="Arial" w:cs="Arial"/>
                <w:sz w:val="16"/>
                <w:szCs w:val="16"/>
                <w:lang w:val="es-ES"/>
              </w:rPr>
            </w:pPr>
            <w:r w:rsidRPr="00C35ED9">
              <w:rPr>
                <w:rFonts w:ascii="Arial" w:hAnsi="Arial" w:cs="Arial"/>
                <w:sz w:val="16"/>
                <w:szCs w:val="16"/>
                <w:lang w:val="es-ES"/>
              </w:rPr>
              <w:t>Número sesiones</w:t>
            </w:r>
          </w:p>
          <w:p w14:paraId="5677D3B7" w14:textId="47A97869" w:rsidR="00BE468F" w:rsidRPr="000F6626" w:rsidRDefault="00C35ED9" w:rsidP="00C35ED9">
            <w:pPr>
              <w:jc w:val="center"/>
              <w:rPr>
                <w:rFonts w:ascii="Arial" w:hAnsi="Arial" w:cs="Arial"/>
                <w:sz w:val="16"/>
                <w:szCs w:val="16"/>
              </w:rPr>
            </w:pPr>
            <w:r w:rsidRPr="00C35ED9">
              <w:rPr>
                <w:rFonts w:ascii="Arial" w:hAnsi="Arial" w:cs="Arial"/>
                <w:sz w:val="16"/>
                <w:szCs w:val="16"/>
                <w:lang w:val="es-ES"/>
              </w:rPr>
              <w:t>/ Número sesiones</w:t>
            </w:r>
            <w:r w:rsidRPr="00C35ED9">
              <w:rPr>
                <w:rFonts w:ascii="Arial" w:hAnsi="Arial" w:cs="Arial"/>
                <w:sz w:val="16"/>
                <w:szCs w:val="16"/>
              </w:rPr>
              <w:t xml:space="preserve"> </w:t>
            </w:r>
          </w:p>
        </w:tc>
        <w:tc>
          <w:tcPr>
            <w:tcW w:w="990" w:type="dxa"/>
            <w:vAlign w:val="center"/>
          </w:tcPr>
          <w:p w14:paraId="4E01F0FE"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21</w:t>
            </w:r>
          </w:p>
        </w:tc>
        <w:tc>
          <w:tcPr>
            <w:tcW w:w="810" w:type="dxa"/>
            <w:vAlign w:val="center"/>
          </w:tcPr>
          <w:p w14:paraId="3B870E20"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2018</w:t>
            </w:r>
          </w:p>
        </w:tc>
        <w:tc>
          <w:tcPr>
            <w:tcW w:w="900" w:type="dxa"/>
            <w:vAlign w:val="center"/>
          </w:tcPr>
          <w:p w14:paraId="4735B0E6"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21</w:t>
            </w:r>
          </w:p>
        </w:tc>
        <w:tc>
          <w:tcPr>
            <w:tcW w:w="900" w:type="dxa"/>
            <w:vAlign w:val="center"/>
          </w:tcPr>
          <w:p w14:paraId="71D04822"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40</w:t>
            </w:r>
          </w:p>
        </w:tc>
        <w:tc>
          <w:tcPr>
            <w:tcW w:w="810" w:type="dxa"/>
            <w:shd w:val="clear" w:color="auto" w:fill="auto"/>
            <w:vAlign w:val="center"/>
          </w:tcPr>
          <w:p w14:paraId="5E6C45B9"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55</w:t>
            </w:r>
          </w:p>
        </w:tc>
        <w:tc>
          <w:tcPr>
            <w:tcW w:w="1170" w:type="dxa"/>
            <w:shd w:val="clear" w:color="auto" w:fill="auto"/>
            <w:vAlign w:val="center"/>
          </w:tcPr>
          <w:p w14:paraId="7ABBB055"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70</w:t>
            </w:r>
          </w:p>
        </w:tc>
        <w:tc>
          <w:tcPr>
            <w:tcW w:w="1260" w:type="dxa"/>
            <w:shd w:val="clear" w:color="auto" w:fill="auto"/>
            <w:vAlign w:val="center"/>
          </w:tcPr>
          <w:p w14:paraId="0D689CD3"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70</w:t>
            </w:r>
          </w:p>
        </w:tc>
        <w:tc>
          <w:tcPr>
            <w:tcW w:w="2430" w:type="dxa"/>
            <w:vAlign w:val="center"/>
          </w:tcPr>
          <w:p w14:paraId="01550C85" w14:textId="790BE83A" w:rsidR="00BE468F" w:rsidRPr="000F6626" w:rsidRDefault="00BE468F" w:rsidP="00BE468F">
            <w:pPr>
              <w:rPr>
                <w:rFonts w:ascii="Arial" w:hAnsi="Arial" w:cs="Arial"/>
                <w:sz w:val="16"/>
                <w:szCs w:val="16"/>
              </w:rPr>
            </w:pPr>
            <w:r w:rsidRPr="000F6626">
              <w:rPr>
                <w:rFonts w:ascii="Arial" w:hAnsi="Arial" w:cs="Arial"/>
                <w:sz w:val="16"/>
                <w:szCs w:val="16"/>
              </w:rPr>
              <w:t>Informe anual</w:t>
            </w:r>
            <w:r w:rsidR="00753980">
              <w:rPr>
                <w:rFonts w:ascii="Arial" w:hAnsi="Arial" w:cs="Arial"/>
                <w:sz w:val="16"/>
                <w:szCs w:val="16"/>
              </w:rPr>
              <w:t>,</w:t>
            </w:r>
            <w:r w:rsidRPr="000F6626">
              <w:rPr>
                <w:rFonts w:ascii="Arial" w:hAnsi="Arial" w:cs="Arial"/>
                <w:sz w:val="16"/>
                <w:szCs w:val="16"/>
              </w:rPr>
              <w:t xml:space="preserve"> entidad propietaria de </w:t>
            </w:r>
            <w:r w:rsidR="007F130A">
              <w:rPr>
                <w:rFonts w:ascii="Arial" w:hAnsi="Arial" w:cs="Arial"/>
                <w:sz w:val="16"/>
                <w:szCs w:val="16"/>
              </w:rPr>
              <w:t>EEPP</w:t>
            </w:r>
          </w:p>
        </w:tc>
        <w:tc>
          <w:tcPr>
            <w:tcW w:w="3690" w:type="dxa"/>
            <w:vAlign w:val="center"/>
          </w:tcPr>
          <w:p w14:paraId="36CDF0D5" w14:textId="15F9CE87" w:rsidR="00BE468F" w:rsidRPr="000F6626" w:rsidRDefault="00BE468F" w:rsidP="00BE468F">
            <w:pPr>
              <w:rPr>
                <w:rFonts w:ascii="Arial" w:hAnsi="Arial" w:cs="Arial"/>
                <w:sz w:val="16"/>
                <w:szCs w:val="16"/>
              </w:rPr>
            </w:pPr>
            <w:r w:rsidRPr="000F6626">
              <w:rPr>
                <w:rFonts w:ascii="Arial" w:hAnsi="Arial" w:cs="Arial"/>
                <w:b/>
                <w:sz w:val="16"/>
                <w:szCs w:val="16"/>
              </w:rPr>
              <w:t>LB</w:t>
            </w:r>
            <w:r w:rsidRPr="000F6626">
              <w:rPr>
                <w:rFonts w:ascii="Arial" w:hAnsi="Arial" w:cs="Arial"/>
                <w:sz w:val="16"/>
                <w:szCs w:val="16"/>
              </w:rPr>
              <w:t xml:space="preserve">: 21 = Número </w:t>
            </w:r>
            <w:r w:rsidRPr="000F6626">
              <w:rPr>
                <w:rFonts w:ascii="Arial" w:hAnsi="Arial" w:cs="Arial"/>
                <w:sz w:val="16"/>
                <w:szCs w:val="16"/>
                <w:lang w:val="es-ES"/>
              </w:rPr>
              <w:t xml:space="preserve">sesiones ordinarias de directorios de </w:t>
            </w:r>
            <w:r w:rsidR="007F130A">
              <w:rPr>
                <w:rFonts w:ascii="Arial" w:hAnsi="Arial" w:cs="Arial"/>
                <w:sz w:val="16"/>
                <w:szCs w:val="16"/>
                <w:lang w:val="es-ES"/>
              </w:rPr>
              <w:t>EEPP</w:t>
            </w:r>
            <w:r w:rsidRPr="000F6626">
              <w:rPr>
                <w:rFonts w:ascii="Arial" w:hAnsi="Arial" w:cs="Arial"/>
                <w:sz w:val="16"/>
                <w:szCs w:val="16"/>
                <w:lang w:val="es-ES"/>
              </w:rPr>
              <w:t xml:space="preserve"> (11) </w:t>
            </w:r>
            <w:r w:rsidRPr="000F6626">
              <w:rPr>
                <w:rFonts w:ascii="Arial" w:hAnsi="Arial" w:cs="Arial"/>
                <w:sz w:val="16"/>
                <w:szCs w:val="16"/>
              </w:rPr>
              <w:t xml:space="preserve">/ Total de </w:t>
            </w:r>
            <w:r w:rsidRPr="000F6626">
              <w:rPr>
                <w:rFonts w:ascii="Arial" w:hAnsi="Arial" w:cs="Arial"/>
                <w:sz w:val="16"/>
                <w:szCs w:val="16"/>
                <w:lang w:val="es-ES"/>
              </w:rPr>
              <w:t>sesiones (53)</w:t>
            </w:r>
          </w:p>
        </w:tc>
      </w:tr>
      <w:tr w:rsidR="00BE468F" w:rsidRPr="000F6626" w14:paraId="6D11D4EC" w14:textId="77777777" w:rsidTr="00BE468F">
        <w:trPr>
          <w:trHeight w:val="34"/>
        </w:trPr>
        <w:tc>
          <w:tcPr>
            <w:tcW w:w="1782" w:type="dxa"/>
            <w:vAlign w:val="center"/>
          </w:tcPr>
          <w:p w14:paraId="53E0ECDD" w14:textId="77D7F073" w:rsidR="00BE468F" w:rsidRPr="000F6626" w:rsidRDefault="007F130A" w:rsidP="00BE468F">
            <w:pPr>
              <w:ind w:left="-40" w:right="-20"/>
              <w:rPr>
                <w:rFonts w:ascii="Arial" w:hAnsi="Arial" w:cs="Arial"/>
                <w:sz w:val="16"/>
                <w:szCs w:val="16"/>
              </w:rPr>
            </w:pPr>
            <w:bookmarkStart w:id="35" w:name="_Hlk494195873"/>
            <w:r>
              <w:rPr>
                <w:rFonts w:ascii="Arial" w:hAnsi="Arial" w:cs="Arial"/>
                <w:sz w:val="16"/>
                <w:szCs w:val="16"/>
                <w:lang w:val="es-ES"/>
              </w:rPr>
              <w:t>EEPP</w:t>
            </w:r>
            <w:r w:rsidR="00BE468F" w:rsidRPr="000F6626">
              <w:rPr>
                <w:rFonts w:ascii="Arial" w:hAnsi="Arial" w:cs="Arial"/>
                <w:sz w:val="16"/>
                <w:szCs w:val="16"/>
                <w:lang w:val="es-ES"/>
              </w:rPr>
              <w:t xml:space="preserve"> con los EE.FF. auditados al día</w:t>
            </w:r>
            <w:r w:rsidR="00BE468F" w:rsidRPr="000F6626">
              <w:rPr>
                <w:rFonts w:ascii="Arial" w:hAnsi="Arial" w:cs="Arial"/>
                <w:color w:val="000000" w:themeColor="text1"/>
                <w:sz w:val="16"/>
                <w:szCs w:val="16"/>
              </w:rPr>
              <w:t xml:space="preserve"> / Total de </w:t>
            </w:r>
            <w:r>
              <w:rPr>
                <w:rFonts w:ascii="Arial" w:hAnsi="Arial" w:cs="Arial"/>
                <w:color w:val="000000" w:themeColor="text1"/>
                <w:sz w:val="16"/>
                <w:szCs w:val="16"/>
              </w:rPr>
              <w:t>EEPP</w:t>
            </w:r>
          </w:p>
        </w:tc>
        <w:tc>
          <w:tcPr>
            <w:tcW w:w="810" w:type="dxa"/>
            <w:vAlign w:val="center"/>
          </w:tcPr>
          <w:p w14:paraId="20122E83" w14:textId="77777777" w:rsidR="00C35ED9" w:rsidRPr="00C35ED9" w:rsidRDefault="00C35ED9" w:rsidP="00C35ED9">
            <w:pPr>
              <w:jc w:val="center"/>
              <w:rPr>
                <w:rFonts w:ascii="Arial" w:hAnsi="Arial" w:cs="Arial"/>
                <w:sz w:val="16"/>
                <w:szCs w:val="16"/>
              </w:rPr>
            </w:pPr>
            <w:r w:rsidRPr="00C35ED9">
              <w:rPr>
                <w:rFonts w:ascii="Arial" w:hAnsi="Arial" w:cs="Arial"/>
                <w:sz w:val="16"/>
                <w:szCs w:val="16"/>
              </w:rPr>
              <w:t>%</w:t>
            </w:r>
          </w:p>
          <w:p w14:paraId="748F2DC1" w14:textId="77777777" w:rsidR="00C35ED9" w:rsidRPr="00C35ED9" w:rsidRDefault="00C35ED9" w:rsidP="00C35ED9">
            <w:pPr>
              <w:jc w:val="center"/>
              <w:rPr>
                <w:rFonts w:ascii="Arial" w:hAnsi="Arial" w:cs="Arial"/>
                <w:sz w:val="16"/>
                <w:szCs w:val="16"/>
                <w:lang w:val="es-ES"/>
              </w:rPr>
            </w:pPr>
          </w:p>
          <w:p w14:paraId="33DB40F9" w14:textId="77777777" w:rsidR="00C35ED9" w:rsidRPr="00C35ED9" w:rsidRDefault="00C35ED9" w:rsidP="00C35ED9">
            <w:pPr>
              <w:jc w:val="center"/>
              <w:rPr>
                <w:rFonts w:ascii="Arial" w:hAnsi="Arial" w:cs="Arial"/>
                <w:sz w:val="16"/>
                <w:szCs w:val="16"/>
                <w:lang w:val="es-ES"/>
              </w:rPr>
            </w:pPr>
            <w:r w:rsidRPr="00C35ED9">
              <w:rPr>
                <w:rFonts w:ascii="Arial" w:hAnsi="Arial" w:cs="Arial"/>
                <w:sz w:val="16"/>
                <w:szCs w:val="16"/>
                <w:lang w:val="es-ES"/>
              </w:rPr>
              <w:t>Número EEFF</w:t>
            </w:r>
          </w:p>
          <w:p w14:paraId="76EBB625" w14:textId="15B03E2E" w:rsidR="00BE468F" w:rsidRPr="000F6626" w:rsidRDefault="00C35ED9" w:rsidP="00C35ED9">
            <w:pPr>
              <w:jc w:val="center"/>
              <w:rPr>
                <w:rFonts w:ascii="Arial" w:hAnsi="Arial" w:cs="Arial"/>
                <w:sz w:val="16"/>
                <w:szCs w:val="16"/>
              </w:rPr>
            </w:pPr>
            <w:r w:rsidRPr="00C35ED9">
              <w:rPr>
                <w:rFonts w:ascii="Arial" w:hAnsi="Arial" w:cs="Arial"/>
                <w:sz w:val="16"/>
                <w:szCs w:val="16"/>
                <w:lang w:val="es-ES"/>
              </w:rPr>
              <w:t>/ Número EEFF</w:t>
            </w:r>
            <w:r w:rsidRPr="00C35ED9">
              <w:rPr>
                <w:rFonts w:ascii="Arial" w:hAnsi="Arial" w:cs="Arial"/>
                <w:sz w:val="16"/>
                <w:szCs w:val="16"/>
              </w:rPr>
              <w:t xml:space="preserve"> </w:t>
            </w:r>
          </w:p>
        </w:tc>
        <w:tc>
          <w:tcPr>
            <w:tcW w:w="990" w:type="dxa"/>
            <w:vAlign w:val="center"/>
          </w:tcPr>
          <w:p w14:paraId="4BB79DCE"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13,6</w:t>
            </w:r>
          </w:p>
        </w:tc>
        <w:tc>
          <w:tcPr>
            <w:tcW w:w="810" w:type="dxa"/>
            <w:vAlign w:val="center"/>
          </w:tcPr>
          <w:p w14:paraId="5E2DC51F"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2018</w:t>
            </w:r>
          </w:p>
        </w:tc>
        <w:tc>
          <w:tcPr>
            <w:tcW w:w="900" w:type="dxa"/>
            <w:vAlign w:val="center"/>
          </w:tcPr>
          <w:p w14:paraId="1CF01593"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13,6</w:t>
            </w:r>
          </w:p>
        </w:tc>
        <w:tc>
          <w:tcPr>
            <w:tcW w:w="900" w:type="dxa"/>
            <w:vAlign w:val="center"/>
          </w:tcPr>
          <w:p w14:paraId="41785DAD"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20</w:t>
            </w:r>
          </w:p>
        </w:tc>
        <w:tc>
          <w:tcPr>
            <w:tcW w:w="810" w:type="dxa"/>
            <w:vAlign w:val="center"/>
          </w:tcPr>
          <w:p w14:paraId="41AE954E" w14:textId="77777777" w:rsidR="00BE468F" w:rsidRPr="000F6626" w:rsidRDefault="00BE468F" w:rsidP="003F0741">
            <w:pPr>
              <w:jc w:val="center"/>
              <w:rPr>
                <w:rFonts w:ascii="Arial" w:hAnsi="Arial" w:cs="Arial"/>
                <w:sz w:val="16"/>
                <w:szCs w:val="16"/>
              </w:rPr>
            </w:pPr>
            <w:r w:rsidRPr="000F6626">
              <w:rPr>
                <w:rFonts w:ascii="Arial" w:hAnsi="Arial" w:cs="Arial"/>
                <w:sz w:val="16"/>
                <w:szCs w:val="16"/>
              </w:rPr>
              <w:t>50</w:t>
            </w:r>
          </w:p>
        </w:tc>
        <w:tc>
          <w:tcPr>
            <w:tcW w:w="1170" w:type="dxa"/>
            <w:vAlign w:val="center"/>
          </w:tcPr>
          <w:p w14:paraId="61A2BAE8" w14:textId="488C62FF" w:rsidR="00BE468F" w:rsidRPr="000F6626" w:rsidRDefault="003F0741" w:rsidP="003F0741">
            <w:pPr>
              <w:jc w:val="center"/>
              <w:rPr>
                <w:rFonts w:ascii="Arial" w:hAnsi="Arial" w:cs="Arial"/>
                <w:sz w:val="16"/>
                <w:szCs w:val="16"/>
              </w:rPr>
            </w:pPr>
            <w:r>
              <w:rPr>
                <w:rFonts w:ascii="Arial" w:hAnsi="Arial" w:cs="Arial"/>
                <w:sz w:val="16"/>
                <w:szCs w:val="16"/>
              </w:rPr>
              <w:t>10</w:t>
            </w:r>
            <w:r w:rsidR="00BE468F" w:rsidRPr="000F6626">
              <w:rPr>
                <w:rFonts w:ascii="Arial" w:hAnsi="Arial" w:cs="Arial"/>
                <w:sz w:val="16"/>
                <w:szCs w:val="16"/>
              </w:rPr>
              <w:t>0</w:t>
            </w:r>
          </w:p>
        </w:tc>
        <w:tc>
          <w:tcPr>
            <w:tcW w:w="1260" w:type="dxa"/>
            <w:vAlign w:val="center"/>
          </w:tcPr>
          <w:p w14:paraId="3AE953DD" w14:textId="38E05F04" w:rsidR="00BE468F" w:rsidRPr="000F6626" w:rsidRDefault="003F0741" w:rsidP="003F0741">
            <w:pPr>
              <w:jc w:val="center"/>
              <w:rPr>
                <w:rFonts w:ascii="Arial" w:hAnsi="Arial" w:cs="Arial"/>
                <w:sz w:val="16"/>
                <w:szCs w:val="16"/>
              </w:rPr>
            </w:pPr>
            <w:r>
              <w:rPr>
                <w:rFonts w:ascii="Arial" w:hAnsi="Arial" w:cs="Arial"/>
                <w:sz w:val="16"/>
                <w:szCs w:val="16"/>
              </w:rPr>
              <w:t>10</w:t>
            </w:r>
            <w:r w:rsidR="00BE468F" w:rsidRPr="000F6626">
              <w:rPr>
                <w:rFonts w:ascii="Arial" w:hAnsi="Arial" w:cs="Arial"/>
                <w:sz w:val="16"/>
                <w:szCs w:val="16"/>
              </w:rPr>
              <w:t>0</w:t>
            </w:r>
          </w:p>
        </w:tc>
        <w:tc>
          <w:tcPr>
            <w:tcW w:w="2430" w:type="dxa"/>
            <w:vAlign w:val="center"/>
          </w:tcPr>
          <w:p w14:paraId="2443093F" w14:textId="08409BA0" w:rsidR="00BE468F" w:rsidRPr="000F6626" w:rsidRDefault="00BE468F" w:rsidP="00BE468F">
            <w:pPr>
              <w:rPr>
                <w:rFonts w:ascii="Arial" w:hAnsi="Arial" w:cs="Arial"/>
                <w:sz w:val="16"/>
                <w:szCs w:val="16"/>
              </w:rPr>
            </w:pPr>
            <w:r w:rsidRPr="000F6626">
              <w:rPr>
                <w:rFonts w:ascii="Arial" w:hAnsi="Arial" w:cs="Arial"/>
                <w:sz w:val="16"/>
                <w:szCs w:val="16"/>
              </w:rPr>
              <w:t>Informe anual</w:t>
            </w:r>
            <w:r w:rsidR="00753980">
              <w:rPr>
                <w:rFonts w:ascii="Arial" w:hAnsi="Arial" w:cs="Arial"/>
                <w:sz w:val="16"/>
                <w:szCs w:val="16"/>
              </w:rPr>
              <w:t xml:space="preserve">, </w:t>
            </w:r>
            <w:r w:rsidRPr="000F6626">
              <w:rPr>
                <w:rFonts w:ascii="Arial" w:hAnsi="Arial" w:cs="Arial"/>
                <w:sz w:val="16"/>
                <w:szCs w:val="16"/>
              </w:rPr>
              <w:t xml:space="preserve">entidad propietaria de </w:t>
            </w:r>
            <w:r w:rsidR="007F130A">
              <w:rPr>
                <w:rFonts w:ascii="Arial" w:hAnsi="Arial" w:cs="Arial"/>
                <w:sz w:val="16"/>
                <w:szCs w:val="16"/>
              </w:rPr>
              <w:t>EEPP</w:t>
            </w:r>
          </w:p>
        </w:tc>
        <w:tc>
          <w:tcPr>
            <w:tcW w:w="3690" w:type="dxa"/>
            <w:vAlign w:val="center"/>
          </w:tcPr>
          <w:p w14:paraId="3AC68610" w14:textId="63691A2F" w:rsidR="00BE468F" w:rsidRPr="000F6626" w:rsidRDefault="00BE468F" w:rsidP="00BE468F">
            <w:pPr>
              <w:rPr>
                <w:rFonts w:ascii="Arial" w:hAnsi="Arial" w:cs="Arial"/>
                <w:sz w:val="16"/>
                <w:szCs w:val="16"/>
              </w:rPr>
            </w:pPr>
            <w:r w:rsidRPr="000F6626">
              <w:rPr>
                <w:rFonts w:ascii="Arial" w:hAnsi="Arial" w:cs="Arial"/>
                <w:b/>
                <w:sz w:val="16"/>
                <w:szCs w:val="16"/>
              </w:rPr>
              <w:t xml:space="preserve">LB: </w:t>
            </w:r>
            <w:r w:rsidRPr="000F6626">
              <w:rPr>
                <w:rFonts w:ascii="Arial" w:hAnsi="Arial" w:cs="Arial"/>
                <w:sz w:val="16"/>
                <w:szCs w:val="16"/>
              </w:rPr>
              <w:t xml:space="preserve">13,6 = </w:t>
            </w:r>
            <w:r w:rsidR="007F130A">
              <w:rPr>
                <w:rFonts w:ascii="Arial" w:hAnsi="Arial" w:cs="Arial"/>
                <w:sz w:val="16"/>
                <w:szCs w:val="16"/>
                <w:lang w:val="es-ES"/>
              </w:rPr>
              <w:t>EEPP</w:t>
            </w:r>
            <w:r w:rsidRPr="000F6626">
              <w:rPr>
                <w:rFonts w:ascii="Arial" w:hAnsi="Arial" w:cs="Arial"/>
                <w:sz w:val="16"/>
                <w:szCs w:val="16"/>
                <w:lang w:val="es-ES"/>
              </w:rPr>
              <w:t xml:space="preserve"> con EEFF</w:t>
            </w:r>
            <w:r w:rsidR="00753980">
              <w:rPr>
                <w:rFonts w:ascii="Arial" w:hAnsi="Arial" w:cs="Arial"/>
                <w:sz w:val="16"/>
                <w:szCs w:val="16"/>
                <w:lang w:val="es-ES"/>
              </w:rPr>
              <w:t xml:space="preserve"> </w:t>
            </w:r>
            <w:r w:rsidRPr="000F6626">
              <w:rPr>
                <w:rFonts w:ascii="Arial" w:hAnsi="Arial" w:cs="Arial"/>
                <w:sz w:val="16"/>
                <w:szCs w:val="16"/>
                <w:lang w:val="es-ES"/>
              </w:rPr>
              <w:t>auditados al día</w:t>
            </w:r>
            <w:r w:rsidRPr="000F6626">
              <w:rPr>
                <w:rFonts w:ascii="Arial" w:hAnsi="Arial" w:cs="Arial"/>
                <w:color w:val="000000" w:themeColor="text1"/>
                <w:sz w:val="16"/>
                <w:szCs w:val="16"/>
              </w:rPr>
              <w:t xml:space="preserve"> (3) / Total EEPP (22)</w:t>
            </w:r>
          </w:p>
        </w:tc>
      </w:tr>
      <w:tr w:rsidR="00BE468F" w:rsidRPr="000F6626" w14:paraId="5C9A8F62" w14:textId="77777777" w:rsidTr="00BE468F">
        <w:trPr>
          <w:trHeight w:val="34"/>
        </w:trPr>
        <w:tc>
          <w:tcPr>
            <w:tcW w:w="1782" w:type="dxa"/>
            <w:vAlign w:val="center"/>
          </w:tcPr>
          <w:p w14:paraId="6D76F4F2" w14:textId="3EBCAF3D" w:rsidR="00BE468F" w:rsidRPr="000F6626" w:rsidRDefault="00BE468F" w:rsidP="00BE468F">
            <w:pPr>
              <w:ind w:left="-40" w:right="-20"/>
              <w:rPr>
                <w:rFonts w:ascii="Arial" w:hAnsi="Arial" w:cs="Arial"/>
                <w:sz w:val="16"/>
                <w:szCs w:val="16"/>
                <w:lang w:val="es-ES"/>
              </w:rPr>
            </w:pPr>
            <w:r w:rsidRPr="000F6626">
              <w:rPr>
                <w:rFonts w:ascii="Arial" w:hAnsi="Arial" w:cs="Arial"/>
                <w:color w:val="000000" w:themeColor="text1"/>
                <w:sz w:val="16"/>
                <w:szCs w:val="16"/>
              </w:rPr>
              <w:t xml:space="preserve">Número de mujeres en Directorios de </w:t>
            </w:r>
            <w:r w:rsidR="007F130A">
              <w:rPr>
                <w:rFonts w:ascii="Arial" w:hAnsi="Arial" w:cs="Arial"/>
                <w:color w:val="000000" w:themeColor="text1"/>
                <w:sz w:val="16"/>
                <w:szCs w:val="16"/>
              </w:rPr>
              <w:t>EEPP</w:t>
            </w:r>
            <w:r w:rsidRPr="000F6626">
              <w:rPr>
                <w:rFonts w:ascii="Arial" w:hAnsi="Arial" w:cs="Arial"/>
                <w:color w:val="000000" w:themeColor="text1"/>
                <w:sz w:val="16"/>
                <w:szCs w:val="16"/>
              </w:rPr>
              <w:t xml:space="preserve"> / Total de miembros en Directorios de </w:t>
            </w:r>
            <w:r w:rsidR="007F130A">
              <w:rPr>
                <w:rFonts w:ascii="Arial" w:hAnsi="Arial" w:cs="Arial"/>
                <w:color w:val="000000" w:themeColor="text1"/>
                <w:sz w:val="16"/>
                <w:szCs w:val="16"/>
              </w:rPr>
              <w:t>EEPP</w:t>
            </w:r>
            <w:r w:rsidRPr="000F6626">
              <w:rPr>
                <w:rFonts w:ascii="Arial" w:hAnsi="Arial" w:cs="Arial"/>
                <w:color w:val="000000" w:themeColor="text1"/>
                <w:sz w:val="16"/>
                <w:szCs w:val="16"/>
              </w:rPr>
              <w:t>.</w:t>
            </w:r>
          </w:p>
        </w:tc>
        <w:tc>
          <w:tcPr>
            <w:tcW w:w="810" w:type="dxa"/>
            <w:vAlign w:val="center"/>
          </w:tcPr>
          <w:p w14:paraId="57E6535E" w14:textId="3A192513" w:rsidR="00272287" w:rsidRDefault="00272287" w:rsidP="00C35ED9">
            <w:pPr>
              <w:jc w:val="center"/>
              <w:rPr>
                <w:rFonts w:ascii="Arial" w:hAnsi="Arial" w:cs="Arial"/>
                <w:sz w:val="16"/>
                <w:szCs w:val="16"/>
                <w:lang w:val="es-ES"/>
              </w:rPr>
            </w:pPr>
            <w:r>
              <w:rPr>
                <w:rFonts w:ascii="Arial" w:hAnsi="Arial" w:cs="Arial"/>
                <w:sz w:val="16"/>
                <w:szCs w:val="16"/>
                <w:lang w:val="es-ES"/>
              </w:rPr>
              <w:t>%</w:t>
            </w:r>
          </w:p>
          <w:p w14:paraId="7004D2D2" w14:textId="5A5A5E73" w:rsidR="00C35ED9" w:rsidRPr="00C35ED9" w:rsidRDefault="00C35ED9" w:rsidP="00C35ED9">
            <w:pPr>
              <w:jc w:val="center"/>
              <w:rPr>
                <w:rFonts w:ascii="Arial" w:hAnsi="Arial" w:cs="Arial"/>
                <w:sz w:val="16"/>
                <w:szCs w:val="16"/>
                <w:lang w:val="es-ES"/>
              </w:rPr>
            </w:pPr>
            <w:r w:rsidRPr="00C35ED9">
              <w:rPr>
                <w:rFonts w:ascii="Arial" w:hAnsi="Arial" w:cs="Arial"/>
                <w:sz w:val="16"/>
                <w:szCs w:val="16"/>
                <w:lang w:val="es-ES"/>
              </w:rPr>
              <w:t>Número mujeres</w:t>
            </w:r>
          </w:p>
          <w:p w14:paraId="079FE546" w14:textId="0418ABDE" w:rsidR="00BE468F" w:rsidRPr="000F6626" w:rsidRDefault="00C35ED9" w:rsidP="00C35ED9">
            <w:pPr>
              <w:jc w:val="center"/>
              <w:rPr>
                <w:rFonts w:ascii="Arial" w:hAnsi="Arial" w:cs="Arial"/>
                <w:sz w:val="16"/>
                <w:szCs w:val="16"/>
              </w:rPr>
            </w:pPr>
            <w:r w:rsidRPr="00C35ED9">
              <w:rPr>
                <w:rFonts w:ascii="Arial" w:hAnsi="Arial" w:cs="Arial"/>
                <w:sz w:val="16"/>
                <w:szCs w:val="16"/>
                <w:lang w:val="es-ES"/>
              </w:rPr>
              <w:t>/ Número directores</w:t>
            </w:r>
          </w:p>
        </w:tc>
        <w:tc>
          <w:tcPr>
            <w:tcW w:w="990" w:type="dxa"/>
            <w:vAlign w:val="center"/>
          </w:tcPr>
          <w:p w14:paraId="1C2B5D90"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3</w:t>
            </w:r>
          </w:p>
        </w:tc>
        <w:tc>
          <w:tcPr>
            <w:tcW w:w="810" w:type="dxa"/>
            <w:vAlign w:val="center"/>
          </w:tcPr>
          <w:p w14:paraId="46B11A74"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2018</w:t>
            </w:r>
          </w:p>
        </w:tc>
        <w:tc>
          <w:tcPr>
            <w:tcW w:w="900" w:type="dxa"/>
            <w:vAlign w:val="center"/>
          </w:tcPr>
          <w:p w14:paraId="1350B660"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3</w:t>
            </w:r>
          </w:p>
        </w:tc>
        <w:tc>
          <w:tcPr>
            <w:tcW w:w="900" w:type="dxa"/>
            <w:vAlign w:val="center"/>
          </w:tcPr>
          <w:p w14:paraId="1A713960"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15</w:t>
            </w:r>
          </w:p>
        </w:tc>
        <w:tc>
          <w:tcPr>
            <w:tcW w:w="810" w:type="dxa"/>
            <w:vAlign w:val="center"/>
          </w:tcPr>
          <w:p w14:paraId="04B2C9B5"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30</w:t>
            </w:r>
          </w:p>
        </w:tc>
        <w:tc>
          <w:tcPr>
            <w:tcW w:w="1170" w:type="dxa"/>
            <w:vAlign w:val="center"/>
          </w:tcPr>
          <w:p w14:paraId="59F0D036" w14:textId="4CACD852" w:rsidR="00BE468F" w:rsidRPr="000F6626" w:rsidRDefault="00BE468F" w:rsidP="00BE468F">
            <w:pPr>
              <w:jc w:val="center"/>
              <w:rPr>
                <w:rFonts w:ascii="Arial" w:hAnsi="Arial" w:cs="Arial"/>
                <w:sz w:val="16"/>
                <w:szCs w:val="16"/>
              </w:rPr>
            </w:pPr>
            <w:r w:rsidRPr="000F6626">
              <w:rPr>
                <w:rFonts w:ascii="Arial" w:hAnsi="Arial" w:cs="Arial"/>
                <w:sz w:val="16"/>
                <w:szCs w:val="16"/>
              </w:rPr>
              <w:t>4</w:t>
            </w:r>
            <w:r w:rsidR="003F0741">
              <w:rPr>
                <w:rFonts w:ascii="Arial" w:hAnsi="Arial" w:cs="Arial"/>
                <w:sz w:val="16"/>
                <w:szCs w:val="16"/>
              </w:rPr>
              <w:t>0</w:t>
            </w:r>
          </w:p>
        </w:tc>
        <w:tc>
          <w:tcPr>
            <w:tcW w:w="1260" w:type="dxa"/>
            <w:vAlign w:val="center"/>
          </w:tcPr>
          <w:p w14:paraId="06708EF2" w14:textId="7AE48450" w:rsidR="00BE468F" w:rsidRPr="000F6626" w:rsidRDefault="00BE468F" w:rsidP="00BE468F">
            <w:pPr>
              <w:jc w:val="center"/>
              <w:rPr>
                <w:rFonts w:ascii="Arial" w:hAnsi="Arial" w:cs="Arial"/>
                <w:sz w:val="16"/>
                <w:szCs w:val="16"/>
              </w:rPr>
            </w:pPr>
            <w:r w:rsidRPr="000F6626">
              <w:rPr>
                <w:rFonts w:ascii="Arial" w:hAnsi="Arial" w:cs="Arial"/>
                <w:sz w:val="16"/>
                <w:szCs w:val="16"/>
              </w:rPr>
              <w:t>4</w:t>
            </w:r>
            <w:r w:rsidR="003F0741">
              <w:rPr>
                <w:rFonts w:ascii="Arial" w:hAnsi="Arial" w:cs="Arial"/>
                <w:sz w:val="16"/>
                <w:szCs w:val="16"/>
              </w:rPr>
              <w:t>0</w:t>
            </w:r>
          </w:p>
        </w:tc>
        <w:tc>
          <w:tcPr>
            <w:tcW w:w="2430" w:type="dxa"/>
            <w:vAlign w:val="center"/>
          </w:tcPr>
          <w:p w14:paraId="27289FE6" w14:textId="0E4D695E" w:rsidR="00BE468F" w:rsidRPr="000F6626" w:rsidRDefault="00BE468F" w:rsidP="00BE468F">
            <w:pPr>
              <w:rPr>
                <w:rFonts w:ascii="Arial" w:hAnsi="Arial" w:cs="Arial"/>
                <w:sz w:val="16"/>
                <w:szCs w:val="16"/>
              </w:rPr>
            </w:pPr>
            <w:r w:rsidRPr="000F6626">
              <w:rPr>
                <w:rFonts w:ascii="Arial" w:hAnsi="Arial" w:cs="Arial"/>
                <w:sz w:val="16"/>
                <w:szCs w:val="16"/>
              </w:rPr>
              <w:t>Informe anual</w:t>
            </w:r>
            <w:r w:rsidR="00753980">
              <w:rPr>
                <w:rFonts w:ascii="Arial" w:hAnsi="Arial" w:cs="Arial"/>
                <w:sz w:val="16"/>
                <w:szCs w:val="16"/>
              </w:rPr>
              <w:t xml:space="preserve">, </w:t>
            </w:r>
            <w:r w:rsidRPr="000F6626">
              <w:rPr>
                <w:rFonts w:ascii="Arial" w:hAnsi="Arial" w:cs="Arial"/>
                <w:sz w:val="16"/>
                <w:szCs w:val="16"/>
              </w:rPr>
              <w:t xml:space="preserve">entidad propietaria de </w:t>
            </w:r>
            <w:r w:rsidR="007F130A">
              <w:rPr>
                <w:rFonts w:ascii="Arial" w:hAnsi="Arial" w:cs="Arial"/>
                <w:sz w:val="16"/>
                <w:szCs w:val="16"/>
              </w:rPr>
              <w:t>EEPP</w:t>
            </w:r>
          </w:p>
        </w:tc>
        <w:tc>
          <w:tcPr>
            <w:tcW w:w="3690" w:type="dxa"/>
            <w:vAlign w:val="center"/>
          </w:tcPr>
          <w:p w14:paraId="5C8B070E" w14:textId="3724A993" w:rsidR="00BE468F" w:rsidRPr="000F6626" w:rsidRDefault="00BE468F" w:rsidP="00BE468F">
            <w:pPr>
              <w:rPr>
                <w:rFonts w:ascii="Arial" w:hAnsi="Arial" w:cs="Arial"/>
                <w:b/>
                <w:sz w:val="16"/>
                <w:szCs w:val="16"/>
              </w:rPr>
            </w:pPr>
            <w:r w:rsidRPr="000F6626">
              <w:rPr>
                <w:rFonts w:ascii="Arial" w:hAnsi="Arial" w:cs="Arial"/>
                <w:b/>
                <w:sz w:val="16"/>
                <w:szCs w:val="16"/>
              </w:rPr>
              <w:t xml:space="preserve">LB: </w:t>
            </w:r>
            <w:r w:rsidRPr="000F6626">
              <w:rPr>
                <w:rFonts w:ascii="Arial" w:hAnsi="Arial" w:cs="Arial"/>
                <w:sz w:val="16"/>
                <w:szCs w:val="16"/>
              </w:rPr>
              <w:t>3 =</w:t>
            </w:r>
            <w:r w:rsidRPr="000F6626">
              <w:rPr>
                <w:rFonts w:ascii="Arial" w:hAnsi="Arial" w:cs="Arial"/>
                <w:b/>
                <w:sz w:val="16"/>
                <w:szCs w:val="16"/>
              </w:rPr>
              <w:t xml:space="preserve"> </w:t>
            </w:r>
            <w:r w:rsidRPr="000F6626">
              <w:rPr>
                <w:rFonts w:ascii="Arial" w:hAnsi="Arial" w:cs="Arial"/>
                <w:sz w:val="16"/>
                <w:szCs w:val="16"/>
              </w:rPr>
              <w:t>Número mujeres en Directorios EEPP (2) / Total miembros Directorios de EEPP (66).</w:t>
            </w:r>
          </w:p>
        </w:tc>
      </w:tr>
      <w:tr w:rsidR="00BE468F" w:rsidRPr="000F6626" w14:paraId="0D02C57C" w14:textId="77777777" w:rsidTr="00BE468F">
        <w:trPr>
          <w:trHeight w:val="336"/>
        </w:trPr>
        <w:tc>
          <w:tcPr>
            <w:tcW w:w="15552" w:type="dxa"/>
            <w:gridSpan w:val="11"/>
            <w:tcBorders>
              <w:top w:val="single" w:sz="4" w:space="0" w:color="auto"/>
            </w:tcBorders>
            <w:vAlign w:val="center"/>
          </w:tcPr>
          <w:p w14:paraId="307B80A3" w14:textId="5BE860A4" w:rsidR="00BE468F" w:rsidRPr="000F6626" w:rsidRDefault="00BE468F" w:rsidP="00BE468F">
            <w:pPr>
              <w:spacing w:before="60" w:after="60"/>
              <w:rPr>
                <w:rFonts w:ascii="Arial" w:hAnsi="Arial" w:cs="Arial"/>
                <w:b/>
                <w:sz w:val="16"/>
                <w:szCs w:val="16"/>
              </w:rPr>
            </w:pPr>
            <w:bookmarkStart w:id="36" w:name="_Hlk9951281"/>
            <w:r w:rsidRPr="000F6626">
              <w:rPr>
                <w:rFonts w:ascii="Arial" w:hAnsi="Arial" w:cs="Arial"/>
                <w:b/>
                <w:sz w:val="16"/>
                <w:szCs w:val="16"/>
                <w:u w:val="single"/>
              </w:rPr>
              <w:t>OBJETIVO #2</w:t>
            </w:r>
            <w:r w:rsidRPr="000F6626">
              <w:rPr>
                <w:rFonts w:ascii="Arial" w:hAnsi="Arial" w:cs="Arial"/>
                <w:b/>
                <w:sz w:val="16"/>
                <w:szCs w:val="16"/>
              </w:rPr>
              <w:t xml:space="preserve">: </w:t>
            </w:r>
            <w:r w:rsidRPr="000F6626">
              <w:rPr>
                <w:rFonts w:ascii="Arial" w:hAnsi="Arial" w:cs="Arial"/>
                <w:b/>
                <w:sz w:val="16"/>
                <w:szCs w:val="16"/>
                <w:lang w:val="es-ES"/>
              </w:rPr>
              <w:t xml:space="preserve">Aumentar la eficiencia de las EEPP del sector </w:t>
            </w:r>
            <w:proofErr w:type="gramStart"/>
            <w:r w:rsidRPr="000F6626">
              <w:rPr>
                <w:rFonts w:ascii="Arial" w:hAnsi="Arial" w:cs="Arial"/>
                <w:b/>
                <w:sz w:val="16"/>
                <w:szCs w:val="16"/>
                <w:lang w:val="es-ES"/>
              </w:rPr>
              <w:t xml:space="preserve">de </w:t>
            </w:r>
            <w:r w:rsidR="00E23B68" w:rsidRPr="00E23B68">
              <w:rPr>
                <w:rFonts w:ascii="Arial" w:eastAsia="Calibri" w:hAnsi="Arial" w:cs="Arial"/>
                <w:spacing w:val="0"/>
                <w:sz w:val="22"/>
                <w:szCs w:val="22"/>
                <w:lang w:val="es-ES"/>
              </w:rPr>
              <w:t xml:space="preserve"> </w:t>
            </w:r>
            <w:r w:rsidR="00E23B68" w:rsidRPr="00E23B68">
              <w:rPr>
                <w:rFonts w:ascii="Arial" w:hAnsi="Arial" w:cs="Arial"/>
                <w:b/>
                <w:sz w:val="16"/>
                <w:szCs w:val="16"/>
                <w:lang w:val="es-ES"/>
              </w:rPr>
              <w:t>hidrocarburos</w:t>
            </w:r>
            <w:proofErr w:type="gramEnd"/>
            <w:r w:rsidR="00E23B68" w:rsidRPr="00E23B68">
              <w:rPr>
                <w:rFonts w:ascii="Arial" w:hAnsi="Arial" w:cs="Arial"/>
                <w:b/>
                <w:sz w:val="16"/>
                <w:szCs w:val="16"/>
                <w:lang w:val="es-ES"/>
              </w:rPr>
              <w:t>, eléctrico</w:t>
            </w:r>
            <w:r w:rsidR="00E23B68" w:rsidRPr="00074E94">
              <w:rPr>
                <w:rFonts w:ascii="Arial" w:hAnsi="Arial" w:cs="Arial"/>
                <w:b/>
                <w:sz w:val="16"/>
                <w:szCs w:val="16"/>
                <w:lang w:val="es-ES"/>
              </w:rPr>
              <w:t xml:space="preserve"> </w:t>
            </w:r>
            <w:r w:rsidRPr="000F6626">
              <w:rPr>
                <w:rFonts w:ascii="Arial" w:hAnsi="Arial" w:cs="Arial"/>
                <w:b/>
                <w:sz w:val="16"/>
                <w:szCs w:val="16"/>
                <w:lang w:val="es-ES"/>
              </w:rPr>
              <w:t xml:space="preserve"> y aeronáutico </w:t>
            </w:r>
          </w:p>
        </w:tc>
      </w:tr>
      <w:bookmarkEnd w:id="36"/>
      <w:tr w:rsidR="000B0AFF" w:rsidRPr="000F6626" w14:paraId="14A437C9" w14:textId="77777777" w:rsidTr="00BE468F">
        <w:trPr>
          <w:trHeight w:val="903"/>
        </w:trPr>
        <w:tc>
          <w:tcPr>
            <w:tcW w:w="1782" w:type="dxa"/>
            <w:vAlign w:val="center"/>
          </w:tcPr>
          <w:p w14:paraId="36057A9E" w14:textId="05D1783F" w:rsidR="000B0AFF" w:rsidRPr="00224728" w:rsidRDefault="000B0AFF" w:rsidP="00BE468F">
            <w:pPr>
              <w:ind w:left="-40" w:right="-20"/>
              <w:rPr>
                <w:rFonts w:ascii="Arial" w:hAnsi="Arial" w:cs="Arial"/>
                <w:sz w:val="16"/>
                <w:szCs w:val="16"/>
              </w:rPr>
            </w:pPr>
          </w:p>
          <w:p w14:paraId="0B3DC862" w14:textId="2D53BBD6" w:rsidR="000B0AFF" w:rsidRPr="000F6626" w:rsidRDefault="000B0AFF" w:rsidP="00843A33">
            <w:pPr>
              <w:ind w:right="-20"/>
              <w:rPr>
                <w:rFonts w:ascii="Arial" w:hAnsi="Arial" w:cs="Arial"/>
                <w:sz w:val="16"/>
                <w:szCs w:val="16"/>
                <w:lang w:val="pt-BR"/>
              </w:rPr>
            </w:pPr>
            <w:r w:rsidRPr="000F6626">
              <w:rPr>
                <w:rFonts w:ascii="Arial" w:hAnsi="Arial" w:cs="Arial"/>
                <w:sz w:val="16"/>
                <w:szCs w:val="16"/>
                <w:lang w:val="es-EC"/>
              </w:rPr>
              <w:t>Gastos de Nómina de Personal</w:t>
            </w:r>
            <w:r>
              <w:rPr>
                <w:rFonts w:ascii="Arial" w:hAnsi="Arial" w:cs="Arial"/>
                <w:sz w:val="16"/>
                <w:szCs w:val="16"/>
                <w:lang w:val="es-EC"/>
              </w:rPr>
              <w:t xml:space="preserve"> PAM</w:t>
            </w:r>
            <w:r w:rsidRPr="000F6626">
              <w:rPr>
                <w:rFonts w:ascii="Arial" w:hAnsi="Arial" w:cs="Arial"/>
                <w:sz w:val="16"/>
                <w:szCs w:val="16"/>
                <w:lang w:val="es-EC"/>
              </w:rPr>
              <w:t xml:space="preserve"> / Barril Equivalente de Petróleo</w:t>
            </w:r>
            <w:r>
              <w:rPr>
                <w:rFonts w:ascii="Arial" w:hAnsi="Arial" w:cs="Arial"/>
                <w:sz w:val="16"/>
                <w:szCs w:val="16"/>
                <w:lang w:val="es-EC"/>
              </w:rPr>
              <w:t xml:space="preserve"> PAM</w:t>
            </w:r>
          </w:p>
        </w:tc>
        <w:tc>
          <w:tcPr>
            <w:tcW w:w="810" w:type="dxa"/>
            <w:vAlign w:val="center"/>
          </w:tcPr>
          <w:p w14:paraId="33A6FB10" w14:textId="77777777" w:rsidR="000B0AFF" w:rsidRPr="00C35ED9" w:rsidRDefault="000B0AFF" w:rsidP="00C35ED9">
            <w:pPr>
              <w:jc w:val="center"/>
              <w:rPr>
                <w:rFonts w:ascii="Arial" w:hAnsi="Arial" w:cs="Arial"/>
                <w:sz w:val="16"/>
                <w:szCs w:val="16"/>
              </w:rPr>
            </w:pPr>
            <w:r w:rsidRPr="00C35ED9">
              <w:rPr>
                <w:rFonts w:ascii="Arial" w:hAnsi="Arial" w:cs="Arial"/>
                <w:sz w:val="16"/>
                <w:szCs w:val="16"/>
              </w:rPr>
              <w:t>Número</w:t>
            </w:r>
          </w:p>
          <w:p w14:paraId="27FA594C" w14:textId="77777777" w:rsidR="000B0AFF" w:rsidRPr="00C35ED9" w:rsidRDefault="000B0AFF" w:rsidP="00C35ED9">
            <w:pPr>
              <w:jc w:val="center"/>
              <w:rPr>
                <w:rFonts w:ascii="Arial" w:hAnsi="Arial" w:cs="Arial"/>
                <w:sz w:val="16"/>
                <w:szCs w:val="16"/>
                <w:lang w:val="es-ES"/>
              </w:rPr>
            </w:pPr>
          </w:p>
          <w:p w14:paraId="4A409333" w14:textId="77777777" w:rsidR="000B0AFF" w:rsidRPr="00C35ED9" w:rsidRDefault="000B0AFF" w:rsidP="00C35ED9">
            <w:pPr>
              <w:jc w:val="center"/>
              <w:rPr>
                <w:rFonts w:ascii="Arial" w:hAnsi="Arial" w:cs="Arial"/>
                <w:sz w:val="16"/>
                <w:szCs w:val="16"/>
              </w:rPr>
            </w:pPr>
            <w:r w:rsidRPr="00C35ED9">
              <w:rPr>
                <w:rFonts w:ascii="Arial" w:hAnsi="Arial" w:cs="Arial"/>
                <w:sz w:val="16"/>
                <w:szCs w:val="16"/>
                <w:lang w:val="es-ES"/>
              </w:rPr>
              <w:t>US$/ Número barriles</w:t>
            </w:r>
          </w:p>
          <w:p w14:paraId="5C3D07EE" w14:textId="1B735C41" w:rsidR="000B0AFF" w:rsidRPr="000F6626" w:rsidRDefault="000B0AFF" w:rsidP="00BE468F">
            <w:pPr>
              <w:jc w:val="center"/>
              <w:rPr>
                <w:rFonts w:ascii="Arial" w:hAnsi="Arial" w:cs="Arial"/>
                <w:sz w:val="16"/>
                <w:szCs w:val="16"/>
                <w:lang w:val="pt-BR"/>
              </w:rPr>
            </w:pPr>
          </w:p>
        </w:tc>
        <w:tc>
          <w:tcPr>
            <w:tcW w:w="990" w:type="dxa"/>
            <w:vAlign w:val="center"/>
          </w:tcPr>
          <w:p w14:paraId="2C66155F"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1,20</w:t>
            </w:r>
          </w:p>
        </w:tc>
        <w:tc>
          <w:tcPr>
            <w:tcW w:w="810" w:type="dxa"/>
            <w:vAlign w:val="center"/>
          </w:tcPr>
          <w:p w14:paraId="634EA42B"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2018</w:t>
            </w:r>
          </w:p>
        </w:tc>
        <w:tc>
          <w:tcPr>
            <w:tcW w:w="900" w:type="dxa"/>
            <w:vAlign w:val="center"/>
          </w:tcPr>
          <w:p w14:paraId="5AFCEA79"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1,17</w:t>
            </w:r>
          </w:p>
        </w:tc>
        <w:tc>
          <w:tcPr>
            <w:tcW w:w="900" w:type="dxa"/>
            <w:vAlign w:val="center"/>
          </w:tcPr>
          <w:p w14:paraId="33BC1087" w14:textId="77777777" w:rsidR="000B0AFF" w:rsidRPr="000F6626" w:rsidRDefault="000B0AFF" w:rsidP="00BE468F">
            <w:pPr>
              <w:jc w:val="center"/>
              <w:rPr>
                <w:rFonts w:ascii="Arial" w:hAnsi="Arial" w:cs="Arial"/>
                <w:sz w:val="16"/>
                <w:szCs w:val="16"/>
                <w:lang w:val="pt-BR"/>
              </w:rPr>
            </w:pPr>
            <w:r>
              <w:rPr>
                <w:rFonts w:ascii="Arial" w:hAnsi="Arial" w:cs="Arial"/>
                <w:sz w:val="16"/>
                <w:szCs w:val="16"/>
                <w:lang w:val="pt-BR"/>
              </w:rPr>
              <w:t>1</w:t>
            </w:r>
          </w:p>
        </w:tc>
        <w:tc>
          <w:tcPr>
            <w:tcW w:w="810" w:type="dxa"/>
            <w:vAlign w:val="center"/>
          </w:tcPr>
          <w:p w14:paraId="50D2EC73" w14:textId="77777777" w:rsidR="000B0AFF" w:rsidRPr="000F6626" w:rsidRDefault="000B0AFF" w:rsidP="00BE468F">
            <w:pPr>
              <w:jc w:val="center"/>
              <w:rPr>
                <w:rFonts w:ascii="Arial" w:hAnsi="Arial" w:cs="Arial"/>
                <w:sz w:val="16"/>
                <w:szCs w:val="16"/>
                <w:lang w:val="pt-BR"/>
              </w:rPr>
            </w:pPr>
            <w:r>
              <w:rPr>
                <w:rFonts w:ascii="Arial" w:hAnsi="Arial" w:cs="Arial"/>
                <w:sz w:val="16"/>
                <w:szCs w:val="16"/>
                <w:lang w:val="pt-BR"/>
              </w:rPr>
              <w:t>1</w:t>
            </w:r>
          </w:p>
        </w:tc>
        <w:tc>
          <w:tcPr>
            <w:tcW w:w="1170" w:type="dxa"/>
            <w:vAlign w:val="center"/>
          </w:tcPr>
          <w:p w14:paraId="46C5D6B6"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w:t>
            </w:r>
          </w:p>
        </w:tc>
        <w:tc>
          <w:tcPr>
            <w:tcW w:w="1260" w:type="dxa"/>
            <w:vAlign w:val="center"/>
          </w:tcPr>
          <w:p w14:paraId="2ECAE347"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w:t>
            </w:r>
            <w:r w:rsidRPr="000F6626">
              <w:rPr>
                <w:rStyle w:val="FootnoteReference"/>
                <w:rFonts w:ascii="Arial" w:hAnsi="Arial" w:cs="Arial"/>
                <w:sz w:val="16"/>
                <w:szCs w:val="16"/>
                <w:lang w:val="pt-BR"/>
              </w:rPr>
              <w:footnoteReference w:id="35"/>
            </w:r>
          </w:p>
        </w:tc>
        <w:tc>
          <w:tcPr>
            <w:tcW w:w="2430" w:type="dxa"/>
            <w:vMerge w:val="restart"/>
            <w:vAlign w:val="center"/>
          </w:tcPr>
          <w:p w14:paraId="387DE87F" w14:textId="21C713D3" w:rsidR="000B0AFF" w:rsidRPr="000F6626" w:rsidRDefault="000B0AFF" w:rsidP="00CE76F2">
            <w:pPr>
              <w:rPr>
                <w:rFonts w:ascii="Arial" w:hAnsi="Arial" w:cs="Arial"/>
                <w:sz w:val="16"/>
                <w:szCs w:val="16"/>
                <w:lang w:val="es-ES"/>
              </w:rPr>
            </w:pPr>
            <w:r w:rsidRPr="000F6626">
              <w:rPr>
                <w:rFonts w:ascii="Arial" w:hAnsi="Arial" w:cs="Arial"/>
                <w:sz w:val="16"/>
                <w:szCs w:val="16"/>
                <w:lang w:val="es-ES"/>
              </w:rPr>
              <w:t>Informe anual</w:t>
            </w:r>
            <w:r>
              <w:rPr>
                <w:rFonts w:ascii="Arial" w:hAnsi="Arial" w:cs="Arial"/>
                <w:sz w:val="16"/>
                <w:szCs w:val="16"/>
                <w:lang w:val="es-ES"/>
              </w:rPr>
              <w:t>,</w:t>
            </w:r>
            <w:r w:rsidRPr="000F6626">
              <w:rPr>
                <w:rFonts w:ascii="Arial" w:hAnsi="Arial" w:cs="Arial"/>
                <w:sz w:val="16"/>
                <w:szCs w:val="16"/>
                <w:lang w:val="es-ES"/>
              </w:rPr>
              <w:t xml:space="preserve"> MERNNR.</w:t>
            </w:r>
          </w:p>
        </w:tc>
        <w:tc>
          <w:tcPr>
            <w:tcW w:w="3690" w:type="dxa"/>
            <w:vAlign w:val="center"/>
          </w:tcPr>
          <w:p w14:paraId="3078A01D" w14:textId="3ABFE6DD" w:rsidR="000B0AFF" w:rsidRDefault="000B0AFF" w:rsidP="00BE468F">
            <w:pPr>
              <w:rPr>
                <w:rFonts w:ascii="Arial" w:hAnsi="Arial" w:cs="Arial"/>
                <w:b/>
                <w:sz w:val="16"/>
                <w:szCs w:val="16"/>
                <w:lang w:val="pt-BR"/>
              </w:rPr>
            </w:pPr>
            <w:proofErr w:type="spellStart"/>
            <w:r>
              <w:rPr>
                <w:rFonts w:ascii="Arial" w:hAnsi="Arial" w:cs="Arial"/>
                <w:b/>
                <w:sz w:val="16"/>
                <w:szCs w:val="16"/>
                <w:lang w:val="pt-BR"/>
              </w:rPr>
              <w:t>Eficiencia</w:t>
            </w:r>
            <w:proofErr w:type="spellEnd"/>
            <w:r>
              <w:rPr>
                <w:rFonts w:ascii="Arial" w:hAnsi="Arial" w:cs="Arial"/>
                <w:b/>
                <w:sz w:val="16"/>
                <w:szCs w:val="16"/>
                <w:lang w:val="pt-BR"/>
              </w:rPr>
              <w:t xml:space="preserve"> labora PAM</w:t>
            </w:r>
            <w:r w:rsidR="00C10A72">
              <w:rPr>
                <w:rFonts w:ascii="Arial" w:hAnsi="Arial" w:cs="Arial"/>
                <w:b/>
                <w:sz w:val="16"/>
                <w:szCs w:val="16"/>
                <w:lang w:val="pt-BR"/>
              </w:rPr>
              <w:t>.</w:t>
            </w:r>
          </w:p>
          <w:p w14:paraId="514D1179" w14:textId="6874F2BA" w:rsidR="000B0AFF" w:rsidRPr="000F6626" w:rsidRDefault="000B0AFF" w:rsidP="00BE468F">
            <w:pPr>
              <w:rPr>
                <w:rFonts w:ascii="Arial" w:hAnsi="Arial" w:cs="Arial"/>
                <w:sz w:val="16"/>
                <w:szCs w:val="16"/>
                <w:lang w:val="pt-BR"/>
              </w:rPr>
            </w:pPr>
            <w:r w:rsidRPr="000F6626">
              <w:rPr>
                <w:rFonts w:ascii="Arial" w:hAnsi="Arial" w:cs="Arial"/>
                <w:b/>
                <w:sz w:val="16"/>
                <w:szCs w:val="16"/>
                <w:lang w:val="pt-BR"/>
              </w:rPr>
              <w:t xml:space="preserve">LB: </w:t>
            </w:r>
            <w:r w:rsidRPr="000F6626">
              <w:rPr>
                <w:rFonts w:ascii="Arial" w:hAnsi="Arial" w:cs="Arial"/>
                <w:sz w:val="16"/>
                <w:szCs w:val="16"/>
                <w:lang w:val="pt-BR"/>
              </w:rPr>
              <w:t>1,2</w:t>
            </w:r>
            <w:r w:rsidRPr="000F6626">
              <w:rPr>
                <w:rFonts w:ascii="Arial" w:hAnsi="Arial" w:cs="Arial"/>
                <w:b/>
                <w:sz w:val="16"/>
                <w:szCs w:val="16"/>
                <w:lang w:val="pt-BR"/>
              </w:rPr>
              <w:t xml:space="preserve"> </w:t>
            </w:r>
            <w:r w:rsidRPr="000F6626">
              <w:rPr>
                <w:rFonts w:ascii="Arial" w:hAnsi="Arial" w:cs="Arial"/>
                <w:sz w:val="16"/>
                <w:szCs w:val="16"/>
                <w:lang w:val="pt-BR"/>
              </w:rPr>
              <w:t xml:space="preserve">= </w:t>
            </w:r>
            <w:r w:rsidRPr="000F6626">
              <w:rPr>
                <w:rFonts w:ascii="Arial" w:hAnsi="Arial" w:cs="Arial"/>
                <w:sz w:val="16"/>
                <w:szCs w:val="16"/>
                <w:lang w:val="es-EC"/>
              </w:rPr>
              <w:t xml:space="preserve">Gastos Nómina Personal </w:t>
            </w:r>
            <w:r>
              <w:rPr>
                <w:rFonts w:ascii="Arial" w:hAnsi="Arial" w:cs="Arial"/>
                <w:sz w:val="16"/>
                <w:szCs w:val="16"/>
                <w:lang w:val="es-EC"/>
              </w:rPr>
              <w:t>(</w:t>
            </w:r>
            <w:r w:rsidRPr="00340161">
              <w:rPr>
                <w:rFonts w:ascii="Arial" w:hAnsi="Arial" w:cs="Arial"/>
                <w:sz w:val="16"/>
                <w:szCs w:val="16"/>
              </w:rPr>
              <w:t>US$</w:t>
            </w:r>
            <w:r w:rsidRPr="00955EBE">
              <w:rPr>
                <w:rFonts w:ascii="Arial" w:hAnsi="Arial" w:cs="Arial"/>
                <w:sz w:val="16"/>
                <w:szCs w:val="16"/>
                <w:lang w:val="es-EC"/>
              </w:rPr>
              <w:t>178.722.</w:t>
            </w:r>
            <w:r w:rsidR="00EE4DBE" w:rsidRPr="00955EBE">
              <w:rPr>
                <w:rFonts w:ascii="Arial" w:hAnsi="Arial" w:cs="Arial"/>
                <w:sz w:val="16"/>
                <w:szCs w:val="16"/>
                <w:lang w:val="es-EC"/>
              </w:rPr>
              <w:t>317</w:t>
            </w:r>
            <w:r w:rsidR="00EE4DBE">
              <w:rPr>
                <w:rFonts w:ascii="Arial" w:hAnsi="Arial" w:cs="Arial"/>
                <w:sz w:val="16"/>
                <w:szCs w:val="16"/>
                <w:lang w:val="es-EC"/>
              </w:rPr>
              <w:t>)</w:t>
            </w:r>
            <w:r w:rsidR="00EE4DBE" w:rsidRPr="000F6626">
              <w:rPr>
                <w:rFonts w:ascii="Arial" w:hAnsi="Arial" w:cs="Arial"/>
                <w:sz w:val="16"/>
                <w:szCs w:val="16"/>
                <w:lang w:val="pt-BR"/>
              </w:rPr>
              <w:t xml:space="preserve"> /</w:t>
            </w:r>
            <w:r w:rsidRPr="000F6626">
              <w:rPr>
                <w:rFonts w:ascii="Arial" w:hAnsi="Arial" w:cs="Arial"/>
                <w:sz w:val="16"/>
                <w:szCs w:val="16"/>
                <w:lang w:val="pt-BR"/>
              </w:rPr>
              <w:t xml:space="preserve"> </w:t>
            </w:r>
            <w:r w:rsidRPr="000F6626">
              <w:rPr>
                <w:rFonts w:ascii="Arial" w:hAnsi="Arial" w:cs="Arial"/>
                <w:sz w:val="16"/>
                <w:szCs w:val="16"/>
                <w:lang w:val="es-EC"/>
              </w:rPr>
              <w:t>Barril Equivalente de Petróleo</w:t>
            </w:r>
            <w:r w:rsidRPr="000F6626">
              <w:rPr>
                <w:rFonts w:ascii="Arial" w:hAnsi="Arial" w:cs="Arial"/>
                <w:sz w:val="16"/>
                <w:szCs w:val="16"/>
                <w:lang w:val="pt-BR"/>
              </w:rPr>
              <w:t xml:space="preserve"> (</w:t>
            </w:r>
            <w:r w:rsidRPr="00955EBE">
              <w:rPr>
                <w:rFonts w:ascii="Arial" w:hAnsi="Arial" w:cs="Arial"/>
                <w:sz w:val="16"/>
                <w:szCs w:val="16"/>
                <w:lang w:val="es-EC"/>
              </w:rPr>
              <w:t>148.461.732</w:t>
            </w:r>
            <w:r w:rsidRPr="000F6626">
              <w:rPr>
                <w:rFonts w:ascii="Arial" w:hAnsi="Arial" w:cs="Arial"/>
                <w:sz w:val="16"/>
                <w:szCs w:val="16"/>
                <w:lang w:val="pt-BR"/>
              </w:rPr>
              <w:t>)</w:t>
            </w:r>
          </w:p>
        </w:tc>
      </w:tr>
      <w:tr w:rsidR="000B0AFF" w:rsidRPr="000F6626" w14:paraId="536B77DA" w14:textId="77777777" w:rsidTr="00BE468F">
        <w:trPr>
          <w:trHeight w:val="903"/>
        </w:trPr>
        <w:tc>
          <w:tcPr>
            <w:tcW w:w="1782" w:type="dxa"/>
            <w:vAlign w:val="center"/>
          </w:tcPr>
          <w:p w14:paraId="7AFCD1EA" w14:textId="6990CB0B" w:rsidR="000B0AFF" w:rsidRPr="000F6626" w:rsidRDefault="000B0AFF" w:rsidP="00BE468F">
            <w:pPr>
              <w:ind w:left="-40" w:right="-20"/>
              <w:rPr>
                <w:rFonts w:ascii="Arial" w:hAnsi="Arial" w:cs="Arial"/>
                <w:sz w:val="16"/>
                <w:szCs w:val="16"/>
                <w:lang w:val="es-EC" w:eastAsia="zh-CN"/>
              </w:rPr>
            </w:pPr>
          </w:p>
          <w:p w14:paraId="500DEB2D" w14:textId="73942F39" w:rsidR="000B0AFF" w:rsidRPr="000F6626" w:rsidRDefault="000B0AFF" w:rsidP="00BE468F">
            <w:pPr>
              <w:ind w:left="-40" w:right="-20"/>
              <w:rPr>
                <w:rFonts w:ascii="Arial" w:hAnsi="Arial" w:cs="Arial"/>
                <w:sz w:val="16"/>
                <w:szCs w:val="16"/>
                <w:lang w:val="pt-BR"/>
              </w:rPr>
            </w:pPr>
            <w:r w:rsidRPr="000F6626">
              <w:rPr>
                <w:rFonts w:ascii="Arial" w:hAnsi="Arial" w:cs="Arial"/>
                <w:sz w:val="16"/>
                <w:szCs w:val="16"/>
                <w:lang w:val="es-EC" w:eastAsia="zh-CN"/>
              </w:rPr>
              <w:t>Gastos de Nómina de Personal</w:t>
            </w:r>
            <w:r>
              <w:rPr>
                <w:rFonts w:ascii="Arial" w:hAnsi="Arial" w:cs="Arial"/>
                <w:sz w:val="16"/>
                <w:szCs w:val="16"/>
                <w:lang w:val="es-EC" w:eastAsia="zh-CN"/>
              </w:rPr>
              <w:t xml:space="preserve"> PEC</w:t>
            </w:r>
            <w:r w:rsidRPr="000F6626">
              <w:rPr>
                <w:rFonts w:ascii="Arial" w:hAnsi="Arial" w:cs="Arial"/>
                <w:sz w:val="16"/>
                <w:szCs w:val="16"/>
                <w:lang w:val="es-EC" w:eastAsia="zh-CN"/>
              </w:rPr>
              <w:t xml:space="preserve"> / Derivados o Refinados Producidos</w:t>
            </w:r>
            <w:r>
              <w:rPr>
                <w:rFonts w:ascii="Arial" w:hAnsi="Arial" w:cs="Arial"/>
                <w:sz w:val="16"/>
                <w:szCs w:val="16"/>
                <w:lang w:val="es-EC" w:eastAsia="zh-CN"/>
              </w:rPr>
              <w:t xml:space="preserve"> PEC</w:t>
            </w:r>
          </w:p>
        </w:tc>
        <w:tc>
          <w:tcPr>
            <w:tcW w:w="810" w:type="dxa"/>
            <w:vAlign w:val="center"/>
          </w:tcPr>
          <w:p w14:paraId="04C54E47" w14:textId="77777777" w:rsidR="000B0AFF" w:rsidRPr="001F5A8C" w:rsidRDefault="000B0AFF" w:rsidP="001F5A8C">
            <w:pPr>
              <w:jc w:val="center"/>
              <w:rPr>
                <w:rFonts w:ascii="Arial" w:hAnsi="Arial" w:cs="Arial"/>
                <w:sz w:val="16"/>
                <w:szCs w:val="16"/>
              </w:rPr>
            </w:pPr>
            <w:r w:rsidRPr="001F5A8C">
              <w:rPr>
                <w:rFonts w:ascii="Arial" w:hAnsi="Arial" w:cs="Arial"/>
                <w:sz w:val="16"/>
                <w:szCs w:val="16"/>
              </w:rPr>
              <w:t>Número</w:t>
            </w:r>
          </w:p>
          <w:p w14:paraId="2058AC13" w14:textId="77777777" w:rsidR="000B0AFF" w:rsidRPr="001F5A8C" w:rsidRDefault="000B0AFF" w:rsidP="001F5A8C">
            <w:pPr>
              <w:jc w:val="center"/>
              <w:rPr>
                <w:rFonts w:ascii="Arial" w:hAnsi="Arial" w:cs="Arial"/>
                <w:sz w:val="16"/>
                <w:szCs w:val="16"/>
                <w:lang w:val="es-ES"/>
              </w:rPr>
            </w:pPr>
          </w:p>
          <w:p w14:paraId="41041037" w14:textId="1266A82A" w:rsidR="000B0AFF" w:rsidRPr="000F6626" w:rsidRDefault="000B0AFF" w:rsidP="001F5A8C">
            <w:pPr>
              <w:jc w:val="center"/>
              <w:rPr>
                <w:rFonts w:ascii="Arial" w:hAnsi="Arial" w:cs="Arial"/>
                <w:sz w:val="16"/>
                <w:szCs w:val="16"/>
              </w:rPr>
            </w:pPr>
            <w:r w:rsidRPr="001F5A8C">
              <w:rPr>
                <w:rFonts w:ascii="Arial" w:hAnsi="Arial" w:cs="Arial"/>
                <w:sz w:val="16"/>
                <w:szCs w:val="16"/>
                <w:lang w:val="es-ES"/>
              </w:rPr>
              <w:t>US$/ Número derivados</w:t>
            </w:r>
          </w:p>
        </w:tc>
        <w:tc>
          <w:tcPr>
            <w:tcW w:w="990" w:type="dxa"/>
            <w:vAlign w:val="center"/>
          </w:tcPr>
          <w:p w14:paraId="53EED2EA"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1,85</w:t>
            </w:r>
          </w:p>
        </w:tc>
        <w:tc>
          <w:tcPr>
            <w:tcW w:w="810" w:type="dxa"/>
            <w:vAlign w:val="center"/>
          </w:tcPr>
          <w:p w14:paraId="0C1E390C"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2018</w:t>
            </w:r>
          </w:p>
        </w:tc>
        <w:tc>
          <w:tcPr>
            <w:tcW w:w="900" w:type="dxa"/>
            <w:vAlign w:val="center"/>
          </w:tcPr>
          <w:p w14:paraId="7E7F3342"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1,85</w:t>
            </w:r>
          </w:p>
        </w:tc>
        <w:tc>
          <w:tcPr>
            <w:tcW w:w="900" w:type="dxa"/>
            <w:vAlign w:val="center"/>
          </w:tcPr>
          <w:p w14:paraId="70DE6A21"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1,82</w:t>
            </w:r>
          </w:p>
        </w:tc>
        <w:tc>
          <w:tcPr>
            <w:tcW w:w="810" w:type="dxa"/>
            <w:vAlign w:val="center"/>
          </w:tcPr>
          <w:p w14:paraId="1F9A5745"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1,80</w:t>
            </w:r>
          </w:p>
        </w:tc>
        <w:tc>
          <w:tcPr>
            <w:tcW w:w="1170" w:type="dxa"/>
            <w:vAlign w:val="center"/>
          </w:tcPr>
          <w:p w14:paraId="7F12BF77"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1,77</w:t>
            </w:r>
          </w:p>
        </w:tc>
        <w:tc>
          <w:tcPr>
            <w:tcW w:w="1260" w:type="dxa"/>
            <w:vAlign w:val="center"/>
          </w:tcPr>
          <w:p w14:paraId="0D482A6D" w14:textId="77777777" w:rsidR="000B0AFF" w:rsidRPr="000F6626" w:rsidRDefault="000B0AFF" w:rsidP="00BE468F">
            <w:pPr>
              <w:jc w:val="center"/>
              <w:rPr>
                <w:rFonts w:ascii="Arial" w:hAnsi="Arial" w:cs="Arial"/>
                <w:sz w:val="16"/>
                <w:szCs w:val="16"/>
                <w:lang w:val="pt-BR"/>
              </w:rPr>
            </w:pPr>
            <w:r w:rsidRPr="000F6626">
              <w:rPr>
                <w:rFonts w:ascii="Arial" w:hAnsi="Arial" w:cs="Arial"/>
                <w:sz w:val="16"/>
                <w:szCs w:val="16"/>
                <w:lang w:val="pt-BR"/>
              </w:rPr>
              <w:t>1,77</w:t>
            </w:r>
          </w:p>
        </w:tc>
        <w:tc>
          <w:tcPr>
            <w:tcW w:w="2430" w:type="dxa"/>
            <w:vMerge/>
            <w:vAlign w:val="center"/>
          </w:tcPr>
          <w:p w14:paraId="2490442F" w14:textId="126D6435" w:rsidR="000B0AFF" w:rsidRPr="000F6626" w:rsidRDefault="000B0AFF" w:rsidP="00CE76F2">
            <w:pPr>
              <w:rPr>
                <w:rFonts w:ascii="Arial" w:hAnsi="Arial" w:cs="Arial"/>
                <w:sz w:val="16"/>
                <w:szCs w:val="16"/>
                <w:lang w:val="es-ES"/>
              </w:rPr>
            </w:pPr>
          </w:p>
        </w:tc>
        <w:tc>
          <w:tcPr>
            <w:tcW w:w="3690" w:type="dxa"/>
            <w:vAlign w:val="center"/>
          </w:tcPr>
          <w:p w14:paraId="689A337C" w14:textId="6FDADF92" w:rsidR="00E87EB0" w:rsidRDefault="00E87EB0" w:rsidP="00BE468F">
            <w:pPr>
              <w:rPr>
                <w:rFonts w:ascii="Arial" w:hAnsi="Arial" w:cs="Arial"/>
                <w:b/>
                <w:sz w:val="16"/>
                <w:szCs w:val="16"/>
                <w:lang w:val="pt-BR"/>
              </w:rPr>
            </w:pPr>
            <w:proofErr w:type="spellStart"/>
            <w:r>
              <w:rPr>
                <w:rFonts w:ascii="Arial" w:hAnsi="Arial" w:cs="Arial"/>
                <w:b/>
                <w:sz w:val="16"/>
                <w:szCs w:val="16"/>
                <w:lang w:val="pt-BR"/>
              </w:rPr>
              <w:t>Eficiencia</w:t>
            </w:r>
            <w:proofErr w:type="spellEnd"/>
            <w:r>
              <w:rPr>
                <w:rFonts w:ascii="Arial" w:hAnsi="Arial" w:cs="Arial"/>
                <w:b/>
                <w:sz w:val="16"/>
                <w:szCs w:val="16"/>
                <w:lang w:val="pt-BR"/>
              </w:rPr>
              <w:t xml:space="preserve"> laboral PEC</w:t>
            </w:r>
            <w:r w:rsidR="00C10A72">
              <w:rPr>
                <w:rFonts w:ascii="Arial" w:hAnsi="Arial" w:cs="Arial"/>
                <w:b/>
                <w:sz w:val="16"/>
                <w:szCs w:val="16"/>
                <w:lang w:val="pt-BR"/>
              </w:rPr>
              <w:t>.</w:t>
            </w:r>
          </w:p>
          <w:p w14:paraId="4D947579" w14:textId="58E12F7A" w:rsidR="000B0AFF" w:rsidRPr="000F6626" w:rsidRDefault="000B0AFF" w:rsidP="00BE468F">
            <w:pPr>
              <w:rPr>
                <w:rFonts w:ascii="Arial" w:hAnsi="Arial" w:cs="Arial"/>
                <w:b/>
                <w:sz w:val="16"/>
                <w:szCs w:val="16"/>
                <w:lang w:val="pt-BR"/>
              </w:rPr>
            </w:pPr>
            <w:r w:rsidRPr="000F6626">
              <w:rPr>
                <w:rFonts w:ascii="Arial" w:hAnsi="Arial" w:cs="Arial"/>
                <w:b/>
                <w:sz w:val="16"/>
                <w:szCs w:val="16"/>
                <w:lang w:val="pt-BR"/>
              </w:rPr>
              <w:t xml:space="preserve">LB: </w:t>
            </w:r>
            <w:r w:rsidRPr="000F6626">
              <w:rPr>
                <w:rFonts w:ascii="Arial" w:hAnsi="Arial" w:cs="Arial"/>
                <w:sz w:val="16"/>
                <w:szCs w:val="16"/>
                <w:lang w:val="pt-BR"/>
              </w:rPr>
              <w:t>1,85</w:t>
            </w:r>
            <w:r w:rsidRPr="000F6626">
              <w:rPr>
                <w:rFonts w:ascii="Arial" w:hAnsi="Arial" w:cs="Arial"/>
                <w:b/>
                <w:sz w:val="16"/>
                <w:szCs w:val="16"/>
                <w:lang w:val="pt-BR"/>
              </w:rPr>
              <w:t xml:space="preserve"> </w:t>
            </w:r>
            <w:r w:rsidRPr="000F6626">
              <w:rPr>
                <w:rFonts w:ascii="Arial" w:hAnsi="Arial" w:cs="Arial"/>
                <w:sz w:val="16"/>
                <w:szCs w:val="16"/>
                <w:lang w:val="pt-BR"/>
              </w:rPr>
              <w:t xml:space="preserve">= </w:t>
            </w:r>
            <w:r w:rsidRPr="000F6626">
              <w:rPr>
                <w:rFonts w:ascii="Arial" w:hAnsi="Arial" w:cs="Arial"/>
                <w:sz w:val="16"/>
                <w:szCs w:val="16"/>
                <w:lang w:val="es-EC"/>
              </w:rPr>
              <w:t xml:space="preserve">Gastos Nómina Personal </w:t>
            </w:r>
            <w:r w:rsidRPr="000F6626">
              <w:rPr>
                <w:rFonts w:ascii="Arial" w:hAnsi="Arial" w:cs="Arial"/>
                <w:sz w:val="16"/>
                <w:szCs w:val="16"/>
                <w:lang w:val="pt-BR"/>
              </w:rPr>
              <w:t>(</w:t>
            </w:r>
            <w:r w:rsidRPr="00340161">
              <w:rPr>
                <w:rFonts w:ascii="Arial" w:hAnsi="Arial" w:cs="Arial"/>
                <w:sz w:val="16"/>
                <w:szCs w:val="16"/>
              </w:rPr>
              <w:t>US$</w:t>
            </w:r>
            <w:r w:rsidRPr="00955EBE">
              <w:rPr>
                <w:rFonts w:ascii="Arial" w:hAnsi="Arial" w:cs="Arial"/>
                <w:sz w:val="16"/>
                <w:szCs w:val="16"/>
                <w:lang w:val="es-EC"/>
              </w:rPr>
              <w:t>12.937.748</w:t>
            </w:r>
            <w:r w:rsidRPr="000F6626">
              <w:rPr>
                <w:rFonts w:ascii="Arial" w:hAnsi="Arial" w:cs="Arial"/>
                <w:sz w:val="16"/>
                <w:szCs w:val="16"/>
                <w:lang w:val="pt-BR"/>
              </w:rPr>
              <w:t xml:space="preserve">) / </w:t>
            </w:r>
            <w:r w:rsidRPr="000F6626">
              <w:rPr>
                <w:rFonts w:ascii="Arial" w:hAnsi="Arial" w:cs="Arial"/>
                <w:sz w:val="16"/>
                <w:szCs w:val="16"/>
                <w:lang w:val="es-EC"/>
              </w:rPr>
              <w:t>Derivados o Refinados Producidos</w:t>
            </w:r>
            <w:r w:rsidRPr="000F6626">
              <w:rPr>
                <w:rFonts w:ascii="Arial" w:hAnsi="Arial" w:cs="Arial"/>
                <w:sz w:val="16"/>
                <w:szCs w:val="16"/>
                <w:lang w:val="pt-BR"/>
              </w:rPr>
              <w:t xml:space="preserve"> (</w:t>
            </w:r>
            <w:r w:rsidRPr="00955EBE">
              <w:rPr>
                <w:rFonts w:ascii="Arial" w:hAnsi="Arial" w:cs="Arial"/>
                <w:sz w:val="16"/>
                <w:szCs w:val="16"/>
                <w:lang w:val="es-EC"/>
              </w:rPr>
              <w:t>6.987.637</w:t>
            </w:r>
            <w:r w:rsidRPr="000F6626">
              <w:rPr>
                <w:rFonts w:ascii="Arial" w:hAnsi="Arial" w:cs="Arial"/>
                <w:sz w:val="16"/>
                <w:szCs w:val="16"/>
                <w:lang w:val="pt-BR"/>
              </w:rPr>
              <w:t>)</w:t>
            </w:r>
          </w:p>
        </w:tc>
      </w:tr>
      <w:tr w:rsidR="000B0AFF" w:rsidRPr="000F6626" w14:paraId="28FE0693" w14:textId="77777777" w:rsidTr="00BE468F">
        <w:trPr>
          <w:trHeight w:val="903"/>
        </w:trPr>
        <w:tc>
          <w:tcPr>
            <w:tcW w:w="1782" w:type="dxa"/>
          </w:tcPr>
          <w:p w14:paraId="5CE1B851" w14:textId="51E73010" w:rsidR="000B0AFF" w:rsidRPr="0090638B" w:rsidRDefault="000B0AFF" w:rsidP="00BE468F">
            <w:pPr>
              <w:ind w:left="-40" w:right="-20"/>
              <w:rPr>
                <w:rFonts w:ascii="Arial" w:hAnsi="Arial" w:cs="Arial"/>
                <w:sz w:val="16"/>
                <w:szCs w:val="16"/>
                <w:lang w:val="es-ES"/>
              </w:rPr>
            </w:pPr>
          </w:p>
          <w:p w14:paraId="5A68D843" w14:textId="027F6E81" w:rsidR="000B0AFF" w:rsidRPr="0090638B" w:rsidRDefault="000B0AFF" w:rsidP="00BE468F">
            <w:pPr>
              <w:ind w:left="-40" w:right="-20"/>
              <w:rPr>
                <w:rFonts w:ascii="Arial" w:hAnsi="Arial" w:cs="Arial"/>
                <w:sz w:val="16"/>
                <w:szCs w:val="16"/>
                <w:lang w:val="es-EC" w:eastAsia="zh-CN"/>
              </w:rPr>
            </w:pPr>
            <w:r w:rsidRPr="0090638B">
              <w:rPr>
                <w:rFonts w:ascii="Arial" w:hAnsi="Arial" w:cs="Arial"/>
                <w:color w:val="000000" w:themeColor="text1"/>
                <w:sz w:val="16"/>
                <w:szCs w:val="16"/>
              </w:rPr>
              <w:t xml:space="preserve">Número de </w:t>
            </w:r>
            <w:r w:rsidRPr="0090638B">
              <w:rPr>
                <w:rFonts w:ascii="Arial" w:hAnsi="Arial" w:cs="Arial"/>
                <w:sz w:val="16"/>
                <w:szCs w:val="16"/>
                <w:lang w:val="es-ES"/>
              </w:rPr>
              <w:t>empleados</w:t>
            </w:r>
            <w:r w:rsidR="00C10A72">
              <w:rPr>
                <w:rFonts w:ascii="Arial" w:hAnsi="Arial" w:cs="Arial"/>
                <w:sz w:val="16"/>
                <w:szCs w:val="16"/>
                <w:lang w:val="es-ES"/>
              </w:rPr>
              <w:t xml:space="preserve"> CELEC</w:t>
            </w:r>
            <w:r w:rsidRPr="0090638B">
              <w:rPr>
                <w:rFonts w:ascii="Arial" w:hAnsi="Arial" w:cs="Arial"/>
                <w:sz w:val="16"/>
                <w:szCs w:val="16"/>
                <w:lang w:val="es-ES"/>
              </w:rPr>
              <w:t xml:space="preserve">/ </w:t>
            </w:r>
            <w:r w:rsidRPr="0090638B">
              <w:rPr>
                <w:rFonts w:ascii="Arial" w:hAnsi="Arial" w:cs="Arial"/>
                <w:color w:val="000000" w:themeColor="text1"/>
                <w:sz w:val="16"/>
                <w:szCs w:val="16"/>
                <w:lang w:val="es-ES"/>
              </w:rPr>
              <w:t>P</w:t>
            </w:r>
            <w:proofErr w:type="spellStart"/>
            <w:r w:rsidRPr="0090638B">
              <w:rPr>
                <w:rFonts w:ascii="Arial" w:hAnsi="Arial" w:cs="Arial"/>
                <w:color w:val="000000" w:themeColor="text1"/>
                <w:sz w:val="16"/>
                <w:szCs w:val="16"/>
              </w:rPr>
              <w:t>roducción</w:t>
            </w:r>
            <w:proofErr w:type="spellEnd"/>
            <w:r w:rsidRPr="0090638B">
              <w:rPr>
                <w:rFonts w:ascii="Arial" w:hAnsi="Arial" w:cs="Arial"/>
                <w:color w:val="000000" w:themeColor="text1"/>
                <w:sz w:val="16"/>
                <w:szCs w:val="16"/>
              </w:rPr>
              <w:t xml:space="preserve"> </w:t>
            </w:r>
            <w:r w:rsidRPr="0090638B">
              <w:rPr>
                <w:rFonts w:ascii="Arial" w:hAnsi="Arial" w:cs="Arial"/>
                <w:color w:val="000000" w:themeColor="text1"/>
                <w:sz w:val="16"/>
                <w:szCs w:val="16"/>
                <w:lang w:val="es-ES"/>
              </w:rPr>
              <w:t>(</w:t>
            </w:r>
            <w:r w:rsidRPr="0090638B">
              <w:rPr>
                <w:rFonts w:ascii="Arial" w:hAnsi="Arial" w:cs="Arial"/>
                <w:color w:val="000000" w:themeColor="text1"/>
                <w:sz w:val="16"/>
                <w:szCs w:val="16"/>
              </w:rPr>
              <w:t>GWh</w:t>
            </w:r>
            <w:r w:rsidR="00C10A72">
              <w:rPr>
                <w:rFonts w:ascii="Arial" w:hAnsi="Arial" w:cs="Arial"/>
                <w:color w:val="000000" w:themeColor="text1"/>
                <w:sz w:val="16"/>
                <w:szCs w:val="16"/>
              </w:rPr>
              <w:t>) CELEC</w:t>
            </w:r>
          </w:p>
        </w:tc>
        <w:tc>
          <w:tcPr>
            <w:tcW w:w="810" w:type="dxa"/>
            <w:vAlign w:val="center"/>
          </w:tcPr>
          <w:p w14:paraId="672FFC47" w14:textId="77777777" w:rsidR="000B0AFF" w:rsidRPr="001F5A8C" w:rsidRDefault="000B0AFF" w:rsidP="001F5A8C">
            <w:pPr>
              <w:jc w:val="center"/>
              <w:rPr>
                <w:rFonts w:ascii="Arial" w:hAnsi="Arial" w:cs="Arial"/>
                <w:sz w:val="16"/>
                <w:szCs w:val="16"/>
              </w:rPr>
            </w:pPr>
            <w:r w:rsidRPr="001F5A8C">
              <w:rPr>
                <w:rFonts w:ascii="Arial" w:hAnsi="Arial" w:cs="Arial"/>
                <w:sz w:val="16"/>
                <w:szCs w:val="16"/>
              </w:rPr>
              <w:t>Número</w:t>
            </w:r>
          </w:p>
          <w:p w14:paraId="36EE128D" w14:textId="77777777" w:rsidR="000B0AFF" w:rsidRPr="001F5A8C" w:rsidRDefault="000B0AFF" w:rsidP="001F5A8C">
            <w:pPr>
              <w:jc w:val="center"/>
              <w:rPr>
                <w:rFonts w:ascii="Arial" w:hAnsi="Arial" w:cs="Arial"/>
                <w:sz w:val="16"/>
                <w:szCs w:val="16"/>
              </w:rPr>
            </w:pPr>
          </w:p>
          <w:p w14:paraId="033D5E35" w14:textId="664A6E22" w:rsidR="000B0AFF" w:rsidRPr="0090638B" w:rsidRDefault="000B0AFF" w:rsidP="001F5A8C">
            <w:pPr>
              <w:jc w:val="center"/>
              <w:rPr>
                <w:rFonts w:ascii="Arial" w:hAnsi="Arial" w:cs="Arial"/>
                <w:sz w:val="16"/>
                <w:szCs w:val="16"/>
              </w:rPr>
            </w:pPr>
            <w:r w:rsidRPr="001F5A8C">
              <w:rPr>
                <w:rFonts w:ascii="Arial" w:hAnsi="Arial" w:cs="Arial"/>
                <w:sz w:val="16"/>
                <w:szCs w:val="16"/>
                <w:lang w:val="es-ES"/>
              </w:rPr>
              <w:t>Número empleados /GWh</w:t>
            </w:r>
          </w:p>
        </w:tc>
        <w:tc>
          <w:tcPr>
            <w:tcW w:w="990" w:type="dxa"/>
            <w:vAlign w:val="center"/>
          </w:tcPr>
          <w:p w14:paraId="6453BEE4" w14:textId="6DBEFF9C" w:rsidR="000B0AFF" w:rsidRPr="0090638B" w:rsidRDefault="000B0AFF" w:rsidP="00BE468F">
            <w:pPr>
              <w:jc w:val="center"/>
              <w:rPr>
                <w:rFonts w:ascii="Arial" w:hAnsi="Arial" w:cs="Arial"/>
                <w:sz w:val="16"/>
                <w:szCs w:val="16"/>
              </w:rPr>
            </w:pPr>
            <w:r w:rsidRPr="0090638B">
              <w:rPr>
                <w:rFonts w:ascii="Arial" w:hAnsi="Arial" w:cs="Arial"/>
                <w:sz w:val="16"/>
                <w:szCs w:val="16"/>
              </w:rPr>
              <w:t>0.22</w:t>
            </w:r>
          </w:p>
        </w:tc>
        <w:tc>
          <w:tcPr>
            <w:tcW w:w="810" w:type="dxa"/>
            <w:vAlign w:val="center"/>
          </w:tcPr>
          <w:p w14:paraId="7BCF0E0A" w14:textId="77777777" w:rsidR="000B0AFF" w:rsidRPr="0090638B" w:rsidRDefault="000B0AFF" w:rsidP="00BE468F">
            <w:pPr>
              <w:jc w:val="center"/>
              <w:rPr>
                <w:rFonts w:ascii="Arial" w:hAnsi="Arial" w:cs="Arial"/>
                <w:sz w:val="16"/>
                <w:szCs w:val="16"/>
              </w:rPr>
            </w:pPr>
            <w:r w:rsidRPr="0090638B">
              <w:rPr>
                <w:rFonts w:ascii="Arial" w:hAnsi="Arial" w:cs="Arial"/>
                <w:sz w:val="16"/>
                <w:szCs w:val="16"/>
              </w:rPr>
              <w:t>2018</w:t>
            </w:r>
          </w:p>
        </w:tc>
        <w:tc>
          <w:tcPr>
            <w:tcW w:w="900" w:type="dxa"/>
            <w:vAlign w:val="center"/>
          </w:tcPr>
          <w:p w14:paraId="515A84FA" w14:textId="5360FF15" w:rsidR="000B0AFF" w:rsidRPr="0090638B" w:rsidRDefault="000B0AFF" w:rsidP="00BE468F">
            <w:pPr>
              <w:jc w:val="center"/>
              <w:rPr>
                <w:rFonts w:ascii="Arial" w:hAnsi="Arial" w:cs="Arial"/>
                <w:sz w:val="16"/>
                <w:szCs w:val="16"/>
              </w:rPr>
            </w:pPr>
            <w:r w:rsidRPr="0090638B">
              <w:rPr>
                <w:rFonts w:ascii="Arial" w:hAnsi="Arial" w:cs="Arial"/>
                <w:sz w:val="16"/>
                <w:szCs w:val="16"/>
              </w:rPr>
              <w:t>0.22</w:t>
            </w:r>
          </w:p>
        </w:tc>
        <w:tc>
          <w:tcPr>
            <w:tcW w:w="900" w:type="dxa"/>
            <w:vAlign w:val="center"/>
          </w:tcPr>
          <w:p w14:paraId="18AC41AA" w14:textId="5C95850E" w:rsidR="000B0AFF" w:rsidRPr="0090638B" w:rsidRDefault="000B0AFF" w:rsidP="00BE468F">
            <w:pPr>
              <w:jc w:val="center"/>
              <w:rPr>
                <w:rFonts w:ascii="Arial" w:hAnsi="Arial" w:cs="Arial"/>
                <w:sz w:val="16"/>
                <w:szCs w:val="16"/>
              </w:rPr>
            </w:pPr>
            <w:r w:rsidRPr="0090638B">
              <w:rPr>
                <w:rFonts w:ascii="Arial" w:hAnsi="Arial" w:cs="Arial"/>
                <w:sz w:val="16"/>
                <w:szCs w:val="16"/>
              </w:rPr>
              <w:t>0.2</w:t>
            </w:r>
            <w:r w:rsidR="00C10A72">
              <w:rPr>
                <w:rFonts w:ascii="Arial" w:hAnsi="Arial" w:cs="Arial"/>
                <w:sz w:val="16"/>
                <w:szCs w:val="16"/>
              </w:rPr>
              <w:t>2</w:t>
            </w:r>
          </w:p>
        </w:tc>
        <w:tc>
          <w:tcPr>
            <w:tcW w:w="810" w:type="dxa"/>
            <w:vAlign w:val="center"/>
          </w:tcPr>
          <w:p w14:paraId="235FDE3E" w14:textId="6F1E53F5" w:rsidR="000B0AFF" w:rsidRPr="0090638B" w:rsidRDefault="000B0AFF" w:rsidP="00BE468F">
            <w:pPr>
              <w:jc w:val="center"/>
              <w:rPr>
                <w:rFonts w:ascii="Arial" w:hAnsi="Arial" w:cs="Arial"/>
                <w:sz w:val="16"/>
                <w:szCs w:val="16"/>
              </w:rPr>
            </w:pPr>
            <w:r w:rsidRPr="0090638B">
              <w:rPr>
                <w:rFonts w:ascii="Arial" w:hAnsi="Arial" w:cs="Arial"/>
                <w:sz w:val="16"/>
                <w:szCs w:val="16"/>
              </w:rPr>
              <w:t>0.2</w:t>
            </w:r>
            <w:r w:rsidR="00C10A72">
              <w:rPr>
                <w:rFonts w:ascii="Arial" w:hAnsi="Arial" w:cs="Arial"/>
                <w:sz w:val="16"/>
                <w:szCs w:val="16"/>
              </w:rPr>
              <w:t>2</w:t>
            </w:r>
          </w:p>
        </w:tc>
        <w:tc>
          <w:tcPr>
            <w:tcW w:w="1170" w:type="dxa"/>
            <w:vAlign w:val="center"/>
          </w:tcPr>
          <w:p w14:paraId="2FDDAEF1" w14:textId="4B269954" w:rsidR="000B0AFF" w:rsidRPr="0090638B" w:rsidRDefault="000B0AFF" w:rsidP="00BE468F">
            <w:pPr>
              <w:jc w:val="center"/>
              <w:rPr>
                <w:rFonts w:ascii="Arial" w:hAnsi="Arial" w:cs="Arial"/>
                <w:sz w:val="16"/>
                <w:szCs w:val="16"/>
              </w:rPr>
            </w:pPr>
            <w:r w:rsidRPr="0090638B">
              <w:rPr>
                <w:rFonts w:ascii="Arial" w:hAnsi="Arial" w:cs="Arial"/>
                <w:sz w:val="16"/>
                <w:szCs w:val="16"/>
              </w:rPr>
              <w:t>0</w:t>
            </w:r>
            <w:r w:rsidR="00C10A72">
              <w:rPr>
                <w:rFonts w:ascii="Arial" w:hAnsi="Arial" w:cs="Arial"/>
                <w:sz w:val="16"/>
                <w:szCs w:val="16"/>
              </w:rPr>
              <w:t>,</w:t>
            </w:r>
            <w:r w:rsidRPr="0090638B">
              <w:rPr>
                <w:rFonts w:ascii="Arial" w:hAnsi="Arial" w:cs="Arial"/>
                <w:sz w:val="16"/>
                <w:szCs w:val="16"/>
              </w:rPr>
              <w:t>15</w:t>
            </w:r>
          </w:p>
        </w:tc>
        <w:tc>
          <w:tcPr>
            <w:tcW w:w="1260" w:type="dxa"/>
            <w:vAlign w:val="center"/>
          </w:tcPr>
          <w:p w14:paraId="668D12CA" w14:textId="22D4F70C" w:rsidR="000B0AFF" w:rsidRPr="0090638B" w:rsidRDefault="000B0AFF" w:rsidP="00BE468F">
            <w:pPr>
              <w:jc w:val="center"/>
              <w:rPr>
                <w:rFonts w:ascii="Arial" w:hAnsi="Arial" w:cs="Arial"/>
                <w:sz w:val="16"/>
                <w:szCs w:val="16"/>
              </w:rPr>
            </w:pPr>
            <w:r w:rsidRPr="0090638B">
              <w:rPr>
                <w:rFonts w:ascii="Arial" w:hAnsi="Arial" w:cs="Arial"/>
                <w:sz w:val="16"/>
                <w:szCs w:val="16"/>
              </w:rPr>
              <w:t>0</w:t>
            </w:r>
            <w:r w:rsidR="00C10A72">
              <w:rPr>
                <w:rFonts w:ascii="Arial" w:hAnsi="Arial" w:cs="Arial"/>
                <w:sz w:val="16"/>
                <w:szCs w:val="16"/>
              </w:rPr>
              <w:t>,</w:t>
            </w:r>
            <w:r w:rsidRPr="0090638B">
              <w:rPr>
                <w:rFonts w:ascii="Arial" w:hAnsi="Arial" w:cs="Arial"/>
                <w:sz w:val="16"/>
                <w:szCs w:val="16"/>
              </w:rPr>
              <w:t>15</w:t>
            </w:r>
            <w:r w:rsidRPr="0090638B">
              <w:rPr>
                <w:rStyle w:val="FootnoteReference"/>
                <w:rFonts w:ascii="Arial" w:hAnsi="Arial" w:cs="Arial"/>
                <w:sz w:val="16"/>
                <w:szCs w:val="16"/>
              </w:rPr>
              <w:footnoteReference w:id="36"/>
            </w:r>
          </w:p>
        </w:tc>
        <w:tc>
          <w:tcPr>
            <w:tcW w:w="2430" w:type="dxa"/>
            <w:vMerge/>
            <w:vAlign w:val="center"/>
          </w:tcPr>
          <w:p w14:paraId="4D16B4E9" w14:textId="484B09AD" w:rsidR="000B0AFF" w:rsidRPr="0090638B" w:rsidRDefault="000B0AFF" w:rsidP="00CE76F2">
            <w:pPr>
              <w:rPr>
                <w:rFonts w:ascii="Arial" w:hAnsi="Arial" w:cs="Arial"/>
                <w:sz w:val="16"/>
                <w:szCs w:val="16"/>
              </w:rPr>
            </w:pPr>
          </w:p>
        </w:tc>
        <w:tc>
          <w:tcPr>
            <w:tcW w:w="3690" w:type="dxa"/>
            <w:vAlign w:val="center"/>
          </w:tcPr>
          <w:p w14:paraId="6CB72294" w14:textId="49F24F59" w:rsidR="00C10A72" w:rsidRDefault="00C10A72" w:rsidP="00BE468F">
            <w:pPr>
              <w:rPr>
                <w:rFonts w:ascii="Arial" w:hAnsi="Arial" w:cs="Arial"/>
                <w:b/>
                <w:sz w:val="16"/>
                <w:szCs w:val="16"/>
                <w:lang w:val="es-ES"/>
              </w:rPr>
            </w:pPr>
            <w:r>
              <w:rPr>
                <w:rFonts w:ascii="Arial" w:hAnsi="Arial" w:cs="Arial"/>
                <w:b/>
                <w:sz w:val="16"/>
                <w:szCs w:val="16"/>
                <w:lang w:val="es-ES"/>
              </w:rPr>
              <w:t>Eficiencia laboral CELEC.</w:t>
            </w:r>
          </w:p>
          <w:p w14:paraId="7B272D33" w14:textId="7365EF34" w:rsidR="000B0AFF" w:rsidRPr="0090638B" w:rsidRDefault="000B0AFF" w:rsidP="00BE468F">
            <w:pPr>
              <w:rPr>
                <w:rFonts w:ascii="Arial" w:hAnsi="Arial" w:cs="Arial"/>
                <w:sz w:val="16"/>
                <w:szCs w:val="16"/>
                <w:lang w:val="es-ES"/>
              </w:rPr>
            </w:pPr>
            <w:r w:rsidRPr="0090638B">
              <w:rPr>
                <w:rFonts w:ascii="Arial" w:hAnsi="Arial" w:cs="Arial"/>
                <w:b/>
                <w:sz w:val="16"/>
                <w:szCs w:val="16"/>
                <w:lang w:val="es-ES"/>
              </w:rPr>
              <w:t xml:space="preserve">LB: </w:t>
            </w:r>
            <w:r w:rsidRPr="0090638B">
              <w:rPr>
                <w:rFonts w:ascii="Arial" w:hAnsi="Arial" w:cs="Arial"/>
                <w:sz w:val="16"/>
                <w:szCs w:val="16"/>
                <w:lang w:val="es-ES"/>
              </w:rPr>
              <w:t>0.22</w:t>
            </w:r>
            <w:r w:rsidRPr="0090638B">
              <w:rPr>
                <w:rStyle w:val="FootnoteReference"/>
                <w:rFonts w:ascii="Arial" w:hAnsi="Arial" w:cs="Arial"/>
                <w:sz w:val="16"/>
                <w:szCs w:val="16"/>
                <w:lang w:val="es-ES"/>
              </w:rPr>
              <w:footnoteReference w:id="37"/>
            </w:r>
            <w:r w:rsidRPr="0090638B">
              <w:rPr>
                <w:rFonts w:ascii="Arial" w:hAnsi="Arial" w:cs="Arial"/>
                <w:b/>
                <w:sz w:val="16"/>
                <w:szCs w:val="16"/>
                <w:lang w:val="es-ES"/>
              </w:rPr>
              <w:t xml:space="preserve"> </w:t>
            </w:r>
            <w:r w:rsidRPr="0090638B">
              <w:rPr>
                <w:rFonts w:ascii="Arial" w:hAnsi="Arial" w:cs="Arial"/>
                <w:sz w:val="16"/>
                <w:szCs w:val="16"/>
                <w:lang w:val="es-ES"/>
              </w:rPr>
              <w:t xml:space="preserve">= </w:t>
            </w:r>
            <w:r w:rsidRPr="0090638B">
              <w:rPr>
                <w:rFonts w:ascii="Arial" w:hAnsi="Arial" w:cs="Arial"/>
                <w:color w:val="000000" w:themeColor="text1"/>
                <w:sz w:val="16"/>
                <w:szCs w:val="16"/>
              </w:rPr>
              <w:t xml:space="preserve">Número </w:t>
            </w:r>
            <w:r w:rsidRPr="0090638B">
              <w:rPr>
                <w:rFonts w:ascii="Arial" w:hAnsi="Arial" w:cs="Arial"/>
                <w:sz w:val="16"/>
                <w:szCs w:val="16"/>
                <w:lang w:val="es-ES"/>
              </w:rPr>
              <w:t xml:space="preserve">empleados (4.730) / </w:t>
            </w:r>
            <w:r w:rsidRPr="0090638B">
              <w:rPr>
                <w:rFonts w:ascii="Arial" w:hAnsi="Arial" w:cs="Arial"/>
                <w:color w:val="000000" w:themeColor="text1"/>
                <w:sz w:val="16"/>
                <w:szCs w:val="16"/>
                <w:lang w:val="es-ES"/>
              </w:rPr>
              <w:t>P</w:t>
            </w:r>
            <w:proofErr w:type="spellStart"/>
            <w:r w:rsidRPr="0090638B">
              <w:rPr>
                <w:rFonts w:ascii="Arial" w:hAnsi="Arial" w:cs="Arial"/>
                <w:color w:val="000000" w:themeColor="text1"/>
                <w:sz w:val="16"/>
                <w:szCs w:val="16"/>
              </w:rPr>
              <w:t>roducción</w:t>
            </w:r>
            <w:proofErr w:type="spellEnd"/>
            <w:r w:rsidRPr="0090638B">
              <w:rPr>
                <w:rFonts w:ascii="Arial" w:hAnsi="Arial" w:cs="Arial"/>
                <w:color w:val="000000" w:themeColor="text1"/>
                <w:sz w:val="16"/>
                <w:szCs w:val="16"/>
              </w:rPr>
              <w:t xml:space="preserve"> </w:t>
            </w:r>
            <w:r w:rsidRPr="0090638B">
              <w:rPr>
                <w:rFonts w:ascii="Arial" w:hAnsi="Arial" w:cs="Arial"/>
                <w:sz w:val="16"/>
                <w:szCs w:val="16"/>
                <w:lang w:val="es-ES"/>
              </w:rPr>
              <w:t xml:space="preserve">(21.370 </w:t>
            </w:r>
            <w:r w:rsidRPr="0090638B">
              <w:rPr>
                <w:rFonts w:ascii="Arial" w:hAnsi="Arial" w:cs="Arial"/>
                <w:color w:val="000000" w:themeColor="text1"/>
                <w:sz w:val="16"/>
                <w:szCs w:val="16"/>
              </w:rPr>
              <w:t>GWh</w:t>
            </w:r>
            <w:r w:rsidRPr="0090638B">
              <w:rPr>
                <w:rFonts w:ascii="Arial" w:hAnsi="Arial" w:cs="Arial"/>
                <w:sz w:val="16"/>
                <w:szCs w:val="16"/>
                <w:lang w:val="es-ES"/>
              </w:rPr>
              <w:t>)</w:t>
            </w:r>
          </w:p>
        </w:tc>
      </w:tr>
      <w:tr w:rsidR="000B0AFF" w:rsidRPr="000F6626" w14:paraId="6A6C0FFF" w14:textId="77777777" w:rsidTr="00BE468F">
        <w:trPr>
          <w:trHeight w:val="903"/>
        </w:trPr>
        <w:tc>
          <w:tcPr>
            <w:tcW w:w="1782" w:type="dxa"/>
            <w:vAlign w:val="center"/>
          </w:tcPr>
          <w:p w14:paraId="344EF16C" w14:textId="289697A7" w:rsidR="000B0AFF" w:rsidRPr="00843A33" w:rsidRDefault="000B0AFF" w:rsidP="00BE468F">
            <w:pPr>
              <w:ind w:left="-40" w:right="-20"/>
              <w:rPr>
                <w:rFonts w:ascii="Arial" w:hAnsi="Arial" w:cs="Arial"/>
                <w:sz w:val="16"/>
                <w:szCs w:val="16"/>
              </w:rPr>
            </w:pPr>
          </w:p>
          <w:p w14:paraId="539082AB" w14:textId="400B1D49" w:rsidR="000B0AFF" w:rsidRPr="0090638B" w:rsidRDefault="000B0AFF" w:rsidP="00BE468F">
            <w:pPr>
              <w:ind w:left="-40" w:right="-20"/>
              <w:rPr>
                <w:rFonts w:ascii="Arial" w:hAnsi="Arial" w:cs="Arial"/>
                <w:sz w:val="16"/>
                <w:szCs w:val="16"/>
                <w:lang w:val="es-EC" w:eastAsia="zh-CN"/>
              </w:rPr>
            </w:pPr>
            <w:r w:rsidRPr="0090638B">
              <w:rPr>
                <w:rFonts w:ascii="Arial" w:hAnsi="Arial" w:cs="Arial"/>
                <w:color w:val="000000" w:themeColor="text1"/>
                <w:sz w:val="16"/>
                <w:szCs w:val="16"/>
              </w:rPr>
              <w:t xml:space="preserve">Número de </w:t>
            </w:r>
            <w:r w:rsidRPr="0090638B">
              <w:rPr>
                <w:rFonts w:ascii="Arial" w:hAnsi="Arial" w:cs="Arial"/>
                <w:sz w:val="16"/>
                <w:szCs w:val="16"/>
              </w:rPr>
              <w:t>empleados</w:t>
            </w:r>
            <w:r w:rsidR="00C10A72">
              <w:rPr>
                <w:rFonts w:ascii="Arial" w:hAnsi="Arial" w:cs="Arial"/>
                <w:sz w:val="16"/>
                <w:szCs w:val="16"/>
              </w:rPr>
              <w:t xml:space="preserve"> CNEL</w:t>
            </w:r>
            <w:r w:rsidRPr="0090638B">
              <w:rPr>
                <w:rFonts w:ascii="Arial" w:hAnsi="Arial" w:cs="Arial"/>
                <w:sz w:val="16"/>
                <w:szCs w:val="16"/>
              </w:rPr>
              <w:t xml:space="preserve">/ </w:t>
            </w:r>
            <w:r w:rsidRPr="0090638B">
              <w:rPr>
                <w:rFonts w:ascii="Arial" w:hAnsi="Arial" w:cs="Arial"/>
                <w:color w:val="000000" w:themeColor="text1"/>
                <w:sz w:val="16"/>
                <w:szCs w:val="16"/>
              </w:rPr>
              <w:t xml:space="preserve">Número de </w:t>
            </w:r>
            <w:r w:rsidRPr="0090638B">
              <w:rPr>
                <w:rFonts w:ascii="Arial" w:hAnsi="Arial" w:cs="Arial"/>
                <w:sz w:val="16"/>
                <w:szCs w:val="16"/>
              </w:rPr>
              <w:t>clientes</w:t>
            </w:r>
            <w:r w:rsidR="00C10A72">
              <w:rPr>
                <w:rFonts w:ascii="Arial" w:hAnsi="Arial" w:cs="Arial"/>
                <w:sz w:val="16"/>
                <w:szCs w:val="16"/>
              </w:rPr>
              <w:t xml:space="preserve"> en miles CNEL</w:t>
            </w:r>
          </w:p>
        </w:tc>
        <w:tc>
          <w:tcPr>
            <w:tcW w:w="810" w:type="dxa"/>
            <w:vAlign w:val="center"/>
          </w:tcPr>
          <w:p w14:paraId="2F0C5B58" w14:textId="77777777" w:rsidR="000B0AFF" w:rsidRPr="001F5A8C" w:rsidRDefault="000B0AFF" w:rsidP="001F5A8C">
            <w:pPr>
              <w:jc w:val="center"/>
              <w:rPr>
                <w:rFonts w:ascii="Arial" w:hAnsi="Arial" w:cs="Arial"/>
                <w:sz w:val="16"/>
                <w:szCs w:val="16"/>
              </w:rPr>
            </w:pPr>
            <w:r w:rsidRPr="001F5A8C">
              <w:rPr>
                <w:rFonts w:ascii="Arial" w:hAnsi="Arial" w:cs="Arial"/>
                <w:sz w:val="16"/>
                <w:szCs w:val="16"/>
              </w:rPr>
              <w:t>Número</w:t>
            </w:r>
          </w:p>
          <w:p w14:paraId="08190328" w14:textId="77777777" w:rsidR="000B0AFF" w:rsidRPr="001F5A8C" w:rsidRDefault="000B0AFF" w:rsidP="001F5A8C">
            <w:pPr>
              <w:jc w:val="center"/>
              <w:rPr>
                <w:rFonts w:ascii="Arial" w:hAnsi="Arial" w:cs="Arial"/>
                <w:sz w:val="16"/>
                <w:szCs w:val="16"/>
                <w:lang w:val="es-ES"/>
              </w:rPr>
            </w:pPr>
          </w:p>
          <w:p w14:paraId="429AD43F" w14:textId="77777777" w:rsidR="000B0AFF" w:rsidRPr="001F5A8C" w:rsidRDefault="000B0AFF" w:rsidP="001F5A8C">
            <w:pPr>
              <w:jc w:val="center"/>
              <w:rPr>
                <w:rFonts w:ascii="Arial" w:hAnsi="Arial" w:cs="Arial"/>
                <w:sz w:val="16"/>
                <w:szCs w:val="16"/>
                <w:lang w:val="es-ES"/>
              </w:rPr>
            </w:pPr>
            <w:r w:rsidRPr="001F5A8C">
              <w:rPr>
                <w:rFonts w:ascii="Arial" w:hAnsi="Arial" w:cs="Arial"/>
                <w:sz w:val="16"/>
                <w:szCs w:val="16"/>
                <w:lang w:val="es-ES"/>
              </w:rPr>
              <w:t>Número empleados</w:t>
            </w:r>
          </w:p>
          <w:p w14:paraId="69F1AA11" w14:textId="2DD4CA9D" w:rsidR="000B0AFF" w:rsidRPr="0090638B" w:rsidRDefault="000B0AFF" w:rsidP="001F5A8C">
            <w:pPr>
              <w:jc w:val="center"/>
              <w:rPr>
                <w:rFonts w:ascii="Arial" w:hAnsi="Arial" w:cs="Arial"/>
                <w:sz w:val="16"/>
                <w:szCs w:val="16"/>
              </w:rPr>
            </w:pPr>
            <w:r w:rsidRPr="001F5A8C">
              <w:rPr>
                <w:rFonts w:ascii="Arial" w:hAnsi="Arial" w:cs="Arial"/>
                <w:sz w:val="16"/>
                <w:szCs w:val="16"/>
                <w:lang w:val="es-ES"/>
              </w:rPr>
              <w:t>/ Número clientes</w:t>
            </w:r>
            <w:r w:rsidR="00C10A72">
              <w:rPr>
                <w:rFonts w:ascii="Arial" w:hAnsi="Arial" w:cs="Arial"/>
                <w:sz w:val="16"/>
                <w:szCs w:val="16"/>
                <w:lang w:val="es-ES"/>
              </w:rPr>
              <w:t xml:space="preserve"> en miles</w:t>
            </w:r>
          </w:p>
        </w:tc>
        <w:tc>
          <w:tcPr>
            <w:tcW w:w="990" w:type="dxa"/>
            <w:vAlign w:val="center"/>
          </w:tcPr>
          <w:p w14:paraId="7716471B" w14:textId="34449B97" w:rsidR="000B0AFF" w:rsidRPr="0090638B" w:rsidRDefault="000B0AFF" w:rsidP="00BE468F">
            <w:pPr>
              <w:jc w:val="center"/>
              <w:rPr>
                <w:rFonts w:ascii="Arial" w:hAnsi="Arial" w:cs="Arial"/>
                <w:sz w:val="16"/>
                <w:szCs w:val="16"/>
              </w:rPr>
            </w:pPr>
            <w:r w:rsidRPr="0090638B">
              <w:rPr>
                <w:rFonts w:ascii="Arial" w:hAnsi="Arial" w:cs="Arial"/>
                <w:sz w:val="16"/>
                <w:szCs w:val="16"/>
              </w:rPr>
              <w:t>3</w:t>
            </w:r>
          </w:p>
        </w:tc>
        <w:tc>
          <w:tcPr>
            <w:tcW w:w="810" w:type="dxa"/>
            <w:vAlign w:val="center"/>
          </w:tcPr>
          <w:p w14:paraId="2CB2DD75" w14:textId="77777777" w:rsidR="000B0AFF" w:rsidRPr="0090638B" w:rsidRDefault="000B0AFF" w:rsidP="00BE468F">
            <w:pPr>
              <w:jc w:val="center"/>
              <w:rPr>
                <w:rFonts w:ascii="Arial" w:hAnsi="Arial" w:cs="Arial"/>
                <w:sz w:val="16"/>
                <w:szCs w:val="16"/>
              </w:rPr>
            </w:pPr>
            <w:r w:rsidRPr="0090638B">
              <w:rPr>
                <w:rFonts w:ascii="Arial" w:hAnsi="Arial" w:cs="Arial"/>
                <w:sz w:val="16"/>
                <w:szCs w:val="16"/>
              </w:rPr>
              <w:t>2018</w:t>
            </w:r>
          </w:p>
        </w:tc>
        <w:tc>
          <w:tcPr>
            <w:tcW w:w="900" w:type="dxa"/>
            <w:vAlign w:val="center"/>
          </w:tcPr>
          <w:p w14:paraId="64E694B6" w14:textId="4711B2FE" w:rsidR="000B0AFF" w:rsidRPr="0090638B" w:rsidRDefault="000B0AFF" w:rsidP="00BE468F">
            <w:pPr>
              <w:jc w:val="center"/>
              <w:rPr>
                <w:rFonts w:ascii="Arial" w:hAnsi="Arial" w:cs="Arial"/>
                <w:sz w:val="16"/>
                <w:szCs w:val="16"/>
              </w:rPr>
            </w:pPr>
            <w:r w:rsidRPr="0090638B">
              <w:rPr>
                <w:rFonts w:ascii="Arial" w:hAnsi="Arial" w:cs="Arial"/>
                <w:sz w:val="16"/>
                <w:szCs w:val="16"/>
              </w:rPr>
              <w:t>3</w:t>
            </w:r>
          </w:p>
        </w:tc>
        <w:tc>
          <w:tcPr>
            <w:tcW w:w="900" w:type="dxa"/>
            <w:vAlign w:val="center"/>
          </w:tcPr>
          <w:p w14:paraId="7CE407B2" w14:textId="0D0C8A86" w:rsidR="000B0AFF" w:rsidRPr="0090638B" w:rsidRDefault="00C10A72" w:rsidP="00BE468F">
            <w:pPr>
              <w:jc w:val="center"/>
              <w:rPr>
                <w:rFonts w:ascii="Arial" w:hAnsi="Arial" w:cs="Arial"/>
                <w:sz w:val="16"/>
                <w:szCs w:val="16"/>
              </w:rPr>
            </w:pPr>
            <w:r>
              <w:rPr>
                <w:rFonts w:ascii="Arial" w:hAnsi="Arial" w:cs="Arial"/>
                <w:sz w:val="16"/>
                <w:szCs w:val="16"/>
              </w:rPr>
              <w:t>2,5</w:t>
            </w:r>
          </w:p>
        </w:tc>
        <w:tc>
          <w:tcPr>
            <w:tcW w:w="810" w:type="dxa"/>
            <w:vAlign w:val="center"/>
          </w:tcPr>
          <w:p w14:paraId="530821FD" w14:textId="352AFEC3" w:rsidR="000B0AFF" w:rsidRPr="0090638B" w:rsidRDefault="00C10A72" w:rsidP="00BE468F">
            <w:pPr>
              <w:jc w:val="center"/>
              <w:rPr>
                <w:rFonts w:ascii="Arial" w:hAnsi="Arial" w:cs="Arial"/>
                <w:sz w:val="16"/>
                <w:szCs w:val="16"/>
              </w:rPr>
            </w:pPr>
            <w:r>
              <w:rPr>
                <w:rFonts w:ascii="Arial" w:hAnsi="Arial" w:cs="Arial"/>
                <w:sz w:val="16"/>
                <w:szCs w:val="16"/>
              </w:rPr>
              <w:t>2,5</w:t>
            </w:r>
          </w:p>
        </w:tc>
        <w:tc>
          <w:tcPr>
            <w:tcW w:w="1170" w:type="dxa"/>
            <w:vAlign w:val="center"/>
          </w:tcPr>
          <w:p w14:paraId="7A0CB728" w14:textId="4D7C4EA3" w:rsidR="000B0AFF" w:rsidRPr="0090638B" w:rsidRDefault="00C10A72" w:rsidP="00BE468F">
            <w:pPr>
              <w:jc w:val="center"/>
              <w:rPr>
                <w:rFonts w:ascii="Arial" w:hAnsi="Arial" w:cs="Arial"/>
                <w:sz w:val="16"/>
                <w:szCs w:val="16"/>
              </w:rPr>
            </w:pPr>
            <w:r>
              <w:rPr>
                <w:rFonts w:ascii="Arial" w:hAnsi="Arial" w:cs="Arial"/>
                <w:sz w:val="16"/>
                <w:szCs w:val="16"/>
              </w:rPr>
              <w:t>2</w:t>
            </w:r>
          </w:p>
        </w:tc>
        <w:tc>
          <w:tcPr>
            <w:tcW w:w="1260" w:type="dxa"/>
            <w:vAlign w:val="center"/>
          </w:tcPr>
          <w:p w14:paraId="54DB67FA" w14:textId="34E1AE37" w:rsidR="000B0AFF" w:rsidRPr="0090638B" w:rsidRDefault="000B0AFF" w:rsidP="00BE468F">
            <w:pPr>
              <w:jc w:val="center"/>
              <w:rPr>
                <w:rFonts w:ascii="Arial" w:hAnsi="Arial" w:cs="Arial"/>
                <w:sz w:val="16"/>
                <w:szCs w:val="16"/>
              </w:rPr>
            </w:pPr>
            <w:r w:rsidRPr="0090638B">
              <w:rPr>
                <w:rFonts w:ascii="Arial" w:hAnsi="Arial" w:cs="Arial"/>
                <w:sz w:val="16"/>
                <w:szCs w:val="16"/>
              </w:rPr>
              <w:t>2</w:t>
            </w:r>
            <w:r w:rsidRPr="0090638B">
              <w:rPr>
                <w:rStyle w:val="FootnoteReference"/>
                <w:rFonts w:ascii="Arial" w:hAnsi="Arial" w:cs="Arial"/>
                <w:sz w:val="16"/>
                <w:szCs w:val="16"/>
              </w:rPr>
              <w:footnoteReference w:id="38"/>
            </w:r>
          </w:p>
        </w:tc>
        <w:tc>
          <w:tcPr>
            <w:tcW w:w="2430" w:type="dxa"/>
            <w:vMerge/>
            <w:vAlign w:val="center"/>
          </w:tcPr>
          <w:p w14:paraId="0030B1C6" w14:textId="34074A75" w:rsidR="000B0AFF" w:rsidRPr="0090638B" w:rsidRDefault="000B0AFF" w:rsidP="00BE468F">
            <w:pPr>
              <w:rPr>
                <w:rFonts w:ascii="Arial" w:hAnsi="Arial" w:cs="Arial"/>
                <w:sz w:val="16"/>
                <w:szCs w:val="16"/>
              </w:rPr>
            </w:pPr>
          </w:p>
        </w:tc>
        <w:tc>
          <w:tcPr>
            <w:tcW w:w="3690" w:type="dxa"/>
            <w:vAlign w:val="center"/>
          </w:tcPr>
          <w:p w14:paraId="3BF50706" w14:textId="464B185C" w:rsidR="00C10A72" w:rsidRPr="00843A33" w:rsidRDefault="00C10A72" w:rsidP="00BE468F">
            <w:pPr>
              <w:rPr>
                <w:rFonts w:ascii="Arial" w:hAnsi="Arial" w:cs="Arial"/>
                <w:b/>
                <w:sz w:val="16"/>
                <w:szCs w:val="16"/>
              </w:rPr>
            </w:pPr>
            <w:r w:rsidRPr="00843A33">
              <w:rPr>
                <w:rFonts w:ascii="Arial" w:hAnsi="Arial" w:cs="Arial"/>
                <w:b/>
                <w:sz w:val="16"/>
                <w:szCs w:val="16"/>
              </w:rPr>
              <w:t>Eficiencia laboral CNEL</w:t>
            </w:r>
            <w:r>
              <w:rPr>
                <w:rFonts w:ascii="Arial" w:hAnsi="Arial" w:cs="Arial"/>
                <w:b/>
                <w:sz w:val="16"/>
                <w:szCs w:val="16"/>
              </w:rPr>
              <w:t>.</w:t>
            </w:r>
          </w:p>
          <w:p w14:paraId="6720A523" w14:textId="2F15FB4F" w:rsidR="000B0AFF" w:rsidRPr="0090638B" w:rsidRDefault="000B0AFF" w:rsidP="00BE468F">
            <w:pPr>
              <w:rPr>
                <w:rFonts w:ascii="Arial" w:hAnsi="Arial" w:cs="Arial"/>
                <w:sz w:val="16"/>
                <w:szCs w:val="16"/>
                <w:lang w:val="es-ES"/>
              </w:rPr>
            </w:pPr>
            <w:r w:rsidRPr="00843A33">
              <w:rPr>
                <w:rFonts w:ascii="Arial" w:hAnsi="Arial" w:cs="Arial"/>
                <w:b/>
                <w:sz w:val="16"/>
                <w:szCs w:val="16"/>
              </w:rPr>
              <w:t xml:space="preserve">LB: </w:t>
            </w:r>
            <w:r w:rsidRPr="00843A33">
              <w:rPr>
                <w:rFonts w:ascii="Arial" w:hAnsi="Arial" w:cs="Arial"/>
                <w:sz w:val="16"/>
                <w:szCs w:val="16"/>
              </w:rPr>
              <w:t>0.003</w:t>
            </w:r>
            <w:r w:rsidRPr="0090638B">
              <w:rPr>
                <w:rStyle w:val="FootnoteReference"/>
                <w:rFonts w:ascii="Arial" w:hAnsi="Arial" w:cs="Arial"/>
                <w:sz w:val="16"/>
                <w:szCs w:val="16"/>
                <w:lang w:val="pt-BR"/>
              </w:rPr>
              <w:footnoteReference w:id="39"/>
            </w:r>
            <w:r w:rsidRPr="00843A33">
              <w:rPr>
                <w:rFonts w:ascii="Arial" w:hAnsi="Arial" w:cs="Arial"/>
                <w:b/>
                <w:sz w:val="16"/>
                <w:szCs w:val="16"/>
              </w:rPr>
              <w:t xml:space="preserve"> </w:t>
            </w:r>
            <w:r w:rsidRPr="00843A33">
              <w:rPr>
                <w:rFonts w:ascii="Arial" w:hAnsi="Arial" w:cs="Arial"/>
                <w:sz w:val="16"/>
                <w:szCs w:val="16"/>
              </w:rPr>
              <w:t xml:space="preserve">= </w:t>
            </w:r>
            <w:r w:rsidRPr="0090638B">
              <w:rPr>
                <w:rFonts w:ascii="Arial" w:hAnsi="Arial" w:cs="Arial"/>
                <w:color w:val="000000" w:themeColor="text1"/>
                <w:sz w:val="16"/>
                <w:szCs w:val="16"/>
              </w:rPr>
              <w:t xml:space="preserve">Número </w:t>
            </w:r>
            <w:r w:rsidRPr="0090638B">
              <w:rPr>
                <w:rFonts w:ascii="Arial" w:hAnsi="Arial" w:cs="Arial"/>
                <w:sz w:val="16"/>
                <w:szCs w:val="16"/>
              </w:rPr>
              <w:t xml:space="preserve">empleados </w:t>
            </w:r>
            <w:r w:rsidRPr="00843A33">
              <w:rPr>
                <w:rFonts w:ascii="Arial" w:hAnsi="Arial" w:cs="Arial"/>
                <w:sz w:val="16"/>
                <w:szCs w:val="16"/>
              </w:rPr>
              <w:t xml:space="preserve">(6.925) </w:t>
            </w:r>
            <w:r w:rsidRPr="0090638B">
              <w:rPr>
                <w:rFonts w:ascii="Arial" w:hAnsi="Arial" w:cs="Arial"/>
                <w:sz w:val="16"/>
                <w:szCs w:val="16"/>
              </w:rPr>
              <w:t xml:space="preserve">/ </w:t>
            </w:r>
            <w:r w:rsidRPr="0090638B">
              <w:rPr>
                <w:rFonts w:ascii="Arial" w:hAnsi="Arial" w:cs="Arial"/>
                <w:color w:val="000000" w:themeColor="text1"/>
                <w:sz w:val="16"/>
                <w:szCs w:val="16"/>
              </w:rPr>
              <w:t xml:space="preserve">Número </w:t>
            </w:r>
            <w:r w:rsidRPr="0090638B">
              <w:rPr>
                <w:rFonts w:ascii="Arial" w:hAnsi="Arial" w:cs="Arial"/>
                <w:sz w:val="16"/>
                <w:szCs w:val="16"/>
              </w:rPr>
              <w:t xml:space="preserve">clientes </w:t>
            </w:r>
            <w:r w:rsidR="00C10A72">
              <w:rPr>
                <w:rFonts w:ascii="Arial" w:hAnsi="Arial" w:cs="Arial"/>
                <w:sz w:val="16"/>
                <w:szCs w:val="16"/>
              </w:rPr>
              <w:t xml:space="preserve">en miles </w:t>
            </w:r>
            <w:r w:rsidRPr="00843A33">
              <w:rPr>
                <w:rFonts w:ascii="Arial" w:hAnsi="Arial" w:cs="Arial"/>
                <w:sz w:val="16"/>
                <w:szCs w:val="16"/>
              </w:rPr>
              <w:t>(2.500)</w:t>
            </w:r>
          </w:p>
        </w:tc>
      </w:tr>
      <w:tr w:rsidR="00BE468F" w:rsidRPr="000F6626" w14:paraId="73F92C22" w14:textId="77777777" w:rsidTr="00BE468F">
        <w:trPr>
          <w:trHeight w:val="903"/>
        </w:trPr>
        <w:tc>
          <w:tcPr>
            <w:tcW w:w="1782" w:type="dxa"/>
            <w:vAlign w:val="center"/>
          </w:tcPr>
          <w:p w14:paraId="4EAEA185" w14:textId="7956D0A0" w:rsidR="00BE468F" w:rsidRPr="000F6626" w:rsidRDefault="00BE468F" w:rsidP="00BE468F">
            <w:pPr>
              <w:ind w:left="-40" w:right="-20"/>
              <w:rPr>
                <w:rFonts w:ascii="Arial" w:hAnsi="Arial" w:cs="Arial"/>
                <w:bCs/>
                <w:sz w:val="16"/>
                <w:szCs w:val="16"/>
                <w:lang w:val="es-MX"/>
              </w:rPr>
            </w:pPr>
          </w:p>
          <w:p w14:paraId="1C775D23" w14:textId="5B09B7F5" w:rsidR="00BE468F" w:rsidRPr="000F6626" w:rsidRDefault="00BE468F" w:rsidP="00BE468F">
            <w:pPr>
              <w:ind w:left="-40" w:right="-20"/>
              <w:rPr>
                <w:rFonts w:ascii="Arial" w:hAnsi="Arial" w:cs="Arial"/>
                <w:sz w:val="16"/>
                <w:szCs w:val="16"/>
                <w:lang w:val="es-ES"/>
              </w:rPr>
            </w:pPr>
            <w:r w:rsidRPr="000F6626">
              <w:rPr>
                <w:rFonts w:ascii="Arial" w:hAnsi="Arial" w:cs="Arial"/>
                <w:bCs/>
                <w:sz w:val="16"/>
                <w:szCs w:val="16"/>
                <w:lang w:val="es-MX"/>
              </w:rPr>
              <w:t xml:space="preserve">Empleados </w:t>
            </w:r>
            <w:r w:rsidR="00C10A72">
              <w:rPr>
                <w:rFonts w:ascii="Arial" w:hAnsi="Arial" w:cs="Arial"/>
                <w:bCs/>
                <w:sz w:val="16"/>
                <w:szCs w:val="16"/>
                <w:lang w:val="es-MX"/>
              </w:rPr>
              <w:t>Tame</w:t>
            </w:r>
            <w:r w:rsidRPr="000F6626">
              <w:rPr>
                <w:rFonts w:ascii="Arial" w:hAnsi="Arial" w:cs="Arial"/>
                <w:bCs/>
                <w:sz w:val="16"/>
                <w:szCs w:val="16"/>
                <w:lang w:val="es-MX"/>
              </w:rPr>
              <w:t>/ avión</w:t>
            </w:r>
            <w:r w:rsidR="00C10A72">
              <w:rPr>
                <w:rFonts w:ascii="Arial" w:hAnsi="Arial" w:cs="Arial"/>
                <w:bCs/>
                <w:sz w:val="16"/>
                <w:szCs w:val="16"/>
                <w:lang w:val="es-MX"/>
              </w:rPr>
              <w:t xml:space="preserve"> Tame</w:t>
            </w:r>
          </w:p>
        </w:tc>
        <w:tc>
          <w:tcPr>
            <w:tcW w:w="810" w:type="dxa"/>
            <w:vAlign w:val="center"/>
          </w:tcPr>
          <w:p w14:paraId="403762D1" w14:textId="77777777" w:rsidR="001F5A8C" w:rsidRPr="001F5A8C" w:rsidRDefault="001F5A8C" w:rsidP="001F5A8C">
            <w:pPr>
              <w:jc w:val="center"/>
              <w:rPr>
                <w:rFonts w:ascii="Arial" w:hAnsi="Arial" w:cs="Arial"/>
                <w:sz w:val="16"/>
                <w:szCs w:val="16"/>
              </w:rPr>
            </w:pPr>
            <w:r w:rsidRPr="001F5A8C">
              <w:rPr>
                <w:rFonts w:ascii="Arial" w:hAnsi="Arial" w:cs="Arial"/>
                <w:sz w:val="16"/>
                <w:szCs w:val="16"/>
              </w:rPr>
              <w:t>Número</w:t>
            </w:r>
          </w:p>
          <w:p w14:paraId="27D6B7AE" w14:textId="77777777" w:rsidR="001F5A8C" w:rsidRPr="001F5A8C" w:rsidRDefault="001F5A8C" w:rsidP="001F5A8C">
            <w:pPr>
              <w:jc w:val="center"/>
              <w:rPr>
                <w:rFonts w:ascii="Arial" w:hAnsi="Arial" w:cs="Arial"/>
                <w:sz w:val="16"/>
                <w:szCs w:val="16"/>
                <w:lang w:val="es-ES"/>
              </w:rPr>
            </w:pPr>
          </w:p>
          <w:p w14:paraId="73515A2F" w14:textId="77777777" w:rsidR="001F5A8C" w:rsidRPr="001F5A8C" w:rsidRDefault="001F5A8C" w:rsidP="001F5A8C">
            <w:pPr>
              <w:jc w:val="center"/>
              <w:rPr>
                <w:rFonts w:ascii="Arial" w:hAnsi="Arial" w:cs="Arial"/>
                <w:sz w:val="16"/>
                <w:szCs w:val="16"/>
                <w:lang w:val="es-ES"/>
              </w:rPr>
            </w:pPr>
            <w:r w:rsidRPr="001F5A8C">
              <w:rPr>
                <w:rFonts w:ascii="Arial" w:hAnsi="Arial" w:cs="Arial"/>
                <w:sz w:val="16"/>
                <w:szCs w:val="16"/>
                <w:lang w:val="es-ES"/>
              </w:rPr>
              <w:t>Número empleados</w:t>
            </w:r>
          </w:p>
          <w:p w14:paraId="2A3CB7D2" w14:textId="12FDC453" w:rsidR="00BE468F" w:rsidRPr="000F6626" w:rsidRDefault="001F5A8C" w:rsidP="001F5A8C">
            <w:pPr>
              <w:jc w:val="center"/>
              <w:rPr>
                <w:rFonts w:ascii="Arial" w:hAnsi="Arial" w:cs="Arial"/>
                <w:sz w:val="16"/>
                <w:szCs w:val="16"/>
              </w:rPr>
            </w:pPr>
            <w:r w:rsidRPr="001F5A8C">
              <w:rPr>
                <w:rFonts w:ascii="Arial" w:hAnsi="Arial" w:cs="Arial"/>
                <w:sz w:val="16"/>
                <w:szCs w:val="16"/>
                <w:lang w:val="es-ES"/>
              </w:rPr>
              <w:t>/ Número aviones</w:t>
            </w:r>
          </w:p>
        </w:tc>
        <w:tc>
          <w:tcPr>
            <w:tcW w:w="990" w:type="dxa"/>
            <w:vAlign w:val="center"/>
          </w:tcPr>
          <w:p w14:paraId="7664BE4A"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128</w:t>
            </w:r>
          </w:p>
        </w:tc>
        <w:tc>
          <w:tcPr>
            <w:tcW w:w="810" w:type="dxa"/>
            <w:vAlign w:val="center"/>
          </w:tcPr>
          <w:p w14:paraId="11E51645"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2018</w:t>
            </w:r>
          </w:p>
        </w:tc>
        <w:tc>
          <w:tcPr>
            <w:tcW w:w="900" w:type="dxa"/>
            <w:vAlign w:val="center"/>
          </w:tcPr>
          <w:p w14:paraId="1C94126F"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100</w:t>
            </w:r>
          </w:p>
        </w:tc>
        <w:tc>
          <w:tcPr>
            <w:tcW w:w="900" w:type="dxa"/>
            <w:vAlign w:val="center"/>
          </w:tcPr>
          <w:p w14:paraId="7793FD18"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85</w:t>
            </w:r>
          </w:p>
        </w:tc>
        <w:tc>
          <w:tcPr>
            <w:tcW w:w="810" w:type="dxa"/>
            <w:vAlign w:val="center"/>
          </w:tcPr>
          <w:p w14:paraId="03617A95"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85</w:t>
            </w:r>
          </w:p>
        </w:tc>
        <w:tc>
          <w:tcPr>
            <w:tcW w:w="1170" w:type="dxa"/>
            <w:vAlign w:val="center"/>
          </w:tcPr>
          <w:p w14:paraId="4DA85928"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85</w:t>
            </w:r>
          </w:p>
        </w:tc>
        <w:tc>
          <w:tcPr>
            <w:tcW w:w="1260" w:type="dxa"/>
            <w:vAlign w:val="center"/>
          </w:tcPr>
          <w:p w14:paraId="4E7121C1" w14:textId="77777777" w:rsidR="00BE468F" w:rsidRPr="000F6626" w:rsidRDefault="00BE468F" w:rsidP="00BE468F">
            <w:pPr>
              <w:jc w:val="center"/>
              <w:rPr>
                <w:rFonts w:ascii="Arial" w:hAnsi="Arial" w:cs="Arial"/>
                <w:sz w:val="16"/>
                <w:szCs w:val="16"/>
              </w:rPr>
            </w:pPr>
            <w:r w:rsidRPr="000F6626">
              <w:rPr>
                <w:rFonts w:ascii="Arial" w:hAnsi="Arial" w:cs="Arial"/>
                <w:sz w:val="16"/>
                <w:szCs w:val="16"/>
              </w:rPr>
              <w:t>85</w:t>
            </w:r>
            <w:r w:rsidRPr="000F6626">
              <w:rPr>
                <w:rStyle w:val="FootnoteReference"/>
                <w:rFonts w:ascii="Arial" w:hAnsi="Arial" w:cs="Arial"/>
                <w:sz w:val="16"/>
                <w:szCs w:val="16"/>
              </w:rPr>
              <w:footnoteReference w:id="40"/>
            </w:r>
          </w:p>
        </w:tc>
        <w:tc>
          <w:tcPr>
            <w:tcW w:w="2430" w:type="dxa"/>
            <w:vAlign w:val="center"/>
          </w:tcPr>
          <w:p w14:paraId="6528DB3A" w14:textId="7F4CA20E" w:rsidR="00BE468F" w:rsidRPr="000F6626" w:rsidRDefault="00BE468F" w:rsidP="00BE468F">
            <w:pPr>
              <w:rPr>
                <w:rFonts w:ascii="Arial" w:hAnsi="Arial" w:cs="Arial"/>
                <w:sz w:val="16"/>
                <w:szCs w:val="16"/>
              </w:rPr>
            </w:pPr>
            <w:r w:rsidRPr="000F6626">
              <w:rPr>
                <w:rFonts w:ascii="Arial" w:hAnsi="Arial" w:cs="Arial"/>
                <w:sz w:val="16"/>
                <w:szCs w:val="16"/>
              </w:rPr>
              <w:t>Informe anual</w:t>
            </w:r>
            <w:r w:rsidR="00C10A72">
              <w:rPr>
                <w:rFonts w:ascii="Arial" w:hAnsi="Arial" w:cs="Arial"/>
                <w:sz w:val="16"/>
                <w:szCs w:val="16"/>
              </w:rPr>
              <w:t>, MTOP</w:t>
            </w:r>
            <w:r w:rsidRPr="000F6626">
              <w:rPr>
                <w:rFonts w:ascii="Arial" w:hAnsi="Arial" w:cs="Arial"/>
                <w:sz w:val="16"/>
                <w:szCs w:val="16"/>
              </w:rPr>
              <w:t>.</w:t>
            </w:r>
          </w:p>
        </w:tc>
        <w:tc>
          <w:tcPr>
            <w:tcW w:w="3690" w:type="dxa"/>
            <w:vAlign w:val="center"/>
          </w:tcPr>
          <w:p w14:paraId="6A8ECEBC" w14:textId="523E979C" w:rsidR="00C10A72" w:rsidRDefault="00C10A72" w:rsidP="00BE468F">
            <w:pPr>
              <w:rPr>
                <w:rFonts w:ascii="Arial" w:hAnsi="Arial" w:cs="Arial"/>
                <w:b/>
                <w:sz w:val="16"/>
                <w:szCs w:val="16"/>
              </w:rPr>
            </w:pPr>
            <w:r>
              <w:rPr>
                <w:rFonts w:ascii="Arial" w:hAnsi="Arial" w:cs="Arial"/>
                <w:b/>
                <w:sz w:val="16"/>
                <w:szCs w:val="16"/>
              </w:rPr>
              <w:t>Eficiencia laboral Tame.</w:t>
            </w:r>
          </w:p>
          <w:p w14:paraId="6B6F3269" w14:textId="70E3B475" w:rsidR="00BE468F" w:rsidRPr="000F6626" w:rsidRDefault="00BE468F" w:rsidP="00BE468F">
            <w:pPr>
              <w:rPr>
                <w:rFonts w:ascii="Arial" w:hAnsi="Arial" w:cs="Arial"/>
                <w:sz w:val="16"/>
                <w:szCs w:val="16"/>
              </w:rPr>
            </w:pPr>
            <w:r w:rsidRPr="000F6626">
              <w:rPr>
                <w:rFonts w:ascii="Arial" w:hAnsi="Arial" w:cs="Arial"/>
                <w:b/>
                <w:sz w:val="16"/>
                <w:szCs w:val="16"/>
              </w:rPr>
              <w:t xml:space="preserve">LB: </w:t>
            </w:r>
            <w:r w:rsidRPr="000F6626">
              <w:rPr>
                <w:rFonts w:ascii="Arial" w:hAnsi="Arial" w:cs="Arial"/>
                <w:sz w:val="16"/>
                <w:szCs w:val="16"/>
              </w:rPr>
              <w:t>128</w:t>
            </w:r>
            <w:r w:rsidRPr="000F6626">
              <w:rPr>
                <w:rStyle w:val="FootnoteReference"/>
                <w:rFonts w:ascii="Arial" w:hAnsi="Arial" w:cs="Arial"/>
                <w:sz w:val="16"/>
                <w:szCs w:val="16"/>
              </w:rPr>
              <w:footnoteReference w:id="41"/>
            </w:r>
            <w:r w:rsidRPr="000F6626">
              <w:rPr>
                <w:rFonts w:ascii="Arial" w:hAnsi="Arial" w:cs="Arial"/>
                <w:sz w:val="16"/>
                <w:szCs w:val="16"/>
              </w:rPr>
              <w:t xml:space="preserve"> = </w:t>
            </w:r>
            <w:r w:rsidRPr="000F6626">
              <w:rPr>
                <w:rFonts w:ascii="Arial" w:hAnsi="Arial" w:cs="Arial"/>
                <w:bCs/>
                <w:sz w:val="16"/>
                <w:szCs w:val="16"/>
                <w:lang w:val="es-MX"/>
              </w:rPr>
              <w:t>Empleados Tame (1.150)</w:t>
            </w:r>
            <w:r w:rsidR="004366C8">
              <w:rPr>
                <w:rFonts w:ascii="Arial" w:hAnsi="Arial" w:cs="Arial"/>
                <w:bCs/>
                <w:sz w:val="16"/>
                <w:szCs w:val="16"/>
                <w:lang w:val="es-MX"/>
              </w:rPr>
              <w:t xml:space="preserve"> </w:t>
            </w:r>
            <w:r w:rsidRPr="000F6626">
              <w:rPr>
                <w:rFonts w:ascii="Arial" w:hAnsi="Arial" w:cs="Arial"/>
                <w:bCs/>
                <w:sz w:val="16"/>
                <w:szCs w:val="16"/>
                <w:lang w:val="es-MX"/>
              </w:rPr>
              <w:t>/ avión (9)</w:t>
            </w:r>
          </w:p>
          <w:p w14:paraId="23EDC707" w14:textId="77777777" w:rsidR="00BE468F" w:rsidRPr="000F6626" w:rsidRDefault="00BE468F" w:rsidP="00BE468F">
            <w:pPr>
              <w:rPr>
                <w:rFonts w:ascii="Arial" w:hAnsi="Arial" w:cs="Arial"/>
                <w:sz w:val="16"/>
                <w:szCs w:val="16"/>
              </w:rPr>
            </w:pPr>
          </w:p>
        </w:tc>
      </w:tr>
      <w:bookmarkEnd w:id="35"/>
    </w:tbl>
    <w:p w14:paraId="0828BE47" w14:textId="77777777" w:rsidR="00525490" w:rsidRDefault="00525490" w:rsidP="00534766">
      <w:pPr>
        <w:spacing w:line="276" w:lineRule="auto"/>
        <w:jc w:val="both"/>
        <w:rPr>
          <w:rFonts w:ascii="Arial" w:hAnsi="Arial" w:cs="Arial"/>
          <w:sz w:val="22"/>
          <w:szCs w:val="22"/>
          <w:lang w:val="es-ES"/>
        </w:rPr>
      </w:pPr>
    </w:p>
    <w:p w14:paraId="3347F576" w14:textId="77777777" w:rsidR="000F6626" w:rsidRDefault="000F6626" w:rsidP="00534766">
      <w:pPr>
        <w:spacing w:line="276" w:lineRule="auto"/>
        <w:jc w:val="both"/>
        <w:rPr>
          <w:rFonts w:ascii="Arial" w:hAnsi="Arial" w:cs="Arial"/>
          <w:sz w:val="22"/>
          <w:szCs w:val="22"/>
          <w:lang w:val="es-ES"/>
        </w:rPr>
      </w:pPr>
    </w:p>
    <w:p w14:paraId="6AA07DA4" w14:textId="77777777" w:rsidR="000F6626" w:rsidRPr="00DD2307" w:rsidRDefault="000F6626" w:rsidP="00534766">
      <w:pPr>
        <w:spacing w:line="276" w:lineRule="auto"/>
        <w:jc w:val="both"/>
        <w:rPr>
          <w:rFonts w:ascii="Arial" w:hAnsi="Arial" w:cs="Arial"/>
          <w:sz w:val="22"/>
          <w:szCs w:val="22"/>
          <w:lang w:val="es-ES"/>
        </w:rPr>
        <w:sectPr w:rsidR="000F6626" w:rsidRPr="00DD2307" w:rsidSect="00F91523">
          <w:pgSz w:w="15840" w:h="12240" w:orient="landscape" w:code="1"/>
          <w:pgMar w:top="1440" w:right="1440" w:bottom="1440" w:left="1440" w:header="720" w:footer="720" w:gutter="0"/>
          <w:cols w:space="720"/>
          <w:docGrid w:linePitch="360"/>
        </w:sectPr>
      </w:pPr>
    </w:p>
    <w:p w14:paraId="2A1D7674" w14:textId="2D4CD583" w:rsidR="004D1DEF" w:rsidRPr="00D45C80" w:rsidRDefault="007E2852" w:rsidP="00A06DD5">
      <w:pPr>
        <w:pStyle w:val="ListParagraph"/>
        <w:numPr>
          <w:ilvl w:val="0"/>
          <w:numId w:val="20"/>
        </w:numPr>
        <w:spacing w:line="276" w:lineRule="auto"/>
        <w:jc w:val="both"/>
        <w:rPr>
          <w:rFonts w:ascii="Arial" w:hAnsi="Arial" w:cs="Arial"/>
          <w:b/>
          <w:sz w:val="22"/>
          <w:szCs w:val="22"/>
          <w:lang w:val="es-ES" w:eastAsia="es-AR"/>
        </w:rPr>
      </w:pPr>
      <w:r w:rsidRPr="00D45C80">
        <w:rPr>
          <w:rFonts w:ascii="Arial" w:hAnsi="Arial" w:cs="Arial"/>
          <w:b/>
          <w:sz w:val="22"/>
          <w:szCs w:val="22"/>
          <w:lang w:val="es-ES" w:eastAsia="es-AR"/>
        </w:rPr>
        <w:lastRenderedPageBreak/>
        <w:t xml:space="preserve">Evaluación </w:t>
      </w:r>
      <w:r w:rsidR="00D85964" w:rsidRPr="00D45C80">
        <w:rPr>
          <w:rFonts w:ascii="Arial" w:hAnsi="Arial" w:cs="Arial"/>
          <w:b/>
          <w:sz w:val="22"/>
          <w:szCs w:val="22"/>
          <w:lang w:val="es-ES" w:eastAsia="es-AR"/>
        </w:rPr>
        <w:t xml:space="preserve">Final </w:t>
      </w:r>
      <w:r w:rsidRPr="00D45C80">
        <w:rPr>
          <w:rFonts w:ascii="Arial" w:hAnsi="Arial" w:cs="Arial"/>
          <w:b/>
          <w:sz w:val="22"/>
          <w:szCs w:val="22"/>
          <w:lang w:val="es-ES" w:eastAsia="es-AR"/>
        </w:rPr>
        <w:t>Antes y Después</w:t>
      </w:r>
    </w:p>
    <w:p w14:paraId="4755FFFB" w14:textId="77777777" w:rsidR="008F49EF" w:rsidRPr="00D45C80" w:rsidRDefault="008F49EF" w:rsidP="0028406C">
      <w:pPr>
        <w:pStyle w:val="Heading4"/>
        <w:numPr>
          <w:ilvl w:val="0"/>
          <w:numId w:val="0"/>
        </w:numPr>
        <w:tabs>
          <w:tab w:val="clear" w:pos="1440"/>
          <w:tab w:val="left" w:pos="720"/>
        </w:tabs>
        <w:spacing w:before="0" w:after="0" w:line="276" w:lineRule="auto"/>
        <w:rPr>
          <w:rStyle w:val="Heading1Char"/>
          <w:rFonts w:ascii="Arial" w:hAnsi="Arial" w:cs="Arial"/>
          <w:spacing w:val="-3"/>
          <w:sz w:val="22"/>
          <w:szCs w:val="22"/>
          <w:lang w:val="es-ES" w:eastAsia="en-US"/>
        </w:rPr>
      </w:pPr>
    </w:p>
    <w:p w14:paraId="36498620" w14:textId="77777777" w:rsidR="00D45C80" w:rsidRPr="00D45C80" w:rsidRDefault="00D45C80" w:rsidP="0028406C">
      <w:pPr>
        <w:pStyle w:val="Heading4"/>
        <w:numPr>
          <w:ilvl w:val="0"/>
          <w:numId w:val="0"/>
        </w:numPr>
        <w:tabs>
          <w:tab w:val="clear" w:pos="1440"/>
          <w:tab w:val="left" w:pos="720"/>
        </w:tabs>
        <w:spacing w:before="0" w:after="0" w:line="276" w:lineRule="auto"/>
        <w:rPr>
          <w:rStyle w:val="Heading1Char"/>
          <w:rFonts w:ascii="Arial" w:hAnsi="Arial" w:cs="Arial"/>
          <w:b/>
          <w:spacing w:val="-3"/>
          <w:sz w:val="22"/>
          <w:szCs w:val="22"/>
          <w:lang w:val="es-ES" w:eastAsia="en-US"/>
        </w:rPr>
      </w:pPr>
    </w:p>
    <w:p w14:paraId="494A10BB" w14:textId="77777777" w:rsidR="00E00B74" w:rsidRPr="00D45C80" w:rsidRDefault="00E00B74" w:rsidP="0028406C">
      <w:pPr>
        <w:pStyle w:val="Heading4"/>
        <w:numPr>
          <w:ilvl w:val="0"/>
          <w:numId w:val="0"/>
        </w:numPr>
        <w:tabs>
          <w:tab w:val="clear" w:pos="1440"/>
          <w:tab w:val="left" w:pos="720"/>
        </w:tabs>
        <w:spacing w:before="0" w:after="0" w:line="276" w:lineRule="auto"/>
        <w:rPr>
          <w:rStyle w:val="Heading1Char"/>
          <w:rFonts w:ascii="Arial" w:hAnsi="Arial" w:cs="Arial"/>
          <w:b/>
          <w:spacing w:val="-3"/>
          <w:sz w:val="22"/>
          <w:szCs w:val="22"/>
          <w:lang w:val="es-ES" w:eastAsia="en-US"/>
        </w:rPr>
      </w:pPr>
      <w:r w:rsidRPr="00D45C80">
        <w:rPr>
          <w:rStyle w:val="Heading1Char"/>
          <w:rFonts w:ascii="Arial" w:hAnsi="Arial" w:cs="Arial"/>
          <w:b/>
          <w:spacing w:val="-3"/>
          <w:sz w:val="22"/>
          <w:szCs w:val="22"/>
          <w:lang w:val="es-ES" w:eastAsia="en-US"/>
        </w:rPr>
        <w:t>Principales Preguntas de Evaluación</w:t>
      </w:r>
    </w:p>
    <w:p w14:paraId="3970B9E3" w14:textId="77777777" w:rsidR="0080147C" w:rsidRPr="00D45C80" w:rsidRDefault="0080147C" w:rsidP="0028406C">
      <w:pPr>
        <w:spacing w:line="276" w:lineRule="auto"/>
        <w:jc w:val="both"/>
        <w:rPr>
          <w:rFonts w:ascii="Arial" w:hAnsi="Arial" w:cs="Arial"/>
          <w:sz w:val="22"/>
          <w:szCs w:val="22"/>
          <w:lang w:val="es-ES"/>
        </w:rPr>
      </w:pPr>
    </w:p>
    <w:p w14:paraId="34981F25" w14:textId="2DFB92C4" w:rsidR="00705216" w:rsidRPr="00D45C80" w:rsidRDefault="00705216" w:rsidP="0028406C">
      <w:pPr>
        <w:pStyle w:val="Heading4"/>
        <w:numPr>
          <w:ilvl w:val="1"/>
          <w:numId w:val="10"/>
        </w:numPr>
        <w:tabs>
          <w:tab w:val="clear" w:pos="1440"/>
          <w:tab w:val="left" w:pos="720"/>
        </w:tabs>
        <w:spacing w:before="0" w:after="0" w:line="276" w:lineRule="auto"/>
        <w:ind w:left="720" w:hanging="720"/>
        <w:rPr>
          <w:rFonts w:ascii="Arial" w:hAnsi="Arial" w:cs="Arial"/>
          <w:b w:val="0"/>
          <w:noProof w:val="0"/>
          <w:sz w:val="22"/>
          <w:szCs w:val="22"/>
          <w:lang w:val="es-ES"/>
        </w:rPr>
      </w:pPr>
      <w:r w:rsidRPr="00D45C80">
        <w:rPr>
          <w:rFonts w:ascii="Arial" w:hAnsi="Arial" w:cs="Arial"/>
          <w:b w:val="0"/>
          <w:sz w:val="22"/>
          <w:szCs w:val="22"/>
          <w:lang w:val="es-ES"/>
        </w:rPr>
        <w:t>La evaluación del Programa busca responder a las siguientes interrogantes: ¿El Programa está cumpliendo con los objetivos para los cuales fue creado? ¿El Programa contribuye a la reducción de la carga fiscal para el estado,</w:t>
      </w:r>
      <w:r w:rsidR="00975539" w:rsidRPr="00D45C80">
        <w:rPr>
          <w:rFonts w:ascii="Arial" w:hAnsi="Arial" w:cs="Arial"/>
          <w:b w:val="0"/>
          <w:sz w:val="22"/>
          <w:szCs w:val="22"/>
          <w:lang w:val="es-ES"/>
        </w:rPr>
        <w:t xml:space="preserve"> derivada de la propiedad de EE</w:t>
      </w:r>
      <w:r w:rsidRPr="00D45C80">
        <w:rPr>
          <w:rFonts w:ascii="Arial" w:hAnsi="Arial" w:cs="Arial"/>
          <w:b w:val="0"/>
          <w:sz w:val="22"/>
          <w:szCs w:val="22"/>
          <w:lang w:val="es-ES"/>
        </w:rPr>
        <w:t>PP? ¿El programa contribuye al aum</w:t>
      </w:r>
      <w:r w:rsidR="00975539" w:rsidRPr="00D45C80">
        <w:rPr>
          <w:rFonts w:ascii="Arial" w:hAnsi="Arial" w:cs="Arial"/>
          <w:b w:val="0"/>
          <w:sz w:val="22"/>
          <w:szCs w:val="22"/>
          <w:lang w:val="es-ES"/>
        </w:rPr>
        <w:t>ento de la eficiencia de las EE</w:t>
      </w:r>
      <w:r w:rsidRPr="00D45C80">
        <w:rPr>
          <w:rFonts w:ascii="Arial" w:hAnsi="Arial" w:cs="Arial"/>
          <w:b w:val="0"/>
          <w:sz w:val="22"/>
          <w:szCs w:val="22"/>
          <w:lang w:val="es-ES"/>
        </w:rPr>
        <w:t xml:space="preserve">PP del sector de </w:t>
      </w:r>
      <w:r w:rsidR="00E23B68" w:rsidRPr="00E23B68">
        <w:rPr>
          <w:rFonts w:ascii="Arial" w:hAnsi="Arial" w:cs="Arial"/>
          <w:b w:val="0"/>
          <w:sz w:val="22"/>
          <w:szCs w:val="22"/>
          <w:lang w:val="es-ES"/>
        </w:rPr>
        <w:t>hidrocarburos, eléctrico</w:t>
      </w:r>
      <w:r w:rsidR="00D85964" w:rsidRPr="00D45C80">
        <w:rPr>
          <w:rFonts w:ascii="Arial" w:hAnsi="Arial" w:cs="Arial"/>
          <w:b w:val="0"/>
          <w:sz w:val="22"/>
          <w:szCs w:val="22"/>
          <w:lang w:val="es-ES"/>
        </w:rPr>
        <w:t xml:space="preserve"> y aeronáutico</w:t>
      </w:r>
      <w:r w:rsidRPr="00D45C80">
        <w:rPr>
          <w:rFonts w:ascii="Arial" w:hAnsi="Arial" w:cs="Arial"/>
          <w:b w:val="0"/>
          <w:sz w:val="22"/>
          <w:szCs w:val="22"/>
          <w:lang w:val="es-ES"/>
        </w:rPr>
        <w:t>? ¿El programa genera beneficios asociados a la implementación de los  principios de gobernanza corporativa de la O</w:t>
      </w:r>
      <w:r w:rsidR="00975539" w:rsidRPr="00D45C80">
        <w:rPr>
          <w:rFonts w:ascii="Arial" w:hAnsi="Arial" w:cs="Arial"/>
          <w:b w:val="0"/>
          <w:sz w:val="22"/>
          <w:szCs w:val="22"/>
          <w:lang w:val="es-ES"/>
        </w:rPr>
        <w:t>ECD</w:t>
      </w:r>
      <w:r w:rsidRPr="00D45C80">
        <w:rPr>
          <w:rFonts w:ascii="Arial" w:hAnsi="Arial" w:cs="Arial"/>
          <w:b w:val="0"/>
          <w:sz w:val="22"/>
          <w:szCs w:val="22"/>
          <w:lang w:val="es-ES"/>
        </w:rPr>
        <w:t xml:space="preserve">; incluyendo una gobernanza fiscal análoga a la del sector privado?  </w:t>
      </w:r>
    </w:p>
    <w:p w14:paraId="4AEF9493" w14:textId="77777777" w:rsidR="003350C3" w:rsidRPr="00D45C80" w:rsidRDefault="003350C3" w:rsidP="0028406C">
      <w:pPr>
        <w:spacing w:line="276" w:lineRule="auto"/>
        <w:jc w:val="both"/>
        <w:rPr>
          <w:rFonts w:ascii="Arial" w:hAnsi="Arial" w:cs="Arial"/>
          <w:sz w:val="22"/>
          <w:szCs w:val="22"/>
          <w:lang w:val="es-ES" w:eastAsia="es-AR"/>
        </w:rPr>
      </w:pPr>
    </w:p>
    <w:p w14:paraId="1F5FB904" w14:textId="77777777" w:rsidR="00D45C80" w:rsidRPr="00D45C80" w:rsidRDefault="00D45C80" w:rsidP="0028406C">
      <w:pPr>
        <w:spacing w:line="276" w:lineRule="auto"/>
        <w:jc w:val="both"/>
        <w:rPr>
          <w:rStyle w:val="Heading1Char"/>
          <w:rFonts w:ascii="Arial" w:hAnsi="Arial" w:cs="Arial"/>
          <w:sz w:val="22"/>
          <w:szCs w:val="22"/>
          <w:lang w:val="es-ES"/>
        </w:rPr>
      </w:pPr>
    </w:p>
    <w:p w14:paraId="6423A5D7" w14:textId="77777777" w:rsidR="003350C3" w:rsidRPr="00D45C80" w:rsidRDefault="004D1DEF" w:rsidP="0028406C">
      <w:pPr>
        <w:spacing w:line="276" w:lineRule="auto"/>
        <w:jc w:val="both"/>
        <w:rPr>
          <w:rStyle w:val="Heading1Char"/>
          <w:rFonts w:ascii="Arial" w:hAnsi="Arial" w:cs="Arial"/>
          <w:sz w:val="22"/>
          <w:szCs w:val="22"/>
          <w:lang w:val="es-ES"/>
        </w:rPr>
      </w:pPr>
      <w:r w:rsidRPr="00D45C80">
        <w:rPr>
          <w:rStyle w:val="Heading1Char"/>
          <w:rFonts w:ascii="Arial" w:hAnsi="Arial" w:cs="Arial"/>
          <w:sz w:val="22"/>
          <w:szCs w:val="22"/>
          <w:lang w:val="es-ES"/>
        </w:rPr>
        <w:t>Metodología</w:t>
      </w:r>
    </w:p>
    <w:p w14:paraId="469E0C29" w14:textId="77777777" w:rsidR="00914343" w:rsidRPr="00D45C80" w:rsidRDefault="00914343" w:rsidP="0028406C">
      <w:pPr>
        <w:pStyle w:val="Heading4"/>
        <w:numPr>
          <w:ilvl w:val="0"/>
          <w:numId w:val="0"/>
        </w:numPr>
        <w:tabs>
          <w:tab w:val="clear" w:pos="1440"/>
          <w:tab w:val="left" w:pos="720"/>
        </w:tabs>
        <w:spacing w:before="0" w:after="0" w:line="276" w:lineRule="auto"/>
        <w:ind w:left="720"/>
        <w:rPr>
          <w:rFonts w:ascii="Arial" w:hAnsi="Arial" w:cs="Arial"/>
          <w:b w:val="0"/>
          <w:noProof w:val="0"/>
          <w:sz w:val="22"/>
          <w:szCs w:val="22"/>
          <w:lang w:val="es-ES"/>
        </w:rPr>
      </w:pPr>
    </w:p>
    <w:p w14:paraId="38455FAE" w14:textId="77777777" w:rsidR="0080147C" w:rsidRPr="00D45C80" w:rsidRDefault="00705216"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sz w:val="22"/>
          <w:szCs w:val="22"/>
          <w:lang w:val="es-ES" w:eastAsia="es-ES"/>
        </w:rPr>
        <w:t xml:space="preserve">El consenso acerca de la necesidad de disponer de información sobre la efectividad de las políticas públicas cada vez es mayor. Ésta es necesaria para una mejor asignación de los recursos públicos, y una correcta toma de decisiones. Así, la evaluación constituye un objetivo de gran relevancia en el Ecuador. </w:t>
      </w:r>
    </w:p>
    <w:p w14:paraId="5874676F" w14:textId="77777777" w:rsidR="0097338E" w:rsidRPr="00D45C80" w:rsidRDefault="0097338E"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04B0E345" w14:textId="71C2CB40" w:rsidR="0080147C" w:rsidRPr="00D45C80" w:rsidRDefault="0080147C"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sz w:val="22"/>
          <w:szCs w:val="22"/>
          <w:lang w:val="es-ES"/>
        </w:rPr>
        <w:t>Uno de los principales retos en la implementación de las políticas públicas es contar con una evaluación que permita medir el impacto que genera un programa que haya sido aplicado. En el marco de la presente investigación, se busca id</w:t>
      </w:r>
      <w:r w:rsidR="00D45C80" w:rsidRPr="00D45C80">
        <w:rPr>
          <w:rFonts w:ascii="Arial" w:hAnsi="Arial" w:cs="Arial"/>
          <w:b w:val="0"/>
          <w:sz w:val="22"/>
          <w:szCs w:val="22"/>
          <w:lang w:val="es-ES"/>
        </w:rPr>
        <w:t xml:space="preserve">entificar el efecto causal del </w:t>
      </w:r>
      <w:r w:rsidRPr="00D45C80">
        <w:rPr>
          <w:rFonts w:ascii="Arial" w:hAnsi="Arial" w:cs="Arial"/>
          <w:b w:val="0"/>
          <w:sz w:val="22"/>
          <w:szCs w:val="22"/>
          <w:lang w:val="es-ES"/>
        </w:rPr>
        <w:t xml:space="preserve">Programa de Apoyo a </w:t>
      </w:r>
      <w:r w:rsidR="00D45C80" w:rsidRPr="00D45C80">
        <w:rPr>
          <w:rFonts w:ascii="Arial" w:hAnsi="Arial" w:cs="Arial"/>
          <w:b w:val="0"/>
          <w:sz w:val="22"/>
          <w:szCs w:val="22"/>
          <w:lang w:val="es-ES"/>
        </w:rPr>
        <w:t>la Reforma de Empresas Públicas</w:t>
      </w:r>
      <w:r w:rsidRPr="00D45C80">
        <w:rPr>
          <w:rFonts w:ascii="Arial" w:hAnsi="Arial" w:cs="Arial"/>
          <w:b w:val="0"/>
          <w:sz w:val="22"/>
          <w:szCs w:val="22"/>
          <w:lang w:val="es-ES" w:eastAsia="es-ES"/>
        </w:rPr>
        <w:t xml:space="preserve"> sobre algunas variables de interés.</w:t>
      </w:r>
    </w:p>
    <w:p w14:paraId="110B8EA8" w14:textId="77777777" w:rsidR="0097338E" w:rsidRPr="00D45C80" w:rsidRDefault="0097338E"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036C8C8A" w14:textId="385FD77A" w:rsidR="0080147C" w:rsidRPr="00D45C80" w:rsidRDefault="0080147C"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noProof w:val="0"/>
          <w:sz w:val="22"/>
          <w:szCs w:val="22"/>
          <w:lang w:val="es-ES"/>
        </w:rPr>
        <w:t xml:space="preserve">En este sentido, todo programa afecta o pretende afectar en varios aspectos a las unidades tratadas, en este caso a las </w:t>
      </w:r>
      <w:r w:rsidR="007F130A" w:rsidRPr="00D45C80">
        <w:rPr>
          <w:rFonts w:ascii="Arial" w:hAnsi="Arial" w:cs="Arial"/>
          <w:b w:val="0"/>
          <w:noProof w:val="0"/>
          <w:sz w:val="22"/>
          <w:szCs w:val="22"/>
          <w:lang w:val="es-ES"/>
        </w:rPr>
        <w:t>EEPP</w:t>
      </w:r>
      <w:r w:rsidRPr="00D45C80">
        <w:rPr>
          <w:rFonts w:ascii="Arial" w:hAnsi="Arial" w:cs="Arial"/>
          <w:b w:val="0"/>
          <w:noProof w:val="0"/>
          <w:sz w:val="22"/>
          <w:szCs w:val="22"/>
          <w:lang w:val="es-ES"/>
        </w:rPr>
        <w:t>, estos aspectos son las denominadas “variables de interés o de impacto”; l</w:t>
      </w:r>
      <w:r w:rsidRPr="00D45C80">
        <w:rPr>
          <w:rFonts w:ascii="Arial" w:hAnsi="Arial" w:cs="Arial"/>
          <w:b w:val="0"/>
          <w:sz w:val="22"/>
          <w:szCs w:val="22"/>
          <w:lang w:val="es-ES" w:eastAsia="es-ES"/>
        </w:rPr>
        <w:t>a lógica detrás de la técnica de evaluación de impacto es medir cómo se hubieran comportado estas variables si el programa bajo estudio nunca se hubiera implementado, para lo cual se crea un escenario contrafactual.</w:t>
      </w:r>
    </w:p>
    <w:p w14:paraId="765844E0" w14:textId="77777777" w:rsidR="0097338E" w:rsidRPr="00D45C80" w:rsidRDefault="0097338E"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33572ECD" w14:textId="5E3500EA" w:rsidR="0080147C" w:rsidRPr="00D45C80" w:rsidRDefault="0080147C"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sz w:val="22"/>
          <w:szCs w:val="22"/>
          <w:lang w:val="es-ES" w:eastAsia="es-ES"/>
        </w:rPr>
        <w:t>Para el desarrollo e identificaci</w:t>
      </w:r>
      <w:r w:rsidR="00B21E66" w:rsidRPr="00D45C80">
        <w:rPr>
          <w:rFonts w:ascii="Arial" w:hAnsi="Arial" w:cs="Arial"/>
          <w:b w:val="0"/>
          <w:sz w:val="22"/>
          <w:szCs w:val="22"/>
          <w:lang w:val="es-ES" w:eastAsia="es-ES"/>
        </w:rPr>
        <w:t>ó</w:t>
      </w:r>
      <w:r w:rsidRPr="00D45C80">
        <w:rPr>
          <w:rFonts w:ascii="Arial" w:hAnsi="Arial" w:cs="Arial"/>
          <w:b w:val="0"/>
          <w:sz w:val="22"/>
          <w:szCs w:val="22"/>
          <w:lang w:val="es-ES" w:eastAsia="es-ES"/>
        </w:rPr>
        <w:t>n metodologica de la evaluación de impacto es recomendable considerar tres componentes básicos: los objetivos del programa, la poblaci</w:t>
      </w:r>
      <w:r w:rsidR="00B21E66" w:rsidRPr="00D45C80">
        <w:rPr>
          <w:rFonts w:ascii="Arial" w:hAnsi="Arial" w:cs="Arial"/>
          <w:b w:val="0"/>
          <w:sz w:val="22"/>
          <w:szCs w:val="22"/>
          <w:lang w:val="es-ES" w:eastAsia="es-ES"/>
        </w:rPr>
        <w:t>ó</w:t>
      </w:r>
      <w:r w:rsidRPr="00D45C80">
        <w:rPr>
          <w:rFonts w:ascii="Arial" w:hAnsi="Arial" w:cs="Arial"/>
          <w:b w:val="0"/>
          <w:sz w:val="22"/>
          <w:szCs w:val="22"/>
          <w:lang w:val="es-ES" w:eastAsia="es-ES"/>
        </w:rPr>
        <w:t>n elegible</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y</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finalmente</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los mecanismos de selección de los beneficiarios. A continuaci</w:t>
      </w:r>
      <w:r w:rsidR="00B21E66" w:rsidRPr="00D45C80">
        <w:rPr>
          <w:rFonts w:ascii="Arial" w:hAnsi="Arial" w:cs="Arial"/>
          <w:b w:val="0"/>
          <w:sz w:val="22"/>
          <w:szCs w:val="22"/>
          <w:lang w:val="es-ES" w:eastAsia="es-ES"/>
        </w:rPr>
        <w:t>ó</w:t>
      </w:r>
      <w:r w:rsidRPr="00D45C80">
        <w:rPr>
          <w:rFonts w:ascii="Arial" w:hAnsi="Arial" w:cs="Arial"/>
          <w:b w:val="0"/>
          <w:sz w:val="22"/>
          <w:szCs w:val="22"/>
          <w:lang w:val="es-ES" w:eastAsia="es-ES"/>
        </w:rPr>
        <w:t>n</w:t>
      </w:r>
      <w:r w:rsidR="00B21E66"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se detallan estos componentes para el Programa de Apoyo a </w:t>
      </w:r>
      <w:r w:rsidR="00D45C80" w:rsidRPr="00D45C80">
        <w:rPr>
          <w:rFonts w:ascii="Arial" w:hAnsi="Arial" w:cs="Arial"/>
          <w:b w:val="0"/>
          <w:sz w:val="22"/>
          <w:szCs w:val="22"/>
          <w:lang w:val="es-ES" w:eastAsia="es-ES"/>
        </w:rPr>
        <w:t>la Reforma de Empresas Públicas.</w:t>
      </w:r>
      <w:r w:rsidR="00211E37" w:rsidRPr="00D45C80">
        <w:rPr>
          <w:rFonts w:ascii="Arial" w:hAnsi="Arial" w:cs="Arial"/>
          <w:b w:val="0"/>
          <w:sz w:val="22"/>
          <w:szCs w:val="22"/>
          <w:lang w:val="es-ES" w:eastAsia="es-ES"/>
        </w:rPr>
        <w:t xml:space="preserve"> </w:t>
      </w:r>
    </w:p>
    <w:p w14:paraId="32AB37D4" w14:textId="1B1A948E" w:rsidR="00211E37" w:rsidRDefault="00211E37" w:rsidP="0028406C">
      <w:pPr>
        <w:spacing w:line="276" w:lineRule="auto"/>
        <w:jc w:val="both"/>
        <w:rPr>
          <w:rFonts w:ascii="Arial" w:hAnsi="Arial" w:cs="Arial"/>
          <w:sz w:val="22"/>
          <w:szCs w:val="22"/>
          <w:highlight w:val="yellow"/>
          <w:lang w:val="es-ES" w:eastAsia="es-ES"/>
        </w:rPr>
      </w:pPr>
    </w:p>
    <w:p w14:paraId="64DA2AE8" w14:textId="77777777" w:rsidR="00D45C80" w:rsidRDefault="00D45C80" w:rsidP="0028406C">
      <w:pPr>
        <w:spacing w:line="276" w:lineRule="auto"/>
        <w:jc w:val="both"/>
        <w:rPr>
          <w:rFonts w:ascii="Arial" w:hAnsi="Arial" w:cs="Arial"/>
          <w:sz w:val="22"/>
          <w:szCs w:val="22"/>
          <w:highlight w:val="yellow"/>
          <w:lang w:val="es-ES" w:eastAsia="es-ES"/>
        </w:rPr>
      </w:pPr>
    </w:p>
    <w:p w14:paraId="20ACF029" w14:textId="77777777" w:rsidR="00D45C80" w:rsidRDefault="00D45C80" w:rsidP="0028406C">
      <w:pPr>
        <w:spacing w:line="276" w:lineRule="auto"/>
        <w:jc w:val="both"/>
        <w:rPr>
          <w:rFonts w:ascii="Arial" w:hAnsi="Arial" w:cs="Arial"/>
          <w:sz w:val="22"/>
          <w:szCs w:val="22"/>
          <w:highlight w:val="yellow"/>
          <w:lang w:val="es-ES" w:eastAsia="es-ES"/>
        </w:rPr>
      </w:pPr>
    </w:p>
    <w:p w14:paraId="258606B9" w14:textId="77777777" w:rsidR="00D45C80" w:rsidRDefault="00D45C80" w:rsidP="0028406C">
      <w:pPr>
        <w:spacing w:line="276" w:lineRule="auto"/>
        <w:jc w:val="both"/>
        <w:rPr>
          <w:rFonts w:ascii="Arial" w:hAnsi="Arial" w:cs="Arial"/>
          <w:sz w:val="22"/>
          <w:szCs w:val="22"/>
          <w:highlight w:val="yellow"/>
          <w:lang w:val="es-ES" w:eastAsia="es-ES"/>
        </w:rPr>
      </w:pPr>
    </w:p>
    <w:p w14:paraId="21BCB908" w14:textId="77777777" w:rsidR="00D45C80" w:rsidRDefault="00D45C80" w:rsidP="0028406C">
      <w:pPr>
        <w:spacing w:line="276" w:lineRule="auto"/>
        <w:jc w:val="both"/>
        <w:rPr>
          <w:rFonts w:ascii="Arial" w:hAnsi="Arial" w:cs="Arial"/>
          <w:sz w:val="22"/>
          <w:szCs w:val="22"/>
          <w:highlight w:val="yellow"/>
          <w:lang w:val="es-ES" w:eastAsia="es-ES"/>
        </w:rPr>
      </w:pPr>
    </w:p>
    <w:p w14:paraId="601328DE" w14:textId="77777777" w:rsidR="00D45C80" w:rsidRDefault="00D45C80" w:rsidP="0028406C">
      <w:pPr>
        <w:spacing w:line="276" w:lineRule="auto"/>
        <w:jc w:val="both"/>
        <w:rPr>
          <w:rFonts w:ascii="Arial" w:hAnsi="Arial" w:cs="Arial"/>
          <w:sz w:val="22"/>
          <w:szCs w:val="22"/>
          <w:highlight w:val="yellow"/>
          <w:lang w:val="es-ES" w:eastAsia="es-ES"/>
        </w:rPr>
      </w:pPr>
    </w:p>
    <w:p w14:paraId="5A13B8FE" w14:textId="77777777" w:rsidR="00D45C80" w:rsidRPr="00D45C80" w:rsidRDefault="00D45C80" w:rsidP="0028406C">
      <w:pPr>
        <w:spacing w:line="276" w:lineRule="auto"/>
        <w:jc w:val="both"/>
        <w:rPr>
          <w:rFonts w:ascii="Arial" w:hAnsi="Arial" w:cs="Arial"/>
          <w:sz w:val="22"/>
          <w:szCs w:val="22"/>
          <w:lang w:val="es-ES" w:eastAsia="es-ES"/>
        </w:rPr>
      </w:pPr>
    </w:p>
    <w:p w14:paraId="1DE440E9" w14:textId="55959CBA" w:rsidR="00CD0D9E" w:rsidRPr="00D45C80" w:rsidRDefault="0080147C" w:rsidP="00266E44">
      <w:pPr>
        <w:pStyle w:val="ListParagraph"/>
        <w:numPr>
          <w:ilvl w:val="0"/>
          <w:numId w:val="29"/>
        </w:numPr>
        <w:tabs>
          <w:tab w:val="left" w:pos="720"/>
        </w:tabs>
        <w:spacing w:line="276" w:lineRule="auto"/>
        <w:jc w:val="both"/>
        <w:rPr>
          <w:rStyle w:val="Heading1Char"/>
          <w:rFonts w:ascii="Arial" w:hAnsi="Arial" w:cs="Arial"/>
          <w:b w:val="0"/>
          <w:smallCaps w:val="0"/>
          <w:noProof w:val="0"/>
          <w:spacing w:val="-3"/>
          <w:sz w:val="22"/>
          <w:szCs w:val="22"/>
          <w:lang w:val="es-ES" w:eastAsia="es-ES"/>
        </w:rPr>
      </w:pPr>
      <w:r w:rsidRPr="00D45C80">
        <w:rPr>
          <w:rStyle w:val="Heading1Char"/>
          <w:rFonts w:ascii="Arial" w:hAnsi="Arial" w:cs="Arial"/>
          <w:sz w:val="22"/>
          <w:szCs w:val="22"/>
          <w:lang w:val="es-ES"/>
        </w:rPr>
        <w:lastRenderedPageBreak/>
        <w:t>Población e</w:t>
      </w:r>
      <w:r w:rsidR="00333FF5" w:rsidRPr="00D45C80">
        <w:rPr>
          <w:rStyle w:val="Heading1Char"/>
          <w:rFonts w:ascii="Arial" w:hAnsi="Arial" w:cs="Arial"/>
          <w:sz w:val="22"/>
          <w:szCs w:val="22"/>
          <w:lang w:val="es-ES"/>
        </w:rPr>
        <w:t>l</w:t>
      </w:r>
      <w:r w:rsidRPr="00D45C80">
        <w:rPr>
          <w:rStyle w:val="Heading1Char"/>
          <w:rFonts w:ascii="Arial" w:hAnsi="Arial" w:cs="Arial"/>
          <w:sz w:val="22"/>
          <w:szCs w:val="22"/>
          <w:lang w:val="es-ES"/>
        </w:rPr>
        <w:t>egible</w:t>
      </w:r>
    </w:p>
    <w:p w14:paraId="589AF0DA" w14:textId="77777777" w:rsidR="00CD0D9E" w:rsidRPr="00D45C80" w:rsidRDefault="00CD0D9E" w:rsidP="0028406C">
      <w:pPr>
        <w:pStyle w:val="ListParagraph"/>
        <w:spacing w:line="276" w:lineRule="auto"/>
        <w:jc w:val="both"/>
        <w:rPr>
          <w:rFonts w:ascii="Arial" w:hAnsi="Arial" w:cs="Arial"/>
          <w:sz w:val="22"/>
          <w:szCs w:val="22"/>
          <w:lang w:val="es-ES" w:eastAsia="es-ES"/>
        </w:rPr>
      </w:pPr>
    </w:p>
    <w:p w14:paraId="4B16BC9A" w14:textId="4A78E22C" w:rsidR="0080147C" w:rsidRPr="00D45C80" w:rsidRDefault="00D45C80" w:rsidP="0028406C">
      <w:pPr>
        <w:pStyle w:val="ListParagraph"/>
        <w:numPr>
          <w:ilvl w:val="1"/>
          <w:numId w:val="10"/>
        </w:numPr>
        <w:tabs>
          <w:tab w:val="left" w:pos="720"/>
        </w:tabs>
        <w:spacing w:line="276" w:lineRule="auto"/>
        <w:ind w:left="720" w:hanging="720"/>
        <w:jc w:val="both"/>
        <w:rPr>
          <w:rFonts w:ascii="Arial" w:hAnsi="Arial" w:cs="Arial"/>
          <w:sz w:val="22"/>
          <w:szCs w:val="22"/>
          <w:lang w:val="es-ES" w:eastAsia="es-ES"/>
        </w:rPr>
      </w:pPr>
      <w:r w:rsidRPr="00D45C80">
        <w:rPr>
          <w:rFonts w:ascii="Arial" w:hAnsi="Arial" w:cs="Arial"/>
          <w:sz w:val="22"/>
          <w:szCs w:val="22"/>
          <w:lang w:val="es-ES" w:eastAsia="es-ES"/>
        </w:rPr>
        <w:t>E</w:t>
      </w:r>
      <w:r w:rsidR="0080147C" w:rsidRPr="00D45C80">
        <w:rPr>
          <w:rFonts w:ascii="Arial" w:hAnsi="Arial" w:cs="Arial"/>
          <w:sz w:val="22"/>
          <w:szCs w:val="22"/>
          <w:lang w:val="es-ES" w:eastAsia="es-ES"/>
        </w:rPr>
        <w:t>l Programa de Apoyo a la Reforma de Empresas Públicas se centra en 22 EEPP</w:t>
      </w:r>
      <w:r w:rsidR="00051592" w:rsidRPr="00D45C80">
        <w:rPr>
          <w:rStyle w:val="FootnoteReference"/>
          <w:rFonts w:ascii="Arial" w:hAnsi="Arial" w:cs="Arial"/>
          <w:b/>
          <w:sz w:val="22"/>
          <w:szCs w:val="22"/>
          <w:lang w:val="es-ES" w:eastAsia="es-ES"/>
        </w:rPr>
        <w:footnoteReference w:id="42"/>
      </w:r>
      <w:r w:rsidR="0080147C" w:rsidRPr="00D45C80">
        <w:rPr>
          <w:rFonts w:ascii="Arial" w:hAnsi="Arial" w:cs="Arial"/>
          <w:sz w:val="22"/>
          <w:szCs w:val="22"/>
          <w:lang w:val="es-ES" w:eastAsia="es-ES"/>
        </w:rPr>
        <w:t>, las mismas que son</w:t>
      </w:r>
      <w:r w:rsidRPr="00D45C80">
        <w:rPr>
          <w:rFonts w:ascii="Arial" w:hAnsi="Arial" w:cs="Arial"/>
          <w:sz w:val="22"/>
          <w:szCs w:val="22"/>
          <w:lang w:val="es-ES" w:eastAsia="es-ES"/>
        </w:rPr>
        <w:t xml:space="preserve"> elegibles para ser beneficiarias</w:t>
      </w:r>
      <w:r w:rsidR="0080147C" w:rsidRPr="00D45C80">
        <w:rPr>
          <w:rFonts w:ascii="Arial" w:hAnsi="Arial" w:cs="Arial"/>
          <w:sz w:val="22"/>
          <w:szCs w:val="22"/>
          <w:lang w:val="es-ES" w:eastAsia="es-ES"/>
        </w:rPr>
        <w:t xml:space="preserve"> del mismo. Sin embargo, se resalta que los objetivos específicos pudieran ser categorizados como dos subprogramas</w:t>
      </w:r>
      <w:r w:rsidRPr="00D45C80">
        <w:rPr>
          <w:rFonts w:ascii="Arial" w:hAnsi="Arial" w:cs="Arial"/>
          <w:sz w:val="22"/>
          <w:szCs w:val="22"/>
          <w:lang w:val="es-ES" w:eastAsia="es-ES"/>
        </w:rPr>
        <w:t>,</w:t>
      </w:r>
      <w:r w:rsidR="0080147C" w:rsidRPr="00D45C80">
        <w:rPr>
          <w:rFonts w:ascii="Arial" w:hAnsi="Arial" w:cs="Arial"/>
          <w:sz w:val="22"/>
          <w:szCs w:val="22"/>
          <w:lang w:val="es-ES" w:eastAsia="es-ES"/>
        </w:rPr>
        <w:t xml:space="preserve"> dentro del Programa principal</w:t>
      </w:r>
      <w:r w:rsidRPr="00D45C80">
        <w:rPr>
          <w:rFonts w:ascii="Arial" w:hAnsi="Arial" w:cs="Arial"/>
          <w:sz w:val="22"/>
          <w:szCs w:val="22"/>
          <w:lang w:val="es-ES" w:eastAsia="es-ES"/>
        </w:rPr>
        <w:t>,</w:t>
      </w:r>
      <w:r w:rsidR="0080147C" w:rsidRPr="00D45C80">
        <w:rPr>
          <w:rFonts w:ascii="Arial" w:hAnsi="Arial" w:cs="Arial"/>
          <w:sz w:val="22"/>
          <w:szCs w:val="22"/>
          <w:lang w:val="es-ES" w:eastAsia="es-ES"/>
        </w:rPr>
        <w:t xml:space="preserve"> dado que las EEPP elegibles para cada caso son distintas. </w:t>
      </w:r>
    </w:p>
    <w:p w14:paraId="424E3EE1" w14:textId="77777777" w:rsidR="00333FF5" w:rsidRPr="00D45C80" w:rsidRDefault="00333FF5"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4ECF1CE6" w14:textId="7DFD5344" w:rsidR="0080147C" w:rsidRPr="00D45C80" w:rsidRDefault="0080147C"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sz w:val="22"/>
          <w:szCs w:val="22"/>
          <w:lang w:val="es-ES" w:eastAsia="es-ES"/>
        </w:rPr>
        <w:t>Esto se fundamenta en que el primer objetivo específico</w:t>
      </w:r>
      <w:r w:rsidR="004A5DC4">
        <w:rPr>
          <w:rFonts w:ascii="Arial" w:hAnsi="Arial" w:cs="Arial"/>
          <w:b w:val="0"/>
          <w:sz w:val="22"/>
          <w:szCs w:val="22"/>
          <w:lang w:val="es-ES" w:eastAsia="es-ES"/>
        </w:rPr>
        <w:t>,</w:t>
      </w:r>
      <w:r w:rsidRPr="00D45C80">
        <w:rPr>
          <w:rFonts w:ascii="Arial" w:hAnsi="Arial" w:cs="Arial"/>
          <w:b w:val="0"/>
          <w:sz w:val="22"/>
          <w:szCs w:val="22"/>
          <w:lang w:val="es-ES" w:eastAsia="es-ES"/>
        </w:rPr>
        <w:t xml:space="preserve"> </w:t>
      </w:r>
      <w:r w:rsidR="004A5DC4">
        <w:rPr>
          <w:rFonts w:ascii="Arial" w:hAnsi="Arial" w:cs="Arial"/>
          <w:b w:val="0"/>
          <w:sz w:val="22"/>
          <w:szCs w:val="22"/>
          <w:lang w:val="es-ES" w:eastAsia="es-ES"/>
        </w:rPr>
        <w:t>“</w:t>
      </w:r>
      <w:r w:rsidR="004A5DC4" w:rsidRPr="0002594E">
        <w:rPr>
          <w:rFonts w:ascii="Arial" w:hAnsi="Arial" w:cs="Arial"/>
          <w:b w:val="0"/>
          <w:noProof w:val="0"/>
          <w:sz w:val="22"/>
          <w:szCs w:val="22"/>
          <w:lang w:val="es-ES"/>
        </w:rPr>
        <w:t>Incrementar el número de EEPP alineadas a los principios de Gobernanza Corporativa de la OECD; incluyendo una gobernanza fiscal análoga a la del sector privado</w:t>
      </w:r>
      <w:r w:rsidR="004A5DC4">
        <w:rPr>
          <w:rFonts w:ascii="Arial" w:hAnsi="Arial" w:cs="Arial"/>
          <w:b w:val="0"/>
          <w:sz w:val="22"/>
          <w:szCs w:val="22"/>
          <w:lang w:val="es-ES" w:eastAsia="es-ES"/>
        </w:rPr>
        <w:t xml:space="preserve">”, </w:t>
      </w:r>
      <w:r w:rsidRPr="00D45C80">
        <w:rPr>
          <w:rFonts w:ascii="Arial" w:hAnsi="Arial" w:cs="Arial"/>
          <w:b w:val="0"/>
          <w:sz w:val="22"/>
          <w:szCs w:val="22"/>
          <w:lang w:val="es-ES" w:eastAsia="es-ES"/>
        </w:rPr>
        <w:t>consider</w:t>
      </w:r>
      <w:r w:rsidR="00D45C80" w:rsidRPr="00D45C80">
        <w:rPr>
          <w:rFonts w:ascii="Arial" w:hAnsi="Arial" w:cs="Arial"/>
          <w:b w:val="0"/>
          <w:sz w:val="22"/>
          <w:szCs w:val="22"/>
          <w:lang w:val="es-ES" w:eastAsia="es-ES"/>
        </w:rPr>
        <w:t>a como elegibles a todas las EE</w:t>
      </w:r>
      <w:r w:rsidRPr="00D45C80">
        <w:rPr>
          <w:rFonts w:ascii="Arial" w:hAnsi="Arial" w:cs="Arial"/>
          <w:b w:val="0"/>
          <w:sz w:val="22"/>
          <w:szCs w:val="22"/>
          <w:lang w:val="es-ES" w:eastAsia="es-ES"/>
        </w:rPr>
        <w:t>PP, mientras que</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el segundo objetivo específico</w:t>
      </w:r>
      <w:r w:rsidR="004A5DC4">
        <w:rPr>
          <w:rFonts w:ascii="Arial" w:hAnsi="Arial" w:cs="Arial"/>
          <w:b w:val="0"/>
          <w:sz w:val="22"/>
          <w:szCs w:val="22"/>
          <w:lang w:val="es-ES" w:eastAsia="es-ES"/>
        </w:rPr>
        <w:t>,</w:t>
      </w:r>
      <w:r w:rsidRPr="00D45C80">
        <w:rPr>
          <w:rFonts w:ascii="Arial" w:hAnsi="Arial" w:cs="Arial"/>
          <w:b w:val="0"/>
          <w:sz w:val="22"/>
          <w:szCs w:val="22"/>
          <w:lang w:val="es-ES" w:eastAsia="es-ES"/>
        </w:rPr>
        <w:t xml:space="preserve"> </w:t>
      </w:r>
      <w:r w:rsidR="004A5DC4">
        <w:rPr>
          <w:rFonts w:ascii="Arial" w:hAnsi="Arial" w:cs="Arial"/>
          <w:b w:val="0"/>
          <w:sz w:val="22"/>
          <w:szCs w:val="22"/>
          <w:lang w:val="es-ES" w:eastAsia="es-ES"/>
        </w:rPr>
        <w:t>“</w:t>
      </w:r>
      <w:r w:rsidR="004A5DC4" w:rsidRPr="0002594E">
        <w:rPr>
          <w:rFonts w:ascii="Arial" w:hAnsi="Arial" w:cs="Arial"/>
          <w:b w:val="0"/>
          <w:noProof w:val="0"/>
          <w:sz w:val="22"/>
          <w:szCs w:val="22"/>
          <w:lang w:val="es-ES"/>
        </w:rPr>
        <w:t xml:space="preserve">Aumentar la eficiencia de las EEPP del sector de </w:t>
      </w:r>
      <w:r w:rsidR="00E23B68" w:rsidRPr="00E23B68">
        <w:rPr>
          <w:rFonts w:ascii="Arial" w:hAnsi="Arial" w:cs="Arial"/>
          <w:b w:val="0"/>
          <w:noProof w:val="0"/>
          <w:sz w:val="22"/>
          <w:szCs w:val="22"/>
          <w:lang w:val="es-ES"/>
        </w:rPr>
        <w:t>hidrocarburos, eléctrico</w:t>
      </w:r>
      <w:r w:rsidR="004A5DC4" w:rsidRPr="0002594E">
        <w:rPr>
          <w:rFonts w:ascii="Arial" w:hAnsi="Arial" w:cs="Arial"/>
          <w:b w:val="0"/>
          <w:noProof w:val="0"/>
          <w:sz w:val="22"/>
          <w:szCs w:val="22"/>
          <w:lang w:val="es-ES"/>
        </w:rPr>
        <w:t xml:space="preserve"> y aeronáutico</w:t>
      </w:r>
      <w:r w:rsidR="004A5DC4">
        <w:rPr>
          <w:rFonts w:ascii="Arial" w:hAnsi="Arial" w:cs="Arial"/>
          <w:b w:val="0"/>
          <w:sz w:val="22"/>
          <w:szCs w:val="22"/>
          <w:lang w:val="es-ES" w:eastAsia="es-ES"/>
        </w:rPr>
        <w:t xml:space="preserve">”, </w:t>
      </w:r>
      <w:r w:rsidRPr="00D45C80">
        <w:rPr>
          <w:rFonts w:ascii="Arial" w:hAnsi="Arial" w:cs="Arial"/>
          <w:b w:val="0"/>
          <w:sz w:val="22"/>
          <w:szCs w:val="22"/>
          <w:lang w:val="es-ES" w:eastAsia="es-ES"/>
        </w:rPr>
        <w:t>solo toma en</w:t>
      </w:r>
      <w:r w:rsidR="00D45C80" w:rsidRPr="00D45C80">
        <w:rPr>
          <w:rFonts w:ascii="Arial" w:hAnsi="Arial" w:cs="Arial"/>
          <w:b w:val="0"/>
          <w:sz w:val="22"/>
          <w:szCs w:val="22"/>
          <w:lang w:val="es-ES" w:eastAsia="es-ES"/>
        </w:rPr>
        <w:t xml:space="preserve"> cuenta como elegibles a las EE</w:t>
      </w:r>
      <w:r w:rsidRPr="00D45C80">
        <w:rPr>
          <w:rFonts w:ascii="Arial" w:hAnsi="Arial" w:cs="Arial"/>
          <w:b w:val="0"/>
          <w:sz w:val="22"/>
          <w:szCs w:val="22"/>
          <w:lang w:val="es-ES" w:eastAsia="es-ES"/>
        </w:rPr>
        <w:t xml:space="preserve">PP del sector de </w:t>
      </w:r>
      <w:r w:rsidR="00E23B68" w:rsidRPr="00E23B68">
        <w:rPr>
          <w:rFonts w:ascii="Arial" w:hAnsi="Arial" w:cs="Arial"/>
          <w:b w:val="0"/>
          <w:sz w:val="22"/>
          <w:szCs w:val="22"/>
          <w:lang w:val="es-ES" w:eastAsia="es-ES"/>
        </w:rPr>
        <w:t>hidrocarburos, eléctrico</w:t>
      </w:r>
      <w:r w:rsidR="00D45C80" w:rsidRPr="00D45C80">
        <w:rPr>
          <w:rFonts w:ascii="Arial" w:hAnsi="Arial" w:cs="Arial"/>
          <w:b w:val="0"/>
          <w:sz w:val="22"/>
          <w:szCs w:val="22"/>
          <w:lang w:val="es-ES" w:eastAsia="es-ES"/>
        </w:rPr>
        <w:t xml:space="preserve"> y aeronáutico</w:t>
      </w:r>
      <w:r w:rsidRPr="00D45C80">
        <w:rPr>
          <w:rFonts w:ascii="Arial" w:hAnsi="Arial" w:cs="Arial"/>
          <w:b w:val="0"/>
          <w:sz w:val="22"/>
          <w:szCs w:val="22"/>
          <w:lang w:val="es-ES" w:eastAsia="es-ES"/>
        </w:rPr>
        <w:t xml:space="preserve">. </w:t>
      </w:r>
    </w:p>
    <w:p w14:paraId="7A947141" w14:textId="77777777" w:rsidR="00333FF5" w:rsidRPr="00D45C80" w:rsidRDefault="00333FF5"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73CA8FE2" w14:textId="52D02AFC" w:rsidR="0080147C" w:rsidRDefault="0080147C" w:rsidP="00D45C80">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D45C80">
        <w:rPr>
          <w:rFonts w:ascii="Arial" w:hAnsi="Arial" w:cs="Arial"/>
          <w:b w:val="0"/>
          <w:sz w:val="22"/>
          <w:szCs w:val="22"/>
          <w:lang w:val="es-ES" w:eastAsia="es-ES"/>
        </w:rPr>
        <w:t xml:space="preserve">Este detalle es fundamental para el análisis del efecto causal, puesto que la población al no ser totalmente coincidente en ambos subprogramas </w:t>
      </w:r>
      <w:r w:rsidR="00D45C80" w:rsidRPr="00D45C80">
        <w:rPr>
          <w:rFonts w:ascii="Arial" w:hAnsi="Arial" w:cs="Arial"/>
          <w:b w:val="0"/>
          <w:sz w:val="22"/>
          <w:szCs w:val="22"/>
          <w:lang w:val="es-ES" w:eastAsia="es-ES"/>
        </w:rPr>
        <w:t xml:space="preserve">(objetivos específicos) </w:t>
      </w:r>
      <w:r w:rsidRPr="00D45C80">
        <w:rPr>
          <w:rFonts w:ascii="Arial" w:hAnsi="Arial" w:cs="Arial"/>
          <w:b w:val="0"/>
          <w:sz w:val="22"/>
          <w:szCs w:val="22"/>
          <w:lang w:val="es-ES" w:eastAsia="es-ES"/>
        </w:rPr>
        <w:t>hace que se gen</w:t>
      </w:r>
      <w:r w:rsidR="00D45C80" w:rsidRPr="00D45C80">
        <w:rPr>
          <w:rFonts w:ascii="Arial" w:hAnsi="Arial" w:cs="Arial"/>
          <w:b w:val="0"/>
          <w:sz w:val="22"/>
          <w:szCs w:val="22"/>
          <w:lang w:val="es-ES" w:eastAsia="es-ES"/>
        </w:rPr>
        <w:t>eren dos tipos de “tratamiento”.</w:t>
      </w:r>
      <w:r w:rsidRPr="00D45C80">
        <w:rPr>
          <w:rFonts w:ascii="Arial" w:hAnsi="Arial" w:cs="Arial"/>
          <w:b w:val="0"/>
          <w:sz w:val="22"/>
          <w:szCs w:val="22"/>
          <w:lang w:val="es-ES" w:eastAsia="es-ES"/>
        </w:rPr>
        <w:t xml:space="preserve"> </w:t>
      </w:r>
      <w:r w:rsidR="00D45C80" w:rsidRPr="00D45C80">
        <w:rPr>
          <w:rFonts w:ascii="Arial" w:hAnsi="Arial" w:cs="Arial"/>
          <w:b w:val="0"/>
          <w:sz w:val="22"/>
          <w:szCs w:val="22"/>
          <w:lang w:val="es-ES" w:eastAsia="es-ES"/>
        </w:rPr>
        <w:t>E</w:t>
      </w:r>
      <w:r w:rsidRPr="00D45C80">
        <w:rPr>
          <w:rFonts w:ascii="Arial" w:hAnsi="Arial" w:cs="Arial"/>
          <w:b w:val="0"/>
          <w:sz w:val="22"/>
          <w:szCs w:val="22"/>
          <w:lang w:val="es-ES" w:eastAsia="es-ES"/>
        </w:rPr>
        <w:t>l primero</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w:t>
      </w:r>
      <w:r w:rsidR="00D45C80" w:rsidRPr="00D45C80">
        <w:rPr>
          <w:rFonts w:ascii="Arial" w:hAnsi="Arial" w:cs="Arial"/>
          <w:b w:val="0"/>
          <w:sz w:val="22"/>
          <w:szCs w:val="22"/>
          <w:lang w:val="es-ES" w:eastAsia="es-ES"/>
        </w:rPr>
        <w:t>se encuentra relacionado</w:t>
      </w:r>
      <w:r w:rsidRPr="00D45C80">
        <w:rPr>
          <w:rFonts w:ascii="Arial" w:hAnsi="Arial" w:cs="Arial"/>
          <w:b w:val="0"/>
          <w:sz w:val="22"/>
          <w:szCs w:val="22"/>
          <w:lang w:val="es-ES" w:eastAsia="es-ES"/>
        </w:rPr>
        <w:t xml:space="preserve"> a los principios de gobernanza de la O</w:t>
      </w:r>
      <w:r w:rsidR="00D45C80" w:rsidRPr="00D45C80">
        <w:rPr>
          <w:rFonts w:ascii="Arial" w:hAnsi="Arial" w:cs="Arial"/>
          <w:b w:val="0"/>
          <w:sz w:val="22"/>
          <w:szCs w:val="22"/>
          <w:lang w:val="es-ES" w:eastAsia="es-ES"/>
        </w:rPr>
        <w:t>ECD;</w:t>
      </w:r>
      <w:r w:rsidRPr="00D45C80">
        <w:rPr>
          <w:rFonts w:ascii="Arial" w:hAnsi="Arial" w:cs="Arial"/>
          <w:b w:val="0"/>
          <w:sz w:val="22"/>
          <w:szCs w:val="22"/>
          <w:lang w:val="es-ES" w:eastAsia="es-ES"/>
        </w:rPr>
        <w:t xml:space="preserve"> y</w:t>
      </w:r>
      <w:r w:rsidR="00D45C80"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el se</w:t>
      </w:r>
      <w:r w:rsidR="00D45C80" w:rsidRPr="00D45C80">
        <w:rPr>
          <w:rFonts w:ascii="Arial" w:hAnsi="Arial" w:cs="Arial"/>
          <w:b w:val="0"/>
          <w:sz w:val="22"/>
          <w:szCs w:val="22"/>
          <w:lang w:val="es-ES" w:eastAsia="es-ES"/>
        </w:rPr>
        <w:t>gundo a la eficiencia de las EE</w:t>
      </w:r>
      <w:r w:rsidRPr="00D45C80">
        <w:rPr>
          <w:rFonts w:ascii="Arial" w:hAnsi="Arial" w:cs="Arial"/>
          <w:b w:val="0"/>
          <w:sz w:val="22"/>
          <w:szCs w:val="22"/>
          <w:lang w:val="es-ES" w:eastAsia="es-ES"/>
        </w:rPr>
        <w:t>PP del sector analizado. Cada subprograma, adicional al indicador de impacto general</w:t>
      </w:r>
      <w:r w:rsidR="00211E37" w:rsidRPr="00D45C80">
        <w:rPr>
          <w:rFonts w:ascii="Arial" w:hAnsi="Arial" w:cs="Arial"/>
          <w:b w:val="0"/>
          <w:sz w:val="22"/>
          <w:szCs w:val="22"/>
          <w:lang w:val="es-ES" w:eastAsia="es-ES"/>
        </w:rPr>
        <w:t>,</w:t>
      </w:r>
      <w:r w:rsidRPr="00D45C80">
        <w:rPr>
          <w:rFonts w:ascii="Arial" w:hAnsi="Arial" w:cs="Arial"/>
          <w:b w:val="0"/>
          <w:sz w:val="22"/>
          <w:szCs w:val="22"/>
          <w:lang w:val="es-ES" w:eastAsia="es-ES"/>
        </w:rPr>
        <w:t xml:space="preserve"> puede tener indicadores de impacto asociados a su objetivo específico.</w:t>
      </w:r>
      <w:r w:rsidR="004A5DC4">
        <w:rPr>
          <w:rFonts w:ascii="Arial" w:hAnsi="Arial" w:cs="Arial"/>
          <w:b w:val="0"/>
          <w:sz w:val="22"/>
          <w:szCs w:val="22"/>
          <w:lang w:val="es-ES" w:eastAsia="es-ES"/>
        </w:rPr>
        <w:t xml:space="preserve"> Esto se analiza más adelante.</w:t>
      </w:r>
    </w:p>
    <w:p w14:paraId="705A5E36" w14:textId="77777777" w:rsidR="00D45C80" w:rsidRDefault="00D45C80" w:rsidP="00D45C80">
      <w:pPr>
        <w:rPr>
          <w:lang w:val="es-ES" w:eastAsia="es-ES"/>
        </w:rPr>
      </w:pPr>
    </w:p>
    <w:p w14:paraId="12249973" w14:textId="6B132187" w:rsidR="00D45C80" w:rsidRPr="00DB04DE" w:rsidRDefault="00D45C80" w:rsidP="00266E44">
      <w:pPr>
        <w:pStyle w:val="ListParagraph"/>
        <w:numPr>
          <w:ilvl w:val="0"/>
          <w:numId w:val="29"/>
        </w:numPr>
        <w:rPr>
          <w:rStyle w:val="Heading1Char"/>
          <w:rFonts w:ascii="Arial" w:hAnsi="Arial" w:cs="Arial"/>
          <w:b w:val="0"/>
          <w:smallCaps w:val="0"/>
          <w:noProof w:val="0"/>
          <w:sz w:val="22"/>
          <w:szCs w:val="22"/>
          <w:lang w:val="es-ES" w:eastAsia="es-ES"/>
        </w:rPr>
      </w:pPr>
      <w:r w:rsidRPr="00DB04DE">
        <w:rPr>
          <w:rStyle w:val="Heading1Char"/>
          <w:rFonts w:ascii="Arial" w:hAnsi="Arial" w:cs="Arial"/>
          <w:sz w:val="22"/>
          <w:szCs w:val="22"/>
          <w:lang w:val="es-ES"/>
        </w:rPr>
        <w:t>Mecanismos de Selección</w:t>
      </w:r>
    </w:p>
    <w:p w14:paraId="57A7AC3B" w14:textId="77777777" w:rsidR="00D45C80" w:rsidRPr="00D45C80" w:rsidRDefault="00D45C80" w:rsidP="00D45C80">
      <w:pPr>
        <w:pStyle w:val="ListParagraph"/>
        <w:tabs>
          <w:tab w:val="left" w:pos="720"/>
        </w:tabs>
        <w:spacing w:line="276" w:lineRule="auto"/>
        <w:jc w:val="both"/>
        <w:rPr>
          <w:rStyle w:val="Heading1Char"/>
          <w:rFonts w:ascii="Arial" w:hAnsi="Arial" w:cs="Arial"/>
          <w:b w:val="0"/>
          <w:smallCaps w:val="0"/>
          <w:noProof w:val="0"/>
          <w:sz w:val="22"/>
          <w:szCs w:val="22"/>
          <w:lang w:val="es-ES" w:eastAsia="es-ES"/>
        </w:rPr>
      </w:pPr>
    </w:p>
    <w:p w14:paraId="5A5A7D69" w14:textId="77777777" w:rsidR="002B00C7" w:rsidRDefault="0080147C" w:rsidP="00B45549">
      <w:pPr>
        <w:pStyle w:val="ListParagraph"/>
        <w:numPr>
          <w:ilvl w:val="1"/>
          <w:numId w:val="10"/>
        </w:numPr>
        <w:tabs>
          <w:tab w:val="left" w:pos="720"/>
        </w:tabs>
        <w:spacing w:line="276" w:lineRule="auto"/>
        <w:ind w:left="720" w:hanging="720"/>
        <w:jc w:val="both"/>
        <w:rPr>
          <w:rFonts w:ascii="Arial" w:hAnsi="Arial" w:cs="Arial"/>
          <w:sz w:val="22"/>
          <w:szCs w:val="22"/>
          <w:lang w:val="es-ES" w:eastAsia="es-ES"/>
        </w:rPr>
      </w:pPr>
      <w:r w:rsidRPr="002B00C7">
        <w:rPr>
          <w:rFonts w:ascii="Arial" w:hAnsi="Arial" w:cs="Arial"/>
          <w:sz w:val="22"/>
          <w:szCs w:val="22"/>
          <w:lang w:val="es-ES" w:eastAsia="es-ES"/>
        </w:rPr>
        <w:t>El Programa de Apoyo a la Reforma de Empresas Públicas se aplicará</w:t>
      </w:r>
      <w:r w:rsidR="00D45C80" w:rsidRPr="002B00C7">
        <w:rPr>
          <w:rFonts w:ascii="Arial" w:hAnsi="Arial" w:cs="Arial"/>
          <w:sz w:val="22"/>
          <w:szCs w:val="22"/>
          <w:lang w:val="es-ES" w:eastAsia="es-ES"/>
        </w:rPr>
        <w:t xml:space="preserve"> simultáneamente a todas las EE</w:t>
      </w:r>
      <w:r w:rsidRPr="002B00C7">
        <w:rPr>
          <w:rFonts w:ascii="Arial" w:hAnsi="Arial" w:cs="Arial"/>
          <w:sz w:val="22"/>
          <w:szCs w:val="22"/>
          <w:lang w:val="es-ES" w:eastAsia="es-ES"/>
        </w:rPr>
        <w:t>PP elegibles, por lo cual</w:t>
      </w:r>
      <w:r w:rsidR="00D45C80" w:rsidRPr="002B00C7">
        <w:rPr>
          <w:rFonts w:ascii="Arial" w:hAnsi="Arial" w:cs="Arial"/>
          <w:sz w:val="22"/>
          <w:szCs w:val="22"/>
          <w:lang w:val="es-ES" w:eastAsia="es-ES"/>
        </w:rPr>
        <w:t>,</w:t>
      </w:r>
      <w:r w:rsidRPr="002B00C7">
        <w:rPr>
          <w:rFonts w:ascii="Arial" w:hAnsi="Arial" w:cs="Arial"/>
          <w:sz w:val="22"/>
          <w:szCs w:val="22"/>
          <w:lang w:val="es-ES" w:eastAsia="es-ES"/>
        </w:rPr>
        <w:t xml:space="preserve"> no hay un mecanismo de selección de beneficiarios.</w:t>
      </w:r>
    </w:p>
    <w:p w14:paraId="5B284FFD" w14:textId="5C89FE28" w:rsidR="00D45C80" w:rsidRPr="002B00C7" w:rsidRDefault="00D45C80" w:rsidP="00B45549">
      <w:pPr>
        <w:pStyle w:val="ListParagraph"/>
        <w:numPr>
          <w:ilvl w:val="1"/>
          <w:numId w:val="10"/>
        </w:numPr>
        <w:tabs>
          <w:tab w:val="left" w:pos="720"/>
        </w:tabs>
        <w:spacing w:line="276" w:lineRule="auto"/>
        <w:ind w:left="720" w:hanging="720"/>
        <w:jc w:val="both"/>
        <w:rPr>
          <w:rFonts w:ascii="Arial" w:hAnsi="Arial" w:cs="Arial"/>
          <w:sz w:val="22"/>
          <w:szCs w:val="22"/>
          <w:lang w:val="es-ES" w:eastAsia="es-ES"/>
        </w:rPr>
      </w:pPr>
      <w:r w:rsidRPr="002B00C7">
        <w:rPr>
          <w:rFonts w:ascii="Arial" w:hAnsi="Arial" w:cs="Arial"/>
          <w:sz w:val="22"/>
          <w:szCs w:val="22"/>
          <w:lang w:val="es-ES" w:eastAsia="es-ES"/>
        </w:rPr>
        <w:t xml:space="preserve">Esta condición operativa, aplicar el programa simultáneamente, deja sin validez a la opción de diseñar una evaluación de impacto experimental o de usar una metodología de evaluación de impacto cuasi experimental, incluyendo la de controles sintéticos. Al ser un programa “universal”; es decir, aplicable a la par para todos los elegibles, y considerando las especificidades de los sectores de las EEPP, la generación de un grupo de control presenta limitaciones. </w:t>
      </w:r>
    </w:p>
    <w:p w14:paraId="45B2EDAA" w14:textId="751A61EE" w:rsidR="00D45C80" w:rsidRPr="00126B92" w:rsidRDefault="0080147C" w:rsidP="00D45C80">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126B92">
        <w:rPr>
          <w:rFonts w:ascii="Arial" w:hAnsi="Arial" w:cs="Arial"/>
          <w:b w:val="0"/>
          <w:sz w:val="22"/>
          <w:szCs w:val="22"/>
          <w:lang w:val="es-ES" w:eastAsia="es-ES"/>
        </w:rPr>
        <w:t xml:space="preserve">En este sentido, y considerando el análisis de los componentes del Programa de Apoyo a la Reforma de Empresas Públicas, la única opción por la condición operativa, es realizar una </w:t>
      </w:r>
      <w:r w:rsidR="00CD0D9E" w:rsidRPr="00126B92">
        <w:rPr>
          <w:rFonts w:ascii="Arial" w:hAnsi="Arial" w:cs="Arial"/>
          <w:sz w:val="22"/>
          <w:szCs w:val="22"/>
          <w:u w:val="single"/>
          <w:lang w:val="es-ES" w:eastAsia="es-ES"/>
        </w:rPr>
        <w:t>E</w:t>
      </w:r>
      <w:r w:rsidRPr="00126B92">
        <w:rPr>
          <w:rFonts w:ascii="Arial" w:hAnsi="Arial" w:cs="Arial"/>
          <w:sz w:val="22"/>
          <w:szCs w:val="22"/>
          <w:u w:val="single"/>
          <w:lang w:val="es-ES" w:eastAsia="es-ES"/>
        </w:rPr>
        <w:t>valuación Antes – después</w:t>
      </w:r>
      <w:r w:rsidR="00051592" w:rsidRPr="00126B92">
        <w:rPr>
          <w:rStyle w:val="FootnoteReference"/>
          <w:rFonts w:ascii="Arial" w:hAnsi="Arial" w:cs="Arial"/>
          <w:sz w:val="22"/>
          <w:szCs w:val="22"/>
          <w:u w:val="single"/>
          <w:lang w:val="es-ES" w:eastAsia="es-ES"/>
        </w:rPr>
        <w:footnoteReference w:id="43"/>
      </w:r>
      <w:r w:rsidRPr="00126B92">
        <w:rPr>
          <w:rFonts w:ascii="Arial" w:hAnsi="Arial" w:cs="Arial"/>
          <w:b w:val="0"/>
          <w:sz w:val="22"/>
          <w:szCs w:val="22"/>
          <w:lang w:val="es-ES" w:eastAsia="es-ES"/>
        </w:rPr>
        <w:t xml:space="preserve">. </w:t>
      </w:r>
      <w:r w:rsidR="00D45C80" w:rsidRPr="00126B92">
        <w:rPr>
          <w:rFonts w:ascii="Arial" w:hAnsi="Arial" w:cs="Arial"/>
          <w:b w:val="0"/>
          <w:sz w:val="22"/>
          <w:szCs w:val="22"/>
          <w:lang w:val="es-ES" w:eastAsia="es-ES"/>
        </w:rPr>
        <w:t xml:space="preserve">La comparación antes-después intenta identificar el </w:t>
      </w:r>
      <w:r w:rsidR="00D45C80" w:rsidRPr="00126B92">
        <w:rPr>
          <w:rFonts w:ascii="Arial" w:hAnsi="Arial" w:cs="Arial"/>
          <w:b w:val="0"/>
          <w:sz w:val="22"/>
          <w:szCs w:val="22"/>
          <w:lang w:val="es-ES" w:eastAsia="es-ES"/>
        </w:rPr>
        <w:lastRenderedPageBreak/>
        <w:t>impacto del Programa mediante un seguimiento tempora</w:t>
      </w:r>
      <w:r w:rsidR="004A5DC4">
        <w:rPr>
          <w:rFonts w:ascii="Arial" w:hAnsi="Arial" w:cs="Arial"/>
          <w:b w:val="0"/>
          <w:sz w:val="22"/>
          <w:szCs w:val="22"/>
          <w:lang w:val="es-ES" w:eastAsia="es-ES"/>
        </w:rPr>
        <w:t xml:space="preserve">l de los resultados de las EEPP </w:t>
      </w:r>
      <w:r w:rsidR="00D45C80" w:rsidRPr="00126B92">
        <w:rPr>
          <w:rFonts w:ascii="Arial" w:hAnsi="Arial" w:cs="Arial"/>
          <w:b w:val="0"/>
          <w:sz w:val="22"/>
          <w:szCs w:val="22"/>
          <w:lang w:val="es-ES" w:eastAsia="es-ES"/>
        </w:rPr>
        <w:t>incluidas.</w:t>
      </w:r>
    </w:p>
    <w:p w14:paraId="5678C60E" w14:textId="77777777" w:rsidR="00333FF5" w:rsidRPr="00126B92" w:rsidRDefault="00333FF5" w:rsidP="00D45C80">
      <w:pPr>
        <w:pStyle w:val="Heading4"/>
        <w:numPr>
          <w:ilvl w:val="0"/>
          <w:numId w:val="0"/>
        </w:numPr>
        <w:tabs>
          <w:tab w:val="clear" w:pos="1440"/>
          <w:tab w:val="left" w:pos="720"/>
        </w:tabs>
        <w:spacing w:before="0" w:after="0" w:line="276" w:lineRule="auto"/>
        <w:rPr>
          <w:rFonts w:ascii="Arial" w:hAnsi="Arial" w:cs="Arial"/>
          <w:b w:val="0"/>
          <w:sz w:val="22"/>
          <w:szCs w:val="22"/>
          <w:lang w:val="es-ES" w:eastAsia="es-ES"/>
        </w:rPr>
      </w:pPr>
    </w:p>
    <w:p w14:paraId="7252DE13" w14:textId="417246A8" w:rsidR="0080147C" w:rsidRPr="00B61103" w:rsidRDefault="0080147C"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126B92">
        <w:rPr>
          <w:rFonts w:ascii="Arial" w:hAnsi="Arial" w:cs="Arial"/>
          <w:b w:val="0"/>
          <w:sz w:val="22"/>
          <w:szCs w:val="22"/>
          <w:lang w:val="es-ES" w:eastAsia="es-ES"/>
        </w:rPr>
        <w:t>De esta forma, el resultado para el grupo de tratamiento</w:t>
      </w:r>
      <w:r w:rsidR="00051592" w:rsidRPr="00126B92">
        <w:rPr>
          <w:rFonts w:ascii="Arial" w:hAnsi="Arial" w:cs="Arial"/>
          <w:b w:val="0"/>
          <w:sz w:val="22"/>
          <w:szCs w:val="22"/>
          <w:lang w:val="es-ES" w:eastAsia="es-ES"/>
        </w:rPr>
        <w:t xml:space="preserve"> </w:t>
      </w:r>
      <w:r w:rsidR="00051592" w:rsidRPr="00126B92">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t=1</m:t>
            </m:r>
          </m:sub>
          <m:sup>
            <m:r>
              <m:rPr>
                <m:sty m:val="bi"/>
              </m:rPr>
              <w:rPr>
                <w:rFonts w:ascii="Cambria Math" w:hAnsi="Cambria Math" w:cs="Arial"/>
                <w:sz w:val="22"/>
                <w:szCs w:val="22"/>
                <w:lang w:val="es-ES"/>
              </w:rPr>
              <m:t>T</m:t>
            </m:r>
          </m:sup>
        </m:sSubSup>
        <m:r>
          <m:rPr>
            <m:sty m:val="bi"/>
          </m:rPr>
          <w:rPr>
            <w:rFonts w:ascii="Cambria Math" w:hAnsi="Cambria Math" w:cs="Arial"/>
            <w:sz w:val="22"/>
            <w:szCs w:val="22"/>
            <w:lang w:val="es-ES"/>
          </w:rPr>
          <m:t xml:space="preserve"> /T=1</m:t>
        </m:r>
      </m:oMath>
      <w:r w:rsidR="00051592" w:rsidRPr="00126B92">
        <w:rPr>
          <w:rFonts w:ascii="Arial" w:hAnsi="Arial" w:cs="Arial"/>
          <w:b w:val="0"/>
          <w:sz w:val="22"/>
          <w:szCs w:val="22"/>
          <w:lang w:val="es-ES"/>
        </w:rPr>
        <w:t>)</w:t>
      </w:r>
      <w:r w:rsidRPr="00126B92">
        <w:rPr>
          <w:rFonts w:ascii="Arial" w:hAnsi="Arial" w:cs="Arial"/>
          <w:b w:val="0"/>
          <w:sz w:val="22"/>
          <w:szCs w:val="22"/>
          <w:lang w:val="es-ES" w:eastAsia="es-ES"/>
        </w:rPr>
        <w:t xml:space="preserve"> es la variable de impacto medida posterior a la intervención (ejecución) del Programa, y el contrafactual </w:t>
      </w:r>
      <w:r w:rsidR="00051592" w:rsidRPr="00126B92">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t=0</m:t>
            </m:r>
          </m:sub>
          <m:sup>
            <m:r>
              <m:rPr>
                <m:sty m:val="bi"/>
              </m:rPr>
              <w:rPr>
                <w:rFonts w:ascii="Cambria Math" w:hAnsi="Cambria Math" w:cs="Arial"/>
                <w:sz w:val="22"/>
                <w:szCs w:val="22"/>
                <w:lang w:val="es-ES"/>
              </w:rPr>
              <m:t>C</m:t>
            </m:r>
          </m:sup>
        </m:sSubSup>
        <m:r>
          <m:rPr>
            <m:sty m:val="bi"/>
          </m:rPr>
          <w:rPr>
            <w:rFonts w:ascii="Cambria Math" w:hAnsi="Cambria Math" w:cs="Arial"/>
            <w:sz w:val="22"/>
            <w:szCs w:val="22"/>
            <w:lang w:val="es-ES"/>
          </w:rPr>
          <m:t xml:space="preserve"> /T=0</m:t>
        </m:r>
      </m:oMath>
      <w:r w:rsidR="00051592" w:rsidRPr="00126B92">
        <w:rPr>
          <w:rFonts w:ascii="Arial" w:hAnsi="Arial" w:cs="Arial"/>
          <w:b w:val="0"/>
          <w:sz w:val="22"/>
          <w:szCs w:val="22"/>
          <w:lang w:val="es-ES"/>
        </w:rPr>
        <w:t>)</w:t>
      </w:r>
      <w:r w:rsidR="00126B92" w:rsidRPr="00126B92">
        <w:rPr>
          <w:rFonts w:ascii="Arial" w:hAnsi="Arial" w:cs="Arial"/>
          <w:b w:val="0"/>
          <w:sz w:val="22"/>
          <w:szCs w:val="22"/>
          <w:lang w:val="es-ES"/>
        </w:rPr>
        <w:t>,</w:t>
      </w:r>
      <w:r w:rsidRPr="00126B92">
        <w:rPr>
          <w:rFonts w:ascii="Arial" w:hAnsi="Arial" w:cs="Arial"/>
          <w:b w:val="0"/>
          <w:sz w:val="22"/>
          <w:szCs w:val="22"/>
          <w:lang w:val="es-ES" w:eastAsia="es-ES"/>
        </w:rPr>
        <w:t xml:space="preserve"> se define como la variable de impacto medida previo a la intervención. Como se observa en el siguiente gráfico, considerando lo mencionado, el efecto del Programa esta medido </w:t>
      </w:r>
      <w:r w:rsidRPr="00B61103">
        <w:rPr>
          <w:rFonts w:ascii="Arial" w:hAnsi="Arial" w:cs="Arial"/>
          <w:b w:val="0"/>
          <w:sz w:val="22"/>
          <w:szCs w:val="22"/>
          <w:lang w:val="es-ES" w:eastAsia="es-ES"/>
        </w:rPr>
        <w:t>como la diferencia entre ambas variables de interé</w:t>
      </w:r>
      <w:r w:rsidR="00126B92" w:rsidRPr="00B61103">
        <w:rPr>
          <w:rFonts w:ascii="Arial" w:hAnsi="Arial" w:cs="Arial"/>
          <w:b w:val="0"/>
          <w:sz w:val="22"/>
          <w:szCs w:val="22"/>
          <w:lang w:val="es-ES" w:eastAsia="es-ES"/>
        </w:rPr>
        <w:t>s.</w:t>
      </w:r>
    </w:p>
    <w:p w14:paraId="701E7AAE" w14:textId="77777777" w:rsidR="0080147C" w:rsidRPr="00B61103" w:rsidRDefault="0080147C" w:rsidP="0028406C">
      <w:pPr>
        <w:spacing w:line="276" w:lineRule="auto"/>
        <w:jc w:val="both"/>
        <w:rPr>
          <w:rFonts w:ascii="Arial" w:hAnsi="Arial" w:cs="Arial"/>
          <w:sz w:val="22"/>
          <w:szCs w:val="22"/>
          <w:lang w:val="es-ES" w:eastAsia="es-ES"/>
        </w:rPr>
      </w:pPr>
    </w:p>
    <w:p w14:paraId="5C55681C" w14:textId="77777777" w:rsidR="0080147C" w:rsidRPr="00B61103" w:rsidRDefault="0080147C" w:rsidP="0028406C">
      <w:pPr>
        <w:pStyle w:val="Caption"/>
        <w:keepNext/>
        <w:spacing w:line="276" w:lineRule="auto"/>
        <w:jc w:val="center"/>
        <w:rPr>
          <w:rFonts w:ascii="Arial" w:hAnsi="Arial" w:cs="Arial"/>
          <w:sz w:val="22"/>
          <w:szCs w:val="22"/>
          <w:lang w:val="es-ES"/>
        </w:rPr>
      </w:pPr>
      <w:r w:rsidRPr="00B61103">
        <w:rPr>
          <w:rFonts w:ascii="Arial" w:hAnsi="Arial" w:cs="Arial"/>
          <w:sz w:val="22"/>
          <w:szCs w:val="22"/>
          <w:lang w:val="es-ES"/>
        </w:rPr>
        <w:t xml:space="preserve">Gráfico </w:t>
      </w:r>
      <w:r w:rsidRPr="00B61103">
        <w:rPr>
          <w:rFonts w:ascii="Arial" w:hAnsi="Arial" w:cs="Arial"/>
          <w:sz w:val="22"/>
          <w:szCs w:val="22"/>
          <w:lang w:val="es-ES"/>
        </w:rPr>
        <w:fldChar w:fldCharType="begin"/>
      </w:r>
      <w:r w:rsidRPr="00B61103">
        <w:rPr>
          <w:rFonts w:ascii="Arial" w:hAnsi="Arial" w:cs="Arial"/>
          <w:sz w:val="22"/>
          <w:szCs w:val="22"/>
          <w:lang w:val="es-ES"/>
        </w:rPr>
        <w:instrText xml:space="preserve"> SEQ Ilustración \* ARABIC </w:instrText>
      </w:r>
      <w:r w:rsidRPr="00B61103">
        <w:rPr>
          <w:rFonts w:ascii="Arial" w:hAnsi="Arial" w:cs="Arial"/>
          <w:sz w:val="22"/>
          <w:szCs w:val="22"/>
          <w:lang w:val="es-ES"/>
        </w:rPr>
        <w:fldChar w:fldCharType="separate"/>
      </w:r>
      <w:r w:rsidR="008C35AD" w:rsidRPr="00B61103">
        <w:rPr>
          <w:rFonts w:ascii="Arial" w:hAnsi="Arial" w:cs="Arial"/>
          <w:noProof/>
          <w:sz w:val="22"/>
          <w:szCs w:val="22"/>
          <w:lang w:val="es-ES"/>
        </w:rPr>
        <w:t>1</w:t>
      </w:r>
      <w:r w:rsidRPr="00B61103">
        <w:rPr>
          <w:rFonts w:ascii="Arial" w:hAnsi="Arial" w:cs="Arial"/>
          <w:sz w:val="22"/>
          <w:szCs w:val="22"/>
          <w:lang w:val="es-ES"/>
        </w:rPr>
        <w:fldChar w:fldCharType="end"/>
      </w:r>
      <w:r w:rsidRPr="00B61103">
        <w:rPr>
          <w:rFonts w:ascii="Arial" w:hAnsi="Arial" w:cs="Arial"/>
          <w:sz w:val="22"/>
          <w:szCs w:val="22"/>
          <w:lang w:val="es-ES"/>
        </w:rPr>
        <w:t>: Metodología de evaluación: Antes y Después</w:t>
      </w:r>
    </w:p>
    <w:p w14:paraId="220459BA" w14:textId="3851D6BB" w:rsidR="0080147C" w:rsidRPr="00B61103" w:rsidRDefault="002B00C7" w:rsidP="00126B92">
      <w:pPr>
        <w:spacing w:line="276" w:lineRule="auto"/>
        <w:jc w:val="center"/>
        <w:rPr>
          <w:rFonts w:ascii="Arial" w:hAnsi="Arial" w:cs="Arial"/>
          <w:color w:val="FF0000"/>
          <w:sz w:val="22"/>
          <w:szCs w:val="22"/>
          <w:lang w:val="es-ES"/>
        </w:rPr>
      </w:pPr>
      <w:r w:rsidRPr="00B61103">
        <w:rPr>
          <w:rFonts w:ascii="Arial" w:hAnsi="Arial" w:cs="Arial"/>
          <w:noProof/>
          <w:color w:val="FF0000"/>
          <w:sz w:val="22"/>
          <w:szCs w:val="22"/>
          <w:lang w:val="es-EC" w:eastAsia="es-EC"/>
        </w:rPr>
        <w:drawing>
          <wp:inline distT="0" distB="0" distL="0" distR="0" wp14:anchorId="36A787E5" wp14:editId="7C561CA0">
            <wp:extent cx="2524309" cy="13920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24309" cy="1392072"/>
                    </a:xfrm>
                    <a:prstGeom prst="rect">
                      <a:avLst/>
                    </a:prstGeom>
                    <a:noFill/>
                    <a:ln>
                      <a:noFill/>
                    </a:ln>
                  </pic:spPr>
                </pic:pic>
              </a:graphicData>
            </a:graphic>
          </wp:inline>
        </w:drawing>
      </w:r>
    </w:p>
    <w:p w14:paraId="1BF2F024" w14:textId="77777777" w:rsidR="00E40FA5" w:rsidRPr="00B61103" w:rsidRDefault="00E40FA5" w:rsidP="00126B92">
      <w:pPr>
        <w:pStyle w:val="Heading4"/>
        <w:numPr>
          <w:ilvl w:val="0"/>
          <w:numId w:val="0"/>
        </w:numPr>
        <w:tabs>
          <w:tab w:val="clear" w:pos="1440"/>
          <w:tab w:val="left" w:pos="720"/>
        </w:tabs>
        <w:spacing w:before="0" w:after="0" w:line="276" w:lineRule="auto"/>
        <w:rPr>
          <w:rFonts w:ascii="Arial" w:hAnsi="Arial" w:cs="Arial"/>
          <w:b w:val="0"/>
          <w:sz w:val="22"/>
          <w:szCs w:val="22"/>
          <w:lang w:val="es-ES" w:eastAsia="es-ES"/>
        </w:rPr>
      </w:pPr>
    </w:p>
    <w:p w14:paraId="7EF46532" w14:textId="36F52FD2" w:rsidR="00126B92" w:rsidRPr="0002594E" w:rsidRDefault="00126B92"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B61103">
        <w:rPr>
          <w:rFonts w:ascii="Arial" w:hAnsi="Arial" w:cs="Arial"/>
          <w:b w:val="0"/>
          <w:sz w:val="22"/>
          <w:szCs w:val="22"/>
          <w:lang w:val="es-ES" w:eastAsia="es-ES"/>
        </w:rPr>
        <w:t>Cabe destacar que esta comparación supone esencialmente que</w:t>
      </w:r>
      <w:r w:rsidR="00133055" w:rsidRPr="00B61103">
        <w:rPr>
          <w:rFonts w:ascii="Arial" w:hAnsi="Arial" w:cs="Arial"/>
          <w:b w:val="0"/>
          <w:sz w:val="22"/>
          <w:szCs w:val="22"/>
          <w:lang w:val="es-ES" w:eastAsia="es-ES"/>
        </w:rPr>
        <w:t>,</w:t>
      </w:r>
      <w:r w:rsidRPr="00B61103">
        <w:rPr>
          <w:rFonts w:ascii="Arial" w:hAnsi="Arial" w:cs="Arial"/>
          <w:b w:val="0"/>
          <w:sz w:val="22"/>
          <w:szCs w:val="22"/>
          <w:lang w:val="es-ES" w:eastAsia="es-ES"/>
        </w:rPr>
        <w:t xml:space="preserve"> si el Programa de Apoyo a la Reforma de Empresas Públicas nunca hubiera existido, el resultado </w:t>
      </w:r>
      <w:r w:rsidRPr="00B61103">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t=1</m:t>
            </m:r>
          </m:sub>
          <m:sup>
            <m:r>
              <m:rPr>
                <m:sty m:val="bi"/>
              </m:rPr>
              <w:rPr>
                <w:rFonts w:ascii="Cambria Math" w:hAnsi="Cambria Math" w:cs="Arial"/>
                <w:sz w:val="22"/>
                <w:szCs w:val="22"/>
                <w:lang w:val="es-ES"/>
              </w:rPr>
              <m:t>T</m:t>
            </m:r>
          </m:sup>
        </m:sSubSup>
      </m:oMath>
      <w:r w:rsidRPr="00B61103">
        <w:rPr>
          <w:rFonts w:ascii="Arial" w:hAnsi="Arial" w:cs="Arial"/>
          <w:b w:val="0"/>
          <w:sz w:val="22"/>
          <w:szCs w:val="22"/>
          <w:lang w:val="es-ES"/>
        </w:rPr>
        <w:t xml:space="preserve">) </w:t>
      </w:r>
      <w:r w:rsidRPr="00B61103">
        <w:rPr>
          <w:rFonts w:ascii="Arial" w:hAnsi="Arial" w:cs="Arial"/>
          <w:b w:val="0"/>
          <w:sz w:val="22"/>
          <w:szCs w:val="22"/>
          <w:lang w:val="es-ES" w:eastAsia="es-ES"/>
        </w:rPr>
        <w:t xml:space="preserve"> para los participantes del Programa habría</w:t>
      </w:r>
      <w:r w:rsidRPr="00133055">
        <w:rPr>
          <w:rFonts w:ascii="Arial" w:hAnsi="Arial" w:cs="Arial"/>
          <w:b w:val="0"/>
          <w:sz w:val="22"/>
          <w:szCs w:val="22"/>
          <w:lang w:val="es-ES" w:eastAsia="es-ES"/>
        </w:rPr>
        <w:t xml:space="preserve"> sido equivalente a su situación previa al mismo </w:t>
      </w:r>
      <w:r w:rsidRPr="00133055">
        <w:rPr>
          <w:rFonts w:ascii="Arial" w:hAnsi="Arial" w:cs="Arial"/>
          <w:b w:val="0"/>
          <w:sz w:val="22"/>
          <w:szCs w:val="22"/>
          <w:lang w:val="es-ES"/>
        </w:rPr>
        <w:t>(</w:t>
      </w:r>
      <m:oMath>
        <m:sSubSup>
          <m:sSubSupPr>
            <m:ctrlPr>
              <w:rPr>
                <w:rFonts w:ascii="Cambria Math" w:hAnsi="Cambria Math" w:cs="Arial"/>
                <w:b w:val="0"/>
                <w:i/>
                <w:sz w:val="22"/>
                <w:szCs w:val="22"/>
                <w:lang w:val="es-ES"/>
              </w:rPr>
            </m:ctrlPr>
          </m:sSubSupPr>
          <m:e>
            <m:r>
              <m:rPr>
                <m:sty m:val="bi"/>
              </m:rPr>
              <w:rPr>
                <w:rFonts w:ascii="Cambria Math" w:hAnsi="Cambria Math" w:cs="Arial"/>
                <w:sz w:val="22"/>
                <w:szCs w:val="22"/>
                <w:lang w:val="es-ES"/>
              </w:rPr>
              <m:t>Y</m:t>
            </m:r>
          </m:e>
          <m:sub>
            <m:r>
              <m:rPr>
                <m:sty m:val="bi"/>
              </m:rPr>
              <w:rPr>
                <w:rFonts w:ascii="Cambria Math" w:hAnsi="Cambria Math" w:cs="Arial"/>
                <w:sz w:val="22"/>
                <w:szCs w:val="22"/>
                <w:lang w:val="es-ES"/>
              </w:rPr>
              <m:t>t=0</m:t>
            </m:r>
          </m:sub>
          <m:sup>
            <m:r>
              <m:rPr>
                <m:sty m:val="bi"/>
              </m:rPr>
              <w:rPr>
                <w:rFonts w:ascii="Cambria Math" w:hAnsi="Cambria Math" w:cs="Arial"/>
                <w:sz w:val="22"/>
                <w:szCs w:val="22"/>
                <w:lang w:val="es-ES"/>
              </w:rPr>
              <m:t>C</m:t>
            </m:r>
          </m:sup>
        </m:sSubSup>
      </m:oMath>
      <w:r w:rsidRPr="0002594E">
        <w:rPr>
          <w:rFonts w:ascii="Arial" w:hAnsi="Arial" w:cs="Arial"/>
          <w:b w:val="0"/>
          <w:sz w:val="22"/>
          <w:szCs w:val="22"/>
          <w:lang w:val="es-ES"/>
        </w:rPr>
        <w:t>)</w:t>
      </w:r>
      <w:r w:rsidRPr="0002594E">
        <w:rPr>
          <w:rFonts w:ascii="Arial" w:hAnsi="Arial" w:cs="Arial"/>
          <w:b w:val="0"/>
          <w:sz w:val="22"/>
          <w:szCs w:val="22"/>
          <w:lang w:val="es-ES" w:eastAsia="es-ES"/>
        </w:rPr>
        <w:t>. Esta es una limitación</w:t>
      </w:r>
      <w:r w:rsidRPr="0002594E">
        <w:rPr>
          <w:rStyle w:val="FootnoteReference"/>
          <w:rFonts w:ascii="Arial" w:hAnsi="Arial" w:cs="Arial"/>
          <w:b w:val="0"/>
          <w:sz w:val="22"/>
          <w:szCs w:val="22"/>
          <w:lang w:val="es-ES" w:eastAsia="es-ES"/>
        </w:rPr>
        <w:footnoteReference w:id="44"/>
      </w:r>
      <w:r w:rsidRPr="0002594E">
        <w:rPr>
          <w:rFonts w:ascii="Arial" w:hAnsi="Arial" w:cs="Arial"/>
          <w:b w:val="0"/>
          <w:sz w:val="22"/>
          <w:szCs w:val="22"/>
          <w:lang w:val="es-ES" w:eastAsia="es-ES"/>
        </w:rPr>
        <w:t xml:space="preserve"> en el análisis de los resultados.</w:t>
      </w:r>
    </w:p>
    <w:p w14:paraId="1661BE2E" w14:textId="77777777" w:rsidR="00126B92" w:rsidRPr="0002594E" w:rsidRDefault="00126B92" w:rsidP="00126B92">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51F35810" w14:textId="24F75347" w:rsidR="0080147C" w:rsidRPr="0002594E" w:rsidRDefault="0080147C"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02594E">
        <w:rPr>
          <w:rFonts w:ascii="Arial" w:hAnsi="Arial" w:cs="Arial"/>
          <w:b w:val="0"/>
          <w:sz w:val="22"/>
          <w:szCs w:val="22"/>
          <w:lang w:val="es-ES" w:eastAsia="es-ES"/>
        </w:rPr>
        <w:t xml:space="preserve">Para proceder con la Evaluación Antes-Después del Programa, el primer paso que se debe realizar es el </w:t>
      </w:r>
      <w:r w:rsidRPr="0002594E">
        <w:rPr>
          <w:rFonts w:ascii="Arial" w:hAnsi="Arial" w:cs="Arial"/>
          <w:sz w:val="22"/>
          <w:szCs w:val="22"/>
          <w:lang w:val="es-ES" w:eastAsia="es-ES"/>
        </w:rPr>
        <w:t>levantamiento de la línea base</w:t>
      </w:r>
      <w:r w:rsidRPr="0002594E">
        <w:rPr>
          <w:rFonts w:ascii="Arial" w:hAnsi="Arial" w:cs="Arial"/>
          <w:b w:val="0"/>
          <w:sz w:val="22"/>
          <w:szCs w:val="22"/>
          <w:lang w:val="es-ES" w:eastAsia="es-ES"/>
        </w:rPr>
        <w:t>, esta debe considerar a las variables de impacto seleccionadas; acorde al Cronograma de Implementación del Programa</w:t>
      </w:r>
      <w:r w:rsidR="0002594E" w:rsidRPr="0002594E">
        <w:rPr>
          <w:rFonts w:ascii="Arial" w:hAnsi="Arial" w:cs="Arial"/>
          <w:b w:val="0"/>
          <w:sz w:val="22"/>
          <w:szCs w:val="22"/>
          <w:lang w:val="es-ES" w:eastAsia="es-ES"/>
        </w:rPr>
        <w:t>.</w:t>
      </w:r>
      <w:r w:rsidRPr="0002594E">
        <w:rPr>
          <w:rFonts w:ascii="Arial" w:hAnsi="Arial" w:cs="Arial"/>
          <w:b w:val="0"/>
          <w:sz w:val="22"/>
          <w:szCs w:val="22"/>
          <w:lang w:val="es-ES" w:eastAsia="es-ES"/>
        </w:rPr>
        <w:t xml:space="preserve"> </w:t>
      </w:r>
      <w:r w:rsidR="0002594E" w:rsidRPr="0002594E">
        <w:rPr>
          <w:rFonts w:ascii="Arial" w:hAnsi="Arial" w:cs="Arial"/>
          <w:b w:val="0"/>
          <w:sz w:val="22"/>
          <w:szCs w:val="22"/>
          <w:lang w:val="es-ES" w:eastAsia="es-ES"/>
        </w:rPr>
        <w:t>L</w:t>
      </w:r>
      <w:r w:rsidRPr="0002594E">
        <w:rPr>
          <w:rFonts w:ascii="Arial" w:hAnsi="Arial" w:cs="Arial"/>
          <w:b w:val="0"/>
          <w:sz w:val="22"/>
          <w:szCs w:val="22"/>
          <w:lang w:val="es-ES" w:eastAsia="es-ES"/>
        </w:rPr>
        <w:t xml:space="preserve">a obtención de la información debería realizarse en el primer año, es decir en el 2019, previo a la ejecución del Programa. Posterior a la implementación, se recomienda esperar al menos un año desde la finalización de ésta, </w:t>
      </w:r>
      <w:r w:rsidR="0002594E" w:rsidRPr="0002594E">
        <w:rPr>
          <w:rFonts w:ascii="Arial" w:hAnsi="Arial" w:cs="Arial"/>
          <w:b w:val="0"/>
          <w:sz w:val="22"/>
          <w:szCs w:val="22"/>
          <w:lang w:val="es-ES" w:eastAsia="es-ES"/>
        </w:rPr>
        <w:t xml:space="preserve">y </w:t>
      </w:r>
      <w:r w:rsidRPr="0002594E">
        <w:rPr>
          <w:rFonts w:ascii="Arial" w:hAnsi="Arial" w:cs="Arial"/>
          <w:b w:val="0"/>
          <w:sz w:val="22"/>
          <w:szCs w:val="22"/>
          <w:lang w:val="es-ES" w:eastAsia="es-ES"/>
        </w:rPr>
        <w:t xml:space="preserve">se deberá realizar el levantamiento de seguimiento, </w:t>
      </w:r>
      <w:r w:rsidRPr="0002594E">
        <w:rPr>
          <w:rFonts w:ascii="Arial" w:hAnsi="Arial" w:cs="Arial"/>
          <w:b w:val="0"/>
          <w:i/>
          <w:sz w:val="22"/>
          <w:szCs w:val="22"/>
          <w:lang w:val="es-ES" w:eastAsia="es-ES"/>
        </w:rPr>
        <w:t>follow up</w:t>
      </w:r>
      <w:r w:rsidR="0002594E" w:rsidRPr="0002594E">
        <w:rPr>
          <w:rFonts w:ascii="Arial" w:hAnsi="Arial" w:cs="Arial"/>
          <w:b w:val="0"/>
          <w:sz w:val="22"/>
          <w:szCs w:val="22"/>
          <w:lang w:val="es-ES" w:eastAsia="es-ES"/>
        </w:rPr>
        <w:t>;</w:t>
      </w:r>
      <w:r w:rsidRPr="0002594E">
        <w:rPr>
          <w:rFonts w:ascii="Arial" w:hAnsi="Arial" w:cs="Arial"/>
          <w:b w:val="0"/>
          <w:sz w:val="22"/>
          <w:szCs w:val="22"/>
          <w:lang w:val="es-ES" w:eastAsia="es-ES"/>
        </w:rPr>
        <w:t xml:space="preserve"> en éste se obtiene la información de las variables de impacto</w:t>
      </w:r>
      <w:r w:rsidR="000D34DF" w:rsidRPr="0002594E">
        <w:rPr>
          <w:rStyle w:val="FootnoteReference"/>
          <w:rFonts w:ascii="Arial" w:hAnsi="Arial" w:cs="Arial"/>
          <w:b w:val="0"/>
          <w:sz w:val="22"/>
          <w:szCs w:val="22"/>
          <w:lang w:val="es-ES" w:eastAsia="es-ES"/>
        </w:rPr>
        <w:footnoteReference w:id="45"/>
      </w:r>
      <w:r w:rsidRPr="0002594E">
        <w:rPr>
          <w:rFonts w:ascii="Arial" w:hAnsi="Arial" w:cs="Arial"/>
          <w:b w:val="0"/>
          <w:sz w:val="22"/>
          <w:szCs w:val="22"/>
          <w:lang w:val="es-ES" w:eastAsia="es-ES"/>
        </w:rPr>
        <w:t xml:space="preserve"> seleccionadas y se procede a realizar la </w:t>
      </w:r>
      <w:r w:rsidRPr="0002594E">
        <w:rPr>
          <w:rFonts w:ascii="Arial" w:hAnsi="Arial" w:cs="Arial"/>
          <w:sz w:val="22"/>
          <w:szCs w:val="22"/>
          <w:lang w:val="es-ES" w:eastAsia="es-ES"/>
        </w:rPr>
        <w:t>Evaluación Antes-Después</w:t>
      </w:r>
      <w:r w:rsidRPr="0002594E">
        <w:rPr>
          <w:rFonts w:ascii="Arial" w:hAnsi="Arial" w:cs="Arial"/>
          <w:b w:val="0"/>
          <w:sz w:val="22"/>
          <w:szCs w:val="22"/>
          <w:lang w:val="es-ES" w:eastAsia="es-ES"/>
        </w:rPr>
        <w:t>; potencialmente esta evaluación se llevaría a cabo en el año 202</w:t>
      </w:r>
      <w:r w:rsidR="00E40FA5" w:rsidRPr="0002594E">
        <w:rPr>
          <w:rFonts w:ascii="Arial" w:hAnsi="Arial" w:cs="Arial"/>
          <w:b w:val="0"/>
          <w:sz w:val="22"/>
          <w:szCs w:val="22"/>
          <w:lang w:val="es-ES" w:eastAsia="es-ES"/>
        </w:rPr>
        <w:t>2</w:t>
      </w:r>
      <w:r w:rsidRPr="0002594E">
        <w:rPr>
          <w:rFonts w:ascii="Arial" w:hAnsi="Arial" w:cs="Arial"/>
          <w:b w:val="0"/>
          <w:sz w:val="22"/>
          <w:szCs w:val="22"/>
          <w:lang w:val="es-ES" w:eastAsia="es-ES"/>
        </w:rPr>
        <w:t xml:space="preserve">, en el </w:t>
      </w:r>
      <w:r w:rsidR="00E40FA5" w:rsidRPr="0002594E">
        <w:rPr>
          <w:rFonts w:ascii="Arial" w:hAnsi="Arial" w:cs="Arial"/>
          <w:b w:val="0"/>
          <w:sz w:val="22"/>
          <w:szCs w:val="22"/>
          <w:lang w:val="es-ES" w:eastAsia="es-ES"/>
        </w:rPr>
        <w:t>cuarto</w:t>
      </w:r>
      <w:r w:rsidRPr="0002594E">
        <w:rPr>
          <w:rFonts w:ascii="Arial" w:hAnsi="Arial" w:cs="Arial"/>
          <w:b w:val="0"/>
          <w:sz w:val="22"/>
          <w:szCs w:val="22"/>
          <w:lang w:val="es-ES" w:eastAsia="es-ES"/>
        </w:rPr>
        <w:t xml:space="preserve"> año acorde el Cronograma de Implementación.</w:t>
      </w:r>
    </w:p>
    <w:p w14:paraId="7F86467C" w14:textId="77777777" w:rsidR="00E40FA5" w:rsidRPr="0002594E" w:rsidRDefault="00E40FA5" w:rsidP="00126B92">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5D4AF9BB" w14:textId="7A704073" w:rsidR="0080147C" w:rsidRPr="0002594E" w:rsidRDefault="0080147C"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02594E">
        <w:rPr>
          <w:rFonts w:ascii="Arial" w:hAnsi="Arial" w:cs="Arial"/>
          <w:b w:val="0"/>
          <w:sz w:val="22"/>
          <w:szCs w:val="22"/>
          <w:lang w:val="es-ES" w:eastAsia="es-ES"/>
        </w:rPr>
        <w:t xml:space="preserve">Complementariamente a la evaluación Antes-Después y para reforzar los resultados, se propone realizar un benchmark empírico, </w:t>
      </w:r>
      <w:r w:rsidR="0002594E" w:rsidRPr="0002594E">
        <w:rPr>
          <w:rFonts w:ascii="Arial" w:hAnsi="Arial" w:cs="Arial"/>
          <w:b w:val="0"/>
          <w:sz w:val="22"/>
          <w:szCs w:val="22"/>
          <w:lang w:val="es-ES" w:eastAsia="es-ES"/>
        </w:rPr>
        <w:t>é</w:t>
      </w:r>
      <w:r w:rsidRPr="0002594E">
        <w:rPr>
          <w:rFonts w:ascii="Arial" w:hAnsi="Arial" w:cs="Arial"/>
          <w:b w:val="0"/>
          <w:sz w:val="22"/>
          <w:szCs w:val="22"/>
          <w:lang w:val="es-ES" w:eastAsia="es-ES"/>
        </w:rPr>
        <w:t>ste se realizará con información disponible y relacionada</w:t>
      </w:r>
      <w:r w:rsidR="0002594E" w:rsidRPr="0002594E">
        <w:rPr>
          <w:rFonts w:ascii="Arial" w:hAnsi="Arial" w:cs="Arial"/>
          <w:b w:val="0"/>
          <w:sz w:val="22"/>
          <w:szCs w:val="22"/>
          <w:lang w:val="es-ES" w:eastAsia="es-ES"/>
        </w:rPr>
        <w:t>,</w:t>
      </w:r>
      <w:r w:rsidRPr="0002594E">
        <w:rPr>
          <w:rFonts w:ascii="Arial" w:hAnsi="Arial" w:cs="Arial"/>
          <w:b w:val="0"/>
          <w:sz w:val="22"/>
          <w:szCs w:val="22"/>
          <w:lang w:val="es-ES" w:eastAsia="es-ES"/>
        </w:rPr>
        <w:t xml:space="preserve"> a medida de lo posible</w:t>
      </w:r>
      <w:r w:rsidR="0002594E" w:rsidRPr="0002594E">
        <w:rPr>
          <w:rFonts w:ascii="Arial" w:hAnsi="Arial" w:cs="Arial"/>
          <w:b w:val="0"/>
          <w:sz w:val="22"/>
          <w:szCs w:val="22"/>
          <w:lang w:val="es-ES" w:eastAsia="es-ES"/>
        </w:rPr>
        <w:t>,</w:t>
      </w:r>
      <w:r w:rsidRPr="0002594E">
        <w:rPr>
          <w:rFonts w:ascii="Arial" w:hAnsi="Arial" w:cs="Arial"/>
          <w:b w:val="0"/>
          <w:sz w:val="22"/>
          <w:szCs w:val="22"/>
          <w:lang w:val="es-ES" w:eastAsia="es-ES"/>
        </w:rPr>
        <w:t xml:space="preserve"> a las variables de impacto, de las empresas del sector de </w:t>
      </w:r>
      <w:r w:rsidR="00E23B68" w:rsidRPr="00E23B68">
        <w:rPr>
          <w:rFonts w:ascii="Arial" w:hAnsi="Arial" w:cs="Arial"/>
          <w:b w:val="0"/>
          <w:sz w:val="22"/>
          <w:szCs w:val="22"/>
          <w:lang w:val="es-ES" w:eastAsia="es-ES"/>
        </w:rPr>
        <w:t>hidrocarburos, eléctrico</w:t>
      </w:r>
      <w:r w:rsidR="004C765E" w:rsidRPr="0002594E">
        <w:rPr>
          <w:rFonts w:ascii="Arial" w:hAnsi="Arial" w:cs="Arial"/>
          <w:b w:val="0"/>
          <w:sz w:val="22"/>
          <w:szCs w:val="22"/>
          <w:lang w:val="es-ES" w:eastAsia="es-ES"/>
        </w:rPr>
        <w:t xml:space="preserve"> </w:t>
      </w:r>
      <w:r w:rsidR="00263FF6" w:rsidRPr="0002594E">
        <w:rPr>
          <w:rFonts w:ascii="Arial" w:hAnsi="Arial" w:cs="Arial"/>
          <w:b w:val="0"/>
          <w:sz w:val="22"/>
          <w:szCs w:val="22"/>
          <w:lang w:val="es-ES" w:eastAsia="es-ES"/>
        </w:rPr>
        <w:t>y aeron</w:t>
      </w:r>
      <w:r w:rsidR="000F6626" w:rsidRPr="0002594E">
        <w:rPr>
          <w:rFonts w:ascii="Arial" w:hAnsi="Arial" w:cs="Arial"/>
          <w:b w:val="0"/>
          <w:sz w:val="22"/>
          <w:szCs w:val="22"/>
          <w:lang w:val="es-ES" w:eastAsia="es-ES"/>
        </w:rPr>
        <w:t>á</w:t>
      </w:r>
      <w:r w:rsidR="00263FF6" w:rsidRPr="0002594E">
        <w:rPr>
          <w:rFonts w:ascii="Arial" w:hAnsi="Arial" w:cs="Arial"/>
          <w:b w:val="0"/>
          <w:sz w:val="22"/>
          <w:szCs w:val="22"/>
          <w:lang w:val="es-ES" w:eastAsia="es-ES"/>
        </w:rPr>
        <w:t>utic</w:t>
      </w:r>
      <w:r w:rsidR="004C765E" w:rsidRPr="0002594E">
        <w:rPr>
          <w:rFonts w:ascii="Arial" w:hAnsi="Arial" w:cs="Arial"/>
          <w:b w:val="0"/>
          <w:sz w:val="22"/>
          <w:szCs w:val="22"/>
          <w:lang w:val="es-ES" w:eastAsia="es-ES"/>
        </w:rPr>
        <w:t>o</w:t>
      </w:r>
      <w:r w:rsidRPr="0002594E">
        <w:rPr>
          <w:rFonts w:ascii="Arial" w:hAnsi="Arial" w:cs="Arial"/>
          <w:b w:val="0"/>
          <w:sz w:val="22"/>
          <w:szCs w:val="22"/>
          <w:lang w:val="es-ES" w:eastAsia="es-ES"/>
        </w:rPr>
        <w:t>. De este modo, se podrá analizar la dinámica temporal del sector y relacionarla con los resultados obtenidos.</w:t>
      </w:r>
      <w:r w:rsidR="00263FF6" w:rsidRPr="0002594E">
        <w:rPr>
          <w:rFonts w:ascii="Arial" w:hAnsi="Arial" w:cs="Arial"/>
          <w:b w:val="0"/>
          <w:sz w:val="22"/>
          <w:szCs w:val="22"/>
          <w:lang w:val="es-ES" w:eastAsia="es-ES"/>
        </w:rPr>
        <w:t xml:space="preserve"> </w:t>
      </w:r>
      <w:r w:rsidR="000F6626" w:rsidRPr="0002594E">
        <w:rPr>
          <w:rFonts w:ascii="Arial" w:hAnsi="Arial" w:cs="Arial"/>
          <w:b w:val="0"/>
          <w:sz w:val="22"/>
          <w:szCs w:val="22"/>
          <w:lang w:val="es-ES" w:eastAsia="es-ES"/>
        </w:rPr>
        <w:t xml:space="preserve">Acorde a lo </w:t>
      </w:r>
      <w:r w:rsidR="000F6626" w:rsidRPr="0002594E">
        <w:rPr>
          <w:rFonts w:ascii="Arial" w:hAnsi="Arial" w:cs="Arial"/>
          <w:b w:val="0"/>
          <w:sz w:val="22"/>
          <w:szCs w:val="22"/>
          <w:lang w:val="es-ES" w:eastAsia="es-ES"/>
        </w:rPr>
        <w:lastRenderedPageBreak/>
        <w:t>detallado en la tabla de indicadores de impacto, se buscará información disponible de los dos sectores a nivel internacional, con el objetivo de desarrollar el benchmark.</w:t>
      </w:r>
    </w:p>
    <w:p w14:paraId="22433D5D" w14:textId="77777777" w:rsidR="00263FF6" w:rsidRPr="0002594E" w:rsidRDefault="00263FF6" w:rsidP="0028406C">
      <w:pPr>
        <w:spacing w:line="276" w:lineRule="auto"/>
        <w:ind w:left="720"/>
        <w:jc w:val="both"/>
        <w:rPr>
          <w:rFonts w:ascii="Arial" w:hAnsi="Arial" w:cs="Arial"/>
          <w:sz w:val="22"/>
          <w:szCs w:val="22"/>
          <w:lang w:val="es-ES" w:eastAsia="es-ES"/>
        </w:rPr>
      </w:pPr>
    </w:p>
    <w:p w14:paraId="525BB8E3" w14:textId="0D2F9274" w:rsidR="0069080D" w:rsidRPr="00DB04DE" w:rsidRDefault="0069080D" w:rsidP="00266E44">
      <w:pPr>
        <w:pStyle w:val="ListParagraph"/>
        <w:numPr>
          <w:ilvl w:val="0"/>
          <w:numId w:val="29"/>
        </w:numPr>
        <w:spacing w:line="276" w:lineRule="auto"/>
        <w:jc w:val="both"/>
        <w:rPr>
          <w:rStyle w:val="Heading1Char"/>
          <w:rFonts w:ascii="Arial" w:hAnsi="Arial" w:cs="Arial"/>
          <w:spacing w:val="-3"/>
          <w:sz w:val="22"/>
          <w:szCs w:val="22"/>
          <w:lang w:val="es-ES"/>
        </w:rPr>
      </w:pPr>
      <w:r w:rsidRPr="00DB04DE">
        <w:rPr>
          <w:rStyle w:val="Heading1Char"/>
          <w:rFonts w:ascii="Arial" w:hAnsi="Arial" w:cs="Arial"/>
          <w:sz w:val="22"/>
          <w:szCs w:val="22"/>
          <w:lang w:val="es-ES"/>
        </w:rPr>
        <w:t>objetivos del programa</w:t>
      </w:r>
    </w:p>
    <w:p w14:paraId="23D0B64E" w14:textId="77777777" w:rsidR="0069080D" w:rsidRPr="0002594E" w:rsidRDefault="0069080D" w:rsidP="00D45C80">
      <w:pPr>
        <w:pStyle w:val="ListParagraph"/>
        <w:spacing w:line="276" w:lineRule="auto"/>
        <w:ind w:left="1429"/>
        <w:jc w:val="both"/>
        <w:rPr>
          <w:rFonts w:ascii="Arial" w:hAnsi="Arial" w:cs="Arial"/>
          <w:sz w:val="22"/>
          <w:szCs w:val="22"/>
          <w:lang w:val="es-ES"/>
        </w:rPr>
      </w:pPr>
      <w:r w:rsidRPr="0002594E">
        <w:rPr>
          <w:rFonts w:ascii="Arial" w:hAnsi="Arial" w:cs="Arial"/>
          <w:sz w:val="22"/>
          <w:szCs w:val="22"/>
          <w:lang w:val="es-ES"/>
        </w:rPr>
        <w:t>El Programa se centra en un objetivo general y dos objetivos específicos:</w:t>
      </w:r>
    </w:p>
    <w:p w14:paraId="18EEA003" w14:textId="77777777" w:rsidR="0069080D" w:rsidRPr="0002594E" w:rsidRDefault="0069080D" w:rsidP="00A06DD5">
      <w:pPr>
        <w:pStyle w:val="Heading4"/>
        <w:numPr>
          <w:ilvl w:val="0"/>
          <w:numId w:val="22"/>
        </w:numPr>
        <w:tabs>
          <w:tab w:val="clear" w:pos="1440"/>
          <w:tab w:val="left" w:pos="720"/>
        </w:tabs>
        <w:spacing w:before="0" w:after="0" w:line="276" w:lineRule="auto"/>
        <w:rPr>
          <w:rFonts w:ascii="Arial" w:hAnsi="Arial" w:cs="Arial"/>
          <w:noProof w:val="0"/>
          <w:sz w:val="22"/>
          <w:szCs w:val="22"/>
          <w:lang w:val="es-ES"/>
        </w:rPr>
      </w:pPr>
      <w:r w:rsidRPr="0002594E">
        <w:rPr>
          <w:rFonts w:ascii="Arial" w:hAnsi="Arial" w:cs="Arial"/>
          <w:i/>
          <w:noProof w:val="0"/>
          <w:sz w:val="22"/>
          <w:szCs w:val="22"/>
          <w:lang w:val="es-ES"/>
        </w:rPr>
        <w:t>Objetivo general</w:t>
      </w:r>
      <w:r w:rsidRPr="0002594E">
        <w:rPr>
          <w:rFonts w:ascii="Arial" w:hAnsi="Arial" w:cs="Arial"/>
          <w:noProof w:val="0"/>
          <w:sz w:val="22"/>
          <w:szCs w:val="22"/>
          <w:lang w:val="es-ES"/>
        </w:rPr>
        <w:t>:</w:t>
      </w:r>
    </w:p>
    <w:p w14:paraId="157D461E" w14:textId="1C8A47F3" w:rsidR="0069080D" w:rsidRPr="0002594E" w:rsidRDefault="0069080D" w:rsidP="0028406C">
      <w:pPr>
        <w:pStyle w:val="Heading4"/>
        <w:numPr>
          <w:ilvl w:val="0"/>
          <w:numId w:val="0"/>
        </w:numPr>
        <w:tabs>
          <w:tab w:val="clear" w:pos="1440"/>
          <w:tab w:val="left" w:pos="720"/>
        </w:tabs>
        <w:spacing w:before="0" w:after="0" w:line="276" w:lineRule="auto"/>
        <w:ind w:left="1800" w:hanging="360"/>
        <w:rPr>
          <w:rFonts w:ascii="Arial" w:hAnsi="Arial" w:cs="Arial"/>
          <w:b w:val="0"/>
          <w:noProof w:val="0"/>
          <w:sz w:val="22"/>
          <w:szCs w:val="22"/>
          <w:lang w:val="es-ES"/>
        </w:rPr>
      </w:pPr>
      <w:r w:rsidRPr="0002594E">
        <w:rPr>
          <w:rFonts w:ascii="Arial" w:hAnsi="Arial" w:cs="Arial"/>
          <w:b w:val="0"/>
          <w:noProof w:val="0"/>
          <w:sz w:val="22"/>
          <w:szCs w:val="22"/>
          <w:lang w:val="es-ES"/>
        </w:rPr>
        <w:t xml:space="preserve"> Reducir la carga fiscal para el estado, derivada de la propiedad de </w:t>
      </w:r>
      <w:r w:rsidR="007F130A" w:rsidRPr="0002594E">
        <w:rPr>
          <w:rFonts w:ascii="Arial" w:hAnsi="Arial" w:cs="Arial"/>
          <w:b w:val="0"/>
          <w:noProof w:val="0"/>
          <w:sz w:val="22"/>
          <w:szCs w:val="22"/>
          <w:lang w:val="es-ES"/>
        </w:rPr>
        <w:t>EEPP</w:t>
      </w:r>
      <w:r w:rsidR="0002594E" w:rsidRPr="0002594E">
        <w:rPr>
          <w:rFonts w:ascii="Arial" w:hAnsi="Arial" w:cs="Arial"/>
          <w:b w:val="0"/>
          <w:noProof w:val="0"/>
          <w:sz w:val="22"/>
          <w:szCs w:val="22"/>
          <w:lang w:val="es-ES"/>
        </w:rPr>
        <w:t>.</w:t>
      </w:r>
    </w:p>
    <w:p w14:paraId="34C55BAE" w14:textId="77777777" w:rsidR="00DB04DE" w:rsidRPr="00DB04DE" w:rsidRDefault="0069080D" w:rsidP="00A06DD5">
      <w:pPr>
        <w:pStyle w:val="ListParagraph"/>
        <w:numPr>
          <w:ilvl w:val="0"/>
          <w:numId w:val="22"/>
        </w:numPr>
        <w:tabs>
          <w:tab w:val="left" w:pos="720"/>
        </w:tabs>
        <w:spacing w:line="276" w:lineRule="auto"/>
        <w:jc w:val="both"/>
        <w:rPr>
          <w:rFonts w:ascii="Arial" w:hAnsi="Arial" w:cs="Arial"/>
          <w:b/>
          <w:sz w:val="22"/>
          <w:szCs w:val="22"/>
          <w:lang w:val="es-ES"/>
        </w:rPr>
      </w:pPr>
      <w:r w:rsidRPr="00DB04DE">
        <w:rPr>
          <w:rFonts w:ascii="Arial" w:hAnsi="Arial" w:cs="Arial"/>
          <w:b/>
          <w:sz w:val="22"/>
          <w:szCs w:val="22"/>
          <w:lang w:val="es-ES" w:eastAsia="es-AR"/>
        </w:rPr>
        <w:t>Objetivos específicos:</w:t>
      </w:r>
    </w:p>
    <w:p w14:paraId="27A76118" w14:textId="77777777" w:rsidR="00DB04DE" w:rsidRDefault="0069080D" w:rsidP="00DB04DE">
      <w:pPr>
        <w:tabs>
          <w:tab w:val="left" w:pos="720"/>
        </w:tabs>
        <w:spacing w:line="276" w:lineRule="auto"/>
        <w:ind w:left="1800"/>
        <w:jc w:val="both"/>
        <w:rPr>
          <w:rFonts w:ascii="Arial" w:hAnsi="Arial" w:cs="Arial"/>
          <w:sz w:val="22"/>
          <w:szCs w:val="22"/>
          <w:lang w:val="es-ES"/>
        </w:rPr>
      </w:pPr>
      <w:r w:rsidRPr="00DB04DE">
        <w:rPr>
          <w:rFonts w:ascii="Arial" w:hAnsi="Arial" w:cs="Arial"/>
          <w:sz w:val="22"/>
          <w:szCs w:val="22"/>
          <w:lang w:val="es-ES"/>
        </w:rPr>
        <w:t>Incrementar el número de EEPP</w:t>
      </w:r>
      <w:r w:rsidR="00C34CBD" w:rsidRPr="00DB04DE">
        <w:rPr>
          <w:rFonts w:ascii="Arial" w:hAnsi="Arial" w:cs="Arial"/>
          <w:sz w:val="22"/>
          <w:szCs w:val="22"/>
          <w:lang w:val="es-ES"/>
        </w:rPr>
        <w:t xml:space="preserve"> </w:t>
      </w:r>
      <w:r w:rsidRPr="00DB04DE">
        <w:rPr>
          <w:rFonts w:ascii="Arial" w:hAnsi="Arial" w:cs="Arial"/>
          <w:sz w:val="22"/>
          <w:szCs w:val="22"/>
          <w:lang w:val="es-ES"/>
        </w:rPr>
        <w:t xml:space="preserve">alineadas a los principios de </w:t>
      </w:r>
      <w:r w:rsidR="0002594E" w:rsidRPr="00DB04DE">
        <w:rPr>
          <w:rFonts w:ascii="Arial" w:hAnsi="Arial" w:cs="Arial"/>
          <w:sz w:val="22"/>
          <w:szCs w:val="22"/>
          <w:lang w:val="es-ES"/>
        </w:rPr>
        <w:t>Gobernanza C</w:t>
      </w:r>
      <w:r w:rsidRPr="00DB04DE">
        <w:rPr>
          <w:rFonts w:ascii="Arial" w:hAnsi="Arial" w:cs="Arial"/>
          <w:sz w:val="22"/>
          <w:szCs w:val="22"/>
          <w:lang w:val="es-ES"/>
        </w:rPr>
        <w:t>orporativa de la O</w:t>
      </w:r>
      <w:r w:rsidR="0002594E" w:rsidRPr="00DB04DE">
        <w:rPr>
          <w:rFonts w:ascii="Arial" w:hAnsi="Arial" w:cs="Arial"/>
          <w:sz w:val="22"/>
          <w:szCs w:val="22"/>
          <w:lang w:val="es-ES"/>
        </w:rPr>
        <w:t>ECD</w:t>
      </w:r>
      <w:r w:rsidRPr="00DB04DE">
        <w:rPr>
          <w:rFonts w:ascii="Arial" w:hAnsi="Arial" w:cs="Arial"/>
          <w:sz w:val="22"/>
          <w:szCs w:val="22"/>
          <w:lang w:val="es-ES"/>
        </w:rPr>
        <w:t>; incluyendo una gobernanza fiscal análoga a la del sector privado.</w:t>
      </w:r>
    </w:p>
    <w:p w14:paraId="027A0339" w14:textId="3F657995" w:rsidR="0069080D" w:rsidRPr="00DB04DE" w:rsidRDefault="0069080D" w:rsidP="00DB04DE">
      <w:pPr>
        <w:tabs>
          <w:tab w:val="left" w:pos="720"/>
        </w:tabs>
        <w:spacing w:line="276" w:lineRule="auto"/>
        <w:ind w:left="1800"/>
        <w:jc w:val="both"/>
        <w:rPr>
          <w:rFonts w:ascii="Arial" w:hAnsi="Arial" w:cs="Arial"/>
          <w:sz w:val="22"/>
          <w:szCs w:val="22"/>
          <w:lang w:val="es-ES"/>
        </w:rPr>
      </w:pPr>
      <w:r w:rsidRPr="00DB04DE">
        <w:rPr>
          <w:rFonts w:ascii="Arial" w:hAnsi="Arial" w:cs="Arial"/>
          <w:sz w:val="22"/>
          <w:szCs w:val="22"/>
          <w:lang w:val="es-ES"/>
        </w:rPr>
        <w:t xml:space="preserve">Aumentar la eficiencia de las </w:t>
      </w:r>
      <w:r w:rsidR="007F130A" w:rsidRPr="00DB04DE">
        <w:rPr>
          <w:rFonts w:ascii="Arial" w:hAnsi="Arial" w:cs="Arial"/>
          <w:sz w:val="22"/>
          <w:szCs w:val="22"/>
          <w:lang w:val="es-ES"/>
        </w:rPr>
        <w:t>EEPP</w:t>
      </w:r>
      <w:r w:rsidRPr="00DB04DE">
        <w:rPr>
          <w:rFonts w:ascii="Arial" w:hAnsi="Arial" w:cs="Arial"/>
          <w:sz w:val="22"/>
          <w:szCs w:val="22"/>
          <w:lang w:val="es-ES"/>
        </w:rPr>
        <w:t xml:space="preserve"> del sector de </w:t>
      </w:r>
      <w:r w:rsidR="00E23B68" w:rsidRPr="00503AB7">
        <w:rPr>
          <w:rFonts w:ascii="Arial" w:eastAsia="Calibri" w:hAnsi="Arial" w:cs="Arial"/>
          <w:sz w:val="22"/>
          <w:szCs w:val="22"/>
          <w:lang w:val="es-ES"/>
        </w:rPr>
        <w:t>hidrocarburos, eléctrico</w:t>
      </w:r>
      <w:r w:rsidRPr="00DB04DE">
        <w:rPr>
          <w:rFonts w:ascii="Arial" w:hAnsi="Arial" w:cs="Arial"/>
          <w:sz w:val="22"/>
          <w:szCs w:val="22"/>
          <w:lang w:val="es-ES"/>
        </w:rPr>
        <w:t xml:space="preserve"> y aeronáutico</w:t>
      </w:r>
      <w:r w:rsidRPr="0002594E">
        <w:rPr>
          <w:rFonts w:ascii="Arial" w:hAnsi="Arial" w:cs="Arial"/>
          <w:b/>
          <w:sz w:val="22"/>
          <w:szCs w:val="22"/>
          <w:lang w:val="es-ES"/>
        </w:rPr>
        <w:t xml:space="preserve">. </w:t>
      </w:r>
    </w:p>
    <w:p w14:paraId="1DDA4CDE" w14:textId="77777777" w:rsidR="0069080D" w:rsidRPr="0002594E" w:rsidRDefault="0069080D" w:rsidP="00126B92">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5AC3AC1A" w14:textId="11900DBF" w:rsidR="0069080D" w:rsidRPr="00752650" w:rsidRDefault="0069080D"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02594E">
        <w:rPr>
          <w:rFonts w:ascii="Arial" w:hAnsi="Arial" w:cs="Arial"/>
          <w:b w:val="0"/>
          <w:sz w:val="22"/>
          <w:szCs w:val="22"/>
          <w:lang w:val="es-ES" w:eastAsia="es-ES"/>
        </w:rPr>
        <w:t>Los objetivos del programa son de fundamental importancia</w:t>
      </w:r>
      <w:r w:rsidR="0002594E" w:rsidRPr="0002594E">
        <w:rPr>
          <w:rFonts w:ascii="Arial" w:hAnsi="Arial" w:cs="Arial"/>
          <w:b w:val="0"/>
          <w:sz w:val="22"/>
          <w:szCs w:val="22"/>
          <w:lang w:val="es-ES" w:eastAsia="es-ES"/>
        </w:rPr>
        <w:t>,</w:t>
      </w:r>
      <w:r w:rsidRPr="0002594E">
        <w:rPr>
          <w:rFonts w:ascii="Arial" w:hAnsi="Arial" w:cs="Arial"/>
          <w:b w:val="0"/>
          <w:sz w:val="22"/>
          <w:szCs w:val="22"/>
          <w:lang w:val="es-ES" w:eastAsia="es-ES"/>
        </w:rPr>
        <w:t xml:space="preserve"> dado que con éstos se identifican </w:t>
      </w:r>
      <w:r w:rsidRPr="00752650">
        <w:rPr>
          <w:rFonts w:ascii="Arial" w:hAnsi="Arial" w:cs="Arial"/>
          <w:b w:val="0"/>
          <w:sz w:val="22"/>
          <w:szCs w:val="22"/>
          <w:lang w:val="es-ES" w:eastAsia="es-ES"/>
        </w:rPr>
        <w:t>y/o se construyen a las variables de impacto que serán usadas en el modelo econométrico para medir la efectividad del Programa aplicado.</w:t>
      </w:r>
    </w:p>
    <w:p w14:paraId="1FAE4EEB" w14:textId="77777777" w:rsidR="0069080D" w:rsidRPr="00752650" w:rsidRDefault="0069080D" w:rsidP="00126B92">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7D164F4E" w14:textId="6D7066DA" w:rsidR="0069080D" w:rsidRPr="00752650" w:rsidRDefault="0069080D" w:rsidP="00126B92">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2650">
        <w:rPr>
          <w:rFonts w:ascii="Arial" w:hAnsi="Arial" w:cs="Arial"/>
          <w:b w:val="0"/>
          <w:sz w:val="22"/>
          <w:szCs w:val="22"/>
          <w:lang w:val="es-ES" w:eastAsia="es-ES"/>
        </w:rPr>
        <w:t>El objetivo genera</w:t>
      </w:r>
      <w:r w:rsidR="00752650" w:rsidRPr="00752650">
        <w:rPr>
          <w:rFonts w:ascii="Arial" w:hAnsi="Arial" w:cs="Arial"/>
          <w:b w:val="0"/>
          <w:sz w:val="22"/>
          <w:szCs w:val="22"/>
          <w:lang w:val="es-ES" w:eastAsia="es-ES"/>
        </w:rPr>
        <w:t>l, en el marco de la Matriz de R</w:t>
      </w:r>
      <w:r w:rsidRPr="00752650">
        <w:rPr>
          <w:rFonts w:ascii="Arial" w:hAnsi="Arial" w:cs="Arial"/>
          <w:b w:val="0"/>
          <w:sz w:val="22"/>
          <w:szCs w:val="22"/>
          <w:lang w:val="es-ES" w:eastAsia="es-ES"/>
        </w:rPr>
        <w:t xml:space="preserve">esultado del Programa de Apoyo a la Reforma de Empresas Públicas, considera como indicador de impacto a la participación de las transferencias del PGE a las </w:t>
      </w:r>
      <w:r w:rsidR="007F130A" w:rsidRPr="00752650">
        <w:rPr>
          <w:rFonts w:ascii="Arial" w:hAnsi="Arial" w:cs="Arial"/>
          <w:b w:val="0"/>
          <w:sz w:val="22"/>
          <w:szCs w:val="22"/>
          <w:lang w:val="es-ES" w:eastAsia="es-ES"/>
        </w:rPr>
        <w:t>EEPP</w:t>
      </w:r>
      <w:r w:rsidRPr="00752650">
        <w:rPr>
          <w:rFonts w:ascii="Arial" w:hAnsi="Arial" w:cs="Arial"/>
          <w:b w:val="0"/>
          <w:sz w:val="22"/>
          <w:szCs w:val="22"/>
          <w:lang w:val="es-ES" w:eastAsia="es-ES"/>
        </w:rPr>
        <w:t xml:space="preserve"> en el PIB . </w:t>
      </w:r>
      <w:r w:rsidR="00752650" w:rsidRPr="00752650">
        <w:rPr>
          <w:rFonts w:ascii="Arial" w:hAnsi="Arial" w:cs="Arial"/>
          <w:b w:val="0"/>
          <w:sz w:val="22"/>
          <w:szCs w:val="22"/>
          <w:lang w:val="es-ES" w:eastAsia="es-ES"/>
        </w:rPr>
        <w:t>É</w:t>
      </w:r>
      <w:r w:rsidRPr="00752650">
        <w:rPr>
          <w:rFonts w:ascii="Arial" w:hAnsi="Arial" w:cs="Arial"/>
          <w:b w:val="0"/>
          <w:sz w:val="22"/>
          <w:szCs w:val="22"/>
          <w:lang w:val="es-ES" w:eastAsia="es-ES"/>
        </w:rPr>
        <w:t>sta sería la primera variable de impacto a incluir.</w:t>
      </w:r>
    </w:p>
    <w:p w14:paraId="5BED5D8B" w14:textId="77777777" w:rsidR="0069080D" w:rsidRPr="00752650" w:rsidRDefault="0069080D" w:rsidP="00752650">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6E2F33BF" w14:textId="77777777" w:rsidR="00756A7F" w:rsidRPr="00752650" w:rsidRDefault="0069080D" w:rsidP="00756A7F">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6A7F">
        <w:rPr>
          <w:rFonts w:ascii="Arial" w:hAnsi="Arial" w:cs="Arial"/>
          <w:b w:val="0"/>
          <w:sz w:val="22"/>
          <w:szCs w:val="22"/>
          <w:lang w:val="es-ES" w:eastAsia="es-ES"/>
        </w:rPr>
        <w:t>Adicionalmente, acorde a lo señalado por el primer objetivo específico</w:t>
      </w:r>
      <w:r w:rsidR="00752650" w:rsidRPr="00756A7F">
        <w:rPr>
          <w:rFonts w:ascii="Arial" w:hAnsi="Arial" w:cs="Arial"/>
          <w:b w:val="0"/>
          <w:sz w:val="22"/>
          <w:szCs w:val="22"/>
          <w:lang w:val="es-ES" w:eastAsia="es-ES"/>
        </w:rPr>
        <w:t>,</w:t>
      </w:r>
      <w:r w:rsidRPr="00756A7F">
        <w:rPr>
          <w:rFonts w:ascii="Arial" w:hAnsi="Arial" w:cs="Arial"/>
          <w:b w:val="0"/>
          <w:sz w:val="22"/>
          <w:szCs w:val="22"/>
          <w:lang w:val="es-ES" w:eastAsia="es-ES"/>
        </w:rPr>
        <w:t xml:space="preserve"> y percibiendo que el Gobierno Corporativo de las empresas públicas busca garantizar eficiencia económica y competitividad, </w:t>
      </w:r>
      <w:r w:rsidR="00752650" w:rsidRPr="00756A7F">
        <w:rPr>
          <w:rFonts w:ascii="Arial" w:hAnsi="Arial" w:cs="Arial"/>
          <w:b w:val="0"/>
          <w:sz w:val="22"/>
          <w:szCs w:val="22"/>
          <w:lang w:val="es-ES" w:eastAsia="es-ES"/>
        </w:rPr>
        <w:t>así como aumentar la valoración</w:t>
      </w:r>
      <w:r w:rsidRPr="00752650">
        <w:rPr>
          <w:rStyle w:val="FootnoteReference"/>
          <w:rFonts w:ascii="Arial" w:hAnsi="Arial" w:cs="Arial"/>
          <w:b w:val="0"/>
          <w:sz w:val="22"/>
          <w:szCs w:val="22"/>
          <w:lang w:val="es-ES" w:eastAsia="es-ES"/>
        </w:rPr>
        <w:footnoteReference w:id="46"/>
      </w:r>
      <w:r w:rsidR="00752650" w:rsidRPr="00756A7F">
        <w:rPr>
          <w:rFonts w:ascii="Arial" w:hAnsi="Arial" w:cs="Arial"/>
          <w:b w:val="0"/>
          <w:sz w:val="22"/>
          <w:szCs w:val="22"/>
          <w:lang w:val="es-ES" w:eastAsia="es-ES"/>
        </w:rPr>
        <w:t xml:space="preserve"> </w:t>
      </w:r>
      <w:r w:rsidRPr="00756A7F">
        <w:rPr>
          <w:rFonts w:ascii="Arial" w:hAnsi="Arial" w:cs="Arial"/>
          <w:b w:val="0"/>
          <w:sz w:val="22"/>
          <w:szCs w:val="22"/>
          <w:lang w:val="es-ES" w:eastAsia="es-ES"/>
        </w:rPr>
        <w:t xml:space="preserve">de las empresas (OCDE, 2019), se recomienda incluir variables de impacto medidas con el indicador de desempeño de la </w:t>
      </w:r>
      <w:r w:rsidR="00756A7F" w:rsidRPr="00752650">
        <w:rPr>
          <w:rFonts w:ascii="Arial" w:hAnsi="Arial" w:cs="Arial"/>
          <w:b w:val="0"/>
          <w:sz w:val="22"/>
          <w:szCs w:val="22"/>
          <w:lang w:val="es-ES" w:eastAsia="es-ES"/>
        </w:rPr>
        <w:t xml:space="preserve">competitividad, el indicador de valoración de la empresa, el indicador de transparencia y el indicador de eficiencia de activos. </w:t>
      </w:r>
    </w:p>
    <w:p w14:paraId="45AC5ED8" w14:textId="3C6B032D" w:rsidR="0069080D" w:rsidRPr="00756A7F" w:rsidRDefault="0069080D" w:rsidP="00B45549">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6146A086" w14:textId="11ED6EFA" w:rsidR="0069080D" w:rsidRPr="00752650" w:rsidRDefault="0069080D" w:rsidP="00752650">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2650">
        <w:rPr>
          <w:rFonts w:ascii="Arial" w:hAnsi="Arial" w:cs="Arial"/>
          <w:b w:val="0"/>
          <w:sz w:val="22"/>
          <w:szCs w:val="22"/>
          <w:lang w:val="es-ES" w:eastAsia="es-ES"/>
        </w:rPr>
        <w:t>Del mismo modo, relacionado al segundo objetivo específico, se toma en cuenta a los indicadores de eficiencia productiva, los mismos que se detallan en el Resultado número cuatro de la Matriz de Resultados del Programa. Los indicadores a incluir son: Eficiencia Laboral PAM, y el indicador de la eficiencia laboral PEC.</w:t>
      </w:r>
    </w:p>
    <w:p w14:paraId="49E93EF8" w14:textId="77777777" w:rsidR="0069080D" w:rsidRPr="00752650" w:rsidRDefault="0069080D" w:rsidP="00752650">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45ACBC98" w14:textId="5C43B5EE" w:rsidR="00CA385B" w:rsidRPr="00752650" w:rsidRDefault="0069080D" w:rsidP="00752650">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2650">
        <w:rPr>
          <w:rFonts w:ascii="Arial" w:hAnsi="Arial" w:cs="Arial"/>
          <w:b w:val="0"/>
          <w:sz w:val="22"/>
          <w:szCs w:val="22"/>
          <w:lang w:val="es-ES" w:eastAsia="es-ES"/>
        </w:rPr>
        <w:t>Con el objetivo de mostrar lo realizado en iniciativas similares, a continuación</w:t>
      </w:r>
      <w:r w:rsidR="00752650" w:rsidRPr="00752650">
        <w:rPr>
          <w:rFonts w:ascii="Arial" w:hAnsi="Arial" w:cs="Arial"/>
          <w:b w:val="0"/>
          <w:sz w:val="22"/>
          <w:szCs w:val="22"/>
          <w:lang w:val="es-ES" w:eastAsia="es-ES"/>
        </w:rPr>
        <w:t>,</w:t>
      </w:r>
      <w:r w:rsidRPr="00752650">
        <w:rPr>
          <w:rFonts w:ascii="Arial" w:hAnsi="Arial" w:cs="Arial"/>
          <w:b w:val="0"/>
          <w:sz w:val="22"/>
          <w:szCs w:val="22"/>
          <w:lang w:val="es-ES" w:eastAsia="es-ES"/>
        </w:rPr>
        <w:t xml:space="preserve"> se presenta una selección de estudios de evaluación. En este sentido, se busca hallar una referencia empírica acerca de las metodologías e indicadores de impacto que han sido utilizados en estudios de fusión de empresas, del mismo modo, se incluyeron estudios que evaluaron </w:t>
      </w:r>
      <w:r w:rsidRPr="00752650">
        <w:rPr>
          <w:rFonts w:ascii="Arial" w:hAnsi="Arial" w:cs="Arial"/>
          <w:b w:val="0"/>
          <w:sz w:val="22"/>
          <w:szCs w:val="22"/>
          <w:lang w:val="es-ES" w:eastAsia="es-ES"/>
        </w:rPr>
        <w:lastRenderedPageBreak/>
        <w:t>la privatización; este último fue tomado en cuenta por lo mencionado por la O</w:t>
      </w:r>
      <w:r w:rsidR="00752650" w:rsidRPr="00752650">
        <w:rPr>
          <w:rFonts w:ascii="Arial" w:hAnsi="Arial" w:cs="Arial"/>
          <w:b w:val="0"/>
          <w:sz w:val="22"/>
          <w:szCs w:val="22"/>
          <w:lang w:val="es-ES" w:eastAsia="es-ES"/>
        </w:rPr>
        <w:t>ECD</w:t>
      </w:r>
      <w:r w:rsidRPr="00752650">
        <w:rPr>
          <w:rFonts w:ascii="Arial" w:hAnsi="Arial" w:cs="Arial"/>
          <w:b w:val="0"/>
          <w:sz w:val="22"/>
          <w:szCs w:val="22"/>
          <w:lang w:val="es-ES" w:eastAsia="es-ES"/>
        </w:rPr>
        <w:t xml:space="preserve"> en las directrices sobre el</w:t>
      </w:r>
      <w:r w:rsidR="00752650" w:rsidRPr="00752650">
        <w:rPr>
          <w:rFonts w:ascii="Arial" w:hAnsi="Arial" w:cs="Arial"/>
          <w:b w:val="0"/>
          <w:sz w:val="22"/>
          <w:szCs w:val="22"/>
          <w:lang w:val="es-ES" w:eastAsia="es-ES"/>
        </w:rPr>
        <w:t xml:space="preserve"> Gobierno Corporativo de las EE</w:t>
      </w:r>
      <w:r w:rsidRPr="00752650">
        <w:rPr>
          <w:rFonts w:ascii="Arial" w:hAnsi="Arial" w:cs="Arial"/>
          <w:b w:val="0"/>
          <w:sz w:val="22"/>
          <w:szCs w:val="22"/>
          <w:lang w:val="es-ES" w:eastAsia="es-ES"/>
        </w:rPr>
        <w:t>PP</w:t>
      </w:r>
      <w:r w:rsidR="00752650" w:rsidRPr="00752650">
        <w:rPr>
          <w:rFonts w:ascii="Arial" w:hAnsi="Arial" w:cs="Arial"/>
          <w:b w:val="0"/>
          <w:sz w:val="22"/>
          <w:szCs w:val="22"/>
          <w:lang w:val="es-ES" w:eastAsia="es-ES"/>
        </w:rPr>
        <w:t>.</w:t>
      </w:r>
    </w:p>
    <w:p w14:paraId="46941C4A" w14:textId="46A1D9B5" w:rsidR="0069080D" w:rsidRPr="00752650" w:rsidRDefault="0069080D" w:rsidP="0028406C">
      <w:pPr>
        <w:autoSpaceDE w:val="0"/>
        <w:autoSpaceDN w:val="0"/>
        <w:adjustRightInd w:val="0"/>
        <w:spacing w:line="276" w:lineRule="auto"/>
        <w:ind w:left="1440"/>
        <w:jc w:val="both"/>
        <w:rPr>
          <w:rFonts w:ascii="Arial" w:hAnsi="Arial" w:cs="Arial"/>
          <w:i/>
          <w:sz w:val="22"/>
          <w:szCs w:val="22"/>
        </w:rPr>
      </w:pPr>
      <w:r w:rsidRPr="00752650">
        <w:rPr>
          <w:rFonts w:ascii="Arial" w:hAnsi="Arial" w:cs="Arial"/>
          <w:i/>
          <w:sz w:val="22"/>
          <w:szCs w:val="22"/>
        </w:rPr>
        <w:t>“La experiencia de la OCDE también ha demostrado que el buen gobierno corporativo de las empresas públicas constituye un importante requisito previo para llevar a cabo una privatización efectiva desde el punto de vista económico, dado que</w:t>
      </w:r>
      <w:r w:rsidR="00752650" w:rsidRPr="00752650">
        <w:rPr>
          <w:rFonts w:ascii="Arial" w:hAnsi="Arial" w:cs="Arial"/>
          <w:i/>
          <w:sz w:val="22"/>
          <w:szCs w:val="22"/>
        </w:rPr>
        <w:t>,</w:t>
      </w:r>
      <w:r w:rsidRPr="00752650">
        <w:rPr>
          <w:rFonts w:ascii="Arial" w:hAnsi="Arial" w:cs="Arial"/>
          <w:i/>
          <w:sz w:val="22"/>
          <w:szCs w:val="22"/>
        </w:rPr>
        <w:t xml:space="preserve"> hará que las empresas resulten más atractivas para los posibles compradores, aumentando su valoración”</w:t>
      </w:r>
      <w:r w:rsidR="00752650" w:rsidRPr="00752650">
        <w:rPr>
          <w:rFonts w:ascii="Arial" w:hAnsi="Arial" w:cs="Arial"/>
          <w:i/>
          <w:sz w:val="22"/>
          <w:szCs w:val="22"/>
        </w:rPr>
        <w:t>.</w:t>
      </w:r>
    </w:p>
    <w:p w14:paraId="23D313E0" w14:textId="77777777" w:rsidR="0069080D" w:rsidRPr="00752650" w:rsidRDefault="0069080D" w:rsidP="0028406C">
      <w:pPr>
        <w:autoSpaceDE w:val="0"/>
        <w:autoSpaceDN w:val="0"/>
        <w:adjustRightInd w:val="0"/>
        <w:spacing w:line="276" w:lineRule="auto"/>
        <w:ind w:left="1440"/>
        <w:jc w:val="both"/>
        <w:rPr>
          <w:rFonts w:ascii="Arial" w:hAnsi="Arial" w:cs="Arial"/>
          <w:i/>
          <w:sz w:val="22"/>
          <w:szCs w:val="22"/>
        </w:rPr>
      </w:pPr>
    </w:p>
    <w:p w14:paraId="69E21128" w14:textId="6C667CD0" w:rsidR="0069080D" w:rsidRPr="00752650" w:rsidRDefault="0069080D" w:rsidP="00752650">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2650">
        <w:rPr>
          <w:rFonts w:ascii="Arial" w:hAnsi="Arial" w:cs="Arial"/>
          <w:b w:val="0"/>
          <w:sz w:val="22"/>
          <w:szCs w:val="22"/>
          <w:lang w:val="es-ES" w:eastAsia="es-ES"/>
        </w:rPr>
        <w:t>Por lo cual, incluir evidencia de indicadores asociados a estas evaluaciones es pertinente</w:t>
      </w:r>
      <w:r w:rsidR="00752650" w:rsidRPr="00752650">
        <w:rPr>
          <w:rFonts w:ascii="Arial" w:hAnsi="Arial" w:cs="Arial"/>
          <w:b w:val="0"/>
          <w:sz w:val="22"/>
          <w:szCs w:val="22"/>
          <w:lang w:val="es-ES" w:eastAsia="es-ES"/>
        </w:rPr>
        <w:t>, debido a que</w:t>
      </w:r>
      <w:r w:rsidRPr="00752650">
        <w:rPr>
          <w:rFonts w:ascii="Arial" w:hAnsi="Arial" w:cs="Arial"/>
          <w:b w:val="0"/>
          <w:sz w:val="22"/>
          <w:szCs w:val="22"/>
          <w:lang w:val="es-ES" w:eastAsia="es-ES"/>
        </w:rPr>
        <w:t xml:space="preserve"> estaría indirectamente relacionado con </w:t>
      </w:r>
      <w:r w:rsidR="00756A7F">
        <w:rPr>
          <w:rFonts w:ascii="Arial" w:hAnsi="Arial" w:cs="Arial"/>
          <w:b w:val="0"/>
          <w:sz w:val="22"/>
          <w:szCs w:val="22"/>
          <w:lang w:val="es-ES" w:eastAsia="es-ES"/>
        </w:rPr>
        <w:t xml:space="preserve">los objetivos </w:t>
      </w:r>
      <w:r w:rsidRPr="00752650">
        <w:rPr>
          <w:rFonts w:ascii="Arial" w:hAnsi="Arial" w:cs="Arial"/>
          <w:b w:val="0"/>
          <w:sz w:val="22"/>
          <w:szCs w:val="22"/>
          <w:lang w:val="es-ES" w:eastAsia="es-ES"/>
        </w:rPr>
        <w:t>del Programa de Apoyo a la Reforma de Empresas Públicas.</w:t>
      </w:r>
      <w:r w:rsidR="00752650" w:rsidRPr="00752650">
        <w:rPr>
          <w:rFonts w:ascii="Arial" w:hAnsi="Arial" w:cs="Arial"/>
          <w:b w:val="0"/>
          <w:sz w:val="22"/>
          <w:szCs w:val="22"/>
          <w:lang w:val="es-ES" w:eastAsia="es-ES"/>
        </w:rPr>
        <w:t xml:space="preserve"> </w:t>
      </w:r>
      <w:r w:rsidRPr="00752650">
        <w:rPr>
          <w:rFonts w:ascii="Arial" w:hAnsi="Arial" w:cs="Arial"/>
          <w:b w:val="0"/>
          <w:sz w:val="22"/>
          <w:szCs w:val="22"/>
          <w:lang w:val="es-ES" w:eastAsia="es-ES"/>
        </w:rPr>
        <w:t xml:space="preserve">Considerando la revisión empírica, se recomendará los indicadores de impacto a ser considerados para la </w:t>
      </w:r>
      <w:r w:rsidR="00752650" w:rsidRPr="00752650">
        <w:rPr>
          <w:rFonts w:ascii="Arial" w:hAnsi="Arial" w:cs="Arial"/>
          <w:b w:val="0"/>
          <w:sz w:val="22"/>
          <w:szCs w:val="22"/>
          <w:lang w:val="es-ES" w:eastAsia="es-ES"/>
        </w:rPr>
        <w:t>Evaluación Final antes y d</w:t>
      </w:r>
      <w:r w:rsidRPr="00752650">
        <w:rPr>
          <w:rFonts w:ascii="Arial" w:hAnsi="Arial" w:cs="Arial"/>
          <w:b w:val="0"/>
          <w:sz w:val="22"/>
          <w:szCs w:val="22"/>
          <w:lang w:val="es-ES" w:eastAsia="es-ES"/>
        </w:rPr>
        <w:t>espués del Programa.</w:t>
      </w:r>
    </w:p>
    <w:p w14:paraId="62F9A17C" w14:textId="2026EF8A" w:rsidR="0069080D" w:rsidRPr="00752650" w:rsidRDefault="0069080D" w:rsidP="0028406C">
      <w:pPr>
        <w:pStyle w:val="Heading4"/>
        <w:numPr>
          <w:ilvl w:val="0"/>
          <w:numId w:val="0"/>
        </w:numPr>
        <w:tabs>
          <w:tab w:val="clear" w:pos="1440"/>
          <w:tab w:val="left" w:pos="720"/>
        </w:tabs>
        <w:spacing w:before="0" w:after="0" w:line="276" w:lineRule="auto"/>
        <w:ind w:left="720"/>
        <w:rPr>
          <w:rFonts w:ascii="Arial" w:hAnsi="Arial" w:cs="Arial"/>
          <w:b w:val="0"/>
          <w:sz w:val="22"/>
          <w:szCs w:val="22"/>
          <w:lang w:val="es-ES" w:eastAsia="es-ES"/>
        </w:rPr>
      </w:pPr>
    </w:p>
    <w:p w14:paraId="29FCC09C" w14:textId="35763FE1" w:rsidR="0069080D" w:rsidRPr="00752650" w:rsidRDefault="0069080D" w:rsidP="0028406C">
      <w:pPr>
        <w:pStyle w:val="Heading4"/>
        <w:numPr>
          <w:ilvl w:val="1"/>
          <w:numId w:val="10"/>
        </w:numPr>
        <w:tabs>
          <w:tab w:val="clear" w:pos="1440"/>
          <w:tab w:val="left" w:pos="720"/>
        </w:tabs>
        <w:spacing w:before="0" w:after="0" w:line="276" w:lineRule="auto"/>
        <w:ind w:left="720" w:hanging="720"/>
        <w:rPr>
          <w:rFonts w:ascii="Arial" w:hAnsi="Arial" w:cs="Arial"/>
          <w:b w:val="0"/>
          <w:sz w:val="22"/>
          <w:szCs w:val="22"/>
          <w:lang w:val="es-ES" w:eastAsia="es-ES"/>
        </w:rPr>
      </w:pPr>
      <w:r w:rsidRPr="00752650">
        <w:rPr>
          <w:rFonts w:ascii="Arial" w:hAnsi="Arial" w:cs="Arial"/>
          <w:b w:val="0"/>
          <w:sz w:val="22"/>
          <w:szCs w:val="22"/>
          <w:lang w:val="es-ES" w:eastAsia="es-ES"/>
        </w:rPr>
        <w:t xml:space="preserve">En el marco de lo mencionado, como primer punto se presenta un cuadro resumen de las iniciativas, y seguidamente, se ahonda en la descripción de las investigaciones seleccionadas con una síntesis de las mismas. Posteriormente, se proponen los indicadores de impacto para la evaluación del programa. </w:t>
      </w:r>
    </w:p>
    <w:p w14:paraId="0FBBDB2C" w14:textId="77777777" w:rsidR="009677B2" w:rsidRPr="00294D7C" w:rsidRDefault="009677B2" w:rsidP="0069080D">
      <w:pPr>
        <w:autoSpaceDE w:val="0"/>
        <w:autoSpaceDN w:val="0"/>
        <w:adjustRightInd w:val="0"/>
        <w:jc w:val="both"/>
        <w:rPr>
          <w:rFonts w:ascii="Arial" w:eastAsiaTheme="minorHAnsi" w:hAnsi="Arial" w:cs="Arial"/>
          <w:sz w:val="22"/>
          <w:szCs w:val="22"/>
          <w:highlight w:val="yellow"/>
        </w:rPr>
      </w:pPr>
    </w:p>
    <w:p w14:paraId="04B095ED" w14:textId="77777777" w:rsidR="009677B2" w:rsidRPr="00294D7C" w:rsidRDefault="009677B2" w:rsidP="0069080D">
      <w:pPr>
        <w:autoSpaceDE w:val="0"/>
        <w:autoSpaceDN w:val="0"/>
        <w:adjustRightInd w:val="0"/>
        <w:jc w:val="both"/>
        <w:rPr>
          <w:rFonts w:ascii="Arial" w:eastAsiaTheme="minorHAnsi" w:hAnsi="Arial" w:cs="Arial"/>
          <w:sz w:val="22"/>
          <w:szCs w:val="22"/>
          <w:highlight w:val="yellow"/>
        </w:rPr>
        <w:sectPr w:rsidR="009677B2" w:rsidRPr="00294D7C" w:rsidSect="0069080D">
          <w:pgSz w:w="12240" w:h="15840" w:code="1"/>
          <w:pgMar w:top="1276" w:right="1440" w:bottom="1440" w:left="1440" w:header="720" w:footer="720" w:gutter="0"/>
          <w:cols w:space="720"/>
          <w:docGrid w:linePitch="360"/>
        </w:sectPr>
      </w:pPr>
    </w:p>
    <w:p w14:paraId="6B07FEE9" w14:textId="280010B4" w:rsidR="0069080D" w:rsidRPr="00C173B9" w:rsidRDefault="0069080D" w:rsidP="0069080D">
      <w:pPr>
        <w:pStyle w:val="Caption"/>
        <w:keepNext/>
        <w:jc w:val="center"/>
        <w:rPr>
          <w:rFonts w:ascii="Arial" w:hAnsi="Arial" w:cs="Arial"/>
          <w:sz w:val="22"/>
          <w:szCs w:val="22"/>
        </w:rPr>
      </w:pPr>
      <w:r w:rsidRPr="00C173B9">
        <w:rPr>
          <w:rFonts w:ascii="Arial" w:hAnsi="Arial" w:cs="Arial"/>
          <w:sz w:val="22"/>
          <w:szCs w:val="22"/>
        </w:rPr>
        <w:lastRenderedPageBreak/>
        <w:t xml:space="preserve">Tabla </w:t>
      </w:r>
      <w:r w:rsidR="00752650" w:rsidRPr="00C173B9">
        <w:rPr>
          <w:rFonts w:ascii="Arial" w:hAnsi="Arial" w:cs="Arial"/>
          <w:sz w:val="22"/>
          <w:szCs w:val="22"/>
        </w:rPr>
        <w:t>7</w:t>
      </w:r>
      <w:r w:rsidRPr="00C173B9">
        <w:rPr>
          <w:rFonts w:ascii="Arial" w:hAnsi="Arial" w:cs="Arial"/>
          <w:sz w:val="22"/>
          <w:szCs w:val="22"/>
        </w:rPr>
        <w:t xml:space="preserve"> Revisión empírica de la Fusión y privatización de las Empresas Públicas</w:t>
      </w:r>
    </w:p>
    <w:p w14:paraId="2CCB2BFA" w14:textId="77777777" w:rsidR="0069080D" w:rsidRPr="00C173B9" w:rsidRDefault="0069080D" w:rsidP="0069080D"/>
    <w:tbl>
      <w:tblPr>
        <w:tblStyle w:val="LightShading-Accent1"/>
        <w:tblW w:w="14000" w:type="dxa"/>
        <w:tblLook w:val="04A0" w:firstRow="1" w:lastRow="0" w:firstColumn="1" w:lastColumn="0" w:noHBand="0" w:noVBand="1"/>
      </w:tblPr>
      <w:tblGrid>
        <w:gridCol w:w="2041"/>
        <w:gridCol w:w="3055"/>
        <w:gridCol w:w="940"/>
        <w:gridCol w:w="1540"/>
        <w:gridCol w:w="2405"/>
        <w:gridCol w:w="1577"/>
        <w:gridCol w:w="2442"/>
      </w:tblGrid>
      <w:tr w:rsidR="0069080D" w:rsidRPr="00C173B9" w14:paraId="5553E753" w14:textId="77777777" w:rsidTr="00C173B9">
        <w:trPr>
          <w:cnfStyle w:val="100000000000" w:firstRow="1" w:lastRow="0" w:firstColumn="0" w:lastColumn="0" w:oddVBand="0" w:evenVBand="0" w:oddHBand="0" w:evenHBand="0" w:firstRowFirstColumn="0" w:firstRowLastColumn="0" w:lastRowFirstColumn="0" w:lastRowLastColumn="0"/>
          <w:trHeight w:val="171"/>
          <w:tblHead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962EF10" w14:textId="77777777" w:rsidR="0069080D" w:rsidRPr="00C173B9" w:rsidRDefault="0069080D" w:rsidP="004C71E2">
            <w:pPr>
              <w:jc w:val="center"/>
              <w:rPr>
                <w:rFonts w:ascii="Arial" w:hAnsi="Arial" w:cs="Arial"/>
                <w:color w:val="000000"/>
                <w:sz w:val="18"/>
                <w:szCs w:val="18"/>
                <w:lang w:eastAsia="es-EC"/>
              </w:rPr>
            </w:pPr>
            <w:r w:rsidRPr="00C173B9">
              <w:rPr>
                <w:rFonts w:ascii="Arial" w:hAnsi="Arial" w:cs="Arial"/>
                <w:sz w:val="18"/>
                <w:szCs w:val="18"/>
              </w:rPr>
              <w:br w:type="page"/>
            </w:r>
            <w:r w:rsidRPr="00C173B9">
              <w:rPr>
                <w:rFonts w:ascii="Arial" w:hAnsi="Arial" w:cs="Arial"/>
                <w:color w:val="000000"/>
                <w:sz w:val="18"/>
                <w:szCs w:val="18"/>
                <w:lang w:eastAsia="es-EC"/>
              </w:rPr>
              <w:t>Nombre</w:t>
            </w:r>
          </w:p>
        </w:tc>
        <w:tc>
          <w:tcPr>
            <w:tcW w:w="0" w:type="auto"/>
            <w:noWrap/>
            <w:vAlign w:val="center"/>
            <w:hideMark/>
          </w:tcPr>
          <w:p w14:paraId="3379F91A"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Objetivo de la Investigación</w:t>
            </w:r>
          </w:p>
        </w:tc>
        <w:tc>
          <w:tcPr>
            <w:tcW w:w="0" w:type="auto"/>
            <w:noWrap/>
            <w:vAlign w:val="center"/>
            <w:hideMark/>
          </w:tcPr>
          <w:p w14:paraId="69562E70"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País/año</w:t>
            </w:r>
          </w:p>
        </w:tc>
        <w:tc>
          <w:tcPr>
            <w:tcW w:w="1540" w:type="dxa"/>
            <w:noWrap/>
            <w:vAlign w:val="center"/>
            <w:hideMark/>
          </w:tcPr>
          <w:p w14:paraId="2A407048"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Metodología</w:t>
            </w:r>
          </w:p>
        </w:tc>
        <w:tc>
          <w:tcPr>
            <w:tcW w:w="0" w:type="auto"/>
            <w:noWrap/>
            <w:vAlign w:val="center"/>
            <w:hideMark/>
          </w:tcPr>
          <w:p w14:paraId="05203BB9"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Población y selección </w:t>
            </w:r>
          </w:p>
        </w:tc>
        <w:tc>
          <w:tcPr>
            <w:tcW w:w="0" w:type="auto"/>
            <w:noWrap/>
            <w:vAlign w:val="center"/>
            <w:hideMark/>
          </w:tcPr>
          <w:p w14:paraId="409FD936"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Principales </w:t>
            </w:r>
          </w:p>
          <w:p w14:paraId="4F5CBE83"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Indicadores</w:t>
            </w:r>
          </w:p>
        </w:tc>
        <w:tc>
          <w:tcPr>
            <w:tcW w:w="2442" w:type="dxa"/>
            <w:noWrap/>
            <w:vAlign w:val="center"/>
            <w:hideMark/>
          </w:tcPr>
          <w:p w14:paraId="340595E3" w14:textId="77777777" w:rsidR="0069080D" w:rsidRPr="00C173B9" w:rsidRDefault="0069080D" w:rsidP="004C71E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Hallazgos</w:t>
            </w:r>
          </w:p>
        </w:tc>
      </w:tr>
      <w:tr w:rsidR="0085104C" w:rsidRPr="00294D7C" w14:paraId="521DB9DA" w14:textId="77777777" w:rsidTr="00C173B9">
        <w:trPr>
          <w:cnfStyle w:val="000000100000" w:firstRow="0" w:lastRow="0" w:firstColumn="0" w:lastColumn="0" w:oddVBand="0" w:evenVBand="0" w:oddHBand="1" w:evenHBand="0" w:firstRowFirstColumn="0" w:firstRowLastColumn="0" w:lastRowFirstColumn="0" w:lastRowLastColumn="0"/>
          <w:trHeight w:val="1860"/>
        </w:trPr>
        <w:tc>
          <w:tcPr>
            <w:cnfStyle w:val="001000000000" w:firstRow="0" w:lastRow="0" w:firstColumn="1" w:lastColumn="0" w:oddVBand="0" w:evenVBand="0" w:oddHBand="0" w:evenHBand="0" w:firstRowFirstColumn="0" w:firstRowLastColumn="0" w:lastRowFirstColumn="0" w:lastRowLastColumn="0"/>
            <w:tcW w:w="0" w:type="auto"/>
            <w:vAlign w:val="center"/>
          </w:tcPr>
          <w:p w14:paraId="0EDE4E65" w14:textId="77777777" w:rsidR="0069080D" w:rsidRPr="00C173B9" w:rsidRDefault="0069080D" w:rsidP="004C71E2">
            <w:pPr>
              <w:jc w:val="both"/>
              <w:rPr>
                <w:rFonts w:ascii="Arial" w:hAnsi="Arial" w:cs="Arial"/>
                <w:color w:val="000000"/>
                <w:sz w:val="18"/>
                <w:szCs w:val="18"/>
                <w:lang w:eastAsia="es-EC"/>
              </w:rPr>
            </w:pPr>
            <w:r w:rsidRPr="00C173B9">
              <w:rPr>
                <w:rFonts w:ascii="Arial" w:hAnsi="Arial" w:cs="Arial"/>
                <w:color w:val="000000"/>
                <w:sz w:val="18"/>
                <w:szCs w:val="18"/>
                <w:lang w:eastAsia="es-EC"/>
              </w:rPr>
              <w:t>Análisis de los procesos de fusión y adquisición de las empresas españolas no cotizadas.</w:t>
            </w:r>
          </w:p>
        </w:tc>
        <w:tc>
          <w:tcPr>
            <w:tcW w:w="0" w:type="auto"/>
            <w:vAlign w:val="center"/>
          </w:tcPr>
          <w:p w14:paraId="01723A1C" w14:textId="4DD052F3"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Conocer el comportamiento y el grado de eficiencia de las empresas españolas no cotizadas</w:t>
            </w:r>
            <w:r w:rsidR="00C173B9" w:rsidRPr="00C173B9">
              <w:rPr>
                <w:rFonts w:ascii="Arial" w:hAnsi="Arial" w:cs="Arial"/>
                <w:color w:val="000000"/>
                <w:sz w:val="18"/>
                <w:szCs w:val="18"/>
                <w:lang w:eastAsia="es-EC"/>
              </w:rPr>
              <w:t>,</w:t>
            </w:r>
            <w:r w:rsidRPr="00C173B9">
              <w:rPr>
                <w:rFonts w:ascii="Arial" w:hAnsi="Arial" w:cs="Arial"/>
                <w:color w:val="000000"/>
                <w:sz w:val="18"/>
                <w:szCs w:val="18"/>
                <w:lang w:eastAsia="es-EC"/>
              </w:rPr>
              <w:t xml:space="preserve"> que en los últimos años han experimentado procesos de concentración en Fusión y Adquisiciones.</w:t>
            </w:r>
          </w:p>
        </w:tc>
        <w:tc>
          <w:tcPr>
            <w:tcW w:w="0" w:type="auto"/>
            <w:vAlign w:val="center"/>
          </w:tcPr>
          <w:p w14:paraId="162BE73E" w14:textId="77777777"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España</w:t>
            </w:r>
          </w:p>
          <w:p w14:paraId="2D52E94D" w14:textId="77777777"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2008</w:t>
            </w:r>
          </w:p>
        </w:tc>
        <w:tc>
          <w:tcPr>
            <w:tcW w:w="1540" w:type="dxa"/>
            <w:vAlign w:val="center"/>
          </w:tcPr>
          <w:p w14:paraId="60CD01A8" w14:textId="4C0B0FEA"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Metodología: Evaluación de impacto antes y Después–</w:t>
            </w:r>
            <w:r w:rsidR="00C173B9" w:rsidRPr="00C173B9">
              <w:rPr>
                <w:rFonts w:ascii="Arial" w:hAnsi="Arial" w:cs="Arial"/>
                <w:color w:val="000000"/>
                <w:sz w:val="18"/>
                <w:szCs w:val="18"/>
                <w:lang w:eastAsia="es-EC"/>
              </w:rPr>
              <w:t xml:space="preserve"> </w:t>
            </w:r>
            <w:r w:rsidRPr="00C173B9">
              <w:rPr>
                <w:rFonts w:ascii="Arial" w:hAnsi="Arial" w:cs="Arial"/>
                <w:color w:val="000000"/>
                <w:sz w:val="18"/>
                <w:szCs w:val="18"/>
                <w:lang w:eastAsia="es-EC"/>
              </w:rPr>
              <w:t xml:space="preserve">Grupo de Tratados y Controles - </w:t>
            </w:r>
          </w:p>
        </w:tc>
        <w:tc>
          <w:tcPr>
            <w:tcW w:w="0" w:type="auto"/>
            <w:vAlign w:val="center"/>
          </w:tcPr>
          <w:p w14:paraId="33C56196" w14:textId="7EAF3AB5" w:rsidR="0069080D" w:rsidRPr="00C173B9" w:rsidRDefault="0069080D" w:rsidP="004C71E2">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C" w:eastAsia="es-EC"/>
              </w:rPr>
            </w:pPr>
            <w:r w:rsidRPr="00C173B9">
              <w:rPr>
                <w:rFonts w:ascii="Arial" w:hAnsi="Arial" w:cs="Arial"/>
                <w:color w:val="000000"/>
                <w:sz w:val="18"/>
                <w:szCs w:val="18"/>
                <w:lang w:val="es-EC" w:eastAsia="es-EC"/>
              </w:rPr>
              <w:t>Empresas Públicas de España no cotizadas en el</w:t>
            </w:r>
            <w:r w:rsidR="004366C8" w:rsidRPr="00C173B9">
              <w:rPr>
                <w:rFonts w:ascii="Arial" w:hAnsi="Arial" w:cs="Arial"/>
                <w:color w:val="000000"/>
                <w:sz w:val="18"/>
                <w:szCs w:val="18"/>
                <w:lang w:val="es-EC" w:eastAsia="es-EC"/>
              </w:rPr>
              <w:t xml:space="preserve"> </w:t>
            </w:r>
            <w:r w:rsidRPr="00C173B9">
              <w:rPr>
                <w:rFonts w:ascii="Arial" w:hAnsi="Arial" w:cs="Arial"/>
                <w:color w:val="000000"/>
                <w:sz w:val="18"/>
                <w:szCs w:val="18"/>
                <w:lang w:val="es-EC" w:eastAsia="es-EC"/>
              </w:rPr>
              <w:t>periodo temporal de entre 1999-2008</w:t>
            </w:r>
          </w:p>
        </w:tc>
        <w:tc>
          <w:tcPr>
            <w:tcW w:w="0" w:type="auto"/>
            <w:vAlign w:val="center"/>
          </w:tcPr>
          <w:p w14:paraId="363D87AB" w14:textId="77777777" w:rsidR="0069080D" w:rsidRPr="00C173B9" w:rsidRDefault="0069080D" w:rsidP="00266E44">
            <w:pPr>
              <w:pStyle w:val="ListParagraph"/>
              <w:numPr>
                <w:ilvl w:val="0"/>
                <w:numId w:val="25"/>
              </w:numPr>
              <w:ind w:left="165" w:hanging="124"/>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roofErr w:type="spellStart"/>
            <w:r w:rsidRPr="00C173B9">
              <w:rPr>
                <w:rFonts w:ascii="Arial" w:hAnsi="Arial" w:cs="Arial"/>
                <w:color w:val="000000"/>
                <w:sz w:val="18"/>
                <w:szCs w:val="18"/>
                <w:lang w:eastAsia="es-EC"/>
              </w:rPr>
              <w:t>Eﬁciencia</w:t>
            </w:r>
            <w:proofErr w:type="spellEnd"/>
          </w:p>
          <w:p w14:paraId="718A6C3B" w14:textId="77777777" w:rsidR="0069080D" w:rsidRPr="00C173B9" w:rsidRDefault="0069080D" w:rsidP="00266E44">
            <w:pPr>
              <w:pStyle w:val="ListParagraph"/>
              <w:numPr>
                <w:ilvl w:val="0"/>
                <w:numId w:val="25"/>
              </w:numPr>
              <w:ind w:left="165" w:hanging="124"/>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roofErr w:type="spellStart"/>
            <w:r w:rsidRPr="00C173B9">
              <w:rPr>
                <w:rFonts w:ascii="Arial" w:hAnsi="Arial" w:cs="Arial"/>
                <w:color w:val="000000"/>
                <w:sz w:val="18"/>
                <w:szCs w:val="18"/>
                <w:lang w:eastAsia="es-EC"/>
              </w:rPr>
              <w:t>Rentabilidad</w:t>
            </w:r>
            <w:proofErr w:type="spellEnd"/>
          </w:p>
          <w:p w14:paraId="66670DB7" w14:textId="4208F7D3" w:rsidR="0069080D" w:rsidRPr="00C173B9" w:rsidRDefault="0069080D" w:rsidP="00266E44">
            <w:pPr>
              <w:pStyle w:val="ListParagraph"/>
              <w:numPr>
                <w:ilvl w:val="0"/>
                <w:numId w:val="25"/>
              </w:numPr>
              <w:ind w:left="165" w:hanging="124"/>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C" w:eastAsia="es-EC"/>
              </w:rPr>
            </w:pPr>
            <w:r w:rsidRPr="00C173B9">
              <w:rPr>
                <w:rFonts w:ascii="Arial" w:hAnsi="Arial" w:cs="Arial"/>
                <w:color w:val="000000"/>
                <w:sz w:val="18"/>
                <w:szCs w:val="18"/>
                <w:lang w:val="es-EC" w:eastAsia="es-EC"/>
              </w:rPr>
              <w:t>Ratio EBITDA sobre activo total</w:t>
            </w:r>
          </w:p>
          <w:p w14:paraId="2424A17E" w14:textId="77777777" w:rsidR="0069080D" w:rsidRPr="00C173B9" w:rsidRDefault="0069080D" w:rsidP="00266E44">
            <w:pPr>
              <w:pStyle w:val="ListParagraph"/>
              <w:numPr>
                <w:ilvl w:val="0"/>
                <w:numId w:val="25"/>
              </w:numPr>
              <w:ind w:left="165" w:hanging="124"/>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roofErr w:type="spellStart"/>
            <w:r w:rsidRPr="00C173B9">
              <w:rPr>
                <w:rFonts w:ascii="Arial" w:hAnsi="Arial" w:cs="Arial"/>
                <w:color w:val="000000"/>
                <w:sz w:val="18"/>
                <w:szCs w:val="18"/>
                <w:lang w:eastAsia="es-EC"/>
              </w:rPr>
              <w:t>Productividad</w:t>
            </w:r>
            <w:proofErr w:type="spellEnd"/>
          </w:p>
          <w:p w14:paraId="2C5435C4" w14:textId="77777777" w:rsidR="0069080D" w:rsidRPr="00C173B9" w:rsidRDefault="0069080D" w:rsidP="00266E44">
            <w:pPr>
              <w:pStyle w:val="ListParagraph"/>
              <w:numPr>
                <w:ilvl w:val="0"/>
                <w:numId w:val="25"/>
              </w:numPr>
              <w:ind w:left="165" w:hanging="124"/>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C" w:eastAsia="es-EC"/>
              </w:rPr>
            </w:pPr>
            <w:r w:rsidRPr="00C173B9">
              <w:rPr>
                <w:rFonts w:ascii="Arial" w:hAnsi="Arial" w:cs="Arial"/>
                <w:color w:val="000000"/>
                <w:sz w:val="18"/>
                <w:szCs w:val="18"/>
                <w:lang w:val="es-EC" w:eastAsia="es-EC"/>
              </w:rPr>
              <w:t>Desempeño EBITDA sobre cifra de negocios</w:t>
            </w:r>
          </w:p>
        </w:tc>
        <w:tc>
          <w:tcPr>
            <w:tcW w:w="2442" w:type="dxa"/>
            <w:vAlign w:val="center"/>
          </w:tcPr>
          <w:p w14:paraId="359F759F" w14:textId="5F6E6377"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Las pequeñas empresas industriales son las que muestran los efectos más favorables. Éstas consiguen mejorar los indicadores de desempeño,</w:t>
            </w:r>
            <w:r w:rsidR="00C173B9" w:rsidRPr="00C173B9">
              <w:rPr>
                <w:rFonts w:ascii="Arial" w:hAnsi="Arial" w:cs="Arial"/>
                <w:color w:val="000000"/>
                <w:sz w:val="18"/>
                <w:szCs w:val="18"/>
                <w:lang w:eastAsia="es-EC"/>
              </w:rPr>
              <w:t xml:space="preserve"> y</w:t>
            </w:r>
            <w:r w:rsidRPr="00C173B9">
              <w:rPr>
                <w:rFonts w:ascii="Arial" w:hAnsi="Arial" w:cs="Arial"/>
                <w:color w:val="000000"/>
                <w:sz w:val="18"/>
                <w:szCs w:val="18"/>
                <w:lang w:eastAsia="es-EC"/>
              </w:rPr>
              <w:t xml:space="preserve"> mejorar la eficiencia.  </w:t>
            </w:r>
          </w:p>
          <w:p w14:paraId="594E2343" w14:textId="77777777" w:rsidR="0079391E" w:rsidRPr="00C173B9" w:rsidRDefault="0079391E"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
          <w:p w14:paraId="61F05488" w14:textId="77777777" w:rsidR="0069080D" w:rsidRPr="00C173B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Se identifica que el sector industrial sobresale en términos d</w:t>
            </w:r>
            <w:r w:rsidR="00C173B9" w:rsidRPr="00C173B9">
              <w:rPr>
                <w:rFonts w:ascii="Arial" w:hAnsi="Arial" w:cs="Arial"/>
                <w:color w:val="000000"/>
                <w:sz w:val="18"/>
                <w:szCs w:val="18"/>
                <w:lang w:eastAsia="es-EC"/>
              </w:rPr>
              <w:t>e EBITDA sobre el activo total.</w:t>
            </w:r>
          </w:p>
          <w:p w14:paraId="082016F7" w14:textId="69DD180B" w:rsidR="00C173B9" w:rsidRPr="00C173B9" w:rsidRDefault="00C173B9"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
        </w:tc>
      </w:tr>
      <w:tr w:rsidR="0069080D" w:rsidRPr="00294D7C" w14:paraId="1730705F" w14:textId="77777777" w:rsidTr="00C173B9">
        <w:trPr>
          <w:trHeight w:val="669"/>
        </w:trPr>
        <w:tc>
          <w:tcPr>
            <w:cnfStyle w:val="001000000000" w:firstRow="0" w:lastRow="0" w:firstColumn="1" w:lastColumn="0" w:oddVBand="0" w:evenVBand="0" w:oddHBand="0" w:evenHBand="0" w:firstRowFirstColumn="0" w:firstRowLastColumn="0" w:lastRowFirstColumn="0" w:lastRowLastColumn="0"/>
            <w:tcW w:w="0" w:type="auto"/>
            <w:vAlign w:val="center"/>
          </w:tcPr>
          <w:p w14:paraId="596FBBE8" w14:textId="77777777" w:rsidR="0069080D" w:rsidRPr="00C173B9" w:rsidRDefault="0069080D" w:rsidP="004C71E2">
            <w:pPr>
              <w:jc w:val="both"/>
              <w:rPr>
                <w:rFonts w:ascii="Arial" w:hAnsi="Arial" w:cs="Arial"/>
                <w:color w:val="000000"/>
                <w:sz w:val="18"/>
                <w:szCs w:val="18"/>
                <w:lang w:eastAsia="es-EC"/>
              </w:rPr>
            </w:pPr>
            <w:r w:rsidRPr="00C173B9">
              <w:rPr>
                <w:rFonts w:ascii="Arial" w:hAnsi="Arial" w:cs="Arial"/>
                <w:color w:val="000000"/>
                <w:sz w:val="18"/>
                <w:szCs w:val="18"/>
                <w:lang w:eastAsia="es-EC"/>
              </w:rPr>
              <w:t>Análisis de factibilidad para la fusión de la empresa pública metropolitana de gestión integral de residuos sólidos, EMGIRS EP y la empresa pública metropolitana de aseo, EMASEO EP, para realizar la gestión de los residuos sólidos en la ciudad de Quito.</w:t>
            </w:r>
          </w:p>
        </w:tc>
        <w:tc>
          <w:tcPr>
            <w:tcW w:w="0" w:type="auto"/>
            <w:vAlign w:val="center"/>
          </w:tcPr>
          <w:p w14:paraId="2E8899B6"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Analizar y determinar la factibilidad de fusionar dos empresas públicas utilizando el proceso de absorción, como estrategia de </w:t>
            </w:r>
            <w:r w:rsidRPr="00C173B9">
              <w:rPr>
                <w:rFonts w:ascii="Arial" w:hAnsi="Arial" w:cs="Arial"/>
                <w:b/>
                <w:color w:val="000000"/>
                <w:sz w:val="18"/>
                <w:szCs w:val="18"/>
                <w:lang w:eastAsia="es-EC"/>
              </w:rPr>
              <w:t>optimización de recursos del Estado</w:t>
            </w:r>
            <w:r w:rsidRPr="00C173B9">
              <w:rPr>
                <w:rFonts w:ascii="Arial" w:hAnsi="Arial" w:cs="Arial"/>
                <w:color w:val="000000"/>
                <w:sz w:val="18"/>
                <w:szCs w:val="18"/>
                <w:lang w:eastAsia="es-EC"/>
              </w:rPr>
              <w:t>, estableciendo un modelo de gestión eficiente y eficaz al optimizar recursos económicos y de talento humano.</w:t>
            </w:r>
          </w:p>
        </w:tc>
        <w:tc>
          <w:tcPr>
            <w:tcW w:w="0" w:type="auto"/>
            <w:vAlign w:val="center"/>
          </w:tcPr>
          <w:p w14:paraId="497D9A35"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Ecuador</w:t>
            </w:r>
          </w:p>
          <w:p w14:paraId="7291BAD8"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2018</w:t>
            </w:r>
          </w:p>
        </w:tc>
        <w:tc>
          <w:tcPr>
            <w:tcW w:w="1540" w:type="dxa"/>
            <w:vAlign w:val="center"/>
          </w:tcPr>
          <w:p w14:paraId="5BB9D745"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Metodología propuesta: </w:t>
            </w:r>
          </w:p>
          <w:p w14:paraId="03845400"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Antes y Después. </w:t>
            </w:r>
          </w:p>
          <w:p w14:paraId="069746FD" w14:textId="5BE7CCE1"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w:t>
            </w:r>
            <w:r w:rsidR="00C173B9" w:rsidRPr="00C173B9">
              <w:rPr>
                <w:rFonts w:ascii="Arial" w:hAnsi="Arial" w:cs="Arial"/>
                <w:color w:val="000000"/>
                <w:sz w:val="18"/>
                <w:szCs w:val="18"/>
                <w:lang w:eastAsia="es-EC"/>
              </w:rPr>
              <w:t xml:space="preserve"> </w:t>
            </w:r>
            <w:r w:rsidRPr="00C173B9">
              <w:rPr>
                <w:rFonts w:ascii="Arial" w:hAnsi="Arial" w:cs="Arial"/>
                <w:color w:val="000000"/>
                <w:sz w:val="18"/>
                <w:szCs w:val="18"/>
                <w:lang w:eastAsia="es-EC"/>
              </w:rPr>
              <w:t xml:space="preserve">Solo Grupo de Tratados- </w:t>
            </w:r>
          </w:p>
        </w:tc>
        <w:tc>
          <w:tcPr>
            <w:tcW w:w="0" w:type="auto"/>
            <w:vAlign w:val="center"/>
          </w:tcPr>
          <w:p w14:paraId="748B1A38"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El criterio de selección se lo realizó de acuerdo al manejo y gestión de desechos de la ciudad de Quito (estudio de caso): Empresa Pública Metropolitana de</w:t>
            </w:r>
          </w:p>
          <w:p w14:paraId="36BB7AF5" w14:textId="79421554" w:rsidR="0069080D" w:rsidRPr="00C173B9" w:rsidRDefault="0069080D" w:rsidP="00756A7F">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Gestión Integral de Residuos Sólidos (EMGIRS EP) y Empresa Pública Metropolitana</w:t>
            </w:r>
            <w:r w:rsidR="00756A7F">
              <w:rPr>
                <w:rFonts w:ascii="Arial" w:hAnsi="Arial" w:cs="Arial"/>
                <w:color w:val="000000"/>
                <w:sz w:val="18"/>
                <w:szCs w:val="18"/>
                <w:lang w:eastAsia="es-EC"/>
              </w:rPr>
              <w:t xml:space="preserve"> </w:t>
            </w:r>
            <w:r w:rsidRPr="00C173B9">
              <w:rPr>
                <w:rFonts w:ascii="Arial" w:hAnsi="Arial" w:cs="Arial"/>
                <w:color w:val="000000"/>
                <w:sz w:val="18"/>
                <w:szCs w:val="18"/>
                <w:lang w:eastAsia="es-EC"/>
              </w:rPr>
              <w:t>de Aseo (EMASEO EP)</w:t>
            </w:r>
            <w:r w:rsidR="00C173B9" w:rsidRPr="00C173B9">
              <w:rPr>
                <w:rFonts w:ascii="Arial" w:hAnsi="Arial" w:cs="Arial"/>
                <w:color w:val="000000"/>
                <w:sz w:val="18"/>
                <w:szCs w:val="18"/>
                <w:lang w:eastAsia="es-EC"/>
              </w:rPr>
              <w:t>.</w:t>
            </w:r>
          </w:p>
        </w:tc>
        <w:tc>
          <w:tcPr>
            <w:tcW w:w="0" w:type="auto"/>
            <w:vAlign w:val="center"/>
          </w:tcPr>
          <w:p w14:paraId="5168D4AE"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Optimización de recursos del Estado mediante:</w:t>
            </w:r>
          </w:p>
          <w:p w14:paraId="3DB40295"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p>
          <w:p w14:paraId="3DD3F322" w14:textId="77777777" w:rsidR="0069080D" w:rsidRPr="00C173B9" w:rsidRDefault="0069080D" w:rsidP="00266E44">
            <w:pPr>
              <w:pStyle w:val="ListParagraph"/>
              <w:numPr>
                <w:ilvl w:val="0"/>
                <w:numId w:val="24"/>
              </w:numPr>
              <w:ind w:left="130" w:hanging="145"/>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C" w:eastAsia="es-EC"/>
              </w:rPr>
            </w:pPr>
            <w:r w:rsidRPr="00C173B9">
              <w:rPr>
                <w:rFonts w:ascii="Arial" w:hAnsi="Arial" w:cs="Arial"/>
                <w:color w:val="000000"/>
                <w:sz w:val="18"/>
                <w:szCs w:val="18"/>
                <w:lang w:val="es-EC" w:eastAsia="es-EC"/>
              </w:rPr>
              <w:t>Número de partidas de Talento Humano</w:t>
            </w:r>
          </w:p>
          <w:p w14:paraId="07233380" w14:textId="77777777"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p>
          <w:p w14:paraId="6C7B684D" w14:textId="77777777" w:rsidR="0069080D" w:rsidRPr="00C173B9" w:rsidRDefault="0069080D" w:rsidP="00266E44">
            <w:pPr>
              <w:pStyle w:val="ListParagraph"/>
              <w:numPr>
                <w:ilvl w:val="0"/>
                <w:numId w:val="24"/>
              </w:numPr>
              <w:ind w:left="130" w:hanging="145"/>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C" w:eastAsia="es-EC"/>
              </w:rPr>
            </w:pPr>
            <w:r w:rsidRPr="00C173B9">
              <w:rPr>
                <w:rFonts w:ascii="Arial" w:hAnsi="Arial" w:cs="Arial"/>
                <w:color w:val="000000"/>
                <w:sz w:val="18"/>
                <w:szCs w:val="18"/>
                <w:lang w:val="es-EC" w:eastAsia="es-EC"/>
              </w:rPr>
              <w:t>Ahorro generado por menos partidas</w:t>
            </w:r>
          </w:p>
        </w:tc>
        <w:tc>
          <w:tcPr>
            <w:tcW w:w="2442" w:type="dxa"/>
            <w:vAlign w:val="center"/>
          </w:tcPr>
          <w:p w14:paraId="7BFDBF93" w14:textId="085355BC" w:rsidR="0079391E"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 xml:space="preserve">Es factible realizar la fusión. </w:t>
            </w:r>
          </w:p>
          <w:p w14:paraId="7346D238" w14:textId="02D68E6B" w:rsidR="0069080D" w:rsidRPr="00C173B9"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La empresa destinada a absorber las funciones y competencias inherentes a la gestión integral de residuos sólidos en el DMQ es EMGIRS EP por representar mayor flexibilidad en su estructura orgánica, presentar menos problemas y/o inconsistencias en el esquema salarial, permitiendo la opt</w:t>
            </w:r>
            <w:r w:rsidR="00C173B9">
              <w:rPr>
                <w:rFonts w:ascii="Arial" w:hAnsi="Arial" w:cs="Arial"/>
                <w:color w:val="000000"/>
                <w:sz w:val="18"/>
                <w:szCs w:val="18"/>
                <w:lang w:eastAsia="es-EC"/>
              </w:rPr>
              <w:t>imización de recursos públicos.</w:t>
            </w:r>
          </w:p>
          <w:p w14:paraId="7EFBA686" w14:textId="5A5BA199" w:rsidR="0069080D" w:rsidRPr="00C173B9" w:rsidRDefault="0069080D" w:rsidP="00C173B9">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C173B9">
              <w:rPr>
                <w:rFonts w:ascii="Arial" w:hAnsi="Arial" w:cs="Arial"/>
                <w:color w:val="000000"/>
                <w:sz w:val="18"/>
                <w:szCs w:val="18"/>
                <w:lang w:eastAsia="es-EC"/>
              </w:rPr>
              <w:t>Se reducirá la estructura de la empresa, en al menos 67 partidas de talento humano, lo que significa un ahorro aproximado de</w:t>
            </w:r>
            <w:r w:rsidR="00C173B9" w:rsidRPr="00C173B9">
              <w:rPr>
                <w:rFonts w:ascii="Arial" w:hAnsi="Arial" w:cs="Arial"/>
                <w:color w:val="000000"/>
                <w:sz w:val="18"/>
                <w:szCs w:val="18"/>
                <w:lang w:eastAsia="es-EC"/>
              </w:rPr>
              <w:t xml:space="preserve"> USD</w:t>
            </w:r>
            <w:r w:rsidRPr="00C173B9">
              <w:rPr>
                <w:rFonts w:ascii="Arial" w:hAnsi="Arial" w:cs="Arial"/>
                <w:color w:val="000000"/>
                <w:sz w:val="18"/>
                <w:szCs w:val="18"/>
                <w:lang w:eastAsia="es-EC"/>
              </w:rPr>
              <w:t xml:space="preserve"> 1.3 millones al año.</w:t>
            </w:r>
          </w:p>
        </w:tc>
      </w:tr>
      <w:tr w:rsidR="0069080D" w:rsidRPr="00294D7C" w14:paraId="6280DAD3" w14:textId="77777777" w:rsidTr="00C173B9">
        <w:trPr>
          <w:cnfStyle w:val="000000100000" w:firstRow="0" w:lastRow="0" w:firstColumn="0" w:lastColumn="0" w:oddVBand="0" w:evenVBand="0" w:oddHBand="1" w:evenHBand="0" w:firstRowFirstColumn="0" w:firstRowLastColumn="0" w:lastRowFirstColumn="0" w:lastRowLastColumn="0"/>
          <w:trHeight w:val="1199"/>
        </w:trPr>
        <w:tc>
          <w:tcPr>
            <w:cnfStyle w:val="001000000000" w:firstRow="0" w:lastRow="0" w:firstColumn="1" w:lastColumn="0" w:oddVBand="0" w:evenVBand="0" w:oddHBand="0" w:evenHBand="0" w:firstRowFirstColumn="0" w:firstRowLastColumn="0" w:lastRowFirstColumn="0" w:lastRowLastColumn="0"/>
            <w:tcW w:w="0" w:type="auto"/>
            <w:vAlign w:val="center"/>
          </w:tcPr>
          <w:p w14:paraId="149D728C" w14:textId="77777777" w:rsidR="0069080D" w:rsidRPr="00AA0F55" w:rsidRDefault="0069080D" w:rsidP="004C71E2">
            <w:pPr>
              <w:jc w:val="center"/>
              <w:rPr>
                <w:rFonts w:ascii="Arial" w:hAnsi="Arial" w:cs="Arial"/>
                <w:color w:val="000000"/>
                <w:sz w:val="18"/>
                <w:szCs w:val="18"/>
                <w:lang w:val="en-GB" w:eastAsia="es-EC"/>
              </w:rPr>
            </w:pPr>
            <w:r w:rsidRPr="00AA0F55">
              <w:rPr>
                <w:rFonts w:ascii="Arial" w:hAnsi="Arial" w:cs="Arial"/>
                <w:color w:val="000000"/>
                <w:sz w:val="18"/>
                <w:szCs w:val="18"/>
                <w:lang w:val="en-GB" w:eastAsia="es-EC"/>
              </w:rPr>
              <w:t xml:space="preserve">The impact of the corporatization process on the financial performance </w:t>
            </w:r>
            <w:r w:rsidRPr="00AA0F55">
              <w:rPr>
                <w:rFonts w:ascii="Arial" w:hAnsi="Arial" w:cs="Arial"/>
                <w:color w:val="000000"/>
                <w:sz w:val="18"/>
                <w:szCs w:val="18"/>
                <w:lang w:val="en-GB" w:eastAsia="es-EC"/>
              </w:rPr>
              <w:lastRenderedPageBreak/>
              <w:t>of Canadian state-owned enterprises.</w:t>
            </w:r>
          </w:p>
        </w:tc>
        <w:tc>
          <w:tcPr>
            <w:tcW w:w="0" w:type="auto"/>
            <w:vAlign w:val="center"/>
          </w:tcPr>
          <w:p w14:paraId="77402E10" w14:textId="77777777" w:rsidR="0069080D" w:rsidRPr="00AA0F55" w:rsidRDefault="0069080D" w:rsidP="004C71E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n-GB" w:eastAsia="es-EC"/>
              </w:rPr>
            </w:pPr>
          </w:p>
          <w:p w14:paraId="74340768" w14:textId="6F2A7879" w:rsidR="0069080D" w:rsidRPr="00AA0F55" w:rsidRDefault="0069080D" w:rsidP="004C71E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Examinar el impacto del proceso de </w:t>
            </w:r>
            <w:proofErr w:type="spellStart"/>
            <w:r w:rsidRPr="00AA0F55">
              <w:rPr>
                <w:rFonts w:ascii="Arial" w:hAnsi="Arial" w:cs="Arial"/>
                <w:color w:val="000000"/>
                <w:sz w:val="18"/>
                <w:szCs w:val="18"/>
                <w:lang w:eastAsia="es-EC"/>
              </w:rPr>
              <w:t>corporatización</w:t>
            </w:r>
            <w:proofErr w:type="spellEnd"/>
            <w:r w:rsidRPr="00AA0F55">
              <w:rPr>
                <w:rFonts w:ascii="Arial" w:hAnsi="Arial" w:cs="Arial"/>
                <w:color w:val="000000"/>
                <w:sz w:val="18"/>
                <w:szCs w:val="18"/>
                <w:lang w:eastAsia="es-EC"/>
              </w:rPr>
              <w:t xml:space="preserve"> en el desempeño financiero de las empresas estatales</w:t>
            </w:r>
            <w:r w:rsidR="00AA0F55" w:rsidRPr="00AA0F55">
              <w:rPr>
                <w:rFonts w:ascii="Arial" w:hAnsi="Arial" w:cs="Arial"/>
                <w:color w:val="000000"/>
                <w:sz w:val="18"/>
                <w:szCs w:val="18"/>
                <w:lang w:eastAsia="es-EC"/>
              </w:rPr>
              <w:t>.</w:t>
            </w:r>
          </w:p>
        </w:tc>
        <w:tc>
          <w:tcPr>
            <w:tcW w:w="0" w:type="auto"/>
            <w:vAlign w:val="center"/>
          </w:tcPr>
          <w:p w14:paraId="0B0D1AB1" w14:textId="77777777" w:rsidR="0069080D" w:rsidRPr="00AA0F55" w:rsidRDefault="0069080D" w:rsidP="004C71E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Canadá</w:t>
            </w:r>
          </w:p>
          <w:p w14:paraId="10C5C029" w14:textId="77777777" w:rsidR="0069080D" w:rsidRPr="00AA0F55" w:rsidRDefault="0069080D" w:rsidP="004C71E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2003</w:t>
            </w:r>
          </w:p>
        </w:tc>
        <w:tc>
          <w:tcPr>
            <w:tcW w:w="1540" w:type="dxa"/>
            <w:vAlign w:val="center"/>
          </w:tcPr>
          <w:p w14:paraId="0D699FCB" w14:textId="056F9C3D" w:rsidR="0069080D" w:rsidRPr="00AA0F55" w:rsidRDefault="0069080D" w:rsidP="004C71E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Metodología: Evaluación de impacto antes y Después–Grupo </w:t>
            </w:r>
            <w:r w:rsidRPr="00AA0F55">
              <w:rPr>
                <w:rFonts w:ascii="Arial" w:hAnsi="Arial" w:cs="Arial"/>
                <w:color w:val="000000"/>
                <w:sz w:val="18"/>
                <w:szCs w:val="18"/>
                <w:lang w:eastAsia="es-EC"/>
              </w:rPr>
              <w:lastRenderedPageBreak/>
              <w:t>de Tratados y Controles -</w:t>
            </w:r>
          </w:p>
        </w:tc>
        <w:tc>
          <w:tcPr>
            <w:tcW w:w="0" w:type="auto"/>
            <w:vAlign w:val="center"/>
          </w:tcPr>
          <w:p w14:paraId="025745A5" w14:textId="77393DEF" w:rsidR="0069080D" w:rsidRPr="00AA0F55" w:rsidRDefault="0069080D" w:rsidP="00756A7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lastRenderedPageBreak/>
              <w:t>Se consideraron las 500 empresas estatales más grandes de Canadá</w:t>
            </w:r>
            <w:r w:rsidR="00AA0F55" w:rsidRPr="00AA0F55">
              <w:rPr>
                <w:rFonts w:ascii="Arial" w:hAnsi="Arial" w:cs="Arial"/>
                <w:color w:val="000000"/>
                <w:sz w:val="18"/>
                <w:szCs w:val="18"/>
                <w:lang w:eastAsia="es-EC"/>
              </w:rPr>
              <w:t>, y l</w:t>
            </w:r>
            <w:r w:rsidRPr="00AA0F55">
              <w:rPr>
                <w:rFonts w:ascii="Arial" w:hAnsi="Arial" w:cs="Arial"/>
                <w:color w:val="000000"/>
                <w:sz w:val="18"/>
                <w:szCs w:val="18"/>
                <w:lang w:eastAsia="es-EC"/>
              </w:rPr>
              <w:t xml:space="preserve">as empresas públicas que debían tener reportes </w:t>
            </w:r>
            <w:r w:rsidRPr="00AA0F55">
              <w:rPr>
                <w:rFonts w:ascii="Arial" w:hAnsi="Arial" w:cs="Arial"/>
                <w:color w:val="000000"/>
                <w:sz w:val="18"/>
                <w:szCs w:val="18"/>
                <w:lang w:eastAsia="es-EC"/>
              </w:rPr>
              <w:lastRenderedPageBreak/>
              <w:t>anuales de 10 años consecutivos dentro del periodo de investigación</w:t>
            </w:r>
            <w:r w:rsidR="00AA0F55" w:rsidRPr="00AA0F55">
              <w:rPr>
                <w:rFonts w:ascii="Arial" w:hAnsi="Arial" w:cs="Arial"/>
                <w:color w:val="000000"/>
                <w:sz w:val="18"/>
                <w:szCs w:val="18"/>
                <w:lang w:eastAsia="es-EC"/>
              </w:rPr>
              <w:t>.</w:t>
            </w:r>
          </w:p>
        </w:tc>
        <w:tc>
          <w:tcPr>
            <w:tcW w:w="0" w:type="auto"/>
            <w:vAlign w:val="center"/>
          </w:tcPr>
          <w:p w14:paraId="69177187" w14:textId="77777777" w:rsidR="0069080D" w:rsidRPr="00AA0F55" w:rsidRDefault="0069080D" w:rsidP="00266E44">
            <w:pPr>
              <w:pStyle w:val="ListParagraph"/>
              <w:numPr>
                <w:ilvl w:val="0"/>
                <w:numId w:val="26"/>
              </w:numPr>
              <w:ind w:left="150" w:hanging="145"/>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lastRenderedPageBreak/>
              <w:t>Productividad</w:t>
            </w:r>
            <w:proofErr w:type="spellEnd"/>
          </w:p>
          <w:p w14:paraId="436B36CA" w14:textId="77777777" w:rsidR="0069080D" w:rsidRPr="00AA0F55" w:rsidRDefault="0069080D" w:rsidP="00266E44">
            <w:pPr>
              <w:pStyle w:val="ListParagraph"/>
              <w:numPr>
                <w:ilvl w:val="0"/>
                <w:numId w:val="26"/>
              </w:numPr>
              <w:ind w:left="0" w:hanging="145"/>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t>Desempeño</w:t>
            </w:r>
            <w:proofErr w:type="spellEnd"/>
            <w:r w:rsidRPr="00AA0F55">
              <w:rPr>
                <w:rFonts w:ascii="Arial" w:hAnsi="Arial" w:cs="Arial"/>
                <w:color w:val="000000"/>
                <w:sz w:val="18"/>
                <w:szCs w:val="20"/>
                <w:lang w:eastAsia="es-EC"/>
              </w:rPr>
              <w:t xml:space="preserve"> </w:t>
            </w:r>
            <w:proofErr w:type="spellStart"/>
            <w:r w:rsidRPr="00AA0F55">
              <w:rPr>
                <w:rFonts w:ascii="Arial" w:hAnsi="Arial" w:cs="Arial"/>
                <w:color w:val="000000"/>
                <w:sz w:val="18"/>
                <w:szCs w:val="20"/>
                <w:lang w:eastAsia="es-EC"/>
              </w:rPr>
              <w:t>financiero</w:t>
            </w:r>
            <w:proofErr w:type="spellEnd"/>
          </w:p>
          <w:p w14:paraId="0321BFB3" w14:textId="77777777" w:rsidR="0069080D" w:rsidRPr="00AA0F55" w:rsidRDefault="0069080D" w:rsidP="00266E44">
            <w:pPr>
              <w:pStyle w:val="ListParagraph"/>
              <w:numPr>
                <w:ilvl w:val="0"/>
                <w:numId w:val="26"/>
              </w:numPr>
              <w:ind w:left="126" w:hanging="145"/>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t>Rentabilidad</w:t>
            </w:r>
            <w:proofErr w:type="spellEnd"/>
          </w:p>
          <w:p w14:paraId="40C3E11D" w14:textId="77777777" w:rsidR="0069080D" w:rsidRPr="00AA0F55" w:rsidRDefault="0069080D" w:rsidP="00266E44">
            <w:pPr>
              <w:pStyle w:val="ListParagraph"/>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lang w:eastAsia="es-EC"/>
              </w:rPr>
            </w:pPr>
            <w:proofErr w:type="spellStart"/>
            <w:r w:rsidRPr="00AA0F55">
              <w:rPr>
                <w:rFonts w:ascii="Arial" w:hAnsi="Arial" w:cs="Arial"/>
                <w:color w:val="auto"/>
                <w:sz w:val="18"/>
                <w:szCs w:val="20"/>
              </w:rPr>
              <w:lastRenderedPageBreak/>
              <w:t>Índice</w:t>
            </w:r>
            <w:proofErr w:type="spellEnd"/>
            <w:r w:rsidRPr="00AA0F55">
              <w:rPr>
                <w:rFonts w:ascii="Arial" w:hAnsi="Arial" w:cs="Arial"/>
                <w:color w:val="auto"/>
                <w:sz w:val="18"/>
                <w:szCs w:val="20"/>
              </w:rPr>
              <w:t xml:space="preserve"> de </w:t>
            </w:r>
            <w:proofErr w:type="spellStart"/>
            <w:r w:rsidRPr="00AA0F55">
              <w:rPr>
                <w:rFonts w:ascii="Arial" w:hAnsi="Arial" w:cs="Arial"/>
                <w:color w:val="auto"/>
                <w:sz w:val="18"/>
                <w:szCs w:val="20"/>
              </w:rPr>
              <w:t>retorno</w:t>
            </w:r>
            <w:proofErr w:type="spellEnd"/>
            <w:r w:rsidRPr="00AA0F55">
              <w:rPr>
                <w:rFonts w:ascii="Arial" w:hAnsi="Arial" w:cs="Arial"/>
                <w:color w:val="auto"/>
                <w:sz w:val="18"/>
                <w:szCs w:val="20"/>
              </w:rPr>
              <w:t xml:space="preserve"> de </w:t>
            </w:r>
            <w:proofErr w:type="spellStart"/>
            <w:r w:rsidRPr="00AA0F55">
              <w:rPr>
                <w:rFonts w:ascii="Arial" w:hAnsi="Arial" w:cs="Arial"/>
                <w:color w:val="auto"/>
                <w:sz w:val="18"/>
                <w:szCs w:val="20"/>
              </w:rPr>
              <w:t>ventas</w:t>
            </w:r>
            <w:proofErr w:type="spellEnd"/>
          </w:p>
          <w:p w14:paraId="359FDA06" w14:textId="77777777" w:rsidR="0069080D" w:rsidRPr="00AA0F55" w:rsidRDefault="0069080D" w:rsidP="00266E44">
            <w:pPr>
              <w:pStyle w:val="ListParagraph"/>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auto"/>
                <w:sz w:val="18"/>
                <w:szCs w:val="20"/>
              </w:rPr>
              <w:t>Índice</w:t>
            </w:r>
            <w:proofErr w:type="spellEnd"/>
            <w:r w:rsidRPr="00AA0F55">
              <w:rPr>
                <w:rFonts w:ascii="Arial" w:hAnsi="Arial" w:cs="Arial"/>
                <w:color w:val="auto"/>
                <w:sz w:val="18"/>
                <w:szCs w:val="20"/>
              </w:rPr>
              <w:t xml:space="preserve"> de </w:t>
            </w:r>
            <w:proofErr w:type="spellStart"/>
            <w:r w:rsidRPr="00AA0F55">
              <w:rPr>
                <w:rFonts w:ascii="Arial" w:hAnsi="Arial" w:cs="Arial"/>
                <w:color w:val="auto"/>
                <w:sz w:val="18"/>
                <w:szCs w:val="20"/>
              </w:rPr>
              <w:t>retorno</w:t>
            </w:r>
            <w:proofErr w:type="spellEnd"/>
            <w:r w:rsidRPr="00AA0F55">
              <w:rPr>
                <w:rFonts w:ascii="Arial" w:hAnsi="Arial" w:cs="Arial"/>
                <w:color w:val="auto"/>
                <w:sz w:val="18"/>
                <w:szCs w:val="20"/>
              </w:rPr>
              <w:t xml:space="preserve"> de </w:t>
            </w:r>
            <w:proofErr w:type="spellStart"/>
            <w:r w:rsidRPr="00AA0F55">
              <w:rPr>
                <w:rFonts w:ascii="Arial" w:hAnsi="Arial" w:cs="Arial"/>
                <w:color w:val="auto"/>
                <w:sz w:val="18"/>
                <w:szCs w:val="20"/>
              </w:rPr>
              <w:t>activos</w:t>
            </w:r>
            <w:proofErr w:type="spellEnd"/>
          </w:p>
          <w:p w14:paraId="507BE368" w14:textId="77777777" w:rsidR="0069080D" w:rsidRPr="00AA0F55" w:rsidRDefault="0069080D" w:rsidP="004C71E2">
            <w:pPr>
              <w:pStyle w:val="ListParagraph"/>
              <w:ind w:left="13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
          <w:p w14:paraId="3BCFF4B5" w14:textId="77777777" w:rsidR="0069080D" w:rsidRPr="00AA0F55" w:rsidRDefault="0069080D" w:rsidP="004C71E2">
            <w:pPr>
              <w:ind w:left="-35"/>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
        </w:tc>
        <w:tc>
          <w:tcPr>
            <w:tcW w:w="2442" w:type="dxa"/>
            <w:vAlign w:val="center"/>
          </w:tcPr>
          <w:p w14:paraId="33EB9B1F" w14:textId="77777777" w:rsidR="0069080D" w:rsidRPr="00AA0F55"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lastRenderedPageBreak/>
              <w:t xml:space="preserve">El desempeño financiero de las empresas estatales mejora cuando las empresas son corporativizadas. Dicha mejora se debe a los </w:t>
            </w:r>
            <w:r w:rsidRPr="00AA0F55">
              <w:rPr>
                <w:rFonts w:ascii="Arial" w:hAnsi="Arial" w:cs="Arial"/>
                <w:color w:val="000000"/>
                <w:sz w:val="18"/>
                <w:szCs w:val="18"/>
                <w:lang w:eastAsia="es-EC"/>
              </w:rPr>
              <w:lastRenderedPageBreak/>
              <w:t>cambios organizativos o la reingeniería de la empresa para prepararse para la privatización.</w:t>
            </w:r>
          </w:p>
          <w:p w14:paraId="70AAC628" w14:textId="25ABB960" w:rsidR="0069080D" w:rsidRPr="00AA0F55"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El estudio sugiere que la mejora del rendimiento en las empresas estatales no se limita solo a aquellas empresas que están siendo privatizadas, sino que se aplica a todas las empresas que están </w:t>
            </w:r>
            <w:proofErr w:type="spellStart"/>
            <w:r w:rsidRPr="00AA0F55">
              <w:rPr>
                <w:rFonts w:ascii="Arial" w:hAnsi="Arial" w:cs="Arial"/>
                <w:color w:val="000000"/>
                <w:sz w:val="18"/>
                <w:szCs w:val="18"/>
                <w:lang w:eastAsia="es-EC"/>
              </w:rPr>
              <w:t>corporatizadas</w:t>
            </w:r>
            <w:proofErr w:type="spellEnd"/>
            <w:r w:rsidRPr="00AA0F55">
              <w:rPr>
                <w:rFonts w:ascii="Arial" w:hAnsi="Arial" w:cs="Arial"/>
                <w:color w:val="000000"/>
                <w:sz w:val="18"/>
                <w:szCs w:val="18"/>
                <w:lang w:eastAsia="es-EC"/>
              </w:rPr>
              <w:t>.</w:t>
            </w:r>
          </w:p>
        </w:tc>
      </w:tr>
      <w:tr w:rsidR="0069080D" w:rsidRPr="00294D7C" w14:paraId="250B3B8C" w14:textId="77777777" w:rsidTr="00AA0F55">
        <w:trPr>
          <w:trHeight w:val="527"/>
        </w:trPr>
        <w:tc>
          <w:tcPr>
            <w:cnfStyle w:val="001000000000" w:firstRow="0" w:lastRow="0" w:firstColumn="1" w:lastColumn="0" w:oddVBand="0" w:evenVBand="0" w:oddHBand="0" w:evenHBand="0" w:firstRowFirstColumn="0" w:firstRowLastColumn="0" w:lastRowFirstColumn="0" w:lastRowLastColumn="0"/>
            <w:tcW w:w="0" w:type="auto"/>
            <w:vAlign w:val="center"/>
          </w:tcPr>
          <w:p w14:paraId="0457B8E2" w14:textId="77777777" w:rsidR="0069080D" w:rsidRPr="00AA0F55" w:rsidRDefault="0069080D" w:rsidP="004C71E2">
            <w:pPr>
              <w:jc w:val="both"/>
              <w:rPr>
                <w:rFonts w:ascii="Arial" w:hAnsi="Arial" w:cs="Arial"/>
                <w:color w:val="000000"/>
                <w:sz w:val="18"/>
                <w:szCs w:val="18"/>
                <w:lang w:val="en-GB" w:eastAsia="es-EC"/>
              </w:rPr>
            </w:pPr>
            <w:r w:rsidRPr="00AA0F55">
              <w:rPr>
                <w:rFonts w:ascii="Arial" w:hAnsi="Arial" w:cs="Arial"/>
                <w:color w:val="000000"/>
                <w:sz w:val="18"/>
                <w:szCs w:val="18"/>
                <w:lang w:val="en-GB" w:eastAsia="es-EC"/>
              </w:rPr>
              <w:lastRenderedPageBreak/>
              <w:t>The Financial and Operating Performance of Newly Privatized Firms</w:t>
            </w:r>
          </w:p>
        </w:tc>
        <w:tc>
          <w:tcPr>
            <w:tcW w:w="0" w:type="auto"/>
            <w:vAlign w:val="center"/>
          </w:tcPr>
          <w:p w14:paraId="345C5C9E"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Examinar el cambio en el desempeño financiero y operativo de 79 empresas de 21 países en desarrollo que experimentaron una privatización total o parcial durante el período de 1980 a 1992. </w:t>
            </w:r>
          </w:p>
        </w:tc>
        <w:tc>
          <w:tcPr>
            <w:tcW w:w="0" w:type="auto"/>
            <w:vAlign w:val="center"/>
          </w:tcPr>
          <w:p w14:paraId="5659DACF"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Canadá</w:t>
            </w:r>
          </w:p>
          <w:p w14:paraId="502C26FE"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1998</w:t>
            </w:r>
          </w:p>
        </w:tc>
        <w:tc>
          <w:tcPr>
            <w:tcW w:w="1540" w:type="dxa"/>
            <w:vAlign w:val="center"/>
          </w:tcPr>
          <w:p w14:paraId="48E0B869"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Metodología propuesta: </w:t>
            </w:r>
          </w:p>
          <w:p w14:paraId="700F81B0"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Antes y Después. </w:t>
            </w:r>
          </w:p>
          <w:p w14:paraId="1DEF2C35"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–Solo Grupo de Tratados-</w:t>
            </w:r>
          </w:p>
        </w:tc>
        <w:tc>
          <w:tcPr>
            <w:tcW w:w="0" w:type="auto"/>
            <w:vAlign w:val="center"/>
          </w:tcPr>
          <w:p w14:paraId="7B7FBD0D"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 xml:space="preserve">Compañías de los países en desarrollo que experimenten privatización completa o parcial durante el periodo 1980-1992. </w:t>
            </w:r>
          </w:p>
          <w:p w14:paraId="6E8486B8"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Las Compañías debían tener al menos observaciones de 10 años</w:t>
            </w:r>
          </w:p>
          <w:p w14:paraId="6D31295E"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p>
        </w:tc>
        <w:tc>
          <w:tcPr>
            <w:tcW w:w="0" w:type="auto"/>
            <w:vAlign w:val="center"/>
          </w:tcPr>
          <w:p w14:paraId="120CE3FA" w14:textId="25C98D74" w:rsidR="0069080D" w:rsidRPr="00AA0F55" w:rsidRDefault="0069080D" w:rsidP="004C71E2">
            <w:pPr>
              <w:pStyle w:val="ListParagraph"/>
              <w:ind w:left="150"/>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t>Rentabilidad</w:t>
            </w:r>
            <w:proofErr w:type="spellEnd"/>
            <w:r w:rsidRPr="00AA0F55">
              <w:rPr>
                <w:rFonts w:ascii="Arial" w:hAnsi="Arial" w:cs="Arial"/>
                <w:color w:val="000000"/>
                <w:sz w:val="18"/>
                <w:szCs w:val="20"/>
                <w:lang w:eastAsia="es-EC"/>
              </w:rPr>
              <w:t xml:space="preserve"> </w:t>
            </w:r>
            <w:proofErr w:type="spellStart"/>
            <w:r w:rsidRPr="00AA0F55">
              <w:rPr>
                <w:rFonts w:ascii="Arial" w:hAnsi="Arial" w:cs="Arial"/>
                <w:color w:val="000000"/>
                <w:sz w:val="18"/>
                <w:szCs w:val="20"/>
                <w:lang w:eastAsia="es-EC"/>
              </w:rPr>
              <w:t>Eficiencia</w:t>
            </w:r>
            <w:proofErr w:type="spellEnd"/>
            <w:r w:rsidRPr="00AA0F55">
              <w:rPr>
                <w:rFonts w:ascii="Arial" w:hAnsi="Arial" w:cs="Arial"/>
                <w:color w:val="000000"/>
                <w:sz w:val="18"/>
                <w:szCs w:val="20"/>
                <w:lang w:eastAsia="es-EC"/>
              </w:rPr>
              <w:t xml:space="preserve"> </w:t>
            </w:r>
            <w:proofErr w:type="spellStart"/>
            <w:r w:rsidRPr="00AA0F55">
              <w:rPr>
                <w:rFonts w:ascii="Arial" w:hAnsi="Arial" w:cs="Arial"/>
                <w:color w:val="000000"/>
                <w:sz w:val="18"/>
                <w:szCs w:val="20"/>
                <w:lang w:eastAsia="es-EC"/>
              </w:rPr>
              <w:t>operativa</w:t>
            </w:r>
            <w:proofErr w:type="spellEnd"/>
          </w:p>
          <w:p w14:paraId="1392A5CB" w14:textId="77777777" w:rsidR="0069080D" w:rsidRPr="00AA0F55" w:rsidRDefault="0069080D" w:rsidP="00266E44">
            <w:pPr>
              <w:pStyle w:val="ListParagraph"/>
              <w:numPr>
                <w:ilvl w:val="0"/>
                <w:numId w:val="26"/>
              </w:numPr>
              <w:ind w:left="150" w:hanging="145"/>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t>Gastos</w:t>
            </w:r>
            <w:proofErr w:type="spellEnd"/>
            <w:r w:rsidRPr="00AA0F55">
              <w:rPr>
                <w:rFonts w:ascii="Arial" w:hAnsi="Arial" w:cs="Arial"/>
                <w:color w:val="000000"/>
                <w:sz w:val="18"/>
                <w:szCs w:val="20"/>
                <w:lang w:eastAsia="es-EC"/>
              </w:rPr>
              <w:t xml:space="preserve"> de capital</w:t>
            </w:r>
          </w:p>
          <w:p w14:paraId="7BEF2A85" w14:textId="77777777" w:rsidR="0069080D" w:rsidRPr="00AA0F55" w:rsidRDefault="0069080D" w:rsidP="00266E44">
            <w:pPr>
              <w:pStyle w:val="ListParagraph"/>
              <w:numPr>
                <w:ilvl w:val="0"/>
                <w:numId w:val="26"/>
              </w:numPr>
              <w:ind w:left="150" w:hanging="145"/>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20"/>
                <w:lang w:eastAsia="es-EC"/>
              </w:rPr>
            </w:pPr>
            <w:proofErr w:type="spellStart"/>
            <w:r w:rsidRPr="00AA0F55">
              <w:rPr>
                <w:rFonts w:ascii="Arial" w:hAnsi="Arial" w:cs="Arial"/>
                <w:color w:val="000000"/>
                <w:sz w:val="18"/>
                <w:szCs w:val="20"/>
                <w:lang w:eastAsia="es-EC"/>
              </w:rPr>
              <w:t>Producción</w:t>
            </w:r>
            <w:proofErr w:type="spellEnd"/>
          </w:p>
          <w:p w14:paraId="213F1EFD" w14:textId="77777777" w:rsidR="0069080D" w:rsidRPr="00AA0F55" w:rsidRDefault="0069080D" w:rsidP="00266E44">
            <w:pPr>
              <w:pStyle w:val="ListParagraph"/>
              <w:numPr>
                <w:ilvl w:val="0"/>
                <w:numId w:val="26"/>
              </w:numPr>
              <w:ind w:left="150" w:hanging="145"/>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20"/>
                <w:lang w:eastAsia="es-EC"/>
              </w:rPr>
            </w:pPr>
            <w:r w:rsidRPr="00AA0F55">
              <w:rPr>
                <w:rFonts w:ascii="Arial" w:hAnsi="Arial" w:cs="Arial"/>
                <w:color w:val="000000"/>
                <w:sz w:val="18"/>
                <w:szCs w:val="20"/>
                <w:lang w:eastAsia="es-EC"/>
              </w:rPr>
              <w:t xml:space="preserve">Nivel de </w:t>
            </w:r>
            <w:proofErr w:type="spellStart"/>
            <w:r w:rsidRPr="00AA0F55">
              <w:rPr>
                <w:rFonts w:ascii="Arial" w:hAnsi="Arial" w:cs="Arial"/>
                <w:color w:val="000000"/>
                <w:sz w:val="18"/>
                <w:szCs w:val="20"/>
                <w:lang w:eastAsia="es-EC"/>
              </w:rPr>
              <w:t>empleo</w:t>
            </w:r>
            <w:proofErr w:type="spellEnd"/>
          </w:p>
          <w:p w14:paraId="0D948E54" w14:textId="77777777" w:rsidR="0069080D" w:rsidRPr="00AA0F55" w:rsidRDefault="0069080D" w:rsidP="00266E44">
            <w:pPr>
              <w:pStyle w:val="ListParagraph"/>
              <w:numPr>
                <w:ilvl w:val="0"/>
                <w:numId w:val="26"/>
              </w:numPr>
              <w:ind w:left="150" w:hanging="145"/>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20"/>
                <w:lang w:eastAsia="es-EC"/>
              </w:rPr>
            </w:pPr>
            <w:r w:rsidRPr="00AA0F55">
              <w:rPr>
                <w:rFonts w:ascii="Arial" w:hAnsi="Arial" w:cs="Arial"/>
                <w:color w:val="000000"/>
                <w:sz w:val="18"/>
                <w:szCs w:val="20"/>
                <w:lang w:eastAsia="es-EC"/>
              </w:rPr>
              <w:t xml:space="preserve">La </w:t>
            </w:r>
            <w:proofErr w:type="spellStart"/>
            <w:r w:rsidRPr="00AA0F55">
              <w:rPr>
                <w:rFonts w:ascii="Arial" w:hAnsi="Arial" w:cs="Arial"/>
                <w:color w:val="000000"/>
                <w:sz w:val="18"/>
                <w:szCs w:val="20"/>
                <w:lang w:eastAsia="es-EC"/>
              </w:rPr>
              <w:t>estructura</w:t>
            </w:r>
            <w:proofErr w:type="spellEnd"/>
            <w:r w:rsidRPr="00AA0F55">
              <w:rPr>
                <w:rFonts w:ascii="Arial" w:hAnsi="Arial" w:cs="Arial"/>
                <w:color w:val="000000"/>
                <w:sz w:val="18"/>
                <w:szCs w:val="20"/>
                <w:lang w:eastAsia="es-EC"/>
              </w:rPr>
              <w:t xml:space="preserve"> de capital</w:t>
            </w:r>
          </w:p>
          <w:p w14:paraId="1724EBC2" w14:textId="77777777" w:rsidR="0069080D" w:rsidRPr="00AA0F55" w:rsidRDefault="0069080D" w:rsidP="00266E44">
            <w:pPr>
              <w:pStyle w:val="ListParagraph"/>
              <w:numPr>
                <w:ilvl w:val="0"/>
                <w:numId w:val="26"/>
              </w:numPr>
              <w:ind w:left="150" w:hanging="145"/>
              <w:cnfStyle w:val="000000000000" w:firstRow="0" w:lastRow="0" w:firstColumn="0" w:lastColumn="0" w:oddVBand="0" w:evenVBand="0" w:oddHBand="0" w:evenHBand="0" w:firstRowFirstColumn="0" w:firstRowLastColumn="0" w:lastRowFirstColumn="0" w:lastRowLastColumn="0"/>
              <w:rPr>
                <w:rFonts w:ascii="Arial" w:hAnsi="Arial" w:cs="Arial"/>
                <w:sz w:val="22"/>
              </w:rPr>
            </w:pPr>
            <w:proofErr w:type="spellStart"/>
            <w:r w:rsidRPr="00AA0F55">
              <w:rPr>
                <w:rFonts w:ascii="Arial" w:hAnsi="Arial" w:cs="Arial"/>
                <w:color w:val="000000"/>
                <w:sz w:val="18"/>
                <w:szCs w:val="20"/>
                <w:lang w:eastAsia="es-EC"/>
              </w:rPr>
              <w:t>Políticas</w:t>
            </w:r>
            <w:proofErr w:type="spellEnd"/>
            <w:r w:rsidRPr="00AA0F55">
              <w:rPr>
                <w:rFonts w:ascii="Arial" w:hAnsi="Arial" w:cs="Arial"/>
                <w:color w:val="000000"/>
                <w:sz w:val="18"/>
                <w:szCs w:val="20"/>
                <w:lang w:eastAsia="es-EC"/>
              </w:rPr>
              <w:t xml:space="preserve"> de </w:t>
            </w:r>
            <w:proofErr w:type="spellStart"/>
            <w:r w:rsidRPr="00AA0F55">
              <w:rPr>
                <w:rFonts w:ascii="Arial" w:hAnsi="Arial" w:cs="Arial"/>
                <w:color w:val="000000"/>
                <w:sz w:val="18"/>
                <w:szCs w:val="20"/>
                <w:lang w:eastAsia="es-EC"/>
              </w:rPr>
              <w:t>dividendos</w:t>
            </w:r>
            <w:proofErr w:type="spellEnd"/>
            <w:r w:rsidRPr="00AA0F55">
              <w:rPr>
                <w:rFonts w:ascii="Arial" w:hAnsi="Arial" w:cs="Arial"/>
              </w:rPr>
              <w:t>.</w:t>
            </w:r>
          </w:p>
        </w:tc>
        <w:tc>
          <w:tcPr>
            <w:tcW w:w="2442" w:type="dxa"/>
            <w:vAlign w:val="center"/>
          </w:tcPr>
          <w:p w14:paraId="7E7530A3" w14:textId="77777777"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Se identifica mejoras en el desempeño para las compañías, para firmas de países de ingresos medios-altos, privatizaciones totales y parciales, privatizaciones de control, y para las privatizaciones de ingresos. Además, en lo que respecta a los países en desarrollo, la privatización produce mayores beneficios para las empresas con sede en países con altos ingresos per cápita.</w:t>
            </w:r>
          </w:p>
          <w:p w14:paraId="70D7E223" w14:textId="614D0BED" w:rsidR="0069080D" w:rsidRPr="00AA0F55" w:rsidRDefault="0069080D" w:rsidP="004C71E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EC"/>
              </w:rPr>
            </w:pPr>
            <w:r w:rsidRPr="00AA0F55">
              <w:rPr>
                <w:rFonts w:ascii="Arial" w:hAnsi="Arial" w:cs="Arial"/>
                <w:color w:val="000000"/>
                <w:sz w:val="18"/>
                <w:szCs w:val="18"/>
                <w:lang w:eastAsia="es-EC"/>
              </w:rPr>
              <w:t>Se evidencia un aumento de la producción y el empleo. Como resultado, la eficiencia mejora y la rentabilidad sigue.</w:t>
            </w:r>
          </w:p>
        </w:tc>
      </w:tr>
      <w:tr w:rsidR="0069080D" w:rsidRPr="00294D7C" w14:paraId="6B215DF5" w14:textId="77777777" w:rsidTr="00C173B9">
        <w:trPr>
          <w:cnfStyle w:val="000000100000" w:firstRow="0" w:lastRow="0" w:firstColumn="0" w:lastColumn="0" w:oddVBand="0" w:evenVBand="0" w:oddHBand="1" w:evenHBand="0" w:firstRowFirstColumn="0" w:firstRowLastColumn="0" w:lastRowFirstColumn="0" w:lastRowLastColumn="0"/>
          <w:trHeight w:val="1199"/>
        </w:trPr>
        <w:tc>
          <w:tcPr>
            <w:cnfStyle w:val="001000000000" w:firstRow="0" w:lastRow="0" w:firstColumn="1" w:lastColumn="0" w:oddVBand="0" w:evenVBand="0" w:oddHBand="0" w:evenHBand="0" w:firstRowFirstColumn="0" w:firstRowLastColumn="0" w:lastRowFirstColumn="0" w:lastRowLastColumn="0"/>
            <w:tcW w:w="0" w:type="auto"/>
            <w:vAlign w:val="center"/>
          </w:tcPr>
          <w:p w14:paraId="5EE8971D" w14:textId="14A219B9" w:rsidR="0069080D" w:rsidRPr="00581A19" w:rsidRDefault="0069080D" w:rsidP="004C71E2">
            <w:pPr>
              <w:jc w:val="both"/>
              <w:rPr>
                <w:rFonts w:ascii="Arial" w:hAnsi="Arial" w:cs="Arial"/>
                <w:color w:val="000000"/>
                <w:sz w:val="18"/>
                <w:szCs w:val="18"/>
                <w:lang w:val="en-GB" w:eastAsia="es-EC"/>
              </w:rPr>
            </w:pPr>
            <w:r w:rsidRPr="00581A19">
              <w:rPr>
                <w:rFonts w:ascii="Arial" w:hAnsi="Arial" w:cs="Arial"/>
                <w:color w:val="000000"/>
                <w:sz w:val="18"/>
                <w:szCs w:val="18"/>
                <w:lang w:val="en-GB" w:eastAsia="es-EC"/>
              </w:rPr>
              <w:t xml:space="preserve">The impact on technical </w:t>
            </w:r>
            <w:r w:rsidR="0085104C" w:rsidRPr="00581A19">
              <w:rPr>
                <w:rFonts w:ascii="Arial" w:hAnsi="Arial" w:cs="Arial"/>
                <w:color w:val="000000"/>
                <w:sz w:val="18"/>
                <w:szCs w:val="18"/>
                <w:lang w:val="en-GB" w:eastAsia="es-EC"/>
              </w:rPr>
              <w:t>efficiency</w:t>
            </w:r>
            <w:r w:rsidRPr="00581A19">
              <w:rPr>
                <w:rFonts w:ascii="Arial" w:hAnsi="Arial" w:cs="Arial"/>
                <w:color w:val="000000"/>
                <w:sz w:val="18"/>
                <w:szCs w:val="18"/>
                <w:lang w:val="en-GB" w:eastAsia="es-EC"/>
              </w:rPr>
              <w:t xml:space="preserve"> of the</w:t>
            </w:r>
            <w:r w:rsidR="000831A2" w:rsidRPr="00581A19">
              <w:rPr>
                <w:rFonts w:ascii="Arial" w:hAnsi="Arial" w:cs="Arial"/>
                <w:color w:val="000000"/>
                <w:sz w:val="18"/>
                <w:szCs w:val="18"/>
                <w:lang w:val="en-GB" w:eastAsia="es-EC"/>
              </w:rPr>
              <w:t xml:space="preserve"> </w:t>
            </w:r>
            <w:r w:rsidRPr="00581A19">
              <w:rPr>
                <w:rFonts w:ascii="Arial" w:hAnsi="Arial" w:cs="Arial"/>
                <w:color w:val="000000"/>
                <w:sz w:val="18"/>
                <w:szCs w:val="18"/>
                <w:lang w:val="en-GB" w:eastAsia="es-EC"/>
              </w:rPr>
              <w:t xml:space="preserve">UK privatization </w:t>
            </w:r>
            <w:r w:rsidR="0085104C" w:rsidRPr="00581A19">
              <w:rPr>
                <w:rFonts w:ascii="Arial" w:hAnsi="Arial" w:cs="Arial"/>
                <w:color w:val="000000"/>
                <w:sz w:val="18"/>
                <w:szCs w:val="18"/>
                <w:lang w:val="en-GB" w:eastAsia="es-EC"/>
              </w:rPr>
              <w:t>programme</w:t>
            </w:r>
          </w:p>
        </w:tc>
        <w:tc>
          <w:tcPr>
            <w:tcW w:w="0" w:type="auto"/>
            <w:vAlign w:val="center"/>
          </w:tcPr>
          <w:p w14:paraId="1BFA2A99"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Evaluar el nivel de eficiencia técnica en nueve organizaciones privatizadas en el Reino Unido en la década de 1980.</w:t>
            </w:r>
          </w:p>
        </w:tc>
        <w:tc>
          <w:tcPr>
            <w:tcW w:w="0" w:type="auto"/>
            <w:vAlign w:val="center"/>
          </w:tcPr>
          <w:p w14:paraId="6740FB1C"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Reino Unido</w:t>
            </w:r>
          </w:p>
          <w:p w14:paraId="42EE3E9C"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1997</w:t>
            </w:r>
          </w:p>
        </w:tc>
        <w:tc>
          <w:tcPr>
            <w:tcW w:w="1540" w:type="dxa"/>
            <w:vAlign w:val="center"/>
          </w:tcPr>
          <w:p w14:paraId="48E4AD8E"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 xml:space="preserve">Metodología propuesta: </w:t>
            </w:r>
          </w:p>
          <w:p w14:paraId="07E2F3FC"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 xml:space="preserve">Antes y Después. </w:t>
            </w:r>
          </w:p>
          <w:p w14:paraId="28B6C465"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–Solo Grupo de Tratados-</w:t>
            </w:r>
          </w:p>
        </w:tc>
        <w:tc>
          <w:tcPr>
            <w:tcW w:w="0" w:type="auto"/>
            <w:vAlign w:val="center"/>
          </w:tcPr>
          <w:p w14:paraId="069912DD" w14:textId="6D38A798"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Se considera a nueve organizaciones privatizadas en el Reino Unido en la década de 1980</w:t>
            </w:r>
            <w:r w:rsidR="00581A19" w:rsidRPr="00581A19">
              <w:rPr>
                <w:rFonts w:ascii="Arial" w:hAnsi="Arial" w:cs="Arial"/>
                <w:color w:val="000000"/>
                <w:sz w:val="18"/>
                <w:szCs w:val="18"/>
                <w:lang w:eastAsia="es-EC"/>
              </w:rPr>
              <w:t>.</w:t>
            </w:r>
          </w:p>
        </w:tc>
        <w:tc>
          <w:tcPr>
            <w:tcW w:w="0" w:type="auto"/>
            <w:vAlign w:val="center"/>
          </w:tcPr>
          <w:p w14:paraId="3975564B" w14:textId="77777777" w:rsidR="0069080D" w:rsidRPr="00581A19" w:rsidRDefault="0069080D" w:rsidP="00266E44">
            <w:pPr>
              <w:pStyle w:val="ListParagraph"/>
              <w:numPr>
                <w:ilvl w:val="0"/>
                <w:numId w:val="28"/>
              </w:numPr>
              <w:ind w:left="280" w:hanging="298"/>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proofErr w:type="spellStart"/>
            <w:r w:rsidRPr="00581A19">
              <w:rPr>
                <w:rFonts w:ascii="Arial" w:hAnsi="Arial" w:cs="Arial"/>
                <w:color w:val="000000"/>
                <w:sz w:val="18"/>
                <w:szCs w:val="18"/>
                <w:lang w:eastAsia="es-EC"/>
              </w:rPr>
              <w:t>Eficiencia</w:t>
            </w:r>
            <w:proofErr w:type="spellEnd"/>
            <w:r w:rsidRPr="00581A19">
              <w:rPr>
                <w:rFonts w:ascii="Arial" w:hAnsi="Arial" w:cs="Arial"/>
                <w:color w:val="000000"/>
                <w:sz w:val="18"/>
                <w:szCs w:val="18"/>
                <w:lang w:eastAsia="es-EC"/>
              </w:rPr>
              <w:t xml:space="preserve"> (</w:t>
            </w:r>
            <w:proofErr w:type="spellStart"/>
            <w:r w:rsidRPr="00581A19">
              <w:rPr>
                <w:rFonts w:ascii="Arial" w:hAnsi="Arial" w:cs="Arial"/>
                <w:color w:val="000000"/>
                <w:sz w:val="18"/>
                <w:szCs w:val="18"/>
                <w:lang w:eastAsia="es-EC"/>
              </w:rPr>
              <w:t>método</w:t>
            </w:r>
            <w:proofErr w:type="spellEnd"/>
            <w:r w:rsidRPr="00581A19">
              <w:rPr>
                <w:rFonts w:ascii="Arial" w:hAnsi="Arial" w:cs="Arial"/>
                <w:color w:val="000000"/>
                <w:sz w:val="18"/>
                <w:szCs w:val="18"/>
                <w:lang w:eastAsia="es-EC"/>
              </w:rPr>
              <w:t xml:space="preserve"> no </w:t>
            </w:r>
            <w:proofErr w:type="spellStart"/>
            <w:r w:rsidRPr="00581A19">
              <w:rPr>
                <w:rFonts w:ascii="Arial" w:hAnsi="Arial" w:cs="Arial"/>
                <w:color w:val="000000"/>
                <w:sz w:val="18"/>
                <w:szCs w:val="18"/>
                <w:lang w:eastAsia="es-EC"/>
              </w:rPr>
              <w:t>paramétrico</w:t>
            </w:r>
            <w:proofErr w:type="spellEnd"/>
            <w:r w:rsidRPr="00581A19">
              <w:rPr>
                <w:rFonts w:ascii="Arial" w:hAnsi="Arial" w:cs="Arial"/>
                <w:color w:val="000000"/>
                <w:sz w:val="18"/>
                <w:szCs w:val="18"/>
                <w:lang w:eastAsia="es-EC"/>
              </w:rPr>
              <w:t>)</w:t>
            </w:r>
          </w:p>
        </w:tc>
        <w:tc>
          <w:tcPr>
            <w:tcW w:w="2442" w:type="dxa"/>
            <w:vAlign w:val="center"/>
          </w:tcPr>
          <w:p w14:paraId="657C42F3" w14:textId="77777777" w:rsidR="0069080D" w:rsidRPr="00581A19" w:rsidRDefault="0069080D" w:rsidP="004C71E2">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EC"/>
              </w:rPr>
            </w:pPr>
            <w:r w:rsidRPr="00581A19">
              <w:rPr>
                <w:rFonts w:ascii="Arial" w:hAnsi="Arial" w:cs="Arial"/>
                <w:color w:val="000000"/>
                <w:sz w:val="18"/>
                <w:szCs w:val="18"/>
                <w:lang w:eastAsia="es-EC"/>
              </w:rPr>
              <w:t xml:space="preserve">Hay resultados mixtos. Hay evidencias de mejoras en la eficiencia técnica. </w:t>
            </w:r>
          </w:p>
        </w:tc>
      </w:tr>
    </w:tbl>
    <w:p w14:paraId="7A1E7F9B" w14:textId="77777777" w:rsidR="0069080D" w:rsidRPr="00294D7C" w:rsidRDefault="0069080D" w:rsidP="0069080D">
      <w:pPr>
        <w:rPr>
          <w:rFonts w:ascii="Bell MT" w:hAnsi="Bell MT"/>
          <w:b/>
          <w:highlight w:val="yellow"/>
        </w:rPr>
        <w:sectPr w:rsidR="0069080D" w:rsidRPr="00294D7C" w:rsidSect="004C71E2">
          <w:pgSz w:w="16838" w:h="11906" w:orient="landscape"/>
          <w:pgMar w:top="709" w:right="1417" w:bottom="1701" w:left="1417" w:header="708" w:footer="708" w:gutter="0"/>
          <w:cols w:space="708"/>
          <w:docGrid w:linePitch="360"/>
        </w:sectPr>
      </w:pPr>
    </w:p>
    <w:p w14:paraId="06898F25" w14:textId="0590B251" w:rsidR="00E3593A" w:rsidRPr="00A47B60" w:rsidRDefault="00E3593A" w:rsidP="00266E44">
      <w:pPr>
        <w:pStyle w:val="ListParagraph"/>
        <w:numPr>
          <w:ilvl w:val="0"/>
          <w:numId w:val="29"/>
        </w:numPr>
        <w:spacing w:line="276" w:lineRule="auto"/>
        <w:jc w:val="both"/>
        <w:rPr>
          <w:rStyle w:val="Heading1Char"/>
          <w:rFonts w:ascii="Arial" w:hAnsi="Arial" w:cs="Arial"/>
          <w:spacing w:val="-3"/>
          <w:sz w:val="22"/>
          <w:szCs w:val="22"/>
          <w:lang w:val="es-ES"/>
        </w:rPr>
      </w:pPr>
      <w:r w:rsidRPr="00A47B60">
        <w:rPr>
          <w:rStyle w:val="Heading1Char"/>
          <w:rFonts w:ascii="Arial" w:hAnsi="Arial" w:cs="Arial"/>
          <w:spacing w:val="-3"/>
          <w:sz w:val="22"/>
          <w:szCs w:val="22"/>
          <w:lang w:val="es-ES"/>
        </w:rPr>
        <w:lastRenderedPageBreak/>
        <w:t>síntesis de las investigaciones</w:t>
      </w:r>
    </w:p>
    <w:p w14:paraId="7F124408" w14:textId="77777777" w:rsidR="0069080D" w:rsidRPr="00A47B60" w:rsidRDefault="0069080D" w:rsidP="0069080D">
      <w:pPr>
        <w:autoSpaceDE w:val="0"/>
        <w:autoSpaceDN w:val="0"/>
        <w:adjustRightInd w:val="0"/>
        <w:jc w:val="both"/>
        <w:rPr>
          <w:rFonts w:ascii="Arial" w:eastAsiaTheme="minorHAnsi" w:hAnsi="Arial" w:cs="Arial"/>
          <w:sz w:val="22"/>
          <w:szCs w:val="22"/>
        </w:rPr>
      </w:pPr>
    </w:p>
    <w:p w14:paraId="7C3CE121" w14:textId="77777777" w:rsidR="00E3593A" w:rsidRPr="00A47B60" w:rsidRDefault="0069080D" w:rsidP="005F5758">
      <w:pPr>
        <w:pStyle w:val="ListParagraph"/>
        <w:numPr>
          <w:ilvl w:val="1"/>
          <w:numId w:val="10"/>
        </w:numPr>
        <w:ind w:left="720" w:hanging="720"/>
        <w:jc w:val="both"/>
        <w:rPr>
          <w:rFonts w:ascii="Arial" w:hAnsi="Arial" w:cs="Arial"/>
          <w:b/>
          <w:sz w:val="22"/>
          <w:szCs w:val="22"/>
        </w:rPr>
      </w:pPr>
      <w:r w:rsidRPr="00A47B60">
        <w:rPr>
          <w:rFonts w:ascii="Arial" w:hAnsi="Arial" w:cs="Arial"/>
          <w:b/>
          <w:sz w:val="22"/>
          <w:szCs w:val="22"/>
          <w:lang w:val="es-EC"/>
        </w:rPr>
        <w:t xml:space="preserve">Análisis de los procesos de fusión y adquisición de las empresas españolas no cotizadas. </w:t>
      </w:r>
      <w:sdt>
        <w:sdtPr>
          <w:rPr>
            <w:rFonts w:ascii="Arial" w:hAnsi="Arial" w:cs="Arial"/>
            <w:sz w:val="22"/>
            <w:szCs w:val="22"/>
          </w:rPr>
          <w:id w:val="-339926718"/>
          <w:citation/>
        </w:sdtPr>
        <w:sdtEndPr/>
        <w:sdtContent>
          <w:r w:rsidRPr="00A47B60">
            <w:rPr>
              <w:rFonts w:ascii="Arial" w:hAnsi="Arial" w:cs="Arial"/>
              <w:b/>
              <w:sz w:val="22"/>
              <w:szCs w:val="22"/>
            </w:rPr>
            <w:fldChar w:fldCharType="begin"/>
          </w:r>
          <w:r w:rsidRPr="00A47B60">
            <w:rPr>
              <w:rFonts w:ascii="Arial" w:hAnsi="Arial" w:cs="Arial"/>
              <w:b/>
              <w:sz w:val="22"/>
              <w:szCs w:val="22"/>
              <w:lang w:val="es-EC"/>
            </w:rPr>
            <w:instrText xml:space="preserve"> CITATION Gar081 \l 12298 </w:instrText>
          </w:r>
          <w:r w:rsidRPr="00A47B60">
            <w:rPr>
              <w:rFonts w:ascii="Arial" w:hAnsi="Arial" w:cs="Arial"/>
              <w:b/>
              <w:sz w:val="22"/>
              <w:szCs w:val="22"/>
            </w:rPr>
            <w:fldChar w:fldCharType="separate"/>
          </w:r>
          <w:r w:rsidRPr="00A47B60">
            <w:rPr>
              <w:rFonts w:ascii="Arial" w:hAnsi="Arial" w:cs="Arial"/>
              <w:noProof/>
              <w:sz w:val="22"/>
              <w:szCs w:val="22"/>
              <w:lang w:val="es-EC"/>
            </w:rPr>
            <w:t>(García Tabuenca &amp; Crespo Espert, 2008)</w:t>
          </w:r>
          <w:r w:rsidRPr="00A47B60">
            <w:rPr>
              <w:rFonts w:ascii="Arial" w:hAnsi="Arial" w:cs="Arial"/>
              <w:b/>
              <w:sz w:val="22"/>
              <w:szCs w:val="22"/>
            </w:rPr>
            <w:fldChar w:fldCharType="end"/>
          </w:r>
        </w:sdtContent>
      </w:sdt>
    </w:p>
    <w:p w14:paraId="3AE3AD36" w14:textId="77777777" w:rsidR="00E3593A" w:rsidRPr="00A47B60" w:rsidRDefault="00E3593A" w:rsidP="005F5758">
      <w:pPr>
        <w:pStyle w:val="ListParagraph"/>
        <w:ind w:hanging="720"/>
        <w:jc w:val="both"/>
        <w:rPr>
          <w:rFonts w:ascii="Arial" w:hAnsi="Arial" w:cs="Arial"/>
          <w:b/>
          <w:sz w:val="22"/>
          <w:szCs w:val="22"/>
        </w:rPr>
      </w:pPr>
    </w:p>
    <w:p w14:paraId="23C3030F" w14:textId="33577FAA"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El objetivo del estudio es conocer el comportamiento y el grado de eficiencia de las empresas españolas no cotizadas que</w:t>
      </w:r>
      <w:r w:rsidR="002856F4" w:rsidRPr="00A47B60">
        <w:rPr>
          <w:rFonts w:ascii="Arial" w:hAnsi="Arial" w:cs="Arial"/>
          <w:sz w:val="22"/>
          <w:szCs w:val="22"/>
          <w:lang w:val="es-EC"/>
        </w:rPr>
        <w:t>,</w:t>
      </w:r>
      <w:r w:rsidRPr="00A47B60">
        <w:rPr>
          <w:rFonts w:ascii="Arial" w:hAnsi="Arial" w:cs="Arial"/>
          <w:sz w:val="22"/>
          <w:szCs w:val="22"/>
          <w:lang w:val="es-EC"/>
        </w:rPr>
        <w:t xml:space="preserve"> en los últimos años experimentaron</w:t>
      </w:r>
      <w:r w:rsidR="002856F4" w:rsidRPr="00A47B60">
        <w:rPr>
          <w:rFonts w:ascii="Arial" w:hAnsi="Arial" w:cs="Arial"/>
          <w:sz w:val="22"/>
          <w:szCs w:val="22"/>
          <w:lang w:val="es-EC"/>
        </w:rPr>
        <w:t>,</w:t>
      </w:r>
      <w:r w:rsidRPr="00A47B60">
        <w:rPr>
          <w:rFonts w:ascii="Arial" w:hAnsi="Arial" w:cs="Arial"/>
          <w:sz w:val="22"/>
          <w:szCs w:val="22"/>
          <w:lang w:val="es-EC"/>
        </w:rPr>
        <w:t xml:space="preserve"> procesos de concentra</w:t>
      </w:r>
      <w:r w:rsidR="002856F4" w:rsidRPr="00A47B60">
        <w:rPr>
          <w:rFonts w:ascii="Arial" w:hAnsi="Arial" w:cs="Arial"/>
          <w:sz w:val="22"/>
          <w:szCs w:val="22"/>
          <w:lang w:val="es-EC"/>
        </w:rPr>
        <w:t>ción en fusión y adquisiciones (F&amp;A)</w:t>
      </w:r>
      <w:r w:rsidRPr="00A47B60">
        <w:rPr>
          <w:rFonts w:ascii="Arial" w:hAnsi="Arial" w:cs="Arial"/>
          <w:sz w:val="22"/>
          <w:szCs w:val="22"/>
          <w:lang w:val="es-EC"/>
        </w:rPr>
        <w:t xml:space="preserve">. </w:t>
      </w:r>
      <w:r w:rsidRPr="00A47B60">
        <w:rPr>
          <w:rFonts w:ascii="Arial" w:hAnsi="Arial" w:cs="Arial"/>
          <w:sz w:val="22"/>
          <w:szCs w:val="22"/>
          <w:lang w:val="es-ES"/>
        </w:rPr>
        <w:t>Dado que se trataba de un campo nuevo</w:t>
      </w:r>
      <w:r w:rsidR="002856F4" w:rsidRPr="00A47B60">
        <w:rPr>
          <w:rFonts w:ascii="Arial" w:hAnsi="Arial" w:cs="Arial"/>
          <w:sz w:val="22"/>
          <w:szCs w:val="22"/>
          <w:lang w:val="es-ES"/>
        </w:rPr>
        <w:t>,</w:t>
      </w:r>
      <w:r w:rsidRPr="00A47B60">
        <w:rPr>
          <w:rFonts w:ascii="Arial" w:hAnsi="Arial" w:cs="Arial"/>
          <w:sz w:val="22"/>
          <w:szCs w:val="22"/>
          <w:lang w:val="es-ES"/>
        </w:rPr>
        <w:t xml:space="preserve"> conllevo limitaciones: “apenas hay trabajos contrastables, no existe una metodología generalmente aceptada, no se dispone de series largas de datos, no siempre hay datos para cada proceso de fusión y, en ocasiones, sólo se dispone de datos para una</w:t>
      </w:r>
      <w:r w:rsidR="002856F4" w:rsidRPr="00A47B60">
        <w:rPr>
          <w:rFonts w:ascii="Arial" w:hAnsi="Arial" w:cs="Arial"/>
          <w:sz w:val="22"/>
          <w:szCs w:val="22"/>
          <w:lang w:val="es-ES"/>
        </w:rPr>
        <w:t xml:space="preserve"> determinada parte del proceso”</w:t>
      </w:r>
      <w:r w:rsidRPr="00A47B60">
        <w:rPr>
          <w:rFonts w:ascii="Arial" w:hAnsi="Arial" w:cs="Arial"/>
          <w:sz w:val="22"/>
          <w:szCs w:val="22"/>
          <w:lang w:val="es-ES"/>
        </w:rPr>
        <w:t xml:space="preserve"> </w:t>
      </w:r>
      <w:sdt>
        <w:sdtPr>
          <w:rPr>
            <w:rFonts w:ascii="Arial" w:hAnsi="Arial" w:cs="Arial"/>
            <w:sz w:val="22"/>
            <w:szCs w:val="22"/>
          </w:rPr>
          <w:id w:val="557985232"/>
          <w:citation/>
        </w:sdtPr>
        <w:sdtEndPr/>
        <w:sdtContent>
          <w:r w:rsidRPr="00A47B60">
            <w:rPr>
              <w:rFonts w:ascii="Arial" w:hAnsi="Arial" w:cs="Arial"/>
              <w:b/>
              <w:sz w:val="22"/>
              <w:szCs w:val="22"/>
            </w:rPr>
            <w:fldChar w:fldCharType="begin"/>
          </w:r>
          <w:r w:rsidRPr="00A47B60">
            <w:rPr>
              <w:rFonts w:ascii="Arial" w:hAnsi="Arial" w:cs="Arial"/>
              <w:b/>
              <w:sz w:val="22"/>
              <w:szCs w:val="22"/>
              <w:lang w:val="es-ES"/>
            </w:rPr>
            <w:instrText xml:space="preserve"> CITATION Gar081 \l 12298 </w:instrText>
          </w:r>
          <w:r w:rsidRPr="00A47B60">
            <w:rPr>
              <w:rFonts w:ascii="Arial" w:hAnsi="Arial" w:cs="Arial"/>
              <w:b/>
              <w:sz w:val="22"/>
              <w:szCs w:val="22"/>
            </w:rPr>
            <w:fldChar w:fldCharType="separate"/>
          </w:r>
          <w:r w:rsidRPr="00A47B60">
            <w:rPr>
              <w:rFonts w:ascii="Arial" w:hAnsi="Arial" w:cs="Arial"/>
              <w:noProof/>
              <w:sz w:val="22"/>
              <w:szCs w:val="22"/>
              <w:lang w:val="es-EC"/>
            </w:rPr>
            <w:t>(García Tabuenca &amp; Crespo Espert, 2008)</w:t>
          </w:r>
          <w:r w:rsidRPr="00A47B60">
            <w:rPr>
              <w:rFonts w:ascii="Arial" w:hAnsi="Arial" w:cs="Arial"/>
              <w:b/>
              <w:sz w:val="22"/>
              <w:szCs w:val="22"/>
            </w:rPr>
            <w:fldChar w:fldCharType="end"/>
          </w:r>
        </w:sdtContent>
      </w:sdt>
      <w:r w:rsidR="00E3593A" w:rsidRPr="00A47B60">
        <w:rPr>
          <w:rFonts w:ascii="Arial" w:hAnsi="Arial" w:cs="Arial"/>
          <w:sz w:val="22"/>
          <w:szCs w:val="22"/>
          <w:lang w:val="es-EC"/>
        </w:rPr>
        <w:t>.</w:t>
      </w:r>
    </w:p>
    <w:p w14:paraId="38FC1318" w14:textId="77777777" w:rsidR="00E3593A" w:rsidRPr="00A47B60" w:rsidRDefault="00E3593A" w:rsidP="005F5758">
      <w:pPr>
        <w:ind w:left="720" w:hanging="720"/>
        <w:jc w:val="both"/>
        <w:rPr>
          <w:rFonts w:ascii="Arial" w:hAnsi="Arial" w:cs="Arial"/>
          <w:b/>
          <w:sz w:val="22"/>
          <w:szCs w:val="22"/>
          <w:lang w:val="es-EC"/>
        </w:rPr>
      </w:pPr>
    </w:p>
    <w:p w14:paraId="2B1424BB" w14:textId="50874C62"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Por la naturaleza de esta investigación, metodológicamente, se adoptó una evaluación de impacto antes y Después</w:t>
      </w:r>
      <w:r w:rsidR="002856F4" w:rsidRPr="00A47B60">
        <w:rPr>
          <w:rFonts w:ascii="Arial" w:hAnsi="Arial" w:cs="Arial"/>
          <w:sz w:val="22"/>
          <w:szCs w:val="22"/>
          <w:lang w:val="es-EC"/>
        </w:rPr>
        <w:t>,</w:t>
      </w:r>
      <w:r w:rsidRPr="00A47B60">
        <w:rPr>
          <w:rFonts w:ascii="Arial" w:hAnsi="Arial" w:cs="Arial"/>
          <w:sz w:val="22"/>
          <w:szCs w:val="22"/>
          <w:lang w:val="es-EC"/>
        </w:rPr>
        <w:t xml:space="preserve"> considerando grupos de Tratados y Controles</w:t>
      </w:r>
      <w:r w:rsidR="002856F4" w:rsidRPr="00A47B60">
        <w:rPr>
          <w:rFonts w:ascii="Arial" w:hAnsi="Arial" w:cs="Arial"/>
          <w:sz w:val="22"/>
          <w:szCs w:val="22"/>
          <w:lang w:val="es-EC"/>
        </w:rPr>
        <w:t>,</w:t>
      </w:r>
      <w:r w:rsidRPr="00A47B60">
        <w:rPr>
          <w:rFonts w:ascii="Arial" w:hAnsi="Arial" w:cs="Arial"/>
          <w:sz w:val="22"/>
          <w:szCs w:val="22"/>
          <w:lang w:val="es-EC"/>
        </w:rPr>
        <w:t xml:space="preserve"> pues la evolución de las variables a considerar incidía un hecho en un momento temporal determinado (fusiones de empresas españolas no cotizadas en los años 2001, 2002 y 2003) que podían o no producir cambios en los valores y en la tendencia de dicha evolución.</w:t>
      </w:r>
    </w:p>
    <w:p w14:paraId="16A6D6C7" w14:textId="77777777" w:rsidR="00E3593A" w:rsidRPr="00A47B60" w:rsidRDefault="00E3593A" w:rsidP="005F5758">
      <w:pPr>
        <w:ind w:left="720" w:hanging="720"/>
        <w:jc w:val="both"/>
        <w:rPr>
          <w:rFonts w:ascii="Arial" w:hAnsi="Arial" w:cs="Arial"/>
          <w:b/>
          <w:sz w:val="22"/>
          <w:szCs w:val="22"/>
          <w:lang w:val="es-EC"/>
        </w:rPr>
      </w:pPr>
    </w:p>
    <w:p w14:paraId="3EB152B0" w14:textId="61A34282"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Por tanto, comparar la situación antes y después de la fusión, comparándola, a su vez, con grupos de control</w:t>
      </w:r>
      <w:r w:rsidR="002856F4" w:rsidRPr="00A47B60">
        <w:rPr>
          <w:rFonts w:ascii="Arial" w:hAnsi="Arial" w:cs="Arial"/>
          <w:sz w:val="22"/>
          <w:szCs w:val="22"/>
          <w:lang w:val="es-EC"/>
        </w:rPr>
        <w:t>,</w:t>
      </w:r>
      <w:r w:rsidRPr="00A47B60">
        <w:rPr>
          <w:rFonts w:ascii="Arial" w:hAnsi="Arial" w:cs="Arial"/>
          <w:sz w:val="22"/>
          <w:szCs w:val="22"/>
          <w:lang w:val="es-EC"/>
        </w:rPr>
        <w:t xml:space="preserve"> permitió conocer la coincidencia, paralelismo o divergencia de las empresas participantes y resultantes con respecto a él y, de esta forma, conocer si los cambios observados tras la fusión se deben al seguimiento general del conjunto al que pertenecen o, por el contrario, a una variación del comportamiento de la variable -distinta, superior o inferior como consecuenci</w:t>
      </w:r>
      <w:r w:rsidR="002856F4" w:rsidRPr="00A47B60">
        <w:rPr>
          <w:rFonts w:ascii="Arial" w:hAnsi="Arial" w:cs="Arial"/>
          <w:sz w:val="22"/>
          <w:szCs w:val="22"/>
          <w:lang w:val="es-EC"/>
        </w:rPr>
        <w:t>a del hecho estudiado</w:t>
      </w:r>
      <w:sdt>
        <w:sdtPr>
          <w:rPr>
            <w:rFonts w:ascii="Arial" w:hAnsi="Arial" w:cs="Arial"/>
            <w:sz w:val="22"/>
            <w:szCs w:val="22"/>
          </w:rPr>
          <w:id w:val="-996566459"/>
          <w:citation/>
        </w:sdtPr>
        <w:sdtEndPr/>
        <w:sdtContent>
          <w:r w:rsidRPr="00A47B60">
            <w:rPr>
              <w:rFonts w:ascii="Arial" w:hAnsi="Arial" w:cs="Arial"/>
              <w:sz w:val="22"/>
              <w:szCs w:val="22"/>
            </w:rPr>
            <w:fldChar w:fldCharType="begin"/>
          </w:r>
          <w:r w:rsidRPr="00A47B60">
            <w:rPr>
              <w:rFonts w:ascii="Arial" w:hAnsi="Arial" w:cs="Arial"/>
              <w:sz w:val="22"/>
              <w:szCs w:val="22"/>
              <w:lang w:val="es-EC"/>
            </w:rPr>
            <w:instrText xml:space="preserve"> CITATION Gar081 \l 12298 </w:instrText>
          </w:r>
          <w:r w:rsidRPr="00A47B60">
            <w:rPr>
              <w:rFonts w:ascii="Arial" w:hAnsi="Arial" w:cs="Arial"/>
              <w:sz w:val="22"/>
              <w:szCs w:val="22"/>
            </w:rPr>
            <w:fldChar w:fldCharType="separate"/>
          </w:r>
          <w:r w:rsidRPr="00A47B60">
            <w:rPr>
              <w:rFonts w:ascii="Arial" w:hAnsi="Arial" w:cs="Arial"/>
              <w:noProof/>
              <w:sz w:val="22"/>
              <w:szCs w:val="22"/>
              <w:lang w:val="es-EC"/>
            </w:rPr>
            <w:t xml:space="preserve"> (García Tabuenca &amp; Crespo Espert, 2008)</w:t>
          </w:r>
          <w:r w:rsidRPr="00A47B60">
            <w:rPr>
              <w:rFonts w:ascii="Arial" w:hAnsi="Arial" w:cs="Arial"/>
              <w:sz w:val="22"/>
              <w:szCs w:val="22"/>
            </w:rPr>
            <w:fldChar w:fldCharType="end"/>
          </w:r>
        </w:sdtContent>
      </w:sdt>
      <w:r w:rsidR="00E3593A" w:rsidRPr="00A47B60">
        <w:rPr>
          <w:rFonts w:ascii="Arial" w:hAnsi="Arial" w:cs="Arial"/>
          <w:sz w:val="22"/>
          <w:szCs w:val="22"/>
          <w:lang w:val="es-EC"/>
        </w:rPr>
        <w:t>.</w:t>
      </w:r>
    </w:p>
    <w:p w14:paraId="29E73F4B" w14:textId="77777777" w:rsidR="00E3593A" w:rsidRPr="00A47B60" w:rsidRDefault="00E3593A" w:rsidP="005F5758">
      <w:pPr>
        <w:pStyle w:val="ListParagraph"/>
        <w:ind w:hanging="720"/>
        <w:jc w:val="both"/>
        <w:rPr>
          <w:rFonts w:ascii="Arial" w:hAnsi="Arial" w:cs="Arial"/>
          <w:b/>
          <w:sz w:val="22"/>
          <w:szCs w:val="22"/>
          <w:lang w:val="es-EC"/>
        </w:rPr>
      </w:pPr>
    </w:p>
    <w:p w14:paraId="4A6B13AB" w14:textId="4F3B6877"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Esta metodología permitió analizar la causalidad entre los procesos de fusión y la modificación de los desempeños empresariales de las empresas resultantes</w:t>
      </w:r>
      <w:r w:rsidR="002856F4" w:rsidRPr="00A47B60">
        <w:rPr>
          <w:rFonts w:ascii="Arial" w:hAnsi="Arial" w:cs="Arial"/>
          <w:sz w:val="22"/>
          <w:szCs w:val="22"/>
          <w:lang w:val="es-EC"/>
        </w:rPr>
        <w:t>,</w:t>
      </w:r>
      <w:r w:rsidRPr="00A47B60">
        <w:rPr>
          <w:rFonts w:ascii="Arial" w:hAnsi="Arial" w:cs="Arial"/>
          <w:sz w:val="22"/>
          <w:szCs w:val="22"/>
          <w:lang w:val="es-EC"/>
        </w:rPr>
        <w:t xml:space="preserve"> respecto a la situación previa a la fusión de las empresas participantes.</w:t>
      </w:r>
    </w:p>
    <w:p w14:paraId="2773F883" w14:textId="77777777" w:rsidR="00E3593A" w:rsidRPr="00A47B60" w:rsidRDefault="00E3593A" w:rsidP="005F5758">
      <w:pPr>
        <w:pStyle w:val="ListParagraph"/>
        <w:ind w:hanging="720"/>
        <w:jc w:val="both"/>
        <w:rPr>
          <w:rFonts w:ascii="Arial" w:hAnsi="Arial" w:cs="Arial"/>
          <w:b/>
          <w:sz w:val="22"/>
          <w:szCs w:val="22"/>
          <w:lang w:val="es-EC"/>
        </w:rPr>
      </w:pPr>
    </w:p>
    <w:p w14:paraId="29442DF7" w14:textId="2EB26728"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Para el sector industrial (en el cual se encuentran empresas relacionadas con el petróleo), los resultados fueron: en las empresas industriales de tamaño grande se observa una evolución estable, aunque decreciente, manteniendo sus niveles de e</w:t>
      </w:r>
      <w:r w:rsidRPr="00A47B60">
        <w:rPr>
          <w:rFonts w:ascii="Arial" w:hAnsi="Arial" w:cs="Arial"/>
          <w:sz w:val="22"/>
          <w:szCs w:val="22"/>
        </w:rPr>
        <w:t>ﬁ</w:t>
      </w:r>
      <w:r w:rsidRPr="00A47B60">
        <w:rPr>
          <w:rFonts w:ascii="Arial" w:hAnsi="Arial" w:cs="Arial"/>
          <w:sz w:val="22"/>
          <w:szCs w:val="22"/>
          <w:lang w:val="es-EC"/>
        </w:rPr>
        <w:t>ciencia y ajustándose al comportamiento de las empresas del grupo de control. Al igual</w:t>
      </w:r>
      <w:r w:rsidR="002856F4" w:rsidRPr="00A47B60">
        <w:rPr>
          <w:rFonts w:ascii="Arial" w:hAnsi="Arial" w:cs="Arial"/>
          <w:sz w:val="22"/>
          <w:szCs w:val="22"/>
          <w:lang w:val="es-EC"/>
        </w:rPr>
        <w:t>,</w:t>
      </w:r>
      <w:r w:rsidRPr="00A47B60">
        <w:rPr>
          <w:rFonts w:ascii="Arial" w:hAnsi="Arial" w:cs="Arial"/>
          <w:sz w:val="22"/>
          <w:szCs w:val="22"/>
          <w:lang w:val="es-EC"/>
        </w:rPr>
        <w:t xml:space="preserve"> que se observaba en el análisis contrafactual, en las medianas y pequeñas empresas, la evolución recogida muestra niveles similares al grupo de control, pero con leves descensos que hacen que sus valores al </w:t>
      </w:r>
      <w:r w:rsidRPr="00A47B60">
        <w:rPr>
          <w:rFonts w:ascii="Arial" w:hAnsi="Arial" w:cs="Arial"/>
          <w:sz w:val="22"/>
          <w:szCs w:val="22"/>
        </w:rPr>
        <w:t>ﬁ</w:t>
      </w:r>
      <w:proofErr w:type="spellStart"/>
      <w:r w:rsidRPr="00A47B60">
        <w:rPr>
          <w:rFonts w:ascii="Arial" w:hAnsi="Arial" w:cs="Arial"/>
          <w:sz w:val="22"/>
          <w:szCs w:val="22"/>
          <w:lang w:val="es-EC"/>
        </w:rPr>
        <w:t>nal</w:t>
      </w:r>
      <w:proofErr w:type="spellEnd"/>
      <w:r w:rsidRPr="00A47B60">
        <w:rPr>
          <w:rFonts w:ascii="Arial" w:hAnsi="Arial" w:cs="Arial"/>
          <w:sz w:val="22"/>
          <w:szCs w:val="22"/>
          <w:lang w:val="es-EC"/>
        </w:rPr>
        <w:t xml:space="preserve"> del período sean inferiores a los de partida. </w:t>
      </w:r>
    </w:p>
    <w:p w14:paraId="27119262" w14:textId="77777777" w:rsidR="00E3593A" w:rsidRPr="00A47B60" w:rsidRDefault="00E3593A" w:rsidP="005F5758">
      <w:pPr>
        <w:pStyle w:val="ListParagraph"/>
        <w:ind w:hanging="720"/>
        <w:jc w:val="both"/>
        <w:rPr>
          <w:rFonts w:ascii="Arial" w:hAnsi="Arial" w:cs="Arial"/>
          <w:b/>
          <w:sz w:val="22"/>
          <w:szCs w:val="22"/>
          <w:lang w:val="es-EC"/>
        </w:rPr>
      </w:pPr>
    </w:p>
    <w:p w14:paraId="53A2F427" w14:textId="334D3D07"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 xml:space="preserve">Las de tamaño micro presentan la característica de que los valores de las rentabilidades después de la fusión se sitúan por debajo de la media de su grupo de control. </w:t>
      </w:r>
      <w:r w:rsidRPr="00A47B60">
        <w:rPr>
          <w:rFonts w:ascii="Arial" w:hAnsi="Arial" w:cs="Arial"/>
          <w:sz w:val="22"/>
          <w:szCs w:val="22"/>
          <w:lang w:val="es-ES"/>
        </w:rPr>
        <w:t>El estudio de la ratio EBITDA sobre activo total para el agregado de los cuatro tamaños indica que</w:t>
      </w:r>
      <w:r w:rsidR="002856F4" w:rsidRPr="00A47B60">
        <w:rPr>
          <w:rFonts w:ascii="Arial" w:hAnsi="Arial" w:cs="Arial"/>
          <w:sz w:val="22"/>
          <w:szCs w:val="22"/>
          <w:lang w:val="es-ES"/>
        </w:rPr>
        <w:t>,</w:t>
      </w:r>
      <w:r w:rsidRPr="00A47B60">
        <w:rPr>
          <w:rFonts w:ascii="Arial" w:hAnsi="Arial" w:cs="Arial"/>
          <w:sz w:val="22"/>
          <w:szCs w:val="22"/>
          <w:lang w:val="es-ES"/>
        </w:rPr>
        <w:t xml:space="preserve"> grandes y microempresas son las que en mayor medida aumentan su capacidad de generación de fondos líquidos. </w:t>
      </w:r>
      <w:r w:rsidRPr="00A47B60">
        <w:rPr>
          <w:rFonts w:ascii="Arial" w:hAnsi="Arial" w:cs="Arial"/>
          <w:sz w:val="22"/>
          <w:szCs w:val="22"/>
          <w:lang w:val="es-EC"/>
        </w:rPr>
        <w:t>Contrariamente a ello, cuando se a</w:t>
      </w:r>
      <w:r w:rsidRPr="00A47B60">
        <w:rPr>
          <w:rFonts w:ascii="Arial" w:hAnsi="Arial" w:cs="Arial"/>
          <w:sz w:val="22"/>
          <w:szCs w:val="22"/>
        </w:rPr>
        <w:t>ﬁ</w:t>
      </w:r>
      <w:proofErr w:type="spellStart"/>
      <w:r w:rsidRPr="00A47B60">
        <w:rPr>
          <w:rFonts w:ascii="Arial" w:hAnsi="Arial" w:cs="Arial"/>
          <w:sz w:val="22"/>
          <w:szCs w:val="22"/>
          <w:lang w:val="es-EC"/>
        </w:rPr>
        <w:t>na</w:t>
      </w:r>
      <w:proofErr w:type="spellEnd"/>
      <w:r w:rsidRPr="00A47B60">
        <w:rPr>
          <w:rFonts w:ascii="Arial" w:hAnsi="Arial" w:cs="Arial"/>
          <w:sz w:val="22"/>
          <w:szCs w:val="22"/>
          <w:lang w:val="es-EC"/>
        </w:rPr>
        <w:t xml:space="preserve"> el análisis descendiendo a la consideración de los cruces de tamaños y sectores desagregados y a una mayor consideración de variables de desempeño, las pequeñas o medianas empresas, frente a grandes o microempresas, son las que obtienen mejores </w:t>
      </w:r>
      <w:r w:rsidR="002856F4" w:rsidRPr="00A47B60">
        <w:rPr>
          <w:rFonts w:ascii="Arial" w:hAnsi="Arial" w:cs="Arial"/>
          <w:sz w:val="22"/>
          <w:szCs w:val="22"/>
          <w:lang w:val="es-EC"/>
        </w:rPr>
        <w:t>resultados</w:t>
      </w:r>
      <w:r w:rsidRPr="00A47B60">
        <w:rPr>
          <w:rFonts w:ascii="Arial" w:hAnsi="Arial" w:cs="Arial"/>
          <w:sz w:val="22"/>
          <w:szCs w:val="22"/>
          <w:lang w:val="es-EC"/>
        </w:rPr>
        <w:t xml:space="preserve">. </w:t>
      </w:r>
    </w:p>
    <w:p w14:paraId="68297671" w14:textId="77777777" w:rsidR="00E3593A" w:rsidRPr="00A47B60" w:rsidRDefault="00E3593A" w:rsidP="005F5758">
      <w:pPr>
        <w:pStyle w:val="ListParagraph"/>
        <w:ind w:hanging="720"/>
        <w:jc w:val="both"/>
        <w:rPr>
          <w:rFonts w:ascii="Arial" w:hAnsi="Arial" w:cs="Arial"/>
          <w:b/>
          <w:sz w:val="22"/>
          <w:szCs w:val="22"/>
          <w:lang w:val="es-EC"/>
        </w:rPr>
      </w:pPr>
    </w:p>
    <w:p w14:paraId="12A6BB70" w14:textId="6945DD82"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Cabe destacar que</w:t>
      </w:r>
      <w:r w:rsidR="00380774" w:rsidRPr="00A47B60">
        <w:rPr>
          <w:rFonts w:ascii="Arial" w:hAnsi="Arial" w:cs="Arial"/>
          <w:sz w:val="22"/>
          <w:szCs w:val="22"/>
          <w:lang w:val="es-EC"/>
        </w:rPr>
        <w:t>,</w:t>
      </w:r>
      <w:r w:rsidRPr="00A47B60">
        <w:rPr>
          <w:rFonts w:ascii="Arial" w:hAnsi="Arial" w:cs="Arial"/>
          <w:sz w:val="22"/>
          <w:szCs w:val="22"/>
          <w:lang w:val="es-EC"/>
        </w:rPr>
        <w:t xml:space="preserve"> acorde los autores, en todos los tamaños y sectores estudiados, las empresas participantes en procesos de fusión partían de indicadores de desempeño </w:t>
      </w:r>
      <w:r w:rsidRPr="00A47B60">
        <w:rPr>
          <w:rFonts w:ascii="Arial" w:hAnsi="Arial" w:cs="Arial"/>
          <w:sz w:val="22"/>
          <w:szCs w:val="22"/>
          <w:lang w:val="es-EC"/>
        </w:rPr>
        <w:lastRenderedPageBreak/>
        <w:t>(rentabilidad, productividad y EBITDA) más desfavorables que los de la media de sus grupos de comparación, con la excepción</w:t>
      </w:r>
      <w:r w:rsidR="00380774" w:rsidRPr="00A47B60">
        <w:rPr>
          <w:rFonts w:ascii="Arial" w:hAnsi="Arial" w:cs="Arial"/>
          <w:sz w:val="22"/>
          <w:szCs w:val="22"/>
          <w:lang w:val="es-EC"/>
        </w:rPr>
        <w:t>,</w:t>
      </w:r>
      <w:r w:rsidRPr="00A47B60">
        <w:rPr>
          <w:rFonts w:ascii="Arial" w:hAnsi="Arial" w:cs="Arial"/>
          <w:sz w:val="22"/>
          <w:szCs w:val="22"/>
          <w:lang w:val="es-EC"/>
        </w:rPr>
        <w:t xml:space="preserve"> en ocasiones</w:t>
      </w:r>
      <w:r w:rsidR="00380774" w:rsidRPr="00A47B60">
        <w:rPr>
          <w:rFonts w:ascii="Arial" w:hAnsi="Arial" w:cs="Arial"/>
          <w:sz w:val="22"/>
          <w:szCs w:val="22"/>
          <w:lang w:val="es-EC"/>
        </w:rPr>
        <w:t>,</w:t>
      </w:r>
      <w:r w:rsidRPr="00A47B60">
        <w:rPr>
          <w:rFonts w:ascii="Arial" w:hAnsi="Arial" w:cs="Arial"/>
          <w:sz w:val="22"/>
          <w:szCs w:val="22"/>
          <w:lang w:val="es-EC"/>
        </w:rPr>
        <w:t xml:space="preserve"> de la productividad y, generalmente, del EBITDA sobre cifra de negocios. Tras la fusión, estos desempeños mejoran relativamente o se mantienen, sin que se hayan observado efectos desfavorables derivados de estas operaciones societarias.</w:t>
      </w:r>
    </w:p>
    <w:p w14:paraId="184B4EDF" w14:textId="77777777" w:rsidR="00E3593A" w:rsidRPr="00A47B60" w:rsidRDefault="00E3593A" w:rsidP="00E3593A">
      <w:pPr>
        <w:pStyle w:val="ListParagraph"/>
        <w:rPr>
          <w:rFonts w:ascii="Arial" w:hAnsi="Arial" w:cs="Arial"/>
          <w:sz w:val="22"/>
          <w:szCs w:val="22"/>
          <w:lang w:val="es-EC"/>
        </w:rPr>
      </w:pPr>
    </w:p>
    <w:p w14:paraId="56DE1144" w14:textId="26783A54"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 xml:space="preserve">En conclusión, las operaciones de fusiones y adquisiciones de empresas no cotizadas se han convertido en las estrategias empresariales españolas. </w:t>
      </w:r>
      <w:r w:rsidRPr="00A47B60">
        <w:rPr>
          <w:rFonts w:ascii="Arial" w:hAnsi="Arial" w:cs="Arial"/>
          <w:sz w:val="22"/>
          <w:szCs w:val="22"/>
          <w:lang w:val="es-ES"/>
        </w:rPr>
        <w:t>Aproximadamente</w:t>
      </w:r>
      <w:r w:rsidR="00380774" w:rsidRPr="00A47B60">
        <w:rPr>
          <w:rFonts w:ascii="Arial" w:hAnsi="Arial" w:cs="Arial"/>
          <w:sz w:val="22"/>
          <w:szCs w:val="22"/>
          <w:lang w:val="es-ES"/>
        </w:rPr>
        <w:t>,</w:t>
      </w:r>
      <w:r w:rsidRPr="00A47B60">
        <w:rPr>
          <w:rFonts w:ascii="Arial" w:hAnsi="Arial" w:cs="Arial"/>
          <w:sz w:val="22"/>
          <w:szCs w:val="22"/>
          <w:lang w:val="es-ES"/>
        </w:rPr>
        <w:t xml:space="preserve"> una empresa pequeña, mediana o grande (no cotizada) de cada 200 es el resultado de una F&amp;A, lo que </w:t>
      </w:r>
      <w:r w:rsidR="00B61103">
        <w:rPr>
          <w:rFonts w:ascii="Arial" w:hAnsi="Arial" w:cs="Arial"/>
          <w:sz w:val="22"/>
          <w:szCs w:val="22"/>
          <w:lang w:val="es-ES"/>
        </w:rPr>
        <w:t>significa</w:t>
      </w:r>
      <w:r w:rsidRPr="00A47B60">
        <w:rPr>
          <w:rFonts w:ascii="Arial" w:hAnsi="Arial" w:cs="Arial"/>
          <w:sz w:val="22"/>
          <w:szCs w:val="22"/>
          <w:lang w:val="es-ES"/>
        </w:rPr>
        <w:t xml:space="preserve"> que, con el paso del tiempo, estas empresas adoptan un comportamiento similar al de las grandes empresas cotizadas. </w:t>
      </w:r>
      <w:r w:rsidRPr="00A47B60">
        <w:rPr>
          <w:rFonts w:ascii="Arial" w:hAnsi="Arial" w:cs="Arial"/>
          <w:sz w:val="22"/>
          <w:szCs w:val="22"/>
          <w:lang w:val="es-EC"/>
        </w:rPr>
        <w:t xml:space="preserve">Estas últimas, entre 1983 y 2006, plasmaron 375 OPA convirtiéndose este tipo de operaciones públicas de control societario en un instrumento habitual de concentración empresarial en la bolsa española. </w:t>
      </w:r>
    </w:p>
    <w:p w14:paraId="37B5F533" w14:textId="77777777" w:rsidR="00E3593A" w:rsidRPr="00A47B60" w:rsidRDefault="00E3593A" w:rsidP="005F5758">
      <w:pPr>
        <w:pStyle w:val="ListParagraph"/>
        <w:ind w:hanging="720"/>
        <w:rPr>
          <w:rFonts w:ascii="Arial" w:hAnsi="Arial" w:cs="Arial"/>
          <w:b/>
          <w:sz w:val="22"/>
          <w:szCs w:val="22"/>
          <w:lang w:val="es-EC"/>
        </w:rPr>
      </w:pPr>
    </w:p>
    <w:p w14:paraId="6F9D26EC" w14:textId="3AA0F33F"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b/>
          <w:sz w:val="22"/>
          <w:szCs w:val="22"/>
          <w:lang w:val="es-EC"/>
        </w:rPr>
        <w:t>Análisis de factibilidad para la fusión de la empresa pública metropolitana de gestión integral de residuos sólidos, EMGIRS EP y la empresa pública metropolitana de aseo, EMASEO EP, para realizar la gestión de los residuo</w:t>
      </w:r>
      <w:r w:rsidR="00380774" w:rsidRPr="00A47B60">
        <w:rPr>
          <w:rFonts w:ascii="Arial" w:hAnsi="Arial" w:cs="Arial"/>
          <w:b/>
          <w:sz w:val="22"/>
          <w:szCs w:val="22"/>
          <w:lang w:val="es-EC"/>
        </w:rPr>
        <w:t>s sólidos en la ciudad de Quito</w:t>
      </w:r>
      <w:r w:rsidRPr="00A47B60">
        <w:rPr>
          <w:rFonts w:ascii="Arial" w:hAnsi="Arial" w:cs="Arial"/>
          <w:b/>
          <w:sz w:val="22"/>
          <w:szCs w:val="22"/>
          <w:lang w:val="es-EC"/>
        </w:rPr>
        <w:t xml:space="preserve"> </w:t>
      </w:r>
      <w:sdt>
        <w:sdtPr>
          <w:rPr>
            <w:rFonts w:ascii="Arial" w:hAnsi="Arial" w:cs="Arial"/>
            <w:sz w:val="22"/>
            <w:szCs w:val="22"/>
          </w:rPr>
          <w:id w:val="-1180811263"/>
          <w:citation/>
        </w:sdtPr>
        <w:sdtEndPr/>
        <w:sdtContent>
          <w:r w:rsidRPr="00A47B60">
            <w:rPr>
              <w:rFonts w:ascii="Arial" w:hAnsi="Arial" w:cs="Arial"/>
              <w:b/>
              <w:sz w:val="22"/>
              <w:szCs w:val="22"/>
            </w:rPr>
            <w:fldChar w:fldCharType="begin"/>
          </w:r>
          <w:r w:rsidRPr="00A47B60">
            <w:rPr>
              <w:rFonts w:ascii="Arial" w:hAnsi="Arial" w:cs="Arial"/>
              <w:b/>
              <w:sz w:val="22"/>
              <w:szCs w:val="22"/>
              <w:lang w:val="es-EC"/>
            </w:rPr>
            <w:instrText xml:space="preserve"> CITATION Peñ18 \l 12298 </w:instrText>
          </w:r>
          <w:r w:rsidRPr="00A47B60">
            <w:rPr>
              <w:rFonts w:ascii="Arial" w:hAnsi="Arial" w:cs="Arial"/>
              <w:b/>
              <w:sz w:val="22"/>
              <w:szCs w:val="22"/>
            </w:rPr>
            <w:fldChar w:fldCharType="separate"/>
          </w:r>
          <w:r w:rsidRPr="00A47B60">
            <w:rPr>
              <w:rFonts w:ascii="Arial" w:hAnsi="Arial" w:cs="Arial"/>
              <w:noProof/>
              <w:sz w:val="22"/>
              <w:szCs w:val="22"/>
              <w:lang w:val="es-EC"/>
            </w:rPr>
            <w:t>(Peñaherrera Sarmiento, 2018)</w:t>
          </w:r>
          <w:r w:rsidRPr="00A47B60">
            <w:rPr>
              <w:rFonts w:ascii="Arial" w:hAnsi="Arial" w:cs="Arial"/>
              <w:b/>
              <w:sz w:val="22"/>
              <w:szCs w:val="22"/>
            </w:rPr>
            <w:fldChar w:fldCharType="end"/>
          </w:r>
        </w:sdtContent>
      </w:sdt>
      <w:r w:rsidR="00CB5450" w:rsidRPr="00A47B60">
        <w:rPr>
          <w:rFonts w:ascii="Arial" w:hAnsi="Arial" w:cs="Arial"/>
          <w:sz w:val="22"/>
          <w:szCs w:val="22"/>
          <w:lang w:val="es-EC"/>
        </w:rPr>
        <w:t>.</w:t>
      </w:r>
    </w:p>
    <w:p w14:paraId="2BA5407D" w14:textId="77777777" w:rsidR="00E3593A" w:rsidRPr="00A47B60" w:rsidRDefault="00E3593A" w:rsidP="005F5758">
      <w:pPr>
        <w:pStyle w:val="ListParagraph"/>
        <w:ind w:hanging="720"/>
        <w:rPr>
          <w:rFonts w:ascii="Arial" w:hAnsi="Arial" w:cs="Arial"/>
          <w:sz w:val="22"/>
          <w:szCs w:val="22"/>
          <w:highlight w:val="yellow"/>
          <w:lang w:val="es-EC"/>
        </w:rPr>
      </w:pPr>
    </w:p>
    <w:p w14:paraId="205C7611" w14:textId="77777777"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 xml:space="preserve">En este estudio se analizó y determinó la factibilidad de fusionar dos empresas públicas utilizando el proceso de absorción, como estrategia de optimización de recursos del Estado, estableciendo un modelo de gestión eficiente y eficaz al optimizar recursos económicos y de talento humano. </w:t>
      </w:r>
    </w:p>
    <w:p w14:paraId="69AC16BC" w14:textId="77777777" w:rsidR="00E3593A" w:rsidRPr="00A47B60" w:rsidRDefault="00E3593A" w:rsidP="005F5758">
      <w:pPr>
        <w:pStyle w:val="ListParagraph"/>
        <w:ind w:hanging="720"/>
        <w:rPr>
          <w:rFonts w:ascii="Arial" w:hAnsi="Arial" w:cs="Arial"/>
          <w:sz w:val="22"/>
          <w:szCs w:val="22"/>
          <w:lang w:val="es-EC"/>
        </w:rPr>
      </w:pPr>
    </w:p>
    <w:p w14:paraId="57BFA151" w14:textId="77777777"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A partir de un análisis de la legislación, y normativa que regula el funcionamiento de las empresas públicas EMGIRS EP y EMASEO EP; así como, de sus planes estratégicos y modelos de gestión se determinó el impacto que el modelo de fusión planteado tendría en sus operaciones y actividades administrativas, proponiéndose un nuevo organigrama por procesos que optimizaría el personal para cumplir con las metas y objetivos establecidos. En este sentido, la nueva empresa tendría una compilación de las competencias de las dos empresas fusionadas; además, tendría que incluir en sus competencias y actividades.</w:t>
      </w:r>
    </w:p>
    <w:p w14:paraId="2AB46A37" w14:textId="77777777" w:rsidR="00E3593A" w:rsidRPr="00A47B60" w:rsidRDefault="00E3593A" w:rsidP="005F5758">
      <w:pPr>
        <w:pStyle w:val="ListParagraph"/>
        <w:ind w:hanging="720"/>
        <w:rPr>
          <w:rFonts w:ascii="Arial" w:hAnsi="Arial" w:cs="Arial"/>
          <w:sz w:val="22"/>
          <w:szCs w:val="22"/>
          <w:lang w:val="es-EC"/>
        </w:rPr>
      </w:pPr>
    </w:p>
    <w:p w14:paraId="4FAB7AC2" w14:textId="677A8C31" w:rsidR="00E3593A" w:rsidRPr="00A47B60" w:rsidRDefault="00CB5450" w:rsidP="005F5758">
      <w:pPr>
        <w:pStyle w:val="ListParagraph"/>
        <w:numPr>
          <w:ilvl w:val="1"/>
          <w:numId w:val="10"/>
        </w:numPr>
        <w:ind w:left="720" w:hanging="720"/>
        <w:jc w:val="both"/>
        <w:rPr>
          <w:rFonts w:ascii="Arial" w:hAnsi="Arial" w:cs="Arial"/>
          <w:b/>
          <w:sz w:val="22"/>
          <w:szCs w:val="22"/>
          <w:lang w:val="es-EC"/>
        </w:rPr>
      </w:pPr>
      <w:proofErr w:type="gramStart"/>
      <w:r w:rsidRPr="00A47B60">
        <w:rPr>
          <w:rFonts w:ascii="Arial" w:hAnsi="Arial" w:cs="Arial"/>
          <w:sz w:val="22"/>
          <w:szCs w:val="22"/>
          <w:lang w:val="es-EC"/>
        </w:rPr>
        <w:t>L</w:t>
      </w:r>
      <w:r w:rsidR="0069080D" w:rsidRPr="00A47B60">
        <w:rPr>
          <w:rFonts w:ascii="Arial" w:hAnsi="Arial" w:cs="Arial"/>
          <w:sz w:val="22"/>
          <w:szCs w:val="22"/>
          <w:lang w:val="es-EC"/>
        </w:rPr>
        <w:t xml:space="preserve">a metodología </w:t>
      </w:r>
      <w:r w:rsidRPr="00A47B60">
        <w:rPr>
          <w:rFonts w:ascii="Arial" w:hAnsi="Arial" w:cs="Arial"/>
          <w:sz w:val="22"/>
          <w:szCs w:val="22"/>
          <w:lang w:val="es-EC"/>
        </w:rPr>
        <w:t xml:space="preserve">a </w:t>
      </w:r>
      <w:r w:rsidR="0069080D" w:rsidRPr="00A47B60">
        <w:rPr>
          <w:rFonts w:ascii="Arial" w:hAnsi="Arial" w:cs="Arial"/>
          <w:sz w:val="22"/>
          <w:szCs w:val="22"/>
          <w:lang w:val="es-EC"/>
        </w:rPr>
        <w:t>ser desarrollada</w:t>
      </w:r>
      <w:proofErr w:type="gramEnd"/>
      <w:r w:rsidR="0069080D" w:rsidRPr="00A47B60">
        <w:rPr>
          <w:rFonts w:ascii="Arial" w:hAnsi="Arial" w:cs="Arial"/>
          <w:sz w:val="22"/>
          <w:szCs w:val="22"/>
          <w:lang w:val="es-EC"/>
        </w:rPr>
        <w:t xml:space="preserve"> es una Evaluación Antes y Después</w:t>
      </w:r>
      <w:r w:rsidRPr="00A47B60">
        <w:rPr>
          <w:rFonts w:ascii="Arial" w:hAnsi="Arial" w:cs="Arial"/>
          <w:sz w:val="22"/>
          <w:szCs w:val="22"/>
          <w:lang w:val="es-EC"/>
        </w:rPr>
        <w:t>,</w:t>
      </w:r>
      <w:r w:rsidR="0069080D" w:rsidRPr="00A47B60">
        <w:rPr>
          <w:rFonts w:ascii="Arial" w:hAnsi="Arial" w:cs="Arial"/>
          <w:sz w:val="22"/>
          <w:szCs w:val="22"/>
          <w:lang w:val="es-EC"/>
        </w:rPr>
        <w:t xml:space="preserve"> considerando solo a los tratados.</w:t>
      </w:r>
      <w:r w:rsidR="00E3593A" w:rsidRPr="00A47B60">
        <w:rPr>
          <w:rFonts w:ascii="Arial" w:hAnsi="Arial" w:cs="Arial"/>
          <w:sz w:val="22"/>
          <w:szCs w:val="22"/>
          <w:lang w:val="es-EC"/>
        </w:rPr>
        <w:t xml:space="preserve"> </w:t>
      </w:r>
      <w:r w:rsidR="0069080D" w:rsidRPr="00A47B60">
        <w:rPr>
          <w:rFonts w:ascii="Arial" w:hAnsi="Arial" w:cs="Arial"/>
          <w:sz w:val="22"/>
          <w:szCs w:val="22"/>
          <w:lang w:val="es-EC"/>
        </w:rPr>
        <w:t>Acorde a los resultados del estudio, el proceso de fusión reduciría la estructura de la empresa en al menos 67 partidas de talento humano, gen</w:t>
      </w:r>
      <w:r w:rsidRPr="00A47B60">
        <w:rPr>
          <w:rFonts w:ascii="Arial" w:hAnsi="Arial" w:cs="Arial"/>
          <w:sz w:val="22"/>
          <w:szCs w:val="22"/>
          <w:lang w:val="es-EC"/>
        </w:rPr>
        <w:t xml:space="preserve">erando un ahorro aproximado de USD </w:t>
      </w:r>
      <w:r w:rsidR="0069080D" w:rsidRPr="00A47B60">
        <w:rPr>
          <w:rFonts w:ascii="Arial" w:hAnsi="Arial" w:cs="Arial"/>
          <w:sz w:val="22"/>
          <w:szCs w:val="22"/>
          <w:lang w:val="es-EC"/>
        </w:rPr>
        <w:t xml:space="preserve">114 mil dólares mensuales, </w:t>
      </w:r>
      <w:r w:rsidRPr="00A47B60">
        <w:rPr>
          <w:rFonts w:ascii="Arial" w:hAnsi="Arial" w:cs="Arial"/>
          <w:sz w:val="22"/>
          <w:szCs w:val="22"/>
          <w:lang w:val="es-EC"/>
        </w:rPr>
        <w:t xml:space="preserve">es decir, USD </w:t>
      </w:r>
      <w:r w:rsidR="0069080D" w:rsidRPr="00A47B60">
        <w:rPr>
          <w:rFonts w:ascii="Arial" w:hAnsi="Arial" w:cs="Arial"/>
          <w:sz w:val="22"/>
          <w:szCs w:val="22"/>
          <w:lang w:val="es-EC"/>
        </w:rPr>
        <w:t>1.3 millones anuales. Se detalla que los procesos agregadores de valor no se verían afectados en esta primera fase de la absorción, más bien, se tendría una optimización de los procesos de apoyo y asesores.</w:t>
      </w:r>
    </w:p>
    <w:p w14:paraId="5E4D03E4" w14:textId="77777777" w:rsidR="00E3593A" w:rsidRPr="00A47B60" w:rsidRDefault="00E3593A" w:rsidP="005F5758">
      <w:pPr>
        <w:pStyle w:val="ListParagraph"/>
        <w:ind w:hanging="720"/>
        <w:rPr>
          <w:rFonts w:ascii="Arial" w:hAnsi="Arial" w:cs="Arial"/>
          <w:b/>
          <w:sz w:val="22"/>
          <w:szCs w:val="22"/>
          <w:lang w:val="es-EC"/>
        </w:rPr>
      </w:pPr>
    </w:p>
    <w:p w14:paraId="38448652" w14:textId="606965F0" w:rsidR="00E3593A" w:rsidRPr="00A47B60" w:rsidRDefault="0069080D" w:rsidP="005F5758">
      <w:pPr>
        <w:pStyle w:val="ListParagraph"/>
        <w:numPr>
          <w:ilvl w:val="1"/>
          <w:numId w:val="10"/>
        </w:numPr>
        <w:ind w:left="720" w:hanging="720"/>
        <w:jc w:val="both"/>
        <w:rPr>
          <w:rFonts w:ascii="Arial" w:hAnsi="Arial" w:cs="Arial"/>
          <w:b/>
          <w:sz w:val="22"/>
          <w:szCs w:val="22"/>
        </w:rPr>
      </w:pPr>
      <w:r w:rsidRPr="00A47B60">
        <w:rPr>
          <w:rFonts w:ascii="Arial" w:hAnsi="Arial" w:cs="Arial"/>
          <w:b/>
          <w:sz w:val="22"/>
          <w:szCs w:val="22"/>
          <w:lang w:val="en-GB"/>
        </w:rPr>
        <w:t>The impact of the corporatization process on the financial performance of C</w:t>
      </w:r>
      <w:r w:rsidR="002D6177" w:rsidRPr="00A47B60">
        <w:rPr>
          <w:rFonts w:ascii="Arial" w:hAnsi="Arial" w:cs="Arial"/>
          <w:b/>
          <w:sz w:val="22"/>
          <w:szCs w:val="22"/>
          <w:lang w:val="en-GB"/>
        </w:rPr>
        <w:t>anadian state-owned enterprises</w:t>
      </w:r>
      <w:r w:rsidRPr="00A47B60">
        <w:rPr>
          <w:rFonts w:ascii="Arial" w:hAnsi="Arial" w:cs="Arial"/>
          <w:b/>
          <w:sz w:val="22"/>
          <w:szCs w:val="22"/>
          <w:lang w:val="en-GB"/>
        </w:rPr>
        <w:t xml:space="preserve"> </w:t>
      </w:r>
      <w:sdt>
        <w:sdtPr>
          <w:rPr>
            <w:rFonts w:ascii="Arial" w:hAnsi="Arial" w:cs="Arial"/>
            <w:sz w:val="22"/>
            <w:szCs w:val="22"/>
          </w:rPr>
          <w:id w:val="-1425034156"/>
          <w:citation/>
        </w:sdtPr>
        <w:sdtEndPr/>
        <w:sdtContent>
          <w:r w:rsidRPr="00A47B60">
            <w:rPr>
              <w:rFonts w:ascii="Arial" w:hAnsi="Arial" w:cs="Arial"/>
              <w:b/>
              <w:sz w:val="22"/>
              <w:szCs w:val="22"/>
              <w:lang w:val="en-GB"/>
            </w:rPr>
            <w:fldChar w:fldCharType="begin"/>
          </w:r>
          <w:r w:rsidRPr="00A47B60">
            <w:rPr>
              <w:rFonts w:ascii="Arial" w:hAnsi="Arial" w:cs="Arial"/>
              <w:b/>
              <w:sz w:val="22"/>
              <w:szCs w:val="22"/>
              <w:lang w:val="en-GB"/>
            </w:rPr>
            <w:instrText xml:space="preserve"> CITATION Boz03 \l 12298 </w:instrText>
          </w:r>
          <w:r w:rsidRPr="00A47B60">
            <w:rPr>
              <w:rFonts w:ascii="Arial" w:hAnsi="Arial" w:cs="Arial"/>
              <w:b/>
              <w:sz w:val="22"/>
              <w:szCs w:val="22"/>
              <w:lang w:val="en-GB"/>
            </w:rPr>
            <w:fldChar w:fldCharType="separate"/>
          </w:r>
          <w:r w:rsidRPr="00A47B60">
            <w:rPr>
              <w:rFonts w:ascii="Arial" w:hAnsi="Arial" w:cs="Arial"/>
              <w:noProof/>
              <w:sz w:val="22"/>
              <w:szCs w:val="22"/>
            </w:rPr>
            <w:t>(Bozec &amp; Breton, 2003)</w:t>
          </w:r>
          <w:r w:rsidRPr="00A47B60">
            <w:rPr>
              <w:rFonts w:ascii="Arial" w:hAnsi="Arial" w:cs="Arial"/>
              <w:b/>
              <w:sz w:val="22"/>
              <w:szCs w:val="22"/>
              <w:lang w:val="en-GB"/>
            </w:rPr>
            <w:fldChar w:fldCharType="end"/>
          </w:r>
        </w:sdtContent>
      </w:sdt>
      <w:r w:rsidR="00E3593A" w:rsidRPr="00A47B60">
        <w:rPr>
          <w:rFonts w:ascii="Arial" w:hAnsi="Arial" w:cs="Arial"/>
          <w:sz w:val="22"/>
          <w:szCs w:val="22"/>
        </w:rPr>
        <w:t>.</w:t>
      </w:r>
    </w:p>
    <w:p w14:paraId="09EFB609" w14:textId="77777777" w:rsidR="00E3593A" w:rsidRPr="00A47B60" w:rsidRDefault="00E3593A" w:rsidP="005F5758">
      <w:pPr>
        <w:ind w:left="720" w:hanging="720"/>
        <w:jc w:val="both"/>
        <w:rPr>
          <w:rFonts w:ascii="Arial" w:hAnsi="Arial" w:cs="Arial"/>
          <w:b/>
          <w:sz w:val="22"/>
          <w:szCs w:val="22"/>
          <w:lang w:val="en-US"/>
        </w:rPr>
      </w:pPr>
    </w:p>
    <w:p w14:paraId="19F0802A" w14:textId="22186305"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 xml:space="preserve">Se estimó la rentabilidad utilizando los índices de retorno de ventas y de activos. </w:t>
      </w:r>
      <w:r w:rsidRPr="00A47B60">
        <w:rPr>
          <w:rFonts w:ascii="Arial" w:hAnsi="Arial" w:cs="Arial"/>
          <w:sz w:val="22"/>
          <w:szCs w:val="22"/>
          <w:lang w:val="es-ES"/>
        </w:rPr>
        <w:t>Estos índices se calculan a partir de las ganancias antes de intereses, impuestos y elementos extraordinarios (EBITE). El uso de las ganancias antes de los interes</w:t>
      </w:r>
      <w:r w:rsidR="00572048" w:rsidRPr="00A47B60">
        <w:rPr>
          <w:rFonts w:ascii="Arial" w:hAnsi="Arial" w:cs="Arial"/>
          <w:sz w:val="22"/>
          <w:szCs w:val="22"/>
          <w:lang w:val="es-ES"/>
        </w:rPr>
        <w:t>e</w:t>
      </w:r>
      <w:r w:rsidRPr="00A47B60">
        <w:rPr>
          <w:rFonts w:ascii="Arial" w:hAnsi="Arial" w:cs="Arial"/>
          <w:sz w:val="22"/>
          <w:szCs w:val="22"/>
          <w:lang w:val="es-ES"/>
        </w:rPr>
        <w:t>s brinda información independiente del costo del capital. Este enfoque, acorde los autores, se justifica por la dificultad de comprend</w:t>
      </w:r>
      <w:r w:rsidR="004F1381" w:rsidRPr="00A47B60">
        <w:rPr>
          <w:rFonts w:ascii="Arial" w:hAnsi="Arial" w:cs="Arial"/>
          <w:sz w:val="22"/>
          <w:szCs w:val="22"/>
          <w:lang w:val="es-ES"/>
        </w:rPr>
        <w:t>er la noción de capital en una empresa estatal, a</w:t>
      </w:r>
      <w:r w:rsidRPr="00A47B60">
        <w:rPr>
          <w:rFonts w:ascii="Arial" w:hAnsi="Arial" w:cs="Arial"/>
          <w:sz w:val="22"/>
          <w:szCs w:val="22"/>
          <w:lang w:val="es-ES"/>
        </w:rPr>
        <w:t xml:space="preserve">demás, </w:t>
      </w:r>
      <w:r w:rsidR="004F1381" w:rsidRPr="00A47B60">
        <w:rPr>
          <w:rFonts w:ascii="Arial" w:hAnsi="Arial" w:cs="Arial"/>
          <w:sz w:val="22"/>
          <w:szCs w:val="22"/>
          <w:lang w:val="es-ES"/>
        </w:rPr>
        <w:t xml:space="preserve">que </w:t>
      </w:r>
      <w:r w:rsidRPr="00A47B60">
        <w:rPr>
          <w:rFonts w:ascii="Arial" w:hAnsi="Arial" w:cs="Arial"/>
          <w:sz w:val="22"/>
          <w:szCs w:val="22"/>
          <w:lang w:val="es-ES"/>
        </w:rPr>
        <w:t>el capital y la deuda</w:t>
      </w:r>
      <w:r w:rsidR="004F1381" w:rsidRPr="00A47B60">
        <w:rPr>
          <w:rFonts w:ascii="Arial" w:hAnsi="Arial" w:cs="Arial"/>
          <w:sz w:val="22"/>
          <w:szCs w:val="22"/>
          <w:lang w:val="es-ES"/>
        </w:rPr>
        <w:t>,</w:t>
      </w:r>
      <w:r w:rsidRPr="00A47B60">
        <w:rPr>
          <w:rFonts w:ascii="Arial" w:hAnsi="Arial" w:cs="Arial"/>
          <w:sz w:val="22"/>
          <w:szCs w:val="22"/>
          <w:lang w:val="es-ES"/>
        </w:rPr>
        <w:t xml:space="preserve"> usualmente son financiados por el estado. </w:t>
      </w:r>
      <w:r w:rsidRPr="00A47B60">
        <w:rPr>
          <w:rFonts w:ascii="Arial" w:hAnsi="Arial" w:cs="Arial"/>
          <w:sz w:val="22"/>
          <w:szCs w:val="22"/>
          <w:lang w:val="es-EC"/>
        </w:rPr>
        <w:t xml:space="preserve">Adicionalmente, se menciona </w:t>
      </w:r>
      <w:r w:rsidR="004F1381" w:rsidRPr="00A47B60">
        <w:rPr>
          <w:rFonts w:ascii="Arial" w:hAnsi="Arial" w:cs="Arial"/>
          <w:sz w:val="22"/>
          <w:szCs w:val="22"/>
          <w:lang w:val="es-EC"/>
        </w:rPr>
        <w:t>que,</w:t>
      </w:r>
      <w:r w:rsidRPr="00A47B60">
        <w:rPr>
          <w:rFonts w:ascii="Arial" w:hAnsi="Arial" w:cs="Arial"/>
          <w:sz w:val="22"/>
          <w:szCs w:val="22"/>
          <w:lang w:val="es-EC"/>
        </w:rPr>
        <w:t xml:space="preserve"> si bien las empresas estatales no suelen pagar impuestos sobre la renta, </w:t>
      </w:r>
      <w:r w:rsidRPr="00A47B60">
        <w:rPr>
          <w:rFonts w:ascii="Arial" w:hAnsi="Arial" w:cs="Arial"/>
          <w:sz w:val="22"/>
          <w:szCs w:val="22"/>
          <w:lang w:val="es-EC"/>
        </w:rPr>
        <w:lastRenderedPageBreak/>
        <w:t>hubo algunos gobiernos provinciales que comenzaron a imponer im</w:t>
      </w:r>
      <w:r w:rsidR="004F1381" w:rsidRPr="00A47B60">
        <w:rPr>
          <w:rFonts w:ascii="Arial" w:hAnsi="Arial" w:cs="Arial"/>
          <w:sz w:val="22"/>
          <w:szCs w:val="22"/>
          <w:lang w:val="es-EC"/>
        </w:rPr>
        <w:t>puestos a las empresas públicas</w:t>
      </w:r>
      <w:r w:rsidRPr="00A47B60">
        <w:rPr>
          <w:rFonts w:ascii="Arial" w:hAnsi="Arial" w:cs="Arial"/>
          <w:sz w:val="22"/>
          <w:szCs w:val="22"/>
          <w:lang w:val="es-EC"/>
        </w:rPr>
        <w:t xml:space="preserve"> durante el per</w:t>
      </w:r>
      <w:r w:rsidR="004F1381" w:rsidRPr="00A47B60">
        <w:rPr>
          <w:rFonts w:ascii="Arial" w:hAnsi="Arial" w:cs="Arial"/>
          <w:sz w:val="22"/>
          <w:szCs w:val="22"/>
          <w:lang w:val="es-EC"/>
        </w:rPr>
        <w:t>í</w:t>
      </w:r>
      <w:r w:rsidRPr="00A47B60">
        <w:rPr>
          <w:rFonts w:ascii="Arial" w:hAnsi="Arial" w:cs="Arial"/>
          <w:sz w:val="22"/>
          <w:szCs w:val="22"/>
          <w:lang w:val="es-EC"/>
        </w:rPr>
        <w:t>odo cubierto del estudio, por lo cual</w:t>
      </w:r>
      <w:r w:rsidR="004F1381" w:rsidRPr="00A47B60">
        <w:rPr>
          <w:rFonts w:ascii="Arial" w:hAnsi="Arial" w:cs="Arial"/>
          <w:sz w:val="22"/>
          <w:szCs w:val="22"/>
          <w:lang w:val="es-EC"/>
        </w:rPr>
        <w:t>,</w:t>
      </w:r>
      <w:r w:rsidRPr="00A47B60">
        <w:rPr>
          <w:rFonts w:ascii="Arial" w:hAnsi="Arial" w:cs="Arial"/>
          <w:sz w:val="22"/>
          <w:szCs w:val="22"/>
          <w:lang w:val="es-EC"/>
        </w:rPr>
        <w:t xml:space="preserve"> los autores justifican el uso las ganancias antes del impuesto sobre la renta</w:t>
      </w:r>
      <w:r w:rsidR="004F1381" w:rsidRPr="00A47B60">
        <w:rPr>
          <w:rFonts w:ascii="Arial" w:hAnsi="Arial" w:cs="Arial"/>
          <w:sz w:val="22"/>
          <w:szCs w:val="22"/>
          <w:lang w:val="es-EC"/>
        </w:rPr>
        <w:t>,</w:t>
      </w:r>
      <w:r w:rsidRPr="00A47B60">
        <w:rPr>
          <w:rFonts w:ascii="Arial" w:hAnsi="Arial" w:cs="Arial"/>
          <w:sz w:val="22"/>
          <w:szCs w:val="22"/>
          <w:lang w:val="es-EC"/>
        </w:rPr>
        <w:t xml:space="preserve"> como lo más apropiado. </w:t>
      </w:r>
    </w:p>
    <w:p w14:paraId="3392C75F" w14:textId="77777777" w:rsidR="00E3593A" w:rsidRPr="00A47B60" w:rsidRDefault="00E3593A" w:rsidP="00E3593A">
      <w:pPr>
        <w:pStyle w:val="ListParagraph"/>
        <w:rPr>
          <w:rFonts w:ascii="Arial" w:hAnsi="Arial" w:cs="Arial"/>
          <w:sz w:val="22"/>
          <w:szCs w:val="22"/>
          <w:lang w:val="es-EC"/>
        </w:rPr>
      </w:pPr>
    </w:p>
    <w:p w14:paraId="0A1204F0" w14:textId="72DADCC6"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La metodología responde a una</w:t>
      </w:r>
      <w:r w:rsidR="004F1381" w:rsidRPr="00A47B60">
        <w:rPr>
          <w:rFonts w:ascii="Arial" w:hAnsi="Arial" w:cs="Arial"/>
          <w:sz w:val="22"/>
          <w:szCs w:val="22"/>
          <w:lang w:val="es-EC"/>
        </w:rPr>
        <w:t xml:space="preserve"> Evaluación de Impacto antes y d</w:t>
      </w:r>
      <w:r w:rsidRPr="00A47B60">
        <w:rPr>
          <w:rFonts w:ascii="Arial" w:hAnsi="Arial" w:cs="Arial"/>
          <w:sz w:val="22"/>
          <w:szCs w:val="22"/>
          <w:lang w:val="es-EC"/>
        </w:rPr>
        <w:t>espués, considerando el grupo de tratados y controles.</w:t>
      </w:r>
      <w:r w:rsidR="00E3593A" w:rsidRPr="00A47B60">
        <w:rPr>
          <w:rFonts w:ascii="Arial" w:hAnsi="Arial" w:cs="Arial"/>
          <w:sz w:val="22"/>
          <w:szCs w:val="22"/>
          <w:lang w:val="es-EC"/>
        </w:rPr>
        <w:t xml:space="preserve"> </w:t>
      </w:r>
      <w:r w:rsidRPr="00A47B60">
        <w:rPr>
          <w:rFonts w:ascii="Arial" w:hAnsi="Arial" w:cs="Arial"/>
          <w:sz w:val="22"/>
          <w:szCs w:val="22"/>
          <w:lang w:val="es-EC"/>
        </w:rPr>
        <w:t xml:space="preserve">Al comparar el desempeño de las empresas </w:t>
      </w:r>
      <w:r w:rsidR="004F1381" w:rsidRPr="00A47B60">
        <w:rPr>
          <w:rFonts w:ascii="Arial" w:hAnsi="Arial" w:cs="Arial"/>
          <w:sz w:val="22"/>
          <w:szCs w:val="22"/>
          <w:lang w:val="es-EC"/>
        </w:rPr>
        <w:t>públicas</w:t>
      </w:r>
      <w:r w:rsidRPr="00A47B60">
        <w:rPr>
          <w:rFonts w:ascii="Arial" w:hAnsi="Arial" w:cs="Arial"/>
          <w:sz w:val="22"/>
          <w:szCs w:val="22"/>
          <w:lang w:val="es-EC"/>
        </w:rPr>
        <w:t xml:space="preserve"> que se han </w:t>
      </w:r>
      <w:proofErr w:type="spellStart"/>
      <w:r w:rsidRPr="00A47B60">
        <w:rPr>
          <w:rFonts w:ascii="Arial" w:hAnsi="Arial" w:cs="Arial"/>
          <w:sz w:val="22"/>
          <w:szCs w:val="22"/>
          <w:lang w:val="es-EC"/>
        </w:rPr>
        <w:t>corpora</w:t>
      </w:r>
      <w:r w:rsidR="00572048" w:rsidRPr="00A47B60">
        <w:rPr>
          <w:rFonts w:ascii="Arial" w:hAnsi="Arial" w:cs="Arial"/>
          <w:sz w:val="22"/>
          <w:szCs w:val="22"/>
          <w:lang w:val="es-EC"/>
        </w:rPr>
        <w:t>t</w:t>
      </w:r>
      <w:r w:rsidR="00387A42" w:rsidRPr="00A47B60">
        <w:rPr>
          <w:rFonts w:ascii="Arial" w:hAnsi="Arial" w:cs="Arial"/>
          <w:sz w:val="22"/>
          <w:szCs w:val="22"/>
          <w:lang w:val="es-EC"/>
        </w:rPr>
        <w:t>i</w:t>
      </w:r>
      <w:r w:rsidRPr="00A47B60">
        <w:rPr>
          <w:rFonts w:ascii="Arial" w:hAnsi="Arial" w:cs="Arial"/>
          <w:sz w:val="22"/>
          <w:szCs w:val="22"/>
          <w:lang w:val="es-EC"/>
        </w:rPr>
        <w:t>zado</w:t>
      </w:r>
      <w:proofErr w:type="spellEnd"/>
      <w:r w:rsidR="004F1381" w:rsidRPr="00A47B60">
        <w:rPr>
          <w:rFonts w:ascii="Arial" w:hAnsi="Arial" w:cs="Arial"/>
          <w:sz w:val="22"/>
          <w:szCs w:val="22"/>
          <w:lang w:val="es-EC"/>
        </w:rPr>
        <w:t>,</w:t>
      </w:r>
      <w:r w:rsidRPr="00A47B60">
        <w:rPr>
          <w:rFonts w:ascii="Arial" w:hAnsi="Arial" w:cs="Arial"/>
          <w:sz w:val="22"/>
          <w:szCs w:val="22"/>
          <w:lang w:val="es-EC"/>
        </w:rPr>
        <w:t xml:space="preserve"> </w:t>
      </w:r>
      <w:r w:rsidR="004F1381" w:rsidRPr="00A47B60">
        <w:rPr>
          <w:rFonts w:ascii="Arial" w:hAnsi="Arial" w:cs="Arial"/>
          <w:sz w:val="22"/>
          <w:szCs w:val="22"/>
          <w:lang w:val="es-EC"/>
        </w:rPr>
        <w:t>respecto</w:t>
      </w:r>
      <w:r w:rsidRPr="00A47B60">
        <w:rPr>
          <w:rFonts w:ascii="Arial" w:hAnsi="Arial" w:cs="Arial"/>
          <w:sz w:val="22"/>
          <w:szCs w:val="22"/>
          <w:lang w:val="es-EC"/>
        </w:rPr>
        <w:t xml:space="preserve"> aquellas que n</w:t>
      </w:r>
      <w:r w:rsidR="004F1381" w:rsidRPr="00A47B60">
        <w:rPr>
          <w:rFonts w:ascii="Arial" w:hAnsi="Arial" w:cs="Arial"/>
          <w:sz w:val="22"/>
          <w:szCs w:val="22"/>
          <w:lang w:val="es-EC"/>
        </w:rPr>
        <w:t>o lo han hecho.</w:t>
      </w:r>
      <w:r w:rsidRPr="00A47B60">
        <w:rPr>
          <w:rFonts w:ascii="Arial" w:hAnsi="Arial" w:cs="Arial"/>
          <w:sz w:val="22"/>
          <w:szCs w:val="22"/>
          <w:lang w:val="es-EC"/>
        </w:rPr>
        <w:t xml:space="preserve"> </w:t>
      </w:r>
      <w:r w:rsidR="004F1381" w:rsidRPr="00A47B60">
        <w:rPr>
          <w:rFonts w:ascii="Arial" w:hAnsi="Arial" w:cs="Arial"/>
          <w:sz w:val="22"/>
          <w:szCs w:val="22"/>
          <w:lang w:val="es-EC"/>
        </w:rPr>
        <w:t>S</w:t>
      </w:r>
      <w:r w:rsidRPr="00A47B60">
        <w:rPr>
          <w:rFonts w:ascii="Arial" w:hAnsi="Arial" w:cs="Arial"/>
          <w:sz w:val="22"/>
          <w:szCs w:val="22"/>
          <w:lang w:val="es-EC"/>
        </w:rPr>
        <w:t xml:space="preserve">e concluye que la rentabilidad y la productividad son mucho mejores para las empresas </w:t>
      </w:r>
      <w:r w:rsidR="00387A42" w:rsidRPr="00A47B60">
        <w:rPr>
          <w:rFonts w:ascii="Arial" w:hAnsi="Arial" w:cs="Arial"/>
          <w:sz w:val="22"/>
          <w:szCs w:val="22"/>
          <w:lang w:val="es-EC"/>
        </w:rPr>
        <w:t>públicas</w:t>
      </w:r>
      <w:r w:rsidRPr="00A47B60">
        <w:rPr>
          <w:rFonts w:ascii="Arial" w:hAnsi="Arial" w:cs="Arial"/>
          <w:sz w:val="22"/>
          <w:szCs w:val="22"/>
          <w:lang w:val="es-EC"/>
        </w:rPr>
        <w:t xml:space="preserve"> que se han reestructurado, tanto financiera como organizativamente, para operar como empresas privadas. </w:t>
      </w:r>
      <w:r w:rsidRPr="00A47B60">
        <w:rPr>
          <w:rFonts w:ascii="Arial" w:hAnsi="Arial" w:cs="Arial"/>
          <w:sz w:val="22"/>
          <w:szCs w:val="22"/>
          <w:lang w:val="es-ES"/>
        </w:rPr>
        <w:t>Las</w:t>
      </w:r>
      <w:r w:rsidR="004F1381" w:rsidRPr="00A47B60">
        <w:rPr>
          <w:rFonts w:ascii="Arial" w:hAnsi="Arial" w:cs="Arial"/>
          <w:sz w:val="22"/>
          <w:szCs w:val="22"/>
          <w:lang w:val="es-ES"/>
        </w:rPr>
        <w:t xml:space="preserve"> diferencias más notables se dan</w:t>
      </w:r>
      <w:r w:rsidRPr="00A47B60">
        <w:rPr>
          <w:rFonts w:ascii="Arial" w:hAnsi="Arial" w:cs="Arial"/>
          <w:sz w:val="22"/>
          <w:szCs w:val="22"/>
          <w:lang w:val="es-ES"/>
        </w:rPr>
        <w:t xml:space="preserve"> para el índice de retorno de activos y para el índice de rotación de activos. La razón parece ser</w:t>
      </w:r>
      <w:r w:rsidR="00387A42" w:rsidRPr="00A47B60">
        <w:rPr>
          <w:rFonts w:ascii="Arial" w:hAnsi="Arial" w:cs="Arial"/>
          <w:sz w:val="22"/>
          <w:szCs w:val="22"/>
          <w:lang w:val="es-ES"/>
        </w:rPr>
        <w:t>,</w:t>
      </w:r>
      <w:r w:rsidRPr="00A47B60">
        <w:rPr>
          <w:rFonts w:ascii="Arial" w:hAnsi="Arial" w:cs="Arial"/>
          <w:sz w:val="22"/>
          <w:szCs w:val="22"/>
          <w:lang w:val="es-ES"/>
        </w:rPr>
        <w:t xml:space="preserve"> un mayor nivel de ventas para las empresas estatales corporativas. Para evaluar con mayor precisión el impacto del proceso de </w:t>
      </w:r>
      <w:proofErr w:type="spellStart"/>
      <w:r w:rsidRPr="00A47B60">
        <w:rPr>
          <w:rFonts w:ascii="Arial" w:hAnsi="Arial" w:cs="Arial"/>
          <w:sz w:val="22"/>
          <w:szCs w:val="22"/>
          <w:lang w:val="es-ES"/>
        </w:rPr>
        <w:t>corporatización</w:t>
      </w:r>
      <w:proofErr w:type="spellEnd"/>
      <w:r w:rsidRPr="00A47B60">
        <w:rPr>
          <w:rFonts w:ascii="Arial" w:hAnsi="Arial" w:cs="Arial"/>
          <w:sz w:val="22"/>
          <w:szCs w:val="22"/>
          <w:lang w:val="es-ES"/>
        </w:rPr>
        <w:t xml:space="preserve"> en el rendimiento, las comparaciones se reformularon considerando solo las empresas </w:t>
      </w:r>
      <w:r w:rsidR="00387A42" w:rsidRPr="00A47B60">
        <w:rPr>
          <w:rFonts w:ascii="Arial" w:hAnsi="Arial" w:cs="Arial"/>
          <w:sz w:val="22"/>
          <w:szCs w:val="22"/>
          <w:lang w:val="es-ES"/>
        </w:rPr>
        <w:t>públicas</w:t>
      </w:r>
      <w:r w:rsidRPr="00A47B60">
        <w:rPr>
          <w:rFonts w:ascii="Arial" w:hAnsi="Arial" w:cs="Arial"/>
          <w:sz w:val="22"/>
          <w:szCs w:val="22"/>
          <w:lang w:val="es-ES"/>
        </w:rPr>
        <w:t xml:space="preserve"> que se han </w:t>
      </w:r>
      <w:proofErr w:type="spellStart"/>
      <w:r w:rsidRPr="00A47B60">
        <w:rPr>
          <w:rFonts w:ascii="Arial" w:hAnsi="Arial" w:cs="Arial"/>
          <w:sz w:val="22"/>
          <w:szCs w:val="22"/>
          <w:lang w:val="es-ES"/>
        </w:rPr>
        <w:t>corporat</w:t>
      </w:r>
      <w:r w:rsidR="00387A42" w:rsidRPr="00A47B60">
        <w:rPr>
          <w:rFonts w:ascii="Arial" w:hAnsi="Arial" w:cs="Arial"/>
          <w:sz w:val="22"/>
          <w:szCs w:val="22"/>
          <w:lang w:val="es-ES"/>
        </w:rPr>
        <w:t>i</w:t>
      </w:r>
      <w:r w:rsidRPr="00A47B60">
        <w:rPr>
          <w:rFonts w:ascii="Arial" w:hAnsi="Arial" w:cs="Arial"/>
          <w:sz w:val="22"/>
          <w:szCs w:val="22"/>
          <w:lang w:val="es-ES"/>
        </w:rPr>
        <w:t>zado</w:t>
      </w:r>
      <w:proofErr w:type="spellEnd"/>
      <w:r w:rsidRPr="00A47B60">
        <w:rPr>
          <w:rFonts w:ascii="Arial" w:hAnsi="Arial" w:cs="Arial"/>
          <w:sz w:val="22"/>
          <w:szCs w:val="22"/>
          <w:lang w:val="es-ES"/>
        </w:rPr>
        <w:t xml:space="preserve"> entre 1976 y 1996. </w:t>
      </w:r>
      <w:r w:rsidRPr="00A47B60">
        <w:rPr>
          <w:rFonts w:ascii="Arial" w:hAnsi="Arial" w:cs="Arial"/>
          <w:sz w:val="22"/>
          <w:szCs w:val="22"/>
          <w:lang w:val="es-EC"/>
        </w:rPr>
        <w:t xml:space="preserve">Se identifica un aumento general de la productividad en las empresas </w:t>
      </w:r>
      <w:r w:rsidR="00387A42" w:rsidRPr="00A47B60">
        <w:rPr>
          <w:rFonts w:ascii="Arial" w:hAnsi="Arial" w:cs="Arial"/>
          <w:sz w:val="22"/>
          <w:szCs w:val="22"/>
          <w:lang w:val="es-EC"/>
        </w:rPr>
        <w:t>públicas</w:t>
      </w:r>
      <w:r w:rsidRPr="00A47B60">
        <w:rPr>
          <w:rFonts w:ascii="Arial" w:hAnsi="Arial" w:cs="Arial"/>
          <w:sz w:val="22"/>
          <w:szCs w:val="22"/>
          <w:lang w:val="es-EC"/>
        </w:rPr>
        <w:t xml:space="preserve"> corporativas</w:t>
      </w:r>
      <w:r w:rsidR="00387A42" w:rsidRPr="00A47B60">
        <w:rPr>
          <w:rFonts w:ascii="Arial" w:hAnsi="Arial" w:cs="Arial"/>
          <w:sz w:val="22"/>
          <w:szCs w:val="22"/>
          <w:lang w:val="es-EC"/>
        </w:rPr>
        <w:t>.</w:t>
      </w:r>
      <w:r w:rsidRPr="00A47B60">
        <w:rPr>
          <w:rFonts w:ascii="Arial" w:hAnsi="Arial" w:cs="Arial"/>
          <w:sz w:val="22"/>
          <w:szCs w:val="22"/>
          <w:lang w:val="es-EC"/>
        </w:rPr>
        <w:t xml:space="preserve"> </w:t>
      </w:r>
    </w:p>
    <w:p w14:paraId="6432280F" w14:textId="77777777" w:rsidR="00E3593A" w:rsidRPr="00A47B60" w:rsidRDefault="00E3593A" w:rsidP="005F5758">
      <w:pPr>
        <w:pStyle w:val="ListParagraph"/>
        <w:ind w:hanging="720"/>
        <w:rPr>
          <w:rFonts w:ascii="Arial" w:hAnsi="Arial" w:cs="Arial"/>
          <w:sz w:val="22"/>
          <w:szCs w:val="22"/>
          <w:lang w:val="es-EC"/>
        </w:rPr>
      </w:pPr>
    </w:p>
    <w:p w14:paraId="224591DD" w14:textId="2C549B77" w:rsidR="00E3593A" w:rsidRPr="00A47B60" w:rsidRDefault="0069080D" w:rsidP="005F5758">
      <w:pPr>
        <w:pStyle w:val="ListParagraph"/>
        <w:numPr>
          <w:ilvl w:val="1"/>
          <w:numId w:val="10"/>
        </w:numPr>
        <w:ind w:left="720" w:hanging="720"/>
        <w:jc w:val="both"/>
        <w:rPr>
          <w:rFonts w:ascii="Arial" w:hAnsi="Arial" w:cs="Arial"/>
          <w:b/>
          <w:sz w:val="22"/>
          <w:szCs w:val="22"/>
          <w:lang w:val="es-EC"/>
        </w:rPr>
      </w:pPr>
      <w:r w:rsidRPr="00A47B60">
        <w:rPr>
          <w:rFonts w:ascii="Arial" w:hAnsi="Arial" w:cs="Arial"/>
          <w:sz w:val="22"/>
          <w:szCs w:val="22"/>
          <w:lang w:val="es-EC"/>
        </w:rPr>
        <w:t xml:space="preserve">Las principales advertencias en este trabajo giran en torno al estado de las empresas </w:t>
      </w:r>
      <w:r w:rsidR="00387A42" w:rsidRPr="00A47B60">
        <w:rPr>
          <w:rFonts w:ascii="Arial" w:hAnsi="Arial" w:cs="Arial"/>
          <w:sz w:val="22"/>
          <w:szCs w:val="22"/>
          <w:lang w:val="es-EC"/>
        </w:rPr>
        <w:t>públicas</w:t>
      </w:r>
      <w:r w:rsidRPr="00A47B60">
        <w:rPr>
          <w:rFonts w:ascii="Arial" w:hAnsi="Arial" w:cs="Arial"/>
          <w:sz w:val="22"/>
          <w:szCs w:val="22"/>
          <w:lang w:val="es-EC"/>
        </w:rPr>
        <w:t xml:space="preserve">, ya que a menudo se encuentran en sectores monopólicos u </w:t>
      </w:r>
      <w:proofErr w:type="spellStart"/>
      <w:r w:rsidRPr="00A47B60">
        <w:rPr>
          <w:rFonts w:ascii="Arial" w:hAnsi="Arial" w:cs="Arial"/>
          <w:sz w:val="22"/>
          <w:szCs w:val="22"/>
          <w:lang w:val="es-EC"/>
        </w:rPr>
        <w:t>oligopolísticos</w:t>
      </w:r>
      <w:proofErr w:type="spellEnd"/>
      <w:r w:rsidRPr="00A47B60">
        <w:rPr>
          <w:rFonts w:ascii="Arial" w:hAnsi="Arial" w:cs="Arial"/>
          <w:sz w:val="22"/>
          <w:szCs w:val="22"/>
          <w:lang w:val="es-EC"/>
        </w:rPr>
        <w:t xml:space="preserve">. </w:t>
      </w:r>
      <w:r w:rsidRPr="00A47B60">
        <w:rPr>
          <w:rFonts w:ascii="Arial" w:hAnsi="Arial" w:cs="Arial"/>
          <w:sz w:val="22"/>
          <w:szCs w:val="22"/>
          <w:lang w:val="es-ES"/>
        </w:rPr>
        <w:t xml:space="preserve">En consecuencia, pueden ser rentables a pesar de su conjunto especial de objetivos. </w:t>
      </w:r>
      <w:r w:rsidR="00A47B60" w:rsidRPr="00A47B60">
        <w:rPr>
          <w:rFonts w:ascii="Arial" w:hAnsi="Arial" w:cs="Arial"/>
          <w:sz w:val="22"/>
          <w:szCs w:val="22"/>
          <w:lang w:val="es-EC"/>
        </w:rPr>
        <w:t>Adicionalmente, se destaca que</w:t>
      </w:r>
      <w:r w:rsidRPr="00A47B60">
        <w:rPr>
          <w:rFonts w:ascii="Arial" w:hAnsi="Arial" w:cs="Arial"/>
          <w:sz w:val="22"/>
          <w:szCs w:val="22"/>
          <w:lang w:val="es-EC"/>
        </w:rPr>
        <w:t xml:space="preserve"> son difíciles de comparar con empresas privadas equivalentes. </w:t>
      </w:r>
    </w:p>
    <w:p w14:paraId="3C21C945" w14:textId="77777777" w:rsidR="00E3593A" w:rsidRPr="00A47B60" w:rsidRDefault="00E3593A" w:rsidP="005F5758">
      <w:pPr>
        <w:pStyle w:val="ListParagraph"/>
        <w:ind w:hanging="720"/>
        <w:rPr>
          <w:rFonts w:ascii="Arial" w:hAnsi="Arial" w:cs="Arial"/>
          <w:b/>
          <w:sz w:val="22"/>
          <w:szCs w:val="22"/>
          <w:lang w:val="es-EC"/>
        </w:rPr>
      </w:pPr>
    </w:p>
    <w:p w14:paraId="00324721" w14:textId="02F8D1FC" w:rsidR="00E3593A" w:rsidRPr="005A5111" w:rsidRDefault="0069080D" w:rsidP="005F5758">
      <w:pPr>
        <w:pStyle w:val="ListParagraph"/>
        <w:numPr>
          <w:ilvl w:val="1"/>
          <w:numId w:val="10"/>
        </w:numPr>
        <w:ind w:left="720" w:hanging="720"/>
        <w:jc w:val="both"/>
        <w:rPr>
          <w:rFonts w:ascii="Arial" w:hAnsi="Arial" w:cs="Arial"/>
          <w:b/>
          <w:sz w:val="22"/>
          <w:szCs w:val="22"/>
        </w:rPr>
      </w:pPr>
      <w:r w:rsidRPr="00A47B60">
        <w:rPr>
          <w:rFonts w:ascii="Arial" w:hAnsi="Arial" w:cs="Arial"/>
          <w:b/>
          <w:sz w:val="22"/>
          <w:szCs w:val="22"/>
          <w:lang w:val="en-GB"/>
        </w:rPr>
        <w:t>The Financial and Operating Perfor</w:t>
      </w:r>
      <w:r w:rsidR="005A5111">
        <w:rPr>
          <w:rFonts w:ascii="Arial" w:hAnsi="Arial" w:cs="Arial"/>
          <w:b/>
          <w:sz w:val="22"/>
          <w:szCs w:val="22"/>
          <w:lang w:val="en-GB"/>
        </w:rPr>
        <w:t>mance of Newly Privatized Firms</w:t>
      </w:r>
      <w:r w:rsidRPr="00A47B60">
        <w:rPr>
          <w:rFonts w:ascii="Arial" w:hAnsi="Arial" w:cs="Arial"/>
          <w:b/>
          <w:sz w:val="22"/>
          <w:szCs w:val="22"/>
          <w:lang w:val="en-GB"/>
        </w:rPr>
        <w:t xml:space="preserve"> </w:t>
      </w:r>
      <w:sdt>
        <w:sdtPr>
          <w:rPr>
            <w:rFonts w:ascii="Arial" w:hAnsi="Arial" w:cs="Arial"/>
            <w:sz w:val="22"/>
            <w:szCs w:val="22"/>
            <w:lang w:val="en-GB"/>
          </w:rPr>
          <w:id w:val="1444731082"/>
          <w:citation/>
        </w:sdtPr>
        <w:sdtEndPr/>
        <w:sdtContent>
          <w:r w:rsidRPr="00A47B60">
            <w:rPr>
              <w:rFonts w:ascii="Arial" w:hAnsi="Arial" w:cs="Arial"/>
              <w:b/>
              <w:sz w:val="22"/>
              <w:szCs w:val="22"/>
              <w:lang w:val="en-GB"/>
            </w:rPr>
            <w:fldChar w:fldCharType="begin"/>
          </w:r>
          <w:r w:rsidRPr="00A47B60">
            <w:rPr>
              <w:rFonts w:ascii="Arial" w:hAnsi="Arial" w:cs="Arial"/>
              <w:b/>
              <w:sz w:val="22"/>
              <w:szCs w:val="22"/>
              <w:lang w:val="en-GB"/>
            </w:rPr>
            <w:instrText xml:space="preserve"> CITATION Bou98 \l 12298 </w:instrText>
          </w:r>
          <w:r w:rsidRPr="00A47B60">
            <w:rPr>
              <w:rFonts w:ascii="Arial" w:hAnsi="Arial" w:cs="Arial"/>
              <w:b/>
              <w:sz w:val="22"/>
              <w:szCs w:val="22"/>
              <w:lang w:val="en-GB"/>
            </w:rPr>
            <w:fldChar w:fldCharType="separate"/>
          </w:r>
          <w:r w:rsidRPr="005A5111">
            <w:rPr>
              <w:rFonts w:ascii="Arial" w:hAnsi="Arial" w:cs="Arial"/>
              <w:noProof/>
              <w:sz w:val="22"/>
              <w:szCs w:val="22"/>
            </w:rPr>
            <w:t>(Boubakri &amp; Cosset, 1998)</w:t>
          </w:r>
          <w:r w:rsidRPr="00A47B60">
            <w:rPr>
              <w:rFonts w:ascii="Arial" w:hAnsi="Arial" w:cs="Arial"/>
              <w:b/>
              <w:sz w:val="22"/>
              <w:szCs w:val="22"/>
              <w:lang w:val="en-GB"/>
            </w:rPr>
            <w:fldChar w:fldCharType="end"/>
          </w:r>
        </w:sdtContent>
      </w:sdt>
      <w:r w:rsidR="005A5111">
        <w:rPr>
          <w:rFonts w:ascii="Arial" w:hAnsi="Arial" w:cs="Arial"/>
          <w:sz w:val="22"/>
          <w:szCs w:val="22"/>
          <w:lang w:val="en-GB"/>
        </w:rPr>
        <w:t>.</w:t>
      </w:r>
    </w:p>
    <w:p w14:paraId="4DE77708" w14:textId="77777777" w:rsidR="00E3593A" w:rsidRPr="005A5111" w:rsidRDefault="00E3593A" w:rsidP="005F5758">
      <w:pPr>
        <w:pStyle w:val="ListParagraph"/>
        <w:ind w:hanging="720"/>
        <w:rPr>
          <w:rFonts w:ascii="Arial" w:hAnsi="Arial" w:cs="Arial"/>
          <w:sz w:val="22"/>
          <w:szCs w:val="22"/>
        </w:rPr>
      </w:pPr>
    </w:p>
    <w:p w14:paraId="069E6887" w14:textId="68070D9E" w:rsidR="00E3593A" w:rsidRPr="00BD7E91" w:rsidRDefault="0069080D" w:rsidP="005F5758">
      <w:pPr>
        <w:pStyle w:val="ListParagraph"/>
        <w:numPr>
          <w:ilvl w:val="1"/>
          <w:numId w:val="10"/>
        </w:numPr>
        <w:ind w:left="720" w:hanging="720"/>
        <w:jc w:val="both"/>
        <w:rPr>
          <w:rFonts w:ascii="Arial" w:hAnsi="Arial" w:cs="Arial"/>
          <w:b/>
          <w:sz w:val="22"/>
          <w:szCs w:val="22"/>
          <w:lang w:val="es-EC"/>
        </w:rPr>
      </w:pPr>
      <w:r w:rsidRPr="005A5111">
        <w:rPr>
          <w:rFonts w:ascii="Arial" w:hAnsi="Arial" w:cs="Arial"/>
          <w:sz w:val="22"/>
          <w:szCs w:val="22"/>
          <w:lang w:val="es-EC"/>
        </w:rPr>
        <w:t>Este documento examina el cambio en el desempeño financiero y operativo de 79 compañías de 21 países en desarrollo que experimentaron una privatización total o parcial durante el per</w:t>
      </w:r>
      <w:r w:rsidR="005A5111" w:rsidRPr="005A5111">
        <w:rPr>
          <w:rFonts w:ascii="Arial" w:hAnsi="Arial" w:cs="Arial"/>
          <w:sz w:val="22"/>
          <w:szCs w:val="22"/>
          <w:lang w:val="es-EC"/>
        </w:rPr>
        <w:t>í</w:t>
      </w:r>
      <w:r w:rsidRPr="005A5111">
        <w:rPr>
          <w:rFonts w:ascii="Arial" w:hAnsi="Arial" w:cs="Arial"/>
          <w:sz w:val="22"/>
          <w:szCs w:val="22"/>
          <w:lang w:val="es-EC"/>
        </w:rPr>
        <w:t xml:space="preserve">odo de 1980 a 1992. </w:t>
      </w:r>
      <w:r w:rsidRPr="005A5111">
        <w:rPr>
          <w:rFonts w:ascii="Arial" w:hAnsi="Arial" w:cs="Arial"/>
          <w:sz w:val="22"/>
          <w:szCs w:val="22"/>
          <w:lang w:val="es-ES"/>
        </w:rPr>
        <w:t xml:space="preserve">Los resultados muestran aumentos significativos en la rentabilidad, la eficiencia operativa, el gasto de inversión de capital, la producción, el nivel de empleo y los dividendos. </w:t>
      </w:r>
      <w:r w:rsidR="005A5111" w:rsidRPr="005A5111">
        <w:rPr>
          <w:rFonts w:ascii="Arial" w:hAnsi="Arial" w:cs="Arial"/>
          <w:sz w:val="22"/>
          <w:szCs w:val="22"/>
          <w:lang w:val="es-ES"/>
        </w:rPr>
        <w:t>Adicionalmente,</w:t>
      </w:r>
      <w:r w:rsidRPr="005A5111">
        <w:rPr>
          <w:rFonts w:ascii="Arial" w:hAnsi="Arial" w:cs="Arial"/>
          <w:sz w:val="22"/>
          <w:szCs w:val="22"/>
          <w:lang w:val="es-ES"/>
        </w:rPr>
        <w:t xml:space="preserve"> se encontró una disminución en el apalancamiento</w:t>
      </w:r>
      <w:r w:rsidR="005A5111" w:rsidRPr="005A5111">
        <w:rPr>
          <w:rFonts w:ascii="Arial" w:hAnsi="Arial" w:cs="Arial"/>
          <w:sz w:val="22"/>
          <w:szCs w:val="22"/>
          <w:lang w:val="es-ES"/>
        </w:rPr>
        <w:t>,</w:t>
      </w:r>
      <w:r w:rsidRPr="005A5111">
        <w:rPr>
          <w:rFonts w:ascii="Arial" w:hAnsi="Arial" w:cs="Arial"/>
          <w:sz w:val="22"/>
          <w:szCs w:val="22"/>
          <w:lang w:val="es-ES"/>
        </w:rPr>
        <w:t xml:space="preserve"> </w:t>
      </w:r>
      <w:r w:rsidR="005A5111" w:rsidRPr="005A5111">
        <w:rPr>
          <w:rFonts w:ascii="Arial" w:hAnsi="Arial" w:cs="Arial"/>
          <w:sz w:val="22"/>
          <w:szCs w:val="22"/>
          <w:lang w:val="es-ES"/>
        </w:rPr>
        <w:t>posterior</w:t>
      </w:r>
      <w:r w:rsidRPr="005A5111">
        <w:rPr>
          <w:rFonts w:ascii="Arial" w:hAnsi="Arial" w:cs="Arial"/>
          <w:sz w:val="22"/>
          <w:szCs w:val="22"/>
          <w:lang w:val="es-ES"/>
        </w:rPr>
        <w:t xml:space="preserve"> </w:t>
      </w:r>
      <w:r w:rsidR="005A5111" w:rsidRPr="005A5111">
        <w:rPr>
          <w:rFonts w:ascii="Arial" w:hAnsi="Arial" w:cs="Arial"/>
          <w:sz w:val="22"/>
          <w:szCs w:val="22"/>
          <w:lang w:val="es-ES"/>
        </w:rPr>
        <w:t>a</w:t>
      </w:r>
      <w:r w:rsidRPr="005A5111">
        <w:rPr>
          <w:rFonts w:ascii="Arial" w:hAnsi="Arial" w:cs="Arial"/>
          <w:sz w:val="22"/>
          <w:szCs w:val="22"/>
          <w:lang w:val="es-ES"/>
        </w:rPr>
        <w:t xml:space="preserve"> la privatización, pero este cambio es significativo solo para los ratios de apalancamiento no ajustados. </w:t>
      </w:r>
      <w:r w:rsidR="005A5111" w:rsidRPr="005A5111">
        <w:rPr>
          <w:rFonts w:ascii="Arial" w:hAnsi="Arial" w:cs="Arial"/>
          <w:sz w:val="22"/>
          <w:szCs w:val="22"/>
          <w:lang w:val="es-EC"/>
        </w:rPr>
        <w:t>Se identifica los indi</w:t>
      </w:r>
      <w:r w:rsidR="005A5111" w:rsidRPr="00BD7E91">
        <w:rPr>
          <w:rFonts w:ascii="Arial" w:hAnsi="Arial" w:cs="Arial"/>
          <w:sz w:val="22"/>
          <w:szCs w:val="22"/>
          <w:lang w:val="es-EC"/>
        </w:rPr>
        <w:t>cadores a</w:t>
      </w:r>
      <w:r w:rsidRPr="00BD7E91">
        <w:rPr>
          <w:rFonts w:ascii="Arial" w:hAnsi="Arial" w:cs="Arial"/>
          <w:sz w:val="22"/>
          <w:szCs w:val="22"/>
          <w:lang w:val="es-EC"/>
        </w:rPr>
        <w:t xml:space="preserve">ntes y </w:t>
      </w:r>
      <w:r w:rsidR="005A5111" w:rsidRPr="00BD7E91">
        <w:rPr>
          <w:rFonts w:ascii="Arial" w:hAnsi="Arial" w:cs="Arial"/>
          <w:sz w:val="22"/>
          <w:szCs w:val="22"/>
          <w:lang w:val="es-EC"/>
        </w:rPr>
        <w:t>d</w:t>
      </w:r>
      <w:r w:rsidRPr="00BD7E91">
        <w:rPr>
          <w:rFonts w:ascii="Arial" w:hAnsi="Arial" w:cs="Arial"/>
          <w:sz w:val="22"/>
          <w:szCs w:val="22"/>
          <w:lang w:val="es-EC"/>
        </w:rPr>
        <w:t>espués del grupo de tratamiento y se evalúan los cambios</w:t>
      </w:r>
      <w:r w:rsidRPr="00BD7E91">
        <w:rPr>
          <w:rFonts w:ascii="Arial" w:hAnsi="Arial" w:cs="Arial"/>
          <w:color w:val="000000"/>
          <w:sz w:val="22"/>
          <w:szCs w:val="22"/>
          <w:lang w:val="es-EC" w:eastAsia="es-EC"/>
        </w:rPr>
        <w:t xml:space="preserve">  </w:t>
      </w:r>
    </w:p>
    <w:p w14:paraId="186A48C8" w14:textId="77777777" w:rsidR="00E3593A" w:rsidRPr="00BD7E91" w:rsidRDefault="00E3593A" w:rsidP="005F5758">
      <w:pPr>
        <w:pStyle w:val="ListParagraph"/>
        <w:ind w:hanging="720"/>
        <w:rPr>
          <w:rFonts w:ascii="Arial" w:hAnsi="Arial" w:cs="Arial"/>
          <w:sz w:val="22"/>
          <w:szCs w:val="22"/>
          <w:lang w:val="es-EC"/>
        </w:rPr>
      </w:pPr>
    </w:p>
    <w:p w14:paraId="43591664" w14:textId="55A8C901" w:rsidR="00E3593A" w:rsidRPr="00BD7E91" w:rsidRDefault="0069080D" w:rsidP="005F5758">
      <w:pPr>
        <w:pStyle w:val="ListParagraph"/>
        <w:numPr>
          <w:ilvl w:val="1"/>
          <w:numId w:val="10"/>
        </w:numPr>
        <w:ind w:left="720" w:hanging="720"/>
        <w:jc w:val="both"/>
        <w:rPr>
          <w:rFonts w:ascii="Arial" w:hAnsi="Arial" w:cs="Arial"/>
          <w:b/>
          <w:sz w:val="22"/>
          <w:szCs w:val="22"/>
          <w:lang w:val="es-EC"/>
        </w:rPr>
      </w:pPr>
      <w:r w:rsidRPr="00BD7E91">
        <w:rPr>
          <w:rFonts w:ascii="Arial" w:hAnsi="Arial" w:cs="Arial"/>
          <w:sz w:val="22"/>
          <w:szCs w:val="22"/>
          <w:lang w:val="es-EC"/>
        </w:rPr>
        <w:t xml:space="preserve">La recopilación de datos inició en 1994 mediante la identificación de empresas recientemente privatizadas en países en desarrollo. </w:t>
      </w:r>
      <w:r w:rsidRPr="00BD7E91">
        <w:rPr>
          <w:rFonts w:ascii="Arial" w:hAnsi="Arial" w:cs="Arial"/>
          <w:sz w:val="22"/>
          <w:szCs w:val="22"/>
          <w:lang w:val="es-ES"/>
        </w:rPr>
        <w:t xml:space="preserve">Para evitar un sesgo potencial en la muestra generada, se consideró el mayor número de empresas posibles para que la información no reflejara solo las privatizaciones exitosas. El análisis realizado busca determinar si la privatización de las empresas estatales en los países en desarrollo cumple con las expectativas de los gobiernos y las agencias de desarrollo. En particular, se trata de determinar si, luego de la privatización, las empresas aumentan: su rentabilidad, su eficiencia operativa, sus gastos de capital, y su producción. </w:t>
      </w:r>
      <w:r w:rsidR="00BD7E91" w:rsidRPr="00BD7E91">
        <w:rPr>
          <w:rFonts w:ascii="Arial" w:hAnsi="Arial" w:cs="Arial"/>
          <w:sz w:val="22"/>
          <w:szCs w:val="22"/>
          <w:lang w:val="es-EC"/>
        </w:rPr>
        <w:t>Así mismo,</w:t>
      </w:r>
      <w:r w:rsidRPr="00BD7E91">
        <w:rPr>
          <w:rFonts w:ascii="Arial" w:hAnsi="Arial" w:cs="Arial"/>
          <w:sz w:val="22"/>
          <w:szCs w:val="22"/>
          <w:lang w:val="es-EC"/>
        </w:rPr>
        <w:t xml:space="preserve"> se examina el impacto de la privatización en los niveles de empleo, la estructura de capital y las políticas de dividendos.</w:t>
      </w:r>
    </w:p>
    <w:p w14:paraId="2812B10D" w14:textId="77777777" w:rsidR="00E3593A" w:rsidRPr="00BD7E91" w:rsidRDefault="00E3593A" w:rsidP="005F5758">
      <w:pPr>
        <w:pStyle w:val="ListParagraph"/>
        <w:ind w:hanging="720"/>
        <w:rPr>
          <w:rFonts w:ascii="Arial" w:eastAsiaTheme="minorEastAsia" w:hAnsi="Arial" w:cs="Arial"/>
          <w:sz w:val="22"/>
          <w:szCs w:val="22"/>
          <w:lang w:val="es-EC"/>
        </w:rPr>
      </w:pPr>
    </w:p>
    <w:p w14:paraId="5DFDC608" w14:textId="6BFD4C7B" w:rsidR="00E3593A" w:rsidRPr="00BD7E91" w:rsidRDefault="0069080D" w:rsidP="005F5758">
      <w:pPr>
        <w:pStyle w:val="ListParagraph"/>
        <w:numPr>
          <w:ilvl w:val="1"/>
          <w:numId w:val="10"/>
        </w:numPr>
        <w:ind w:left="720" w:hanging="720"/>
        <w:jc w:val="both"/>
        <w:rPr>
          <w:rFonts w:ascii="Arial" w:hAnsi="Arial" w:cs="Arial"/>
          <w:b/>
          <w:sz w:val="22"/>
          <w:szCs w:val="22"/>
          <w:lang w:val="es-EC"/>
        </w:rPr>
      </w:pPr>
      <w:r w:rsidRPr="00BD7E91">
        <w:rPr>
          <w:rFonts w:ascii="Arial" w:eastAsiaTheme="minorEastAsia" w:hAnsi="Arial" w:cs="Arial"/>
          <w:sz w:val="22"/>
          <w:szCs w:val="22"/>
          <w:lang w:val="es-EC"/>
        </w:rPr>
        <w:t>En particular, en el caso de medidas de desempeño, se observa</w:t>
      </w:r>
      <w:r w:rsidR="00BD7E91" w:rsidRPr="00BD7E91">
        <w:rPr>
          <w:rFonts w:ascii="Arial" w:eastAsiaTheme="minorEastAsia" w:hAnsi="Arial" w:cs="Arial"/>
          <w:sz w:val="22"/>
          <w:szCs w:val="22"/>
          <w:lang w:val="es-EC"/>
        </w:rPr>
        <w:t>n</w:t>
      </w:r>
      <w:r w:rsidRPr="00BD7E91">
        <w:rPr>
          <w:rFonts w:ascii="Arial" w:eastAsiaTheme="minorEastAsia" w:hAnsi="Arial" w:cs="Arial"/>
          <w:sz w:val="22"/>
          <w:szCs w:val="22"/>
          <w:lang w:val="es-EC"/>
        </w:rPr>
        <w:t xml:space="preserve"> mejoras para las firmas de países de ingresos medios-altos, para privatizaciones totales y parciales, para las privatizaciones de control</w:t>
      </w:r>
      <w:r w:rsidR="00BD7E91" w:rsidRPr="00BD7E91">
        <w:rPr>
          <w:rFonts w:ascii="Arial" w:eastAsiaTheme="minorEastAsia" w:hAnsi="Arial" w:cs="Arial"/>
          <w:sz w:val="22"/>
          <w:szCs w:val="22"/>
          <w:lang w:val="es-EC"/>
        </w:rPr>
        <w:t>,</w:t>
      </w:r>
      <w:r w:rsidRPr="00BD7E91">
        <w:rPr>
          <w:rFonts w:ascii="Arial" w:eastAsiaTheme="minorEastAsia" w:hAnsi="Arial" w:cs="Arial"/>
          <w:sz w:val="22"/>
          <w:szCs w:val="22"/>
          <w:lang w:val="es-EC"/>
        </w:rPr>
        <w:t xml:space="preserve"> donde</w:t>
      </w:r>
      <w:r w:rsidR="00BD7E91" w:rsidRPr="00BD7E91">
        <w:rPr>
          <w:rFonts w:ascii="Arial" w:eastAsiaTheme="minorEastAsia" w:hAnsi="Arial" w:cs="Arial"/>
          <w:sz w:val="22"/>
          <w:szCs w:val="22"/>
          <w:lang w:val="es-EC"/>
        </w:rPr>
        <w:t>,</w:t>
      </w:r>
      <w:r w:rsidRPr="00BD7E91">
        <w:rPr>
          <w:rFonts w:ascii="Arial" w:eastAsiaTheme="minorEastAsia" w:hAnsi="Arial" w:cs="Arial"/>
          <w:sz w:val="22"/>
          <w:szCs w:val="22"/>
          <w:lang w:val="es-EC"/>
        </w:rPr>
        <w:t xml:space="preserve"> los gobiernos entregan el control de voto, y para las privatizaciones de ingresos</w:t>
      </w:r>
      <w:r w:rsidR="00BD7E91" w:rsidRPr="00BD7E91">
        <w:rPr>
          <w:rFonts w:ascii="Arial" w:eastAsiaTheme="minorEastAsia" w:hAnsi="Arial" w:cs="Arial"/>
          <w:sz w:val="22"/>
          <w:szCs w:val="22"/>
          <w:lang w:val="es-EC"/>
        </w:rPr>
        <w:t>,</w:t>
      </w:r>
      <w:r w:rsidRPr="00BD7E91">
        <w:rPr>
          <w:rFonts w:ascii="Arial" w:eastAsiaTheme="minorEastAsia" w:hAnsi="Arial" w:cs="Arial"/>
          <w:sz w:val="22"/>
          <w:szCs w:val="22"/>
          <w:lang w:val="es-EC"/>
        </w:rPr>
        <w:t xml:space="preserve"> donde</w:t>
      </w:r>
      <w:r w:rsidR="00BD7E91" w:rsidRPr="00BD7E91">
        <w:rPr>
          <w:rFonts w:ascii="Arial" w:eastAsiaTheme="minorEastAsia" w:hAnsi="Arial" w:cs="Arial"/>
          <w:sz w:val="22"/>
          <w:szCs w:val="22"/>
          <w:lang w:val="es-EC"/>
        </w:rPr>
        <w:t>,</w:t>
      </w:r>
      <w:r w:rsidRPr="00BD7E91">
        <w:rPr>
          <w:rFonts w:ascii="Arial" w:eastAsiaTheme="minorEastAsia" w:hAnsi="Arial" w:cs="Arial"/>
          <w:sz w:val="22"/>
          <w:szCs w:val="22"/>
          <w:lang w:val="es-EC"/>
        </w:rPr>
        <w:t xml:space="preserve"> los gobiernos venden una participación minoritaria en la propiedad. </w:t>
      </w:r>
      <w:r w:rsidR="00BD7E91" w:rsidRPr="00BD7E91">
        <w:rPr>
          <w:rFonts w:ascii="Arial" w:eastAsiaTheme="minorEastAsia" w:hAnsi="Arial" w:cs="Arial"/>
          <w:sz w:val="22"/>
          <w:szCs w:val="22"/>
          <w:lang w:val="es-ES"/>
        </w:rPr>
        <w:t>De la misma manera,</w:t>
      </w:r>
      <w:r w:rsidRPr="00BD7E91">
        <w:rPr>
          <w:rFonts w:ascii="Arial" w:eastAsiaTheme="minorEastAsia" w:hAnsi="Arial" w:cs="Arial"/>
          <w:sz w:val="22"/>
          <w:szCs w:val="22"/>
          <w:lang w:val="es-ES"/>
        </w:rPr>
        <w:t xml:space="preserve"> se presenta evidencia de mejoras de desempeño </w:t>
      </w:r>
      <w:r w:rsidRPr="00BD7E91">
        <w:rPr>
          <w:rFonts w:ascii="Arial" w:eastAsiaTheme="minorEastAsia" w:hAnsi="Arial" w:cs="Arial"/>
          <w:sz w:val="22"/>
          <w:szCs w:val="22"/>
          <w:lang w:val="es-ES"/>
        </w:rPr>
        <w:lastRenderedPageBreak/>
        <w:t xml:space="preserve">(más débiles) para empresas de países de bajos ingresos y de ingresos medios-bajos. </w:t>
      </w:r>
      <w:r w:rsidRPr="00BD7E91">
        <w:rPr>
          <w:rFonts w:ascii="Arial" w:eastAsiaTheme="minorEastAsia" w:hAnsi="Arial" w:cs="Arial"/>
          <w:sz w:val="22"/>
          <w:szCs w:val="22"/>
          <w:lang w:val="es-EC"/>
        </w:rPr>
        <w:t>Además, se evidencia que las diferencias en el aumento de la rentabilidad y la eficiencia son significativamente mayores en las privatizaciones de control y las empresas de los países de ingresos medios altos</w:t>
      </w:r>
      <w:r w:rsidR="00BD7E91" w:rsidRPr="00BD7E91">
        <w:rPr>
          <w:rFonts w:ascii="Arial" w:eastAsiaTheme="minorEastAsia" w:hAnsi="Arial" w:cs="Arial"/>
          <w:sz w:val="22"/>
          <w:szCs w:val="22"/>
          <w:lang w:val="es-EC"/>
        </w:rPr>
        <w:t>,</w:t>
      </w:r>
      <w:r w:rsidRPr="00BD7E91">
        <w:rPr>
          <w:rFonts w:ascii="Arial" w:eastAsiaTheme="minorEastAsia" w:hAnsi="Arial" w:cs="Arial"/>
          <w:sz w:val="22"/>
          <w:szCs w:val="22"/>
          <w:lang w:val="es-EC"/>
        </w:rPr>
        <w:t xml:space="preserve"> respecto a las privatizaciones de ingresos y las empresas de los países de </w:t>
      </w:r>
      <w:proofErr w:type="gramStart"/>
      <w:r w:rsidRPr="00BD7E91">
        <w:rPr>
          <w:rFonts w:ascii="Arial" w:eastAsiaTheme="minorEastAsia" w:hAnsi="Arial" w:cs="Arial"/>
          <w:sz w:val="22"/>
          <w:szCs w:val="22"/>
          <w:lang w:val="es-EC"/>
        </w:rPr>
        <w:t>ingresos bajos y medios bajos</w:t>
      </w:r>
      <w:proofErr w:type="gramEnd"/>
      <w:r w:rsidRPr="00BD7E91">
        <w:rPr>
          <w:rFonts w:ascii="Arial" w:eastAsiaTheme="minorEastAsia" w:hAnsi="Arial" w:cs="Arial"/>
          <w:sz w:val="22"/>
          <w:szCs w:val="22"/>
          <w:lang w:val="es-EC"/>
        </w:rPr>
        <w:t xml:space="preserve">, respectivamente.  </w:t>
      </w:r>
    </w:p>
    <w:p w14:paraId="69AD7E33" w14:textId="77777777" w:rsidR="00E3593A" w:rsidRPr="00BD7E91" w:rsidRDefault="00E3593A" w:rsidP="00E3593A">
      <w:pPr>
        <w:pStyle w:val="ListParagraph"/>
        <w:rPr>
          <w:rFonts w:ascii="Arial" w:hAnsi="Arial" w:cs="Arial"/>
          <w:b/>
          <w:sz w:val="22"/>
          <w:szCs w:val="22"/>
          <w:lang w:val="es-EC"/>
        </w:rPr>
      </w:pPr>
    </w:p>
    <w:p w14:paraId="5CC2E90B" w14:textId="1EED5802" w:rsidR="00E3593A" w:rsidRPr="001A6374" w:rsidRDefault="0069080D" w:rsidP="005F5758">
      <w:pPr>
        <w:pStyle w:val="ListParagraph"/>
        <w:numPr>
          <w:ilvl w:val="1"/>
          <w:numId w:val="10"/>
        </w:numPr>
        <w:ind w:left="720" w:hanging="720"/>
        <w:jc w:val="both"/>
        <w:rPr>
          <w:rFonts w:ascii="Arial" w:hAnsi="Arial" w:cs="Arial"/>
          <w:b/>
          <w:sz w:val="22"/>
          <w:szCs w:val="22"/>
        </w:rPr>
      </w:pPr>
      <w:r w:rsidRPr="00BD7E91">
        <w:rPr>
          <w:rFonts w:ascii="Arial" w:hAnsi="Arial" w:cs="Arial"/>
          <w:b/>
          <w:sz w:val="22"/>
          <w:szCs w:val="22"/>
          <w:lang w:val="en-GB"/>
        </w:rPr>
        <w:t>The impact on technical efficiency of the UK privatization program</w:t>
      </w:r>
      <w:r w:rsidR="00101691" w:rsidRPr="00BD7E91">
        <w:rPr>
          <w:rFonts w:ascii="Arial" w:hAnsi="Arial" w:cs="Arial"/>
          <w:b/>
          <w:sz w:val="22"/>
          <w:szCs w:val="22"/>
          <w:lang w:val="en-GB"/>
        </w:rPr>
        <w:t>me</w:t>
      </w:r>
      <w:r w:rsidRPr="00BD7E91">
        <w:rPr>
          <w:rFonts w:ascii="Arial" w:hAnsi="Arial" w:cs="Arial"/>
          <w:b/>
          <w:sz w:val="22"/>
          <w:szCs w:val="22"/>
          <w:lang w:val="en-GB"/>
        </w:rPr>
        <w:t xml:space="preserve"> </w:t>
      </w:r>
      <w:sdt>
        <w:sdtPr>
          <w:rPr>
            <w:rFonts w:ascii="Arial" w:hAnsi="Arial" w:cs="Arial"/>
            <w:sz w:val="22"/>
            <w:szCs w:val="22"/>
            <w:lang w:val="en-GB"/>
          </w:rPr>
          <w:id w:val="337041119"/>
          <w:citation/>
        </w:sdtPr>
        <w:sdtEndPr/>
        <w:sdtContent>
          <w:r w:rsidRPr="001A6374">
            <w:rPr>
              <w:rFonts w:ascii="Arial" w:hAnsi="Arial" w:cs="Arial"/>
              <w:b/>
              <w:sz w:val="22"/>
              <w:szCs w:val="22"/>
              <w:lang w:val="en-GB"/>
            </w:rPr>
            <w:fldChar w:fldCharType="begin"/>
          </w:r>
          <w:r w:rsidRPr="001A6374">
            <w:rPr>
              <w:rFonts w:ascii="Arial" w:hAnsi="Arial" w:cs="Arial"/>
              <w:b/>
              <w:sz w:val="22"/>
              <w:szCs w:val="22"/>
              <w:lang w:val="en-GB"/>
            </w:rPr>
            <w:instrText xml:space="preserve"> CITATION Bou97 \l 12298 </w:instrText>
          </w:r>
          <w:r w:rsidRPr="001A6374">
            <w:rPr>
              <w:rFonts w:ascii="Arial" w:hAnsi="Arial" w:cs="Arial"/>
              <w:b/>
              <w:sz w:val="22"/>
              <w:szCs w:val="22"/>
              <w:lang w:val="en-GB"/>
            </w:rPr>
            <w:fldChar w:fldCharType="separate"/>
          </w:r>
          <w:r w:rsidRPr="001A6374">
            <w:rPr>
              <w:rFonts w:ascii="Arial" w:hAnsi="Arial" w:cs="Arial"/>
              <w:noProof/>
              <w:sz w:val="22"/>
              <w:szCs w:val="22"/>
            </w:rPr>
            <w:t>(Boussofiane, Martin, &amp; Parker, 1997)</w:t>
          </w:r>
          <w:r w:rsidRPr="001A6374">
            <w:rPr>
              <w:rFonts w:ascii="Arial" w:hAnsi="Arial" w:cs="Arial"/>
              <w:b/>
              <w:sz w:val="22"/>
              <w:szCs w:val="22"/>
              <w:lang w:val="en-GB"/>
            </w:rPr>
            <w:fldChar w:fldCharType="end"/>
          </w:r>
        </w:sdtContent>
      </w:sdt>
      <w:r w:rsidR="00BD7E91" w:rsidRPr="001A6374">
        <w:rPr>
          <w:rFonts w:ascii="Arial" w:hAnsi="Arial" w:cs="Arial"/>
          <w:sz w:val="22"/>
          <w:szCs w:val="22"/>
          <w:lang w:val="en-GB"/>
        </w:rPr>
        <w:t>.</w:t>
      </w:r>
    </w:p>
    <w:p w14:paraId="2CCE2413" w14:textId="77777777" w:rsidR="00E3593A" w:rsidRPr="001A6374" w:rsidRDefault="00E3593A" w:rsidP="005F5758">
      <w:pPr>
        <w:pStyle w:val="ListParagraph"/>
        <w:ind w:hanging="720"/>
        <w:rPr>
          <w:rFonts w:ascii="Arial" w:eastAsiaTheme="minorEastAsia" w:hAnsi="Arial" w:cs="Arial"/>
          <w:sz w:val="22"/>
          <w:szCs w:val="22"/>
        </w:rPr>
      </w:pPr>
    </w:p>
    <w:p w14:paraId="12462D2B" w14:textId="3382A387" w:rsidR="00E3593A" w:rsidRPr="001A6374" w:rsidRDefault="0069080D" w:rsidP="005F5758">
      <w:pPr>
        <w:pStyle w:val="ListParagraph"/>
        <w:numPr>
          <w:ilvl w:val="1"/>
          <w:numId w:val="10"/>
        </w:numPr>
        <w:ind w:left="720" w:hanging="720"/>
        <w:jc w:val="both"/>
        <w:rPr>
          <w:rFonts w:ascii="Arial" w:hAnsi="Arial" w:cs="Arial"/>
          <w:b/>
          <w:sz w:val="22"/>
          <w:szCs w:val="22"/>
          <w:lang w:val="es-EC"/>
        </w:rPr>
      </w:pPr>
      <w:r w:rsidRPr="001A6374">
        <w:rPr>
          <w:rFonts w:ascii="Arial" w:eastAsiaTheme="minorEastAsia" w:hAnsi="Arial" w:cs="Arial"/>
          <w:sz w:val="22"/>
          <w:szCs w:val="22"/>
          <w:lang w:val="es-EC"/>
        </w:rPr>
        <w:t xml:space="preserve">Se evalúa el nivel de eficiencia técnica en nueve organizaciones privatizadas en el Reino Unido en la década de 1980. </w:t>
      </w:r>
      <w:r w:rsidRPr="001A6374">
        <w:rPr>
          <w:rFonts w:ascii="Arial" w:eastAsiaTheme="minorEastAsia" w:hAnsi="Arial" w:cs="Arial"/>
          <w:sz w:val="22"/>
          <w:szCs w:val="22"/>
          <w:lang w:val="es-ES"/>
        </w:rPr>
        <w:t>La eficiencia técnica se mide durante varios años antes y después de la privatización. La eficiencia fue estimada de manera no paramétrica con tres modelos: el primero asumió rendimientos constantes a escala; el segundo rendimiento</w:t>
      </w:r>
      <w:r w:rsidR="00773A6A" w:rsidRPr="001A6374">
        <w:rPr>
          <w:rFonts w:ascii="Arial" w:eastAsiaTheme="minorEastAsia" w:hAnsi="Arial" w:cs="Arial"/>
          <w:sz w:val="22"/>
          <w:szCs w:val="22"/>
          <w:lang w:val="es-ES"/>
        </w:rPr>
        <w:t>s variables; y el tercero agregó</w:t>
      </w:r>
      <w:r w:rsidRPr="001A6374">
        <w:rPr>
          <w:rFonts w:ascii="Arial" w:eastAsiaTheme="minorEastAsia" w:hAnsi="Arial" w:cs="Arial"/>
          <w:sz w:val="22"/>
          <w:szCs w:val="22"/>
          <w:lang w:val="es-ES"/>
        </w:rPr>
        <w:t xml:space="preserve"> variables ambientales para el cambio tecnológico y el ciclo económico. </w:t>
      </w:r>
      <w:r w:rsidRPr="001A6374">
        <w:rPr>
          <w:rFonts w:ascii="Arial" w:eastAsiaTheme="minorEastAsia" w:hAnsi="Arial" w:cs="Arial"/>
          <w:sz w:val="22"/>
          <w:szCs w:val="22"/>
          <w:lang w:val="es-EC"/>
        </w:rPr>
        <w:t>Para los tres modelos</w:t>
      </w:r>
      <w:r w:rsidR="00773A6A" w:rsidRPr="001A6374">
        <w:rPr>
          <w:rFonts w:ascii="Arial" w:eastAsiaTheme="minorEastAsia" w:hAnsi="Arial" w:cs="Arial"/>
          <w:sz w:val="22"/>
          <w:szCs w:val="22"/>
          <w:lang w:val="es-EC"/>
        </w:rPr>
        <w:t>,</w:t>
      </w:r>
      <w:r w:rsidRPr="001A6374">
        <w:rPr>
          <w:rFonts w:ascii="Arial" w:eastAsiaTheme="minorEastAsia" w:hAnsi="Arial" w:cs="Arial"/>
          <w:sz w:val="22"/>
          <w:szCs w:val="22"/>
          <w:lang w:val="es-EC"/>
        </w:rPr>
        <w:t xml:space="preserve"> en su mayoría</w:t>
      </w:r>
      <w:r w:rsidR="00773A6A" w:rsidRPr="001A6374">
        <w:rPr>
          <w:rFonts w:ascii="Arial" w:eastAsiaTheme="minorEastAsia" w:hAnsi="Arial" w:cs="Arial"/>
          <w:sz w:val="22"/>
          <w:szCs w:val="22"/>
          <w:lang w:val="es-EC"/>
        </w:rPr>
        <w:t>,</w:t>
      </w:r>
      <w:r w:rsidRPr="001A6374">
        <w:rPr>
          <w:rFonts w:ascii="Arial" w:eastAsiaTheme="minorEastAsia" w:hAnsi="Arial" w:cs="Arial"/>
          <w:sz w:val="22"/>
          <w:szCs w:val="22"/>
          <w:lang w:val="es-EC"/>
        </w:rPr>
        <w:t xml:space="preserve"> el proceso de privatización favoreció a las empresas; específicamente</w:t>
      </w:r>
      <w:r w:rsidR="001A6374" w:rsidRPr="001A6374">
        <w:rPr>
          <w:rFonts w:ascii="Arial" w:eastAsiaTheme="minorEastAsia" w:hAnsi="Arial" w:cs="Arial"/>
          <w:sz w:val="22"/>
          <w:szCs w:val="22"/>
          <w:lang w:val="es-EC"/>
        </w:rPr>
        <w:t>,</w:t>
      </w:r>
      <w:r w:rsidRPr="001A6374">
        <w:rPr>
          <w:rFonts w:ascii="Arial" w:eastAsiaTheme="minorEastAsia" w:hAnsi="Arial" w:cs="Arial"/>
          <w:sz w:val="22"/>
          <w:szCs w:val="22"/>
          <w:lang w:val="es-EC"/>
        </w:rPr>
        <w:t xml:space="preserve"> se evidencia una mejora en la eficiencia técnica; en otros no hay un impacto perceptible de la propiedad sobre el rendimiento.</w:t>
      </w:r>
    </w:p>
    <w:p w14:paraId="05D21FDE" w14:textId="77777777" w:rsidR="00E3593A" w:rsidRPr="001A6374" w:rsidRDefault="00E3593A" w:rsidP="005F5758">
      <w:pPr>
        <w:pStyle w:val="ListParagraph"/>
        <w:ind w:hanging="720"/>
        <w:rPr>
          <w:rFonts w:ascii="Arial" w:eastAsiaTheme="minorEastAsia" w:hAnsi="Arial" w:cs="Arial"/>
          <w:sz w:val="22"/>
          <w:szCs w:val="22"/>
          <w:lang w:val="es-EC"/>
        </w:rPr>
      </w:pPr>
    </w:p>
    <w:p w14:paraId="2A6B31ED" w14:textId="77777777" w:rsidR="001A6374" w:rsidRPr="0090351D" w:rsidRDefault="0069080D" w:rsidP="001A6374">
      <w:pPr>
        <w:pStyle w:val="ListParagraph"/>
        <w:numPr>
          <w:ilvl w:val="1"/>
          <w:numId w:val="10"/>
        </w:numPr>
        <w:ind w:left="720" w:hanging="720"/>
        <w:jc w:val="both"/>
        <w:rPr>
          <w:rFonts w:ascii="Arial" w:hAnsi="Arial" w:cs="Arial"/>
          <w:b/>
          <w:sz w:val="22"/>
          <w:szCs w:val="22"/>
          <w:lang w:val="es-EC"/>
        </w:rPr>
      </w:pPr>
      <w:r w:rsidRPr="001A6374">
        <w:rPr>
          <w:rFonts w:ascii="Arial" w:eastAsiaTheme="minorEastAsia" w:hAnsi="Arial" w:cs="Arial"/>
          <w:sz w:val="22"/>
          <w:szCs w:val="22"/>
          <w:lang w:val="es-EC"/>
        </w:rPr>
        <w:t>Cabe destacar que a diferencia de los análisis paramétricos utilizados para evaluar los cambios de eficiencia asociados con la privatización (que se basan en formas funcionales particulares para la producción)</w:t>
      </w:r>
      <w:r w:rsidR="001A6374" w:rsidRPr="001A6374">
        <w:rPr>
          <w:rFonts w:ascii="Arial" w:eastAsiaTheme="minorEastAsia" w:hAnsi="Arial" w:cs="Arial"/>
          <w:sz w:val="22"/>
          <w:szCs w:val="22"/>
          <w:lang w:val="es-EC"/>
        </w:rPr>
        <w:t>,</w:t>
      </w:r>
      <w:r w:rsidRPr="001A6374">
        <w:rPr>
          <w:rFonts w:ascii="Arial" w:eastAsiaTheme="minorEastAsia" w:hAnsi="Arial" w:cs="Arial"/>
          <w:sz w:val="22"/>
          <w:szCs w:val="22"/>
          <w:lang w:val="es-EC"/>
        </w:rPr>
        <w:t xml:space="preserve"> con esta técnica no es necesario determinar a priori los pesos ni la función de producción. </w:t>
      </w:r>
      <w:r w:rsidRPr="001A6374">
        <w:rPr>
          <w:rFonts w:ascii="Arial" w:eastAsiaTheme="minorEastAsia" w:hAnsi="Arial" w:cs="Arial"/>
          <w:sz w:val="22"/>
          <w:szCs w:val="22"/>
          <w:lang w:val="es-ES"/>
        </w:rPr>
        <w:t>Esta metodología define una frontera de las Unid</w:t>
      </w:r>
      <w:r w:rsidR="001A6374" w:rsidRPr="001A6374">
        <w:rPr>
          <w:rFonts w:ascii="Arial" w:eastAsiaTheme="minorEastAsia" w:hAnsi="Arial" w:cs="Arial"/>
          <w:sz w:val="22"/>
          <w:szCs w:val="22"/>
          <w:lang w:val="es-ES"/>
        </w:rPr>
        <w:t>ades de toma de decisiones (DMU)</w:t>
      </w:r>
      <w:r w:rsidRPr="001A6374">
        <w:rPr>
          <w:rFonts w:ascii="Arial" w:eastAsiaTheme="minorEastAsia" w:hAnsi="Arial" w:cs="Arial"/>
          <w:sz w:val="22"/>
          <w:szCs w:val="22"/>
          <w:lang w:val="es-ES"/>
        </w:rPr>
        <w:t xml:space="preserve"> más eficientes</w:t>
      </w:r>
      <w:r w:rsidR="001A6374" w:rsidRPr="001A6374">
        <w:rPr>
          <w:rFonts w:ascii="Arial" w:eastAsiaTheme="minorEastAsia" w:hAnsi="Arial" w:cs="Arial"/>
          <w:sz w:val="22"/>
          <w:szCs w:val="22"/>
          <w:lang w:val="es-ES"/>
        </w:rPr>
        <w:t>,</w:t>
      </w:r>
      <w:r w:rsidRPr="001A6374">
        <w:rPr>
          <w:rFonts w:ascii="Arial" w:eastAsiaTheme="minorEastAsia" w:hAnsi="Arial" w:cs="Arial"/>
          <w:sz w:val="22"/>
          <w:szCs w:val="22"/>
          <w:lang w:val="es-ES"/>
        </w:rPr>
        <w:t xml:space="preserve"> y luego mide que tan alejadas están las unidades menos eficientes. </w:t>
      </w:r>
      <w:r w:rsidRPr="001A6374">
        <w:rPr>
          <w:rFonts w:ascii="Arial" w:eastAsiaTheme="minorEastAsia" w:hAnsi="Arial" w:cs="Arial"/>
          <w:sz w:val="22"/>
          <w:szCs w:val="22"/>
          <w:lang w:val="es-EC"/>
        </w:rPr>
        <w:t xml:space="preserve">Recientemente, esta técnica se ha utilizado para evaluar los resultados de la privatización de la electricidad en el Reino </w:t>
      </w:r>
      <w:r w:rsidRPr="0090351D">
        <w:rPr>
          <w:rFonts w:ascii="Arial" w:eastAsiaTheme="minorEastAsia" w:hAnsi="Arial" w:cs="Arial"/>
          <w:sz w:val="22"/>
          <w:szCs w:val="22"/>
          <w:lang w:val="es-EC"/>
        </w:rPr>
        <w:t>Unido</w:t>
      </w:r>
      <w:r w:rsidR="001A6374" w:rsidRPr="0090351D">
        <w:rPr>
          <w:rFonts w:ascii="Arial" w:eastAsiaTheme="minorEastAsia" w:hAnsi="Arial" w:cs="Arial"/>
          <w:sz w:val="22"/>
          <w:szCs w:val="22"/>
          <w:lang w:val="es-EC"/>
        </w:rPr>
        <w:t>,</w:t>
      </w:r>
      <w:r w:rsidRPr="0090351D">
        <w:rPr>
          <w:rFonts w:ascii="Arial" w:eastAsiaTheme="minorEastAsia" w:hAnsi="Arial" w:cs="Arial"/>
          <w:sz w:val="22"/>
          <w:szCs w:val="22"/>
          <w:lang w:val="es-EC"/>
        </w:rPr>
        <w:t xml:space="preserve"> y para comparar la eficiencia de la transmisión y distribución de electricidad en empresas privadas del Reino Unido</w:t>
      </w:r>
      <w:r w:rsidR="001A6374" w:rsidRPr="0090351D">
        <w:rPr>
          <w:rFonts w:ascii="Arial" w:eastAsiaTheme="minorEastAsia" w:hAnsi="Arial" w:cs="Arial"/>
          <w:sz w:val="22"/>
          <w:szCs w:val="22"/>
          <w:lang w:val="es-EC"/>
        </w:rPr>
        <w:t>;</w:t>
      </w:r>
      <w:r w:rsidRPr="0090351D">
        <w:rPr>
          <w:rFonts w:ascii="Arial" w:eastAsiaTheme="minorEastAsia" w:hAnsi="Arial" w:cs="Arial"/>
          <w:sz w:val="22"/>
          <w:szCs w:val="22"/>
          <w:lang w:val="es-EC"/>
        </w:rPr>
        <w:t xml:space="preserve"> y</w:t>
      </w:r>
      <w:r w:rsidR="001A6374" w:rsidRPr="0090351D">
        <w:rPr>
          <w:rFonts w:ascii="Arial" w:eastAsiaTheme="minorEastAsia" w:hAnsi="Arial" w:cs="Arial"/>
          <w:sz w:val="22"/>
          <w:szCs w:val="22"/>
          <w:lang w:val="es-EC"/>
        </w:rPr>
        <w:t>,</w:t>
      </w:r>
      <w:r w:rsidRPr="0090351D">
        <w:rPr>
          <w:rFonts w:ascii="Arial" w:eastAsiaTheme="minorEastAsia" w:hAnsi="Arial" w:cs="Arial"/>
          <w:sz w:val="22"/>
          <w:szCs w:val="22"/>
          <w:lang w:val="es-EC"/>
        </w:rPr>
        <w:t xml:space="preserve"> en empresas privadas y públicas de Estados Unidos. </w:t>
      </w:r>
    </w:p>
    <w:p w14:paraId="2515E258" w14:textId="77777777" w:rsidR="001A6374" w:rsidRPr="0090351D" w:rsidRDefault="001A6374" w:rsidP="001A6374">
      <w:pPr>
        <w:pStyle w:val="ListParagraph"/>
        <w:rPr>
          <w:rFonts w:ascii="Arial" w:eastAsiaTheme="minorEastAsia" w:hAnsi="Arial" w:cs="Arial"/>
          <w:sz w:val="22"/>
          <w:szCs w:val="22"/>
          <w:lang w:val="es-ES"/>
        </w:rPr>
      </w:pPr>
    </w:p>
    <w:p w14:paraId="24E5D9E7" w14:textId="6FEDCEC7" w:rsidR="00256B83" w:rsidRPr="00B129D4" w:rsidRDefault="00256B83" w:rsidP="00B129D4">
      <w:pPr>
        <w:pStyle w:val="ListParagraph"/>
        <w:numPr>
          <w:ilvl w:val="1"/>
          <w:numId w:val="10"/>
        </w:numPr>
        <w:ind w:left="720" w:hanging="720"/>
        <w:jc w:val="both"/>
        <w:rPr>
          <w:rFonts w:ascii="Arial" w:hAnsi="Arial" w:cs="Arial"/>
          <w:b/>
          <w:sz w:val="22"/>
          <w:szCs w:val="22"/>
          <w:lang w:val="es-EC"/>
        </w:rPr>
      </w:pPr>
      <w:r w:rsidRPr="0090351D">
        <w:rPr>
          <w:rFonts w:ascii="Arial" w:eastAsiaTheme="minorEastAsia" w:hAnsi="Arial" w:cs="Arial"/>
          <w:sz w:val="22"/>
          <w:szCs w:val="22"/>
          <w:lang w:val="es-ES"/>
        </w:rPr>
        <w:t>A continuación</w:t>
      </w:r>
      <w:r w:rsidR="001A6374" w:rsidRPr="0090351D">
        <w:rPr>
          <w:rFonts w:ascii="Arial" w:eastAsiaTheme="minorEastAsia" w:hAnsi="Arial" w:cs="Arial"/>
          <w:sz w:val="22"/>
          <w:szCs w:val="22"/>
          <w:lang w:val="es-ES"/>
        </w:rPr>
        <w:t>,</w:t>
      </w:r>
      <w:r w:rsidRPr="0090351D">
        <w:rPr>
          <w:rFonts w:ascii="Arial" w:eastAsiaTheme="minorEastAsia" w:hAnsi="Arial" w:cs="Arial"/>
          <w:sz w:val="22"/>
          <w:szCs w:val="22"/>
          <w:lang w:val="es-ES"/>
        </w:rPr>
        <w:t xml:space="preserve"> se presentan los indicadores de impacto propuestos</w:t>
      </w:r>
      <w:r w:rsidR="001A6374" w:rsidRPr="0090351D">
        <w:rPr>
          <w:rFonts w:ascii="Arial" w:eastAsiaTheme="minorEastAsia" w:hAnsi="Arial" w:cs="Arial"/>
          <w:sz w:val="22"/>
          <w:szCs w:val="22"/>
          <w:lang w:val="es-ES"/>
        </w:rPr>
        <w:t xml:space="preserve">, conforme la literatura revisada, y </w:t>
      </w:r>
      <w:r w:rsidR="003C2827" w:rsidRPr="0090351D">
        <w:rPr>
          <w:rFonts w:ascii="Arial" w:eastAsiaTheme="minorEastAsia" w:hAnsi="Arial" w:cs="Arial"/>
          <w:sz w:val="22"/>
          <w:szCs w:val="22"/>
          <w:lang w:val="es-ES"/>
        </w:rPr>
        <w:t>los objetivos del programa</w:t>
      </w:r>
      <w:r w:rsidR="00B129D4">
        <w:rPr>
          <w:rFonts w:ascii="Arial" w:eastAsiaTheme="minorEastAsia" w:hAnsi="Arial" w:cs="Arial"/>
          <w:sz w:val="22"/>
          <w:szCs w:val="22"/>
          <w:lang w:val="es-ES"/>
        </w:rPr>
        <w:t xml:space="preserve">. </w:t>
      </w:r>
      <w:r w:rsidR="00B129D4" w:rsidRPr="00B129D4">
        <w:rPr>
          <w:rFonts w:ascii="Arial" w:eastAsiaTheme="minorEastAsia" w:hAnsi="Arial" w:cs="Arial"/>
          <w:sz w:val="22"/>
          <w:szCs w:val="22"/>
          <w:lang w:val="es-ES"/>
        </w:rPr>
        <w:t xml:space="preserve">Cabe destacar que cuando se vaya a </w:t>
      </w:r>
      <w:r w:rsidR="00B129D4">
        <w:rPr>
          <w:rFonts w:ascii="Arial" w:eastAsiaTheme="minorEastAsia" w:hAnsi="Arial" w:cs="Arial"/>
          <w:sz w:val="22"/>
          <w:szCs w:val="22"/>
          <w:lang w:val="es-ES"/>
        </w:rPr>
        <w:t>recopilar la información de</w:t>
      </w:r>
      <w:r w:rsidR="00B129D4" w:rsidRPr="00B129D4">
        <w:rPr>
          <w:rFonts w:ascii="Arial" w:eastAsiaTheme="minorEastAsia" w:hAnsi="Arial" w:cs="Arial"/>
          <w:sz w:val="22"/>
          <w:szCs w:val="22"/>
          <w:lang w:val="es-ES"/>
        </w:rPr>
        <w:t xml:space="preserve"> la línea base, se podrá seleccionar todos o un grupo de indicadores en función de la información disponible</w:t>
      </w:r>
      <w:r w:rsidR="00B129D4">
        <w:rPr>
          <w:rFonts w:ascii="Arial" w:eastAsiaTheme="minorEastAsia" w:hAnsi="Arial" w:cs="Arial"/>
          <w:sz w:val="22"/>
          <w:szCs w:val="22"/>
          <w:lang w:val="es-ES"/>
        </w:rPr>
        <w:t xml:space="preserve"> y la definición del equipo evaluador</w:t>
      </w:r>
      <w:r w:rsidRPr="00B129D4">
        <w:rPr>
          <w:rFonts w:ascii="Arial" w:eastAsiaTheme="minorEastAsia" w:hAnsi="Arial" w:cs="Arial"/>
          <w:sz w:val="22"/>
          <w:szCs w:val="22"/>
          <w:lang w:val="es-ES"/>
        </w:rPr>
        <w:t xml:space="preserve">: </w:t>
      </w:r>
    </w:p>
    <w:p w14:paraId="1F731961" w14:textId="77777777" w:rsidR="009677B2" w:rsidRDefault="009677B2" w:rsidP="0069080D">
      <w:pPr>
        <w:pStyle w:val="HTMLPreformatted"/>
        <w:shd w:val="clear" w:color="auto" w:fill="FFFFFF"/>
        <w:spacing w:line="276" w:lineRule="auto"/>
        <w:jc w:val="both"/>
        <w:rPr>
          <w:rFonts w:ascii="Arial" w:eastAsiaTheme="minorEastAsia" w:hAnsi="Arial" w:cs="Arial"/>
          <w:sz w:val="22"/>
          <w:szCs w:val="22"/>
          <w:highlight w:val="yellow"/>
        </w:rPr>
      </w:pPr>
    </w:p>
    <w:p w14:paraId="6D626368"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728C8424"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13B6408F"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51D75B94"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4DE12E5B"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52BC40FC"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1B15DAEA" w14:textId="77777777" w:rsidR="00B61103"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p w14:paraId="307C14E8" w14:textId="77777777" w:rsidR="00B61103" w:rsidRPr="00294D7C" w:rsidRDefault="00B61103" w:rsidP="0069080D">
      <w:pPr>
        <w:pStyle w:val="HTMLPreformatted"/>
        <w:shd w:val="clear" w:color="auto" w:fill="FFFFFF"/>
        <w:spacing w:line="276" w:lineRule="auto"/>
        <w:jc w:val="both"/>
        <w:rPr>
          <w:rFonts w:ascii="Arial" w:eastAsiaTheme="minorEastAsia" w:hAnsi="Arial" w:cs="Arial"/>
          <w:sz w:val="22"/>
          <w:szCs w:val="22"/>
          <w:highlight w:val="yellow"/>
        </w:rPr>
      </w:pPr>
    </w:p>
    <w:tbl>
      <w:tblPr>
        <w:tblStyle w:val="Tablaconcuadrcula1"/>
        <w:tblW w:w="5837" w:type="pct"/>
        <w:tblInd w:w="-572" w:type="dxa"/>
        <w:tblLayout w:type="fixed"/>
        <w:tblLook w:val="04A0" w:firstRow="1" w:lastRow="0" w:firstColumn="1" w:lastColumn="0" w:noHBand="0" w:noVBand="1"/>
      </w:tblPr>
      <w:tblGrid>
        <w:gridCol w:w="1084"/>
        <w:gridCol w:w="1660"/>
        <w:gridCol w:w="2353"/>
        <w:gridCol w:w="1657"/>
        <w:gridCol w:w="2491"/>
        <w:gridCol w:w="1670"/>
      </w:tblGrid>
      <w:tr w:rsidR="005F3987" w:rsidRPr="00294D7C" w14:paraId="1093B50C" w14:textId="77777777" w:rsidTr="005F3987">
        <w:trPr>
          <w:trHeight w:val="577"/>
        </w:trPr>
        <w:tc>
          <w:tcPr>
            <w:tcW w:w="496" w:type="pct"/>
            <w:shd w:val="clear" w:color="auto" w:fill="244061"/>
          </w:tcPr>
          <w:p w14:paraId="32001DB1" w14:textId="77777777" w:rsidR="005F3987" w:rsidRDefault="005F3987" w:rsidP="00F20EF6">
            <w:pPr>
              <w:jc w:val="center"/>
              <w:rPr>
                <w:rFonts w:ascii="Arial" w:eastAsia="Calibri" w:hAnsi="Arial" w:cs="Arial"/>
                <w:b/>
                <w:color w:val="FFFFFF"/>
                <w:spacing w:val="0"/>
                <w:sz w:val="18"/>
                <w:szCs w:val="18"/>
                <w:lang w:val="es-EC"/>
              </w:rPr>
            </w:pPr>
          </w:p>
          <w:p w14:paraId="7AF25033" w14:textId="77777777" w:rsidR="00391F03" w:rsidRPr="005F3987"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Objetivo</w:t>
            </w:r>
          </w:p>
        </w:tc>
        <w:tc>
          <w:tcPr>
            <w:tcW w:w="760" w:type="pct"/>
            <w:shd w:val="clear" w:color="auto" w:fill="244061"/>
          </w:tcPr>
          <w:p w14:paraId="497FDFD9" w14:textId="77777777" w:rsidR="005F3987" w:rsidRDefault="005F3987" w:rsidP="00F20EF6">
            <w:pPr>
              <w:jc w:val="center"/>
              <w:rPr>
                <w:rFonts w:ascii="Arial" w:eastAsia="Calibri" w:hAnsi="Arial" w:cs="Arial"/>
                <w:b/>
                <w:color w:val="FFFFFF"/>
                <w:spacing w:val="0"/>
                <w:sz w:val="18"/>
                <w:szCs w:val="18"/>
                <w:lang w:val="es-EC"/>
              </w:rPr>
            </w:pPr>
          </w:p>
          <w:p w14:paraId="3CFBA55F" w14:textId="77777777" w:rsidR="00391F03" w:rsidRPr="005F3987"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Indicador</w:t>
            </w:r>
          </w:p>
        </w:tc>
        <w:tc>
          <w:tcPr>
            <w:tcW w:w="1078" w:type="pct"/>
            <w:shd w:val="clear" w:color="auto" w:fill="244061"/>
          </w:tcPr>
          <w:p w14:paraId="49BB6BC9" w14:textId="77777777" w:rsidR="005F3987" w:rsidRDefault="005F3987" w:rsidP="00F20EF6">
            <w:pPr>
              <w:jc w:val="center"/>
              <w:rPr>
                <w:rFonts w:ascii="Arial" w:eastAsia="Calibri" w:hAnsi="Arial" w:cs="Arial"/>
                <w:b/>
                <w:color w:val="FFFFFF"/>
                <w:spacing w:val="0"/>
                <w:sz w:val="18"/>
                <w:szCs w:val="18"/>
                <w:lang w:val="es-EC"/>
              </w:rPr>
            </w:pPr>
          </w:p>
          <w:p w14:paraId="1D03F645" w14:textId="77777777" w:rsidR="00391F03" w:rsidRPr="005F3987"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Definición</w:t>
            </w:r>
          </w:p>
        </w:tc>
        <w:tc>
          <w:tcPr>
            <w:tcW w:w="759" w:type="pct"/>
            <w:shd w:val="clear" w:color="auto" w:fill="244061"/>
          </w:tcPr>
          <w:p w14:paraId="3622E3B3" w14:textId="77777777" w:rsidR="005F3987" w:rsidRDefault="005F3987" w:rsidP="00F20EF6">
            <w:pPr>
              <w:jc w:val="center"/>
              <w:rPr>
                <w:rFonts w:ascii="Arial" w:eastAsia="Calibri" w:hAnsi="Arial" w:cs="Arial"/>
                <w:b/>
                <w:color w:val="FFFFFF"/>
                <w:spacing w:val="0"/>
                <w:sz w:val="18"/>
                <w:szCs w:val="18"/>
                <w:lang w:val="es-EC"/>
              </w:rPr>
            </w:pPr>
          </w:p>
          <w:p w14:paraId="3C0B76DB" w14:textId="77777777" w:rsidR="00391F03" w:rsidRPr="005F3987"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Cálculo</w:t>
            </w:r>
          </w:p>
        </w:tc>
        <w:tc>
          <w:tcPr>
            <w:tcW w:w="1141" w:type="pct"/>
            <w:shd w:val="clear" w:color="auto" w:fill="244061"/>
          </w:tcPr>
          <w:p w14:paraId="73861028" w14:textId="77777777" w:rsidR="005F3987" w:rsidRDefault="005F3987" w:rsidP="00F20EF6">
            <w:pPr>
              <w:jc w:val="center"/>
              <w:rPr>
                <w:rFonts w:ascii="Arial" w:eastAsia="Calibri" w:hAnsi="Arial" w:cs="Arial"/>
                <w:b/>
                <w:color w:val="FFFFFF"/>
                <w:spacing w:val="0"/>
                <w:sz w:val="18"/>
                <w:szCs w:val="18"/>
                <w:lang w:val="es-EC"/>
              </w:rPr>
            </w:pPr>
          </w:p>
          <w:p w14:paraId="60ECD302" w14:textId="77777777" w:rsidR="00391F03"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 xml:space="preserve">Insumos Información </w:t>
            </w:r>
          </w:p>
          <w:p w14:paraId="1EDB7578" w14:textId="77777777" w:rsidR="005F3987" w:rsidRPr="005F3987" w:rsidRDefault="005F3987" w:rsidP="00F20EF6">
            <w:pPr>
              <w:jc w:val="center"/>
              <w:rPr>
                <w:rFonts w:ascii="Arial" w:eastAsia="Calibri" w:hAnsi="Arial" w:cs="Arial"/>
                <w:b/>
                <w:color w:val="FFFFFF"/>
                <w:spacing w:val="0"/>
                <w:sz w:val="18"/>
                <w:szCs w:val="18"/>
                <w:lang w:val="es-EC"/>
              </w:rPr>
            </w:pPr>
          </w:p>
        </w:tc>
        <w:tc>
          <w:tcPr>
            <w:tcW w:w="765" w:type="pct"/>
            <w:shd w:val="clear" w:color="auto" w:fill="244061"/>
          </w:tcPr>
          <w:p w14:paraId="7926CF54" w14:textId="77777777" w:rsidR="005F3987" w:rsidRDefault="005F3987" w:rsidP="00F20EF6">
            <w:pPr>
              <w:jc w:val="center"/>
              <w:rPr>
                <w:rFonts w:ascii="Arial" w:eastAsia="Calibri" w:hAnsi="Arial" w:cs="Arial"/>
                <w:b/>
                <w:color w:val="FFFFFF"/>
                <w:spacing w:val="0"/>
                <w:sz w:val="18"/>
                <w:szCs w:val="18"/>
                <w:lang w:val="es-EC"/>
              </w:rPr>
            </w:pPr>
          </w:p>
          <w:p w14:paraId="64364220" w14:textId="77777777" w:rsidR="00391F03" w:rsidRPr="005F3987" w:rsidRDefault="00391F03" w:rsidP="00F20EF6">
            <w:pPr>
              <w:jc w:val="center"/>
              <w:rPr>
                <w:rFonts w:ascii="Arial" w:eastAsia="Calibri" w:hAnsi="Arial" w:cs="Arial"/>
                <w:b/>
                <w:color w:val="FFFFFF"/>
                <w:spacing w:val="0"/>
                <w:sz w:val="18"/>
                <w:szCs w:val="18"/>
                <w:lang w:val="es-EC"/>
              </w:rPr>
            </w:pPr>
            <w:r w:rsidRPr="005F3987">
              <w:rPr>
                <w:rFonts w:ascii="Arial" w:eastAsia="Calibri" w:hAnsi="Arial" w:cs="Arial"/>
                <w:b/>
                <w:color w:val="FFFFFF"/>
                <w:spacing w:val="0"/>
                <w:sz w:val="18"/>
                <w:szCs w:val="18"/>
                <w:lang w:val="es-EC"/>
              </w:rPr>
              <w:t>Referencia</w:t>
            </w:r>
          </w:p>
        </w:tc>
      </w:tr>
      <w:tr w:rsidR="005F3987" w:rsidRPr="00294D7C" w14:paraId="3684E2B4" w14:textId="77777777" w:rsidTr="005F3987">
        <w:trPr>
          <w:trHeight w:val="816"/>
        </w:trPr>
        <w:tc>
          <w:tcPr>
            <w:tcW w:w="496" w:type="pct"/>
            <w:shd w:val="clear" w:color="auto" w:fill="FDE9D9"/>
          </w:tcPr>
          <w:p w14:paraId="0D9544A9" w14:textId="7867D98D" w:rsidR="00391F03" w:rsidRPr="005F3987" w:rsidRDefault="00391F03" w:rsidP="00F20EF6">
            <w:pPr>
              <w:jc w:val="both"/>
              <w:rPr>
                <w:rFonts w:ascii="Arial" w:eastAsia="Calibri" w:hAnsi="Arial" w:cs="Arial"/>
                <w:b/>
                <w:spacing w:val="0"/>
                <w:sz w:val="18"/>
                <w:szCs w:val="18"/>
                <w:lang w:val="es-EC"/>
              </w:rPr>
            </w:pPr>
            <w:r w:rsidRPr="005F3987">
              <w:rPr>
                <w:rFonts w:ascii="Arial" w:eastAsia="Calibri" w:hAnsi="Arial" w:cs="Arial"/>
                <w:b/>
                <w:spacing w:val="0"/>
                <w:sz w:val="18"/>
                <w:szCs w:val="18"/>
                <w:lang w:val="es-EC"/>
              </w:rPr>
              <w:t>Objetivo G</w:t>
            </w:r>
            <w:r w:rsidR="005F3987" w:rsidRPr="005F3987">
              <w:rPr>
                <w:rFonts w:ascii="Arial" w:eastAsia="Calibri" w:hAnsi="Arial" w:cs="Arial"/>
                <w:b/>
                <w:spacing w:val="0"/>
                <w:sz w:val="18"/>
                <w:szCs w:val="18"/>
                <w:lang w:val="es-EC"/>
              </w:rPr>
              <w:t>eneral</w:t>
            </w:r>
          </w:p>
        </w:tc>
        <w:tc>
          <w:tcPr>
            <w:tcW w:w="760" w:type="pct"/>
            <w:shd w:val="clear" w:color="auto" w:fill="FDE9D9"/>
          </w:tcPr>
          <w:p w14:paraId="3277BCD2" w14:textId="77777777" w:rsidR="00391F03" w:rsidRPr="005F3987" w:rsidRDefault="00391F03" w:rsidP="00F20EF6">
            <w:pPr>
              <w:jc w:val="both"/>
              <w:rPr>
                <w:rFonts w:ascii="Arial" w:eastAsia="Calibri" w:hAnsi="Arial" w:cs="Arial"/>
                <w:b/>
                <w:spacing w:val="0"/>
                <w:sz w:val="18"/>
                <w:szCs w:val="18"/>
                <w:lang w:val="es-EC"/>
              </w:rPr>
            </w:pPr>
            <w:r w:rsidRPr="005F3987">
              <w:rPr>
                <w:rFonts w:ascii="Arial" w:eastAsia="Calibri" w:hAnsi="Arial" w:cs="Arial"/>
                <w:spacing w:val="0"/>
                <w:sz w:val="18"/>
                <w:szCs w:val="18"/>
                <w:lang w:val="es-EC"/>
              </w:rPr>
              <w:t>Carga fiscal para el estado</w:t>
            </w:r>
          </w:p>
        </w:tc>
        <w:tc>
          <w:tcPr>
            <w:tcW w:w="1078" w:type="pct"/>
            <w:shd w:val="clear" w:color="auto" w:fill="FDE9D9"/>
          </w:tcPr>
          <w:p w14:paraId="36938B52" w14:textId="3640F94E" w:rsidR="00391F03" w:rsidRPr="005F3987" w:rsidRDefault="00391F03" w:rsidP="00F20EF6">
            <w:pPr>
              <w:jc w:val="both"/>
              <w:rPr>
                <w:rFonts w:ascii="Arial" w:eastAsia="Calibri" w:hAnsi="Arial" w:cs="Arial"/>
                <w:spacing w:val="0"/>
                <w:sz w:val="18"/>
                <w:szCs w:val="18"/>
                <w:lang w:val="es-EC"/>
              </w:rPr>
            </w:pPr>
            <w:r w:rsidRPr="005F3987">
              <w:rPr>
                <w:rFonts w:ascii="Arial" w:eastAsia="Calibri" w:hAnsi="Arial" w:cs="Arial"/>
                <w:spacing w:val="0"/>
                <w:sz w:val="18"/>
                <w:szCs w:val="18"/>
                <w:lang w:val="es-EC"/>
              </w:rPr>
              <w:t>La participación</w:t>
            </w:r>
            <w:r w:rsidR="007074DA" w:rsidRPr="005F3987">
              <w:rPr>
                <w:rFonts w:ascii="Arial" w:eastAsia="Calibri" w:hAnsi="Arial" w:cs="Arial"/>
                <w:spacing w:val="0"/>
                <w:sz w:val="18"/>
                <w:szCs w:val="18"/>
                <w:lang w:val="es-EC"/>
              </w:rPr>
              <w:t xml:space="preserve"> </w:t>
            </w:r>
            <w:r w:rsidRPr="005F3987">
              <w:rPr>
                <w:rFonts w:ascii="Arial" w:eastAsia="Calibri" w:hAnsi="Arial" w:cs="Arial"/>
                <w:spacing w:val="0"/>
                <w:sz w:val="18"/>
                <w:szCs w:val="18"/>
                <w:lang w:val="es-EC"/>
              </w:rPr>
              <w:t>del monto de trasferencias del PGE a las EEPP en el PIB</w:t>
            </w:r>
          </w:p>
        </w:tc>
        <w:tc>
          <w:tcPr>
            <w:tcW w:w="759" w:type="pct"/>
            <w:shd w:val="clear" w:color="auto" w:fill="FDE9D9"/>
            <w:vAlign w:val="center"/>
          </w:tcPr>
          <w:p w14:paraId="5554AA1F" w14:textId="77777777" w:rsidR="00391F03" w:rsidRPr="005F3987" w:rsidRDefault="00391F03" w:rsidP="00F20EF6">
            <w:pPr>
              <w:jc w:val="center"/>
              <w:rPr>
                <w:rFonts w:ascii="Arial" w:eastAsia="Calibri" w:hAnsi="Arial" w:cs="Arial"/>
                <w:spacing w:val="0"/>
                <w:sz w:val="18"/>
                <w:szCs w:val="18"/>
                <w:lang w:val="es-EC"/>
              </w:rPr>
            </w:pPr>
            <m:oMathPara>
              <m:oMathParaPr>
                <m:jc m:val="center"/>
              </m:oMathParaPr>
              <m:oMath>
                <m:r>
                  <w:rPr>
                    <w:rFonts w:ascii="Cambria Math" w:eastAsia="Calibri" w:hAnsi="Cambria Math" w:cs="Arial"/>
                    <w:spacing w:val="0"/>
                    <w:sz w:val="18"/>
                    <w:szCs w:val="18"/>
                    <w:lang w:val="es-EC"/>
                  </w:rPr>
                  <m:t>CF=</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TPGE</m:t>
                    </m:r>
                  </m:num>
                  <m:den>
                    <m:r>
                      <w:rPr>
                        <w:rFonts w:ascii="Cambria Math" w:eastAsia="Calibri" w:hAnsi="Cambria Math" w:cs="Arial"/>
                        <w:spacing w:val="0"/>
                        <w:sz w:val="18"/>
                        <w:szCs w:val="18"/>
                        <w:lang w:val="es-EC"/>
                      </w:rPr>
                      <m:t>PIB</m:t>
                    </m:r>
                  </m:den>
                </m:f>
              </m:oMath>
            </m:oMathPara>
          </w:p>
        </w:tc>
        <w:tc>
          <w:tcPr>
            <w:tcW w:w="1141" w:type="pct"/>
            <w:shd w:val="clear" w:color="auto" w:fill="FDE9D9"/>
          </w:tcPr>
          <w:p w14:paraId="2C0F3F3B" w14:textId="36A0148B"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TPGE: monto de trasferencias del PGE a las EEPP</w:t>
            </w:r>
          </w:p>
          <w:p w14:paraId="5FF97759"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PIB: Producto Interno Bruto</w:t>
            </w:r>
          </w:p>
        </w:tc>
        <w:tc>
          <w:tcPr>
            <w:tcW w:w="765" w:type="pct"/>
            <w:shd w:val="clear" w:color="auto" w:fill="FDE9D9"/>
            <w:vAlign w:val="center"/>
          </w:tcPr>
          <w:p w14:paraId="00648507" w14:textId="77777777" w:rsidR="00391F03" w:rsidRPr="005F3987" w:rsidRDefault="00391F03" w:rsidP="00F20EF6">
            <w:pPr>
              <w:ind w:right="649"/>
              <w:rPr>
                <w:rFonts w:ascii="Arial" w:eastAsia="Calibri" w:hAnsi="Arial" w:cs="Arial"/>
                <w:spacing w:val="0"/>
                <w:sz w:val="18"/>
                <w:szCs w:val="18"/>
                <w:lang w:val="es-EC"/>
              </w:rPr>
            </w:pPr>
            <w:r w:rsidRPr="005F3987">
              <w:rPr>
                <w:rFonts w:ascii="Arial" w:eastAsia="Calibri" w:hAnsi="Arial" w:cs="Arial"/>
                <w:spacing w:val="0"/>
                <w:sz w:val="18"/>
                <w:szCs w:val="18"/>
                <w:lang w:val="es-EC"/>
              </w:rPr>
              <w:t>BID</w:t>
            </w:r>
          </w:p>
          <w:p w14:paraId="2B4FFC0A" w14:textId="77777777" w:rsidR="00391F03" w:rsidRPr="005F3987" w:rsidRDefault="00391F03" w:rsidP="00F20EF6">
            <w:pPr>
              <w:ind w:right="649"/>
              <w:rPr>
                <w:rFonts w:ascii="Arial" w:eastAsia="Calibri" w:hAnsi="Arial" w:cs="Arial"/>
                <w:spacing w:val="0"/>
                <w:sz w:val="18"/>
                <w:szCs w:val="18"/>
                <w:lang w:val="es-EC"/>
              </w:rPr>
            </w:pPr>
            <w:r w:rsidRPr="005F3987">
              <w:rPr>
                <w:rFonts w:ascii="Arial" w:eastAsia="Calibri" w:hAnsi="Arial" w:cs="Arial"/>
                <w:spacing w:val="0"/>
                <w:sz w:val="18"/>
                <w:szCs w:val="18"/>
                <w:lang w:val="es-EC"/>
              </w:rPr>
              <w:t xml:space="preserve">Matriz de resultados </w:t>
            </w:r>
          </w:p>
        </w:tc>
      </w:tr>
      <w:tr w:rsidR="005F3987" w:rsidRPr="00294D7C" w14:paraId="341D045A" w14:textId="77777777" w:rsidTr="005F3987">
        <w:trPr>
          <w:trHeight w:val="760"/>
        </w:trPr>
        <w:tc>
          <w:tcPr>
            <w:tcW w:w="496" w:type="pct"/>
            <w:vMerge w:val="restart"/>
            <w:shd w:val="clear" w:color="auto" w:fill="DAEEF3"/>
          </w:tcPr>
          <w:p w14:paraId="22F9D7CD"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lastRenderedPageBreak/>
              <w:t>Objetivo 1</w:t>
            </w:r>
          </w:p>
          <w:p w14:paraId="65D8A717" w14:textId="77777777" w:rsidR="00391F03" w:rsidRPr="005F3987" w:rsidRDefault="00391F03" w:rsidP="00F20EF6">
            <w:pPr>
              <w:rPr>
                <w:rFonts w:ascii="Arial" w:eastAsia="Calibri" w:hAnsi="Arial" w:cs="Arial"/>
                <w:b/>
                <w:spacing w:val="0"/>
                <w:sz w:val="18"/>
                <w:szCs w:val="18"/>
                <w:lang w:val="es-ES"/>
              </w:rPr>
            </w:pPr>
          </w:p>
        </w:tc>
        <w:tc>
          <w:tcPr>
            <w:tcW w:w="760" w:type="pct"/>
            <w:shd w:val="clear" w:color="auto" w:fill="DAEEF3"/>
          </w:tcPr>
          <w:p w14:paraId="4311F0A8" w14:textId="77777777" w:rsidR="005F3987" w:rsidRPr="005F3987" w:rsidRDefault="00391F03" w:rsidP="00F20EF6">
            <w:pPr>
              <w:rPr>
                <w:rFonts w:ascii="Arial" w:eastAsia="Calibri" w:hAnsi="Arial" w:cs="Arial"/>
                <w:b/>
                <w:spacing w:val="0"/>
                <w:sz w:val="18"/>
                <w:szCs w:val="18"/>
                <w:lang w:val="es-EC"/>
              </w:rPr>
            </w:pPr>
            <w:r w:rsidRPr="005F3987">
              <w:rPr>
                <w:rFonts w:ascii="Arial" w:eastAsia="Calibri" w:hAnsi="Arial" w:cs="Arial"/>
                <w:b/>
                <w:spacing w:val="0"/>
                <w:sz w:val="18"/>
                <w:szCs w:val="18"/>
                <w:lang w:val="es-EC"/>
              </w:rPr>
              <w:t>Rentabilidad</w:t>
            </w:r>
            <w:r w:rsidRPr="005F3987">
              <w:rPr>
                <w:rFonts w:ascii="Arial" w:eastAsia="Calibri" w:hAnsi="Arial" w:cs="Arial"/>
                <w:spacing w:val="0"/>
                <w:sz w:val="18"/>
                <w:szCs w:val="18"/>
                <w:lang w:val="es-EC"/>
              </w:rPr>
              <w:t xml:space="preserve"> </w:t>
            </w:r>
            <w:r w:rsidRPr="005F3987">
              <w:rPr>
                <w:rFonts w:ascii="Arial" w:eastAsia="Calibri" w:hAnsi="Arial" w:cs="Arial"/>
                <w:b/>
                <w:spacing w:val="0"/>
                <w:sz w:val="18"/>
                <w:szCs w:val="18"/>
                <w:lang w:val="es-EC"/>
              </w:rPr>
              <w:t>económica</w:t>
            </w:r>
            <w:r w:rsidR="005F3987" w:rsidRPr="005F3987">
              <w:rPr>
                <w:rFonts w:ascii="Arial" w:eastAsia="Calibri" w:hAnsi="Arial" w:cs="Arial"/>
                <w:b/>
                <w:spacing w:val="0"/>
                <w:sz w:val="18"/>
                <w:szCs w:val="18"/>
                <w:lang w:val="es-EC"/>
              </w:rPr>
              <w:t>:</w:t>
            </w:r>
          </w:p>
          <w:p w14:paraId="438F1278" w14:textId="1308679F" w:rsidR="00391F03" w:rsidRPr="005F3987" w:rsidRDefault="00391F03" w:rsidP="00F20EF6">
            <w:pPr>
              <w:rPr>
                <w:rFonts w:ascii="Arial" w:eastAsia="Calibri" w:hAnsi="Arial" w:cs="Arial"/>
                <w:spacing w:val="0"/>
                <w:sz w:val="18"/>
                <w:szCs w:val="18"/>
                <w:lang w:val="es-EC"/>
              </w:rPr>
            </w:pPr>
            <w:r w:rsidRPr="005F3987">
              <w:rPr>
                <w:rFonts w:ascii="Arial" w:hAnsi="Arial" w:cs="Arial"/>
                <w:spacing w:val="0"/>
                <w:sz w:val="18"/>
                <w:szCs w:val="18"/>
                <w:lang w:val="es-EC"/>
              </w:rPr>
              <w:t>Ratio de rentabilidad económica.</w:t>
            </w:r>
          </w:p>
        </w:tc>
        <w:tc>
          <w:tcPr>
            <w:tcW w:w="1078" w:type="pct"/>
            <w:shd w:val="clear" w:color="auto" w:fill="DAEEF3"/>
          </w:tcPr>
          <w:p w14:paraId="62C45BC2" w14:textId="77777777" w:rsidR="00391F03" w:rsidRPr="005F3987" w:rsidRDefault="00391F03" w:rsidP="00F20EF6">
            <w:pPr>
              <w:jc w:val="both"/>
              <w:rPr>
                <w:rFonts w:ascii="Arial" w:eastAsia="Calibri" w:hAnsi="Arial" w:cs="Arial"/>
                <w:spacing w:val="0"/>
                <w:sz w:val="18"/>
                <w:szCs w:val="18"/>
                <w:lang w:val="es-EC"/>
              </w:rPr>
            </w:pPr>
            <w:r w:rsidRPr="005F3987">
              <w:rPr>
                <w:rFonts w:ascii="Arial" w:eastAsia="Calibri" w:hAnsi="Arial" w:cs="Arial"/>
                <w:spacing w:val="0"/>
                <w:sz w:val="18"/>
                <w:szCs w:val="18"/>
                <w:lang w:val="es-EC"/>
              </w:rPr>
              <w:t xml:space="preserve">La adecuada utilización de la inversión física en inmovilizado y circulante. </w:t>
            </w:r>
          </w:p>
        </w:tc>
        <w:tc>
          <w:tcPr>
            <w:tcW w:w="759" w:type="pct"/>
            <w:shd w:val="clear" w:color="auto" w:fill="DAEEF3"/>
            <w:vAlign w:val="center"/>
          </w:tcPr>
          <w:p w14:paraId="22011D56"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RE=</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EBIT</m:t>
                    </m:r>
                  </m:num>
                  <m:den>
                    <m:r>
                      <w:rPr>
                        <w:rFonts w:ascii="Cambria Math" w:eastAsia="Calibri" w:hAnsi="Cambria Math" w:cs="Arial"/>
                        <w:spacing w:val="0"/>
                        <w:sz w:val="18"/>
                        <w:szCs w:val="18"/>
                        <w:lang w:val="es-EC"/>
                      </w:rPr>
                      <m:t xml:space="preserve">AT </m:t>
                    </m:r>
                  </m:den>
                </m:f>
              </m:oMath>
            </m:oMathPara>
          </w:p>
        </w:tc>
        <w:tc>
          <w:tcPr>
            <w:tcW w:w="1141" w:type="pct"/>
            <w:shd w:val="clear" w:color="auto" w:fill="DAEEF3"/>
          </w:tcPr>
          <w:p w14:paraId="1FCF2963"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EBIT: beneficio antes de intereses e impuestos.</w:t>
            </w:r>
          </w:p>
          <w:p w14:paraId="697376D5"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AT= Activo total medio anual de la empresa.</w:t>
            </w:r>
          </w:p>
        </w:tc>
        <w:tc>
          <w:tcPr>
            <w:tcW w:w="765" w:type="pct"/>
            <w:shd w:val="clear" w:color="auto" w:fill="DAEEF3"/>
            <w:vAlign w:val="center"/>
          </w:tcPr>
          <w:p w14:paraId="0DA2A83E" w14:textId="77777777" w:rsidR="00391F03" w:rsidRPr="005F3987" w:rsidRDefault="00391F03" w:rsidP="00F20EF6">
            <w:pPr>
              <w:ind w:right="649"/>
              <w:rPr>
                <w:rFonts w:ascii="Arial" w:eastAsia="Calibri" w:hAnsi="Arial" w:cs="Arial"/>
                <w:spacing w:val="0"/>
                <w:sz w:val="18"/>
                <w:szCs w:val="18"/>
                <w:lang w:val="es-EC"/>
              </w:rPr>
            </w:pPr>
            <w:r w:rsidRPr="005F3987">
              <w:rPr>
                <w:rFonts w:ascii="Arial" w:eastAsia="Calibri" w:hAnsi="Arial" w:cs="Arial"/>
                <w:spacing w:val="0"/>
                <w:sz w:val="18"/>
                <w:szCs w:val="18"/>
                <w:lang w:val="es-EC"/>
              </w:rPr>
              <w:t>García Tabuenca, A., &amp; Crespo Espert, J. L. (2008)</w:t>
            </w:r>
          </w:p>
        </w:tc>
      </w:tr>
      <w:tr w:rsidR="005F3987" w:rsidRPr="00294D7C" w14:paraId="08F6B038" w14:textId="77777777" w:rsidTr="005F3987">
        <w:trPr>
          <w:trHeight w:val="577"/>
        </w:trPr>
        <w:tc>
          <w:tcPr>
            <w:tcW w:w="496" w:type="pct"/>
            <w:vMerge/>
            <w:shd w:val="clear" w:color="auto" w:fill="DAEEF3"/>
          </w:tcPr>
          <w:p w14:paraId="583CC284" w14:textId="224A2F61"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2DFF2948"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b/>
                <w:spacing w:val="0"/>
                <w:sz w:val="18"/>
                <w:szCs w:val="18"/>
                <w:lang w:val="es-EC" w:eastAsia="es-ES"/>
              </w:rPr>
              <w:t>Rentabilidad</w:t>
            </w:r>
            <w:r w:rsidRPr="005F3987">
              <w:rPr>
                <w:rFonts w:ascii="Arial" w:eastAsia="Calibri" w:hAnsi="Arial" w:cs="Arial"/>
                <w:spacing w:val="0"/>
                <w:sz w:val="18"/>
                <w:szCs w:val="18"/>
                <w:lang w:val="es-EC" w:eastAsia="es-ES"/>
              </w:rPr>
              <w:t xml:space="preserve"> </w:t>
            </w:r>
            <w:r w:rsidRPr="005F3987">
              <w:rPr>
                <w:rFonts w:ascii="Arial" w:eastAsia="Calibri" w:hAnsi="Arial" w:cs="Arial"/>
                <w:b/>
                <w:spacing w:val="0"/>
                <w:sz w:val="18"/>
                <w:szCs w:val="18"/>
                <w:lang w:val="es-EC" w:eastAsia="es-ES"/>
              </w:rPr>
              <w:t>financiera</w:t>
            </w:r>
          </w:p>
          <w:p w14:paraId="30DF7524" w14:textId="77777777" w:rsidR="00391F03" w:rsidRPr="005F3987" w:rsidRDefault="00391F03" w:rsidP="00F20EF6">
            <w:pPr>
              <w:rPr>
                <w:rFonts w:ascii="Arial" w:eastAsia="Calibri" w:hAnsi="Arial" w:cs="Arial"/>
                <w:spacing w:val="0"/>
                <w:sz w:val="18"/>
                <w:szCs w:val="18"/>
                <w:lang w:val="es-EC"/>
              </w:rPr>
            </w:pPr>
            <w:r w:rsidRPr="005F3987">
              <w:rPr>
                <w:rFonts w:ascii="Arial" w:hAnsi="Arial" w:cs="Arial"/>
                <w:spacing w:val="0"/>
                <w:sz w:val="18"/>
                <w:szCs w:val="18"/>
                <w:lang w:val="es-EC"/>
              </w:rPr>
              <w:t>Ratio de rentabilidad financiera.</w:t>
            </w:r>
          </w:p>
        </w:tc>
        <w:tc>
          <w:tcPr>
            <w:tcW w:w="1078" w:type="pct"/>
            <w:shd w:val="clear" w:color="auto" w:fill="DAEEF3"/>
          </w:tcPr>
          <w:p w14:paraId="079DB295" w14:textId="77777777" w:rsidR="00391F03" w:rsidRPr="005F3987" w:rsidRDefault="00391F03" w:rsidP="00F20EF6">
            <w:pPr>
              <w:jc w:val="both"/>
              <w:rPr>
                <w:rFonts w:ascii="Arial" w:eastAsia="Calibri" w:hAnsi="Arial" w:cs="Arial"/>
                <w:spacing w:val="0"/>
                <w:sz w:val="18"/>
                <w:szCs w:val="18"/>
                <w:lang w:val="es-EC"/>
              </w:rPr>
            </w:pPr>
            <w:r w:rsidRPr="005F3987">
              <w:rPr>
                <w:rFonts w:ascii="Arial" w:eastAsia="Calibri" w:hAnsi="Arial" w:cs="Arial"/>
                <w:spacing w:val="0"/>
                <w:sz w:val="18"/>
                <w:szCs w:val="18"/>
                <w:lang w:val="es-EC"/>
              </w:rPr>
              <w:t>Indica el excedente de libre disposición para el empresario como retribución al riesgo asumido</w:t>
            </w:r>
          </w:p>
        </w:tc>
        <w:tc>
          <w:tcPr>
            <w:tcW w:w="759" w:type="pct"/>
            <w:shd w:val="clear" w:color="auto" w:fill="DAEEF3"/>
            <w:vAlign w:val="center"/>
          </w:tcPr>
          <w:p w14:paraId="47D8C310"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 xml:space="preserve">RF= </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 xml:space="preserve">RN </m:t>
                    </m:r>
                  </m:num>
                  <m:den>
                    <m:r>
                      <w:rPr>
                        <w:rFonts w:ascii="Cambria Math" w:eastAsia="Calibri" w:hAnsi="Cambria Math" w:cs="Arial"/>
                        <w:spacing w:val="0"/>
                        <w:sz w:val="18"/>
                        <w:szCs w:val="18"/>
                        <w:lang w:val="es-EC"/>
                      </w:rPr>
                      <m:t xml:space="preserve">fondos propios </m:t>
                    </m:r>
                  </m:den>
                </m:f>
              </m:oMath>
            </m:oMathPara>
          </w:p>
        </w:tc>
        <w:tc>
          <w:tcPr>
            <w:tcW w:w="1141" w:type="pct"/>
            <w:shd w:val="clear" w:color="auto" w:fill="DAEEF3"/>
          </w:tcPr>
          <w:p w14:paraId="61C01AD9"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RN: Resultado Neto de la empresa</w:t>
            </w:r>
          </w:p>
          <w:p w14:paraId="21D2CF1A" w14:textId="77777777" w:rsidR="00391F03" w:rsidRPr="005F3987" w:rsidRDefault="00391F03" w:rsidP="00F20EF6">
            <w:pPr>
              <w:rPr>
                <w:rFonts w:ascii="Arial" w:eastAsia="Calibri" w:hAnsi="Arial" w:cs="Arial"/>
                <w:spacing w:val="0"/>
                <w:sz w:val="18"/>
                <w:szCs w:val="18"/>
                <w:lang w:val="es-EC"/>
              </w:rPr>
            </w:pPr>
            <w:r w:rsidRPr="005F3987">
              <w:rPr>
                <w:rFonts w:ascii="Arial" w:hAnsi="Arial" w:cs="Arial"/>
                <w:spacing w:val="0"/>
                <w:sz w:val="18"/>
                <w:szCs w:val="18"/>
                <w:lang w:val="es-EC"/>
              </w:rPr>
              <w:t xml:space="preserve">Fondos propios: fondos que la empresa ha tenido que incurrir en ese año propio de ella. </w:t>
            </w:r>
          </w:p>
        </w:tc>
        <w:tc>
          <w:tcPr>
            <w:tcW w:w="765" w:type="pct"/>
            <w:shd w:val="clear" w:color="auto" w:fill="DAEEF3"/>
            <w:vAlign w:val="center"/>
          </w:tcPr>
          <w:p w14:paraId="2F5FCAE0"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 xml:space="preserve">García Tabuenca, A., &amp; Crespo Espert, J. L. (2008). </w:t>
            </w:r>
          </w:p>
        </w:tc>
      </w:tr>
      <w:tr w:rsidR="005F3987" w:rsidRPr="0068481A" w14:paraId="3A16E1C2" w14:textId="77777777" w:rsidTr="005F3987">
        <w:trPr>
          <w:trHeight w:val="577"/>
        </w:trPr>
        <w:tc>
          <w:tcPr>
            <w:tcW w:w="496" w:type="pct"/>
            <w:vMerge/>
            <w:shd w:val="clear" w:color="auto" w:fill="DAEEF3"/>
          </w:tcPr>
          <w:p w14:paraId="7AD31AB3" w14:textId="77777777"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0FB43460"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Rentabilidad</w:t>
            </w:r>
          </w:p>
          <w:p w14:paraId="0F49F75B"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Retorno sobre las ventas (ROS).</w:t>
            </w:r>
          </w:p>
        </w:tc>
        <w:tc>
          <w:tcPr>
            <w:tcW w:w="1078" w:type="pct"/>
            <w:shd w:val="clear" w:color="auto" w:fill="DAEEF3"/>
          </w:tcPr>
          <w:p w14:paraId="23A3258B" w14:textId="3A243768"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Mide el rendimiento de ventas que realizó la empresa en un año.</w:t>
            </w:r>
          </w:p>
        </w:tc>
        <w:tc>
          <w:tcPr>
            <w:tcW w:w="759" w:type="pct"/>
            <w:shd w:val="clear" w:color="auto" w:fill="DAEEF3"/>
            <w:vAlign w:val="center"/>
          </w:tcPr>
          <w:p w14:paraId="44E403E9"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ROS=</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BN</m:t>
                    </m:r>
                  </m:num>
                  <m:den>
                    <m:r>
                      <w:rPr>
                        <w:rFonts w:ascii="Cambria Math" w:eastAsia="Calibri" w:hAnsi="Cambria Math" w:cs="Arial"/>
                        <w:spacing w:val="0"/>
                        <w:sz w:val="18"/>
                        <w:szCs w:val="18"/>
                        <w:lang w:val="es-EC"/>
                      </w:rPr>
                      <m:t>V</m:t>
                    </m:r>
                  </m:den>
                </m:f>
              </m:oMath>
            </m:oMathPara>
          </w:p>
        </w:tc>
        <w:tc>
          <w:tcPr>
            <w:tcW w:w="1141" w:type="pct"/>
            <w:shd w:val="clear" w:color="auto" w:fill="DAEEF3"/>
          </w:tcPr>
          <w:p w14:paraId="7A76E73E"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BN: Beneficio neto</w:t>
            </w:r>
          </w:p>
          <w:p w14:paraId="3E92416A"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V: Ventas</w:t>
            </w:r>
          </w:p>
          <w:p w14:paraId="0BE45E25" w14:textId="77777777" w:rsidR="00391F03" w:rsidRPr="005F3987" w:rsidRDefault="00391F03" w:rsidP="00F20EF6">
            <w:pPr>
              <w:rPr>
                <w:rFonts w:ascii="Arial" w:hAnsi="Arial" w:cs="Arial"/>
                <w:spacing w:val="0"/>
                <w:sz w:val="18"/>
                <w:szCs w:val="18"/>
                <w:lang w:val="es-EC"/>
              </w:rPr>
            </w:pPr>
          </w:p>
        </w:tc>
        <w:tc>
          <w:tcPr>
            <w:tcW w:w="765" w:type="pct"/>
            <w:shd w:val="clear" w:color="auto" w:fill="DAEEF3"/>
          </w:tcPr>
          <w:p w14:paraId="52FC74BA"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68481A" w14:paraId="2A01C4FC" w14:textId="77777777" w:rsidTr="005F3987">
        <w:trPr>
          <w:trHeight w:val="968"/>
        </w:trPr>
        <w:tc>
          <w:tcPr>
            <w:tcW w:w="496" w:type="pct"/>
            <w:vMerge/>
            <w:shd w:val="clear" w:color="auto" w:fill="DAEEF3"/>
          </w:tcPr>
          <w:p w14:paraId="1ADF8F51"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0D89E6FA"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Rentabilidad</w:t>
            </w:r>
          </w:p>
          <w:p w14:paraId="7E6EC268"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Retorno sobre los activos (ROA).</w:t>
            </w:r>
          </w:p>
        </w:tc>
        <w:tc>
          <w:tcPr>
            <w:tcW w:w="1078" w:type="pct"/>
            <w:shd w:val="clear" w:color="auto" w:fill="DAEEF3"/>
          </w:tcPr>
          <w:p w14:paraId="7A251BD2"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Mide la eficiencia de los activos totales de una empresa independientemente de su financiamiento o la carga fiscal del país</w:t>
            </w:r>
          </w:p>
        </w:tc>
        <w:tc>
          <w:tcPr>
            <w:tcW w:w="759" w:type="pct"/>
            <w:shd w:val="clear" w:color="auto" w:fill="DAEEF3"/>
            <w:vAlign w:val="center"/>
          </w:tcPr>
          <w:p w14:paraId="7CA933DB"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ROA=</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BN</m:t>
                    </m:r>
                  </m:num>
                  <m:den>
                    <m:r>
                      <w:rPr>
                        <w:rFonts w:ascii="Cambria Math" w:eastAsia="Calibri" w:hAnsi="Cambria Math" w:cs="Arial"/>
                        <w:spacing w:val="0"/>
                        <w:sz w:val="18"/>
                        <w:szCs w:val="18"/>
                        <w:lang w:val="es-EC"/>
                      </w:rPr>
                      <m:t>TA</m:t>
                    </m:r>
                  </m:den>
                </m:f>
              </m:oMath>
            </m:oMathPara>
          </w:p>
        </w:tc>
        <w:tc>
          <w:tcPr>
            <w:tcW w:w="1141" w:type="pct"/>
            <w:shd w:val="clear" w:color="auto" w:fill="DAEEF3"/>
          </w:tcPr>
          <w:p w14:paraId="02376068"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BN: Beneficio neto</w:t>
            </w:r>
          </w:p>
          <w:p w14:paraId="217A3566"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TA: Total de Activos</w:t>
            </w:r>
          </w:p>
        </w:tc>
        <w:tc>
          <w:tcPr>
            <w:tcW w:w="765" w:type="pct"/>
            <w:shd w:val="clear" w:color="auto" w:fill="DAEEF3"/>
          </w:tcPr>
          <w:p w14:paraId="685F45B3"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68481A" w14:paraId="054EBB3E" w14:textId="77777777" w:rsidTr="005F3987">
        <w:trPr>
          <w:trHeight w:val="505"/>
        </w:trPr>
        <w:tc>
          <w:tcPr>
            <w:tcW w:w="496" w:type="pct"/>
            <w:vMerge/>
            <w:shd w:val="clear" w:color="auto" w:fill="DAEEF3"/>
          </w:tcPr>
          <w:p w14:paraId="20EED309"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0522D1CC"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Rentabilidad</w:t>
            </w:r>
          </w:p>
          <w:p w14:paraId="23D72433"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Retorno sobre los índices de equidad (ROE)</w:t>
            </w:r>
          </w:p>
        </w:tc>
        <w:tc>
          <w:tcPr>
            <w:tcW w:w="1078" w:type="pct"/>
            <w:shd w:val="clear" w:color="auto" w:fill="DAEEF3"/>
          </w:tcPr>
          <w:p w14:paraId="0F948EFF"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Refleja la capacidad que tiene la empresa de remunerar a sus accionistas</w:t>
            </w:r>
          </w:p>
        </w:tc>
        <w:tc>
          <w:tcPr>
            <w:tcW w:w="759" w:type="pct"/>
            <w:shd w:val="clear" w:color="auto" w:fill="DAEEF3"/>
            <w:vAlign w:val="center"/>
          </w:tcPr>
          <w:p w14:paraId="513E97A4"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ROE=</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BN</m:t>
                    </m:r>
                  </m:num>
                  <m:den>
                    <m:r>
                      <w:rPr>
                        <w:rFonts w:ascii="Cambria Math" w:eastAsia="Calibri" w:hAnsi="Cambria Math" w:cs="Arial"/>
                        <w:spacing w:val="0"/>
                        <w:sz w:val="18"/>
                        <w:szCs w:val="18"/>
                        <w:lang w:val="es-EC"/>
                      </w:rPr>
                      <m:t>FPM</m:t>
                    </m:r>
                  </m:den>
                </m:f>
              </m:oMath>
            </m:oMathPara>
          </w:p>
        </w:tc>
        <w:tc>
          <w:tcPr>
            <w:tcW w:w="1141" w:type="pct"/>
            <w:shd w:val="clear" w:color="auto" w:fill="DAEEF3"/>
          </w:tcPr>
          <w:p w14:paraId="694C4199"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BN: Beneficio neto</w:t>
            </w:r>
          </w:p>
          <w:p w14:paraId="2D7D6E50"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FPM: Fondos propios medios</w:t>
            </w:r>
          </w:p>
        </w:tc>
        <w:tc>
          <w:tcPr>
            <w:tcW w:w="765" w:type="pct"/>
            <w:shd w:val="clear" w:color="auto" w:fill="DAEEF3"/>
          </w:tcPr>
          <w:p w14:paraId="3FFDC3D6"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294D7C" w14:paraId="59C0DD8D" w14:textId="77777777" w:rsidTr="005F3987">
        <w:trPr>
          <w:trHeight w:val="577"/>
        </w:trPr>
        <w:tc>
          <w:tcPr>
            <w:tcW w:w="496" w:type="pct"/>
            <w:vMerge/>
            <w:shd w:val="clear" w:color="auto" w:fill="DAEEF3"/>
          </w:tcPr>
          <w:p w14:paraId="3871EC7A"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0589CB95"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 xml:space="preserve">Rentabilidad </w:t>
            </w:r>
          </w:p>
          <w:p w14:paraId="1253BCA4"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spacing w:val="0"/>
                <w:sz w:val="18"/>
                <w:szCs w:val="18"/>
                <w:lang w:val="es-EC"/>
              </w:rPr>
              <w:t>Rendimiento de las ventas</w:t>
            </w:r>
          </w:p>
        </w:tc>
        <w:tc>
          <w:tcPr>
            <w:tcW w:w="1078" w:type="pct"/>
            <w:shd w:val="clear" w:color="auto" w:fill="DAEEF3"/>
          </w:tcPr>
          <w:p w14:paraId="3178AB2F"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rPr>
              <w:t>Rendimiento de las ventas– en base al EBITE: analizar la proporción de los ingresos de la empresa que se convierten realmente en ganancias de la empresa – en este caso una empresa pública.</w:t>
            </w:r>
          </w:p>
        </w:tc>
        <w:tc>
          <w:tcPr>
            <w:tcW w:w="759" w:type="pct"/>
            <w:shd w:val="clear" w:color="auto" w:fill="DAEEF3"/>
            <w:vAlign w:val="center"/>
          </w:tcPr>
          <w:p w14:paraId="7D4BE81D" w14:textId="77777777" w:rsidR="00391F03" w:rsidRPr="005F3987" w:rsidRDefault="00391F03" w:rsidP="00F20EF6">
            <w:pPr>
              <w:jc w:val="center"/>
              <w:rPr>
                <w:rFonts w:ascii="Arial" w:hAnsi="Arial" w:cs="Arial"/>
                <w:spacing w:val="0"/>
                <w:sz w:val="18"/>
                <w:szCs w:val="18"/>
                <w:lang w:val="es-EC"/>
              </w:rPr>
            </w:pPr>
            <m:oMathPara>
              <m:oMath>
                <m:r>
                  <w:rPr>
                    <w:rFonts w:ascii="Cambria Math" w:eastAsia="Calibri" w:hAnsi="Cambria Math" w:cs="Arial"/>
                    <w:spacing w:val="0"/>
                    <w:sz w:val="18"/>
                    <w:szCs w:val="18"/>
                    <w:lang w:val="es-EC"/>
                  </w:rPr>
                  <m:t>Rendimiento de las ventas=</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EBITE</m:t>
                    </m:r>
                  </m:num>
                  <m:den>
                    <m:r>
                      <w:rPr>
                        <w:rFonts w:ascii="Cambria Math" w:eastAsia="Calibri" w:hAnsi="Cambria Math" w:cs="Arial"/>
                        <w:spacing w:val="0"/>
                        <w:sz w:val="18"/>
                        <w:szCs w:val="18"/>
                        <w:lang w:val="es-EC"/>
                      </w:rPr>
                      <m:t>VR</m:t>
                    </m:r>
                  </m:den>
                </m:f>
              </m:oMath>
            </m:oMathPara>
          </w:p>
          <w:p w14:paraId="641489A8" w14:textId="77777777" w:rsidR="00391F03" w:rsidRPr="005F3987" w:rsidRDefault="00391F03" w:rsidP="00F20EF6">
            <w:pPr>
              <w:jc w:val="center"/>
              <w:rPr>
                <w:rFonts w:ascii="Arial" w:eastAsia="Calibri" w:hAnsi="Arial" w:cs="Arial"/>
                <w:spacing w:val="0"/>
                <w:sz w:val="18"/>
                <w:szCs w:val="18"/>
                <w:lang w:val="es-EC"/>
              </w:rPr>
            </w:pPr>
          </w:p>
        </w:tc>
        <w:tc>
          <w:tcPr>
            <w:tcW w:w="1141" w:type="pct"/>
            <w:shd w:val="clear" w:color="auto" w:fill="DAEEF3"/>
          </w:tcPr>
          <w:p w14:paraId="02F1EC3E"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EBITE= Ingresos antes de intereses, impuestos e ítems extraordinarios</w:t>
            </w:r>
          </w:p>
          <w:p w14:paraId="1600C3D1"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VR= Ventas reales de la empresa anuales.</w:t>
            </w:r>
          </w:p>
        </w:tc>
        <w:tc>
          <w:tcPr>
            <w:tcW w:w="765" w:type="pct"/>
            <w:shd w:val="clear" w:color="auto" w:fill="DAEEF3"/>
          </w:tcPr>
          <w:p w14:paraId="3664F2BC" w14:textId="77777777" w:rsidR="00391F03" w:rsidRPr="005F3987" w:rsidRDefault="00391F03" w:rsidP="00F20EF6">
            <w:pPr>
              <w:rPr>
                <w:rFonts w:ascii="Arial" w:hAnsi="Arial" w:cs="Arial"/>
                <w:spacing w:val="0"/>
                <w:sz w:val="18"/>
                <w:szCs w:val="18"/>
                <w:lang w:val="es-EC"/>
              </w:rPr>
            </w:pPr>
            <w:proofErr w:type="spellStart"/>
            <w:r w:rsidRPr="005F3987">
              <w:rPr>
                <w:rFonts w:ascii="Arial" w:eastAsia="Calibri" w:hAnsi="Arial" w:cs="Arial"/>
                <w:spacing w:val="0"/>
                <w:sz w:val="18"/>
                <w:szCs w:val="18"/>
                <w:lang w:val="en-US"/>
              </w:rPr>
              <w:t>Bozec</w:t>
            </w:r>
            <w:proofErr w:type="spellEnd"/>
            <w:r w:rsidRPr="005F3987">
              <w:rPr>
                <w:rFonts w:ascii="Arial" w:eastAsia="Calibri" w:hAnsi="Arial" w:cs="Arial"/>
                <w:spacing w:val="0"/>
                <w:sz w:val="18"/>
                <w:szCs w:val="18"/>
                <w:lang w:val="en-US"/>
              </w:rPr>
              <w:t>, R., &amp; Breton, G. (2003).</w:t>
            </w:r>
          </w:p>
        </w:tc>
      </w:tr>
      <w:tr w:rsidR="005F3987" w:rsidRPr="00294D7C" w14:paraId="1053E846" w14:textId="77777777" w:rsidTr="005F3987">
        <w:trPr>
          <w:trHeight w:val="577"/>
        </w:trPr>
        <w:tc>
          <w:tcPr>
            <w:tcW w:w="496" w:type="pct"/>
            <w:vMerge/>
          </w:tcPr>
          <w:p w14:paraId="57006075" w14:textId="77777777"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44815A78"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 xml:space="preserve">Rentabilidad </w:t>
            </w:r>
          </w:p>
          <w:p w14:paraId="31789200"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spacing w:val="0"/>
                <w:sz w:val="18"/>
                <w:szCs w:val="18"/>
                <w:lang w:val="es-EC"/>
              </w:rPr>
              <w:t>EBITE</w:t>
            </w:r>
          </w:p>
        </w:tc>
        <w:tc>
          <w:tcPr>
            <w:tcW w:w="1078" w:type="pct"/>
            <w:shd w:val="clear" w:color="auto" w:fill="DAEEF3"/>
          </w:tcPr>
          <w:p w14:paraId="7985CCC2"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rPr>
              <w:t>EBITE: Ganancias antes de intereses, impuestos y partidas extraordinarias: se utiliza este indicador debido a la dificultad de comprender la noción de capital en las empresas de propiedad del estado, en las cuales el capital y la deuda son a menudo financiados este.</w:t>
            </w:r>
          </w:p>
        </w:tc>
        <w:tc>
          <w:tcPr>
            <w:tcW w:w="759" w:type="pct"/>
            <w:shd w:val="clear" w:color="auto" w:fill="DAEEF3"/>
            <w:vAlign w:val="center"/>
          </w:tcPr>
          <w:p w14:paraId="1D0D289D"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EBITE=EBIT+Items excepcionales</m:t>
                </m:r>
              </m:oMath>
            </m:oMathPara>
          </w:p>
        </w:tc>
        <w:tc>
          <w:tcPr>
            <w:tcW w:w="1141" w:type="pct"/>
            <w:shd w:val="clear" w:color="auto" w:fill="DAEEF3"/>
          </w:tcPr>
          <w:p w14:paraId="1CDBC583"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EBIT: beneficio antes de intereses e impuestos.</w:t>
            </w:r>
          </w:p>
          <w:p w14:paraId="3634E817" w14:textId="77777777" w:rsidR="00391F03" w:rsidRPr="005F3987" w:rsidRDefault="00391F03" w:rsidP="00F20EF6">
            <w:pPr>
              <w:rPr>
                <w:rFonts w:ascii="Arial" w:hAnsi="Arial" w:cs="Arial"/>
                <w:spacing w:val="0"/>
                <w:sz w:val="18"/>
                <w:szCs w:val="18"/>
                <w:lang w:val="es-EC"/>
              </w:rPr>
            </w:pPr>
          </w:p>
        </w:tc>
        <w:tc>
          <w:tcPr>
            <w:tcW w:w="765" w:type="pct"/>
            <w:shd w:val="clear" w:color="auto" w:fill="DAEEF3"/>
          </w:tcPr>
          <w:p w14:paraId="26B8885C" w14:textId="77777777" w:rsidR="00391F03" w:rsidRPr="005F3987" w:rsidRDefault="00391F03" w:rsidP="00F20EF6">
            <w:pPr>
              <w:rPr>
                <w:rFonts w:ascii="Arial" w:eastAsia="Calibri" w:hAnsi="Arial" w:cs="Arial"/>
                <w:spacing w:val="0"/>
                <w:sz w:val="18"/>
                <w:szCs w:val="18"/>
                <w:lang w:val="es-EC"/>
              </w:rPr>
            </w:pPr>
            <w:proofErr w:type="spellStart"/>
            <w:r w:rsidRPr="005F3987">
              <w:rPr>
                <w:rFonts w:ascii="Arial" w:hAnsi="Arial" w:cs="Arial"/>
                <w:spacing w:val="0"/>
                <w:sz w:val="18"/>
                <w:szCs w:val="18"/>
                <w:lang w:val="en-GB"/>
              </w:rPr>
              <w:t>Bozec</w:t>
            </w:r>
            <w:proofErr w:type="spellEnd"/>
            <w:r w:rsidRPr="005F3987">
              <w:rPr>
                <w:rFonts w:ascii="Arial" w:hAnsi="Arial" w:cs="Arial"/>
                <w:spacing w:val="0"/>
                <w:sz w:val="18"/>
                <w:szCs w:val="18"/>
                <w:lang w:val="en-GB"/>
              </w:rPr>
              <w:t>, R., &amp; Breton, G. (2003).</w:t>
            </w:r>
          </w:p>
        </w:tc>
      </w:tr>
      <w:tr w:rsidR="005F3987" w:rsidRPr="00294D7C" w14:paraId="6F483472" w14:textId="77777777" w:rsidTr="005F3987">
        <w:trPr>
          <w:trHeight w:val="1543"/>
        </w:trPr>
        <w:tc>
          <w:tcPr>
            <w:tcW w:w="496" w:type="pct"/>
            <w:vMerge/>
          </w:tcPr>
          <w:p w14:paraId="7E027767" w14:textId="77777777"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3FABB08A"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 xml:space="preserve">Rentabilidad </w:t>
            </w:r>
          </w:p>
          <w:p w14:paraId="38A07D5E"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spacing w:val="0"/>
                <w:sz w:val="18"/>
                <w:szCs w:val="18"/>
                <w:lang w:val="es-EC"/>
              </w:rPr>
              <w:t>Beneficios: EBITE</w:t>
            </w:r>
          </w:p>
        </w:tc>
        <w:tc>
          <w:tcPr>
            <w:tcW w:w="1078" w:type="pct"/>
            <w:shd w:val="clear" w:color="auto" w:fill="DAEEF3"/>
          </w:tcPr>
          <w:p w14:paraId="7FF653D0"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EBITDA: Representa a la capacidad de una empresa para generar beneficios considerando únicamente su actividad productiva</w:t>
            </w:r>
          </w:p>
        </w:tc>
        <w:tc>
          <w:tcPr>
            <w:tcW w:w="759" w:type="pct"/>
            <w:shd w:val="clear" w:color="auto" w:fill="DAEEF3"/>
          </w:tcPr>
          <w:p w14:paraId="27FA5C82" w14:textId="77777777" w:rsidR="00391F03" w:rsidRPr="005F3987" w:rsidRDefault="00391F03" w:rsidP="00F20EF6">
            <w:pPr>
              <w:jc w:val="center"/>
              <w:rPr>
                <w:rFonts w:ascii="Arial" w:hAnsi="Arial" w:cs="Arial"/>
                <w:b/>
                <w:spacing w:val="0"/>
                <w:sz w:val="18"/>
                <w:szCs w:val="18"/>
                <w:lang w:val="es-EC"/>
              </w:rPr>
            </w:pPr>
            <m:oMathPara>
              <m:oMath>
                <m:r>
                  <w:rPr>
                    <w:rFonts w:ascii="Cambria Math" w:eastAsia="Calibri" w:hAnsi="Cambria Math" w:cs="Arial"/>
                    <w:spacing w:val="0"/>
                    <w:sz w:val="18"/>
                    <w:szCs w:val="18"/>
                    <w:lang w:val="es-EC"/>
                  </w:rPr>
                  <m:t>EBITDA</m:t>
                </m:r>
                <m:r>
                  <w:rPr>
                    <w:rFonts w:ascii="Cambria Math" w:hAnsi="Cambria Math" w:cs="Arial"/>
                    <w:spacing w:val="0"/>
                    <w:sz w:val="18"/>
                    <w:szCs w:val="18"/>
                    <w:lang w:val="es-EC"/>
                  </w:rPr>
                  <m:t>=NOPAT+Amort+Deprec+Prov</m:t>
                </m:r>
              </m:oMath>
            </m:oMathPara>
          </w:p>
        </w:tc>
        <w:tc>
          <w:tcPr>
            <w:tcW w:w="1141" w:type="pct"/>
            <w:shd w:val="clear" w:color="auto" w:fill="DAEEF3"/>
          </w:tcPr>
          <w:p w14:paraId="4ABBAA23"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NOPAT=</w:t>
            </w:r>
            <w:r w:rsidRPr="005F3987">
              <w:rPr>
                <w:rFonts w:ascii="Arial" w:eastAsia="Calibri" w:hAnsi="Arial" w:cs="Arial"/>
                <w:spacing w:val="0"/>
                <w:sz w:val="18"/>
                <w:szCs w:val="18"/>
                <w:lang w:val="es-EC"/>
              </w:rPr>
              <w:t xml:space="preserve"> </w:t>
            </w:r>
            <w:r w:rsidRPr="005F3987">
              <w:rPr>
                <w:rFonts w:ascii="Arial" w:hAnsi="Arial" w:cs="Arial"/>
                <w:spacing w:val="0"/>
                <w:sz w:val="18"/>
                <w:szCs w:val="18"/>
                <w:lang w:val="es-EC"/>
              </w:rPr>
              <w:t>Beneficio Operativo Neto Después de Impuestos</w:t>
            </w:r>
          </w:p>
          <w:p w14:paraId="1C7AE26D" w14:textId="77777777" w:rsidR="00391F03" w:rsidRPr="005F3987" w:rsidRDefault="00391F03" w:rsidP="00F20EF6">
            <w:pPr>
              <w:rPr>
                <w:rFonts w:ascii="Arial" w:hAnsi="Arial" w:cs="Arial"/>
                <w:spacing w:val="0"/>
                <w:sz w:val="18"/>
                <w:szCs w:val="18"/>
                <w:lang w:val="es-EC"/>
              </w:rPr>
            </w:pPr>
            <w:proofErr w:type="spellStart"/>
            <w:r w:rsidRPr="005F3987">
              <w:rPr>
                <w:rFonts w:ascii="Arial" w:hAnsi="Arial" w:cs="Arial"/>
                <w:spacing w:val="0"/>
                <w:sz w:val="18"/>
                <w:szCs w:val="18"/>
                <w:lang w:val="es-EC"/>
              </w:rPr>
              <w:t>Amort</w:t>
            </w:r>
            <w:proofErr w:type="spellEnd"/>
            <w:r w:rsidRPr="005F3987">
              <w:rPr>
                <w:rFonts w:ascii="Arial" w:hAnsi="Arial" w:cs="Arial"/>
                <w:spacing w:val="0"/>
                <w:sz w:val="18"/>
                <w:szCs w:val="18"/>
                <w:lang w:val="es-EC"/>
              </w:rPr>
              <w:t>= Amortización</w:t>
            </w:r>
          </w:p>
          <w:p w14:paraId="314D1DAE" w14:textId="77777777" w:rsidR="00391F03" w:rsidRPr="005F3987" w:rsidRDefault="00391F03" w:rsidP="00F20EF6">
            <w:pPr>
              <w:rPr>
                <w:rFonts w:ascii="Arial" w:hAnsi="Arial" w:cs="Arial"/>
                <w:spacing w:val="0"/>
                <w:sz w:val="18"/>
                <w:szCs w:val="18"/>
                <w:lang w:val="es-EC"/>
              </w:rPr>
            </w:pPr>
            <w:proofErr w:type="spellStart"/>
            <w:r w:rsidRPr="005F3987">
              <w:rPr>
                <w:rFonts w:ascii="Arial" w:hAnsi="Arial" w:cs="Arial"/>
                <w:spacing w:val="0"/>
                <w:sz w:val="18"/>
                <w:szCs w:val="18"/>
                <w:lang w:val="es-EC"/>
              </w:rPr>
              <w:t>Deprec</w:t>
            </w:r>
            <w:proofErr w:type="spellEnd"/>
            <w:r w:rsidRPr="005F3987">
              <w:rPr>
                <w:rFonts w:ascii="Arial" w:hAnsi="Arial" w:cs="Arial"/>
                <w:spacing w:val="0"/>
                <w:sz w:val="18"/>
                <w:szCs w:val="18"/>
                <w:lang w:val="es-EC"/>
              </w:rPr>
              <w:t>= Depreciación</w:t>
            </w:r>
          </w:p>
          <w:p w14:paraId="76786AE2" w14:textId="77777777" w:rsidR="00391F03" w:rsidRPr="005F3987" w:rsidRDefault="00391F03" w:rsidP="00F20EF6">
            <w:pPr>
              <w:rPr>
                <w:rFonts w:ascii="Arial" w:hAnsi="Arial" w:cs="Arial"/>
                <w:spacing w:val="0"/>
                <w:sz w:val="18"/>
                <w:szCs w:val="18"/>
                <w:lang w:val="es-EC"/>
              </w:rPr>
            </w:pPr>
            <w:proofErr w:type="spellStart"/>
            <w:r w:rsidRPr="005F3987">
              <w:rPr>
                <w:rFonts w:ascii="Arial" w:hAnsi="Arial" w:cs="Arial"/>
                <w:spacing w:val="0"/>
                <w:sz w:val="18"/>
                <w:szCs w:val="18"/>
                <w:lang w:val="es-EC"/>
              </w:rPr>
              <w:t>Prov</w:t>
            </w:r>
            <w:proofErr w:type="spellEnd"/>
            <w:r w:rsidRPr="005F3987">
              <w:rPr>
                <w:rFonts w:ascii="Arial" w:hAnsi="Arial" w:cs="Arial"/>
                <w:spacing w:val="0"/>
                <w:sz w:val="18"/>
                <w:szCs w:val="18"/>
                <w:lang w:val="es-EC"/>
              </w:rPr>
              <w:t>= Provisión</w:t>
            </w:r>
          </w:p>
        </w:tc>
        <w:tc>
          <w:tcPr>
            <w:tcW w:w="765" w:type="pct"/>
            <w:shd w:val="clear" w:color="auto" w:fill="DAEEF3"/>
          </w:tcPr>
          <w:p w14:paraId="04A955AB"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García Tabuenca, A., &amp; Crespo Espert, J. L. (2008)</w:t>
            </w:r>
          </w:p>
        </w:tc>
      </w:tr>
      <w:tr w:rsidR="005F3987" w:rsidRPr="00294D7C" w14:paraId="68D9F9AB" w14:textId="77777777" w:rsidTr="005F3987">
        <w:trPr>
          <w:trHeight w:val="577"/>
        </w:trPr>
        <w:tc>
          <w:tcPr>
            <w:tcW w:w="496" w:type="pct"/>
            <w:vMerge/>
          </w:tcPr>
          <w:p w14:paraId="4010E383" w14:textId="77777777"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62F4FA38"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 xml:space="preserve">Liquidez </w:t>
            </w:r>
          </w:p>
        </w:tc>
        <w:tc>
          <w:tcPr>
            <w:tcW w:w="1078" w:type="pct"/>
            <w:shd w:val="clear" w:color="auto" w:fill="DAEEF3"/>
          </w:tcPr>
          <w:p w14:paraId="6B302A2E"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rPr>
              <w:t>EBITDA respecto al activo total: representa la generación de liquidez con respecto a la inversión total de la empresa</w:t>
            </w:r>
          </w:p>
        </w:tc>
        <w:tc>
          <w:tcPr>
            <w:tcW w:w="759" w:type="pct"/>
            <w:shd w:val="clear" w:color="auto" w:fill="DAEEF3"/>
            <w:vAlign w:val="center"/>
          </w:tcPr>
          <w:p w14:paraId="31CF1FDF" w14:textId="77777777" w:rsidR="00391F03" w:rsidRPr="005F3987" w:rsidRDefault="00414F4C" w:rsidP="00F20EF6">
            <w:pPr>
              <w:jc w:val="center"/>
              <w:rPr>
                <w:rFonts w:ascii="Arial" w:hAnsi="Arial" w:cs="Arial"/>
                <w:spacing w:val="0"/>
                <w:sz w:val="18"/>
                <w:szCs w:val="18"/>
                <w:lang w:val="es-EC"/>
              </w:rPr>
            </w:pPr>
            <m:oMathPara>
              <m:oMath>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EBIDTA</m:t>
                    </m:r>
                  </m:num>
                  <m:den>
                    <m:r>
                      <w:rPr>
                        <w:rFonts w:ascii="Cambria Math" w:eastAsia="Calibri" w:hAnsi="Cambria Math" w:cs="Arial"/>
                        <w:spacing w:val="0"/>
                        <w:sz w:val="18"/>
                        <w:szCs w:val="18"/>
                        <w:lang w:val="es-EC"/>
                      </w:rPr>
                      <m:t>TA</m:t>
                    </m:r>
                  </m:den>
                </m:f>
              </m:oMath>
            </m:oMathPara>
          </w:p>
          <w:p w14:paraId="72067CE9" w14:textId="77777777" w:rsidR="00391F03" w:rsidRPr="005F3987" w:rsidRDefault="00391F03" w:rsidP="00F20EF6">
            <w:pPr>
              <w:jc w:val="center"/>
              <w:rPr>
                <w:rFonts w:ascii="Arial" w:eastAsia="Calibri" w:hAnsi="Arial" w:cs="Arial"/>
                <w:spacing w:val="0"/>
                <w:sz w:val="18"/>
                <w:szCs w:val="18"/>
                <w:lang w:val="es-EC"/>
              </w:rPr>
            </w:pPr>
          </w:p>
        </w:tc>
        <w:tc>
          <w:tcPr>
            <w:tcW w:w="1141" w:type="pct"/>
            <w:shd w:val="clear" w:color="auto" w:fill="DAEEF3"/>
          </w:tcPr>
          <w:p w14:paraId="7DF2DABF"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EBITDA: Beneficio antes de impuestos, intereses y costes financieros, depreciaciones y amortizaciones</w:t>
            </w:r>
          </w:p>
          <w:p w14:paraId="68BEC500"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TA= Total de activos</w:t>
            </w:r>
          </w:p>
        </w:tc>
        <w:tc>
          <w:tcPr>
            <w:tcW w:w="765" w:type="pct"/>
            <w:shd w:val="clear" w:color="auto" w:fill="DAEEF3"/>
          </w:tcPr>
          <w:p w14:paraId="79987553"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García Tabuenca, A., &amp; Crespo Espert, J. L. (2008)</w:t>
            </w:r>
          </w:p>
        </w:tc>
      </w:tr>
      <w:tr w:rsidR="005F3987" w:rsidRPr="0068481A" w14:paraId="00AA41BD" w14:textId="77777777" w:rsidTr="005F3987">
        <w:trPr>
          <w:trHeight w:val="477"/>
        </w:trPr>
        <w:tc>
          <w:tcPr>
            <w:tcW w:w="496" w:type="pct"/>
            <w:vMerge/>
            <w:shd w:val="clear" w:color="auto" w:fill="DAEEF3"/>
          </w:tcPr>
          <w:p w14:paraId="0D4C1387" w14:textId="77777777" w:rsidR="00391F03" w:rsidRPr="00294D7C" w:rsidRDefault="00391F03" w:rsidP="00F20EF6">
            <w:pPr>
              <w:rPr>
                <w:rFonts w:ascii="Arial" w:eastAsia="Calibri" w:hAnsi="Arial" w:cs="Arial"/>
                <w:b/>
                <w:spacing w:val="0"/>
                <w:sz w:val="18"/>
                <w:szCs w:val="18"/>
                <w:highlight w:val="yellow"/>
                <w:lang w:val="es-EC" w:eastAsia="es-ES"/>
              </w:rPr>
            </w:pPr>
          </w:p>
        </w:tc>
        <w:tc>
          <w:tcPr>
            <w:tcW w:w="760" w:type="pct"/>
            <w:shd w:val="clear" w:color="auto" w:fill="DAEEF3"/>
          </w:tcPr>
          <w:p w14:paraId="3A95E5EE"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Gasto de inversión de capital</w:t>
            </w:r>
          </w:p>
          <w:p w14:paraId="23A2A4AB"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Indicador 1</w:t>
            </w:r>
          </w:p>
          <w:p w14:paraId="3193F95B" w14:textId="77777777" w:rsidR="00391F03" w:rsidRPr="005F3987" w:rsidRDefault="00391F03" w:rsidP="00F20EF6">
            <w:pPr>
              <w:rPr>
                <w:rFonts w:ascii="Arial" w:eastAsia="Calibri" w:hAnsi="Arial" w:cs="Arial"/>
                <w:spacing w:val="0"/>
                <w:sz w:val="18"/>
                <w:szCs w:val="18"/>
                <w:lang w:val="es-EC" w:eastAsia="es-ES"/>
              </w:rPr>
            </w:pPr>
          </w:p>
        </w:tc>
        <w:tc>
          <w:tcPr>
            <w:tcW w:w="1078" w:type="pct"/>
            <w:shd w:val="clear" w:color="auto" w:fill="DAEEF3"/>
          </w:tcPr>
          <w:p w14:paraId="14D1EB9B"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Mide que parte de los gastos se ven recompensados por el total de las ventas</w:t>
            </w:r>
          </w:p>
        </w:tc>
        <w:tc>
          <w:tcPr>
            <w:tcW w:w="759" w:type="pct"/>
            <w:shd w:val="clear" w:color="auto" w:fill="DAEEF3"/>
            <w:vAlign w:val="center"/>
          </w:tcPr>
          <w:p w14:paraId="54486117"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GIC1=</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GC</m:t>
                    </m:r>
                  </m:num>
                  <m:den>
                    <m:r>
                      <w:rPr>
                        <w:rFonts w:ascii="Cambria Math" w:eastAsia="Calibri" w:hAnsi="Cambria Math" w:cs="Arial"/>
                        <w:spacing w:val="0"/>
                        <w:sz w:val="18"/>
                        <w:szCs w:val="18"/>
                        <w:lang w:val="es-EC"/>
                      </w:rPr>
                      <m:t>V</m:t>
                    </m:r>
                  </m:den>
                </m:f>
              </m:oMath>
            </m:oMathPara>
          </w:p>
          <w:p w14:paraId="77C189A4" w14:textId="77777777" w:rsidR="00391F03" w:rsidRPr="005F3987" w:rsidRDefault="00391F03" w:rsidP="00F20EF6">
            <w:pPr>
              <w:jc w:val="center"/>
              <w:rPr>
                <w:rFonts w:ascii="Arial" w:eastAsia="Calibri" w:hAnsi="Arial" w:cs="Arial"/>
                <w:spacing w:val="0"/>
                <w:sz w:val="18"/>
                <w:szCs w:val="18"/>
                <w:lang w:val="es-EC"/>
              </w:rPr>
            </w:pPr>
          </w:p>
        </w:tc>
        <w:tc>
          <w:tcPr>
            <w:tcW w:w="1141" w:type="pct"/>
            <w:shd w:val="clear" w:color="auto" w:fill="DAEEF3"/>
          </w:tcPr>
          <w:p w14:paraId="56CA540F"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GC: Gastos de Capital</w:t>
            </w:r>
          </w:p>
          <w:p w14:paraId="2B07AA7A"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V: Ventas</w:t>
            </w:r>
          </w:p>
          <w:p w14:paraId="6023DACB" w14:textId="77777777" w:rsidR="00391F03" w:rsidRPr="005F3987" w:rsidRDefault="00391F03" w:rsidP="00F20EF6">
            <w:pPr>
              <w:rPr>
                <w:rFonts w:ascii="Arial" w:hAnsi="Arial" w:cs="Arial"/>
                <w:spacing w:val="0"/>
                <w:sz w:val="18"/>
                <w:szCs w:val="18"/>
                <w:lang w:val="es-EC"/>
              </w:rPr>
            </w:pPr>
          </w:p>
        </w:tc>
        <w:tc>
          <w:tcPr>
            <w:tcW w:w="765" w:type="pct"/>
            <w:shd w:val="clear" w:color="auto" w:fill="DAEEF3"/>
          </w:tcPr>
          <w:p w14:paraId="5A8D7ABB"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68481A" w14:paraId="279D8B26" w14:textId="77777777" w:rsidTr="005F3987">
        <w:trPr>
          <w:trHeight w:val="577"/>
        </w:trPr>
        <w:tc>
          <w:tcPr>
            <w:tcW w:w="496" w:type="pct"/>
            <w:vMerge/>
            <w:shd w:val="clear" w:color="auto" w:fill="DAEEF3"/>
          </w:tcPr>
          <w:p w14:paraId="1EA88F0F"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4384EA0C"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Gasto de inversión de capital</w:t>
            </w:r>
          </w:p>
          <w:p w14:paraId="5D13AB28"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Indicador 2</w:t>
            </w:r>
          </w:p>
          <w:p w14:paraId="569A0921" w14:textId="77777777" w:rsidR="00391F03" w:rsidRPr="005F3987" w:rsidRDefault="00391F03" w:rsidP="00F20EF6">
            <w:pPr>
              <w:rPr>
                <w:rFonts w:ascii="Arial" w:eastAsia="Calibri" w:hAnsi="Arial" w:cs="Arial"/>
                <w:spacing w:val="0"/>
                <w:sz w:val="18"/>
                <w:szCs w:val="18"/>
                <w:lang w:val="es-EC" w:eastAsia="es-ES"/>
              </w:rPr>
            </w:pPr>
          </w:p>
        </w:tc>
        <w:tc>
          <w:tcPr>
            <w:tcW w:w="1078" w:type="pct"/>
            <w:shd w:val="clear" w:color="auto" w:fill="DAEEF3"/>
          </w:tcPr>
          <w:p w14:paraId="6E5D0A88"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Mide la parte de los activos totales que cubren los gastos de capital</w:t>
            </w:r>
          </w:p>
        </w:tc>
        <w:tc>
          <w:tcPr>
            <w:tcW w:w="759" w:type="pct"/>
            <w:shd w:val="clear" w:color="auto" w:fill="DAEEF3"/>
            <w:vAlign w:val="center"/>
          </w:tcPr>
          <w:p w14:paraId="0269F18E"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EGIC2=</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GC</m:t>
                    </m:r>
                  </m:num>
                  <m:den>
                    <m:r>
                      <w:rPr>
                        <w:rFonts w:ascii="Cambria Math" w:eastAsia="Calibri" w:hAnsi="Cambria Math" w:cs="Arial"/>
                        <w:spacing w:val="0"/>
                        <w:sz w:val="18"/>
                        <w:szCs w:val="18"/>
                        <w:lang w:val="es-EC"/>
                      </w:rPr>
                      <m:t>TA</m:t>
                    </m:r>
                  </m:den>
                </m:f>
              </m:oMath>
            </m:oMathPara>
          </w:p>
        </w:tc>
        <w:tc>
          <w:tcPr>
            <w:tcW w:w="1141" w:type="pct"/>
            <w:shd w:val="clear" w:color="auto" w:fill="DAEEF3"/>
          </w:tcPr>
          <w:p w14:paraId="356488A9"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TA: Total de Activos</w:t>
            </w:r>
          </w:p>
          <w:p w14:paraId="6CDB9E73"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GC: Gastos de Capital</w:t>
            </w:r>
          </w:p>
          <w:p w14:paraId="405A9791" w14:textId="77777777" w:rsidR="00391F03" w:rsidRPr="005F3987" w:rsidRDefault="00391F03" w:rsidP="00F20EF6">
            <w:pPr>
              <w:rPr>
                <w:rFonts w:ascii="Arial" w:hAnsi="Arial" w:cs="Arial"/>
                <w:spacing w:val="0"/>
                <w:sz w:val="18"/>
                <w:szCs w:val="18"/>
                <w:lang w:val="es-EC"/>
              </w:rPr>
            </w:pPr>
          </w:p>
        </w:tc>
        <w:tc>
          <w:tcPr>
            <w:tcW w:w="765" w:type="pct"/>
            <w:shd w:val="clear" w:color="auto" w:fill="DAEEF3"/>
          </w:tcPr>
          <w:p w14:paraId="6E755DD4"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68481A" w14:paraId="46BE2211" w14:textId="77777777" w:rsidTr="005F3987">
        <w:trPr>
          <w:trHeight w:val="577"/>
        </w:trPr>
        <w:tc>
          <w:tcPr>
            <w:tcW w:w="496" w:type="pct"/>
            <w:vMerge/>
            <w:shd w:val="clear" w:color="auto" w:fill="DAEEF3"/>
          </w:tcPr>
          <w:p w14:paraId="61EFF177"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4D0F5911"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Producción</w:t>
            </w:r>
          </w:p>
          <w:p w14:paraId="60D8BE29"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Ventas Reales</w:t>
            </w:r>
          </w:p>
        </w:tc>
        <w:tc>
          <w:tcPr>
            <w:tcW w:w="1078" w:type="pct"/>
            <w:shd w:val="clear" w:color="auto" w:fill="DAEEF3"/>
          </w:tcPr>
          <w:p w14:paraId="760414B1"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Mide el número de ventas de una empresa ajustado el índice de precios al consumidor</w:t>
            </w:r>
          </w:p>
        </w:tc>
        <w:tc>
          <w:tcPr>
            <w:tcW w:w="759" w:type="pct"/>
            <w:shd w:val="clear" w:color="auto" w:fill="DAEEF3"/>
            <w:vAlign w:val="center"/>
          </w:tcPr>
          <w:p w14:paraId="159AB66D"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1. VR=</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VN</m:t>
                    </m:r>
                  </m:num>
                  <m:den>
                    <m:r>
                      <w:rPr>
                        <w:rFonts w:ascii="Cambria Math" w:eastAsia="Calibri" w:hAnsi="Cambria Math" w:cs="Arial"/>
                        <w:spacing w:val="0"/>
                        <w:sz w:val="18"/>
                        <w:szCs w:val="18"/>
                        <w:lang w:val="es-EC"/>
                      </w:rPr>
                      <m:t>IPC</m:t>
                    </m:r>
                  </m:den>
                </m:f>
              </m:oMath>
            </m:oMathPara>
          </w:p>
        </w:tc>
        <w:tc>
          <w:tcPr>
            <w:tcW w:w="1141" w:type="pct"/>
            <w:shd w:val="clear" w:color="auto" w:fill="DAEEF3"/>
          </w:tcPr>
          <w:p w14:paraId="6B552B44"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VN: Ventas Nominales</w:t>
            </w:r>
          </w:p>
          <w:p w14:paraId="3D69CE55"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IPC: Índice de Precios al Consumidor</w:t>
            </w:r>
          </w:p>
        </w:tc>
        <w:tc>
          <w:tcPr>
            <w:tcW w:w="765" w:type="pct"/>
            <w:shd w:val="clear" w:color="auto" w:fill="DAEEF3"/>
          </w:tcPr>
          <w:p w14:paraId="1F1D6BD2" w14:textId="77777777" w:rsidR="00391F03" w:rsidRPr="005F3987" w:rsidRDefault="00391F03" w:rsidP="00F20EF6">
            <w:pPr>
              <w:rPr>
                <w:rFonts w:ascii="Arial" w:hAnsi="Arial" w:cs="Arial"/>
                <w:spacing w:val="0"/>
                <w:sz w:val="18"/>
                <w:szCs w:val="18"/>
                <w:lang w:val="en-US"/>
              </w:rPr>
            </w:pPr>
            <w:proofErr w:type="spellStart"/>
            <w:r w:rsidRPr="005F3987">
              <w:rPr>
                <w:rFonts w:ascii="Arial" w:hAnsi="Arial" w:cs="Arial"/>
                <w:spacing w:val="0"/>
                <w:sz w:val="18"/>
                <w:szCs w:val="18"/>
                <w:lang w:val="en-GB"/>
              </w:rPr>
              <w:t>Boubakri</w:t>
            </w:r>
            <w:proofErr w:type="spellEnd"/>
            <w:r w:rsidRPr="005F3987">
              <w:rPr>
                <w:rFonts w:ascii="Arial" w:hAnsi="Arial" w:cs="Arial"/>
                <w:spacing w:val="0"/>
                <w:sz w:val="18"/>
                <w:szCs w:val="18"/>
                <w:lang w:val="en-GB"/>
              </w:rPr>
              <w:t xml:space="preserve">, N., &amp; Cosset, J.-C. (1998). </w:t>
            </w:r>
          </w:p>
        </w:tc>
      </w:tr>
      <w:tr w:rsidR="005F3987" w:rsidRPr="00294D7C" w14:paraId="2DE80E68" w14:textId="77777777" w:rsidTr="005F3987">
        <w:trPr>
          <w:trHeight w:val="577"/>
        </w:trPr>
        <w:tc>
          <w:tcPr>
            <w:tcW w:w="496" w:type="pct"/>
            <w:vMerge/>
            <w:shd w:val="clear" w:color="auto" w:fill="DAEEF3"/>
          </w:tcPr>
          <w:p w14:paraId="072DCAA9" w14:textId="77777777" w:rsidR="00391F03" w:rsidRPr="00294D7C" w:rsidRDefault="00391F03" w:rsidP="00F20EF6">
            <w:pPr>
              <w:rPr>
                <w:rFonts w:ascii="Arial" w:eastAsia="Calibri" w:hAnsi="Arial" w:cs="Arial"/>
                <w:b/>
                <w:spacing w:val="0"/>
                <w:sz w:val="18"/>
                <w:szCs w:val="18"/>
                <w:highlight w:val="yellow"/>
                <w:lang w:val="en-US" w:eastAsia="es-ES"/>
              </w:rPr>
            </w:pPr>
          </w:p>
        </w:tc>
        <w:tc>
          <w:tcPr>
            <w:tcW w:w="760" w:type="pct"/>
            <w:shd w:val="clear" w:color="auto" w:fill="DAEEF3"/>
          </w:tcPr>
          <w:p w14:paraId="02C458C4"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spacing w:val="0"/>
                <w:sz w:val="18"/>
                <w:szCs w:val="18"/>
                <w:lang w:val="es-EC" w:eastAsia="es-ES"/>
              </w:rPr>
              <w:t>El indicador de transparencia</w:t>
            </w:r>
          </w:p>
        </w:tc>
        <w:tc>
          <w:tcPr>
            <w:tcW w:w="1078" w:type="pct"/>
            <w:shd w:val="clear" w:color="auto" w:fill="DAEEF3"/>
          </w:tcPr>
          <w:p w14:paraId="418E007D"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rPr>
              <w:t>INDEP (España): Mide la transparencia ante los ciudadanos y la sociedad de las Empresas públicas estatales de España</w:t>
            </w:r>
          </w:p>
        </w:tc>
        <w:tc>
          <w:tcPr>
            <w:tcW w:w="759" w:type="pct"/>
            <w:shd w:val="clear" w:color="auto" w:fill="DAEEF3"/>
            <w:vAlign w:val="center"/>
          </w:tcPr>
          <w:p w14:paraId="7FB59878" w14:textId="1A6E56EB"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 xml:space="preserve">Índice generado a partir de 60 indicadores agrupados en 6 Áreas de transparencia </w:t>
            </w:r>
          </w:p>
          <w:p w14:paraId="74A73B5C"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Cada uno de los indicadores tiene 3 posibles niveles de puntuación.</w:t>
            </w:r>
          </w:p>
        </w:tc>
        <w:tc>
          <w:tcPr>
            <w:tcW w:w="1141" w:type="pct"/>
            <w:shd w:val="clear" w:color="auto" w:fill="DAEEF3"/>
          </w:tcPr>
          <w:p w14:paraId="4E9D3DB8"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Cuestionario TI – España (para 45 empresas públicas estatales)</w:t>
            </w:r>
          </w:p>
          <w:p w14:paraId="01559B15" w14:textId="77777777" w:rsidR="00391F03" w:rsidRPr="005F3987" w:rsidRDefault="00391F03" w:rsidP="00F20EF6">
            <w:pPr>
              <w:rPr>
                <w:rFonts w:ascii="Arial" w:hAnsi="Arial" w:cs="Arial"/>
                <w:spacing w:val="0"/>
                <w:sz w:val="18"/>
                <w:szCs w:val="18"/>
                <w:lang w:val="es-EC"/>
              </w:rPr>
            </w:pPr>
            <w:r w:rsidRPr="005F3987">
              <w:rPr>
                <w:rFonts w:ascii="Arial" w:eastAsia="Calibri" w:hAnsi="Arial" w:cs="Arial"/>
                <w:spacing w:val="0"/>
                <w:sz w:val="18"/>
                <w:szCs w:val="18"/>
                <w:lang w:val="es-EC"/>
              </w:rPr>
              <w:t>A nivel local se modificará el cuestionario para tomar en cuenta la legislación relativa a transparencia del Ecuador.</w:t>
            </w:r>
          </w:p>
        </w:tc>
        <w:tc>
          <w:tcPr>
            <w:tcW w:w="765" w:type="pct"/>
            <w:shd w:val="clear" w:color="auto" w:fill="DAEEF3"/>
          </w:tcPr>
          <w:p w14:paraId="4C2B22EF" w14:textId="77777777" w:rsidR="00391F03" w:rsidRPr="005F3987" w:rsidRDefault="00391F03" w:rsidP="00F20EF6">
            <w:pPr>
              <w:rPr>
                <w:rFonts w:ascii="Arial" w:hAnsi="Arial" w:cs="Arial"/>
                <w:spacing w:val="0"/>
                <w:sz w:val="18"/>
                <w:szCs w:val="18"/>
                <w:lang w:val="es-EC"/>
              </w:rPr>
            </w:pPr>
            <w:proofErr w:type="spellStart"/>
            <w:r w:rsidRPr="005F3987">
              <w:rPr>
                <w:rFonts w:ascii="Arial" w:eastAsia="Calibri" w:hAnsi="Arial" w:cs="Arial"/>
                <w:spacing w:val="0"/>
                <w:sz w:val="18"/>
                <w:szCs w:val="18"/>
                <w:lang w:val="es-EC"/>
              </w:rPr>
              <w:t>Transparency</w:t>
            </w:r>
            <w:proofErr w:type="spellEnd"/>
            <w:r w:rsidRPr="005F3987">
              <w:rPr>
                <w:rFonts w:ascii="Arial" w:eastAsia="Calibri" w:hAnsi="Arial" w:cs="Arial"/>
                <w:spacing w:val="0"/>
                <w:sz w:val="18"/>
                <w:szCs w:val="18"/>
                <w:lang w:val="es-EC"/>
              </w:rPr>
              <w:t xml:space="preserve"> International España (TI España)</w:t>
            </w:r>
          </w:p>
        </w:tc>
      </w:tr>
      <w:tr w:rsidR="005F3987" w:rsidRPr="00294D7C" w14:paraId="09B29A21" w14:textId="77777777" w:rsidTr="005F3987">
        <w:trPr>
          <w:trHeight w:val="577"/>
        </w:trPr>
        <w:tc>
          <w:tcPr>
            <w:tcW w:w="496" w:type="pct"/>
            <w:vMerge/>
            <w:shd w:val="clear" w:color="auto" w:fill="DAEEF3"/>
          </w:tcPr>
          <w:p w14:paraId="3A7D7A15" w14:textId="77777777" w:rsidR="00391F03" w:rsidRPr="00294D7C" w:rsidRDefault="00391F03" w:rsidP="00266E44">
            <w:pPr>
              <w:keepNext/>
              <w:keepLines/>
              <w:numPr>
                <w:ilvl w:val="0"/>
                <w:numId w:val="30"/>
              </w:numPr>
              <w:tabs>
                <w:tab w:val="left" w:pos="720"/>
              </w:tabs>
              <w:spacing w:after="160" w:line="259" w:lineRule="auto"/>
              <w:ind w:left="0" w:firstLine="0"/>
              <w:outlineLvl w:val="3"/>
              <w:rPr>
                <w:rFonts w:ascii="Arial" w:hAnsi="Arial" w:cs="Arial"/>
                <w:i/>
                <w:iCs/>
                <w:color w:val="365F91"/>
                <w:spacing w:val="0"/>
                <w:sz w:val="18"/>
                <w:szCs w:val="18"/>
                <w:highlight w:val="yellow"/>
                <w:lang w:val="es-ES"/>
              </w:rPr>
            </w:pPr>
          </w:p>
        </w:tc>
        <w:tc>
          <w:tcPr>
            <w:tcW w:w="760" w:type="pct"/>
            <w:shd w:val="clear" w:color="auto" w:fill="DAEEF3"/>
          </w:tcPr>
          <w:p w14:paraId="7AC14A59"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La valoración de la empresa</w:t>
            </w:r>
          </w:p>
          <w:p w14:paraId="644E268D" w14:textId="77777777" w:rsidR="00391F03" w:rsidRPr="005F3987" w:rsidRDefault="00391F03" w:rsidP="00F20EF6">
            <w:pPr>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rPr>
              <w:t>Método DCF</w:t>
            </w:r>
          </w:p>
        </w:tc>
        <w:tc>
          <w:tcPr>
            <w:tcW w:w="1078" w:type="pct"/>
            <w:shd w:val="clear" w:color="auto" w:fill="DAEEF3"/>
          </w:tcPr>
          <w:p w14:paraId="2529D08E" w14:textId="77777777" w:rsidR="00391F03" w:rsidRPr="005F3987" w:rsidRDefault="00391F03" w:rsidP="00F20EF6">
            <w:pPr>
              <w:jc w:val="both"/>
              <w:rPr>
                <w:rFonts w:ascii="Arial" w:eastAsia="Calibri" w:hAnsi="Arial" w:cs="Arial"/>
                <w:spacing w:val="0"/>
                <w:sz w:val="18"/>
                <w:szCs w:val="18"/>
                <w:lang w:val="es-EC"/>
              </w:rPr>
            </w:pPr>
            <w:r w:rsidRPr="005F3987">
              <w:rPr>
                <w:rFonts w:ascii="Arial" w:eastAsia="Calibri" w:hAnsi="Arial" w:cs="Arial"/>
                <w:spacing w:val="0"/>
                <w:sz w:val="18"/>
                <w:szCs w:val="18"/>
                <w:lang w:val="es-EC"/>
              </w:rPr>
              <w:t>Método DCF: Cálculo del valor de la empresa a través de los Flujos de caja libres (Free Cash Flow -FCF).</w:t>
            </w:r>
          </w:p>
        </w:tc>
        <w:tc>
          <w:tcPr>
            <w:tcW w:w="759" w:type="pct"/>
            <w:shd w:val="clear" w:color="auto" w:fill="DAEEF3"/>
            <w:vAlign w:val="center"/>
          </w:tcPr>
          <w:p w14:paraId="5032AF8D" w14:textId="77777777" w:rsidR="00391F03" w:rsidRPr="005F3987" w:rsidRDefault="00391F03" w:rsidP="00F20EF6">
            <w:pPr>
              <w:rPr>
                <w:rFonts w:ascii="Arial" w:hAnsi="Arial" w:cs="Arial"/>
                <w:spacing w:val="0"/>
                <w:sz w:val="18"/>
                <w:szCs w:val="18"/>
                <w:lang w:val="es-EC"/>
              </w:rPr>
            </w:pPr>
            <m:oMathPara>
              <m:oMath>
                <m:r>
                  <w:rPr>
                    <w:rFonts w:ascii="Cambria Math" w:hAnsi="Cambria Math" w:cs="Arial"/>
                    <w:spacing w:val="0"/>
                    <w:sz w:val="18"/>
                    <w:szCs w:val="18"/>
                    <w:lang w:val="es-EC"/>
                  </w:rPr>
                  <m:t>V=E+D=</m:t>
                </m:r>
                <m:f>
                  <m:fPr>
                    <m:ctrlPr>
                      <w:rPr>
                        <w:rFonts w:ascii="Cambria Math" w:hAnsi="Cambria Math" w:cs="Arial"/>
                        <w:i/>
                        <w:spacing w:val="0"/>
                        <w:sz w:val="18"/>
                        <w:szCs w:val="18"/>
                        <w:lang w:val="es-EC"/>
                      </w:rPr>
                    </m:ctrlPr>
                  </m:fPr>
                  <m:num>
                    <m:r>
                      <w:rPr>
                        <w:rFonts w:ascii="Cambria Math" w:hAnsi="Cambria Math" w:cs="Arial"/>
                        <w:spacing w:val="0"/>
                        <w:sz w:val="18"/>
                        <w:szCs w:val="18"/>
                        <w:lang w:val="es-EC"/>
                      </w:rPr>
                      <m:t>FCF</m:t>
                    </m:r>
                  </m:num>
                  <m:den>
                    <m:r>
                      <w:rPr>
                        <w:rFonts w:ascii="Cambria Math" w:hAnsi="Cambria Math" w:cs="Arial"/>
                        <w:spacing w:val="0"/>
                        <w:sz w:val="18"/>
                        <w:szCs w:val="18"/>
                        <w:lang w:val="es-EC"/>
                      </w:rPr>
                      <m:t>WACC</m:t>
                    </m:r>
                  </m:den>
                </m:f>
              </m:oMath>
            </m:oMathPara>
          </w:p>
          <w:p w14:paraId="43859781" w14:textId="77777777" w:rsidR="00391F03" w:rsidRPr="005F3987" w:rsidRDefault="00391F03" w:rsidP="00F20EF6">
            <w:pPr>
              <w:rPr>
                <w:rFonts w:ascii="Arial" w:eastAsia="Calibri" w:hAnsi="Arial" w:cs="Arial"/>
                <w:spacing w:val="0"/>
                <w:sz w:val="18"/>
                <w:szCs w:val="18"/>
                <w:lang w:val="es-EC"/>
              </w:rPr>
            </w:pPr>
          </w:p>
        </w:tc>
        <w:tc>
          <w:tcPr>
            <w:tcW w:w="1141" w:type="pct"/>
            <w:shd w:val="clear" w:color="auto" w:fill="DAEEF3"/>
          </w:tcPr>
          <w:p w14:paraId="7711FD30"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FCF= Flujos de caja libres</w:t>
            </w:r>
          </w:p>
          <w:p w14:paraId="082B05AA" w14:textId="77777777" w:rsidR="00391F03" w:rsidRPr="005F3987" w:rsidRDefault="00391F03" w:rsidP="00F20EF6">
            <w:pPr>
              <w:rPr>
                <w:rFonts w:ascii="Arial" w:eastAsia="Calibri" w:hAnsi="Arial" w:cs="Arial"/>
                <w:spacing w:val="0"/>
                <w:sz w:val="18"/>
                <w:szCs w:val="18"/>
                <w:lang w:val="es-EC"/>
              </w:rPr>
            </w:pPr>
            <w:r w:rsidRPr="005F3987">
              <w:rPr>
                <w:rFonts w:ascii="Arial" w:eastAsia="Calibri" w:hAnsi="Arial" w:cs="Arial"/>
                <w:spacing w:val="0"/>
                <w:sz w:val="18"/>
                <w:szCs w:val="18"/>
                <w:lang w:val="es-EC"/>
              </w:rPr>
              <w:t>WACC= Coste promedio ponderado del capital</w:t>
            </w:r>
          </w:p>
        </w:tc>
        <w:tc>
          <w:tcPr>
            <w:tcW w:w="765" w:type="pct"/>
            <w:shd w:val="clear" w:color="auto" w:fill="DAEEF3"/>
          </w:tcPr>
          <w:p w14:paraId="7584FB88" w14:textId="77777777" w:rsidR="00391F03" w:rsidRPr="005F3987" w:rsidRDefault="00391F03" w:rsidP="00F20EF6">
            <w:pPr>
              <w:rPr>
                <w:rFonts w:ascii="Arial" w:eastAsia="Calibri" w:hAnsi="Arial" w:cs="Arial"/>
                <w:spacing w:val="0"/>
                <w:sz w:val="18"/>
                <w:szCs w:val="18"/>
                <w:lang w:val="es-EC"/>
              </w:rPr>
            </w:pPr>
          </w:p>
        </w:tc>
      </w:tr>
      <w:tr w:rsidR="005F3987" w:rsidRPr="00294D7C" w14:paraId="4072C7F3" w14:textId="77777777" w:rsidTr="005F3987">
        <w:trPr>
          <w:trHeight w:val="577"/>
        </w:trPr>
        <w:tc>
          <w:tcPr>
            <w:tcW w:w="496" w:type="pct"/>
            <w:vMerge w:val="restart"/>
            <w:shd w:val="clear" w:color="auto" w:fill="FFFFCC"/>
          </w:tcPr>
          <w:p w14:paraId="23CF9212"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S" w:eastAsia="es-AR"/>
              </w:rPr>
              <w:t>Objetivo 2</w:t>
            </w:r>
          </w:p>
        </w:tc>
        <w:tc>
          <w:tcPr>
            <w:tcW w:w="760" w:type="pct"/>
            <w:shd w:val="clear" w:color="auto" w:fill="FFFFCC"/>
          </w:tcPr>
          <w:p w14:paraId="6D238B36"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La eficiencia laboral PEC</w:t>
            </w:r>
          </w:p>
        </w:tc>
        <w:tc>
          <w:tcPr>
            <w:tcW w:w="1078" w:type="pct"/>
            <w:shd w:val="clear" w:color="auto" w:fill="FFFFCC"/>
          </w:tcPr>
          <w:p w14:paraId="07A08C2F"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El cociente de los gastos de nómina del personal sobre los derivados o refinados producidos</w:t>
            </w:r>
          </w:p>
        </w:tc>
        <w:tc>
          <w:tcPr>
            <w:tcW w:w="759" w:type="pct"/>
            <w:shd w:val="clear" w:color="auto" w:fill="FFFFCC"/>
            <w:vAlign w:val="center"/>
          </w:tcPr>
          <w:p w14:paraId="352E9A67"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PEC=</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GN</m:t>
                    </m:r>
                  </m:num>
                  <m:den>
                    <m:r>
                      <w:rPr>
                        <w:rFonts w:ascii="Cambria Math" w:eastAsia="Calibri" w:hAnsi="Cambria Math" w:cs="Arial"/>
                        <w:spacing w:val="0"/>
                        <w:sz w:val="18"/>
                        <w:szCs w:val="18"/>
                        <w:lang w:val="es-EC"/>
                      </w:rPr>
                      <m:t>DP</m:t>
                    </m:r>
                  </m:den>
                </m:f>
              </m:oMath>
            </m:oMathPara>
          </w:p>
        </w:tc>
        <w:tc>
          <w:tcPr>
            <w:tcW w:w="1141" w:type="pct"/>
            <w:shd w:val="clear" w:color="auto" w:fill="FFFFCC"/>
          </w:tcPr>
          <w:p w14:paraId="57E62527"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Información interna de la empresa</w:t>
            </w:r>
          </w:p>
        </w:tc>
        <w:tc>
          <w:tcPr>
            <w:tcW w:w="765" w:type="pct"/>
            <w:shd w:val="clear" w:color="auto" w:fill="FFFFCC"/>
          </w:tcPr>
          <w:p w14:paraId="607C31AD"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BID</w:t>
            </w:r>
          </w:p>
          <w:p w14:paraId="332C2ACD" w14:textId="178AB2DC" w:rsidR="005F3987" w:rsidRPr="005F3987" w:rsidRDefault="005F3987" w:rsidP="00F20EF6">
            <w:pPr>
              <w:rPr>
                <w:rFonts w:ascii="Arial" w:hAnsi="Arial" w:cs="Arial"/>
                <w:spacing w:val="0"/>
                <w:sz w:val="18"/>
                <w:szCs w:val="18"/>
                <w:lang w:val="es-EC"/>
              </w:rPr>
            </w:pPr>
            <w:r w:rsidRPr="005F3987">
              <w:rPr>
                <w:rFonts w:ascii="Arial" w:eastAsia="Calibri" w:hAnsi="Arial" w:cs="Arial"/>
                <w:spacing w:val="0"/>
                <w:sz w:val="18"/>
                <w:szCs w:val="18"/>
                <w:lang w:val="es-EC"/>
              </w:rPr>
              <w:t>Matriz de resultados</w:t>
            </w:r>
          </w:p>
        </w:tc>
      </w:tr>
      <w:tr w:rsidR="005F3987" w:rsidRPr="00294D7C" w14:paraId="0652A771" w14:textId="77777777" w:rsidTr="005F3987">
        <w:trPr>
          <w:trHeight w:val="577"/>
        </w:trPr>
        <w:tc>
          <w:tcPr>
            <w:tcW w:w="496" w:type="pct"/>
            <w:vMerge/>
            <w:shd w:val="clear" w:color="auto" w:fill="FFFFCC"/>
          </w:tcPr>
          <w:p w14:paraId="0E6D8814" w14:textId="77777777" w:rsidR="00391F03" w:rsidRPr="005F3987" w:rsidRDefault="00391F03" w:rsidP="00F20EF6">
            <w:pPr>
              <w:rPr>
                <w:rFonts w:ascii="Arial" w:eastAsia="Calibri" w:hAnsi="Arial" w:cs="Arial"/>
                <w:b/>
                <w:spacing w:val="0"/>
                <w:sz w:val="18"/>
                <w:szCs w:val="18"/>
                <w:lang w:val="es-EC" w:eastAsia="es-ES"/>
              </w:rPr>
            </w:pPr>
          </w:p>
        </w:tc>
        <w:tc>
          <w:tcPr>
            <w:tcW w:w="760" w:type="pct"/>
            <w:shd w:val="clear" w:color="auto" w:fill="FFFFCC"/>
          </w:tcPr>
          <w:p w14:paraId="1B0A0FBB" w14:textId="77777777" w:rsidR="00391F03" w:rsidRPr="005F3987" w:rsidRDefault="00391F03" w:rsidP="00F20EF6">
            <w:pPr>
              <w:rPr>
                <w:rFonts w:ascii="Arial" w:eastAsia="Calibri" w:hAnsi="Arial" w:cs="Arial"/>
                <w:b/>
                <w:spacing w:val="0"/>
                <w:sz w:val="18"/>
                <w:szCs w:val="18"/>
                <w:lang w:val="es-EC" w:eastAsia="es-ES"/>
              </w:rPr>
            </w:pPr>
            <w:r w:rsidRPr="005F3987">
              <w:rPr>
                <w:rFonts w:ascii="Arial" w:eastAsia="Calibri" w:hAnsi="Arial" w:cs="Arial"/>
                <w:b/>
                <w:spacing w:val="0"/>
                <w:sz w:val="18"/>
                <w:szCs w:val="18"/>
                <w:lang w:val="es-EC" w:eastAsia="es-ES"/>
              </w:rPr>
              <w:t>La Eficiencia Laboral PAM</w:t>
            </w:r>
          </w:p>
        </w:tc>
        <w:tc>
          <w:tcPr>
            <w:tcW w:w="1078" w:type="pct"/>
            <w:shd w:val="clear" w:color="auto" w:fill="FFFFCC"/>
          </w:tcPr>
          <w:p w14:paraId="6C0A2FB4" w14:textId="77777777" w:rsidR="00391F03" w:rsidRPr="005F3987" w:rsidRDefault="00391F03" w:rsidP="00F20EF6">
            <w:pPr>
              <w:jc w:val="both"/>
              <w:rPr>
                <w:rFonts w:ascii="Arial" w:eastAsia="Calibri" w:hAnsi="Arial" w:cs="Arial"/>
                <w:spacing w:val="0"/>
                <w:sz w:val="18"/>
                <w:szCs w:val="18"/>
                <w:lang w:val="es-EC" w:eastAsia="es-ES"/>
              </w:rPr>
            </w:pPr>
            <w:r w:rsidRPr="005F3987">
              <w:rPr>
                <w:rFonts w:ascii="Arial" w:eastAsia="Calibri" w:hAnsi="Arial" w:cs="Arial"/>
                <w:spacing w:val="0"/>
                <w:sz w:val="18"/>
                <w:szCs w:val="18"/>
                <w:lang w:val="es-EC" w:eastAsia="es-ES"/>
              </w:rPr>
              <w:t>El cociente de los gastos de nómina de persona y el barril equivalente de petróleo</w:t>
            </w:r>
          </w:p>
        </w:tc>
        <w:tc>
          <w:tcPr>
            <w:tcW w:w="759" w:type="pct"/>
            <w:shd w:val="clear" w:color="auto" w:fill="FFFFCC"/>
            <w:vAlign w:val="center"/>
          </w:tcPr>
          <w:p w14:paraId="5DD50420" w14:textId="77777777" w:rsidR="00391F03" w:rsidRPr="005F3987"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PAM=</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GN</m:t>
                    </m:r>
                  </m:num>
                  <m:den>
                    <m:r>
                      <w:rPr>
                        <w:rFonts w:ascii="Cambria Math" w:eastAsia="Calibri" w:hAnsi="Cambria Math" w:cs="Arial"/>
                        <w:spacing w:val="0"/>
                        <w:sz w:val="18"/>
                        <w:szCs w:val="18"/>
                        <w:lang w:val="es-EC"/>
                      </w:rPr>
                      <m:t>BEP</m:t>
                    </m:r>
                  </m:den>
                </m:f>
              </m:oMath>
            </m:oMathPara>
          </w:p>
        </w:tc>
        <w:tc>
          <w:tcPr>
            <w:tcW w:w="1141" w:type="pct"/>
            <w:shd w:val="clear" w:color="auto" w:fill="FFFFCC"/>
          </w:tcPr>
          <w:p w14:paraId="500C23A7"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Información interna de la empresa</w:t>
            </w:r>
          </w:p>
        </w:tc>
        <w:tc>
          <w:tcPr>
            <w:tcW w:w="765" w:type="pct"/>
            <w:shd w:val="clear" w:color="auto" w:fill="FFFFCC"/>
          </w:tcPr>
          <w:p w14:paraId="3EFC62CF" w14:textId="77777777" w:rsidR="00391F03" w:rsidRPr="005F3987" w:rsidRDefault="00391F03" w:rsidP="00F20EF6">
            <w:pPr>
              <w:rPr>
                <w:rFonts w:ascii="Arial" w:hAnsi="Arial" w:cs="Arial"/>
                <w:spacing w:val="0"/>
                <w:sz w:val="18"/>
                <w:szCs w:val="18"/>
                <w:lang w:val="es-EC"/>
              </w:rPr>
            </w:pPr>
            <w:r w:rsidRPr="005F3987">
              <w:rPr>
                <w:rFonts w:ascii="Arial" w:hAnsi="Arial" w:cs="Arial"/>
                <w:spacing w:val="0"/>
                <w:sz w:val="18"/>
                <w:szCs w:val="18"/>
                <w:lang w:val="es-EC"/>
              </w:rPr>
              <w:t xml:space="preserve">BID </w:t>
            </w:r>
          </w:p>
          <w:p w14:paraId="7CC0AA50" w14:textId="73678493" w:rsidR="005F3987" w:rsidRPr="005F3987" w:rsidRDefault="005F3987" w:rsidP="00F20EF6">
            <w:pPr>
              <w:rPr>
                <w:rFonts w:ascii="Arial" w:hAnsi="Arial" w:cs="Arial"/>
                <w:spacing w:val="0"/>
                <w:sz w:val="18"/>
                <w:szCs w:val="18"/>
                <w:lang w:val="es-EC"/>
              </w:rPr>
            </w:pPr>
            <w:r w:rsidRPr="005F3987">
              <w:rPr>
                <w:rFonts w:ascii="Arial" w:eastAsia="Calibri" w:hAnsi="Arial" w:cs="Arial"/>
                <w:spacing w:val="0"/>
                <w:sz w:val="18"/>
                <w:szCs w:val="18"/>
                <w:lang w:val="es-EC"/>
              </w:rPr>
              <w:t>Matriz de resultados</w:t>
            </w:r>
          </w:p>
        </w:tc>
      </w:tr>
      <w:tr w:rsidR="005F3987" w:rsidRPr="00294D7C" w14:paraId="0ABD4268" w14:textId="77777777" w:rsidTr="005F3987">
        <w:trPr>
          <w:trHeight w:val="577"/>
        </w:trPr>
        <w:tc>
          <w:tcPr>
            <w:tcW w:w="496" w:type="pct"/>
            <w:vMerge w:val="restart"/>
            <w:shd w:val="clear" w:color="auto" w:fill="FDE9D9"/>
          </w:tcPr>
          <w:p w14:paraId="2BEE4E94" w14:textId="77777777" w:rsidR="00391F03" w:rsidRPr="005C7F5E" w:rsidRDefault="00391F03" w:rsidP="00F20EF6">
            <w:pPr>
              <w:rPr>
                <w:rFonts w:ascii="Arial" w:eastAsia="Calibri" w:hAnsi="Arial" w:cs="Arial"/>
                <w:b/>
                <w:spacing w:val="0"/>
                <w:sz w:val="18"/>
                <w:szCs w:val="18"/>
                <w:lang w:val="es-EC" w:eastAsia="es-ES"/>
              </w:rPr>
            </w:pPr>
            <w:r w:rsidRPr="005C7F5E">
              <w:rPr>
                <w:rFonts w:ascii="Arial" w:eastAsia="Calibri" w:hAnsi="Arial" w:cs="Arial"/>
                <w:b/>
                <w:spacing w:val="0"/>
                <w:sz w:val="18"/>
                <w:szCs w:val="18"/>
                <w:lang w:val="es-EC" w:eastAsia="es-ES"/>
              </w:rPr>
              <w:t>Objetivo 1</w:t>
            </w:r>
          </w:p>
          <w:p w14:paraId="704943E7" w14:textId="77777777" w:rsidR="00391F03" w:rsidRPr="005C7F5E" w:rsidRDefault="00391F03" w:rsidP="00F20EF6">
            <w:pPr>
              <w:rPr>
                <w:rFonts w:ascii="Arial" w:eastAsia="Calibri" w:hAnsi="Arial" w:cs="Arial"/>
                <w:b/>
                <w:spacing w:val="0"/>
                <w:sz w:val="18"/>
                <w:szCs w:val="18"/>
                <w:lang w:val="es-EC" w:eastAsia="es-ES"/>
              </w:rPr>
            </w:pPr>
            <w:r w:rsidRPr="005C7F5E">
              <w:rPr>
                <w:rFonts w:ascii="Arial" w:eastAsia="Calibri" w:hAnsi="Arial" w:cs="Arial"/>
                <w:b/>
                <w:spacing w:val="0"/>
                <w:sz w:val="18"/>
                <w:szCs w:val="18"/>
                <w:lang w:val="es-EC" w:eastAsia="es-ES"/>
              </w:rPr>
              <w:t>Objetivo 2</w:t>
            </w:r>
          </w:p>
        </w:tc>
        <w:tc>
          <w:tcPr>
            <w:tcW w:w="760" w:type="pct"/>
            <w:shd w:val="clear" w:color="auto" w:fill="FDE9D9"/>
          </w:tcPr>
          <w:p w14:paraId="45BEE157" w14:textId="77777777" w:rsidR="00391F03" w:rsidRPr="005C7F5E" w:rsidRDefault="00391F03" w:rsidP="00F20EF6">
            <w:pPr>
              <w:rPr>
                <w:rFonts w:ascii="Arial" w:eastAsia="Calibri" w:hAnsi="Arial" w:cs="Arial"/>
                <w:b/>
                <w:spacing w:val="0"/>
                <w:sz w:val="18"/>
                <w:szCs w:val="18"/>
                <w:lang w:val="es-EC" w:eastAsia="es-ES"/>
              </w:rPr>
            </w:pPr>
            <w:r w:rsidRPr="005C7F5E">
              <w:rPr>
                <w:rFonts w:ascii="Arial" w:eastAsia="Calibri" w:hAnsi="Arial" w:cs="Arial"/>
                <w:b/>
                <w:spacing w:val="0"/>
                <w:sz w:val="18"/>
                <w:szCs w:val="18"/>
                <w:lang w:val="es-EC" w:eastAsia="es-ES"/>
              </w:rPr>
              <w:t xml:space="preserve">Eficiencia </w:t>
            </w:r>
          </w:p>
        </w:tc>
        <w:tc>
          <w:tcPr>
            <w:tcW w:w="1078" w:type="pct"/>
            <w:shd w:val="clear" w:color="auto" w:fill="FDE9D9"/>
          </w:tcPr>
          <w:p w14:paraId="46D79A27" w14:textId="77777777" w:rsidR="00391F03" w:rsidRPr="005C7F5E" w:rsidRDefault="00391F03" w:rsidP="00F20EF6">
            <w:pPr>
              <w:jc w:val="both"/>
              <w:rPr>
                <w:rFonts w:ascii="Arial" w:eastAsia="Calibri" w:hAnsi="Arial" w:cs="Arial"/>
                <w:spacing w:val="0"/>
                <w:sz w:val="18"/>
                <w:szCs w:val="18"/>
                <w:lang w:val="es-EC"/>
              </w:rPr>
            </w:pPr>
            <w:r w:rsidRPr="005C7F5E">
              <w:rPr>
                <w:rFonts w:ascii="Arial" w:eastAsia="Calibri" w:hAnsi="Arial" w:cs="Arial"/>
                <w:spacing w:val="0"/>
                <w:sz w:val="18"/>
                <w:szCs w:val="18"/>
                <w:lang w:val="es-EC" w:eastAsia="es-ES"/>
              </w:rPr>
              <w:t xml:space="preserve">Representa la competitividad de la actuación del empresario. </w:t>
            </w:r>
          </w:p>
        </w:tc>
        <w:tc>
          <w:tcPr>
            <w:tcW w:w="759" w:type="pct"/>
            <w:shd w:val="clear" w:color="auto" w:fill="FDE9D9"/>
            <w:vAlign w:val="center"/>
          </w:tcPr>
          <w:p w14:paraId="584191F3" w14:textId="77777777" w:rsidR="00391F03" w:rsidRPr="005C7F5E"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E=RF*RE</m:t>
                </m:r>
              </m:oMath>
            </m:oMathPara>
          </w:p>
        </w:tc>
        <w:tc>
          <w:tcPr>
            <w:tcW w:w="1141" w:type="pct"/>
            <w:shd w:val="clear" w:color="auto" w:fill="FDE9D9"/>
          </w:tcPr>
          <w:p w14:paraId="6688F190"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RF= Ratio de rentabilidad financiera.</w:t>
            </w:r>
          </w:p>
          <w:p w14:paraId="2EA81CCC"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RE= Ratio de rentabilidad económica.</w:t>
            </w:r>
          </w:p>
        </w:tc>
        <w:tc>
          <w:tcPr>
            <w:tcW w:w="765" w:type="pct"/>
            <w:shd w:val="clear" w:color="auto" w:fill="FDE9D9"/>
          </w:tcPr>
          <w:p w14:paraId="02657EC7" w14:textId="77777777" w:rsidR="00391F03" w:rsidRPr="005C7F5E" w:rsidRDefault="00391F03" w:rsidP="00F20EF6">
            <w:pPr>
              <w:rPr>
                <w:rFonts w:ascii="Arial" w:eastAsia="Calibri" w:hAnsi="Arial" w:cs="Arial"/>
                <w:spacing w:val="0"/>
                <w:sz w:val="18"/>
                <w:szCs w:val="18"/>
                <w:lang w:val="es-EC"/>
              </w:rPr>
            </w:pPr>
            <w:r w:rsidRPr="005C7F5E">
              <w:rPr>
                <w:rFonts w:ascii="Arial" w:eastAsia="Calibri" w:hAnsi="Arial" w:cs="Arial"/>
                <w:spacing w:val="0"/>
                <w:sz w:val="18"/>
                <w:szCs w:val="18"/>
                <w:lang w:val="es-EC"/>
              </w:rPr>
              <w:t xml:space="preserve">García Tabuenca, A., &amp; Crespo Espert, J. L. (2008). </w:t>
            </w:r>
          </w:p>
        </w:tc>
      </w:tr>
      <w:tr w:rsidR="005F3987" w:rsidRPr="00294D7C" w14:paraId="5CE09E56" w14:textId="77777777" w:rsidTr="005F3987">
        <w:trPr>
          <w:trHeight w:val="577"/>
        </w:trPr>
        <w:tc>
          <w:tcPr>
            <w:tcW w:w="496" w:type="pct"/>
            <w:vMerge/>
            <w:shd w:val="clear" w:color="auto" w:fill="FDE9D9"/>
          </w:tcPr>
          <w:p w14:paraId="19A94669" w14:textId="77777777" w:rsidR="00391F03" w:rsidRPr="005C7F5E" w:rsidRDefault="00391F03" w:rsidP="00F20EF6">
            <w:pPr>
              <w:rPr>
                <w:rFonts w:ascii="Arial" w:eastAsia="Calibri" w:hAnsi="Arial" w:cs="Arial"/>
                <w:b/>
                <w:spacing w:val="0"/>
                <w:sz w:val="18"/>
                <w:szCs w:val="18"/>
                <w:lang w:val="es-EC"/>
              </w:rPr>
            </w:pPr>
          </w:p>
        </w:tc>
        <w:tc>
          <w:tcPr>
            <w:tcW w:w="760" w:type="pct"/>
            <w:shd w:val="clear" w:color="auto" w:fill="FDE9D9"/>
          </w:tcPr>
          <w:p w14:paraId="0DFEDE37" w14:textId="77777777" w:rsidR="00391F03" w:rsidRPr="005C7F5E" w:rsidRDefault="00391F03" w:rsidP="00F20EF6">
            <w:pPr>
              <w:rPr>
                <w:rFonts w:ascii="Arial" w:eastAsia="Calibri" w:hAnsi="Arial" w:cs="Arial"/>
                <w:b/>
                <w:spacing w:val="0"/>
                <w:sz w:val="18"/>
                <w:szCs w:val="18"/>
                <w:lang w:val="es-EC"/>
              </w:rPr>
            </w:pPr>
            <w:r w:rsidRPr="005C7F5E">
              <w:rPr>
                <w:rFonts w:ascii="Arial" w:eastAsia="Calibri" w:hAnsi="Arial" w:cs="Arial"/>
                <w:b/>
                <w:spacing w:val="0"/>
                <w:sz w:val="18"/>
                <w:szCs w:val="18"/>
                <w:lang w:val="es-EC" w:eastAsia="es-ES"/>
              </w:rPr>
              <w:t>La eficiencia de activos</w:t>
            </w:r>
          </w:p>
        </w:tc>
        <w:tc>
          <w:tcPr>
            <w:tcW w:w="1078" w:type="pct"/>
            <w:shd w:val="clear" w:color="auto" w:fill="FDE9D9"/>
          </w:tcPr>
          <w:p w14:paraId="059F916E" w14:textId="1C2F628D" w:rsidR="00391F03" w:rsidRPr="005C7F5E" w:rsidRDefault="00391F03" w:rsidP="00F20EF6">
            <w:pPr>
              <w:jc w:val="both"/>
              <w:rPr>
                <w:rFonts w:ascii="Arial" w:eastAsia="Calibri" w:hAnsi="Arial" w:cs="Arial"/>
                <w:spacing w:val="0"/>
                <w:sz w:val="18"/>
                <w:szCs w:val="18"/>
                <w:lang w:val="es-EC"/>
              </w:rPr>
            </w:pPr>
            <w:r w:rsidRPr="005C7F5E">
              <w:rPr>
                <w:rFonts w:ascii="Arial" w:eastAsia="Calibri" w:hAnsi="Arial" w:cs="Arial"/>
                <w:spacing w:val="0"/>
                <w:sz w:val="18"/>
                <w:szCs w:val="18"/>
                <w:lang w:val="es-EC"/>
              </w:rPr>
              <w:t>ROA – en base al EBITE: Mide la eficiencia de los activos totales de una empresa con respecto a</w:t>
            </w:r>
            <w:r w:rsidR="00B90971" w:rsidRPr="005C7F5E">
              <w:rPr>
                <w:rFonts w:ascii="Arial" w:eastAsia="Calibri" w:hAnsi="Arial" w:cs="Arial"/>
                <w:spacing w:val="0"/>
                <w:sz w:val="18"/>
                <w:szCs w:val="18"/>
                <w:lang w:val="es-EC"/>
              </w:rPr>
              <w:t xml:space="preserve"> </w:t>
            </w:r>
            <w:r w:rsidRPr="005C7F5E">
              <w:rPr>
                <w:rFonts w:ascii="Arial" w:eastAsia="Calibri" w:hAnsi="Arial" w:cs="Arial"/>
                <w:spacing w:val="0"/>
                <w:sz w:val="18"/>
                <w:szCs w:val="18"/>
                <w:lang w:val="es-EC"/>
              </w:rPr>
              <w:t xml:space="preserve">los activos. </w:t>
            </w:r>
          </w:p>
          <w:p w14:paraId="559ACF96" w14:textId="77777777" w:rsidR="00391F03" w:rsidRPr="005C7F5E" w:rsidRDefault="00391F03" w:rsidP="00F20EF6">
            <w:pPr>
              <w:jc w:val="both"/>
              <w:rPr>
                <w:rFonts w:ascii="Arial" w:eastAsia="Calibri" w:hAnsi="Arial" w:cs="Arial"/>
                <w:spacing w:val="0"/>
                <w:sz w:val="18"/>
                <w:szCs w:val="18"/>
                <w:lang w:val="es-EC"/>
              </w:rPr>
            </w:pPr>
            <w:r w:rsidRPr="005C7F5E">
              <w:rPr>
                <w:rFonts w:ascii="Arial" w:eastAsia="Calibri" w:hAnsi="Arial" w:cs="Arial"/>
                <w:spacing w:val="0"/>
                <w:sz w:val="18"/>
                <w:szCs w:val="18"/>
                <w:lang w:val="es-EC"/>
              </w:rPr>
              <w:t>Uso en empresas de propiedad estatal</w:t>
            </w:r>
          </w:p>
        </w:tc>
        <w:tc>
          <w:tcPr>
            <w:tcW w:w="759" w:type="pct"/>
            <w:shd w:val="clear" w:color="auto" w:fill="FDE9D9"/>
            <w:vAlign w:val="center"/>
          </w:tcPr>
          <w:p w14:paraId="2F1A8C8A" w14:textId="77777777" w:rsidR="00391F03" w:rsidRPr="005C7F5E" w:rsidRDefault="00414F4C" w:rsidP="00F20EF6">
            <w:pPr>
              <w:jc w:val="center"/>
              <w:rPr>
                <w:rFonts w:ascii="Arial" w:eastAsia="Calibri" w:hAnsi="Arial" w:cs="Arial"/>
                <w:spacing w:val="0"/>
                <w:sz w:val="18"/>
                <w:szCs w:val="18"/>
                <w:lang w:val="es-EC"/>
              </w:rPr>
            </w:pPr>
            <m:oMathPara>
              <m:oMath>
                <m:sSub>
                  <m:sSubPr>
                    <m:ctrlPr>
                      <w:rPr>
                        <w:rFonts w:ascii="Cambria Math" w:eastAsia="Calibri" w:hAnsi="Cambria Math" w:cs="Arial"/>
                        <w:i/>
                        <w:spacing w:val="0"/>
                        <w:sz w:val="18"/>
                        <w:szCs w:val="18"/>
                        <w:lang w:val="es-EC"/>
                      </w:rPr>
                    </m:ctrlPr>
                  </m:sSubPr>
                  <m:e>
                    <m:r>
                      <w:rPr>
                        <w:rFonts w:ascii="Cambria Math" w:eastAsia="Calibri" w:hAnsi="Cambria Math" w:cs="Arial"/>
                        <w:spacing w:val="0"/>
                        <w:sz w:val="18"/>
                        <w:szCs w:val="18"/>
                        <w:lang w:val="es-EC"/>
                      </w:rPr>
                      <m:t>ROA</m:t>
                    </m:r>
                  </m:e>
                  <m:sub>
                    <m:r>
                      <w:rPr>
                        <w:rFonts w:ascii="Cambria Math" w:eastAsia="Calibri" w:hAnsi="Cambria Math" w:cs="Arial"/>
                        <w:spacing w:val="0"/>
                        <w:sz w:val="18"/>
                        <w:szCs w:val="18"/>
                        <w:lang w:val="es-EC"/>
                      </w:rPr>
                      <m:t>EBITE</m:t>
                    </m:r>
                  </m:sub>
                </m:sSub>
                <m:r>
                  <w:rPr>
                    <w:rFonts w:ascii="Cambria Math" w:eastAsia="Calibri" w:hAnsi="Cambria Math" w:cs="Arial"/>
                    <w:spacing w:val="0"/>
                    <w:sz w:val="18"/>
                    <w:szCs w:val="18"/>
                    <w:lang w:val="es-EC"/>
                  </w:rPr>
                  <m:t>=</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EBITE</m:t>
                    </m:r>
                  </m:num>
                  <m:den>
                    <m:r>
                      <w:rPr>
                        <w:rFonts w:ascii="Cambria Math" w:eastAsia="Calibri" w:hAnsi="Cambria Math" w:cs="Arial"/>
                        <w:spacing w:val="0"/>
                        <w:sz w:val="18"/>
                        <w:szCs w:val="18"/>
                        <w:lang w:val="es-EC"/>
                      </w:rPr>
                      <m:t>TA</m:t>
                    </m:r>
                  </m:den>
                </m:f>
              </m:oMath>
            </m:oMathPara>
          </w:p>
        </w:tc>
        <w:tc>
          <w:tcPr>
            <w:tcW w:w="1141" w:type="pct"/>
            <w:shd w:val="clear" w:color="auto" w:fill="FDE9D9"/>
          </w:tcPr>
          <w:p w14:paraId="288E609A" w14:textId="4F67BDC1" w:rsidR="00391F03" w:rsidRPr="005C7F5E" w:rsidRDefault="00391F03" w:rsidP="00F20EF6">
            <w:pPr>
              <w:rPr>
                <w:rFonts w:ascii="Arial" w:eastAsia="Calibri" w:hAnsi="Arial" w:cs="Arial"/>
                <w:spacing w:val="0"/>
                <w:sz w:val="18"/>
                <w:szCs w:val="18"/>
                <w:lang w:val="es-EC"/>
              </w:rPr>
            </w:pPr>
            <w:r w:rsidRPr="005C7F5E">
              <w:rPr>
                <w:rFonts w:ascii="Arial" w:eastAsia="Calibri" w:hAnsi="Arial" w:cs="Arial"/>
                <w:spacing w:val="0"/>
                <w:sz w:val="18"/>
                <w:szCs w:val="18"/>
                <w:lang w:val="es-EC"/>
              </w:rPr>
              <w:t xml:space="preserve">EBITE= Ingresos antes de </w:t>
            </w:r>
            <w:r w:rsidR="005C7F5E" w:rsidRPr="005C7F5E">
              <w:rPr>
                <w:rFonts w:ascii="Arial" w:eastAsia="Calibri" w:hAnsi="Arial" w:cs="Arial"/>
                <w:spacing w:val="0"/>
                <w:sz w:val="18"/>
                <w:szCs w:val="18"/>
                <w:lang w:val="es-EC"/>
              </w:rPr>
              <w:t>intereses</w:t>
            </w:r>
            <w:r w:rsidRPr="005C7F5E">
              <w:rPr>
                <w:rFonts w:ascii="Arial" w:eastAsia="Calibri" w:hAnsi="Arial" w:cs="Arial"/>
                <w:spacing w:val="0"/>
                <w:sz w:val="18"/>
                <w:szCs w:val="18"/>
                <w:lang w:val="es-EC"/>
              </w:rPr>
              <w:t>, impuestos e ítems extraordinarios</w:t>
            </w:r>
          </w:p>
          <w:p w14:paraId="791CBEF2" w14:textId="77777777" w:rsidR="00391F03" w:rsidRPr="005C7F5E" w:rsidRDefault="00391F03" w:rsidP="00F20EF6">
            <w:pPr>
              <w:rPr>
                <w:rFonts w:ascii="Arial" w:eastAsia="Calibri" w:hAnsi="Arial" w:cs="Arial"/>
                <w:spacing w:val="0"/>
                <w:sz w:val="18"/>
                <w:szCs w:val="18"/>
                <w:lang w:val="es-EC"/>
              </w:rPr>
            </w:pPr>
            <w:r w:rsidRPr="005C7F5E">
              <w:rPr>
                <w:rFonts w:ascii="Arial" w:eastAsia="Calibri" w:hAnsi="Arial" w:cs="Arial"/>
                <w:spacing w:val="0"/>
                <w:sz w:val="18"/>
                <w:szCs w:val="18"/>
                <w:lang w:val="es-EC"/>
              </w:rPr>
              <w:t>TA= Total de activos</w:t>
            </w:r>
          </w:p>
        </w:tc>
        <w:tc>
          <w:tcPr>
            <w:tcW w:w="765" w:type="pct"/>
            <w:shd w:val="clear" w:color="auto" w:fill="FDE9D9"/>
          </w:tcPr>
          <w:p w14:paraId="5ED6434C" w14:textId="77777777" w:rsidR="00391F03" w:rsidRPr="005C7F5E" w:rsidRDefault="00391F03" w:rsidP="00F20EF6">
            <w:pPr>
              <w:rPr>
                <w:rFonts w:ascii="Arial" w:eastAsia="Calibri" w:hAnsi="Arial" w:cs="Arial"/>
                <w:spacing w:val="0"/>
                <w:sz w:val="18"/>
                <w:szCs w:val="18"/>
                <w:lang w:val="es-EC"/>
              </w:rPr>
            </w:pPr>
            <w:proofErr w:type="spellStart"/>
            <w:r w:rsidRPr="005C7F5E">
              <w:rPr>
                <w:rFonts w:ascii="Arial" w:hAnsi="Arial" w:cs="Arial"/>
                <w:spacing w:val="0"/>
                <w:sz w:val="18"/>
                <w:szCs w:val="18"/>
                <w:lang w:val="en-GB"/>
              </w:rPr>
              <w:t>Bozec</w:t>
            </w:r>
            <w:proofErr w:type="spellEnd"/>
            <w:r w:rsidRPr="005C7F5E">
              <w:rPr>
                <w:rFonts w:ascii="Arial" w:hAnsi="Arial" w:cs="Arial"/>
                <w:spacing w:val="0"/>
                <w:sz w:val="18"/>
                <w:szCs w:val="18"/>
                <w:lang w:val="en-GB"/>
              </w:rPr>
              <w:t>, R., &amp; Breton, G. (2003).</w:t>
            </w:r>
          </w:p>
        </w:tc>
      </w:tr>
      <w:tr w:rsidR="005F3987" w:rsidRPr="00294D7C" w14:paraId="2F718795" w14:textId="77777777" w:rsidTr="005F3987">
        <w:trPr>
          <w:trHeight w:val="577"/>
        </w:trPr>
        <w:tc>
          <w:tcPr>
            <w:tcW w:w="496" w:type="pct"/>
            <w:vMerge/>
            <w:shd w:val="clear" w:color="auto" w:fill="FDE9D9"/>
          </w:tcPr>
          <w:p w14:paraId="30274061" w14:textId="77777777" w:rsidR="00391F03" w:rsidRPr="005C7F5E" w:rsidRDefault="00391F03" w:rsidP="00F20EF6">
            <w:pPr>
              <w:rPr>
                <w:rFonts w:ascii="Arial" w:eastAsia="Calibri" w:hAnsi="Arial" w:cs="Arial"/>
                <w:b/>
                <w:spacing w:val="0"/>
                <w:sz w:val="18"/>
                <w:szCs w:val="18"/>
                <w:lang w:val="es-EC"/>
              </w:rPr>
            </w:pPr>
          </w:p>
        </w:tc>
        <w:tc>
          <w:tcPr>
            <w:tcW w:w="760" w:type="pct"/>
            <w:shd w:val="clear" w:color="auto" w:fill="FDE9D9"/>
          </w:tcPr>
          <w:p w14:paraId="6CDD9BBB" w14:textId="77777777" w:rsidR="00391F03" w:rsidRPr="005C7F5E" w:rsidRDefault="00391F03" w:rsidP="00F20EF6">
            <w:pPr>
              <w:rPr>
                <w:rFonts w:ascii="Arial" w:eastAsia="Calibri" w:hAnsi="Arial" w:cs="Arial"/>
                <w:b/>
                <w:spacing w:val="0"/>
                <w:sz w:val="18"/>
                <w:szCs w:val="18"/>
                <w:lang w:val="es-EC"/>
              </w:rPr>
            </w:pPr>
            <w:r w:rsidRPr="005C7F5E">
              <w:rPr>
                <w:rFonts w:ascii="Arial" w:eastAsia="Calibri" w:hAnsi="Arial" w:cs="Arial"/>
                <w:b/>
                <w:spacing w:val="0"/>
                <w:sz w:val="18"/>
                <w:szCs w:val="18"/>
                <w:lang w:val="es-EC" w:eastAsia="es-ES"/>
              </w:rPr>
              <w:t>La eficiencia de activos</w:t>
            </w:r>
          </w:p>
        </w:tc>
        <w:tc>
          <w:tcPr>
            <w:tcW w:w="1078" w:type="pct"/>
            <w:shd w:val="clear" w:color="auto" w:fill="FDE9D9"/>
          </w:tcPr>
          <w:p w14:paraId="0CAC549D" w14:textId="77777777" w:rsidR="00391F03" w:rsidRPr="005C7F5E" w:rsidRDefault="00391F03" w:rsidP="00F20EF6">
            <w:pPr>
              <w:jc w:val="both"/>
              <w:rPr>
                <w:rFonts w:ascii="Arial" w:eastAsia="Calibri" w:hAnsi="Arial" w:cs="Arial"/>
                <w:spacing w:val="0"/>
                <w:sz w:val="18"/>
                <w:szCs w:val="18"/>
                <w:lang w:val="es-EC"/>
              </w:rPr>
            </w:pPr>
            <w:r w:rsidRPr="005C7F5E">
              <w:rPr>
                <w:rFonts w:ascii="Arial" w:eastAsia="Calibri" w:hAnsi="Arial" w:cs="Arial"/>
                <w:spacing w:val="0"/>
                <w:sz w:val="18"/>
                <w:szCs w:val="18"/>
                <w:lang w:val="es-EC"/>
              </w:rPr>
              <w:t>Rotación de activos: Refleja la eficacia de la empresa en la gestión de sus activos para generar ventas.</w:t>
            </w:r>
          </w:p>
        </w:tc>
        <w:tc>
          <w:tcPr>
            <w:tcW w:w="759" w:type="pct"/>
            <w:shd w:val="clear" w:color="auto" w:fill="FDE9D9"/>
            <w:vAlign w:val="center"/>
          </w:tcPr>
          <w:p w14:paraId="4A36D24B" w14:textId="77777777" w:rsidR="00391F03" w:rsidRPr="005C7F5E"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Rotación de activos=</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VR</m:t>
                    </m:r>
                  </m:num>
                  <m:den>
                    <m:r>
                      <w:rPr>
                        <w:rFonts w:ascii="Cambria Math" w:eastAsia="Calibri" w:hAnsi="Cambria Math" w:cs="Arial"/>
                        <w:spacing w:val="0"/>
                        <w:sz w:val="18"/>
                        <w:szCs w:val="18"/>
                        <w:lang w:val="es-EC"/>
                      </w:rPr>
                      <m:t>TA</m:t>
                    </m:r>
                  </m:den>
                </m:f>
              </m:oMath>
            </m:oMathPara>
          </w:p>
        </w:tc>
        <w:tc>
          <w:tcPr>
            <w:tcW w:w="1141" w:type="pct"/>
            <w:shd w:val="clear" w:color="auto" w:fill="FDE9D9"/>
          </w:tcPr>
          <w:p w14:paraId="342E571F" w14:textId="77777777" w:rsidR="00391F03" w:rsidRPr="005C7F5E" w:rsidRDefault="00391F03" w:rsidP="00F20EF6">
            <w:pPr>
              <w:rPr>
                <w:rFonts w:ascii="Arial" w:eastAsia="Calibri" w:hAnsi="Arial" w:cs="Arial"/>
                <w:spacing w:val="0"/>
                <w:sz w:val="18"/>
                <w:szCs w:val="18"/>
                <w:lang w:val="es-EC"/>
              </w:rPr>
            </w:pPr>
            <w:r w:rsidRPr="005C7F5E">
              <w:rPr>
                <w:rFonts w:ascii="Arial" w:eastAsia="Calibri" w:hAnsi="Arial" w:cs="Arial"/>
                <w:spacing w:val="0"/>
                <w:sz w:val="18"/>
                <w:szCs w:val="18"/>
                <w:lang w:val="es-EC"/>
              </w:rPr>
              <w:t>TA= Total de activos</w:t>
            </w:r>
          </w:p>
          <w:p w14:paraId="70D10BDD"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VR= Ventas reales de la empresa anuales.</w:t>
            </w:r>
          </w:p>
          <w:p w14:paraId="1EC101B1" w14:textId="77777777" w:rsidR="00391F03" w:rsidRPr="005C7F5E" w:rsidRDefault="00391F03" w:rsidP="00F20EF6">
            <w:pPr>
              <w:rPr>
                <w:rFonts w:ascii="Arial" w:eastAsia="Calibri" w:hAnsi="Arial" w:cs="Arial"/>
                <w:spacing w:val="0"/>
                <w:sz w:val="18"/>
                <w:szCs w:val="18"/>
                <w:lang w:val="es-EC"/>
              </w:rPr>
            </w:pPr>
          </w:p>
        </w:tc>
        <w:tc>
          <w:tcPr>
            <w:tcW w:w="765" w:type="pct"/>
            <w:shd w:val="clear" w:color="auto" w:fill="FDE9D9"/>
          </w:tcPr>
          <w:p w14:paraId="6D6AA60F" w14:textId="77777777" w:rsidR="00391F03" w:rsidRPr="005C7F5E" w:rsidRDefault="00391F03" w:rsidP="00F20EF6">
            <w:pPr>
              <w:rPr>
                <w:rFonts w:ascii="Arial" w:eastAsia="Calibri" w:hAnsi="Arial" w:cs="Arial"/>
                <w:spacing w:val="0"/>
                <w:sz w:val="18"/>
                <w:szCs w:val="18"/>
                <w:lang w:val="es-EC"/>
              </w:rPr>
            </w:pPr>
            <w:proofErr w:type="spellStart"/>
            <w:r w:rsidRPr="005C7F5E">
              <w:rPr>
                <w:rFonts w:ascii="Arial" w:hAnsi="Arial" w:cs="Arial"/>
                <w:spacing w:val="0"/>
                <w:sz w:val="18"/>
                <w:szCs w:val="18"/>
                <w:lang w:val="en-GB"/>
              </w:rPr>
              <w:t>Bozec</w:t>
            </w:r>
            <w:proofErr w:type="spellEnd"/>
            <w:r w:rsidRPr="005C7F5E">
              <w:rPr>
                <w:rFonts w:ascii="Arial" w:hAnsi="Arial" w:cs="Arial"/>
                <w:spacing w:val="0"/>
                <w:sz w:val="18"/>
                <w:szCs w:val="18"/>
                <w:lang w:val="en-GB"/>
              </w:rPr>
              <w:t>, R., &amp; Breton, G. (2003).</w:t>
            </w:r>
          </w:p>
        </w:tc>
      </w:tr>
      <w:tr w:rsidR="005F3987" w:rsidRPr="0068481A" w14:paraId="5177B307" w14:textId="77777777" w:rsidTr="005F3987">
        <w:trPr>
          <w:trHeight w:val="577"/>
        </w:trPr>
        <w:tc>
          <w:tcPr>
            <w:tcW w:w="496" w:type="pct"/>
            <w:vMerge/>
            <w:shd w:val="clear" w:color="auto" w:fill="FDE9D9"/>
          </w:tcPr>
          <w:p w14:paraId="316B3BF7" w14:textId="77777777" w:rsidR="00391F03" w:rsidRPr="005C7F5E" w:rsidRDefault="00391F03" w:rsidP="00F20EF6">
            <w:pPr>
              <w:rPr>
                <w:rFonts w:ascii="Arial" w:eastAsia="Calibri" w:hAnsi="Arial" w:cs="Arial"/>
                <w:b/>
                <w:spacing w:val="0"/>
                <w:sz w:val="18"/>
                <w:szCs w:val="18"/>
                <w:lang w:val="es-EC"/>
              </w:rPr>
            </w:pPr>
          </w:p>
        </w:tc>
        <w:tc>
          <w:tcPr>
            <w:tcW w:w="760" w:type="pct"/>
            <w:shd w:val="clear" w:color="auto" w:fill="FDE9D9"/>
          </w:tcPr>
          <w:p w14:paraId="79E84E97" w14:textId="77777777" w:rsidR="00391F03" w:rsidRPr="005C7F5E" w:rsidRDefault="00391F03" w:rsidP="00F20EF6">
            <w:pPr>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t xml:space="preserve">1 </w:t>
            </w:r>
            <w:r w:rsidRPr="005C7F5E">
              <w:rPr>
                <w:rFonts w:ascii="Arial" w:eastAsia="Calibri" w:hAnsi="Arial" w:cs="Arial"/>
                <w:b/>
                <w:spacing w:val="0"/>
                <w:sz w:val="18"/>
                <w:szCs w:val="18"/>
                <w:lang w:val="es-EC" w:eastAsia="es-ES"/>
              </w:rPr>
              <w:t>Productividad</w:t>
            </w:r>
            <w:r w:rsidRPr="005C7F5E">
              <w:rPr>
                <w:rFonts w:ascii="Arial" w:eastAsia="Calibri" w:hAnsi="Arial" w:cs="Arial"/>
                <w:spacing w:val="0"/>
                <w:sz w:val="18"/>
                <w:szCs w:val="18"/>
                <w:lang w:val="es-EC" w:eastAsia="es-ES"/>
              </w:rPr>
              <w:t>: Eficiencia de ventas</w:t>
            </w:r>
          </w:p>
          <w:p w14:paraId="601BEB38" w14:textId="77777777" w:rsidR="00391F03" w:rsidRPr="005C7F5E" w:rsidRDefault="00391F03" w:rsidP="00F20EF6">
            <w:pPr>
              <w:rPr>
                <w:rFonts w:ascii="Arial" w:eastAsia="Calibri" w:hAnsi="Arial" w:cs="Arial"/>
                <w:b/>
                <w:spacing w:val="0"/>
                <w:sz w:val="18"/>
                <w:szCs w:val="18"/>
                <w:lang w:val="es-EC" w:eastAsia="es-ES"/>
              </w:rPr>
            </w:pPr>
            <w:r w:rsidRPr="005C7F5E">
              <w:rPr>
                <w:rFonts w:ascii="Arial" w:eastAsia="Calibri" w:hAnsi="Arial" w:cs="Arial"/>
                <w:b/>
                <w:spacing w:val="0"/>
                <w:sz w:val="18"/>
                <w:szCs w:val="18"/>
                <w:lang w:val="es-EC" w:eastAsia="es-ES"/>
              </w:rPr>
              <w:t>2. Eficiencia operativa</w:t>
            </w:r>
          </w:p>
          <w:p w14:paraId="2A1BA0A2" w14:textId="77777777" w:rsidR="00391F03" w:rsidRPr="005C7F5E" w:rsidRDefault="00391F03" w:rsidP="00F20EF6">
            <w:pPr>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t>Eficiencia de ventas</w:t>
            </w:r>
          </w:p>
        </w:tc>
        <w:tc>
          <w:tcPr>
            <w:tcW w:w="1078" w:type="pct"/>
            <w:shd w:val="clear" w:color="auto" w:fill="FDE9D9"/>
          </w:tcPr>
          <w:p w14:paraId="00EE1FCD" w14:textId="77777777" w:rsidR="00391F03" w:rsidRPr="005C7F5E" w:rsidRDefault="00391F03" w:rsidP="00F20EF6">
            <w:pPr>
              <w:jc w:val="both"/>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t>Mide las ventas reales que realizó cada empleado para la empresa en un año.</w:t>
            </w:r>
          </w:p>
        </w:tc>
        <w:tc>
          <w:tcPr>
            <w:tcW w:w="759" w:type="pct"/>
            <w:shd w:val="clear" w:color="auto" w:fill="FDE9D9"/>
            <w:vAlign w:val="center"/>
          </w:tcPr>
          <w:p w14:paraId="4A46B0BF" w14:textId="77777777" w:rsidR="00391F03" w:rsidRPr="005C7F5E"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EV=</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VR</m:t>
                    </m:r>
                  </m:num>
                  <m:den>
                    <m:r>
                      <w:rPr>
                        <w:rFonts w:ascii="Cambria Math" w:eastAsia="Calibri" w:hAnsi="Cambria Math" w:cs="Arial"/>
                        <w:spacing w:val="0"/>
                        <w:sz w:val="18"/>
                        <w:szCs w:val="18"/>
                        <w:lang w:val="es-EC"/>
                      </w:rPr>
                      <m:t>E</m:t>
                    </m:r>
                  </m:den>
                </m:f>
              </m:oMath>
            </m:oMathPara>
          </w:p>
          <w:p w14:paraId="14F76ED9" w14:textId="77777777" w:rsidR="00391F03" w:rsidRPr="005C7F5E" w:rsidRDefault="00391F03" w:rsidP="00F20EF6">
            <w:pPr>
              <w:jc w:val="center"/>
              <w:rPr>
                <w:rFonts w:ascii="Arial" w:eastAsia="Calibri" w:hAnsi="Arial" w:cs="Arial"/>
                <w:spacing w:val="0"/>
                <w:sz w:val="18"/>
                <w:szCs w:val="18"/>
                <w:lang w:val="es-EC"/>
              </w:rPr>
            </w:pPr>
          </w:p>
        </w:tc>
        <w:tc>
          <w:tcPr>
            <w:tcW w:w="1141" w:type="pct"/>
            <w:shd w:val="clear" w:color="auto" w:fill="FDE9D9"/>
          </w:tcPr>
          <w:p w14:paraId="73644981"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VR= Ventas reales de la empresa anuales.</w:t>
            </w:r>
          </w:p>
          <w:p w14:paraId="6964CF6C"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E= número de empleados en la empresa.</w:t>
            </w:r>
          </w:p>
        </w:tc>
        <w:tc>
          <w:tcPr>
            <w:tcW w:w="765" w:type="pct"/>
            <w:shd w:val="clear" w:color="auto" w:fill="FDE9D9"/>
          </w:tcPr>
          <w:p w14:paraId="5B766249" w14:textId="77777777" w:rsidR="00391F03" w:rsidRPr="005C7F5E" w:rsidRDefault="00391F03" w:rsidP="00F20EF6">
            <w:pPr>
              <w:rPr>
                <w:rFonts w:ascii="Arial" w:hAnsi="Arial" w:cs="Arial"/>
                <w:spacing w:val="0"/>
                <w:sz w:val="18"/>
                <w:szCs w:val="18"/>
                <w:lang w:val="en-GB"/>
              </w:rPr>
            </w:pPr>
            <w:r w:rsidRPr="005C7F5E">
              <w:rPr>
                <w:rFonts w:ascii="Arial" w:hAnsi="Arial" w:cs="Arial"/>
                <w:spacing w:val="0"/>
                <w:sz w:val="18"/>
                <w:szCs w:val="18"/>
                <w:lang w:val="en-GB"/>
              </w:rPr>
              <w:t>1.Bozec, R., &amp; Breton, G. (2003)</w:t>
            </w:r>
          </w:p>
          <w:p w14:paraId="67A5749E" w14:textId="77777777" w:rsidR="00391F03" w:rsidRPr="005C7F5E" w:rsidRDefault="00391F03" w:rsidP="00F20EF6">
            <w:pPr>
              <w:rPr>
                <w:rFonts w:ascii="Arial" w:hAnsi="Arial" w:cs="Arial"/>
                <w:spacing w:val="0"/>
                <w:sz w:val="18"/>
                <w:szCs w:val="18"/>
                <w:lang w:val="en-US"/>
              </w:rPr>
            </w:pPr>
            <w:r w:rsidRPr="005C7F5E">
              <w:rPr>
                <w:rFonts w:ascii="Arial" w:hAnsi="Arial" w:cs="Arial"/>
                <w:spacing w:val="0"/>
                <w:sz w:val="18"/>
                <w:szCs w:val="18"/>
                <w:lang w:val="en-GB"/>
              </w:rPr>
              <w:t>2.Boubakri, N., &amp; Cosset, J.-C. (1998).</w:t>
            </w:r>
          </w:p>
        </w:tc>
      </w:tr>
      <w:tr w:rsidR="005F3987" w:rsidRPr="0068481A" w14:paraId="079A4E6B" w14:textId="77777777" w:rsidTr="005F3987">
        <w:trPr>
          <w:trHeight w:val="259"/>
        </w:trPr>
        <w:tc>
          <w:tcPr>
            <w:tcW w:w="496" w:type="pct"/>
            <w:vMerge/>
            <w:shd w:val="clear" w:color="auto" w:fill="FDE9D9"/>
          </w:tcPr>
          <w:p w14:paraId="781C0761" w14:textId="77777777" w:rsidR="00391F03" w:rsidRPr="005C7F5E" w:rsidRDefault="00391F03" w:rsidP="00F20EF6">
            <w:pPr>
              <w:rPr>
                <w:rFonts w:ascii="Arial" w:eastAsia="Calibri" w:hAnsi="Arial" w:cs="Arial"/>
                <w:b/>
                <w:spacing w:val="0"/>
                <w:sz w:val="18"/>
                <w:szCs w:val="18"/>
                <w:lang w:val="en-US"/>
              </w:rPr>
            </w:pPr>
          </w:p>
        </w:tc>
        <w:tc>
          <w:tcPr>
            <w:tcW w:w="760" w:type="pct"/>
            <w:shd w:val="clear" w:color="auto" w:fill="FDE9D9"/>
          </w:tcPr>
          <w:p w14:paraId="66540D65" w14:textId="70C4F679" w:rsidR="00391F03" w:rsidRPr="005C7F5E" w:rsidRDefault="00391F03" w:rsidP="00F20EF6">
            <w:pPr>
              <w:rPr>
                <w:rFonts w:ascii="Arial" w:eastAsia="Calibri" w:hAnsi="Arial" w:cs="Arial"/>
                <w:spacing w:val="0"/>
                <w:sz w:val="18"/>
                <w:szCs w:val="18"/>
                <w:lang w:val="es-EC" w:eastAsia="es-ES"/>
              </w:rPr>
            </w:pPr>
            <w:r w:rsidRPr="005C7F5E">
              <w:rPr>
                <w:rFonts w:ascii="Arial" w:eastAsia="Calibri" w:hAnsi="Arial" w:cs="Arial"/>
                <w:b/>
                <w:spacing w:val="0"/>
                <w:sz w:val="18"/>
                <w:szCs w:val="18"/>
                <w:lang w:val="es-EC" w:eastAsia="es-ES"/>
              </w:rPr>
              <w:t>1</w:t>
            </w:r>
            <w:r w:rsidRPr="005C7F5E">
              <w:rPr>
                <w:rFonts w:ascii="Arial" w:eastAsia="Calibri" w:hAnsi="Arial" w:cs="Arial"/>
                <w:spacing w:val="0"/>
                <w:sz w:val="18"/>
                <w:szCs w:val="18"/>
                <w:lang w:val="es-EC" w:eastAsia="es-ES"/>
              </w:rPr>
              <w:t>.</w:t>
            </w:r>
            <w:r w:rsidR="00424E98" w:rsidRPr="005C7F5E">
              <w:rPr>
                <w:rFonts w:ascii="Arial" w:eastAsia="Calibri" w:hAnsi="Arial" w:cs="Arial"/>
                <w:spacing w:val="0"/>
                <w:sz w:val="18"/>
                <w:szCs w:val="18"/>
                <w:lang w:val="es-EC" w:eastAsia="es-ES"/>
              </w:rPr>
              <w:t xml:space="preserve"> </w:t>
            </w:r>
            <w:r w:rsidRPr="005C7F5E">
              <w:rPr>
                <w:rFonts w:ascii="Arial" w:eastAsia="Calibri" w:hAnsi="Arial" w:cs="Arial"/>
                <w:b/>
                <w:bCs/>
                <w:spacing w:val="0"/>
                <w:sz w:val="18"/>
                <w:szCs w:val="18"/>
                <w:lang w:val="es-EC" w:eastAsia="es-ES"/>
              </w:rPr>
              <w:t>P</w:t>
            </w:r>
            <w:r w:rsidRPr="005C7F5E">
              <w:rPr>
                <w:rFonts w:ascii="Arial" w:eastAsia="Calibri" w:hAnsi="Arial" w:cs="Arial"/>
                <w:b/>
                <w:spacing w:val="0"/>
                <w:sz w:val="18"/>
                <w:szCs w:val="18"/>
                <w:lang w:val="es-EC" w:eastAsia="es-ES"/>
              </w:rPr>
              <w:t>roductividad</w:t>
            </w:r>
            <w:r w:rsidRPr="005C7F5E">
              <w:rPr>
                <w:rFonts w:ascii="Arial" w:eastAsia="Calibri" w:hAnsi="Arial" w:cs="Arial"/>
                <w:spacing w:val="0"/>
                <w:sz w:val="18"/>
                <w:szCs w:val="18"/>
                <w:lang w:val="es-EC" w:eastAsia="es-ES"/>
              </w:rPr>
              <w:t>:</w:t>
            </w:r>
          </w:p>
          <w:p w14:paraId="4192D0F4" w14:textId="77777777" w:rsidR="00391F03" w:rsidRPr="005C7F5E" w:rsidRDefault="00391F03" w:rsidP="00F20EF6">
            <w:pPr>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t>Eficiencia de ingresos netos</w:t>
            </w:r>
          </w:p>
          <w:p w14:paraId="386704BF" w14:textId="77777777" w:rsidR="00391F03" w:rsidRPr="005C7F5E" w:rsidRDefault="00391F03" w:rsidP="00F20EF6">
            <w:pPr>
              <w:rPr>
                <w:rFonts w:ascii="Arial" w:eastAsia="Calibri" w:hAnsi="Arial" w:cs="Arial"/>
                <w:spacing w:val="0"/>
                <w:sz w:val="18"/>
                <w:szCs w:val="18"/>
                <w:lang w:val="es-EC" w:eastAsia="es-ES"/>
              </w:rPr>
            </w:pPr>
          </w:p>
          <w:p w14:paraId="632DE0A3" w14:textId="77777777" w:rsidR="00391F03" w:rsidRPr="005C7F5E" w:rsidRDefault="00391F03" w:rsidP="00F20EF6">
            <w:pPr>
              <w:rPr>
                <w:rFonts w:ascii="Arial" w:eastAsia="Calibri" w:hAnsi="Arial" w:cs="Arial"/>
                <w:b/>
                <w:spacing w:val="0"/>
                <w:sz w:val="18"/>
                <w:szCs w:val="18"/>
                <w:lang w:val="es-EC" w:eastAsia="es-ES"/>
              </w:rPr>
            </w:pPr>
            <w:r w:rsidRPr="005C7F5E">
              <w:rPr>
                <w:rFonts w:ascii="Arial" w:eastAsia="Calibri" w:hAnsi="Arial" w:cs="Arial"/>
                <w:b/>
                <w:spacing w:val="0"/>
                <w:sz w:val="18"/>
                <w:szCs w:val="18"/>
                <w:lang w:val="es-EC" w:eastAsia="es-ES"/>
              </w:rPr>
              <w:t>2. Eficiencia operativa</w:t>
            </w:r>
          </w:p>
          <w:p w14:paraId="720FB177" w14:textId="77777777" w:rsidR="00391F03" w:rsidRPr="005C7F5E" w:rsidRDefault="00391F03" w:rsidP="00F20EF6">
            <w:pPr>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lastRenderedPageBreak/>
              <w:t>Eficiencia de ingresos netos</w:t>
            </w:r>
          </w:p>
          <w:p w14:paraId="5F1823C8" w14:textId="77777777" w:rsidR="00391F03" w:rsidRPr="005C7F5E" w:rsidRDefault="00391F03" w:rsidP="00F20EF6">
            <w:pPr>
              <w:rPr>
                <w:rFonts w:ascii="Arial" w:eastAsia="Calibri" w:hAnsi="Arial" w:cs="Arial"/>
                <w:spacing w:val="0"/>
                <w:sz w:val="18"/>
                <w:szCs w:val="18"/>
                <w:lang w:val="es-EC" w:eastAsia="es-ES"/>
              </w:rPr>
            </w:pPr>
          </w:p>
        </w:tc>
        <w:tc>
          <w:tcPr>
            <w:tcW w:w="1078" w:type="pct"/>
            <w:shd w:val="clear" w:color="auto" w:fill="FDE9D9"/>
          </w:tcPr>
          <w:p w14:paraId="3C218BBE" w14:textId="77777777" w:rsidR="00391F03" w:rsidRPr="005C7F5E" w:rsidRDefault="00391F03" w:rsidP="00F20EF6">
            <w:pPr>
              <w:jc w:val="both"/>
              <w:rPr>
                <w:rFonts w:ascii="Arial" w:eastAsia="Calibri" w:hAnsi="Arial" w:cs="Arial"/>
                <w:spacing w:val="0"/>
                <w:sz w:val="18"/>
                <w:szCs w:val="18"/>
                <w:lang w:val="es-EC" w:eastAsia="es-ES"/>
              </w:rPr>
            </w:pPr>
            <w:r w:rsidRPr="005C7F5E">
              <w:rPr>
                <w:rFonts w:ascii="Arial" w:eastAsia="Calibri" w:hAnsi="Arial" w:cs="Arial"/>
                <w:spacing w:val="0"/>
                <w:sz w:val="18"/>
                <w:szCs w:val="18"/>
                <w:lang w:val="es-EC" w:eastAsia="es-ES"/>
              </w:rPr>
              <w:lastRenderedPageBreak/>
              <w:t>Mide el beneficio que aportó cada empleado durante el año</w:t>
            </w:r>
          </w:p>
        </w:tc>
        <w:tc>
          <w:tcPr>
            <w:tcW w:w="759" w:type="pct"/>
            <w:shd w:val="clear" w:color="auto" w:fill="FDE9D9"/>
            <w:vAlign w:val="center"/>
          </w:tcPr>
          <w:p w14:paraId="6DFADAED" w14:textId="77777777" w:rsidR="00391F03" w:rsidRPr="005C7F5E"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1.EIN=</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EBITE</m:t>
                    </m:r>
                  </m:num>
                  <m:den>
                    <m:r>
                      <w:rPr>
                        <w:rFonts w:ascii="Cambria Math" w:eastAsia="Calibri" w:hAnsi="Cambria Math" w:cs="Arial"/>
                        <w:spacing w:val="0"/>
                        <w:sz w:val="18"/>
                        <w:szCs w:val="18"/>
                        <w:lang w:val="es-EC"/>
                      </w:rPr>
                      <m:t>E</m:t>
                    </m:r>
                  </m:den>
                </m:f>
              </m:oMath>
            </m:oMathPara>
          </w:p>
          <w:p w14:paraId="4BADAD4F" w14:textId="77777777" w:rsidR="00391F03" w:rsidRPr="005C7F5E" w:rsidRDefault="00391F03" w:rsidP="00F20EF6">
            <w:pPr>
              <w:jc w:val="center"/>
              <w:rPr>
                <w:rFonts w:ascii="Arial" w:eastAsia="Calibri" w:hAnsi="Arial" w:cs="Arial"/>
                <w:spacing w:val="0"/>
                <w:sz w:val="18"/>
                <w:szCs w:val="18"/>
                <w:lang w:val="es-EC"/>
              </w:rPr>
            </w:pPr>
          </w:p>
          <w:p w14:paraId="60DE893D" w14:textId="77777777" w:rsidR="00391F03" w:rsidRPr="005C7F5E" w:rsidRDefault="00391F03" w:rsidP="00F20EF6">
            <w:pPr>
              <w:jc w:val="center"/>
              <w:rPr>
                <w:rFonts w:ascii="Arial" w:eastAsia="Calibri" w:hAnsi="Arial" w:cs="Arial"/>
                <w:spacing w:val="0"/>
                <w:sz w:val="18"/>
                <w:szCs w:val="18"/>
                <w:lang w:val="es-EC"/>
              </w:rPr>
            </w:pPr>
          </w:p>
          <w:p w14:paraId="5443C552" w14:textId="77777777" w:rsidR="00391F03" w:rsidRPr="005C7F5E"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2.EIN=</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BN</m:t>
                    </m:r>
                  </m:num>
                  <m:den>
                    <m:r>
                      <w:rPr>
                        <w:rFonts w:ascii="Cambria Math" w:eastAsia="Calibri" w:hAnsi="Cambria Math" w:cs="Arial"/>
                        <w:spacing w:val="0"/>
                        <w:sz w:val="18"/>
                        <w:szCs w:val="18"/>
                        <w:lang w:val="es-EC"/>
                      </w:rPr>
                      <m:t>E</m:t>
                    </m:r>
                  </m:den>
                </m:f>
              </m:oMath>
            </m:oMathPara>
          </w:p>
        </w:tc>
        <w:tc>
          <w:tcPr>
            <w:tcW w:w="1141" w:type="pct"/>
            <w:shd w:val="clear" w:color="auto" w:fill="FDE9D9"/>
          </w:tcPr>
          <w:p w14:paraId="46F5C4AA"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E= número de empleados en la empresa.</w:t>
            </w:r>
          </w:p>
          <w:p w14:paraId="5D867A7C" w14:textId="711E30BF"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 xml:space="preserve">EBITE= Ingresos antes de </w:t>
            </w:r>
            <w:r w:rsidR="005C7F5E" w:rsidRPr="005C7F5E">
              <w:rPr>
                <w:rFonts w:ascii="Arial" w:hAnsi="Arial" w:cs="Arial"/>
                <w:spacing w:val="0"/>
                <w:sz w:val="18"/>
                <w:szCs w:val="18"/>
                <w:lang w:val="es-EC"/>
              </w:rPr>
              <w:t>intereses</w:t>
            </w:r>
            <w:r w:rsidRPr="005C7F5E">
              <w:rPr>
                <w:rFonts w:ascii="Arial" w:hAnsi="Arial" w:cs="Arial"/>
                <w:spacing w:val="0"/>
                <w:sz w:val="18"/>
                <w:szCs w:val="18"/>
                <w:lang w:val="es-EC"/>
              </w:rPr>
              <w:t>, impuestos e ítems extraordinarios</w:t>
            </w:r>
          </w:p>
          <w:p w14:paraId="0B15C0E4" w14:textId="77777777" w:rsidR="00391F03" w:rsidRPr="005C7F5E" w:rsidRDefault="00391F03" w:rsidP="00F20EF6">
            <w:pPr>
              <w:rPr>
                <w:rFonts w:ascii="Arial" w:hAnsi="Arial" w:cs="Arial"/>
                <w:spacing w:val="0"/>
                <w:sz w:val="18"/>
                <w:szCs w:val="18"/>
                <w:lang w:val="es-EC"/>
              </w:rPr>
            </w:pPr>
            <w:r w:rsidRPr="005C7F5E">
              <w:rPr>
                <w:rFonts w:ascii="Arial" w:hAnsi="Arial" w:cs="Arial"/>
                <w:spacing w:val="0"/>
                <w:sz w:val="18"/>
                <w:szCs w:val="18"/>
                <w:lang w:val="es-EC"/>
              </w:rPr>
              <w:t>BN= Beneficio Neto</w:t>
            </w:r>
          </w:p>
        </w:tc>
        <w:tc>
          <w:tcPr>
            <w:tcW w:w="765" w:type="pct"/>
            <w:shd w:val="clear" w:color="auto" w:fill="FDE9D9"/>
          </w:tcPr>
          <w:p w14:paraId="5C959623" w14:textId="77777777" w:rsidR="00391F03" w:rsidRPr="005C7F5E" w:rsidRDefault="00391F03" w:rsidP="00F20EF6">
            <w:pPr>
              <w:rPr>
                <w:rFonts w:ascii="Arial" w:hAnsi="Arial" w:cs="Arial"/>
                <w:spacing w:val="0"/>
                <w:sz w:val="18"/>
                <w:szCs w:val="18"/>
                <w:lang w:val="en-US"/>
              </w:rPr>
            </w:pPr>
            <w:r w:rsidRPr="005C7F5E">
              <w:rPr>
                <w:rFonts w:ascii="Arial" w:hAnsi="Arial" w:cs="Arial"/>
                <w:spacing w:val="0"/>
                <w:sz w:val="18"/>
                <w:szCs w:val="18"/>
                <w:lang w:val="en-US"/>
              </w:rPr>
              <w:t xml:space="preserve">1.Bozec, R., &amp; Breton, G. (2003). </w:t>
            </w:r>
          </w:p>
          <w:p w14:paraId="71AD961A" w14:textId="77777777" w:rsidR="00391F03" w:rsidRPr="005C7F5E" w:rsidRDefault="00391F03" w:rsidP="00F20EF6">
            <w:pPr>
              <w:rPr>
                <w:rFonts w:ascii="Arial" w:hAnsi="Arial" w:cs="Arial"/>
                <w:spacing w:val="0"/>
                <w:sz w:val="18"/>
                <w:szCs w:val="18"/>
                <w:lang w:val="en-US"/>
              </w:rPr>
            </w:pPr>
          </w:p>
          <w:p w14:paraId="2B645809" w14:textId="77777777" w:rsidR="00391F03" w:rsidRPr="005C7F5E" w:rsidRDefault="00391F03" w:rsidP="00F20EF6">
            <w:pPr>
              <w:rPr>
                <w:rFonts w:ascii="Arial" w:hAnsi="Arial" w:cs="Arial"/>
                <w:spacing w:val="0"/>
                <w:sz w:val="18"/>
                <w:szCs w:val="18"/>
                <w:lang w:val="en-US"/>
              </w:rPr>
            </w:pPr>
          </w:p>
          <w:p w14:paraId="43921D06" w14:textId="77777777" w:rsidR="00391F03" w:rsidRPr="005C7F5E" w:rsidRDefault="00391F03" w:rsidP="00F20EF6">
            <w:pPr>
              <w:rPr>
                <w:rFonts w:ascii="Arial" w:hAnsi="Arial" w:cs="Arial"/>
                <w:spacing w:val="0"/>
                <w:sz w:val="18"/>
                <w:szCs w:val="18"/>
                <w:lang w:val="en-US"/>
              </w:rPr>
            </w:pPr>
          </w:p>
          <w:p w14:paraId="57703B28" w14:textId="77777777" w:rsidR="00391F03" w:rsidRPr="005C7F5E" w:rsidRDefault="00391F03" w:rsidP="00F20EF6">
            <w:pPr>
              <w:rPr>
                <w:rFonts w:ascii="Arial" w:hAnsi="Arial" w:cs="Arial"/>
                <w:spacing w:val="0"/>
                <w:sz w:val="18"/>
                <w:szCs w:val="18"/>
                <w:lang w:val="en-US"/>
              </w:rPr>
            </w:pPr>
            <w:r w:rsidRPr="005C7F5E">
              <w:rPr>
                <w:rFonts w:ascii="Arial" w:hAnsi="Arial" w:cs="Arial"/>
                <w:spacing w:val="0"/>
                <w:sz w:val="18"/>
                <w:szCs w:val="18"/>
                <w:lang w:val="en-US"/>
              </w:rPr>
              <w:lastRenderedPageBreak/>
              <w:t>2.Boubakri, N., &amp; Cosset, J.-C. (1998).</w:t>
            </w:r>
          </w:p>
        </w:tc>
      </w:tr>
      <w:tr w:rsidR="005F3987" w:rsidRPr="00426200" w14:paraId="43C991FC" w14:textId="77777777" w:rsidTr="005F3987">
        <w:trPr>
          <w:trHeight w:val="577"/>
        </w:trPr>
        <w:tc>
          <w:tcPr>
            <w:tcW w:w="496" w:type="pct"/>
            <w:vMerge/>
            <w:shd w:val="clear" w:color="auto" w:fill="FDE9D9"/>
          </w:tcPr>
          <w:p w14:paraId="45BF0D07" w14:textId="77777777" w:rsidR="00391F03" w:rsidRPr="005C7F5E" w:rsidRDefault="00391F03" w:rsidP="00F20EF6">
            <w:pPr>
              <w:rPr>
                <w:rFonts w:ascii="Arial" w:eastAsia="Calibri" w:hAnsi="Arial" w:cs="Arial"/>
                <w:b/>
                <w:spacing w:val="0"/>
                <w:sz w:val="18"/>
                <w:szCs w:val="18"/>
                <w:lang w:val="en-US"/>
              </w:rPr>
            </w:pPr>
          </w:p>
        </w:tc>
        <w:tc>
          <w:tcPr>
            <w:tcW w:w="760" w:type="pct"/>
            <w:shd w:val="clear" w:color="auto" w:fill="FDE9D9"/>
          </w:tcPr>
          <w:p w14:paraId="4D639B2F" w14:textId="77777777" w:rsidR="00391F03" w:rsidRPr="00426200" w:rsidRDefault="00391F03" w:rsidP="00F20EF6">
            <w:pPr>
              <w:rPr>
                <w:rFonts w:ascii="Arial" w:eastAsia="Calibri" w:hAnsi="Arial" w:cs="Arial"/>
                <w:b/>
                <w:spacing w:val="0"/>
                <w:sz w:val="18"/>
                <w:szCs w:val="18"/>
                <w:lang w:val="es-EC" w:eastAsia="es-ES"/>
              </w:rPr>
            </w:pPr>
            <w:r w:rsidRPr="00426200">
              <w:rPr>
                <w:rFonts w:ascii="Arial" w:eastAsia="Calibri" w:hAnsi="Arial" w:cs="Arial"/>
                <w:b/>
                <w:spacing w:val="0"/>
                <w:sz w:val="18"/>
                <w:szCs w:val="18"/>
                <w:lang w:val="es-EC"/>
              </w:rPr>
              <w:t>Eficiencia empresarial en empleo</w:t>
            </w:r>
          </w:p>
        </w:tc>
        <w:tc>
          <w:tcPr>
            <w:tcW w:w="1078" w:type="pct"/>
            <w:shd w:val="clear" w:color="auto" w:fill="FDE9D9"/>
          </w:tcPr>
          <w:p w14:paraId="01454B85" w14:textId="77777777" w:rsidR="00391F03" w:rsidRPr="00426200" w:rsidRDefault="00391F03" w:rsidP="00F20EF6">
            <w:pPr>
              <w:jc w:val="both"/>
              <w:rPr>
                <w:rFonts w:ascii="Arial" w:eastAsia="Calibri" w:hAnsi="Arial" w:cs="Arial"/>
                <w:spacing w:val="0"/>
                <w:sz w:val="18"/>
                <w:szCs w:val="18"/>
                <w:lang w:val="es-EC"/>
              </w:rPr>
            </w:pPr>
            <w:r w:rsidRPr="00426200">
              <w:rPr>
                <w:rFonts w:ascii="Arial" w:eastAsia="Calibri" w:hAnsi="Arial" w:cs="Arial"/>
                <w:spacing w:val="0"/>
                <w:sz w:val="18"/>
                <w:szCs w:val="18"/>
                <w:lang w:val="es-EC"/>
              </w:rPr>
              <w:t>La eficiencia empresarial en términos de empleo de capital humano. Mide el valor añadido obtenido por trabajador e indica cómo la adecuada combinación entre el factor humano y la estructura técnica incide en la generación de riqueza de la empresa.</w:t>
            </w:r>
          </w:p>
        </w:tc>
        <w:tc>
          <w:tcPr>
            <w:tcW w:w="759" w:type="pct"/>
            <w:shd w:val="clear" w:color="auto" w:fill="FDE9D9"/>
            <w:vAlign w:val="center"/>
          </w:tcPr>
          <w:p w14:paraId="5A6EE0F1" w14:textId="77777777" w:rsidR="00391F03" w:rsidRPr="00426200" w:rsidRDefault="00391F03" w:rsidP="00F20EF6">
            <w:pPr>
              <w:jc w:val="center"/>
              <w:rPr>
                <w:rFonts w:ascii="Arial" w:eastAsia="Calibri" w:hAnsi="Arial" w:cs="Arial"/>
                <w:spacing w:val="0"/>
                <w:sz w:val="18"/>
                <w:szCs w:val="18"/>
                <w:lang w:val="es-EC"/>
              </w:rPr>
            </w:pPr>
            <m:oMathPara>
              <m:oMath>
                <m:r>
                  <w:rPr>
                    <w:rFonts w:ascii="Cambria Math" w:eastAsia="Calibri" w:hAnsi="Cambria Math" w:cs="Arial"/>
                    <w:spacing w:val="0"/>
                    <w:sz w:val="18"/>
                    <w:szCs w:val="18"/>
                    <w:lang w:val="es-EC"/>
                  </w:rPr>
                  <m:t>P=</m:t>
                </m:r>
                <m:f>
                  <m:fPr>
                    <m:ctrlPr>
                      <w:rPr>
                        <w:rFonts w:ascii="Cambria Math" w:eastAsia="Calibri" w:hAnsi="Cambria Math" w:cs="Arial"/>
                        <w:i/>
                        <w:spacing w:val="0"/>
                        <w:sz w:val="18"/>
                        <w:szCs w:val="18"/>
                        <w:lang w:val="es-EC"/>
                      </w:rPr>
                    </m:ctrlPr>
                  </m:fPr>
                  <m:num>
                    <m:r>
                      <w:rPr>
                        <w:rFonts w:ascii="Cambria Math" w:eastAsia="Calibri" w:hAnsi="Cambria Math" w:cs="Arial"/>
                        <w:spacing w:val="0"/>
                        <w:sz w:val="18"/>
                        <w:szCs w:val="18"/>
                        <w:lang w:val="es-EC"/>
                      </w:rPr>
                      <m:t>GP</m:t>
                    </m:r>
                  </m:num>
                  <m:den>
                    <m:r>
                      <w:rPr>
                        <w:rFonts w:ascii="Cambria Math" w:eastAsia="Calibri" w:hAnsi="Cambria Math" w:cs="Arial"/>
                        <w:spacing w:val="0"/>
                        <w:sz w:val="18"/>
                        <w:szCs w:val="18"/>
                        <w:lang w:val="es-EC"/>
                      </w:rPr>
                      <m:t>BN</m:t>
                    </m:r>
                  </m:den>
                </m:f>
              </m:oMath>
            </m:oMathPara>
          </w:p>
          <w:p w14:paraId="6AB85D28" w14:textId="77777777" w:rsidR="00391F03" w:rsidRPr="00426200" w:rsidRDefault="00391F03" w:rsidP="00F20EF6">
            <w:pPr>
              <w:jc w:val="center"/>
              <w:rPr>
                <w:rFonts w:ascii="Arial" w:eastAsia="Calibri" w:hAnsi="Arial" w:cs="Arial"/>
                <w:spacing w:val="0"/>
                <w:sz w:val="18"/>
                <w:szCs w:val="18"/>
                <w:lang w:val="es-EC"/>
              </w:rPr>
            </w:pPr>
          </w:p>
          <w:p w14:paraId="3DDACA82" w14:textId="77777777" w:rsidR="00391F03" w:rsidRPr="00426200" w:rsidRDefault="00391F03" w:rsidP="00F20EF6">
            <w:pPr>
              <w:jc w:val="center"/>
              <w:rPr>
                <w:rFonts w:ascii="Arial" w:eastAsia="Calibri" w:hAnsi="Arial" w:cs="Arial"/>
                <w:spacing w:val="0"/>
                <w:sz w:val="18"/>
                <w:szCs w:val="18"/>
                <w:lang w:val="es-EC"/>
              </w:rPr>
            </w:pPr>
          </w:p>
          <w:p w14:paraId="0D97A430" w14:textId="77777777" w:rsidR="00391F03" w:rsidRPr="00426200" w:rsidRDefault="00391F03" w:rsidP="00F20EF6">
            <w:pPr>
              <w:jc w:val="center"/>
              <w:rPr>
                <w:rFonts w:ascii="Arial" w:eastAsia="Calibri" w:hAnsi="Arial" w:cs="Arial"/>
                <w:spacing w:val="0"/>
                <w:sz w:val="18"/>
                <w:szCs w:val="18"/>
                <w:lang w:val="es-EC"/>
              </w:rPr>
            </w:pPr>
          </w:p>
        </w:tc>
        <w:tc>
          <w:tcPr>
            <w:tcW w:w="1141" w:type="pct"/>
            <w:shd w:val="clear" w:color="auto" w:fill="FDE9D9"/>
          </w:tcPr>
          <w:p w14:paraId="0D827971" w14:textId="77777777" w:rsidR="00391F03" w:rsidRPr="00426200" w:rsidRDefault="00391F03" w:rsidP="00F20EF6">
            <w:pPr>
              <w:rPr>
                <w:rFonts w:ascii="Arial" w:eastAsia="Calibri" w:hAnsi="Arial" w:cs="Arial"/>
                <w:spacing w:val="0"/>
                <w:sz w:val="18"/>
                <w:szCs w:val="18"/>
                <w:lang w:val="es-EC"/>
              </w:rPr>
            </w:pPr>
          </w:p>
          <w:p w14:paraId="617999C6" w14:textId="77777777" w:rsidR="00391F03" w:rsidRPr="00426200" w:rsidRDefault="00391F03" w:rsidP="00F20EF6">
            <w:pPr>
              <w:rPr>
                <w:rFonts w:ascii="Arial" w:eastAsia="Calibri" w:hAnsi="Arial" w:cs="Arial"/>
                <w:spacing w:val="0"/>
                <w:sz w:val="18"/>
                <w:szCs w:val="18"/>
                <w:lang w:val="es-EC"/>
              </w:rPr>
            </w:pPr>
            <w:r w:rsidRPr="00426200">
              <w:rPr>
                <w:rFonts w:ascii="Arial" w:eastAsia="Calibri" w:hAnsi="Arial" w:cs="Arial"/>
                <w:spacing w:val="0"/>
                <w:sz w:val="18"/>
                <w:szCs w:val="18"/>
                <w:lang w:val="es-EC"/>
              </w:rPr>
              <w:t>GP= Gastos de personal de la empresa.</w:t>
            </w:r>
          </w:p>
          <w:p w14:paraId="110D23D7" w14:textId="77777777" w:rsidR="00391F03" w:rsidRPr="00426200" w:rsidRDefault="00391F03" w:rsidP="00F20EF6">
            <w:pPr>
              <w:rPr>
                <w:rFonts w:ascii="Arial" w:eastAsia="Calibri" w:hAnsi="Arial" w:cs="Arial"/>
                <w:spacing w:val="0"/>
                <w:sz w:val="18"/>
                <w:szCs w:val="18"/>
                <w:lang w:val="es-EC"/>
              </w:rPr>
            </w:pPr>
          </w:p>
          <w:p w14:paraId="40249997" w14:textId="77777777" w:rsidR="00391F03" w:rsidRPr="00426200" w:rsidRDefault="00391F03" w:rsidP="00F20EF6">
            <w:pPr>
              <w:rPr>
                <w:rFonts w:ascii="Arial" w:hAnsi="Arial" w:cs="Arial"/>
                <w:spacing w:val="0"/>
                <w:sz w:val="18"/>
                <w:szCs w:val="18"/>
                <w:lang w:val="es-EC"/>
              </w:rPr>
            </w:pPr>
            <w:r w:rsidRPr="00426200">
              <w:rPr>
                <w:rFonts w:ascii="Arial" w:eastAsia="Calibri" w:hAnsi="Arial" w:cs="Arial"/>
                <w:spacing w:val="0"/>
                <w:sz w:val="18"/>
                <w:szCs w:val="18"/>
                <w:lang w:val="es-EC"/>
              </w:rPr>
              <w:t>BN: Beneficio Final (Neto) de la empresa.</w:t>
            </w:r>
          </w:p>
        </w:tc>
        <w:tc>
          <w:tcPr>
            <w:tcW w:w="765" w:type="pct"/>
            <w:shd w:val="clear" w:color="auto" w:fill="FDE9D9"/>
          </w:tcPr>
          <w:p w14:paraId="57250F52" w14:textId="77777777" w:rsidR="00391F03" w:rsidRPr="00426200" w:rsidRDefault="00391F03" w:rsidP="00F20EF6">
            <w:pPr>
              <w:rPr>
                <w:rFonts w:ascii="Arial" w:hAnsi="Arial" w:cs="Arial"/>
                <w:spacing w:val="0"/>
                <w:sz w:val="18"/>
                <w:szCs w:val="18"/>
                <w:lang w:val="es-EC"/>
              </w:rPr>
            </w:pPr>
            <w:r w:rsidRPr="00426200">
              <w:rPr>
                <w:rFonts w:ascii="Arial" w:eastAsia="Calibri" w:hAnsi="Arial" w:cs="Arial"/>
                <w:spacing w:val="0"/>
                <w:sz w:val="18"/>
                <w:szCs w:val="18"/>
                <w:lang w:val="es-EC"/>
              </w:rPr>
              <w:t xml:space="preserve">García Tabuenca, A., &amp; Crespo Espert, J. L. (2008). </w:t>
            </w:r>
          </w:p>
        </w:tc>
      </w:tr>
    </w:tbl>
    <w:p w14:paraId="26F2382E" w14:textId="77777777" w:rsidR="00391F03" w:rsidRPr="00426200" w:rsidRDefault="00391F03" w:rsidP="00391F03">
      <w:pPr>
        <w:spacing w:after="160" w:line="259" w:lineRule="auto"/>
        <w:rPr>
          <w:rFonts w:ascii="Arial" w:eastAsia="Calibri" w:hAnsi="Arial" w:cs="Arial"/>
          <w:spacing w:val="0"/>
          <w:sz w:val="22"/>
          <w:szCs w:val="22"/>
          <w:lang w:val="es-EC"/>
        </w:rPr>
      </w:pPr>
    </w:p>
    <w:p w14:paraId="35620910" w14:textId="7C0985B9" w:rsidR="00391F03" w:rsidRPr="00426200" w:rsidRDefault="00391F03" w:rsidP="00CC4497">
      <w:pPr>
        <w:pStyle w:val="ListParagraph"/>
        <w:numPr>
          <w:ilvl w:val="1"/>
          <w:numId w:val="10"/>
        </w:numPr>
        <w:ind w:left="720" w:hanging="720"/>
        <w:jc w:val="both"/>
        <w:rPr>
          <w:rFonts w:ascii="Bell MT" w:hAnsi="Bell MT"/>
          <w:b/>
          <w:lang w:val="es-EC"/>
        </w:rPr>
      </w:pPr>
      <w:r w:rsidRPr="00426200">
        <w:rPr>
          <w:rFonts w:ascii="Arial" w:hAnsi="Arial" w:cs="Arial"/>
          <w:b/>
          <w:sz w:val="22"/>
          <w:szCs w:val="22"/>
          <w:lang w:val="es-EC"/>
        </w:rPr>
        <w:t>Detalle de los Indicadores</w:t>
      </w:r>
    </w:p>
    <w:p w14:paraId="33C9A99E" w14:textId="77777777" w:rsidR="00E3593A" w:rsidRPr="00426200" w:rsidRDefault="00E3593A" w:rsidP="00CC4497">
      <w:pPr>
        <w:pStyle w:val="ListParagraph"/>
        <w:ind w:hanging="720"/>
        <w:jc w:val="both"/>
        <w:rPr>
          <w:rFonts w:ascii="Bell MT" w:hAnsi="Bell MT"/>
          <w:b/>
          <w:lang w:val="es-EC"/>
        </w:rPr>
      </w:pPr>
    </w:p>
    <w:p w14:paraId="3B0788D7" w14:textId="668D9123" w:rsidR="00E3593A" w:rsidRPr="00AA1669" w:rsidRDefault="00426200" w:rsidP="00B02122">
      <w:pPr>
        <w:pStyle w:val="ListParagraph"/>
        <w:numPr>
          <w:ilvl w:val="1"/>
          <w:numId w:val="10"/>
        </w:numPr>
        <w:spacing w:after="160"/>
        <w:ind w:left="720" w:hanging="720"/>
        <w:jc w:val="both"/>
        <w:rPr>
          <w:rFonts w:ascii="Arial" w:eastAsia="Calibri" w:hAnsi="Arial" w:cs="Arial"/>
          <w:sz w:val="22"/>
          <w:szCs w:val="22"/>
          <w:lang w:val="es-EC"/>
        </w:rPr>
      </w:pPr>
      <w:r w:rsidRPr="00426200">
        <w:rPr>
          <w:rFonts w:ascii="Arial" w:eastAsia="Calibri" w:hAnsi="Arial" w:cs="Arial"/>
          <w:b/>
          <w:sz w:val="22"/>
          <w:szCs w:val="22"/>
          <w:lang w:val="es-EC"/>
        </w:rPr>
        <w:t>Rentabilidad económica:</w:t>
      </w:r>
      <w:r w:rsidR="00E3593A" w:rsidRPr="00426200">
        <w:rPr>
          <w:rFonts w:ascii="Arial" w:eastAsia="Calibri" w:hAnsi="Arial" w:cs="Arial"/>
          <w:b/>
          <w:sz w:val="22"/>
          <w:szCs w:val="22"/>
          <w:lang w:val="es-EC"/>
        </w:rPr>
        <w:t xml:space="preserve"> </w:t>
      </w:r>
      <w:r w:rsidR="00391F03" w:rsidRPr="00426200">
        <w:rPr>
          <w:rFonts w:ascii="Arial" w:eastAsia="Calibri" w:hAnsi="Arial" w:cs="Arial"/>
          <w:sz w:val="22"/>
          <w:szCs w:val="22"/>
          <w:lang w:val="es-EC"/>
        </w:rPr>
        <w:t xml:space="preserve">De acuerdo a la investigación de </w:t>
      </w:r>
      <w:r w:rsidR="00391F03" w:rsidRPr="00426200">
        <w:rPr>
          <w:rFonts w:ascii="Arial" w:eastAsia="Calibri" w:hAnsi="Arial" w:cs="Arial"/>
          <w:i/>
          <w:noProof/>
          <w:sz w:val="22"/>
          <w:szCs w:val="22"/>
          <w:lang w:val="es-EC"/>
        </w:rPr>
        <w:t xml:space="preserve">García Tabuenca &amp; Crespo </w:t>
      </w:r>
      <w:r w:rsidR="00391F03" w:rsidRPr="00426200">
        <w:rPr>
          <w:rFonts w:ascii="Arial" w:eastAsia="Calibri" w:hAnsi="Arial" w:cs="Arial"/>
          <w:i/>
          <w:sz w:val="22"/>
          <w:szCs w:val="22"/>
          <w:lang w:val="es-EC"/>
        </w:rPr>
        <w:t>Espert (2008</w:t>
      </w:r>
      <w:r w:rsidR="00391F03" w:rsidRPr="00426200">
        <w:rPr>
          <w:rFonts w:ascii="Arial" w:eastAsia="Calibri" w:hAnsi="Arial" w:cs="Arial"/>
          <w:sz w:val="22"/>
          <w:szCs w:val="22"/>
          <w:lang w:val="es-EC"/>
        </w:rPr>
        <w:t>), la rentabilidad económica se la concibe como la adecuada utilización de la inversión física en inmovilizado y circulante. Se entiende como inmovilizado (activos fijos) a las existencias de materias primas que se mantienen en los almacenes de las empresas</w:t>
      </w:r>
      <w:r w:rsidRPr="00426200">
        <w:rPr>
          <w:rFonts w:ascii="Arial" w:eastAsia="Calibri" w:hAnsi="Arial" w:cs="Arial"/>
          <w:sz w:val="22"/>
          <w:szCs w:val="22"/>
          <w:lang w:val="es-EC"/>
        </w:rPr>
        <w:t>,</w:t>
      </w:r>
      <w:r w:rsidR="00391F03" w:rsidRPr="00426200">
        <w:rPr>
          <w:rFonts w:ascii="Arial" w:eastAsia="Calibri" w:hAnsi="Arial" w:cs="Arial"/>
          <w:sz w:val="22"/>
          <w:szCs w:val="22"/>
          <w:lang w:val="es-EC"/>
        </w:rPr>
        <w:t xml:space="preserve"> y el circulante son bienes y derechos líquidos de una empresa. La mide mediante el ratio de EBIT (Beneficio antes de interes</w:t>
      </w:r>
      <w:r w:rsidR="00813637" w:rsidRPr="00426200">
        <w:rPr>
          <w:rFonts w:ascii="Arial" w:eastAsia="Calibri" w:hAnsi="Arial" w:cs="Arial"/>
          <w:sz w:val="22"/>
          <w:szCs w:val="22"/>
          <w:lang w:val="es-EC"/>
        </w:rPr>
        <w:t>e</w:t>
      </w:r>
      <w:r w:rsidR="00391F03" w:rsidRPr="00426200">
        <w:rPr>
          <w:rFonts w:ascii="Arial" w:eastAsia="Calibri" w:hAnsi="Arial" w:cs="Arial"/>
          <w:sz w:val="22"/>
          <w:szCs w:val="22"/>
          <w:lang w:val="es-EC"/>
        </w:rPr>
        <w:t>s e impuestos) sobre los activos t</w:t>
      </w:r>
      <w:r w:rsidR="00391F03" w:rsidRPr="00AA1669">
        <w:rPr>
          <w:rFonts w:ascii="Arial" w:eastAsia="Calibri" w:hAnsi="Arial" w:cs="Arial"/>
          <w:sz w:val="22"/>
          <w:szCs w:val="22"/>
          <w:lang w:val="es-EC"/>
        </w:rPr>
        <w:t xml:space="preserve">otales medios anuales de la empresa. </w:t>
      </w:r>
      <w:r w:rsidR="005E6152" w:rsidRPr="00AA1669">
        <w:rPr>
          <w:rFonts w:ascii="Arial" w:eastAsia="Calibri" w:hAnsi="Arial" w:cs="Arial"/>
          <w:sz w:val="22"/>
          <w:szCs w:val="22"/>
          <w:lang w:val="es-EC"/>
        </w:rPr>
        <w:t xml:space="preserve">Esta información </w:t>
      </w:r>
      <w:r w:rsidR="005E6152">
        <w:rPr>
          <w:rFonts w:ascii="Arial" w:eastAsia="Calibri" w:hAnsi="Arial" w:cs="Arial"/>
          <w:sz w:val="22"/>
          <w:szCs w:val="22"/>
          <w:lang w:val="es-EC"/>
        </w:rPr>
        <w:t xml:space="preserve">la </w:t>
      </w:r>
      <w:r w:rsidR="005E6152" w:rsidRPr="00AA1669">
        <w:rPr>
          <w:rFonts w:ascii="Arial" w:eastAsia="Calibri" w:hAnsi="Arial" w:cs="Arial"/>
          <w:sz w:val="22"/>
          <w:szCs w:val="22"/>
          <w:lang w:val="es-EC"/>
        </w:rPr>
        <w:t>posee</w:t>
      </w:r>
      <w:r w:rsidR="005E6152">
        <w:rPr>
          <w:rFonts w:ascii="Arial" w:eastAsia="Calibri" w:hAnsi="Arial" w:cs="Arial"/>
          <w:sz w:val="22"/>
          <w:szCs w:val="22"/>
          <w:lang w:val="es-EC"/>
        </w:rPr>
        <w:t>n</w:t>
      </w:r>
      <w:r w:rsidRPr="00AA1669">
        <w:rPr>
          <w:rFonts w:ascii="Arial" w:eastAsia="Calibri" w:hAnsi="Arial" w:cs="Arial"/>
          <w:sz w:val="22"/>
          <w:szCs w:val="22"/>
          <w:lang w:val="es-EC"/>
        </w:rPr>
        <w:t xml:space="preserve"> </w:t>
      </w:r>
      <w:r w:rsidR="00391F03" w:rsidRPr="00AA1669">
        <w:rPr>
          <w:rFonts w:ascii="Arial" w:eastAsia="Calibri" w:hAnsi="Arial" w:cs="Arial"/>
          <w:sz w:val="22"/>
          <w:szCs w:val="22"/>
          <w:lang w:val="es-EC"/>
        </w:rPr>
        <w:t>las empresas públicas y se la puede encontrar en su Balance General presentado anualmente.</w:t>
      </w:r>
    </w:p>
    <w:p w14:paraId="09965F8A" w14:textId="77777777" w:rsidR="00E3593A" w:rsidRPr="00AA1669" w:rsidRDefault="00E3593A" w:rsidP="001251E3">
      <w:pPr>
        <w:pStyle w:val="ListParagraph"/>
        <w:ind w:hanging="720"/>
        <w:rPr>
          <w:rFonts w:ascii="Arial" w:eastAsia="Calibri" w:hAnsi="Arial" w:cs="Arial"/>
          <w:b/>
          <w:sz w:val="22"/>
          <w:szCs w:val="22"/>
          <w:lang w:val="es-EC"/>
        </w:rPr>
      </w:pPr>
    </w:p>
    <w:p w14:paraId="70AA71AA" w14:textId="465A5C3F" w:rsidR="00E3593A" w:rsidRPr="00AA1669" w:rsidRDefault="00391F03" w:rsidP="00B02122">
      <w:pPr>
        <w:pStyle w:val="ListParagraph"/>
        <w:numPr>
          <w:ilvl w:val="1"/>
          <w:numId w:val="10"/>
        </w:numPr>
        <w:spacing w:after="160"/>
        <w:ind w:left="720" w:hanging="720"/>
        <w:jc w:val="both"/>
        <w:rPr>
          <w:rFonts w:ascii="Arial" w:eastAsia="Calibri" w:hAnsi="Arial" w:cs="Arial"/>
          <w:sz w:val="22"/>
          <w:szCs w:val="22"/>
          <w:lang w:val="es-EC"/>
        </w:rPr>
      </w:pPr>
      <w:r w:rsidRPr="00AA1669">
        <w:rPr>
          <w:rFonts w:ascii="Arial" w:eastAsia="Calibri" w:hAnsi="Arial" w:cs="Arial"/>
          <w:b/>
          <w:sz w:val="22"/>
          <w:szCs w:val="22"/>
          <w:lang w:val="es-EC"/>
        </w:rPr>
        <w:t>Rentabilidad financiera:</w:t>
      </w:r>
      <w:r w:rsidR="00E3593A" w:rsidRPr="00AA1669">
        <w:rPr>
          <w:rFonts w:ascii="Arial" w:eastAsia="Calibri" w:hAnsi="Arial" w:cs="Arial"/>
          <w:b/>
          <w:sz w:val="22"/>
          <w:szCs w:val="22"/>
          <w:lang w:val="es-EC"/>
        </w:rPr>
        <w:t xml:space="preserve"> </w:t>
      </w:r>
      <w:r w:rsidRPr="00AA1669">
        <w:rPr>
          <w:rFonts w:ascii="Arial" w:eastAsia="Calibri" w:hAnsi="Arial" w:cs="Arial"/>
          <w:sz w:val="22"/>
          <w:szCs w:val="22"/>
          <w:lang w:val="es-EC"/>
        </w:rPr>
        <w:t xml:space="preserve">De acuerdo a la investigación de </w:t>
      </w:r>
      <w:r w:rsidRPr="00AA1669">
        <w:rPr>
          <w:rFonts w:ascii="Arial" w:eastAsia="Calibri" w:hAnsi="Arial" w:cs="Arial"/>
          <w:i/>
          <w:noProof/>
          <w:sz w:val="22"/>
          <w:szCs w:val="22"/>
          <w:lang w:val="es-EC"/>
        </w:rPr>
        <w:t xml:space="preserve">García Tabuenca &amp; Crespo </w:t>
      </w:r>
      <w:r w:rsidRPr="00AA1669">
        <w:rPr>
          <w:rFonts w:ascii="Arial" w:eastAsia="Calibri" w:hAnsi="Arial" w:cs="Arial"/>
          <w:i/>
          <w:sz w:val="22"/>
          <w:szCs w:val="22"/>
          <w:lang w:val="es-EC"/>
        </w:rPr>
        <w:t>Espert (2008</w:t>
      </w:r>
      <w:r w:rsidRPr="00AA1669">
        <w:rPr>
          <w:rFonts w:ascii="Arial" w:eastAsia="Calibri" w:hAnsi="Arial" w:cs="Arial"/>
          <w:sz w:val="22"/>
          <w:szCs w:val="22"/>
          <w:lang w:val="es-EC"/>
        </w:rPr>
        <w:t>), la rentabilidad financiera indica el excedente de libre disposición para el empresario como retribución al riesgo asumido. Entonces, es el ratio del resultado neto anual de la empresa dividida para los fondos propios en que incurrió la empresa durante ese año. El Resultado Neto anual se puede encontrar en el Estado de Resultados que presentan las empresas públicas anualmente y los fondos propios se encuentran en el Balance General.</w:t>
      </w:r>
    </w:p>
    <w:p w14:paraId="44340D39" w14:textId="77777777" w:rsidR="00E3593A" w:rsidRPr="00AA1669" w:rsidRDefault="00E3593A" w:rsidP="001251E3">
      <w:pPr>
        <w:pStyle w:val="ListParagraph"/>
        <w:ind w:hanging="720"/>
        <w:rPr>
          <w:rFonts w:ascii="Arial" w:eastAsia="Calibri" w:hAnsi="Arial" w:cs="Arial"/>
          <w:b/>
          <w:sz w:val="22"/>
          <w:szCs w:val="22"/>
          <w:lang w:val="es-EC"/>
        </w:rPr>
      </w:pPr>
    </w:p>
    <w:p w14:paraId="4AE3968E" w14:textId="17E04990" w:rsidR="00E3593A" w:rsidRPr="00AA1669" w:rsidRDefault="00391F03" w:rsidP="00B02122">
      <w:pPr>
        <w:pStyle w:val="ListParagraph"/>
        <w:numPr>
          <w:ilvl w:val="1"/>
          <w:numId w:val="10"/>
        </w:numPr>
        <w:spacing w:after="160"/>
        <w:ind w:left="720" w:hanging="720"/>
        <w:jc w:val="both"/>
        <w:rPr>
          <w:rFonts w:ascii="Arial" w:eastAsia="Calibri" w:hAnsi="Arial" w:cs="Arial"/>
          <w:sz w:val="22"/>
          <w:szCs w:val="22"/>
          <w:lang w:val="es-EC"/>
        </w:rPr>
      </w:pPr>
      <w:r w:rsidRPr="00AA1669">
        <w:rPr>
          <w:rFonts w:ascii="Arial" w:eastAsia="Calibri" w:hAnsi="Arial" w:cs="Arial"/>
          <w:b/>
          <w:sz w:val="22"/>
          <w:szCs w:val="22"/>
          <w:lang w:val="es-EC"/>
        </w:rPr>
        <w:t>Rentabilidad:</w:t>
      </w:r>
      <w:r w:rsidR="00E3593A" w:rsidRPr="00AA1669">
        <w:rPr>
          <w:rFonts w:ascii="Arial" w:eastAsia="Calibri" w:hAnsi="Arial" w:cs="Arial"/>
          <w:b/>
          <w:sz w:val="22"/>
          <w:szCs w:val="22"/>
          <w:lang w:val="es-EC"/>
        </w:rPr>
        <w:t xml:space="preserve"> </w:t>
      </w:r>
      <w:r w:rsidRPr="00AA1669">
        <w:rPr>
          <w:rFonts w:ascii="Arial" w:eastAsia="Calibri" w:hAnsi="Arial" w:cs="Arial"/>
          <w:sz w:val="22"/>
          <w:szCs w:val="22"/>
          <w:lang w:val="es-EC"/>
        </w:rPr>
        <w:t>De acuerdo</w:t>
      </w:r>
      <w:r w:rsidR="00AA1669" w:rsidRPr="00AA1669">
        <w:rPr>
          <w:rFonts w:ascii="Arial" w:eastAsia="Calibri" w:hAnsi="Arial" w:cs="Arial"/>
          <w:sz w:val="22"/>
          <w:szCs w:val="22"/>
          <w:lang w:val="es-EC"/>
        </w:rPr>
        <w:t xml:space="preserve"> </w:t>
      </w:r>
      <w:r w:rsidRPr="00AA1669">
        <w:rPr>
          <w:rFonts w:ascii="Arial" w:eastAsia="Calibri" w:hAnsi="Arial" w:cs="Arial"/>
          <w:sz w:val="22"/>
          <w:szCs w:val="22"/>
          <w:lang w:val="es-EC"/>
        </w:rPr>
        <w:t xml:space="preserve">a la investigación de </w:t>
      </w:r>
      <w:proofErr w:type="spellStart"/>
      <w:r w:rsidRPr="00AA1669">
        <w:rPr>
          <w:rFonts w:ascii="Arial" w:eastAsia="Calibri" w:hAnsi="Arial" w:cs="Arial"/>
          <w:i/>
          <w:sz w:val="22"/>
          <w:szCs w:val="22"/>
          <w:lang w:val="es-EC"/>
        </w:rPr>
        <w:t>Boubakri</w:t>
      </w:r>
      <w:proofErr w:type="spellEnd"/>
      <w:r w:rsidRPr="00AA1669">
        <w:rPr>
          <w:rFonts w:ascii="Arial" w:eastAsia="Calibri" w:hAnsi="Arial" w:cs="Arial"/>
          <w:i/>
          <w:sz w:val="22"/>
          <w:szCs w:val="22"/>
          <w:lang w:val="es-EC"/>
        </w:rPr>
        <w:t xml:space="preserve"> &amp; </w:t>
      </w:r>
      <w:proofErr w:type="spellStart"/>
      <w:r w:rsidRPr="00AA1669">
        <w:rPr>
          <w:rFonts w:ascii="Arial" w:eastAsia="Calibri" w:hAnsi="Arial" w:cs="Arial"/>
          <w:i/>
          <w:sz w:val="22"/>
          <w:szCs w:val="22"/>
          <w:lang w:val="es-EC"/>
        </w:rPr>
        <w:t>Cosset</w:t>
      </w:r>
      <w:proofErr w:type="spellEnd"/>
      <w:r w:rsidRPr="00AA1669">
        <w:rPr>
          <w:rFonts w:ascii="Arial" w:eastAsia="Calibri" w:hAnsi="Arial" w:cs="Arial"/>
          <w:i/>
          <w:sz w:val="22"/>
          <w:szCs w:val="22"/>
          <w:lang w:val="es-EC"/>
        </w:rPr>
        <w:t xml:space="preserve"> (1998)</w:t>
      </w:r>
      <w:r w:rsidRPr="00AA1669">
        <w:rPr>
          <w:rFonts w:ascii="Arial" w:eastAsia="Calibri" w:hAnsi="Arial" w:cs="Arial"/>
          <w:sz w:val="22"/>
          <w:szCs w:val="22"/>
          <w:lang w:val="es-EC"/>
        </w:rPr>
        <w:t xml:space="preserve">, se utilizan </w:t>
      </w:r>
      <w:r w:rsidR="0079285B">
        <w:rPr>
          <w:rFonts w:ascii="Arial" w:eastAsia="Calibri" w:hAnsi="Arial" w:cs="Arial"/>
          <w:sz w:val="22"/>
          <w:szCs w:val="22"/>
          <w:lang w:val="es-EC"/>
        </w:rPr>
        <w:t>los siguientes</w:t>
      </w:r>
      <w:r w:rsidRPr="00AA1669">
        <w:rPr>
          <w:rFonts w:ascii="Arial" w:eastAsia="Calibri" w:hAnsi="Arial" w:cs="Arial"/>
          <w:sz w:val="22"/>
          <w:szCs w:val="22"/>
          <w:lang w:val="es-EC"/>
        </w:rPr>
        <w:t xml:space="preserve"> ratios para mesurar el nivel de rentabilidad de una empresa: ROS (Retorno de Ventas), y ROE (Retorno </w:t>
      </w:r>
      <w:r w:rsidR="0079285B">
        <w:rPr>
          <w:rFonts w:ascii="Arial" w:eastAsia="Calibri" w:hAnsi="Arial" w:cs="Arial"/>
          <w:sz w:val="22"/>
          <w:szCs w:val="22"/>
          <w:lang w:val="es-EC"/>
        </w:rPr>
        <w:t>sobre la Equidad). El ROS es un</w:t>
      </w:r>
      <w:r w:rsidRPr="00AA1669">
        <w:rPr>
          <w:rFonts w:ascii="Arial" w:eastAsia="Calibri" w:hAnsi="Arial" w:cs="Arial"/>
          <w:sz w:val="22"/>
          <w:szCs w:val="22"/>
          <w:lang w:val="es-EC"/>
        </w:rPr>
        <w:t xml:space="preserve"> ratio que resulta de dividir la utilidad neta después de impuestos por las ventas netas de la empresa (después de devoluciones y descuentos)</w:t>
      </w:r>
      <w:r w:rsidR="00AA1669" w:rsidRPr="00AA1669">
        <w:rPr>
          <w:rFonts w:ascii="Arial" w:eastAsia="Calibri" w:hAnsi="Arial" w:cs="Arial"/>
          <w:sz w:val="22"/>
          <w:szCs w:val="22"/>
          <w:lang w:val="es-EC"/>
        </w:rPr>
        <w:t>,</w:t>
      </w:r>
      <w:r w:rsidRPr="00AA1669">
        <w:rPr>
          <w:rFonts w:ascii="Arial" w:eastAsia="Calibri" w:hAnsi="Arial" w:cs="Arial"/>
          <w:sz w:val="22"/>
          <w:szCs w:val="22"/>
          <w:lang w:val="es-EC"/>
        </w:rPr>
        <w:t xml:space="preserve"> </w:t>
      </w:r>
      <w:r w:rsidR="00AA1669" w:rsidRPr="00AA1669">
        <w:rPr>
          <w:rFonts w:ascii="Arial" w:eastAsia="Calibri" w:hAnsi="Arial" w:cs="Arial"/>
          <w:sz w:val="22"/>
          <w:szCs w:val="22"/>
          <w:lang w:val="es-EC"/>
        </w:rPr>
        <w:t>por ende,</w:t>
      </w:r>
      <w:r w:rsidRPr="00AA1669">
        <w:rPr>
          <w:rFonts w:ascii="Arial" w:eastAsia="Calibri" w:hAnsi="Arial" w:cs="Arial"/>
          <w:sz w:val="22"/>
          <w:szCs w:val="22"/>
          <w:lang w:val="es-EC"/>
        </w:rPr>
        <w:t xml:space="preserve"> </w:t>
      </w:r>
      <w:r w:rsidR="00AA1669" w:rsidRPr="00AA1669">
        <w:rPr>
          <w:rFonts w:ascii="Arial" w:eastAsia="Calibri" w:hAnsi="Arial" w:cs="Arial"/>
          <w:sz w:val="22"/>
          <w:szCs w:val="22"/>
          <w:lang w:val="es-EC"/>
        </w:rPr>
        <w:t>indica el rendimiento de las</w:t>
      </w:r>
      <w:r w:rsidRPr="00AA1669">
        <w:rPr>
          <w:rFonts w:ascii="Arial" w:eastAsia="Calibri" w:hAnsi="Arial" w:cs="Arial"/>
          <w:sz w:val="22"/>
          <w:szCs w:val="22"/>
          <w:lang w:val="es-EC"/>
        </w:rPr>
        <w:t xml:space="preserve"> ventas. </w:t>
      </w:r>
      <w:r w:rsidR="00E3593A" w:rsidRPr="00AA1669">
        <w:rPr>
          <w:rFonts w:ascii="Arial" w:eastAsia="Calibri" w:hAnsi="Arial" w:cs="Arial"/>
          <w:sz w:val="22"/>
          <w:szCs w:val="22"/>
          <w:lang w:val="es-EC"/>
        </w:rPr>
        <w:t xml:space="preserve"> </w:t>
      </w:r>
    </w:p>
    <w:p w14:paraId="439E6CDB" w14:textId="77777777" w:rsidR="00E3593A" w:rsidRPr="00AA1669" w:rsidRDefault="00E3593A" w:rsidP="001251E3">
      <w:pPr>
        <w:pStyle w:val="ListParagraph"/>
        <w:ind w:hanging="720"/>
        <w:rPr>
          <w:rFonts w:ascii="Arial" w:eastAsia="Calibri" w:hAnsi="Arial" w:cs="Arial"/>
          <w:sz w:val="22"/>
          <w:szCs w:val="22"/>
          <w:lang w:val="es-EC"/>
        </w:rPr>
      </w:pPr>
    </w:p>
    <w:p w14:paraId="300561F6" w14:textId="5A692492" w:rsidR="00E3593A" w:rsidRPr="002250EB" w:rsidRDefault="00391F03" w:rsidP="00B02122">
      <w:pPr>
        <w:pStyle w:val="ListParagraph"/>
        <w:spacing w:after="160"/>
        <w:jc w:val="both"/>
        <w:rPr>
          <w:rFonts w:ascii="Arial" w:eastAsia="Calibri" w:hAnsi="Arial" w:cs="Arial"/>
          <w:sz w:val="22"/>
          <w:szCs w:val="22"/>
          <w:lang w:val="es-EC"/>
        </w:rPr>
      </w:pPr>
      <w:r w:rsidRPr="0079285B">
        <w:rPr>
          <w:rFonts w:ascii="Arial" w:eastAsia="Calibri" w:hAnsi="Arial" w:cs="Arial"/>
          <w:sz w:val="22"/>
          <w:szCs w:val="22"/>
          <w:lang w:val="es-EC"/>
        </w:rPr>
        <w:t>La información para realizar todas las estimaciones se la puede obtener del Balance de Resultados de cada empresa pública.</w:t>
      </w:r>
      <w:r w:rsidR="00E3593A" w:rsidRPr="0079285B">
        <w:rPr>
          <w:rFonts w:ascii="Arial" w:eastAsia="Calibri" w:hAnsi="Arial" w:cs="Arial"/>
          <w:sz w:val="22"/>
          <w:szCs w:val="22"/>
          <w:lang w:val="es-EC"/>
        </w:rPr>
        <w:t xml:space="preserve"> </w:t>
      </w:r>
      <w:r w:rsidRPr="0079285B">
        <w:rPr>
          <w:rFonts w:ascii="Arial" w:eastAsia="Calibri" w:hAnsi="Arial" w:cs="Arial"/>
          <w:sz w:val="22"/>
          <w:szCs w:val="22"/>
          <w:lang w:val="es-EC"/>
        </w:rPr>
        <w:t xml:space="preserve">De acuerdo a la investigación de </w:t>
      </w:r>
      <w:proofErr w:type="spellStart"/>
      <w:r w:rsidRPr="0079285B">
        <w:rPr>
          <w:rFonts w:ascii="Arial" w:eastAsia="Calibri" w:hAnsi="Arial" w:cs="Arial"/>
          <w:i/>
          <w:sz w:val="22"/>
          <w:szCs w:val="22"/>
          <w:lang w:val="es-EC"/>
        </w:rPr>
        <w:t>Boubakri</w:t>
      </w:r>
      <w:proofErr w:type="spellEnd"/>
      <w:r w:rsidRPr="0079285B">
        <w:rPr>
          <w:rFonts w:ascii="Arial" w:eastAsia="Calibri" w:hAnsi="Arial" w:cs="Arial"/>
          <w:i/>
          <w:sz w:val="22"/>
          <w:szCs w:val="22"/>
          <w:lang w:val="es-EC"/>
        </w:rPr>
        <w:t xml:space="preserve"> &amp; </w:t>
      </w:r>
      <w:proofErr w:type="spellStart"/>
      <w:r w:rsidRPr="0079285B">
        <w:rPr>
          <w:rFonts w:ascii="Arial" w:eastAsia="Calibri" w:hAnsi="Arial" w:cs="Arial"/>
          <w:i/>
          <w:sz w:val="22"/>
          <w:szCs w:val="22"/>
          <w:lang w:val="es-EC"/>
        </w:rPr>
        <w:t>Cosset</w:t>
      </w:r>
      <w:proofErr w:type="spellEnd"/>
      <w:r w:rsidRPr="0079285B">
        <w:rPr>
          <w:rFonts w:ascii="Arial" w:eastAsia="Calibri" w:hAnsi="Arial" w:cs="Arial"/>
          <w:i/>
          <w:sz w:val="22"/>
          <w:szCs w:val="22"/>
          <w:lang w:val="es-EC"/>
        </w:rPr>
        <w:t xml:space="preserve"> (1998)</w:t>
      </w:r>
      <w:r w:rsidRPr="0079285B">
        <w:rPr>
          <w:rFonts w:ascii="Arial" w:eastAsia="Calibri" w:hAnsi="Arial" w:cs="Arial"/>
          <w:sz w:val="22"/>
          <w:szCs w:val="22"/>
          <w:lang w:val="es-EC"/>
        </w:rPr>
        <w:t xml:space="preserve">, para </w:t>
      </w:r>
      <w:r w:rsidRPr="002250EB">
        <w:rPr>
          <w:rFonts w:ascii="Arial" w:eastAsia="Calibri" w:hAnsi="Arial" w:cs="Arial"/>
          <w:sz w:val="22"/>
          <w:szCs w:val="22"/>
          <w:lang w:val="es-EC"/>
        </w:rPr>
        <w:t>medir la rentabilidad de las empresas</w:t>
      </w:r>
      <w:r w:rsidR="0079285B" w:rsidRPr="002250EB">
        <w:rPr>
          <w:rFonts w:ascii="Arial" w:eastAsia="Calibri" w:hAnsi="Arial" w:cs="Arial"/>
          <w:sz w:val="22"/>
          <w:szCs w:val="22"/>
          <w:lang w:val="es-EC"/>
        </w:rPr>
        <w:t>, se</w:t>
      </w:r>
      <w:r w:rsidRPr="002250EB">
        <w:rPr>
          <w:rFonts w:ascii="Arial" w:eastAsia="Calibri" w:hAnsi="Arial" w:cs="Arial"/>
          <w:sz w:val="22"/>
          <w:szCs w:val="22"/>
          <w:lang w:val="es-EC"/>
        </w:rPr>
        <w:t xml:space="preserve"> usa el gasto de inversión de capital como variable a analizar. Está conformado por dos índices, el primero mide qué parte de los gastos se ven recompensados por el total de las ventas (ratio de gastos de capital sobre las ventas anuales) y el segundo analiza qué parte de los activos totales que cubren los gastos de capital (gastos de capital dividido para los activos totales). El primer indicador se basa en información de Estado de Resultados y el segundo en el Estado de Resultados y el Balance General.</w:t>
      </w:r>
      <w:r w:rsidR="00E3593A" w:rsidRPr="002250EB">
        <w:rPr>
          <w:rFonts w:ascii="Arial" w:eastAsia="Calibri" w:hAnsi="Arial" w:cs="Arial"/>
          <w:sz w:val="22"/>
          <w:szCs w:val="22"/>
          <w:lang w:val="es-EC"/>
        </w:rPr>
        <w:t xml:space="preserve"> </w:t>
      </w:r>
    </w:p>
    <w:p w14:paraId="6DC77D10" w14:textId="77777777" w:rsidR="00CC4497" w:rsidRPr="002250EB" w:rsidRDefault="00CC4497" w:rsidP="00B02122">
      <w:pPr>
        <w:pStyle w:val="ListParagraph"/>
        <w:spacing w:after="160"/>
        <w:jc w:val="both"/>
        <w:rPr>
          <w:rFonts w:ascii="Arial" w:eastAsia="Calibri" w:hAnsi="Arial" w:cs="Arial"/>
          <w:sz w:val="22"/>
          <w:szCs w:val="22"/>
          <w:lang w:val="es-EC"/>
        </w:rPr>
      </w:pPr>
    </w:p>
    <w:p w14:paraId="31F6DB16" w14:textId="77777777" w:rsidR="002250EB" w:rsidRPr="002250EB" w:rsidRDefault="0079285B" w:rsidP="00B02122">
      <w:pPr>
        <w:pStyle w:val="ListParagraph"/>
        <w:spacing w:after="160"/>
        <w:jc w:val="both"/>
        <w:rPr>
          <w:rFonts w:ascii="Arial" w:eastAsia="Calibri" w:hAnsi="Arial" w:cs="Arial"/>
          <w:sz w:val="22"/>
          <w:szCs w:val="22"/>
          <w:lang w:val="es-EC"/>
        </w:rPr>
      </w:pPr>
      <w:r w:rsidRPr="002250EB">
        <w:rPr>
          <w:rFonts w:ascii="Arial" w:eastAsia="Calibri" w:hAnsi="Arial" w:cs="Arial"/>
          <w:sz w:val="22"/>
          <w:szCs w:val="22"/>
          <w:lang w:val="es-EC"/>
        </w:rPr>
        <w:t>Por su parte, e</w:t>
      </w:r>
      <w:r w:rsidR="00391F03" w:rsidRPr="002250EB">
        <w:rPr>
          <w:rFonts w:ascii="Arial" w:eastAsia="Calibri" w:hAnsi="Arial" w:cs="Arial"/>
          <w:sz w:val="22"/>
          <w:szCs w:val="22"/>
          <w:lang w:val="es-EC"/>
        </w:rPr>
        <w:t>l EBITDA representa la capacidad de una empresa para generar beneficios</w:t>
      </w:r>
      <w:r w:rsidR="002250EB" w:rsidRPr="002250EB">
        <w:rPr>
          <w:rFonts w:ascii="Arial" w:eastAsia="Calibri" w:hAnsi="Arial" w:cs="Arial"/>
          <w:sz w:val="22"/>
          <w:szCs w:val="22"/>
          <w:lang w:val="es-EC"/>
        </w:rPr>
        <w:t>,</w:t>
      </w:r>
      <w:r w:rsidR="00391F03" w:rsidRPr="002250EB">
        <w:rPr>
          <w:rFonts w:ascii="Arial" w:eastAsia="Calibri" w:hAnsi="Arial" w:cs="Arial"/>
          <w:sz w:val="22"/>
          <w:szCs w:val="22"/>
          <w:lang w:val="es-EC"/>
        </w:rPr>
        <w:t xml:space="preserve"> considerando únicamente su actividad productiva</w:t>
      </w:r>
      <w:r w:rsidR="002250EB" w:rsidRPr="002250EB">
        <w:rPr>
          <w:rFonts w:ascii="Arial" w:eastAsia="Calibri" w:hAnsi="Arial" w:cs="Arial"/>
          <w:sz w:val="22"/>
          <w:szCs w:val="22"/>
          <w:lang w:val="es-EC"/>
        </w:rPr>
        <w:t>,</w:t>
      </w:r>
      <w:r w:rsidR="00391F03" w:rsidRPr="002250EB">
        <w:rPr>
          <w:rFonts w:ascii="Arial" w:eastAsia="Calibri" w:hAnsi="Arial" w:cs="Arial"/>
          <w:sz w:val="22"/>
          <w:szCs w:val="22"/>
          <w:lang w:val="es-EC"/>
        </w:rPr>
        <w:t xml:space="preserve"> y se calcula como la suma entre el NOPAT (Beneficio Operativo Neto Después de Impuestos) y las Amortizaciones, Depreciaciones y Provisiones de la empresa. Este indicador se obtiene haciendo uso de </w:t>
      </w:r>
      <w:r w:rsidR="00391F03" w:rsidRPr="002250EB">
        <w:rPr>
          <w:rFonts w:ascii="Arial" w:eastAsia="Calibri" w:hAnsi="Arial" w:cs="Arial"/>
          <w:sz w:val="22"/>
          <w:szCs w:val="22"/>
          <w:lang w:val="es-EC"/>
        </w:rPr>
        <w:lastRenderedPageBreak/>
        <w:t xml:space="preserve">la </w:t>
      </w:r>
      <w:r w:rsidR="002250EB" w:rsidRPr="002250EB">
        <w:rPr>
          <w:rFonts w:ascii="Arial" w:eastAsia="Calibri" w:hAnsi="Arial" w:cs="Arial"/>
          <w:sz w:val="22"/>
          <w:szCs w:val="22"/>
          <w:lang w:val="es-EC"/>
        </w:rPr>
        <w:t>información de los Balances de situación y r</w:t>
      </w:r>
      <w:r w:rsidR="00391F03" w:rsidRPr="002250EB">
        <w:rPr>
          <w:rFonts w:ascii="Arial" w:eastAsia="Calibri" w:hAnsi="Arial" w:cs="Arial"/>
          <w:sz w:val="22"/>
          <w:szCs w:val="22"/>
          <w:lang w:val="es-EC"/>
        </w:rPr>
        <w:t>esultados</w:t>
      </w:r>
      <w:r w:rsidR="002250EB" w:rsidRPr="002250EB">
        <w:rPr>
          <w:rFonts w:ascii="Arial" w:eastAsia="Calibri" w:hAnsi="Arial" w:cs="Arial"/>
          <w:sz w:val="22"/>
          <w:szCs w:val="22"/>
          <w:lang w:val="es-EC"/>
        </w:rPr>
        <w:t>;</w:t>
      </w:r>
      <w:r w:rsidR="00391F03" w:rsidRPr="002250EB">
        <w:rPr>
          <w:rFonts w:ascii="Arial" w:eastAsia="Calibri" w:hAnsi="Arial" w:cs="Arial"/>
          <w:sz w:val="22"/>
          <w:szCs w:val="22"/>
          <w:lang w:val="es-EC"/>
        </w:rPr>
        <w:t xml:space="preserve"> y</w:t>
      </w:r>
      <w:r w:rsidR="002250EB" w:rsidRPr="002250EB">
        <w:rPr>
          <w:rFonts w:ascii="Arial" w:eastAsia="Calibri" w:hAnsi="Arial" w:cs="Arial"/>
          <w:sz w:val="22"/>
          <w:szCs w:val="22"/>
          <w:lang w:val="es-EC"/>
        </w:rPr>
        <w:t>,</w:t>
      </w:r>
      <w:r w:rsidR="00391F03" w:rsidRPr="002250EB">
        <w:rPr>
          <w:rFonts w:ascii="Arial" w:eastAsia="Calibri" w:hAnsi="Arial" w:cs="Arial"/>
          <w:sz w:val="22"/>
          <w:szCs w:val="22"/>
          <w:lang w:val="es-EC"/>
        </w:rPr>
        <w:t xml:space="preserve"> es ampliamente usado en la investigación realizada por </w:t>
      </w:r>
      <w:r w:rsidR="00391F03" w:rsidRPr="002250EB">
        <w:rPr>
          <w:rFonts w:ascii="Arial" w:eastAsia="Calibri" w:hAnsi="Arial" w:cs="Arial"/>
          <w:i/>
          <w:sz w:val="22"/>
          <w:szCs w:val="22"/>
          <w:lang w:val="es-EC"/>
        </w:rPr>
        <w:t>García Tabuenca &amp; Crespo Espert (2008)</w:t>
      </w:r>
      <w:r w:rsidR="00391F03" w:rsidRPr="002250EB">
        <w:rPr>
          <w:rFonts w:ascii="Arial" w:eastAsia="Calibri" w:hAnsi="Arial" w:cs="Arial"/>
          <w:sz w:val="22"/>
          <w:szCs w:val="22"/>
          <w:lang w:val="es-EC"/>
        </w:rPr>
        <w:t xml:space="preserve"> como insumo de varios indicadores</w:t>
      </w:r>
      <w:r w:rsidR="00E3593A" w:rsidRPr="002250EB">
        <w:rPr>
          <w:rFonts w:ascii="Arial" w:eastAsia="Calibri" w:hAnsi="Arial" w:cs="Arial"/>
          <w:sz w:val="22"/>
          <w:szCs w:val="22"/>
          <w:lang w:val="es-EC"/>
        </w:rPr>
        <w:t xml:space="preserve">. </w:t>
      </w:r>
      <w:r w:rsidR="002250EB" w:rsidRPr="002250EB">
        <w:rPr>
          <w:rFonts w:ascii="Arial" w:eastAsia="Calibri" w:hAnsi="Arial" w:cs="Arial"/>
          <w:sz w:val="22"/>
          <w:szCs w:val="22"/>
          <w:lang w:val="es-EC"/>
        </w:rPr>
        <w:t>En dicha</w:t>
      </w:r>
      <w:r w:rsidR="00391F03" w:rsidRPr="002250EB">
        <w:rPr>
          <w:rFonts w:ascii="Arial" w:eastAsia="Calibri" w:hAnsi="Arial" w:cs="Arial"/>
          <w:sz w:val="22"/>
          <w:szCs w:val="22"/>
          <w:lang w:val="es-EC"/>
        </w:rPr>
        <w:t xml:space="preserve"> investigación, se relativiza el EBITDA con respecto al Total de activos (TA) (por medio de una división entre estas magnitudes) para representar la generación de liquidez</w:t>
      </w:r>
      <w:r w:rsidR="002250EB" w:rsidRPr="002250EB">
        <w:rPr>
          <w:rFonts w:ascii="Arial" w:eastAsia="Calibri" w:hAnsi="Arial" w:cs="Arial"/>
          <w:sz w:val="22"/>
          <w:szCs w:val="22"/>
          <w:lang w:val="es-EC"/>
        </w:rPr>
        <w:t>,</w:t>
      </w:r>
      <w:r w:rsidR="00391F03" w:rsidRPr="002250EB">
        <w:rPr>
          <w:rFonts w:ascii="Arial" w:eastAsia="Calibri" w:hAnsi="Arial" w:cs="Arial"/>
          <w:sz w:val="22"/>
          <w:szCs w:val="22"/>
          <w:lang w:val="es-EC"/>
        </w:rPr>
        <w:t xml:space="preserve"> con respecto a la inversión total de la empresa. La información utilizada para el cálculo de este indicador se pued</w:t>
      </w:r>
      <w:r w:rsidR="002250EB" w:rsidRPr="002250EB">
        <w:rPr>
          <w:rFonts w:ascii="Arial" w:eastAsia="Calibri" w:hAnsi="Arial" w:cs="Arial"/>
          <w:sz w:val="22"/>
          <w:szCs w:val="22"/>
          <w:lang w:val="es-EC"/>
        </w:rPr>
        <w:t>e encontrar en los Balances de s</w:t>
      </w:r>
      <w:r w:rsidR="00391F03" w:rsidRPr="002250EB">
        <w:rPr>
          <w:rFonts w:ascii="Arial" w:eastAsia="Calibri" w:hAnsi="Arial" w:cs="Arial"/>
          <w:sz w:val="22"/>
          <w:szCs w:val="22"/>
          <w:lang w:val="es-EC"/>
        </w:rPr>
        <w:t>ituaci</w:t>
      </w:r>
      <w:r w:rsidR="002250EB" w:rsidRPr="002250EB">
        <w:rPr>
          <w:rFonts w:ascii="Arial" w:eastAsia="Calibri" w:hAnsi="Arial" w:cs="Arial"/>
          <w:sz w:val="22"/>
          <w:szCs w:val="22"/>
          <w:lang w:val="es-EC"/>
        </w:rPr>
        <w:t>ón y r</w:t>
      </w:r>
      <w:r w:rsidR="00391F03" w:rsidRPr="002250EB">
        <w:rPr>
          <w:rFonts w:ascii="Arial" w:eastAsia="Calibri" w:hAnsi="Arial" w:cs="Arial"/>
          <w:sz w:val="22"/>
          <w:szCs w:val="22"/>
          <w:lang w:val="es-EC"/>
        </w:rPr>
        <w:t>esultados.</w:t>
      </w:r>
    </w:p>
    <w:p w14:paraId="4312681C" w14:textId="663F97FB" w:rsidR="00E3593A" w:rsidRPr="002250EB" w:rsidRDefault="00E3593A" w:rsidP="00B02122">
      <w:pPr>
        <w:pStyle w:val="ListParagraph"/>
        <w:spacing w:after="160"/>
        <w:jc w:val="both"/>
        <w:rPr>
          <w:rFonts w:ascii="Arial" w:eastAsia="Calibri" w:hAnsi="Arial" w:cs="Arial"/>
          <w:sz w:val="22"/>
          <w:szCs w:val="22"/>
          <w:lang w:val="es-EC"/>
        </w:rPr>
      </w:pPr>
      <w:r w:rsidRPr="002250EB">
        <w:rPr>
          <w:rFonts w:ascii="Arial" w:eastAsia="Calibri" w:hAnsi="Arial" w:cs="Arial"/>
          <w:sz w:val="22"/>
          <w:szCs w:val="22"/>
          <w:lang w:val="es-EC"/>
        </w:rPr>
        <w:t xml:space="preserve"> </w:t>
      </w:r>
    </w:p>
    <w:p w14:paraId="79FD5131" w14:textId="77777777" w:rsidR="002250EB" w:rsidRPr="002250EB" w:rsidRDefault="00391F03" w:rsidP="00B02122">
      <w:pPr>
        <w:pStyle w:val="ListParagraph"/>
        <w:spacing w:after="160"/>
        <w:jc w:val="both"/>
        <w:rPr>
          <w:rFonts w:ascii="Arial" w:eastAsia="Calibri" w:hAnsi="Arial" w:cs="Arial"/>
          <w:sz w:val="22"/>
          <w:szCs w:val="22"/>
          <w:lang w:val="es-EC"/>
        </w:rPr>
      </w:pPr>
      <w:r w:rsidRPr="002250EB">
        <w:rPr>
          <w:rFonts w:ascii="Arial" w:eastAsia="Calibri" w:hAnsi="Arial" w:cs="Arial"/>
          <w:sz w:val="22"/>
          <w:szCs w:val="22"/>
          <w:lang w:val="es-EC"/>
        </w:rPr>
        <w:t xml:space="preserve">El EBITE se calcula como la suma del EBIT y los </w:t>
      </w:r>
      <w:r w:rsidR="002250EB" w:rsidRPr="002250EB">
        <w:rPr>
          <w:rFonts w:ascii="Arial" w:eastAsia="Calibri" w:hAnsi="Arial" w:cs="Arial"/>
          <w:sz w:val="22"/>
          <w:szCs w:val="22"/>
          <w:lang w:val="es-EC"/>
        </w:rPr>
        <w:t>í</w:t>
      </w:r>
      <w:r w:rsidRPr="002250EB">
        <w:rPr>
          <w:rFonts w:ascii="Arial" w:eastAsia="Calibri" w:hAnsi="Arial" w:cs="Arial"/>
          <w:sz w:val="22"/>
          <w:szCs w:val="22"/>
          <w:lang w:val="es-EC"/>
        </w:rPr>
        <w:t xml:space="preserve">tems excepcionales de una empresa (excedente entrante a la empresa de tamaño significativo). En la publicación de </w:t>
      </w:r>
      <w:proofErr w:type="spellStart"/>
      <w:r w:rsidRPr="002250EB">
        <w:rPr>
          <w:rFonts w:ascii="Arial" w:eastAsia="Calibri" w:hAnsi="Arial" w:cs="Arial"/>
          <w:i/>
          <w:sz w:val="22"/>
          <w:szCs w:val="22"/>
          <w:lang w:val="es-EC"/>
        </w:rPr>
        <w:t>Bozec</w:t>
      </w:r>
      <w:proofErr w:type="spellEnd"/>
      <w:r w:rsidRPr="002250EB">
        <w:rPr>
          <w:rFonts w:ascii="Arial" w:eastAsia="Calibri" w:hAnsi="Arial" w:cs="Arial"/>
          <w:i/>
          <w:sz w:val="22"/>
          <w:szCs w:val="22"/>
          <w:lang w:val="es-EC"/>
        </w:rPr>
        <w:t xml:space="preserve"> &amp; Breton (2003)</w:t>
      </w:r>
      <w:r w:rsidRPr="002250EB">
        <w:rPr>
          <w:rFonts w:ascii="Arial" w:eastAsia="Calibri" w:hAnsi="Arial" w:cs="Arial"/>
          <w:sz w:val="22"/>
          <w:szCs w:val="22"/>
          <w:lang w:val="es-EC"/>
        </w:rPr>
        <w:t>, este indicador se utiliza debido que se quiere evaluar a empresas estatales, y en este tipo de instituciones se plantea la dificultad de comprender la noción de capital, ya que en estas</w:t>
      </w:r>
      <w:r w:rsidR="002250EB" w:rsidRPr="002250EB">
        <w:rPr>
          <w:rFonts w:ascii="Arial" w:eastAsia="Calibri" w:hAnsi="Arial" w:cs="Arial"/>
          <w:sz w:val="22"/>
          <w:szCs w:val="22"/>
          <w:lang w:val="es-EC"/>
        </w:rPr>
        <w:t>,</w:t>
      </w:r>
      <w:r w:rsidRPr="002250EB">
        <w:rPr>
          <w:rFonts w:ascii="Arial" w:eastAsia="Calibri" w:hAnsi="Arial" w:cs="Arial"/>
          <w:sz w:val="22"/>
          <w:szCs w:val="22"/>
          <w:lang w:val="es-EC"/>
        </w:rPr>
        <w:t xml:space="preserve"> el capital y la deuda son a menudo financiados por el mismo estado. La información requerida para el cálculo de este indicador se pu</w:t>
      </w:r>
      <w:r w:rsidR="002250EB" w:rsidRPr="002250EB">
        <w:rPr>
          <w:rFonts w:ascii="Arial" w:eastAsia="Calibri" w:hAnsi="Arial" w:cs="Arial"/>
          <w:sz w:val="22"/>
          <w:szCs w:val="22"/>
          <w:lang w:val="es-EC"/>
        </w:rPr>
        <w:t>ede obtener de los Balances de situación y r</w:t>
      </w:r>
      <w:r w:rsidRPr="002250EB">
        <w:rPr>
          <w:rFonts w:ascii="Arial" w:eastAsia="Calibri" w:hAnsi="Arial" w:cs="Arial"/>
          <w:sz w:val="22"/>
          <w:szCs w:val="22"/>
          <w:lang w:val="es-EC"/>
        </w:rPr>
        <w:t>esultados de las empresas.</w:t>
      </w:r>
    </w:p>
    <w:p w14:paraId="6C7C2543" w14:textId="0620B0DA" w:rsidR="00E3593A" w:rsidRPr="002250EB" w:rsidRDefault="00E3593A" w:rsidP="00B02122">
      <w:pPr>
        <w:pStyle w:val="ListParagraph"/>
        <w:spacing w:after="160"/>
        <w:jc w:val="both"/>
        <w:rPr>
          <w:rFonts w:ascii="Arial" w:eastAsia="Calibri" w:hAnsi="Arial" w:cs="Arial"/>
          <w:sz w:val="22"/>
          <w:szCs w:val="22"/>
          <w:lang w:val="es-EC"/>
        </w:rPr>
      </w:pPr>
      <w:r w:rsidRPr="002250EB">
        <w:rPr>
          <w:rFonts w:ascii="Arial" w:eastAsia="Calibri" w:hAnsi="Arial" w:cs="Arial"/>
          <w:sz w:val="22"/>
          <w:szCs w:val="22"/>
          <w:lang w:val="es-EC"/>
        </w:rPr>
        <w:t xml:space="preserve"> </w:t>
      </w:r>
    </w:p>
    <w:p w14:paraId="7BF7EC10" w14:textId="3C83DDB3" w:rsidR="00343F80" w:rsidRPr="0055199D" w:rsidRDefault="00391F03" w:rsidP="00B02122">
      <w:pPr>
        <w:pStyle w:val="ListParagraph"/>
        <w:spacing w:after="160"/>
        <w:jc w:val="both"/>
        <w:rPr>
          <w:rFonts w:ascii="Arial" w:eastAsia="Calibri" w:hAnsi="Arial" w:cs="Arial"/>
          <w:sz w:val="22"/>
          <w:szCs w:val="22"/>
          <w:lang w:val="es-EC"/>
        </w:rPr>
      </w:pPr>
      <w:r w:rsidRPr="002250EB">
        <w:rPr>
          <w:rFonts w:ascii="Arial" w:eastAsia="Calibri" w:hAnsi="Arial" w:cs="Arial"/>
          <w:sz w:val="22"/>
          <w:szCs w:val="22"/>
          <w:lang w:val="es-EC"/>
        </w:rPr>
        <w:t xml:space="preserve">En la publicación de </w:t>
      </w:r>
      <w:proofErr w:type="spellStart"/>
      <w:r w:rsidRPr="002250EB">
        <w:rPr>
          <w:rFonts w:ascii="Arial" w:eastAsia="Calibri" w:hAnsi="Arial" w:cs="Arial"/>
          <w:i/>
          <w:sz w:val="22"/>
          <w:szCs w:val="22"/>
          <w:lang w:val="es-EC"/>
        </w:rPr>
        <w:t>Bozec</w:t>
      </w:r>
      <w:proofErr w:type="spellEnd"/>
      <w:r w:rsidRPr="002250EB">
        <w:rPr>
          <w:rFonts w:ascii="Arial" w:eastAsia="Calibri" w:hAnsi="Arial" w:cs="Arial"/>
          <w:i/>
          <w:sz w:val="22"/>
          <w:szCs w:val="22"/>
          <w:lang w:val="es-EC"/>
        </w:rPr>
        <w:t xml:space="preserve"> &amp; Breton (2003)</w:t>
      </w:r>
      <w:r w:rsidRPr="002250EB">
        <w:rPr>
          <w:rFonts w:ascii="Arial" w:eastAsia="Calibri" w:hAnsi="Arial" w:cs="Arial"/>
          <w:sz w:val="22"/>
          <w:szCs w:val="22"/>
          <w:lang w:val="es-EC"/>
        </w:rPr>
        <w:t>, el Rendimiento de las ventas– en base al EBITE</w:t>
      </w:r>
      <w:r w:rsidR="002250EB" w:rsidRPr="002250EB">
        <w:rPr>
          <w:rFonts w:ascii="Arial" w:eastAsia="Calibri" w:hAnsi="Arial" w:cs="Arial"/>
          <w:sz w:val="22"/>
          <w:szCs w:val="22"/>
          <w:lang w:val="es-EC"/>
        </w:rPr>
        <w:t>-</w:t>
      </w:r>
      <w:r w:rsidRPr="002250EB">
        <w:rPr>
          <w:rFonts w:ascii="Arial" w:eastAsia="Calibri" w:hAnsi="Arial" w:cs="Arial"/>
          <w:b/>
          <w:sz w:val="22"/>
          <w:szCs w:val="22"/>
          <w:lang w:val="es-EC"/>
        </w:rPr>
        <w:t xml:space="preserve"> </w:t>
      </w:r>
      <w:r w:rsidRPr="002250EB">
        <w:rPr>
          <w:rFonts w:ascii="Arial" w:eastAsia="Calibri" w:hAnsi="Arial" w:cs="Arial"/>
          <w:sz w:val="22"/>
          <w:szCs w:val="22"/>
          <w:lang w:val="es-EC"/>
        </w:rPr>
        <w:t xml:space="preserve">se obtiene como el cociente entre el EBITE y las </w:t>
      </w:r>
      <w:r w:rsidRPr="002250EB">
        <w:rPr>
          <w:rFonts w:ascii="Arial" w:hAnsi="Arial" w:cs="Arial"/>
          <w:sz w:val="22"/>
          <w:szCs w:val="22"/>
          <w:lang w:val="es-EC"/>
        </w:rPr>
        <w:t xml:space="preserve">Ventas reales de la empresa a nivel anual (VR). Este indicador analiza la </w:t>
      </w:r>
      <w:r w:rsidRPr="002250EB">
        <w:rPr>
          <w:rFonts w:ascii="Arial" w:eastAsia="Calibri" w:hAnsi="Arial" w:cs="Arial"/>
          <w:sz w:val="22"/>
          <w:szCs w:val="22"/>
          <w:lang w:val="es-EC"/>
        </w:rPr>
        <w:t>proporción de los ingresos de la empresa</w:t>
      </w:r>
      <w:r w:rsidR="002250EB" w:rsidRPr="002250EB">
        <w:rPr>
          <w:rFonts w:ascii="Arial" w:eastAsia="Calibri" w:hAnsi="Arial" w:cs="Arial"/>
          <w:sz w:val="22"/>
          <w:szCs w:val="22"/>
          <w:lang w:val="es-EC"/>
        </w:rPr>
        <w:t>,</w:t>
      </w:r>
      <w:r w:rsidRPr="002250EB">
        <w:rPr>
          <w:rFonts w:ascii="Arial" w:eastAsia="Calibri" w:hAnsi="Arial" w:cs="Arial"/>
          <w:sz w:val="22"/>
          <w:szCs w:val="22"/>
          <w:lang w:val="es-EC"/>
        </w:rPr>
        <w:t xml:space="preserve"> que se convierten efectivamente en ganancias de una empresa pública.</w:t>
      </w:r>
      <w:r w:rsidRPr="002250EB">
        <w:rPr>
          <w:rFonts w:ascii="Arial" w:hAnsi="Arial" w:cs="Arial"/>
          <w:sz w:val="22"/>
          <w:szCs w:val="22"/>
          <w:lang w:val="es-EC"/>
        </w:rPr>
        <w:t xml:space="preserve"> Para el cálculo de este indicador se </w:t>
      </w:r>
      <w:r w:rsidRPr="0055199D">
        <w:rPr>
          <w:rFonts w:ascii="Arial" w:hAnsi="Arial" w:cs="Arial"/>
          <w:sz w:val="22"/>
          <w:szCs w:val="22"/>
          <w:lang w:val="es-EC"/>
        </w:rPr>
        <w:t xml:space="preserve">utiliza la información contenida en </w:t>
      </w:r>
      <w:r w:rsidR="002250EB" w:rsidRPr="0055199D">
        <w:rPr>
          <w:rFonts w:ascii="Arial" w:eastAsia="Calibri" w:hAnsi="Arial" w:cs="Arial"/>
          <w:sz w:val="22"/>
          <w:szCs w:val="22"/>
          <w:lang w:val="es-EC"/>
        </w:rPr>
        <w:t>los Balances de situación y r</w:t>
      </w:r>
      <w:r w:rsidRPr="0055199D">
        <w:rPr>
          <w:rFonts w:ascii="Arial" w:eastAsia="Calibri" w:hAnsi="Arial" w:cs="Arial"/>
          <w:sz w:val="22"/>
          <w:szCs w:val="22"/>
          <w:lang w:val="es-EC"/>
        </w:rPr>
        <w:t>esultados.</w:t>
      </w:r>
    </w:p>
    <w:p w14:paraId="59F69B0B" w14:textId="64A6D1C2" w:rsidR="002B31F7" w:rsidRPr="0055199D" w:rsidRDefault="002B31F7" w:rsidP="00B02122">
      <w:pPr>
        <w:pStyle w:val="ListParagraph"/>
        <w:spacing w:after="160"/>
        <w:jc w:val="both"/>
        <w:rPr>
          <w:rFonts w:ascii="Arial" w:eastAsia="Calibri" w:hAnsi="Arial" w:cs="Arial"/>
          <w:sz w:val="22"/>
          <w:szCs w:val="22"/>
          <w:lang w:val="es-EC"/>
        </w:rPr>
      </w:pPr>
    </w:p>
    <w:p w14:paraId="0928A0EF" w14:textId="3B060764" w:rsidR="002B31F7" w:rsidRPr="0055199D" w:rsidRDefault="002B31F7" w:rsidP="00B02122">
      <w:pPr>
        <w:pStyle w:val="ListParagraph"/>
        <w:numPr>
          <w:ilvl w:val="1"/>
          <w:numId w:val="10"/>
        </w:numPr>
        <w:spacing w:after="160"/>
        <w:ind w:left="720" w:hanging="720"/>
        <w:jc w:val="both"/>
        <w:rPr>
          <w:rFonts w:ascii="Arial" w:eastAsia="Calibri" w:hAnsi="Arial" w:cs="Arial"/>
          <w:sz w:val="22"/>
          <w:szCs w:val="22"/>
          <w:lang w:val="es-EC"/>
        </w:rPr>
      </w:pPr>
      <w:r w:rsidRPr="0055199D">
        <w:rPr>
          <w:rFonts w:ascii="Arial" w:eastAsia="Calibri" w:hAnsi="Arial" w:cs="Arial"/>
          <w:b/>
          <w:sz w:val="22"/>
          <w:szCs w:val="22"/>
          <w:lang w:val="es-EC"/>
        </w:rPr>
        <w:t xml:space="preserve">Eficiencia: </w:t>
      </w:r>
      <w:r w:rsidRPr="0055199D">
        <w:rPr>
          <w:rFonts w:ascii="Arial" w:eastAsia="Calibri" w:hAnsi="Arial" w:cs="Arial"/>
          <w:sz w:val="22"/>
          <w:szCs w:val="22"/>
          <w:lang w:val="es-EC"/>
        </w:rPr>
        <w:t>De acuerdo</w:t>
      </w:r>
      <w:r w:rsidR="00FD097C" w:rsidRPr="0055199D">
        <w:rPr>
          <w:rFonts w:ascii="Arial" w:eastAsia="Calibri" w:hAnsi="Arial" w:cs="Arial"/>
          <w:sz w:val="22"/>
          <w:szCs w:val="22"/>
          <w:lang w:val="es-EC"/>
        </w:rPr>
        <w:t xml:space="preserve"> </w:t>
      </w:r>
      <w:r w:rsidRPr="0055199D">
        <w:rPr>
          <w:rFonts w:ascii="Arial" w:eastAsia="Calibri" w:hAnsi="Arial" w:cs="Arial"/>
          <w:sz w:val="22"/>
          <w:szCs w:val="22"/>
          <w:lang w:val="es-EC"/>
        </w:rPr>
        <w:t xml:space="preserve">a la investigación de </w:t>
      </w:r>
      <w:r w:rsidRPr="0055199D">
        <w:rPr>
          <w:rFonts w:ascii="Arial" w:eastAsia="Calibri" w:hAnsi="Arial" w:cs="Arial"/>
          <w:i/>
          <w:sz w:val="22"/>
          <w:szCs w:val="22"/>
          <w:lang w:val="es-EC"/>
        </w:rPr>
        <w:t>García Tabuenca &amp; Crespo Espert (2008),</w:t>
      </w:r>
      <w:r w:rsidRPr="0055199D">
        <w:rPr>
          <w:rFonts w:ascii="Arial" w:eastAsia="Calibri" w:hAnsi="Arial" w:cs="Arial"/>
          <w:sz w:val="22"/>
          <w:szCs w:val="22"/>
          <w:lang w:val="es-EC"/>
        </w:rPr>
        <w:t xml:space="preserve"> este indicador se compone de dos indicadores previos: rentabilidad económica y rentabilidad financiera. La rentabilidad económica se la concibe como la adecuada utilización de la inversión física en activos fijos y activos circulantes. Se entiende como inmovilizado (activos fijos) a las existencias de materias primas que se mantienen en los almacenes de las empresas y el circulante son bienes y derechos líquidos de una empresa. </w:t>
      </w:r>
    </w:p>
    <w:p w14:paraId="5DFB3A57" w14:textId="77777777" w:rsidR="0081138F" w:rsidRPr="0055199D" w:rsidRDefault="0081138F" w:rsidP="00B02122">
      <w:pPr>
        <w:pStyle w:val="ListParagraph"/>
        <w:spacing w:after="160"/>
        <w:jc w:val="both"/>
        <w:rPr>
          <w:rFonts w:ascii="Arial" w:eastAsia="Calibri" w:hAnsi="Arial" w:cs="Arial"/>
          <w:sz w:val="22"/>
          <w:szCs w:val="22"/>
          <w:lang w:val="es-EC"/>
        </w:rPr>
      </w:pPr>
    </w:p>
    <w:p w14:paraId="24BFAC14" w14:textId="0EE6AEF3" w:rsidR="0081138F" w:rsidRPr="0055199D" w:rsidRDefault="0055199D" w:rsidP="00B02122">
      <w:pPr>
        <w:pStyle w:val="ListParagraph"/>
        <w:spacing w:after="160"/>
        <w:jc w:val="both"/>
        <w:rPr>
          <w:rFonts w:ascii="Arial" w:eastAsia="Calibri" w:hAnsi="Arial" w:cs="Arial"/>
          <w:sz w:val="22"/>
          <w:szCs w:val="22"/>
          <w:lang w:val="es-EC"/>
        </w:rPr>
      </w:pPr>
      <w:r w:rsidRPr="0055199D">
        <w:rPr>
          <w:rFonts w:ascii="Arial" w:eastAsia="Calibri" w:hAnsi="Arial" w:cs="Arial"/>
          <w:sz w:val="22"/>
          <w:szCs w:val="22"/>
          <w:lang w:val="es-EC"/>
        </w:rPr>
        <w:t>L</w:t>
      </w:r>
      <w:r w:rsidR="00391F03" w:rsidRPr="0055199D">
        <w:rPr>
          <w:rFonts w:ascii="Arial" w:eastAsia="Calibri" w:hAnsi="Arial" w:cs="Arial"/>
          <w:sz w:val="22"/>
          <w:szCs w:val="22"/>
          <w:lang w:val="es-EC"/>
        </w:rPr>
        <w:t>a rentabilidad financiera indica el excedente de libre disposición para el empresario como retribución al riesgo asumido. Entonces, es el ratio del resultado neto anual de la empresa dividida para los fondos propios en que incurrió la empresa durante ese año. Si los dos ratios previamente mencionados son mayores a uno</w:t>
      </w:r>
      <w:r w:rsidR="0081138F" w:rsidRPr="0055199D">
        <w:rPr>
          <w:rFonts w:ascii="Arial" w:eastAsia="Calibri" w:hAnsi="Arial" w:cs="Arial"/>
          <w:sz w:val="22"/>
          <w:szCs w:val="22"/>
          <w:lang w:val="es-EC"/>
        </w:rPr>
        <w:t>,</w:t>
      </w:r>
      <w:r w:rsidR="00391F03" w:rsidRPr="0055199D">
        <w:rPr>
          <w:rFonts w:ascii="Arial" w:eastAsia="Calibri" w:hAnsi="Arial" w:cs="Arial"/>
          <w:sz w:val="22"/>
          <w:szCs w:val="22"/>
          <w:lang w:val="es-EC"/>
        </w:rPr>
        <w:t xml:space="preserve"> entonces se tendrá eficiencia.</w:t>
      </w:r>
      <w:r w:rsidR="00E3593A" w:rsidRPr="0055199D">
        <w:rPr>
          <w:rFonts w:ascii="Arial" w:eastAsia="Calibri" w:hAnsi="Arial" w:cs="Arial"/>
          <w:sz w:val="22"/>
          <w:szCs w:val="22"/>
          <w:lang w:val="es-EC"/>
        </w:rPr>
        <w:t xml:space="preserve"> </w:t>
      </w:r>
    </w:p>
    <w:p w14:paraId="42D250FB" w14:textId="77777777" w:rsidR="0055199D" w:rsidRPr="0055199D" w:rsidRDefault="0055199D" w:rsidP="00B02122">
      <w:pPr>
        <w:pStyle w:val="ListParagraph"/>
        <w:spacing w:after="160"/>
        <w:jc w:val="both"/>
        <w:rPr>
          <w:rFonts w:ascii="Arial" w:eastAsia="Calibri" w:hAnsi="Arial" w:cs="Arial"/>
          <w:sz w:val="22"/>
          <w:szCs w:val="22"/>
          <w:lang w:val="es-EC"/>
        </w:rPr>
      </w:pPr>
    </w:p>
    <w:p w14:paraId="16A109A8" w14:textId="4FFB848D" w:rsidR="00E3593A" w:rsidRPr="005923F3" w:rsidRDefault="00391F03" w:rsidP="00B02122">
      <w:pPr>
        <w:pStyle w:val="ListParagraph"/>
        <w:spacing w:after="160"/>
        <w:jc w:val="both"/>
        <w:rPr>
          <w:rFonts w:ascii="Arial" w:eastAsia="Calibri" w:hAnsi="Arial" w:cs="Arial"/>
          <w:sz w:val="22"/>
          <w:szCs w:val="22"/>
          <w:lang w:val="es-EC"/>
        </w:rPr>
      </w:pPr>
      <w:r w:rsidRPr="0055199D">
        <w:rPr>
          <w:rFonts w:ascii="Arial" w:eastAsia="Calibri" w:hAnsi="Arial" w:cs="Arial"/>
          <w:sz w:val="22"/>
          <w:szCs w:val="22"/>
          <w:lang w:val="es-EC"/>
        </w:rPr>
        <w:t>Los datos para realizar esta estimación se</w:t>
      </w:r>
      <w:r w:rsidR="0055199D" w:rsidRPr="0055199D">
        <w:rPr>
          <w:rFonts w:ascii="Arial" w:eastAsia="Calibri" w:hAnsi="Arial" w:cs="Arial"/>
          <w:sz w:val="22"/>
          <w:szCs w:val="22"/>
          <w:lang w:val="es-EC"/>
        </w:rPr>
        <w:t xml:space="preserve"> los puede obtener del Balance general o de situación y el estado de r</w:t>
      </w:r>
      <w:r w:rsidRPr="0055199D">
        <w:rPr>
          <w:rFonts w:ascii="Arial" w:eastAsia="Calibri" w:hAnsi="Arial" w:cs="Arial"/>
          <w:sz w:val="22"/>
          <w:szCs w:val="22"/>
          <w:lang w:val="es-EC"/>
        </w:rPr>
        <w:t xml:space="preserve">esultados. Del Balance </w:t>
      </w:r>
      <w:r w:rsidR="0055199D" w:rsidRPr="0055199D">
        <w:rPr>
          <w:rFonts w:ascii="Arial" w:eastAsia="Calibri" w:hAnsi="Arial" w:cs="Arial"/>
          <w:sz w:val="22"/>
          <w:szCs w:val="22"/>
          <w:lang w:val="es-EC"/>
        </w:rPr>
        <w:t>g</w:t>
      </w:r>
      <w:r w:rsidRPr="0055199D">
        <w:rPr>
          <w:rFonts w:ascii="Arial" w:eastAsia="Calibri" w:hAnsi="Arial" w:cs="Arial"/>
          <w:sz w:val="22"/>
          <w:szCs w:val="22"/>
          <w:lang w:val="es-EC"/>
        </w:rPr>
        <w:t xml:space="preserve">eneral se puede tomar: activos fijos, activos circulantes y fondos propios, del Estado de Resultado se puede tomar el beneficio neto de las empresas. Estos dos informes financieros los publican las empresas públicas anualmente. De acuerdo a la investigación de </w:t>
      </w:r>
      <w:r w:rsidRPr="0055199D">
        <w:rPr>
          <w:rFonts w:ascii="Arial" w:eastAsia="Calibri" w:hAnsi="Arial" w:cs="Arial"/>
          <w:i/>
          <w:sz w:val="22"/>
          <w:szCs w:val="22"/>
          <w:lang w:val="es-EC"/>
        </w:rPr>
        <w:t xml:space="preserve">García Tabuenca &amp; Crespo Espert (2008), </w:t>
      </w:r>
      <w:r w:rsidRPr="0055199D">
        <w:rPr>
          <w:rFonts w:ascii="Arial" w:eastAsia="Calibri" w:hAnsi="Arial" w:cs="Arial"/>
          <w:sz w:val="22"/>
          <w:szCs w:val="22"/>
          <w:lang w:val="es-EC"/>
        </w:rPr>
        <w:t>para medir la eficiencia de las operaciones de las empresas se tiene dos índices: eficiencia de ventas y eficiencia de ingresos netos. La primera va a cuantificar las ventas reales que realizó la empresa durante ese año, cuantifica la productividad real de los empleados</w:t>
      </w:r>
      <w:r w:rsidR="0055199D" w:rsidRPr="0055199D">
        <w:rPr>
          <w:rFonts w:ascii="Arial" w:eastAsia="Calibri" w:hAnsi="Arial" w:cs="Arial"/>
          <w:sz w:val="22"/>
          <w:szCs w:val="22"/>
          <w:lang w:val="es-EC"/>
        </w:rPr>
        <w:t>;</w:t>
      </w:r>
      <w:r w:rsidRPr="0055199D">
        <w:rPr>
          <w:rFonts w:ascii="Arial" w:eastAsia="Calibri" w:hAnsi="Arial" w:cs="Arial"/>
          <w:sz w:val="22"/>
          <w:szCs w:val="22"/>
          <w:lang w:val="es-EC"/>
        </w:rPr>
        <w:t xml:space="preserve"> y</w:t>
      </w:r>
      <w:r w:rsidR="0055199D" w:rsidRPr="0055199D">
        <w:rPr>
          <w:rFonts w:ascii="Arial" w:eastAsia="Calibri" w:hAnsi="Arial" w:cs="Arial"/>
          <w:sz w:val="22"/>
          <w:szCs w:val="22"/>
          <w:lang w:val="es-EC"/>
        </w:rPr>
        <w:t>,</w:t>
      </w:r>
      <w:r w:rsidRPr="0055199D">
        <w:rPr>
          <w:rFonts w:ascii="Arial" w:eastAsia="Calibri" w:hAnsi="Arial" w:cs="Arial"/>
          <w:sz w:val="22"/>
          <w:szCs w:val="22"/>
          <w:lang w:val="es-EC"/>
        </w:rPr>
        <w:t xml:space="preserve"> es el ratio entre las ventas reales de la empresa en un año y el número de empleados. La eficiencia de ingresos netos calcula el beneficio que aportó cada empleado a la empresa y es el ratio entre el beneficio neto para el número de empleados. Para la construcción de estos indicadores se puede </w:t>
      </w:r>
      <w:r w:rsidR="0055199D" w:rsidRPr="0055199D">
        <w:rPr>
          <w:rFonts w:ascii="Arial" w:eastAsia="Calibri" w:hAnsi="Arial" w:cs="Arial"/>
          <w:sz w:val="22"/>
          <w:szCs w:val="22"/>
          <w:lang w:val="es-EC"/>
        </w:rPr>
        <w:t>utilizar el Estado de r</w:t>
      </w:r>
      <w:r w:rsidRPr="0055199D">
        <w:rPr>
          <w:rFonts w:ascii="Arial" w:eastAsia="Calibri" w:hAnsi="Arial" w:cs="Arial"/>
          <w:sz w:val="22"/>
          <w:szCs w:val="22"/>
          <w:lang w:val="es-EC"/>
        </w:rPr>
        <w:t>esultados que presen</w:t>
      </w:r>
      <w:r w:rsidRPr="005923F3">
        <w:rPr>
          <w:rFonts w:ascii="Arial" w:eastAsia="Calibri" w:hAnsi="Arial" w:cs="Arial"/>
          <w:sz w:val="22"/>
          <w:szCs w:val="22"/>
          <w:lang w:val="es-EC"/>
        </w:rPr>
        <w:t>ta cada empresa pública de forma anual.</w:t>
      </w:r>
    </w:p>
    <w:p w14:paraId="67E247EE" w14:textId="77777777" w:rsidR="002B31F7" w:rsidRPr="005923F3" w:rsidRDefault="002B31F7" w:rsidP="00B02122">
      <w:pPr>
        <w:pStyle w:val="ListParagraph"/>
        <w:spacing w:after="160"/>
        <w:jc w:val="both"/>
        <w:rPr>
          <w:rFonts w:ascii="Arial" w:eastAsia="Calibri" w:hAnsi="Arial" w:cs="Arial"/>
          <w:sz w:val="22"/>
          <w:szCs w:val="22"/>
          <w:lang w:val="es-EC"/>
        </w:rPr>
      </w:pPr>
    </w:p>
    <w:p w14:paraId="2575D5C8" w14:textId="696A8698" w:rsidR="00E3593A" w:rsidRPr="005923F3" w:rsidRDefault="00391F03" w:rsidP="00B02122">
      <w:pPr>
        <w:pStyle w:val="ListParagraph"/>
        <w:numPr>
          <w:ilvl w:val="1"/>
          <w:numId w:val="10"/>
        </w:numPr>
        <w:spacing w:after="160"/>
        <w:ind w:left="709" w:hanging="709"/>
        <w:jc w:val="both"/>
        <w:rPr>
          <w:rFonts w:ascii="Arial" w:eastAsia="Calibri" w:hAnsi="Arial" w:cs="Arial"/>
          <w:b/>
          <w:sz w:val="22"/>
          <w:szCs w:val="22"/>
          <w:lang w:val="es-EC"/>
        </w:rPr>
      </w:pPr>
      <w:r w:rsidRPr="005923F3">
        <w:rPr>
          <w:rFonts w:ascii="Arial" w:eastAsia="Calibri" w:hAnsi="Arial" w:cs="Arial"/>
          <w:b/>
          <w:sz w:val="22"/>
          <w:szCs w:val="22"/>
          <w:lang w:val="es-EC"/>
        </w:rPr>
        <w:lastRenderedPageBreak/>
        <w:t>La eficiencia de activos</w:t>
      </w:r>
      <w:r w:rsidR="00E3593A" w:rsidRPr="005923F3">
        <w:rPr>
          <w:rFonts w:ascii="Arial" w:eastAsia="Calibri" w:hAnsi="Arial" w:cs="Arial"/>
          <w:b/>
          <w:sz w:val="22"/>
          <w:szCs w:val="22"/>
          <w:lang w:val="es-EC"/>
        </w:rPr>
        <w:t xml:space="preserve">. </w:t>
      </w:r>
      <w:r w:rsidRPr="005923F3">
        <w:rPr>
          <w:rFonts w:ascii="Arial" w:eastAsia="Calibri" w:hAnsi="Arial" w:cs="Arial"/>
          <w:sz w:val="22"/>
          <w:szCs w:val="22"/>
          <w:lang w:val="es-EC"/>
        </w:rPr>
        <w:t xml:space="preserve">En la publicación de </w:t>
      </w:r>
      <w:proofErr w:type="spellStart"/>
      <w:r w:rsidRPr="005923F3">
        <w:rPr>
          <w:rFonts w:ascii="Arial" w:eastAsia="Calibri" w:hAnsi="Arial" w:cs="Arial"/>
          <w:i/>
          <w:sz w:val="22"/>
          <w:szCs w:val="22"/>
          <w:lang w:val="es-EC"/>
        </w:rPr>
        <w:t>Bozec</w:t>
      </w:r>
      <w:proofErr w:type="spellEnd"/>
      <w:r w:rsidRPr="005923F3">
        <w:rPr>
          <w:rFonts w:ascii="Arial" w:eastAsia="Calibri" w:hAnsi="Arial" w:cs="Arial"/>
          <w:i/>
          <w:sz w:val="22"/>
          <w:szCs w:val="22"/>
          <w:lang w:val="es-EC"/>
        </w:rPr>
        <w:t xml:space="preserve"> &amp; Breton (2003)</w:t>
      </w:r>
      <w:r w:rsidRPr="005923F3">
        <w:rPr>
          <w:rFonts w:ascii="Arial" w:eastAsia="Calibri" w:hAnsi="Arial" w:cs="Arial"/>
          <w:sz w:val="22"/>
          <w:szCs w:val="22"/>
          <w:lang w:val="es-EC"/>
        </w:rPr>
        <w:t>, el ROA – en base</w:t>
      </w:r>
      <w:r w:rsidR="005923F3" w:rsidRPr="005923F3">
        <w:rPr>
          <w:rFonts w:ascii="Arial" w:eastAsia="Calibri" w:hAnsi="Arial" w:cs="Arial"/>
          <w:sz w:val="22"/>
          <w:szCs w:val="22"/>
          <w:lang w:val="es-EC"/>
        </w:rPr>
        <w:t xml:space="preserve"> </w:t>
      </w:r>
      <w:r w:rsidRPr="005923F3">
        <w:rPr>
          <w:rFonts w:ascii="Arial" w:eastAsia="Calibri" w:hAnsi="Arial" w:cs="Arial"/>
          <w:sz w:val="22"/>
          <w:szCs w:val="22"/>
          <w:lang w:val="es-EC"/>
        </w:rPr>
        <w:t xml:space="preserve">al EBITE </w:t>
      </w:r>
      <w:r w:rsidR="005923F3" w:rsidRPr="005923F3">
        <w:rPr>
          <w:rFonts w:ascii="Arial" w:eastAsia="Calibri" w:hAnsi="Arial" w:cs="Arial"/>
          <w:sz w:val="22"/>
          <w:szCs w:val="22"/>
          <w:lang w:val="es-EC"/>
        </w:rPr>
        <w:t xml:space="preserve">- </w:t>
      </w:r>
      <w:r w:rsidRPr="005923F3">
        <w:rPr>
          <w:rFonts w:ascii="Arial" w:eastAsia="Calibri" w:hAnsi="Arial" w:cs="Arial"/>
          <w:sz w:val="22"/>
          <w:szCs w:val="22"/>
          <w:lang w:val="es-EC"/>
        </w:rPr>
        <w:t>se define como el cociente entre el EBITE y el Total de activos (TA), y representa la eficiencia de los activos totales de una empresa con respecto a empresas de propiedad estatal.</w:t>
      </w:r>
      <w:r w:rsidR="00E3593A" w:rsidRPr="005923F3">
        <w:rPr>
          <w:rFonts w:ascii="Arial" w:eastAsia="Calibri" w:hAnsi="Arial" w:cs="Arial"/>
          <w:sz w:val="22"/>
          <w:szCs w:val="22"/>
          <w:lang w:val="es-EC"/>
        </w:rPr>
        <w:t xml:space="preserve"> </w:t>
      </w:r>
    </w:p>
    <w:p w14:paraId="7A41CADE" w14:textId="77777777" w:rsidR="008F0AA1" w:rsidRPr="005923F3" w:rsidRDefault="008F0AA1" w:rsidP="00B02122">
      <w:pPr>
        <w:pStyle w:val="ListParagraph"/>
        <w:spacing w:after="160"/>
        <w:ind w:left="709"/>
        <w:jc w:val="both"/>
        <w:rPr>
          <w:rFonts w:ascii="Arial" w:eastAsia="Calibri" w:hAnsi="Arial" w:cs="Arial"/>
          <w:b/>
          <w:sz w:val="22"/>
          <w:szCs w:val="22"/>
          <w:lang w:val="es-EC"/>
        </w:rPr>
      </w:pPr>
    </w:p>
    <w:p w14:paraId="146E762C" w14:textId="0272416A" w:rsidR="00343F80" w:rsidRPr="005923F3" w:rsidRDefault="00391F03" w:rsidP="00B02122">
      <w:pPr>
        <w:pStyle w:val="ListParagraph"/>
        <w:spacing w:after="160"/>
        <w:ind w:left="709"/>
        <w:jc w:val="both"/>
        <w:rPr>
          <w:rFonts w:ascii="Arial" w:eastAsia="Calibri" w:hAnsi="Arial" w:cs="Arial"/>
          <w:sz w:val="22"/>
          <w:szCs w:val="22"/>
          <w:lang w:val="es-EC"/>
        </w:rPr>
      </w:pPr>
      <w:r w:rsidRPr="005923F3">
        <w:rPr>
          <w:rFonts w:ascii="Arial" w:eastAsia="Calibri" w:hAnsi="Arial" w:cs="Arial"/>
          <w:sz w:val="22"/>
          <w:szCs w:val="22"/>
          <w:lang w:val="es-EC"/>
        </w:rPr>
        <w:t xml:space="preserve">La rotación de activos se calcula como la división entre las Ventas reales de la empresa a nivel anual (VR) y el Total de activos (TA). En la publicación de </w:t>
      </w:r>
      <w:proofErr w:type="spellStart"/>
      <w:r w:rsidRPr="005923F3">
        <w:rPr>
          <w:rFonts w:ascii="Arial" w:eastAsia="Calibri" w:hAnsi="Arial" w:cs="Arial"/>
          <w:i/>
          <w:sz w:val="22"/>
          <w:szCs w:val="22"/>
          <w:lang w:val="es-EC"/>
        </w:rPr>
        <w:t>Bozec</w:t>
      </w:r>
      <w:proofErr w:type="spellEnd"/>
      <w:r w:rsidRPr="005923F3">
        <w:rPr>
          <w:rFonts w:ascii="Arial" w:eastAsia="Calibri" w:hAnsi="Arial" w:cs="Arial"/>
          <w:i/>
          <w:sz w:val="22"/>
          <w:szCs w:val="22"/>
          <w:lang w:val="es-EC"/>
        </w:rPr>
        <w:t xml:space="preserve"> &amp; Breton (2003)</w:t>
      </w:r>
      <w:r w:rsidRPr="005923F3">
        <w:rPr>
          <w:rFonts w:ascii="Arial" w:eastAsia="Calibri" w:hAnsi="Arial" w:cs="Arial"/>
          <w:sz w:val="22"/>
          <w:szCs w:val="22"/>
          <w:lang w:val="es-EC"/>
        </w:rPr>
        <w:t>, este indicador se utiliza para reflejar la eficacia de la empresa en la gestión de sus activos para generar ventas. La información para calcular este valor pued</w:t>
      </w:r>
      <w:r w:rsidR="005923F3" w:rsidRPr="005923F3">
        <w:rPr>
          <w:rFonts w:ascii="Arial" w:eastAsia="Calibri" w:hAnsi="Arial" w:cs="Arial"/>
          <w:sz w:val="22"/>
          <w:szCs w:val="22"/>
          <w:lang w:val="es-EC"/>
        </w:rPr>
        <w:t>e obtenerse en los Balances de situación y r</w:t>
      </w:r>
      <w:r w:rsidRPr="005923F3">
        <w:rPr>
          <w:rFonts w:ascii="Arial" w:eastAsia="Calibri" w:hAnsi="Arial" w:cs="Arial"/>
          <w:sz w:val="22"/>
          <w:szCs w:val="22"/>
          <w:lang w:val="es-EC"/>
        </w:rPr>
        <w:t>esultados de las empresas a considerar.</w:t>
      </w:r>
    </w:p>
    <w:p w14:paraId="4CB34405" w14:textId="77777777" w:rsidR="002B31F7" w:rsidRPr="009217B1" w:rsidRDefault="002B31F7" w:rsidP="00B02122">
      <w:pPr>
        <w:pStyle w:val="ListParagraph"/>
        <w:spacing w:after="160"/>
        <w:ind w:left="709"/>
        <w:jc w:val="both"/>
        <w:rPr>
          <w:rFonts w:ascii="Arial" w:eastAsia="Calibri" w:hAnsi="Arial" w:cs="Arial"/>
          <w:sz w:val="22"/>
          <w:szCs w:val="22"/>
          <w:lang w:val="es-EC"/>
        </w:rPr>
      </w:pPr>
    </w:p>
    <w:p w14:paraId="1BB4C91E" w14:textId="1725C210" w:rsidR="00E3593A" w:rsidRPr="009217B1" w:rsidRDefault="00391F03" w:rsidP="00B02122">
      <w:pPr>
        <w:pStyle w:val="ListParagraph"/>
        <w:numPr>
          <w:ilvl w:val="1"/>
          <w:numId w:val="10"/>
        </w:numPr>
        <w:spacing w:after="160"/>
        <w:ind w:left="709" w:hanging="709"/>
        <w:jc w:val="both"/>
        <w:rPr>
          <w:rFonts w:ascii="Arial" w:eastAsia="Calibri" w:hAnsi="Arial" w:cs="Arial"/>
          <w:sz w:val="22"/>
          <w:szCs w:val="22"/>
          <w:lang w:val="es-EC"/>
        </w:rPr>
      </w:pPr>
      <w:r w:rsidRPr="009217B1">
        <w:rPr>
          <w:rFonts w:ascii="Arial" w:eastAsia="Calibri" w:hAnsi="Arial" w:cs="Arial"/>
          <w:b/>
          <w:sz w:val="22"/>
          <w:szCs w:val="22"/>
          <w:lang w:val="es-EC"/>
        </w:rPr>
        <w:t>Productividad</w:t>
      </w:r>
      <w:r w:rsidRPr="009217B1">
        <w:rPr>
          <w:rFonts w:ascii="Arial" w:eastAsia="Calibri" w:hAnsi="Arial" w:cs="Arial"/>
          <w:sz w:val="22"/>
          <w:szCs w:val="22"/>
          <w:lang w:val="es-EC"/>
        </w:rPr>
        <w:t>:</w:t>
      </w:r>
      <w:r w:rsidR="00E3593A" w:rsidRPr="009217B1">
        <w:rPr>
          <w:rFonts w:ascii="Arial" w:eastAsia="Calibri" w:hAnsi="Arial" w:cs="Arial"/>
          <w:sz w:val="22"/>
          <w:szCs w:val="22"/>
          <w:lang w:val="es-EC"/>
        </w:rPr>
        <w:t xml:space="preserve"> </w:t>
      </w:r>
      <w:r w:rsidRPr="009217B1">
        <w:rPr>
          <w:rFonts w:ascii="Arial" w:eastAsia="Calibri" w:hAnsi="Arial" w:cs="Arial"/>
          <w:sz w:val="22"/>
          <w:szCs w:val="22"/>
          <w:lang w:val="es-EC"/>
        </w:rPr>
        <w:t xml:space="preserve">De acuerdo a la investigación de </w:t>
      </w:r>
      <w:r w:rsidRPr="009217B1">
        <w:rPr>
          <w:rFonts w:ascii="Arial" w:eastAsia="Calibri" w:hAnsi="Arial" w:cs="Arial"/>
          <w:i/>
          <w:noProof/>
          <w:sz w:val="22"/>
          <w:szCs w:val="22"/>
          <w:lang w:val="es-EC"/>
        </w:rPr>
        <w:t xml:space="preserve">García Tabuenca &amp; Crespo </w:t>
      </w:r>
      <w:r w:rsidRPr="009217B1">
        <w:rPr>
          <w:rFonts w:ascii="Arial" w:eastAsia="Calibri" w:hAnsi="Arial" w:cs="Arial"/>
          <w:i/>
          <w:sz w:val="22"/>
          <w:szCs w:val="22"/>
          <w:lang w:val="es-EC"/>
        </w:rPr>
        <w:t>Espert (2008</w:t>
      </w:r>
      <w:r w:rsidRPr="009217B1">
        <w:rPr>
          <w:rFonts w:ascii="Arial" w:eastAsia="Calibri" w:hAnsi="Arial" w:cs="Arial"/>
          <w:sz w:val="22"/>
          <w:szCs w:val="22"/>
          <w:lang w:val="es-EC"/>
        </w:rPr>
        <w:t>), la productividad refleja la eficiencia empresarial en términos de empleo de capital humano. Mide el valor añadido obtenido por trabajador e indica cómo la adecuada combinación entre el factor humano y la estructura técnica incide en la generación de riqueza de la empresa. El resultado que se obtendrá será la productividad de cada trabajador medido en términos monetarios.</w:t>
      </w:r>
    </w:p>
    <w:p w14:paraId="59F055C9" w14:textId="77777777" w:rsidR="00E3593A" w:rsidRPr="009217B1" w:rsidRDefault="00E3593A" w:rsidP="00B02122">
      <w:pPr>
        <w:pStyle w:val="ListParagraph"/>
        <w:spacing w:after="160"/>
        <w:ind w:hanging="720"/>
        <w:jc w:val="both"/>
        <w:rPr>
          <w:rFonts w:ascii="Arial" w:eastAsia="Calibri" w:hAnsi="Arial" w:cs="Arial"/>
          <w:sz w:val="22"/>
          <w:szCs w:val="22"/>
          <w:lang w:val="es-EC"/>
        </w:rPr>
      </w:pPr>
    </w:p>
    <w:p w14:paraId="11963051" w14:textId="6005E120" w:rsidR="00E3593A" w:rsidRPr="001946B3" w:rsidRDefault="00391F03" w:rsidP="00B02122">
      <w:pPr>
        <w:pStyle w:val="ListParagraph"/>
        <w:spacing w:after="160"/>
        <w:jc w:val="both"/>
        <w:rPr>
          <w:rFonts w:ascii="Arial" w:eastAsia="Calibri" w:hAnsi="Arial" w:cs="Arial"/>
          <w:sz w:val="22"/>
          <w:szCs w:val="22"/>
          <w:lang w:val="es-EC"/>
        </w:rPr>
      </w:pPr>
      <w:r w:rsidRPr="009217B1">
        <w:rPr>
          <w:rFonts w:ascii="Arial" w:eastAsia="Calibri" w:hAnsi="Arial" w:cs="Arial"/>
          <w:sz w:val="22"/>
          <w:szCs w:val="22"/>
          <w:lang w:val="es-EC"/>
        </w:rPr>
        <w:t>Para este indicador</w:t>
      </w:r>
      <w:r w:rsidR="009217B1" w:rsidRPr="009217B1">
        <w:rPr>
          <w:rFonts w:ascii="Arial" w:eastAsia="Calibri" w:hAnsi="Arial" w:cs="Arial"/>
          <w:sz w:val="22"/>
          <w:szCs w:val="22"/>
          <w:lang w:val="es-EC"/>
        </w:rPr>
        <w:t>,</w:t>
      </w:r>
      <w:r w:rsidRPr="009217B1">
        <w:rPr>
          <w:rFonts w:ascii="Arial" w:eastAsia="Calibri" w:hAnsi="Arial" w:cs="Arial"/>
          <w:sz w:val="22"/>
          <w:szCs w:val="22"/>
          <w:lang w:val="es-EC"/>
        </w:rPr>
        <w:t xml:space="preserve"> inicialmente se calcula el ratio entre gastos del personal total sobre el beneficio final neto anual. </w:t>
      </w:r>
      <w:r w:rsidR="009217B1" w:rsidRPr="009217B1">
        <w:rPr>
          <w:rFonts w:ascii="Arial" w:eastAsia="Calibri" w:hAnsi="Arial" w:cs="Arial"/>
          <w:sz w:val="22"/>
          <w:szCs w:val="22"/>
          <w:lang w:val="es-EC"/>
        </w:rPr>
        <w:t>Posteriormente, se compara el</w:t>
      </w:r>
      <w:r w:rsidRPr="009217B1">
        <w:rPr>
          <w:rFonts w:ascii="Arial" w:eastAsia="Calibri" w:hAnsi="Arial" w:cs="Arial"/>
          <w:sz w:val="22"/>
          <w:szCs w:val="22"/>
          <w:lang w:val="es-EC"/>
        </w:rPr>
        <w:t xml:space="preserve"> ratio </w:t>
      </w:r>
      <w:r w:rsidR="009217B1" w:rsidRPr="009217B1">
        <w:rPr>
          <w:rFonts w:ascii="Arial" w:eastAsia="Calibri" w:hAnsi="Arial" w:cs="Arial"/>
          <w:sz w:val="22"/>
          <w:szCs w:val="22"/>
          <w:lang w:val="es-EC"/>
        </w:rPr>
        <w:t>una vez fusio</w:t>
      </w:r>
      <w:r w:rsidRPr="009217B1">
        <w:rPr>
          <w:rFonts w:ascii="Arial" w:eastAsia="Calibri" w:hAnsi="Arial" w:cs="Arial"/>
          <w:sz w:val="22"/>
          <w:szCs w:val="22"/>
          <w:lang w:val="es-EC"/>
        </w:rPr>
        <w:t>n</w:t>
      </w:r>
      <w:r w:rsidR="009217B1" w:rsidRPr="009217B1">
        <w:rPr>
          <w:rFonts w:ascii="Arial" w:eastAsia="Calibri" w:hAnsi="Arial" w:cs="Arial"/>
          <w:sz w:val="22"/>
          <w:szCs w:val="22"/>
          <w:lang w:val="es-EC"/>
        </w:rPr>
        <w:t xml:space="preserve">adas </w:t>
      </w:r>
      <w:r w:rsidRPr="009217B1">
        <w:rPr>
          <w:rFonts w:ascii="Arial" w:eastAsia="Calibri" w:hAnsi="Arial" w:cs="Arial"/>
          <w:sz w:val="22"/>
          <w:szCs w:val="22"/>
          <w:lang w:val="es-EC"/>
        </w:rPr>
        <w:t xml:space="preserve">las </w:t>
      </w:r>
      <w:r w:rsidRPr="001946B3">
        <w:rPr>
          <w:rFonts w:ascii="Arial" w:eastAsia="Calibri" w:hAnsi="Arial" w:cs="Arial"/>
          <w:sz w:val="22"/>
          <w:szCs w:val="22"/>
          <w:lang w:val="es-EC"/>
        </w:rPr>
        <w:t xml:space="preserve">empresas con el de la media (grupo de control). </w:t>
      </w:r>
      <w:r w:rsidR="009217B1" w:rsidRPr="001946B3">
        <w:rPr>
          <w:rFonts w:ascii="Arial" w:eastAsia="Calibri" w:hAnsi="Arial" w:cs="Arial"/>
          <w:sz w:val="22"/>
          <w:szCs w:val="22"/>
          <w:lang w:val="es-EC"/>
        </w:rPr>
        <w:t xml:space="preserve">Esta información </w:t>
      </w:r>
      <w:r w:rsidR="00753980">
        <w:rPr>
          <w:rFonts w:ascii="Arial" w:eastAsia="Calibri" w:hAnsi="Arial" w:cs="Arial"/>
          <w:sz w:val="22"/>
          <w:szCs w:val="22"/>
          <w:lang w:val="es-EC"/>
        </w:rPr>
        <w:t xml:space="preserve">la </w:t>
      </w:r>
      <w:r w:rsidR="009217B1" w:rsidRPr="001946B3">
        <w:rPr>
          <w:rFonts w:ascii="Arial" w:eastAsia="Calibri" w:hAnsi="Arial" w:cs="Arial"/>
          <w:sz w:val="22"/>
          <w:szCs w:val="22"/>
          <w:lang w:val="es-EC"/>
        </w:rPr>
        <w:t>poseen</w:t>
      </w:r>
      <w:r w:rsidRPr="001946B3">
        <w:rPr>
          <w:rFonts w:ascii="Arial" w:eastAsia="Calibri" w:hAnsi="Arial" w:cs="Arial"/>
          <w:sz w:val="22"/>
          <w:szCs w:val="22"/>
          <w:lang w:val="es-EC"/>
        </w:rPr>
        <w:t xml:space="preserve"> las empresas públicas en el Estado de Resultado</w:t>
      </w:r>
      <w:r w:rsidR="009217B1" w:rsidRPr="001946B3">
        <w:rPr>
          <w:rFonts w:ascii="Arial" w:eastAsia="Calibri" w:hAnsi="Arial" w:cs="Arial"/>
          <w:sz w:val="22"/>
          <w:szCs w:val="22"/>
          <w:lang w:val="es-EC"/>
        </w:rPr>
        <w:t>s</w:t>
      </w:r>
      <w:r w:rsidRPr="001946B3">
        <w:rPr>
          <w:rFonts w:ascii="Arial" w:eastAsia="Calibri" w:hAnsi="Arial" w:cs="Arial"/>
          <w:sz w:val="22"/>
          <w:szCs w:val="22"/>
          <w:lang w:val="es-EC"/>
        </w:rPr>
        <w:t>.</w:t>
      </w:r>
      <w:r w:rsidR="00E3593A" w:rsidRPr="001946B3">
        <w:rPr>
          <w:rFonts w:ascii="Arial" w:eastAsia="Calibri" w:hAnsi="Arial" w:cs="Arial"/>
          <w:sz w:val="22"/>
          <w:szCs w:val="22"/>
          <w:lang w:val="es-EC"/>
        </w:rPr>
        <w:t xml:space="preserve"> </w:t>
      </w:r>
    </w:p>
    <w:p w14:paraId="26C47605" w14:textId="77777777" w:rsidR="00E3593A" w:rsidRPr="001946B3" w:rsidRDefault="00E3593A" w:rsidP="00B02122">
      <w:pPr>
        <w:pStyle w:val="ListParagraph"/>
        <w:spacing w:after="160"/>
        <w:ind w:left="360"/>
        <w:jc w:val="both"/>
        <w:rPr>
          <w:rFonts w:ascii="Arial" w:eastAsia="Calibri" w:hAnsi="Arial" w:cs="Arial"/>
          <w:sz w:val="22"/>
          <w:szCs w:val="22"/>
          <w:lang w:val="es-EC"/>
        </w:rPr>
      </w:pPr>
    </w:p>
    <w:p w14:paraId="39FF5CE4" w14:textId="021FFC49" w:rsidR="00E3593A" w:rsidRPr="001946B3" w:rsidRDefault="00391F03" w:rsidP="001946B3">
      <w:pPr>
        <w:pStyle w:val="ListParagraph"/>
        <w:spacing w:after="160"/>
        <w:jc w:val="both"/>
        <w:rPr>
          <w:rFonts w:ascii="Arial" w:eastAsia="Calibri" w:hAnsi="Arial" w:cs="Arial"/>
          <w:sz w:val="22"/>
          <w:szCs w:val="22"/>
          <w:lang w:val="es-EC"/>
        </w:rPr>
      </w:pPr>
      <w:r w:rsidRPr="001946B3">
        <w:rPr>
          <w:rFonts w:ascii="Arial" w:eastAsia="Calibri" w:hAnsi="Arial" w:cs="Arial"/>
          <w:sz w:val="22"/>
          <w:szCs w:val="22"/>
          <w:lang w:val="es-EC"/>
        </w:rPr>
        <w:t xml:space="preserve">De acuerdo a la investigación de </w:t>
      </w:r>
      <w:proofErr w:type="spellStart"/>
      <w:r w:rsidRPr="001946B3">
        <w:rPr>
          <w:rFonts w:ascii="Arial" w:eastAsia="Calibri" w:hAnsi="Arial" w:cs="Arial"/>
          <w:i/>
          <w:sz w:val="22"/>
          <w:szCs w:val="22"/>
          <w:lang w:val="es-EC"/>
        </w:rPr>
        <w:t>Bozec</w:t>
      </w:r>
      <w:proofErr w:type="spellEnd"/>
      <w:r w:rsidRPr="001946B3">
        <w:rPr>
          <w:rFonts w:ascii="Arial" w:eastAsia="Calibri" w:hAnsi="Arial" w:cs="Arial"/>
          <w:i/>
          <w:sz w:val="22"/>
          <w:szCs w:val="22"/>
          <w:lang w:val="es-EC"/>
        </w:rPr>
        <w:t xml:space="preserve"> &amp; Breton (2003),</w:t>
      </w:r>
      <w:r w:rsidRPr="001946B3">
        <w:rPr>
          <w:rFonts w:ascii="Arial" w:eastAsia="Calibri" w:hAnsi="Arial" w:cs="Arial"/>
          <w:sz w:val="22"/>
          <w:szCs w:val="22"/>
          <w:lang w:val="es-EC"/>
        </w:rPr>
        <w:t xml:space="preserve"> la productividad se la e</w:t>
      </w:r>
      <w:r w:rsidR="003514FB" w:rsidRPr="001946B3">
        <w:rPr>
          <w:rFonts w:ascii="Arial" w:eastAsia="Calibri" w:hAnsi="Arial" w:cs="Arial"/>
          <w:sz w:val="22"/>
          <w:szCs w:val="22"/>
          <w:lang w:val="es-EC"/>
        </w:rPr>
        <w:t>stima mediante los siguientes</w:t>
      </w:r>
      <w:r w:rsidR="009217B1" w:rsidRPr="001946B3">
        <w:rPr>
          <w:rFonts w:ascii="Arial" w:eastAsia="Calibri" w:hAnsi="Arial" w:cs="Arial"/>
          <w:sz w:val="22"/>
          <w:szCs w:val="22"/>
          <w:lang w:val="es-EC"/>
        </w:rPr>
        <w:t xml:space="preserve"> indicadores:</w:t>
      </w:r>
      <w:r w:rsidRPr="001946B3">
        <w:rPr>
          <w:rFonts w:ascii="Arial" w:eastAsia="Calibri" w:hAnsi="Arial" w:cs="Arial"/>
          <w:sz w:val="22"/>
          <w:szCs w:val="22"/>
          <w:lang w:val="es-EC"/>
        </w:rPr>
        <w:t xml:space="preserve"> eficiencia de ventas (ventas reales dividido por el n</w:t>
      </w:r>
      <w:r w:rsidR="009217B1" w:rsidRPr="001946B3">
        <w:rPr>
          <w:rFonts w:ascii="Arial" w:eastAsia="Calibri" w:hAnsi="Arial" w:cs="Arial"/>
          <w:sz w:val="22"/>
          <w:szCs w:val="22"/>
          <w:lang w:val="es-EC"/>
        </w:rPr>
        <w:t>úmero de empleados)</w:t>
      </w:r>
      <w:r w:rsidRPr="001946B3">
        <w:rPr>
          <w:rFonts w:ascii="Arial" w:eastAsia="Calibri" w:hAnsi="Arial" w:cs="Arial"/>
          <w:sz w:val="22"/>
          <w:szCs w:val="22"/>
          <w:lang w:val="es-EC"/>
        </w:rPr>
        <w:t>, eficiencia de ingresos netos (EBITE por empleado) y rotación de activos (ventas sobre el total de activos). A su vez</w:t>
      </w:r>
      <w:r w:rsidR="001946B3" w:rsidRPr="001946B3">
        <w:rPr>
          <w:rFonts w:ascii="Arial" w:eastAsia="Calibri" w:hAnsi="Arial" w:cs="Arial"/>
          <w:sz w:val="22"/>
          <w:szCs w:val="22"/>
          <w:lang w:val="es-EC"/>
        </w:rPr>
        <w:t>,</w:t>
      </w:r>
      <w:r w:rsidRPr="001946B3">
        <w:rPr>
          <w:rFonts w:ascii="Arial" w:eastAsia="Calibri" w:hAnsi="Arial" w:cs="Arial"/>
          <w:sz w:val="22"/>
          <w:szCs w:val="22"/>
          <w:lang w:val="es-EC"/>
        </w:rPr>
        <w:t xml:space="preserve"> estas medidas</w:t>
      </w:r>
      <w:r w:rsidR="001946B3" w:rsidRPr="001946B3">
        <w:rPr>
          <w:rFonts w:ascii="Arial" w:eastAsia="Calibri" w:hAnsi="Arial" w:cs="Arial"/>
          <w:sz w:val="22"/>
          <w:szCs w:val="22"/>
          <w:lang w:val="es-EC"/>
        </w:rPr>
        <w:t xml:space="preserve"> se complementan</w:t>
      </w:r>
      <w:r w:rsidRPr="001946B3">
        <w:rPr>
          <w:rFonts w:ascii="Arial" w:eastAsia="Calibri" w:hAnsi="Arial" w:cs="Arial"/>
          <w:sz w:val="22"/>
          <w:szCs w:val="22"/>
          <w:lang w:val="es-EC"/>
        </w:rPr>
        <w:t xml:space="preserve"> con un ratio del grado de financiamiento con deuda (deuda total sobre el total de activos).</w:t>
      </w:r>
      <w:r w:rsidR="001946B3" w:rsidRPr="001946B3">
        <w:rPr>
          <w:rFonts w:ascii="Arial" w:eastAsia="Calibri" w:hAnsi="Arial" w:cs="Arial"/>
          <w:sz w:val="22"/>
          <w:szCs w:val="22"/>
          <w:lang w:val="es-EC"/>
        </w:rPr>
        <w:t xml:space="preserve"> </w:t>
      </w:r>
      <w:r w:rsidRPr="001946B3">
        <w:rPr>
          <w:rFonts w:ascii="Arial" w:eastAsia="Calibri" w:hAnsi="Arial" w:cs="Arial"/>
          <w:sz w:val="22"/>
          <w:szCs w:val="22"/>
          <w:lang w:val="es-EC"/>
        </w:rPr>
        <w:t xml:space="preserve">El primer indicador tiene como objetivo ver las ventas reales que realizó la empresa durante un año, el segundo cuantifica el beneficio que aporta cada empleado durante ese año a la empresa y el último refleja la eficacia de la empresa en la gestión de sus activos para que éstos generen ventas. Para estimar el primer y </w:t>
      </w:r>
      <w:r w:rsidR="001946B3" w:rsidRPr="001946B3">
        <w:rPr>
          <w:rFonts w:ascii="Arial" w:eastAsia="Calibri" w:hAnsi="Arial" w:cs="Arial"/>
          <w:sz w:val="22"/>
          <w:szCs w:val="22"/>
          <w:lang w:val="es-EC"/>
        </w:rPr>
        <w:t>segundo indicador se puede obtener información del Estado de r</w:t>
      </w:r>
      <w:r w:rsidRPr="001946B3">
        <w:rPr>
          <w:rFonts w:ascii="Arial" w:eastAsia="Calibri" w:hAnsi="Arial" w:cs="Arial"/>
          <w:sz w:val="22"/>
          <w:szCs w:val="22"/>
          <w:lang w:val="es-EC"/>
        </w:rPr>
        <w:t>esultados, en el tercer estimador se utiliza el E</w:t>
      </w:r>
      <w:r w:rsidR="001946B3" w:rsidRPr="001946B3">
        <w:rPr>
          <w:rFonts w:ascii="Arial" w:eastAsia="Calibri" w:hAnsi="Arial" w:cs="Arial"/>
          <w:sz w:val="22"/>
          <w:szCs w:val="22"/>
          <w:lang w:val="es-EC"/>
        </w:rPr>
        <w:t>stado de resultados y el Balance g</w:t>
      </w:r>
      <w:r w:rsidRPr="001946B3">
        <w:rPr>
          <w:rFonts w:ascii="Arial" w:eastAsia="Calibri" w:hAnsi="Arial" w:cs="Arial"/>
          <w:sz w:val="22"/>
          <w:szCs w:val="22"/>
          <w:lang w:val="es-EC"/>
        </w:rPr>
        <w:t>eneral de las empresas públicas.</w:t>
      </w:r>
      <w:r w:rsidR="00E3593A" w:rsidRPr="001946B3">
        <w:rPr>
          <w:rFonts w:ascii="Arial" w:eastAsia="Calibri" w:hAnsi="Arial" w:cs="Arial"/>
          <w:sz w:val="22"/>
          <w:szCs w:val="22"/>
          <w:lang w:val="es-EC"/>
        </w:rPr>
        <w:t xml:space="preserve"> </w:t>
      </w:r>
    </w:p>
    <w:p w14:paraId="2918EEFC" w14:textId="77777777" w:rsidR="00E3593A" w:rsidRPr="001946B3" w:rsidRDefault="00E3593A" w:rsidP="00B02122">
      <w:pPr>
        <w:pStyle w:val="ListParagraph"/>
        <w:spacing w:after="160"/>
        <w:jc w:val="both"/>
        <w:rPr>
          <w:rFonts w:ascii="Arial" w:eastAsia="Calibri" w:hAnsi="Arial" w:cs="Arial"/>
          <w:sz w:val="22"/>
          <w:szCs w:val="22"/>
          <w:lang w:val="es-EC"/>
        </w:rPr>
      </w:pPr>
    </w:p>
    <w:p w14:paraId="0D4A7979" w14:textId="4D15F0EA" w:rsidR="00E3593A" w:rsidRPr="001946B3" w:rsidRDefault="001946B3" w:rsidP="00B02122">
      <w:pPr>
        <w:pStyle w:val="ListParagraph"/>
        <w:spacing w:after="160"/>
        <w:jc w:val="both"/>
        <w:rPr>
          <w:rFonts w:ascii="Arial" w:eastAsia="Calibri" w:hAnsi="Arial" w:cs="Arial"/>
          <w:sz w:val="22"/>
          <w:szCs w:val="22"/>
          <w:lang w:val="es-EC"/>
        </w:rPr>
      </w:pPr>
      <w:r w:rsidRPr="001946B3">
        <w:rPr>
          <w:rFonts w:ascii="Arial" w:eastAsia="Calibri" w:hAnsi="Arial" w:cs="Arial"/>
          <w:sz w:val="22"/>
          <w:szCs w:val="22"/>
          <w:lang w:val="es-EC"/>
        </w:rPr>
        <w:t>L</w:t>
      </w:r>
      <w:r w:rsidR="00391F03" w:rsidRPr="001946B3">
        <w:rPr>
          <w:rFonts w:ascii="Arial" w:eastAsia="Calibri" w:hAnsi="Arial" w:cs="Arial"/>
          <w:sz w:val="22"/>
          <w:szCs w:val="22"/>
          <w:lang w:val="es-EC"/>
        </w:rPr>
        <w:t xml:space="preserve">a investigación de </w:t>
      </w:r>
      <w:proofErr w:type="spellStart"/>
      <w:r w:rsidR="00391F03" w:rsidRPr="001946B3">
        <w:rPr>
          <w:rFonts w:ascii="Arial" w:eastAsia="Calibri" w:hAnsi="Arial" w:cs="Arial"/>
          <w:i/>
          <w:sz w:val="22"/>
          <w:szCs w:val="22"/>
          <w:lang w:val="es-EC"/>
        </w:rPr>
        <w:t>Boubakri</w:t>
      </w:r>
      <w:proofErr w:type="spellEnd"/>
      <w:r w:rsidR="00391F03" w:rsidRPr="001946B3">
        <w:rPr>
          <w:rFonts w:ascii="Arial" w:eastAsia="Calibri" w:hAnsi="Arial" w:cs="Arial"/>
          <w:i/>
          <w:sz w:val="22"/>
          <w:szCs w:val="22"/>
          <w:lang w:val="es-EC"/>
        </w:rPr>
        <w:t xml:space="preserve"> &amp; </w:t>
      </w:r>
      <w:proofErr w:type="spellStart"/>
      <w:r w:rsidR="00391F03" w:rsidRPr="001946B3">
        <w:rPr>
          <w:rFonts w:ascii="Arial" w:eastAsia="Calibri" w:hAnsi="Arial" w:cs="Arial"/>
          <w:i/>
          <w:sz w:val="22"/>
          <w:szCs w:val="22"/>
          <w:lang w:val="es-EC"/>
        </w:rPr>
        <w:t>Cosset</w:t>
      </w:r>
      <w:proofErr w:type="spellEnd"/>
      <w:r w:rsidR="00391F03" w:rsidRPr="001946B3">
        <w:rPr>
          <w:rFonts w:ascii="Arial" w:eastAsia="Calibri" w:hAnsi="Arial" w:cs="Arial"/>
          <w:i/>
          <w:sz w:val="22"/>
          <w:szCs w:val="22"/>
          <w:lang w:val="es-EC"/>
        </w:rPr>
        <w:t xml:space="preserve"> (1998)</w:t>
      </w:r>
      <w:r w:rsidR="00391F03" w:rsidRPr="001946B3">
        <w:rPr>
          <w:rFonts w:ascii="Arial" w:eastAsia="Calibri" w:hAnsi="Arial" w:cs="Arial"/>
          <w:sz w:val="22"/>
          <w:szCs w:val="22"/>
          <w:lang w:val="es-EC"/>
        </w:rPr>
        <w:t>, toma el indicador de la producción para ver la productividad de las empresas. De manera específica</w:t>
      </w:r>
      <w:r w:rsidRPr="001946B3">
        <w:rPr>
          <w:rFonts w:ascii="Arial" w:eastAsia="Calibri" w:hAnsi="Arial" w:cs="Arial"/>
          <w:sz w:val="22"/>
          <w:szCs w:val="22"/>
          <w:lang w:val="es-EC"/>
        </w:rPr>
        <w:t>,</w:t>
      </w:r>
      <w:r w:rsidR="00391F03" w:rsidRPr="001946B3">
        <w:rPr>
          <w:rFonts w:ascii="Arial" w:eastAsia="Calibri" w:hAnsi="Arial" w:cs="Arial"/>
          <w:sz w:val="22"/>
          <w:szCs w:val="22"/>
          <w:lang w:val="es-EC"/>
        </w:rPr>
        <w:t xml:space="preserve"> se revisan las ventas reales, el número de ventas de una empresa ajustado el índice de precios al consumidor. Es un ratio que tiene a las ventas nominales anuales de la empresa y al IPC (Índice de Precios al Consumidor). En el Estado de Resultados de las e</w:t>
      </w:r>
      <w:r w:rsidRPr="001946B3">
        <w:rPr>
          <w:rFonts w:ascii="Arial" w:eastAsia="Calibri" w:hAnsi="Arial" w:cs="Arial"/>
          <w:sz w:val="22"/>
          <w:szCs w:val="22"/>
          <w:lang w:val="es-EC"/>
        </w:rPr>
        <w:t>mpresas se puede evidenciar</w:t>
      </w:r>
      <w:r w:rsidR="00391F03" w:rsidRPr="001946B3">
        <w:rPr>
          <w:rFonts w:ascii="Arial" w:eastAsia="Calibri" w:hAnsi="Arial" w:cs="Arial"/>
          <w:sz w:val="22"/>
          <w:szCs w:val="22"/>
          <w:lang w:val="es-EC"/>
        </w:rPr>
        <w:t xml:space="preserve"> el nivel de ventas anuales.</w:t>
      </w:r>
    </w:p>
    <w:p w14:paraId="364C5897" w14:textId="77777777" w:rsidR="00E3593A" w:rsidRPr="001946B3" w:rsidRDefault="00E3593A" w:rsidP="00B02122">
      <w:pPr>
        <w:pStyle w:val="ListParagraph"/>
        <w:spacing w:after="160"/>
        <w:ind w:hanging="720"/>
        <w:jc w:val="both"/>
        <w:rPr>
          <w:rFonts w:ascii="Arial" w:eastAsia="Calibri" w:hAnsi="Arial" w:cs="Arial"/>
          <w:sz w:val="22"/>
          <w:szCs w:val="22"/>
          <w:lang w:val="es-EC"/>
        </w:rPr>
      </w:pPr>
    </w:p>
    <w:p w14:paraId="3257EDA4" w14:textId="4E3ADE66" w:rsidR="00391F03" w:rsidRDefault="00391F03" w:rsidP="00B02122">
      <w:pPr>
        <w:pStyle w:val="ListParagraph"/>
        <w:numPr>
          <w:ilvl w:val="1"/>
          <w:numId w:val="10"/>
        </w:numPr>
        <w:tabs>
          <w:tab w:val="left" w:pos="426"/>
        </w:tabs>
        <w:spacing w:after="160"/>
        <w:ind w:left="709" w:hanging="709"/>
        <w:jc w:val="both"/>
        <w:rPr>
          <w:rFonts w:ascii="Arial" w:eastAsia="Calibri" w:hAnsi="Arial" w:cs="Arial"/>
          <w:sz w:val="22"/>
          <w:szCs w:val="22"/>
          <w:lang w:val="es-EC"/>
        </w:rPr>
      </w:pPr>
      <w:r w:rsidRPr="001946B3">
        <w:rPr>
          <w:rFonts w:ascii="Arial" w:eastAsia="Calibri" w:hAnsi="Arial" w:cs="Arial"/>
          <w:b/>
          <w:sz w:val="22"/>
          <w:szCs w:val="22"/>
          <w:lang w:val="es-EC"/>
        </w:rPr>
        <w:t>Valoración de empresas -Método DCF-</w:t>
      </w:r>
      <w:r w:rsidR="00E3593A" w:rsidRPr="001946B3">
        <w:rPr>
          <w:rFonts w:ascii="Arial" w:eastAsia="Calibri" w:hAnsi="Arial" w:cs="Arial"/>
          <w:b/>
          <w:sz w:val="22"/>
          <w:szCs w:val="22"/>
          <w:lang w:val="es-EC"/>
        </w:rPr>
        <w:t xml:space="preserve">. </w:t>
      </w:r>
      <w:r w:rsidRPr="001946B3">
        <w:rPr>
          <w:rFonts w:ascii="Arial" w:eastAsia="Calibri" w:hAnsi="Arial" w:cs="Arial"/>
          <w:sz w:val="22"/>
          <w:szCs w:val="22"/>
          <w:lang w:val="es-EC"/>
        </w:rPr>
        <w:t>Este método determina el valor de una</w:t>
      </w:r>
      <w:r w:rsidR="002B31F7" w:rsidRPr="001946B3">
        <w:rPr>
          <w:rFonts w:ascii="Arial" w:eastAsia="Calibri" w:hAnsi="Arial" w:cs="Arial"/>
          <w:sz w:val="22"/>
          <w:szCs w:val="22"/>
          <w:lang w:val="es-EC"/>
        </w:rPr>
        <w:t xml:space="preserve"> </w:t>
      </w:r>
      <w:r w:rsidRPr="001946B3">
        <w:rPr>
          <w:rFonts w:ascii="Arial" w:eastAsia="Calibri" w:hAnsi="Arial" w:cs="Arial"/>
          <w:sz w:val="22"/>
          <w:szCs w:val="22"/>
          <w:lang w:val="es-EC"/>
        </w:rPr>
        <w:t>empresa haciendo uso de sus Flujos de Caja Libres (FCF por sus siglas en inglés –Free Cash Flow). La determinación del FCF se presenta a continuación:</w:t>
      </w:r>
    </w:p>
    <w:tbl>
      <w:tblPr>
        <w:tblW w:w="6960" w:type="dxa"/>
        <w:jc w:val="center"/>
        <w:tblCellMar>
          <w:left w:w="70" w:type="dxa"/>
          <w:right w:w="70" w:type="dxa"/>
        </w:tblCellMar>
        <w:tblLook w:val="04A0" w:firstRow="1" w:lastRow="0" w:firstColumn="1" w:lastColumn="0" w:noHBand="0" w:noVBand="1"/>
      </w:tblPr>
      <w:tblGrid>
        <w:gridCol w:w="1540"/>
        <w:gridCol w:w="5420"/>
      </w:tblGrid>
      <w:tr w:rsidR="00391F03" w:rsidRPr="001946B3" w14:paraId="42D9BFCA" w14:textId="77777777" w:rsidTr="00F20EF6">
        <w:trPr>
          <w:trHeight w:val="300"/>
          <w:jc w:val="center"/>
        </w:trPr>
        <w:tc>
          <w:tcPr>
            <w:tcW w:w="1540" w:type="dxa"/>
            <w:tcBorders>
              <w:top w:val="single" w:sz="4" w:space="0" w:color="auto"/>
              <w:left w:val="single" w:sz="4" w:space="0" w:color="auto"/>
              <w:bottom w:val="single" w:sz="4" w:space="0" w:color="auto"/>
              <w:right w:val="single" w:sz="4" w:space="0" w:color="auto"/>
            </w:tcBorders>
            <w:shd w:val="clear" w:color="auto" w:fill="215868"/>
            <w:noWrap/>
            <w:vAlign w:val="bottom"/>
            <w:hideMark/>
          </w:tcPr>
          <w:p w14:paraId="7244825E" w14:textId="77777777" w:rsidR="00391F03" w:rsidRPr="001946B3" w:rsidRDefault="00391F03" w:rsidP="00F20EF6">
            <w:pPr>
              <w:jc w:val="center"/>
              <w:rPr>
                <w:rFonts w:ascii="Arial" w:hAnsi="Arial" w:cs="Arial"/>
                <w:b/>
                <w:color w:val="FFFFFF"/>
                <w:spacing w:val="0"/>
                <w:sz w:val="22"/>
                <w:szCs w:val="22"/>
                <w:lang w:val="es-EC" w:eastAsia="es-EC"/>
              </w:rPr>
            </w:pPr>
            <w:r w:rsidRPr="001946B3">
              <w:rPr>
                <w:rFonts w:ascii="Arial" w:hAnsi="Arial" w:cs="Arial"/>
                <w:b/>
                <w:color w:val="FFFFFF"/>
                <w:spacing w:val="0"/>
                <w:sz w:val="22"/>
                <w:szCs w:val="22"/>
                <w:lang w:val="es-EC" w:eastAsia="es-EC"/>
              </w:rPr>
              <w:t>Indicadores</w:t>
            </w:r>
          </w:p>
        </w:tc>
        <w:tc>
          <w:tcPr>
            <w:tcW w:w="5420" w:type="dxa"/>
            <w:tcBorders>
              <w:top w:val="single" w:sz="4" w:space="0" w:color="auto"/>
              <w:left w:val="nil"/>
              <w:bottom w:val="single" w:sz="4" w:space="0" w:color="auto"/>
              <w:right w:val="single" w:sz="4" w:space="0" w:color="auto"/>
            </w:tcBorders>
            <w:shd w:val="clear" w:color="auto" w:fill="215868"/>
            <w:noWrap/>
            <w:vAlign w:val="bottom"/>
            <w:hideMark/>
          </w:tcPr>
          <w:p w14:paraId="494A4F87" w14:textId="77777777" w:rsidR="00391F03" w:rsidRPr="001946B3" w:rsidRDefault="00391F03" w:rsidP="00F20EF6">
            <w:pPr>
              <w:jc w:val="center"/>
              <w:rPr>
                <w:rFonts w:ascii="Arial" w:hAnsi="Arial" w:cs="Arial"/>
                <w:b/>
                <w:color w:val="FFFFFF"/>
                <w:spacing w:val="0"/>
                <w:sz w:val="22"/>
                <w:szCs w:val="22"/>
                <w:lang w:val="es-EC" w:eastAsia="es-EC"/>
              </w:rPr>
            </w:pPr>
            <w:r w:rsidRPr="001946B3">
              <w:rPr>
                <w:rFonts w:ascii="Arial" w:hAnsi="Arial" w:cs="Arial"/>
                <w:b/>
                <w:color w:val="FFFFFF"/>
                <w:spacing w:val="0"/>
                <w:sz w:val="22"/>
                <w:szCs w:val="22"/>
                <w:lang w:val="es-EC" w:eastAsia="es-EC"/>
              </w:rPr>
              <w:t>Insumos</w:t>
            </w:r>
          </w:p>
        </w:tc>
      </w:tr>
      <w:tr w:rsidR="00391F03" w:rsidRPr="001946B3" w14:paraId="3BAADD1E" w14:textId="77777777" w:rsidTr="00F20EF6">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369F88BE"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Beneficio Bruto</w:t>
            </w:r>
          </w:p>
        </w:tc>
        <w:tc>
          <w:tcPr>
            <w:tcW w:w="5420" w:type="dxa"/>
            <w:tcBorders>
              <w:top w:val="nil"/>
              <w:left w:val="nil"/>
              <w:bottom w:val="single" w:sz="4" w:space="0" w:color="auto"/>
              <w:right w:val="single" w:sz="4" w:space="0" w:color="auto"/>
            </w:tcBorders>
            <w:shd w:val="clear" w:color="auto" w:fill="auto"/>
            <w:noWrap/>
            <w:vAlign w:val="bottom"/>
            <w:hideMark/>
          </w:tcPr>
          <w:p w14:paraId="214DAB21"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Ventas - Coste de Ventas</w:t>
            </w:r>
          </w:p>
        </w:tc>
      </w:tr>
      <w:tr w:rsidR="00391F03" w:rsidRPr="001946B3" w14:paraId="29281CA3" w14:textId="77777777" w:rsidTr="00F20EF6">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24F1905B"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EBIT</w:t>
            </w:r>
          </w:p>
        </w:tc>
        <w:tc>
          <w:tcPr>
            <w:tcW w:w="5420" w:type="dxa"/>
            <w:tcBorders>
              <w:top w:val="nil"/>
              <w:left w:val="nil"/>
              <w:bottom w:val="single" w:sz="4" w:space="0" w:color="auto"/>
              <w:right w:val="single" w:sz="4" w:space="0" w:color="auto"/>
            </w:tcBorders>
            <w:shd w:val="clear" w:color="auto" w:fill="auto"/>
            <w:noWrap/>
            <w:vAlign w:val="bottom"/>
            <w:hideMark/>
          </w:tcPr>
          <w:p w14:paraId="623BBF55"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Beneficio Bruto - Gastos - Amortizables + Otros Ingresos</w:t>
            </w:r>
          </w:p>
        </w:tc>
      </w:tr>
      <w:tr w:rsidR="00391F03" w:rsidRPr="001946B3" w14:paraId="529EDAAF" w14:textId="77777777" w:rsidTr="00F20EF6">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2DF5D41"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NOPAT</w:t>
            </w:r>
          </w:p>
        </w:tc>
        <w:tc>
          <w:tcPr>
            <w:tcW w:w="5420" w:type="dxa"/>
            <w:tcBorders>
              <w:top w:val="nil"/>
              <w:left w:val="nil"/>
              <w:bottom w:val="single" w:sz="4" w:space="0" w:color="auto"/>
              <w:right w:val="single" w:sz="4" w:space="0" w:color="auto"/>
            </w:tcBorders>
            <w:shd w:val="clear" w:color="auto" w:fill="auto"/>
            <w:noWrap/>
            <w:vAlign w:val="bottom"/>
            <w:hideMark/>
          </w:tcPr>
          <w:p w14:paraId="4E093764"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EBIT - Impuestos</w:t>
            </w:r>
          </w:p>
        </w:tc>
      </w:tr>
      <w:tr w:rsidR="00391F03" w:rsidRPr="001946B3" w14:paraId="526EAFA0" w14:textId="77777777" w:rsidTr="00F20EF6">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333856DF"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EBITDA</w:t>
            </w:r>
          </w:p>
        </w:tc>
        <w:tc>
          <w:tcPr>
            <w:tcW w:w="5420" w:type="dxa"/>
            <w:tcBorders>
              <w:top w:val="nil"/>
              <w:left w:val="nil"/>
              <w:bottom w:val="single" w:sz="4" w:space="0" w:color="auto"/>
              <w:right w:val="single" w:sz="4" w:space="0" w:color="auto"/>
            </w:tcBorders>
            <w:shd w:val="clear" w:color="auto" w:fill="auto"/>
            <w:noWrap/>
            <w:vAlign w:val="bottom"/>
            <w:hideMark/>
          </w:tcPr>
          <w:p w14:paraId="1369870D"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 xml:space="preserve">NOPAT + Amortización + Depreciación + Provisiones </w:t>
            </w:r>
          </w:p>
        </w:tc>
      </w:tr>
      <w:tr w:rsidR="00391F03" w:rsidRPr="001946B3" w14:paraId="188CF557" w14:textId="77777777" w:rsidTr="00F20EF6">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7B5465E9"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lastRenderedPageBreak/>
              <w:t>FCF</w:t>
            </w:r>
          </w:p>
        </w:tc>
        <w:tc>
          <w:tcPr>
            <w:tcW w:w="5420" w:type="dxa"/>
            <w:tcBorders>
              <w:top w:val="nil"/>
              <w:left w:val="nil"/>
              <w:bottom w:val="single" w:sz="4" w:space="0" w:color="auto"/>
              <w:right w:val="single" w:sz="4" w:space="0" w:color="auto"/>
            </w:tcBorders>
            <w:shd w:val="clear" w:color="auto" w:fill="auto"/>
            <w:noWrap/>
            <w:vAlign w:val="bottom"/>
            <w:hideMark/>
          </w:tcPr>
          <w:p w14:paraId="6FD6A536" w14:textId="77777777" w:rsidR="00391F03" w:rsidRPr="001946B3" w:rsidRDefault="00391F03" w:rsidP="00F20EF6">
            <w:pPr>
              <w:rPr>
                <w:rFonts w:ascii="Arial" w:hAnsi="Arial" w:cs="Arial"/>
                <w:color w:val="000000"/>
                <w:spacing w:val="0"/>
                <w:sz w:val="20"/>
                <w:lang w:val="es-EC" w:eastAsia="es-EC"/>
              </w:rPr>
            </w:pPr>
            <w:r w:rsidRPr="001946B3">
              <w:rPr>
                <w:rFonts w:ascii="Arial" w:hAnsi="Arial" w:cs="Arial"/>
                <w:color w:val="000000"/>
                <w:spacing w:val="0"/>
                <w:sz w:val="20"/>
                <w:lang w:val="es-EC" w:eastAsia="es-EC"/>
              </w:rPr>
              <w:t>EBITDA - CAPEX- Inversión en activo circulante operativo</w:t>
            </w:r>
          </w:p>
        </w:tc>
      </w:tr>
    </w:tbl>
    <w:p w14:paraId="72ACD3A8" w14:textId="105B70AB" w:rsidR="00391F03" w:rsidRPr="004A1AC5" w:rsidRDefault="00391F03" w:rsidP="00391F03">
      <w:pPr>
        <w:spacing w:after="160" w:line="259" w:lineRule="auto"/>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Donde:</w:t>
      </w:r>
    </w:p>
    <w:p w14:paraId="6B40D80D" w14:textId="77777777" w:rsidR="00391F03" w:rsidRPr="00AD0222" w:rsidRDefault="00391F03" w:rsidP="00391F03">
      <w:pPr>
        <w:spacing w:after="160" w:line="259" w:lineRule="auto"/>
        <w:jc w:val="both"/>
        <w:rPr>
          <w:rFonts w:ascii="Arial" w:eastAsia="Calibri" w:hAnsi="Arial" w:cs="Arial"/>
          <w:spacing w:val="0"/>
          <w:sz w:val="20"/>
          <w:szCs w:val="22"/>
          <w:lang w:val="es-EC"/>
        </w:rPr>
      </w:pPr>
      <m:oMath>
        <m:r>
          <w:rPr>
            <w:rFonts w:ascii="Cambria Math" w:hAnsi="Cambria Math" w:cs="Arial"/>
            <w:spacing w:val="0"/>
            <w:sz w:val="20"/>
            <w:szCs w:val="22"/>
            <w:lang w:val="es-EC"/>
          </w:rPr>
          <m:t>CAPEX→Inversión en activo operativo</m:t>
        </m:r>
      </m:oMath>
      <w:r w:rsidRPr="00AD0222">
        <w:rPr>
          <w:rFonts w:ascii="Arial" w:eastAsia="Calibri" w:hAnsi="Arial" w:cs="Arial"/>
          <w:spacing w:val="0"/>
          <w:sz w:val="20"/>
          <w:szCs w:val="22"/>
          <w:lang w:val="es-EC"/>
        </w:rPr>
        <w:t xml:space="preserve"> </w:t>
      </w:r>
    </w:p>
    <w:p w14:paraId="31AD6D06" w14:textId="4740CC20" w:rsidR="00391F03" w:rsidRPr="00AD0222" w:rsidRDefault="00391F03" w:rsidP="00B02122">
      <w:pPr>
        <w:spacing w:after="160"/>
        <w:jc w:val="both"/>
        <w:rPr>
          <w:rFonts w:ascii="Arial" w:hAnsi="Arial" w:cs="Arial"/>
          <w:iCs/>
          <w:spacing w:val="0"/>
          <w:sz w:val="20"/>
          <w:szCs w:val="22"/>
          <w:lang w:val="es-EC"/>
        </w:rPr>
      </w:pPr>
      <w:r w:rsidRPr="00D458E1">
        <w:rPr>
          <w:rFonts w:ascii="Arial" w:eastAsia="Calibri" w:hAnsi="Arial" w:cs="Arial"/>
          <w:spacing w:val="0"/>
          <w:sz w:val="22"/>
          <w:szCs w:val="22"/>
          <w:lang w:val="es-EC"/>
        </w:rPr>
        <w:t>Por otra parte, e</w:t>
      </w:r>
      <w:r w:rsidRPr="00D458E1">
        <w:rPr>
          <w:rFonts w:ascii="Arial" w:hAnsi="Arial" w:cs="Arial"/>
          <w:iCs/>
          <w:spacing w:val="0"/>
          <w:sz w:val="22"/>
          <w:szCs w:val="22"/>
          <w:lang w:val="es-EC"/>
        </w:rPr>
        <w:t xml:space="preserve">l valor total de la empresa </w:t>
      </w:r>
      <m:oMath>
        <m:r>
          <w:rPr>
            <w:rFonts w:ascii="Cambria Math" w:hAnsi="Cambria Math" w:cs="Arial"/>
            <w:spacing w:val="0"/>
            <w:sz w:val="22"/>
            <w:szCs w:val="22"/>
            <w:lang w:val="es-EC"/>
          </w:rPr>
          <m:t>V</m:t>
        </m:r>
      </m:oMath>
      <w:r w:rsidRPr="00D458E1">
        <w:rPr>
          <w:rFonts w:ascii="Arial" w:hAnsi="Arial" w:cs="Arial"/>
          <w:iCs/>
          <w:spacing w:val="0"/>
          <w:sz w:val="22"/>
          <w:szCs w:val="22"/>
          <w:lang w:val="es-EC"/>
        </w:rPr>
        <w:t xml:space="preserve"> se define como </w:t>
      </w:r>
      <w:r w:rsidR="009E7D79" w:rsidRPr="00D458E1">
        <w:rPr>
          <w:rFonts w:ascii="Arial" w:hAnsi="Arial" w:cs="Arial"/>
          <w:iCs/>
          <w:spacing w:val="0"/>
          <w:sz w:val="22"/>
          <w:szCs w:val="22"/>
          <w:lang w:val="es-EC"/>
        </w:rPr>
        <w:t>la suma</w:t>
      </w:r>
      <w:r w:rsidRPr="00D458E1">
        <w:rPr>
          <w:rFonts w:ascii="Arial" w:hAnsi="Arial" w:cs="Arial"/>
          <w:iCs/>
          <w:spacing w:val="0"/>
          <w:sz w:val="22"/>
          <w:szCs w:val="22"/>
          <w:lang w:val="es-EC"/>
        </w:rPr>
        <w:t xml:space="preserve"> del Valor de mercado de los recursos propios </w:t>
      </w:r>
      <m:oMath>
        <m:r>
          <w:rPr>
            <w:rFonts w:ascii="Cambria Math" w:hAnsi="Cambria Math" w:cs="Arial"/>
            <w:spacing w:val="0"/>
            <w:sz w:val="22"/>
            <w:szCs w:val="22"/>
            <w:lang w:val="es-EC"/>
          </w:rPr>
          <m:t>E</m:t>
        </m:r>
      </m:oMath>
      <w:r w:rsidRPr="00D458E1">
        <w:rPr>
          <w:rFonts w:ascii="Arial" w:hAnsi="Arial" w:cs="Arial"/>
          <w:iCs/>
          <w:spacing w:val="0"/>
          <w:sz w:val="22"/>
          <w:szCs w:val="22"/>
          <w:lang w:val="es-EC"/>
        </w:rPr>
        <w:t xml:space="preserve"> y el Valor de la deuda </w:t>
      </w:r>
      <m:oMath>
        <m:r>
          <w:rPr>
            <w:rFonts w:ascii="Cambria Math" w:hAnsi="Cambria Math" w:cs="Arial"/>
            <w:spacing w:val="0"/>
            <w:sz w:val="22"/>
            <w:szCs w:val="22"/>
            <w:lang w:val="es-EC"/>
          </w:rPr>
          <m:t>D</m:t>
        </m:r>
      </m:oMath>
      <w:r w:rsidRPr="00D458E1">
        <w:rPr>
          <w:rFonts w:ascii="Arial" w:hAnsi="Arial" w:cs="Arial"/>
          <w:iCs/>
          <w:spacing w:val="0"/>
          <w:sz w:val="22"/>
          <w:szCs w:val="22"/>
          <w:lang w:val="es-EC"/>
        </w:rPr>
        <w:t>. Este valor se obtiene como el valor presente de los FCF proyectados de la empresa, es decir</w:t>
      </w:r>
      <w:r w:rsidRPr="00AD0222">
        <w:rPr>
          <w:rFonts w:ascii="Arial" w:hAnsi="Arial" w:cs="Arial"/>
          <w:iCs/>
          <w:spacing w:val="0"/>
          <w:sz w:val="20"/>
          <w:szCs w:val="22"/>
          <w:lang w:val="es-EC"/>
        </w:rPr>
        <w:t>:</w:t>
      </w:r>
    </w:p>
    <w:p w14:paraId="653C5439" w14:textId="77777777" w:rsidR="00391F03" w:rsidRPr="00AD0222" w:rsidRDefault="00391F03" w:rsidP="00AD0222">
      <w:pPr>
        <w:jc w:val="both"/>
        <w:rPr>
          <w:rFonts w:ascii="Arial" w:hAnsi="Arial" w:cs="Arial"/>
          <w:spacing w:val="0"/>
          <w:sz w:val="20"/>
          <w:szCs w:val="22"/>
          <w:lang w:val="es-EC"/>
        </w:rPr>
      </w:pPr>
      <m:oMathPara>
        <m:oMath>
          <m:r>
            <w:rPr>
              <w:rFonts w:ascii="Cambria Math" w:eastAsia="Calibri" w:hAnsi="Cambria Math" w:cs="Arial"/>
              <w:spacing w:val="0"/>
              <w:sz w:val="20"/>
              <w:szCs w:val="22"/>
              <w:lang w:val="es-EC"/>
            </w:rPr>
            <m:t xml:space="preserve">V=E+D=valor actual </m:t>
          </m:r>
          <m:d>
            <m:dPr>
              <m:begChr m:val="["/>
              <m:endChr m:val="]"/>
              <m:ctrlPr>
                <w:rPr>
                  <w:rFonts w:ascii="Cambria Math" w:eastAsia="Calibri" w:hAnsi="Cambria Math" w:cs="Arial"/>
                  <w:i/>
                  <w:spacing w:val="0"/>
                  <w:sz w:val="20"/>
                  <w:szCs w:val="22"/>
                  <w:lang w:val="es-EC"/>
                </w:rPr>
              </m:ctrlPr>
            </m:dPr>
            <m:e>
              <m:r>
                <w:rPr>
                  <w:rFonts w:ascii="Cambria Math" w:eastAsia="Calibri" w:hAnsi="Cambria Math" w:cs="Arial"/>
                  <w:spacing w:val="0"/>
                  <w:sz w:val="20"/>
                  <w:szCs w:val="22"/>
                  <w:lang w:val="es-EC"/>
                </w:rPr>
                <m:t>FCF;WACC</m:t>
              </m:r>
            </m:e>
          </m:d>
        </m:oMath>
      </m:oMathPara>
    </w:p>
    <w:p w14:paraId="5677EEC4" w14:textId="77777777" w:rsidR="00391F03" w:rsidRPr="00AD0222" w:rsidRDefault="00391F03" w:rsidP="00AD0222">
      <w:pPr>
        <w:jc w:val="both"/>
        <w:rPr>
          <w:rFonts w:ascii="Arial" w:hAnsi="Arial" w:cs="Arial"/>
          <w:spacing w:val="0"/>
          <w:sz w:val="20"/>
          <w:szCs w:val="22"/>
          <w:lang w:val="es-EC"/>
        </w:rPr>
      </w:pPr>
      <w:r w:rsidRPr="00AD0222">
        <w:rPr>
          <w:rFonts w:ascii="Arial" w:hAnsi="Arial" w:cs="Arial"/>
          <w:spacing w:val="0"/>
          <w:sz w:val="20"/>
          <w:szCs w:val="22"/>
          <w:lang w:val="es-EC"/>
        </w:rPr>
        <w:t>Y tomando en cuenta que</w:t>
      </w:r>
    </w:p>
    <w:p w14:paraId="520FA9CC" w14:textId="77777777" w:rsidR="00391F03" w:rsidRPr="00AD0222" w:rsidRDefault="00391F03" w:rsidP="00AD0222">
      <w:pPr>
        <w:jc w:val="both"/>
        <w:rPr>
          <w:rFonts w:ascii="Arial" w:hAnsi="Arial" w:cs="Arial"/>
          <w:spacing w:val="0"/>
          <w:sz w:val="20"/>
          <w:szCs w:val="22"/>
          <w:lang w:val="es-EC"/>
        </w:rPr>
      </w:pPr>
      <m:oMathPara>
        <m:oMath>
          <m:r>
            <w:rPr>
              <w:rFonts w:ascii="Cambria Math" w:hAnsi="Cambria Math" w:cs="Arial"/>
              <w:spacing w:val="0"/>
              <w:sz w:val="20"/>
              <w:szCs w:val="22"/>
              <w:lang w:val="es-EC"/>
            </w:rPr>
            <m:t>V=E+D=</m:t>
          </m:r>
          <m:f>
            <m:fPr>
              <m:ctrlPr>
                <w:rPr>
                  <w:rFonts w:ascii="Cambria Math" w:hAnsi="Cambria Math" w:cs="Arial"/>
                  <w:i/>
                  <w:spacing w:val="0"/>
                  <w:sz w:val="20"/>
                  <w:szCs w:val="22"/>
                  <w:lang w:val="es-EC"/>
                </w:rPr>
              </m:ctrlPr>
            </m:fPr>
            <m:num>
              <m:r>
                <w:rPr>
                  <w:rFonts w:ascii="Cambria Math" w:hAnsi="Cambria Math" w:cs="Arial"/>
                  <w:spacing w:val="0"/>
                  <w:sz w:val="20"/>
                  <w:szCs w:val="22"/>
                  <w:lang w:val="es-EC"/>
                </w:rPr>
                <m:t>FCF</m:t>
              </m:r>
            </m:num>
            <m:den>
              <m:r>
                <w:rPr>
                  <w:rFonts w:ascii="Cambria Math" w:hAnsi="Cambria Math" w:cs="Arial"/>
                  <w:spacing w:val="0"/>
                  <w:sz w:val="20"/>
                  <w:szCs w:val="22"/>
                  <w:lang w:val="es-EC"/>
                </w:rPr>
                <m:t>(1+WACC)</m:t>
              </m:r>
            </m:den>
          </m:f>
          <m:r>
            <w:rPr>
              <w:rFonts w:ascii="Cambria Math" w:hAnsi="Cambria Math" w:cs="Arial"/>
              <w:spacing w:val="0"/>
              <w:sz w:val="20"/>
              <w:szCs w:val="22"/>
              <w:lang w:val="es-EC"/>
            </w:rPr>
            <m:t>+</m:t>
          </m:r>
          <m:f>
            <m:fPr>
              <m:ctrlPr>
                <w:rPr>
                  <w:rFonts w:ascii="Cambria Math" w:hAnsi="Cambria Math" w:cs="Arial"/>
                  <w:i/>
                  <w:spacing w:val="0"/>
                  <w:sz w:val="20"/>
                  <w:szCs w:val="22"/>
                  <w:lang w:val="es-EC"/>
                </w:rPr>
              </m:ctrlPr>
            </m:fPr>
            <m:num>
              <m:r>
                <w:rPr>
                  <w:rFonts w:ascii="Cambria Math" w:hAnsi="Cambria Math" w:cs="Arial"/>
                  <w:spacing w:val="0"/>
                  <w:sz w:val="20"/>
                  <w:szCs w:val="22"/>
                  <w:lang w:val="es-EC"/>
                </w:rPr>
                <m:t>FCF</m:t>
              </m:r>
            </m:num>
            <m:den>
              <m:sSup>
                <m:sSupPr>
                  <m:ctrlPr>
                    <w:rPr>
                      <w:rFonts w:ascii="Cambria Math" w:hAnsi="Cambria Math" w:cs="Arial"/>
                      <w:i/>
                      <w:spacing w:val="0"/>
                      <w:sz w:val="20"/>
                      <w:szCs w:val="22"/>
                      <w:lang w:val="es-EC"/>
                    </w:rPr>
                  </m:ctrlPr>
                </m:sSupPr>
                <m:e>
                  <m:r>
                    <w:rPr>
                      <w:rFonts w:ascii="Cambria Math" w:hAnsi="Cambria Math" w:cs="Arial"/>
                      <w:spacing w:val="0"/>
                      <w:sz w:val="20"/>
                      <w:szCs w:val="22"/>
                      <w:lang w:val="es-EC"/>
                    </w:rPr>
                    <m:t>(1+WACC)</m:t>
                  </m:r>
                </m:e>
                <m:sup>
                  <m:r>
                    <w:rPr>
                      <w:rFonts w:ascii="Cambria Math" w:hAnsi="Cambria Math" w:cs="Arial"/>
                      <w:spacing w:val="0"/>
                      <w:sz w:val="20"/>
                      <w:szCs w:val="22"/>
                      <w:lang w:val="es-EC"/>
                    </w:rPr>
                    <m:t>2</m:t>
                  </m:r>
                </m:sup>
              </m:sSup>
            </m:den>
          </m:f>
          <m:r>
            <w:rPr>
              <w:rFonts w:ascii="Cambria Math" w:hAnsi="Cambria Math" w:cs="Arial"/>
              <w:spacing w:val="0"/>
              <w:sz w:val="20"/>
              <w:szCs w:val="22"/>
              <w:lang w:val="es-EC"/>
            </w:rPr>
            <m:t>+</m:t>
          </m:r>
          <m:r>
            <w:rPr>
              <w:rFonts w:ascii="Cambria Math" w:eastAsia="Calibri" w:hAnsi="Cambria Math" w:cs="Arial"/>
              <w:spacing w:val="0"/>
              <w:sz w:val="20"/>
              <w:szCs w:val="22"/>
              <w:lang w:val="es-EC"/>
            </w:rPr>
            <m:t>…+</m:t>
          </m:r>
          <m:f>
            <m:fPr>
              <m:ctrlPr>
                <w:rPr>
                  <w:rFonts w:ascii="Cambria Math" w:eastAsia="Calibri" w:hAnsi="Cambria Math" w:cs="Arial"/>
                  <w:i/>
                  <w:spacing w:val="0"/>
                  <w:sz w:val="20"/>
                  <w:szCs w:val="22"/>
                  <w:lang w:val="es-EC"/>
                </w:rPr>
              </m:ctrlPr>
            </m:fPr>
            <m:num>
              <m:r>
                <w:rPr>
                  <w:rFonts w:ascii="Cambria Math" w:eastAsia="Calibri" w:hAnsi="Cambria Math" w:cs="Arial"/>
                  <w:spacing w:val="0"/>
                  <w:sz w:val="20"/>
                  <w:szCs w:val="22"/>
                  <w:lang w:val="es-EC"/>
                </w:rPr>
                <m:t>FCF</m:t>
              </m:r>
            </m:num>
            <m:den>
              <m:sSup>
                <m:sSupPr>
                  <m:ctrlPr>
                    <w:rPr>
                      <w:rFonts w:ascii="Cambria Math" w:eastAsia="Calibri" w:hAnsi="Cambria Math" w:cs="Arial"/>
                      <w:i/>
                      <w:spacing w:val="0"/>
                      <w:sz w:val="20"/>
                      <w:szCs w:val="22"/>
                      <w:lang w:val="es-EC"/>
                    </w:rPr>
                  </m:ctrlPr>
                </m:sSupPr>
                <m:e>
                  <m:r>
                    <w:rPr>
                      <w:rFonts w:ascii="Cambria Math" w:eastAsia="Calibri" w:hAnsi="Cambria Math" w:cs="Arial"/>
                      <w:spacing w:val="0"/>
                      <w:sz w:val="20"/>
                      <w:szCs w:val="22"/>
                      <w:lang w:val="es-EC"/>
                    </w:rPr>
                    <m:t>(1+WACC)</m:t>
                  </m:r>
                </m:e>
                <m:sup>
                  <m:r>
                    <w:rPr>
                      <w:rFonts w:ascii="Cambria Math" w:eastAsia="Calibri" w:hAnsi="Cambria Math" w:cs="Arial"/>
                      <w:spacing w:val="0"/>
                      <w:sz w:val="20"/>
                      <w:szCs w:val="22"/>
                      <w:lang w:val="es-EC"/>
                    </w:rPr>
                    <m:t>t</m:t>
                  </m:r>
                </m:sup>
              </m:sSup>
            </m:den>
          </m:f>
        </m:oMath>
      </m:oMathPara>
    </w:p>
    <w:p w14:paraId="3DF1D3B9" w14:textId="77777777" w:rsidR="00391F03" w:rsidRPr="00AD0222" w:rsidRDefault="00391F03" w:rsidP="00AD0222">
      <w:pPr>
        <w:jc w:val="both"/>
        <w:rPr>
          <w:rFonts w:ascii="Arial" w:hAnsi="Arial" w:cs="Arial"/>
          <w:spacing w:val="0"/>
          <w:sz w:val="20"/>
          <w:szCs w:val="22"/>
          <w:lang w:val="es-EC"/>
        </w:rPr>
      </w:pPr>
      <m:oMathPara>
        <m:oMath>
          <m:r>
            <w:rPr>
              <w:rFonts w:ascii="Cambria Math" w:eastAsia="Calibri" w:hAnsi="Cambria Math" w:cs="Arial"/>
              <w:spacing w:val="0"/>
              <w:sz w:val="20"/>
              <w:szCs w:val="22"/>
              <w:lang w:val="es-EC"/>
            </w:rPr>
            <m:t>V=E+D=</m:t>
          </m:r>
          <m:nary>
            <m:naryPr>
              <m:chr m:val="∑"/>
              <m:limLoc m:val="undOvr"/>
              <m:ctrlPr>
                <w:rPr>
                  <w:rFonts w:ascii="Cambria Math" w:eastAsia="Calibri" w:hAnsi="Cambria Math" w:cs="Arial"/>
                  <w:i/>
                  <w:spacing w:val="0"/>
                  <w:sz w:val="20"/>
                  <w:szCs w:val="22"/>
                  <w:lang w:val="es-EC"/>
                </w:rPr>
              </m:ctrlPr>
            </m:naryPr>
            <m:sub>
              <m:r>
                <w:rPr>
                  <w:rFonts w:ascii="Cambria Math" w:eastAsia="Calibri" w:hAnsi="Cambria Math" w:cs="Arial"/>
                  <w:spacing w:val="0"/>
                  <w:sz w:val="20"/>
                  <w:szCs w:val="22"/>
                  <w:lang w:val="es-EC"/>
                </w:rPr>
                <m:t>t=1</m:t>
              </m:r>
            </m:sub>
            <m:sup>
              <m:r>
                <w:rPr>
                  <w:rFonts w:ascii="Cambria Math" w:eastAsia="Calibri" w:hAnsi="Cambria Math" w:cs="Arial"/>
                  <w:spacing w:val="0"/>
                  <w:sz w:val="20"/>
                  <w:szCs w:val="22"/>
                  <w:lang w:val="es-EC"/>
                </w:rPr>
                <m:t>n</m:t>
              </m:r>
            </m:sup>
            <m:e>
              <m:f>
                <m:fPr>
                  <m:ctrlPr>
                    <w:rPr>
                      <w:rFonts w:ascii="Cambria Math" w:eastAsia="Calibri" w:hAnsi="Cambria Math" w:cs="Arial"/>
                      <w:i/>
                      <w:spacing w:val="0"/>
                      <w:sz w:val="20"/>
                      <w:szCs w:val="22"/>
                      <w:lang w:val="es-EC"/>
                    </w:rPr>
                  </m:ctrlPr>
                </m:fPr>
                <m:num>
                  <m:r>
                    <w:rPr>
                      <w:rFonts w:ascii="Cambria Math" w:eastAsia="Calibri" w:hAnsi="Cambria Math" w:cs="Arial"/>
                      <w:spacing w:val="0"/>
                      <w:sz w:val="20"/>
                      <w:szCs w:val="22"/>
                      <w:lang w:val="es-EC"/>
                    </w:rPr>
                    <m:t>FCF</m:t>
                  </m:r>
                </m:num>
                <m:den>
                  <m:sSup>
                    <m:sSupPr>
                      <m:ctrlPr>
                        <w:rPr>
                          <w:rFonts w:ascii="Cambria Math" w:eastAsia="Calibri" w:hAnsi="Cambria Math" w:cs="Arial"/>
                          <w:i/>
                          <w:spacing w:val="0"/>
                          <w:sz w:val="20"/>
                          <w:szCs w:val="22"/>
                          <w:lang w:val="es-EC"/>
                        </w:rPr>
                      </m:ctrlPr>
                    </m:sSupPr>
                    <m:e>
                      <m:r>
                        <w:rPr>
                          <w:rFonts w:ascii="Cambria Math" w:eastAsia="Calibri" w:hAnsi="Cambria Math" w:cs="Arial"/>
                          <w:spacing w:val="0"/>
                          <w:sz w:val="20"/>
                          <w:szCs w:val="22"/>
                          <w:lang w:val="es-EC"/>
                        </w:rPr>
                        <m:t>(1+WACC)</m:t>
                      </m:r>
                    </m:e>
                    <m:sup>
                      <m:r>
                        <w:rPr>
                          <w:rFonts w:ascii="Cambria Math" w:eastAsia="Calibri" w:hAnsi="Cambria Math" w:cs="Arial"/>
                          <w:spacing w:val="0"/>
                          <w:sz w:val="20"/>
                          <w:szCs w:val="22"/>
                          <w:lang w:val="es-EC"/>
                        </w:rPr>
                        <m:t>t</m:t>
                      </m:r>
                    </m:sup>
                  </m:sSup>
                </m:den>
              </m:f>
            </m:e>
          </m:nary>
        </m:oMath>
      </m:oMathPara>
    </w:p>
    <w:p w14:paraId="0154272B" w14:textId="77777777" w:rsidR="00391F03" w:rsidRPr="00AD0222" w:rsidRDefault="00391F03" w:rsidP="00AD0222">
      <w:pPr>
        <w:jc w:val="both"/>
        <w:rPr>
          <w:rFonts w:ascii="Arial" w:hAnsi="Arial" w:cs="Arial"/>
          <w:spacing w:val="0"/>
          <w:sz w:val="20"/>
          <w:szCs w:val="22"/>
          <w:lang w:val="es-EC"/>
        </w:rPr>
      </w:pPr>
      <w:r w:rsidRPr="00AD0222">
        <w:rPr>
          <w:rFonts w:ascii="Arial" w:hAnsi="Arial" w:cs="Arial"/>
          <w:spacing w:val="0"/>
          <w:sz w:val="20"/>
          <w:szCs w:val="22"/>
          <w:lang w:val="es-EC"/>
        </w:rPr>
        <w:t xml:space="preserve">Que se resume como: </w:t>
      </w:r>
    </w:p>
    <w:p w14:paraId="146F50A0" w14:textId="77777777" w:rsidR="00391F03" w:rsidRPr="00AD0222" w:rsidRDefault="00391F03" w:rsidP="00AD0222">
      <w:pPr>
        <w:jc w:val="both"/>
        <w:rPr>
          <w:rFonts w:ascii="Arial" w:hAnsi="Arial" w:cs="Arial"/>
          <w:spacing w:val="0"/>
          <w:sz w:val="20"/>
          <w:szCs w:val="22"/>
          <w:lang w:val="es-EC"/>
        </w:rPr>
      </w:pPr>
      <m:oMathPara>
        <m:oMath>
          <m:r>
            <w:rPr>
              <w:rFonts w:ascii="Cambria Math" w:hAnsi="Cambria Math" w:cs="Arial"/>
              <w:spacing w:val="0"/>
              <w:sz w:val="20"/>
              <w:szCs w:val="22"/>
              <w:lang w:val="es-EC"/>
            </w:rPr>
            <m:t>V=E+D=</m:t>
          </m:r>
          <m:f>
            <m:fPr>
              <m:ctrlPr>
                <w:rPr>
                  <w:rFonts w:ascii="Cambria Math" w:hAnsi="Cambria Math" w:cs="Arial"/>
                  <w:i/>
                  <w:spacing w:val="0"/>
                  <w:sz w:val="20"/>
                  <w:szCs w:val="22"/>
                  <w:lang w:val="es-EC"/>
                </w:rPr>
              </m:ctrlPr>
            </m:fPr>
            <m:num>
              <m:r>
                <w:rPr>
                  <w:rFonts w:ascii="Cambria Math" w:hAnsi="Cambria Math" w:cs="Arial"/>
                  <w:spacing w:val="0"/>
                  <w:sz w:val="20"/>
                  <w:szCs w:val="22"/>
                  <w:lang w:val="es-EC"/>
                </w:rPr>
                <m:t>FCF</m:t>
              </m:r>
            </m:num>
            <m:den>
              <m:r>
                <w:rPr>
                  <w:rFonts w:ascii="Cambria Math" w:hAnsi="Cambria Math" w:cs="Arial"/>
                  <w:spacing w:val="0"/>
                  <w:sz w:val="20"/>
                  <w:szCs w:val="22"/>
                  <w:lang w:val="es-EC"/>
                </w:rPr>
                <m:t>WACC</m:t>
              </m:r>
            </m:den>
          </m:f>
        </m:oMath>
      </m:oMathPara>
    </w:p>
    <w:p w14:paraId="0D74BFDA" w14:textId="7DF80EA5" w:rsidR="00391F03" w:rsidRPr="00AD0222" w:rsidRDefault="00391F03" w:rsidP="00AD0222">
      <w:pPr>
        <w:jc w:val="both"/>
        <w:rPr>
          <w:rFonts w:ascii="Arial" w:hAnsi="Arial" w:cs="Arial"/>
          <w:spacing w:val="0"/>
          <w:sz w:val="20"/>
          <w:szCs w:val="22"/>
          <w:lang w:val="es-EC"/>
        </w:rPr>
      </w:pPr>
      <w:r w:rsidRPr="00AD0222">
        <w:rPr>
          <w:rFonts w:ascii="Arial" w:hAnsi="Arial" w:cs="Arial"/>
          <w:spacing w:val="0"/>
          <w:sz w:val="20"/>
          <w:szCs w:val="22"/>
          <w:lang w:val="es-EC"/>
        </w:rPr>
        <w:t>Donde</w:t>
      </w:r>
      <w:r w:rsidR="004A1AC5" w:rsidRPr="00AD0222">
        <w:rPr>
          <w:rFonts w:ascii="Arial" w:hAnsi="Arial" w:cs="Arial"/>
          <w:spacing w:val="0"/>
          <w:sz w:val="20"/>
          <w:szCs w:val="22"/>
          <w:lang w:val="es-EC"/>
        </w:rPr>
        <w:t>,</w:t>
      </w:r>
      <w:r w:rsidRPr="00AD0222">
        <w:rPr>
          <w:rFonts w:ascii="Arial" w:hAnsi="Arial" w:cs="Arial"/>
          <w:spacing w:val="0"/>
          <w:sz w:val="20"/>
          <w:szCs w:val="22"/>
          <w:lang w:val="es-EC"/>
        </w:rPr>
        <w:t xml:space="preserve"> se utiliza el </w:t>
      </w:r>
      <w:r w:rsidRPr="00AD0222">
        <w:rPr>
          <w:rFonts w:ascii="Arial" w:eastAsia="Calibri" w:hAnsi="Arial" w:cs="Arial"/>
          <w:spacing w:val="0"/>
          <w:sz w:val="20"/>
          <w:szCs w:val="22"/>
          <w:lang w:val="es-EC"/>
        </w:rPr>
        <w:t>Coste promedio ponderado del capital</w:t>
      </w:r>
      <w:r w:rsidRPr="00AD0222">
        <w:rPr>
          <w:rFonts w:ascii="Arial" w:hAnsi="Arial" w:cs="Arial"/>
          <w:spacing w:val="0"/>
          <w:sz w:val="20"/>
          <w:szCs w:val="22"/>
          <w:lang w:val="es-EC"/>
        </w:rPr>
        <w:t xml:space="preserve"> como tasa de descuento:</w:t>
      </w:r>
    </w:p>
    <w:p w14:paraId="52F0D63D" w14:textId="77777777" w:rsidR="00391F03" w:rsidRPr="00AD0222" w:rsidRDefault="00391F03" w:rsidP="00AD0222">
      <w:pPr>
        <w:jc w:val="both"/>
        <w:rPr>
          <w:rFonts w:ascii="Arial" w:eastAsia="Calibri" w:hAnsi="Arial" w:cs="Arial"/>
          <w:spacing w:val="0"/>
          <w:sz w:val="20"/>
          <w:szCs w:val="22"/>
          <w:lang w:val="es-EC"/>
        </w:rPr>
      </w:pPr>
      <m:oMathPara>
        <m:oMath>
          <m:r>
            <w:rPr>
              <w:rFonts w:ascii="Cambria Math" w:eastAsia="Calibri" w:hAnsi="Cambria Math" w:cs="Arial"/>
              <w:spacing w:val="0"/>
              <w:sz w:val="20"/>
              <w:szCs w:val="22"/>
              <w:lang w:val="es-EC"/>
            </w:rPr>
            <m:t>WACC=</m:t>
          </m:r>
          <m:f>
            <m:fPr>
              <m:ctrlPr>
                <w:rPr>
                  <w:rFonts w:ascii="Cambria Math" w:eastAsia="Calibri" w:hAnsi="Cambria Math" w:cs="Arial"/>
                  <w:i/>
                  <w:spacing w:val="0"/>
                  <w:sz w:val="20"/>
                  <w:szCs w:val="22"/>
                  <w:lang w:val="es-EC"/>
                </w:rPr>
              </m:ctrlPr>
            </m:fPr>
            <m:num>
              <m:r>
                <w:rPr>
                  <w:rFonts w:ascii="Cambria Math" w:eastAsia="Calibri" w:hAnsi="Cambria Math" w:cs="Arial"/>
                  <w:spacing w:val="0"/>
                  <w:sz w:val="20"/>
                  <w:szCs w:val="22"/>
                  <w:lang w:val="es-EC"/>
                </w:rPr>
                <m:t>E</m:t>
              </m:r>
              <m:sSub>
                <m:sSubPr>
                  <m:ctrlPr>
                    <w:rPr>
                      <w:rFonts w:ascii="Cambria Math" w:eastAsia="Calibri" w:hAnsi="Cambria Math" w:cs="Arial"/>
                      <w:i/>
                      <w:spacing w:val="0"/>
                      <w:sz w:val="20"/>
                      <w:szCs w:val="22"/>
                      <w:lang w:val="es-EC"/>
                    </w:rPr>
                  </m:ctrlPr>
                </m:sSubPr>
                <m:e>
                  <m:r>
                    <w:rPr>
                      <w:rFonts w:ascii="Cambria Math" w:eastAsia="Calibri" w:hAnsi="Cambria Math" w:cs="Arial"/>
                      <w:spacing w:val="0"/>
                      <w:sz w:val="20"/>
                      <w:szCs w:val="22"/>
                      <w:lang w:val="es-EC"/>
                    </w:rPr>
                    <m:t>K</m:t>
                  </m:r>
                </m:e>
                <m:sub>
                  <m:r>
                    <w:rPr>
                      <w:rFonts w:ascii="Cambria Math" w:eastAsia="Calibri" w:hAnsi="Cambria Math" w:cs="Arial"/>
                      <w:spacing w:val="0"/>
                      <w:sz w:val="20"/>
                      <w:szCs w:val="22"/>
                      <w:lang w:val="es-EC"/>
                    </w:rPr>
                    <m:t>e</m:t>
                  </m:r>
                </m:sub>
              </m:sSub>
              <m:r>
                <w:rPr>
                  <w:rFonts w:ascii="Cambria Math" w:eastAsia="Calibri" w:hAnsi="Cambria Math" w:cs="Arial"/>
                  <w:spacing w:val="0"/>
                  <w:sz w:val="20"/>
                  <w:szCs w:val="22"/>
                  <w:lang w:val="es-EC"/>
                </w:rPr>
                <m:t>+D</m:t>
              </m:r>
              <m:sSub>
                <m:sSubPr>
                  <m:ctrlPr>
                    <w:rPr>
                      <w:rFonts w:ascii="Cambria Math" w:eastAsia="Calibri" w:hAnsi="Cambria Math" w:cs="Arial"/>
                      <w:i/>
                      <w:spacing w:val="0"/>
                      <w:sz w:val="20"/>
                      <w:szCs w:val="22"/>
                      <w:lang w:val="es-EC"/>
                    </w:rPr>
                  </m:ctrlPr>
                </m:sSubPr>
                <m:e>
                  <m:r>
                    <w:rPr>
                      <w:rFonts w:ascii="Cambria Math" w:eastAsia="Calibri" w:hAnsi="Cambria Math" w:cs="Arial"/>
                      <w:spacing w:val="0"/>
                      <w:sz w:val="20"/>
                      <w:szCs w:val="22"/>
                      <w:lang w:val="es-EC"/>
                    </w:rPr>
                    <m:t>K</m:t>
                  </m:r>
                </m:e>
                <m:sub>
                  <m:r>
                    <w:rPr>
                      <w:rFonts w:ascii="Cambria Math" w:eastAsia="Calibri" w:hAnsi="Cambria Math" w:cs="Arial"/>
                      <w:spacing w:val="0"/>
                      <w:sz w:val="20"/>
                      <w:szCs w:val="22"/>
                      <w:lang w:val="es-EC"/>
                    </w:rPr>
                    <m:t>d</m:t>
                  </m:r>
                </m:sub>
              </m:sSub>
              <m:r>
                <w:rPr>
                  <w:rFonts w:ascii="Cambria Math" w:eastAsia="Calibri" w:hAnsi="Cambria Math" w:cs="Arial"/>
                  <w:spacing w:val="0"/>
                  <w:sz w:val="20"/>
                  <w:szCs w:val="22"/>
                  <w:lang w:val="es-EC"/>
                </w:rPr>
                <m:t>(1-T)</m:t>
              </m:r>
            </m:num>
            <m:den>
              <m:r>
                <w:rPr>
                  <w:rFonts w:ascii="Cambria Math" w:eastAsia="Calibri" w:hAnsi="Cambria Math" w:cs="Arial"/>
                  <w:spacing w:val="0"/>
                  <w:sz w:val="20"/>
                  <w:szCs w:val="22"/>
                  <w:lang w:val="es-EC"/>
                </w:rPr>
                <m:t>E+D</m:t>
              </m:r>
            </m:den>
          </m:f>
        </m:oMath>
      </m:oMathPara>
    </w:p>
    <w:p w14:paraId="7C57C1A7" w14:textId="77777777" w:rsidR="00391F03" w:rsidRPr="004A1AC5" w:rsidRDefault="00391F03" w:rsidP="00D458E1">
      <w:pPr>
        <w:spacing w:line="259" w:lineRule="auto"/>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Donde:</w:t>
      </w:r>
    </w:p>
    <w:p w14:paraId="4DAD23F2" w14:textId="77777777" w:rsidR="00391F03" w:rsidRPr="004A1AC5" w:rsidRDefault="00391F03" w:rsidP="00D458E1">
      <w:pPr>
        <w:jc w:val="both"/>
        <w:rPr>
          <w:rFonts w:ascii="Arial" w:hAnsi="Arial" w:cs="Arial"/>
          <w:spacing w:val="0"/>
          <w:sz w:val="22"/>
          <w:szCs w:val="22"/>
          <w:lang w:val="es-EC"/>
        </w:rPr>
      </w:pPr>
      <m:oMathPara>
        <m:oMathParaPr>
          <m:jc m:val="left"/>
        </m:oMathParaPr>
        <m:oMath>
          <m:r>
            <w:rPr>
              <w:rFonts w:ascii="Cambria Math" w:eastAsia="Calibri" w:hAnsi="Cambria Math" w:cs="Arial"/>
              <w:spacing w:val="0"/>
              <w:sz w:val="22"/>
              <w:szCs w:val="22"/>
              <w:lang w:val="es-EC"/>
            </w:rPr>
            <m:t>D→</m:t>
          </m:r>
          <m:r>
            <m:rPr>
              <m:sty m:val="p"/>
            </m:rPr>
            <w:rPr>
              <w:rFonts w:ascii="Cambria Math" w:eastAsia="Calibri" w:hAnsi="Cambria Math" w:cs="Arial"/>
              <w:spacing w:val="0"/>
              <w:sz w:val="22"/>
              <w:szCs w:val="22"/>
              <w:lang w:val="es-EC"/>
            </w:rPr>
            <m:t>valor de mercado de la deuda</m:t>
          </m:r>
        </m:oMath>
      </m:oMathPara>
    </w:p>
    <w:p w14:paraId="0648D38F" w14:textId="77777777" w:rsidR="00391F03" w:rsidRPr="004A1AC5" w:rsidRDefault="00391F03" w:rsidP="00D458E1">
      <w:pPr>
        <w:jc w:val="both"/>
        <w:rPr>
          <w:rFonts w:ascii="Arial" w:hAnsi="Arial" w:cs="Arial"/>
          <w:spacing w:val="0"/>
          <w:sz w:val="22"/>
          <w:szCs w:val="22"/>
          <w:lang w:val="es-EC"/>
        </w:rPr>
      </w:pPr>
      <m:oMathPara>
        <m:oMathParaPr>
          <m:jc m:val="left"/>
        </m:oMathParaPr>
        <m:oMath>
          <m:r>
            <w:rPr>
              <w:rFonts w:ascii="Cambria Math" w:eastAsia="Calibri" w:hAnsi="Cambria Math" w:cs="Arial"/>
              <w:spacing w:val="0"/>
              <w:sz w:val="22"/>
              <w:szCs w:val="22"/>
              <w:lang w:val="es-EC"/>
            </w:rPr>
            <m:t>E→</m:t>
          </m:r>
          <m:r>
            <m:rPr>
              <m:sty m:val="p"/>
            </m:rPr>
            <w:rPr>
              <w:rFonts w:ascii="Cambria Math" w:eastAsia="Calibri" w:hAnsi="Cambria Math" w:cs="Arial"/>
              <w:spacing w:val="0"/>
              <w:sz w:val="22"/>
              <w:szCs w:val="22"/>
              <w:lang w:val="es-EC"/>
            </w:rPr>
            <m:t>valor de mercado de las acciones</m:t>
          </m:r>
        </m:oMath>
      </m:oMathPara>
    </w:p>
    <w:p w14:paraId="32E8C3DB" w14:textId="77777777" w:rsidR="00391F03" w:rsidRPr="004A1AC5" w:rsidRDefault="00414F4C" w:rsidP="00D458E1">
      <w:pPr>
        <w:jc w:val="both"/>
        <w:rPr>
          <w:rFonts w:ascii="Arial" w:hAnsi="Arial" w:cs="Arial"/>
          <w:spacing w:val="0"/>
          <w:sz w:val="22"/>
          <w:szCs w:val="22"/>
          <w:lang w:val="es-EC"/>
        </w:rPr>
      </w:pPr>
      <m:oMathPara>
        <m:oMathParaPr>
          <m:jc m:val="left"/>
        </m:oMathParaPr>
        <m:oMath>
          <m:sSub>
            <m:sSubPr>
              <m:ctrlPr>
                <w:rPr>
                  <w:rFonts w:ascii="Cambria Math" w:eastAsia="Calibri" w:hAnsi="Cambria Math" w:cs="Arial"/>
                  <w:i/>
                  <w:spacing w:val="0"/>
                  <w:sz w:val="22"/>
                  <w:szCs w:val="22"/>
                  <w:lang w:val="es-EC"/>
                </w:rPr>
              </m:ctrlPr>
            </m:sSubPr>
            <m:e>
              <m:r>
                <w:rPr>
                  <w:rFonts w:ascii="Cambria Math" w:eastAsia="Calibri" w:hAnsi="Cambria Math" w:cs="Arial"/>
                  <w:spacing w:val="0"/>
                  <w:sz w:val="22"/>
                  <w:szCs w:val="22"/>
                  <w:lang w:val="es-EC"/>
                </w:rPr>
                <m:t>K</m:t>
              </m:r>
            </m:e>
            <m:sub>
              <m:r>
                <w:rPr>
                  <w:rFonts w:ascii="Cambria Math" w:eastAsia="Calibri" w:hAnsi="Cambria Math" w:cs="Arial"/>
                  <w:spacing w:val="0"/>
                  <w:sz w:val="22"/>
                  <w:szCs w:val="22"/>
                  <w:lang w:val="es-EC"/>
                </w:rPr>
                <m:t>d</m:t>
              </m:r>
            </m:sub>
          </m:sSub>
          <m:r>
            <w:rPr>
              <w:rFonts w:ascii="Cambria Math" w:eastAsia="Calibri" w:hAnsi="Cambria Math" w:cs="Arial"/>
              <w:spacing w:val="0"/>
              <w:sz w:val="22"/>
              <w:szCs w:val="22"/>
              <w:lang w:val="es-EC"/>
            </w:rPr>
            <m:t>→</m:t>
          </m:r>
          <m:r>
            <m:rPr>
              <m:sty m:val="p"/>
            </m:rPr>
            <w:rPr>
              <w:rFonts w:ascii="Cambria Math" w:eastAsia="Calibri" w:hAnsi="Cambria Math" w:cs="Arial"/>
              <w:spacing w:val="0"/>
              <w:sz w:val="22"/>
              <w:szCs w:val="22"/>
              <w:lang w:val="es-EC"/>
            </w:rPr>
            <m:t>coste de la deuda antes de impuestos = rentabilidad exigida a la deuda</m:t>
          </m:r>
        </m:oMath>
      </m:oMathPara>
    </w:p>
    <w:p w14:paraId="26AE7729" w14:textId="77777777" w:rsidR="00391F03" w:rsidRPr="004A1AC5" w:rsidRDefault="00391F03" w:rsidP="00D458E1">
      <w:pPr>
        <w:jc w:val="both"/>
        <w:rPr>
          <w:rFonts w:ascii="Arial" w:hAnsi="Arial" w:cs="Arial"/>
          <w:spacing w:val="0"/>
          <w:sz w:val="22"/>
          <w:szCs w:val="22"/>
          <w:lang w:val="es-EC"/>
        </w:rPr>
      </w:pPr>
      <m:oMathPara>
        <m:oMathParaPr>
          <m:jc m:val="left"/>
        </m:oMathParaPr>
        <m:oMath>
          <m:r>
            <w:rPr>
              <w:rFonts w:ascii="Cambria Math" w:eastAsia="Calibri" w:hAnsi="Cambria Math" w:cs="Arial"/>
              <w:spacing w:val="0"/>
              <w:sz w:val="22"/>
              <w:szCs w:val="22"/>
              <w:lang w:val="es-EC"/>
            </w:rPr>
            <m:t>T→</m:t>
          </m:r>
          <m:r>
            <m:rPr>
              <m:sty m:val="p"/>
            </m:rPr>
            <w:rPr>
              <w:rFonts w:ascii="Cambria Math" w:eastAsia="Calibri" w:hAnsi="Cambria Math" w:cs="Arial"/>
              <w:spacing w:val="0"/>
              <w:sz w:val="22"/>
              <w:szCs w:val="22"/>
              <w:lang w:val="es-EC"/>
            </w:rPr>
            <m:t>tasa impositiva</m:t>
          </m:r>
        </m:oMath>
      </m:oMathPara>
    </w:p>
    <w:p w14:paraId="0E1E2821" w14:textId="77777777" w:rsidR="00391F03" w:rsidRPr="004A1AC5" w:rsidRDefault="00414F4C" w:rsidP="00D458E1">
      <w:pPr>
        <w:jc w:val="both"/>
        <w:rPr>
          <w:rFonts w:ascii="Arial" w:hAnsi="Arial" w:cs="Arial"/>
          <w:spacing w:val="0"/>
          <w:sz w:val="22"/>
          <w:szCs w:val="22"/>
          <w:lang w:val="es-EC"/>
        </w:rPr>
      </w:pPr>
      <m:oMathPara>
        <m:oMathParaPr>
          <m:jc m:val="left"/>
        </m:oMathParaPr>
        <m:oMath>
          <m:sSub>
            <m:sSubPr>
              <m:ctrlPr>
                <w:rPr>
                  <w:rFonts w:ascii="Cambria Math" w:eastAsia="Calibri" w:hAnsi="Cambria Math" w:cs="Arial"/>
                  <w:i/>
                  <w:spacing w:val="0"/>
                  <w:sz w:val="22"/>
                  <w:szCs w:val="22"/>
                  <w:lang w:val="es-EC"/>
                </w:rPr>
              </m:ctrlPr>
            </m:sSubPr>
            <m:e>
              <m:r>
                <w:rPr>
                  <w:rFonts w:ascii="Cambria Math" w:eastAsia="Calibri" w:hAnsi="Cambria Math" w:cs="Arial"/>
                  <w:spacing w:val="0"/>
                  <w:sz w:val="22"/>
                  <w:szCs w:val="22"/>
                  <w:lang w:val="es-EC"/>
                </w:rPr>
                <m:t>K</m:t>
              </m:r>
            </m:e>
            <m:sub>
              <m:r>
                <w:rPr>
                  <w:rFonts w:ascii="Cambria Math" w:eastAsia="Calibri" w:hAnsi="Cambria Math" w:cs="Arial"/>
                  <w:spacing w:val="0"/>
                  <w:sz w:val="22"/>
                  <w:szCs w:val="22"/>
                  <w:lang w:val="es-EC"/>
                </w:rPr>
                <m:t>e</m:t>
              </m:r>
            </m:sub>
          </m:sSub>
          <m:r>
            <w:rPr>
              <w:rFonts w:ascii="Cambria Math" w:eastAsia="Calibri" w:hAnsi="Cambria Math" w:cs="Arial"/>
              <w:spacing w:val="0"/>
              <w:sz w:val="22"/>
              <w:szCs w:val="22"/>
              <w:lang w:val="es-EC"/>
            </w:rPr>
            <m:t>→</m:t>
          </m:r>
          <m:r>
            <m:rPr>
              <m:sty m:val="p"/>
            </m:rPr>
            <w:rPr>
              <w:rFonts w:ascii="Cambria Math" w:eastAsia="Calibri" w:hAnsi="Cambria Math" w:cs="Arial"/>
              <w:spacing w:val="0"/>
              <w:sz w:val="22"/>
              <w:szCs w:val="22"/>
              <w:lang w:val="es-EC"/>
            </w:rPr>
            <m:t>rentabilidad exigida a las acciones</m:t>
          </m:r>
        </m:oMath>
      </m:oMathPara>
    </w:p>
    <w:p w14:paraId="233AD037" w14:textId="77777777" w:rsidR="00B61103" w:rsidRDefault="00B61103" w:rsidP="00D458E1">
      <w:pPr>
        <w:jc w:val="both"/>
        <w:rPr>
          <w:rFonts w:ascii="Arial" w:hAnsi="Arial" w:cs="Arial"/>
          <w:spacing w:val="0"/>
          <w:sz w:val="22"/>
          <w:szCs w:val="22"/>
          <w:lang w:val="es-EC"/>
        </w:rPr>
      </w:pPr>
    </w:p>
    <w:p w14:paraId="40D0792D" w14:textId="77777777" w:rsidR="00391F03" w:rsidRPr="004A1AC5" w:rsidRDefault="00391F03" w:rsidP="00D458E1">
      <w:pPr>
        <w:jc w:val="both"/>
        <w:rPr>
          <w:rFonts w:ascii="Arial" w:eastAsia="Calibri" w:hAnsi="Arial" w:cs="Arial"/>
          <w:spacing w:val="0"/>
          <w:sz w:val="22"/>
          <w:szCs w:val="22"/>
          <w:lang w:val="es-EC"/>
        </w:rPr>
      </w:pPr>
      <w:r w:rsidRPr="004A1AC5">
        <w:rPr>
          <w:rFonts w:ascii="Arial" w:hAnsi="Arial" w:cs="Arial"/>
          <w:spacing w:val="0"/>
          <w:sz w:val="22"/>
          <w:szCs w:val="22"/>
          <w:lang w:val="es-EC"/>
        </w:rPr>
        <w:t xml:space="preserve">La información requerida para este cálculo se encuentra en </w:t>
      </w:r>
      <w:r w:rsidRPr="004A1AC5">
        <w:rPr>
          <w:rFonts w:ascii="Arial" w:eastAsia="Calibri" w:hAnsi="Arial" w:cs="Arial"/>
          <w:spacing w:val="0"/>
          <w:sz w:val="22"/>
          <w:szCs w:val="22"/>
          <w:lang w:val="es-EC"/>
        </w:rPr>
        <w:t>los Balances de Situación y Resultados de cada empresa.</w:t>
      </w:r>
    </w:p>
    <w:p w14:paraId="08B3B5B9" w14:textId="77777777" w:rsidR="00E3593A" w:rsidRPr="004A1AC5" w:rsidRDefault="00E3593A" w:rsidP="00B02122">
      <w:pPr>
        <w:pStyle w:val="ListParagraph"/>
        <w:spacing w:after="160"/>
        <w:ind w:left="360"/>
        <w:jc w:val="both"/>
        <w:rPr>
          <w:rFonts w:ascii="Arial" w:eastAsia="Calibri" w:hAnsi="Arial" w:cs="Arial"/>
          <w:sz w:val="22"/>
          <w:szCs w:val="22"/>
          <w:lang w:val="es-EC"/>
        </w:rPr>
      </w:pPr>
    </w:p>
    <w:p w14:paraId="70166177" w14:textId="5035D7C9" w:rsidR="00391F03" w:rsidRPr="004A1AC5" w:rsidRDefault="00391F03" w:rsidP="00B02122">
      <w:pPr>
        <w:pStyle w:val="ListParagraph"/>
        <w:numPr>
          <w:ilvl w:val="1"/>
          <w:numId w:val="10"/>
        </w:numPr>
        <w:spacing w:after="160"/>
        <w:ind w:left="720" w:hanging="720"/>
        <w:jc w:val="both"/>
        <w:rPr>
          <w:rFonts w:ascii="Arial" w:eastAsia="Calibri" w:hAnsi="Arial" w:cs="Arial"/>
          <w:b/>
          <w:sz w:val="22"/>
          <w:szCs w:val="22"/>
          <w:lang w:val="es-EC"/>
        </w:rPr>
      </w:pPr>
      <w:r w:rsidRPr="004A1AC5">
        <w:rPr>
          <w:rFonts w:ascii="Arial" w:eastAsia="Calibri" w:hAnsi="Arial" w:cs="Arial"/>
          <w:b/>
          <w:sz w:val="22"/>
          <w:szCs w:val="22"/>
          <w:lang w:val="es-EC"/>
        </w:rPr>
        <w:t>El indicador de transparencia INDEP</w:t>
      </w:r>
      <w:r w:rsidR="00632A36" w:rsidRPr="004A1AC5">
        <w:rPr>
          <w:rFonts w:ascii="Arial" w:eastAsia="Calibri" w:hAnsi="Arial" w:cs="Arial"/>
          <w:b/>
          <w:sz w:val="22"/>
          <w:szCs w:val="22"/>
          <w:lang w:val="es-EC"/>
        </w:rPr>
        <w:t xml:space="preserve">. </w:t>
      </w:r>
      <w:r w:rsidRPr="004A1AC5">
        <w:rPr>
          <w:rFonts w:ascii="Arial" w:eastAsia="Calibri" w:hAnsi="Arial" w:cs="Arial"/>
          <w:sz w:val="22"/>
          <w:szCs w:val="22"/>
          <w:lang w:val="es-EC"/>
        </w:rPr>
        <w:t>Est</w:t>
      </w:r>
      <w:r w:rsidR="004A1AC5" w:rsidRPr="004A1AC5">
        <w:rPr>
          <w:rFonts w:ascii="Arial" w:eastAsia="Calibri" w:hAnsi="Arial" w:cs="Arial"/>
          <w:sz w:val="22"/>
          <w:szCs w:val="22"/>
          <w:lang w:val="es-EC"/>
        </w:rPr>
        <w:t>e índice se diseñó para medir la</w:t>
      </w:r>
      <w:r w:rsidRPr="004A1AC5">
        <w:rPr>
          <w:rFonts w:ascii="Arial" w:eastAsia="Calibri" w:hAnsi="Arial" w:cs="Arial"/>
          <w:sz w:val="22"/>
          <w:szCs w:val="22"/>
          <w:lang w:val="es-EC"/>
        </w:rPr>
        <w:t xml:space="preserve"> transparencia ante los ciudadanos y la sociedad de las Empresas públicas estatales</w:t>
      </w:r>
      <w:r w:rsidR="004A1AC5" w:rsidRPr="004A1AC5">
        <w:rPr>
          <w:rFonts w:ascii="Arial" w:eastAsia="Calibri" w:hAnsi="Arial" w:cs="Arial"/>
          <w:sz w:val="22"/>
          <w:szCs w:val="22"/>
          <w:lang w:val="es-EC"/>
        </w:rPr>
        <w:t>;</w:t>
      </w:r>
      <w:r w:rsidRPr="004A1AC5">
        <w:rPr>
          <w:rFonts w:ascii="Arial" w:eastAsia="Calibri" w:hAnsi="Arial" w:cs="Arial"/>
          <w:sz w:val="22"/>
          <w:szCs w:val="22"/>
          <w:lang w:val="es-EC"/>
        </w:rPr>
        <w:t xml:space="preserve"> además de</w:t>
      </w:r>
      <w:r w:rsidR="004A1AC5" w:rsidRPr="004A1AC5">
        <w:rPr>
          <w:rFonts w:ascii="Arial" w:eastAsia="Calibri" w:hAnsi="Arial" w:cs="Arial"/>
          <w:sz w:val="22"/>
          <w:szCs w:val="22"/>
          <w:lang w:val="es-EC"/>
        </w:rPr>
        <w:t>,</w:t>
      </w:r>
      <w:r w:rsidRPr="004A1AC5">
        <w:rPr>
          <w:rFonts w:ascii="Arial" w:eastAsia="Calibri" w:hAnsi="Arial" w:cs="Arial"/>
          <w:sz w:val="22"/>
          <w:szCs w:val="22"/>
          <w:lang w:val="es-EC"/>
        </w:rPr>
        <w:t xml:space="preserve"> “fomentar la cultura informativa de las propias Empresas públicas” </w:t>
      </w:r>
      <w:sdt>
        <w:sdtPr>
          <w:rPr>
            <w:rFonts w:eastAsia="Calibri"/>
          </w:rPr>
          <w:id w:val="1474954253"/>
          <w:citation/>
        </w:sdtPr>
        <w:sdtEndPr/>
        <w:sdtContent>
          <w:r w:rsidRPr="004A1AC5">
            <w:rPr>
              <w:rFonts w:ascii="Arial" w:eastAsia="Calibri" w:hAnsi="Arial" w:cs="Arial"/>
              <w:sz w:val="22"/>
              <w:szCs w:val="22"/>
              <w:lang w:val="es-EC"/>
            </w:rPr>
            <w:fldChar w:fldCharType="begin"/>
          </w:r>
          <w:r w:rsidRPr="004A1AC5">
            <w:rPr>
              <w:rFonts w:ascii="Arial" w:eastAsia="Calibri" w:hAnsi="Arial" w:cs="Arial"/>
              <w:sz w:val="22"/>
              <w:szCs w:val="22"/>
              <w:lang w:val="es-EC"/>
            </w:rPr>
            <w:instrText xml:space="preserve"> CITATION Tra19 \l 12298 </w:instrText>
          </w:r>
          <w:r w:rsidRPr="004A1AC5">
            <w:rPr>
              <w:rFonts w:ascii="Arial" w:eastAsia="Calibri" w:hAnsi="Arial" w:cs="Arial"/>
              <w:sz w:val="22"/>
              <w:szCs w:val="22"/>
              <w:lang w:val="es-EC"/>
            </w:rPr>
            <w:fldChar w:fldCharType="separate"/>
          </w:r>
          <w:r w:rsidRPr="004A1AC5">
            <w:rPr>
              <w:rFonts w:ascii="Arial" w:eastAsia="Calibri" w:hAnsi="Arial" w:cs="Arial"/>
              <w:noProof/>
              <w:sz w:val="22"/>
              <w:szCs w:val="22"/>
              <w:lang w:val="es-EC"/>
            </w:rPr>
            <w:t>(Transparency International España, s.f.)</w:t>
          </w:r>
          <w:r w:rsidRPr="004A1AC5">
            <w:rPr>
              <w:rFonts w:ascii="Arial" w:eastAsia="Calibri" w:hAnsi="Arial" w:cs="Arial"/>
              <w:sz w:val="22"/>
              <w:szCs w:val="22"/>
              <w:lang w:val="es-EC"/>
            </w:rPr>
            <w:fldChar w:fldCharType="end"/>
          </w:r>
        </w:sdtContent>
      </w:sdt>
      <w:r w:rsidRPr="004A1AC5">
        <w:rPr>
          <w:rFonts w:ascii="Arial" w:eastAsia="Calibri" w:hAnsi="Arial" w:cs="Arial"/>
          <w:sz w:val="22"/>
          <w:szCs w:val="22"/>
          <w:lang w:val="es-EC"/>
        </w:rPr>
        <w:t xml:space="preserve">. Para llevar a cabo el cálculo de este índice se </w:t>
      </w:r>
      <w:r w:rsidR="004A1AC5" w:rsidRPr="004A1AC5">
        <w:rPr>
          <w:rFonts w:ascii="Arial" w:eastAsia="Calibri" w:hAnsi="Arial" w:cs="Arial"/>
          <w:sz w:val="22"/>
          <w:szCs w:val="22"/>
          <w:lang w:val="es-EC"/>
        </w:rPr>
        <w:t>utilizó</w:t>
      </w:r>
      <w:r w:rsidRPr="004A1AC5">
        <w:rPr>
          <w:rFonts w:ascii="Arial" w:eastAsia="Calibri" w:hAnsi="Arial" w:cs="Arial"/>
          <w:sz w:val="22"/>
          <w:szCs w:val="22"/>
          <w:lang w:val="es-EC"/>
        </w:rPr>
        <w:t xml:space="preserve"> un cuestionario, el cual fue llenado por 45 de las principales empresas estatales españolas. Las áreas de transparencia que se evalúan en este índice son las siguientes:</w:t>
      </w:r>
    </w:p>
    <w:p w14:paraId="25A60D0A"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Transparencia activa e información sobre la empresa (21 indicadores)</w:t>
      </w:r>
    </w:p>
    <w:p w14:paraId="6E4F0761"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Relaciones con la sociedad, usuarios o partes interesadas y calidad de servicios (8 indicadores)</w:t>
      </w:r>
    </w:p>
    <w:p w14:paraId="68DB10C4"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Transparencia económico-financiera (12 indicadores)</w:t>
      </w:r>
    </w:p>
    <w:p w14:paraId="371F2B36"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Transparencia en las contrataciones y convenios (9 indicadores)</w:t>
      </w:r>
    </w:p>
    <w:p w14:paraId="41C981B2"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Derecho de acceso a la información (4 indicadores)</w:t>
      </w:r>
    </w:p>
    <w:p w14:paraId="6A8163A7"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Prevención de la corrupción y cumplimiento en transparencia y buen gobierno (6 indicadores)</w:t>
      </w:r>
    </w:p>
    <w:p w14:paraId="00D8DD48" w14:textId="1FAE5BD2" w:rsidR="00391F03" w:rsidRPr="004A1AC5" w:rsidRDefault="00391F03" w:rsidP="00B02122">
      <w:pPr>
        <w:spacing w:after="160"/>
        <w:ind w:left="720"/>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Cada subindicador podía ser evaluado de acuerdo al siguiente puntaje:</w:t>
      </w:r>
    </w:p>
    <w:p w14:paraId="1AADBDF1"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 xml:space="preserve">1 punto: Si la información del Indicador está publicada en la Web de la empresa. </w:t>
      </w:r>
    </w:p>
    <w:p w14:paraId="165C9587"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0.5 puntos: Si la información se publica parcialmente en dicha Web.</w:t>
      </w:r>
    </w:p>
    <w:p w14:paraId="78E12C40" w14:textId="77777777" w:rsidR="00391F03" w:rsidRPr="004A1AC5" w:rsidRDefault="00391F03" w:rsidP="00266E44">
      <w:pPr>
        <w:numPr>
          <w:ilvl w:val="0"/>
          <w:numId w:val="31"/>
        </w:numPr>
        <w:spacing w:after="160"/>
        <w:contextualSpacing/>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t>0 puntos: Si no se publica la información en la citada Web.</w:t>
      </w:r>
    </w:p>
    <w:p w14:paraId="716B9164" w14:textId="77777777" w:rsidR="00391F03" w:rsidRPr="004A1AC5" w:rsidRDefault="00391F03" w:rsidP="00B02122">
      <w:pPr>
        <w:spacing w:after="160"/>
        <w:ind w:left="720"/>
        <w:jc w:val="both"/>
        <w:rPr>
          <w:rFonts w:ascii="Arial" w:eastAsia="Calibri" w:hAnsi="Arial" w:cs="Arial"/>
          <w:spacing w:val="0"/>
          <w:sz w:val="22"/>
          <w:szCs w:val="22"/>
          <w:lang w:val="es-EC"/>
        </w:rPr>
      </w:pPr>
      <w:r w:rsidRPr="004A1AC5">
        <w:rPr>
          <w:rFonts w:ascii="Arial" w:eastAsia="Calibri" w:hAnsi="Arial" w:cs="Arial"/>
          <w:spacing w:val="0"/>
          <w:sz w:val="22"/>
          <w:szCs w:val="22"/>
          <w:lang w:val="es-EC"/>
        </w:rPr>
        <w:lastRenderedPageBreak/>
        <w:t xml:space="preserve">El ranking, tanto del Índice total como el Índice por áreas de transparencia, se valoró entre 1 a 100. </w:t>
      </w:r>
    </w:p>
    <w:p w14:paraId="4FC7963A" w14:textId="77777777" w:rsidR="00D458E1" w:rsidRDefault="00391F03" w:rsidP="00B02122">
      <w:pPr>
        <w:spacing w:after="160"/>
        <w:ind w:left="720"/>
        <w:jc w:val="both"/>
        <w:rPr>
          <w:rFonts w:ascii="Arial" w:eastAsia="Calibri" w:hAnsi="Arial" w:cs="Arial"/>
          <w:sz w:val="22"/>
          <w:szCs w:val="22"/>
          <w:lang w:val="es-EC"/>
        </w:rPr>
      </w:pPr>
      <w:r w:rsidRPr="004A1AC5">
        <w:rPr>
          <w:rFonts w:ascii="Arial" w:eastAsia="Calibri" w:hAnsi="Arial" w:cs="Arial"/>
          <w:spacing w:val="0"/>
          <w:sz w:val="22"/>
          <w:szCs w:val="22"/>
          <w:lang w:val="es-EC"/>
        </w:rPr>
        <w:t xml:space="preserve">Para comprobar la veracidad de las respuestas, fue necesario que las empresas indiquen la localización exacta de los datos que estas hubieran incorporado de respecto a cada indicador </w:t>
      </w:r>
      <w:sdt>
        <w:sdtPr>
          <w:rPr>
            <w:rFonts w:ascii="Arial" w:eastAsia="Calibri" w:hAnsi="Arial" w:cs="Arial"/>
            <w:spacing w:val="0"/>
            <w:sz w:val="22"/>
            <w:szCs w:val="22"/>
            <w:lang w:val="es-EC"/>
          </w:rPr>
          <w:id w:val="-840932041"/>
          <w:citation/>
        </w:sdtPr>
        <w:sdtEndPr/>
        <w:sdtContent>
          <w:r w:rsidRPr="004A1AC5">
            <w:rPr>
              <w:rFonts w:ascii="Arial" w:eastAsia="Calibri" w:hAnsi="Arial" w:cs="Arial"/>
              <w:spacing w:val="0"/>
              <w:sz w:val="22"/>
              <w:szCs w:val="22"/>
              <w:lang w:val="es-EC"/>
            </w:rPr>
            <w:fldChar w:fldCharType="begin"/>
          </w:r>
          <w:r w:rsidRPr="004A1AC5">
            <w:rPr>
              <w:rFonts w:ascii="Arial" w:eastAsia="Calibri" w:hAnsi="Arial" w:cs="Arial"/>
              <w:spacing w:val="0"/>
              <w:sz w:val="22"/>
              <w:szCs w:val="22"/>
              <w:lang w:val="es-EC"/>
            </w:rPr>
            <w:instrText xml:space="preserve"> CITATION Tra18 \l 12298 </w:instrText>
          </w:r>
          <w:r w:rsidRPr="004A1AC5">
            <w:rPr>
              <w:rFonts w:ascii="Arial" w:eastAsia="Calibri" w:hAnsi="Arial" w:cs="Arial"/>
              <w:spacing w:val="0"/>
              <w:sz w:val="22"/>
              <w:szCs w:val="22"/>
              <w:lang w:val="es-EC"/>
            </w:rPr>
            <w:fldChar w:fldCharType="separate"/>
          </w:r>
          <w:r w:rsidRPr="004A1AC5">
            <w:rPr>
              <w:rFonts w:ascii="Arial" w:eastAsia="Calibri" w:hAnsi="Arial" w:cs="Arial"/>
              <w:noProof/>
              <w:spacing w:val="0"/>
              <w:sz w:val="22"/>
              <w:szCs w:val="22"/>
              <w:lang w:val="es-EC"/>
            </w:rPr>
            <w:t>(Transparency International España, 2018)</w:t>
          </w:r>
          <w:r w:rsidRPr="004A1AC5">
            <w:rPr>
              <w:rFonts w:ascii="Arial" w:eastAsia="Calibri" w:hAnsi="Arial" w:cs="Arial"/>
              <w:spacing w:val="0"/>
              <w:sz w:val="22"/>
              <w:szCs w:val="22"/>
              <w:lang w:val="es-EC"/>
            </w:rPr>
            <w:fldChar w:fldCharType="end"/>
          </w:r>
        </w:sdtContent>
      </w:sdt>
      <w:r w:rsidRPr="004A1AC5">
        <w:rPr>
          <w:rFonts w:ascii="Arial" w:eastAsia="Calibri" w:hAnsi="Arial" w:cs="Arial"/>
          <w:spacing w:val="0"/>
          <w:sz w:val="22"/>
          <w:szCs w:val="22"/>
          <w:lang w:val="es-EC"/>
        </w:rPr>
        <w:t xml:space="preserve">. </w:t>
      </w:r>
      <w:r w:rsidRPr="004A1AC5">
        <w:rPr>
          <w:rFonts w:ascii="Arial" w:eastAsia="Calibri" w:hAnsi="Arial" w:cs="Arial"/>
          <w:sz w:val="22"/>
          <w:szCs w:val="22"/>
          <w:lang w:val="es-EC"/>
        </w:rPr>
        <w:t xml:space="preserve">Ya que algunas de las áreas que evalúa este índice se elaboraron considerando la ley española, en nuestro caso particular se utilizará como base este </w:t>
      </w:r>
      <w:r w:rsidR="009E7D79" w:rsidRPr="004A1AC5">
        <w:rPr>
          <w:rFonts w:ascii="Arial" w:eastAsia="Calibri" w:hAnsi="Arial" w:cs="Arial"/>
          <w:sz w:val="22"/>
          <w:szCs w:val="22"/>
          <w:lang w:val="es-EC"/>
        </w:rPr>
        <w:t>índice,</w:t>
      </w:r>
      <w:r w:rsidRPr="004A1AC5">
        <w:rPr>
          <w:rFonts w:ascii="Arial" w:eastAsia="Calibri" w:hAnsi="Arial" w:cs="Arial"/>
          <w:sz w:val="22"/>
          <w:szCs w:val="22"/>
          <w:lang w:val="es-EC"/>
        </w:rPr>
        <w:t xml:space="preserve"> pero se </w:t>
      </w:r>
      <w:r w:rsidR="004A1AC5" w:rsidRPr="004A1AC5">
        <w:rPr>
          <w:rFonts w:ascii="Arial" w:eastAsia="Calibri" w:hAnsi="Arial" w:cs="Arial"/>
          <w:sz w:val="22"/>
          <w:szCs w:val="22"/>
          <w:lang w:val="es-EC"/>
        </w:rPr>
        <w:t>enmarcará en</w:t>
      </w:r>
      <w:r w:rsidRPr="004A1AC5">
        <w:rPr>
          <w:rFonts w:ascii="Arial" w:eastAsia="Calibri" w:hAnsi="Arial" w:cs="Arial"/>
          <w:sz w:val="22"/>
          <w:szCs w:val="22"/>
          <w:lang w:val="es-EC"/>
        </w:rPr>
        <w:t xml:space="preserve"> la normativa ecuatoriana</w:t>
      </w:r>
      <w:r w:rsidR="004A1AC5" w:rsidRPr="004A1AC5">
        <w:rPr>
          <w:rFonts w:ascii="Arial" w:eastAsia="Calibri" w:hAnsi="Arial" w:cs="Arial"/>
          <w:sz w:val="22"/>
          <w:szCs w:val="22"/>
          <w:lang w:val="es-EC"/>
        </w:rPr>
        <w:t>,</w:t>
      </w:r>
      <w:r w:rsidRPr="004A1AC5">
        <w:rPr>
          <w:rFonts w:ascii="Arial" w:eastAsia="Calibri" w:hAnsi="Arial" w:cs="Arial"/>
          <w:sz w:val="22"/>
          <w:szCs w:val="22"/>
          <w:lang w:val="es-EC"/>
        </w:rPr>
        <w:t xml:space="preserve"> referente a trasparencia.</w:t>
      </w:r>
    </w:p>
    <w:p w14:paraId="22528FD8" w14:textId="77777777" w:rsidR="00B61103" w:rsidRDefault="00B61103" w:rsidP="00B02122">
      <w:pPr>
        <w:spacing w:after="160"/>
        <w:ind w:left="720"/>
        <w:jc w:val="both"/>
        <w:rPr>
          <w:rFonts w:ascii="Arial" w:eastAsia="Calibri" w:hAnsi="Arial" w:cs="Arial"/>
          <w:sz w:val="22"/>
          <w:szCs w:val="22"/>
          <w:lang w:val="es-EC"/>
        </w:rPr>
        <w:sectPr w:rsidR="00B61103" w:rsidSect="0016497F">
          <w:pgSz w:w="12240" w:h="15840" w:code="1"/>
          <w:pgMar w:top="1276" w:right="1440" w:bottom="1440" w:left="1440" w:header="720" w:footer="720" w:gutter="0"/>
          <w:cols w:space="720"/>
          <w:docGrid w:linePitch="360"/>
        </w:sectPr>
      </w:pPr>
    </w:p>
    <w:p w14:paraId="1F202830" w14:textId="17D9AFDF" w:rsidR="00D458E1" w:rsidRPr="00D458E1" w:rsidRDefault="00D458E1" w:rsidP="00D458E1">
      <w:pPr>
        <w:rPr>
          <w:rFonts w:ascii="Arial" w:eastAsia="Calibri" w:hAnsi="Arial" w:cs="Arial"/>
          <w:sz w:val="22"/>
          <w:szCs w:val="22"/>
          <w:lang w:val="es-EC"/>
        </w:rPr>
      </w:pPr>
      <w:r w:rsidRPr="00D458E1">
        <w:rPr>
          <w:rFonts w:ascii="Arial" w:eastAsia="Calibri" w:hAnsi="Arial" w:cs="Arial"/>
          <w:sz w:val="22"/>
          <w:szCs w:val="22"/>
          <w:lang w:val="es-EC"/>
        </w:rPr>
        <w:lastRenderedPageBreak/>
        <w:t xml:space="preserve">A continuación se presentan de manera referencial y agregada las actividades a desarrollar para el análisis Antes  y Después y los tiempos estimados para el mismo. </w:t>
      </w:r>
    </w:p>
    <w:p w14:paraId="36DB150C" w14:textId="77777777" w:rsidR="00D458E1" w:rsidRDefault="00D458E1" w:rsidP="00B02122">
      <w:pPr>
        <w:spacing w:after="160"/>
        <w:ind w:left="720"/>
        <w:jc w:val="both"/>
        <w:rPr>
          <w:rFonts w:ascii="Arial" w:eastAsia="Calibri" w:hAnsi="Arial" w:cs="Arial"/>
          <w:spacing w:val="0"/>
          <w:sz w:val="22"/>
          <w:szCs w:val="22"/>
          <w:lang w:val="es-EC"/>
        </w:rPr>
      </w:pPr>
    </w:p>
    <w:tbl>
      <w:tblPr>
        <w:tblW w:w="15615" w:type="dxa"/>
        <w:tblInd w:w="-1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54"/>
        <w:gridCol w:w="280"/>
        <w:gridCol w:w="280"/>
        <w:gridCol w:w="281"/>
        <w:gridCol w:w="283"/>
        <w:gridCol w:w="282"/>
        <w:gridCol w:w="282"/>
        <w:gridCol w:w="282"/>
        <w:gridCol w:w="286"/>
        <w:gridCol w:w="282"/>
        <w:gridCol w:w="414"/>
        <w:gridCol w:w="414"/>
        <w:gridCol w:w="414"/>
        <w:gridCol w:w="32"/>
        <w:gridCol w:w="382"/>
        <w:gridCol w:w="414"/>
        <w:gridCol w:w="414"/>
        <w:gridCol w:w="423"/>
        <w:gridCol w:w="539"/>
        <w:gridCol w:w="612"/>
        <w:gridCol w:w="282"/>
        <w:gridCol w:w="282"/>
        <w:gridCol w:w="282"/>
        <w:gridCol w:w="287"/>
        <w:gridCol w:w="282"/>
        <w:gridCol w:w="282"/>
        <w:gridCol w:w="282"/>
        <w:gridCol w:w="287"/>
        <w:gridCol w:w="282"/>
        <w:gridCol w:w="414"/>
        <w:gridCol w:w="414"/>
        <w:gridCol w:w="414"/>
        <w:gridCol w:w="32"/>
        <w:gridCol w:w="382"/>
        <w:gridCol w:w="414"/>
        <w:gridCol w:w="414"/>
        <w:gridCol w:w="33"/>
      </w:tblGrid>
      <w:tr w:rsidR="00D458E1" w:rsidRPr="00D458E1" w14:paraId="6CE3A2FC" w14:textId="77777777" w:rsidTr="004049D6">
        <w:trPr>
          <w:trHeight w:val="642"/>
          <w:tblHeader/>
        </w:trPr>
        <w:tc>
          <w:tcPr>
            <w:tcW w:w="3958" w:type="dxa"/>
            <w:vMerge w:val="restart"/>
            <w:shd w:val="clear" w:color="000000" w:fill="1F4E78"/>
            <w:vAlign w:val="center"/>
            <w:hideMark/>
          </w:tcPr>
          <w:p w14:paraId="236F70D0"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Actividades</w:t>
            </w:r>
          </w:p>
        </w:tc>
        <w:tc>
          <w:tcPr>
            <w:tcW w:w="1126" w:type="dxa"/>
            <w:gridSpan w:val="4"/>
            <w:shd w:val="clear" w:color="000000" w:fill="1F4E78"/>
            <w:vAlign w:val="center"/>
            <w:hideMark/>
          </w:tcPr>
          <w:p w14:paraId="0547AB24"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1</w:t>
            </w:r>
          </w:p>
        </w:tc>
        <w:tc>
          <w:tcPr>
            <w:tcW w:w="1132" w:type="dxa"/>
            <w:gridSpan w:val="4"/>
            <w:shd w:val="clear" w:color="000000" w:fill="1F4E78"/>
            <w:vAlign w:val="center"/>
            <w:hideMark/>
          </w:tcPr>
          <w:p w14:paraId="297D33CF"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2</w:t>
            </w:r>
          </w:p>
        </w:tc>
        <w:tc>
          <w:tcPr>
            <w:tcW w:w="1556" w:type="dxa"/>
            <w:gridSpan w:val="5"/>
            <w:shd w:val="clear" w:color="000000" w:fill="1F4E78"/>
            <w:vAlign w:val="center"/>
            <w:hideMark/>
          </w:tcPr>
          <w:p w14:paraId="43395AB9"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3</w:t>
            </w:r>
          </w:p>
        </w:tc>
        <w:tc>
          <w:tcPr>
            <w:tcW w:w="1633" w:type="dxa"/>
            <w:gridSpan w:val="4"/>
            <w:shd w:val="clear" w:color="000000" w:fill="1F4E78"/>
            <w:vAlign w:val="center"/>
            <w:hideMark/>
          </w:tcPr>
          <w:p w14:paraId="0A5A52D6"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4</w:t>
            </w:r>
          </w:p>
        </w:tc>
        <w:tc>
          <w:tcPr>
            <w:tcW w:w="1151" w:type="dxa"/>
            <w:gridSpan w:val="2"/>
            <w:vMerge w:val="restart"/>
            <w:shd w:val="clear" w:color="000000" w:fill="EDEDED"/>
            <w:vAlign w:val="center"/>
            <w:hideMark/>
          </w:tcPr>
          <w:p w14:paraId="4628973C" w14:textId="77777777" w:rsidR="00D458E1" w:rsidRPr="00D458E1" w:rsidRDefault="00D458E1" w:rsidP="00D458E1">
            <w:pPr>
              <w:jc w:val="center"/>
              <w:rPr>
                <w:rFonts w:ascii="Calibri Light" w:hAnsi="Calibri Light" w:cs="Calibri Light"/>
                <w:b/>
                <w:bCs/>
                <w:color w:val="000000"/>
                <w:spacing w:val="0"/>
                <w:sz w:val="18"/>
                <w:szCs w:val="18"/>
                <w:lang w:val="es-EC" w:eastAsia="es-EC"/>
              </w:rPr>
            </w:pPr>
            <w:r w:rsidRPr="00D458E1">
              <w:rPr>
                <w:rFonts w:ascii="Calibri Light" w:hAnsi="Calibri Light" w:cs="Calibri Light"/>
                <w:b/>
                <w:bCs/>
                <w:color w:val="000000"/>
                <w:spacing w:val="0"/>
                <w:sz w:val="18"/>
                <w:szCs w:val="18"/>
                <w:lang w:val="es-EC" w:eastAsia="es-EC"/>
              </w:rPr>
              <w:t xml:space="preserve">Periodo de ejecución del proyecto y espera </w:t>
            </w:r>
          </w:p>
        </w:tc>
        <w:tc>
          <w:tcPr>
            <w:tcW w:w="1133" w:type="dxa"/>
            <w:gridSpan w:val="4"/>
            <w:shd w:val="clear" w:color="000000" w:fill="1F4E78"/>
            <w:vAlign w:val="center"/>
            <w:hideMark/>
          </w:tcPr>
          <w:p w14:paraId="1E3EBB2E"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1</w:t>
            </w:r>
          </w:p>
        </w:tc>
        <w:tc>
          <w:tcPr>
            <w:tcW w:w="1133" w:type="dxa"/>
            <w:gridSpan w:val="4"/>
            <w:shd w:val="clear" w:color="000000" w:fill="1F4E78"/>
            <w:vAlign w:val="center"/>
            <w:hideMark/>
          </w:tcPr>
          <w:p w14:paraId="679F9A24"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2</w:t>
            </w:r>
          </w:p>
        </w:tc>
        <w:tc>
          <w:tcPr>
            <w:tcW w:w="1556" w:type="dxa"/>
            <w:gridSpan w:val="5"/>
            <w:shd w:val="clear" w:color="000000" w:fill="1F4E78"/>
            <w:vAlign w:val="center"/>
            <w:hideMark/>
          </w:tcPr>
          <w:p w14:paraId="70E94D63"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3</w:t>
            </w:r>
          </w:p>
        </w:tc>
        <w:tc>
          <w:tcPr>
            <w:tcW w:w="1237" w:type="dxa"/>
            <w:gridSpan w:val="4"/>
            <w:shd w:val="clear" w:color="000000" w:fill="1F4E78"/>
            <w:vAlign w:val="center"/>
            <w:hideMark/>
          </w:tcPr>
          <w:p w14:paraId="414AC7E6" w14:textId="77777777" w:rsidR="00D458E1" w:rsidRPr="00D458E1" w:rsidRDefault="00D458E1" w:rsidP="00D458E1">
            <w:pPr>
              <w:jc w:val="center"/>
              <w:rPr>
                <w:rFonts w:ascii="Calibri Light" w:hAnsi="Calibri Light" w:cs="Calibri Light"/>
                <w:b/>
                <w:bCs/>
                <w:color w:val="FFFFFF"/>
                <w:spacing w:val="0"/>
                <w:sz w:val="18"/>
                <w:szCs w:val="18"/>
                <w:lang w:val="es-EC" w:eastAsia="es-EC"/>
              </w:rPr>
            </w:pPr>
            <w:r w:rsidRPr="00D458E1">
              <w:rPr>
                <w:rFonts w:ascii="Calibri Light" w:hAnsi="Calibri Light" w:cs="Calibri Light"/>
                <w:b/>
                <w:bCs/>
                <w:color w:val="FFFFFF"/>
                <w:spacing w:val="0"/>
                <w:sz w:val="18"/>
                <w:szCs w:val="18"/>
                <w:lang w:val="es-EC" w:eastAsia="es-EC"/>
              </w:rPr>
              <w:t>Mes 4</w:t>
            </w:r>
          </w:p>
        </w:tc>
      </w:tr>
      <w:tr w:rsidR="004049D6" w:rsidRPr="00D458E1" w14:paraId="73131B2B" w14:textId="77777777" w:rsidTr="004049D6">
        <w:trPr>
          <w:gridAfter w:val="1"/>
          <w:wAfter w:w="33" w:type="dxa"/>
          <w:trHeight w:val="335"/>
          <w:tblHeader/>
        </w:trPr>
        <w:tc>
          <w:tcPr>
            <w:tcW w:w="3958" w:type="dxa"/>
            <w:vMerge/>
            <w:vAlign w:val="center"/>
            <w:hideMark/>
          </w:tcPr>
          <w:p w14:paraId="73F094FB" w14:textId="77777777" w:rsidR="00D458E1" w:rsidRPr="00D458E1" w:rsidRDefault="00D458E1" w:rsidP="00D458E1">
            <w:pPr>
              <w:rPr>
                <w:rFonts w:ascii="Calibri Light" w:hAnsi="Calibri Light" w:cs="Calibri Light"/>
                <w:b/>
                <w:bCs/>
                <w:color w:val="FFFFFF"/>
                <w:spacing w:val="0"/>
                <w:sz w:val="18"/>
                <w:szCs w:val="18"/>
                <w:lang w:val="es-EC" w:eastAsia="es-EC"/>
              </w:rPr>
            </w:pPr>
          </w:p>
        </w:tc>
        <w:tc>
          <w:tcPr>
            <w:tcW w:w="281" w:type="dxa"/>
            <w:shd w:val="clear" w:color="000000" w:fill="1F4E78"/>
            <w:vAlign w:val="center"/>
            <w:hideMark/>
          </w:tcPr>
          <w:p w14:paraId="6F904FB3"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w:t>
            </w:r>
          </w:p>
        </w:tc>
        <w:tc>
          <w:tcPr>
            <w:tcW w:w="281" w:type="dxa"/>
            <w:shd w:val="clear" w:color="000000" w:fill="1F4E78"/>
            <w:vAlign w:val="center"/>
            <w:hideMark/>
          </w:tcPr>
          <w:p w14:paraId="0E4E833C"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2</w:t>
            </w:r>
          </w:p>
        </w:tc>
        <w:tc>
          <w:tcPr>
            <w:tcW w:w="281" w:type="dxa"/>
            <w:shd w:val="clear" w:color="000000" w:fill="1F4E78"/>
            <w:vAlign w:val="center"/>
            <w:hideMark/>
          </w:tcPr>
          <w:p w14:paraId="750D5C5A"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3</w:t>
            </w:r>
          </w:p>
        </w:tc>
        <w:tc>
          <w:tcPr>
            <w:tcW w:w="282" w:type="dxa"/>
            <w:shd w:val="clear" w:color="000000" w:fill="1F4E78"/>
            <w:vAlign w:val="center"/>
            <w:hideMark/>
          </w:tcPr>
          <w:p w14:paraId="1C9CD472"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4</w:t>
            </w:r>
          </w:p>
        </w:tc>
        <w:tc>
          <w:tcPr>
            <w:tcW w:w="282" w:type="dxa"/>
            <w:shd w:val="clear" w:color="000000" w:fill="1F4E78"/>
            <w:vAlign w:val="center"/>
            <w:hideMark/>
          </w:tcPr>
          <w:p w14:paraId="478ED4AF"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5</w:t>
            </w:r>
          </w:p>
        </w:tc>
        <w:tc>
          <w:tcPr>
            <w:tcW w:w="282" w:type="dxa"/>
            <w:shd w:val="clear" w:color="000000" w:fill="1F4E78"/>
            <w:vAlign w:val="center"/>
            <w:hideMark/>
          </w:tcPr>
          <w:p w14:paraId="4D820B0D"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6</w:t>
            </w:r>
          </w:p>
        </w:tc>
        <w:tc>
          <w:tcPr>
            <w:tcW w:w="282" w:type="dxa"/>
            <w:shd w:val="clear" w:color="000000" w:fill="1F4E78"/>
            <w:vAlign w:val="center"/>
            <w:hideMark/>
          </w:tcPr>
          <w:p w14:paraId="10EEC486"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7</w:t>
            </w:r>
          </w:p>
        </w:tc>
        <w:tc>
          <w:tcPr>
            <w:tcW w:w="285" w:type="dxa"/>
            <w:shd w:val="clear" w:color="000000" w:fill="1F4E78"/>
            <w:vAlign w:val="center"/>
            <w:hideMark/>
          </w:tcPr>
          <w:p w14:paraId="32F5F124"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8</w:t>
            </w:r>
          </w:p>
        </w:tc>
        <w:tc>
          <w:tcPr>
            <w:tcW w:w="282" w:type="dxa"/>
            <w:shd w:val="clear" w:color="000000" w:fill="1F4E78"/>
            <w:vAlign w:val="center"/>
            <w:hideMark/>
          </w:tcPr>
          <w:p w14:paraId="2030CF37"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9</w:t>
            </w:r>
          </w:p>
        </w:tc>
        <w:tc>
          <w:tcPr>
            <w:tcW w:w="414" w:type="dxa"/>
            <w:shd w:val="clear" w:color="000000" w:fill="1F4E78"/>
            <w:vAlign w:val="center"/>
            <w:hideMark/>
          </w:tcPr>
          <w:p w14:paraId="0B8A425B"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10</w:t>
            </w:r>
          </w:p>
        </w:tc>
        <w:tc>
          <w:tcPr>
            <w:tcW w:w="414" w:type="dxa"/>
            <w:shd w:val="clear" w:color="000000" w:fill="1F4E78"/>
            <w:vAlign w:val="center"/>
            <w:hideMark/>
          </w:tcPr>
          <w:p w14:paraId="52205A93"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11</w:t>
            </w:r>
          </w:p>
        </w:tc>
        <w:tc>
          <w:tcPr>
            <w:tcW w:w="414" w:type="dxa"/>
            <w:shd w:val="clear" w:color="000000" w:fill="1F4E78"/>
            <w:vAlign w:val="center"/>
            <w:hideMark/>
          </w:tcPr>
          <w:p w14:paraId="3E3F981D"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12</w:t>
            </w:r>
          </w:p>
        </w:tc>
        <w:tc>
          <w:tcPr>
            <w:tcW w:w="414" w:type="dxa"/>
            <w:gridSpan w:val="2"/>
            <w:shd w:val="clear" w:color="000000" w:fill="1F4E78"/>
            <w:vAlign w:val="center"/>
            <w:hideMark/>
          </w:tcPr>
          <w:p w14:paraId="28BB5ACA"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13</w:t>
            </w:r>
          </w:p>
        </w:tc>
        <w:tc>
          <w:tcPr>
            <w:tcW w:w="414" w:type="dxa"/>
            <w:shd w:val="clear" w:color="000000" w:fill="1F4E78"/>
            <w:vAlign w:val="center"/>
            <w:hideMark/>
          </w:tcPr>
          <w:p w14:paraId="3696D173"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14</w:t>
            </w:r>
          </w:p>
        </w:tc>
        <w:tc>
          <w:tcPr>
            <w:tcW w:w="414" w:type="dxa"/>
            <w:shd w:val="clear" w:color="000000" w:fill="1F4E78"/>
            <w:vAlign w:val="center"/>
            <w:hideMark/>
          </w:tcPr>
          <w:p w14:paraId="52EDE8FD"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15</w:t>
            </w:r>
          </w:p>
        </w:tc>
        <w:tc>
          <w:tcPr>
            <w:tcW w:w="421" w:type="dxa"/>
            <w:shd w:val="clear" w:color="000000" w:fill="1F4E78"/>
            <w:vAlign w:val="center"/>
            <w:hideMark/>
          </w:tcPr>
          <w:p w14:paraId="0C10254E"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16</w:t>
            </w:r>
          </w:p>
        </w:tc>
        <w:tc>
          <w:tcPr>
            <w:tcW w:w="1151" w:type="dxa"/>
            <w:gridSpan w:val="2"/>
            <w:vMerge/>
            <w:vAlign w:val="center"/>
            <w:hideMark/>
          </w:tcPr>
          <w:p w14:paraId="6273CA52" w14:textId="77777777" w:rsidR="00D458E1" w:rsidRPr="00D458E1" w:rsidRDefault="00D458E1" w:rsidP="00D458E1">
            <w:pPr>
              <w:rPr>
                <w:rFonts w:ascii="Calibri Light" w:hAnsi="Calibri Light" w:cs="Calibri Light"/>
                <w:b/>
                <w:bCs/>
                <w:color w:val="000000"/>
                <w:spacing w:val="0"/>
                <w:sz w:val="18"/>
                <w:szCs w:val="18"/>
                <w:lang w:val="es-EC" w:eastAsia="es-EC"/>
              </w:rPr>
            </w:pPr>
          </w:p>
        </w:tc>
        <w:tc>
          <w:tcPr>
            <w:tcW w:w="282" w:type="dxa"/>
            <w:shd w:val="clear" w:color="000000" w:fill="1F4E78"/>
            <w:vAlign w:val="center"/>
            <w:hideMark/>
          </w:tcPr>
          <w:p w14:paraId="0F259358"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w:t>
            </w:r>
          </w:p>
        </w:tc>
        <w:tc>
          <w:tcPr>
            <w:tcW w:w="282" w:type="dxa"/>
            <w:shd w:val="clear" w:color="000000" w:fill="1F4E78"/>
            <w:vAlign w:val="center"/>
            <w:hideMark/>
          </w:tcPr>
          <w:p w14:paraId="2F924B7F"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2</w:t>
            </w:r>
          </w:p>
        </w:tc>
        <w:tc>
          <w:tcPr>
            <w:tcW w:w="282" w:type="dxa"/>
            <w:shd w:val="clear" w:color="000000" w:fill="1F4E78"/>
            <w:vAlign w:val="center"/>
            <w:hideMark/>
          </w:tcPr>
          <w:p w14:paraId="1A670747"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3</w:t>
            </w:r>
          </w:p>
        </w:tc>
        <w:tc>
          <w:tcPr>
            <w:tcW w:w="286" w:type="dxa"/>
            <w:shd w:val="clear" w:color="000000" w:fill="1F4E78"/>
            <w:vAlign w:val="center"/>
            <w:hideMark/>
          </w:tcPr>
          <w:p w14:paraId="7D8EF4D9"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4</w:t>
            </w:r>
          </w:p>
        </w:tc>
        <w:tc>
          <w:tcPr>
            <w:tcW w:w="282" w:type="dxa"/>
            <w:shd w:val="clear" w:color="000000" w:fill="1F4E78"/>
            <w:vAlign w:val="center"/>
            <w:hideMark/>
          </w:tcPr>
          <w:p w14:paraId="705422AA"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5</w:t>
            </w:r>
          </w:p>
        </w:tc>
        <w:tc>
          <w:tcPr>
            <w:tcW w:w="282" w:type="dxa"/>
            <w:shd w:val="clear" w:color="000000" w:fill="1F4E78"/>
            <w:vAlign w:val="center"/>
            <w:hideMark/>
          </w:tcPr>
          <w:p w14:paraId="66C2BB15"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6</w:t>
            </w:r>
          </w:p>
        </w:tc>
        <w:tc>
          <w:tcPr>
            <w:tcW w:w="282" w:type="dxa"/>
            <w:shd w:val="clear" w:color="000000" w:fill="1F4E78"/>
            <w:vAlign w:val="center"/>
            <w:hideMark/>
          </w:tcPr>
          <w:p w14:paraId="5790010D"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7</w:t>
            </w:r>
          </w:p>
        </w:tc>
        <w:tc>
          <w:tcPr>
            <w:tcW w:w="286" w:type="dxa"/>
            <w:shd w:val="clear" w:color="000000" w:fill="1F4E78"/>
            <w:vAlign w:val="center"/>
            <w:hideMark/>
          </w:tcPr>
          <w:p w14:paraId="4A852331"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8</w:t>
            </w:r>
          </w:p>
        </w:tc>
        <w:tc>
          <w:tcPr>
            <w:tcW w:w="282" w:type="dxa"/>
            <w:shd w:val="clear" w:color="000000" w:fill="1F4E78"/>
            <w:vAlign w:val="center"/>
            <w:hideMark/>
          </w:tcPr>
          <w:p w14:paraId="70A3F5F9"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9</w:t>
            </w:r>
          </w:p>
        </w:tc>
        <w:tc>
          <w:tcPr>
            <w:tcW w:w="414" w:type="dxa"/>
            <w:shd w:val="clear" w:color="000000" w:fill="1F4E78"/>
            <w:vAlign w:val="center"/>
            <w:hideMark/>
          </w:tcPr>
          <w:p w14:paraId="5D20563A"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10</w:t>
            </w:r>
          </w:p>
        </w:tc>
        <w:tc>
          <w:tcPr>
            <w:tcW w:w="414" w:type="dxa"/>
            <w:shd w:val="clear" w:color="000000" w:fill="1F4E78"/>
            <w:vAlign w:val="center"/>
            <w:hideMark/>
          </w:tcPr>
          <w:p w14:paraId="3C98EA2E"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11</w:t>
            </w:r>
          </w:p>
        </w:tc>
        <w:tc>
          <w:tcPr>
            <w:tcW w:w="414" w:type="dxa"/>
            <w:shd w:val="clear" w:color="000000" w:fill="1F4E78"/>
            <w:vAlign w:val="center"/>
            <w:hideMark/>
          </w:tcPr>
          <w:p w14:paraId="515CAAE5"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12</w:t>
            </w:r>
          </w:p>
        </w:tc>
        <w:tc>
          <w:tcPr>
            <w:tcW w:w="414" w:type="dxa"/>
            <w:gridSpan w:val="2"/>
            <w:shd w:val="clear" w:color="000000" w:fill="1F4E78"/>
            <w:vAlign w:val="center"/>
            <w:hideMark/>
          </w:tcPr>
          <w:p w14:paraId="6B14F844"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13</w:t>
            </w:r>
          </w:p>
        </w:tc>
        <w:tc>
          <w:tcPr>
            <w:tcW w:w="414" w:type="dxa"/>
            <w:shd w:val="clear" w:color="000000" w:fill="1F4E78"/>
            <w:vAlign w:val="center"/>
            <w:hideMark/>
          </w:tcPr>
          <w:p w14:paraId="1E854A2E"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14</w:t>
            </w:r>
          </w:p>
        </w:tc>
        <w:tc>
          <w:tcPr>
            <w:tcW w:w="414" w:type="dxa"/>
            <w:shd w:val="clear" w:color="000000" w:fill="1F4E78"/>
            <w:vAlign w:val="center"/>
            <w:hideMark/>
          </w:tcPr>
          <w:p w14:paraId="7A7B9BC0" w14:textId="77777777" w:rsidR="00D458E1" w:rsidRPr="00D458E1" w:rsidRDefault="00D458E1" w:rsidP="00D458E1">
            <w:pPr>
              <w:jc w:val="center"/>
              <w:rPr>
                <w:rFonts w:ascii="Calibri Light" w:hAnsi="Calibri Light" w:cs="Calibri Light"/>
                <w:b/>
                <w:bCs/>
                <w:color w:val="FFFFFF"/>
                <w:spacing w:val="0"/>
                <w:sz w:val="16"/>
                <w:szCs w:val="18"/>
                <w:lang w:val="es-EC" w:eastAsia="es-EC"/>
              </w:rPr>
            </w:pPr>
            <w:r w:rsidRPr="00D458E1">
              <w:rPr>
                <w:rFonts w:ascii="Calibri Light" w:hAnsi="Calibri Light" w:cs="Calibri Light"/>
                <w:b/>
                <w:bCs/>
                <w:color w:val="FFFFFF"/>
                <w:spacing w:val="0"/>
                <w:sz w:val="16"/>
                <w:szCs w:val="18"/>
                <w:lang w:val="es-EC" w:eastAsia="es-EC"/>
              </w:rPr>
              <w:t>15</w:t>
            </w:r>
          </w:p>
        </w:tc>
      </w:tr>
      <w:tr w:rsidR="004049D6" w:rsidRPr="00D458E1" w14:paraId="31B7E823" w14:textId="77777777" w:rsidTr="004049D6">
        <w:trPr>
          <w:gridAfter w:val="1"/>
          <w:wAfter w:w="33" w:type="dxa"/>
          <w:trHeight w:val="320"/>
        </w:trPr>
        <w:tc>
          <w:tcPr>
            <w:tcW w:w="3958" w:type="dxa"/>
            <w:shd w:val="clear" w:color="000000" w:fill="FFF2CC"/>
            <w:vAlign w:val="center"/>
            <w:hideMark/>
          </w:tcPr>
          <w:p w14:paraId="3F063BBB" w14:textId="64F3E7E6" w:rsidR="00D458E1" w:rsidRPr="00D458E1" w:rsidRDefault="004049D6" w:rsidP="00D458E1">
            <w:pPr>
              <w:rPr>
                <w:rFonts w:ascii="Calibri Light" w:hAnsi="Calibri Light" w:cs="Calibri Light"/>
                <w:b/>
                <w:bCs/>
                <w:color w:val="000000"/>
                <w:spacing w:val="0"/>
                <w:szCs w:val="24"/>
                <w:lang w:val="es-EC" w:eastAsia="es-EC"/>
              </w:rPr>
            </w:pPr>
            <w:r w:rsidRPr="00D458E1">
              <w:rPr>
                <w:rFonts w:ascii="Calibri Light" w:hAnsi="Calibri Light" w:cs="Calibri Light"/>
                <w:b/>
                <w:bCs/>
                <w:color w:val="000000"/>
                <w:spacing w:val="0"/>
                <w:szCs w:val="24"/>
                <w:lang w:val="es-EC" w:eastAsia="es-EC"/>
              </w:rPr>
              <w:t>Línea</w:t>
            </w:r>
            <w:r w:rsidR="00D458E1" w:rsidRPr="00D458E1">
              <w:rPr>
                <w:rFonts w:ascii="Calibri Light" w:hAnsi="Calibri Light" w:cs="Calibri Light"/>
                <w:b/>
                <w:bCs/>
                <w:color w:val="000000"/>
                <w:spacing w:val="0"/>
                <w:szCs w:val="24"/>
                <w:lang w:val="es-EC" w:eastAsia="es-EC"/>
              </w:rPr>
              <w:t xml:space="preserve"> Base -2019-</w:t>
            </w:r>
          </w:p>
        </w:tc>
        <w:tc>
          <w:tcPr>
            <w:tcW w:w="281" w:type="dxa"/>
            <w:shd w:val="clear" w:color="000000" w:fill="FFF2CC"/>
            <w:vAlign w:val="center"/>
            <w:hideMark/>
          </w:tcPr>
          <w:p w14:paraId="6D2E3931"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1" w:type="dxa"/>
            <w:shd w:val="clear" w:color="000000" w:fill="FFF2CC"/>
            <w:vAlign w:val="center"/>
            <w:hideMark/>
          </w:tcPr>
          <w:p w14:paraId="2154F8D9"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1" w:type="dxa"/>
            <w:shd w:val="clear" w:color="000000" w:fill="FFF2CC"/>
            <w:vAlign w:val="center"/>
            <w:hideMark/>
          </w:tcPr>
          <w:p w14:paraId="53DB73F9"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000000" w:fill="FFF2CC"/>
            <w:vAlign w:val="center"/>
            <w:hideMark/>
          </w:tcPr>
          <w:p w14:paraId="24FCFAD0"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000000" w:fill="FFF2CC"/>
            <w:vAlign w:val="center"/>
            <w:hideMark/>
          </w:tcPr>
          <w:p w14:paraId="182ED1DC"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000000" w:fill="FFF2CC"/>
            <w:vAlign w:val="center"/>
            <w:hideMark/>
          </w:tcPr>
          <w:p w14:paraId="5735A5A9"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000000" w:fill="FFF2CC"/>
            <w:vAlign w:val="center"/>
            <w:hideMark/>
          </w:tcPr>
          <w:p w14:paraId="40211BD6"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5" w:type="dxa"/>
            <w:shd w:val="clear" w:color="000000" w:fill="FFF2CC"/>
            <w:vAlign w:val="center"/>
            <w:hideMark/>
          </w:tcPr>
          <w:p w14:paraId="5135B99B"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000000" w:fill="FFF2CC"/>
            <w:vAlign w:val="center"/>
            <w:hideMark/>
          </w:tcPr>
          <w:p w14:paraId="151E597C"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000000" w:fill="FFF2CC"/>
            <w:vAlign w:val="center"/>
            <w:hideMark/>
          </w:tcPr>
          <w:p w14:paraId="485BAC49"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000000" w:fill="FFF2CC"/>
            <w:vAlign w:val="center"/>
            <w:hideMark/>
          </w:tcPr>
          <w:p w14:paraId="7FED35DF"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000000" w:fill="FFF2CC"/>
            <w:vAlign w:val="center"/>
            <w:hideMark/>
          </w:tcPr>
          <w:p w14:paraId="4A38A58C"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gridSpan w:val="2"/>
            <w:shd w:val="clear" w:color="000000" w:fill="FFF2CC"/>
            <w:vAlign w:val="center"/>
            <w:hideMark/>
          </w:tcPr>
          <w:p w14:paraId="7A33B74F"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000000" w:fill="FFF2CC"/>
            <w:vAlign w:val="center"/>
            <w:hideMark/>
          </w:tcPr>
          <w:p w14:paraId="2D0C4E88"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000000" w:fill="FFF2CC"/>
            <w:vAlign w:val="center"/>
            <w:hideMark/>
          </w:tcPr>
          <w:p w14:paraId="4C2D828F"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21" w:type="dxa"/>
            <w:shd w:val="clear" w:color="000000" w:fill="FFF2CC"/>
            <w:vAlign w:val="center"/>
            <w:hideMark/>
          </w:tcPr>
          <w:p w14:paraId="08F688E9"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539" w:type="dxa"/>
            <w:shd w:val="clear" w:color="000000" w:fill="EDEDED"/>
            <w:vAlign w:val="center"/>
            <w:hideMark/>
          </w:tcPr>
          <w:p w14:paraId="74EF07C4"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612" w:type="dxa"/>
            <w:shd w:val="clear" w:color="000000" w:fill="EDEDED"/>
            <w:vAlign w:val="center"/>
            <w:hideMark/>
          </w:tcPr>
          <w:p w14:paraId="1109E217"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433357CF"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23BC76AB"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10214921"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6" w:type="dxa"/>
            <w:shd w:val="clear" w:color="auto" w:fill="auto"/>
            <w:vAlign w:val="center"/>
            <w:hideMark/>
          </w:tcPr>
          <w:p w14:paraId="67FF23A5"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420754AC"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2E481B42"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1F4A857A"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6" w:type="dxa"/>
            <w:shd w:val="clear" w:color="auto" w:fill="auto"/>
            <w:vAlign w:val="center"/>
            <w:hideMark/>
          </w:tcPr>
          <w:p w14:paraId="08EF4C46"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282" w:type="dxa"/>
            <w:shd w:val="clear" w:color="auto" w:fill="auto"/>
            <w:vAlign w:val="center"/>
            <w:hideMark/>
          </w:tcPr>
          <w:p w14:paraId="5F4DE0AF"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auto" w:fill="auto"/>
            <w:vAlign w:val="center"/>
            <w:hideMark/>
          </w:tcPr>
          <w:p w14:paraId="49B18FD0"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auto" w:fill="auto"/>
            <w:vAlign w:val="center"/>
            <w:hideMark/>
          </w:tcPr>
          <w:p w14:paraId="3BE6EA2A"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auto" w:fill="auto"/>
            <w:vAlign w:val="center"/>
            <w:hideMark/>
          </w:tcPr>
          <w:p w14:paraId="24B231AA"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gridSpan w:val="2"/>
            <w:shd w:val="clear" w:color="auto" w:fill="auto"/>
            <w:vAlign w:val="center"/>
            <w:hideMark/>
          </w:tcPr>
          <w:p w14:paraId="63280984"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auto" w:fill="auto"/>
            <w:vAlign w:val="center"/>
            <w:hideMark/>
          </w:tcPr>
          <w:p w14:paraId="12020717"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c>
          <w:tcPr>
            <w:tcW w:w="414" w:type="dxa"/>
            <w:shd w:val="clear" w:color="auto" w:fill="auto"/>
            <w:vAlign w:val="center"/>
            <w:hideMark/>
          </w:tcPr>
          <w:p w14:paraId="72D6B3AD" w14:textId="77777777" w:rsidR="00D458E1" w:rsidRPr="00D458E1" w:rsidRDefault="00D458E1" w:rsidP="00D458E1">
            <w:pPr>
              <w:jc w:val="center"/>
              <w:rPr>
                <w:rFonts w:ascii="Calibri Light" w:hAnsi="Calibri Light" w:cs="Calibri Light"/>
                <w:color w:val="000000"/>
                <w:spacing w:val="0"/>
                <w:szCs w:val="24"/>
                <w:lang w:val="es-EC" w:eastAsia="es-EC"/>
              </w:rPr>
            </w:pPr>
            <w:r w:rsidRPr="00D458E1">
              <w:rPr>
                <w:rFonts w:ascii="Calibri Light" w:hAnsi="Calibri Light" w:cs="Calibri Light"/>
                <w:color w:val="000000"/>
                <w:spacing w:val="0"/>
                <w:szCs w:val="24"/>
                <w:lang w:val="es-EC" w:eastAsia="es-EC"/>
              </w:rPr>
              <w:t> </w:t>
            </w:r>
          </w:p>
        </w:tc>
      </w:tr>
      <w:tr w:rsidR="004049D6" w:rsidRPr="00D458E1" w14:paraId="379ECF59" w14:textId="77777777" w:rsidTr="004049D6">
        <w:trPr>
          <w:gridAfter w:val="1"/>
          <w:wAfter w:w="33" w:type="dxa"/>
          <w:trHeight w:val="320"/>
        </w:trPr>
        <w:tc>
          <w:tcPr>
            <w:tcW w:w="3958" w:type="dxa"/>
            <w:shd w:val="clear" w:color="auto" w:fill="auto"/>
            <w:vAlign w:val="center"/>
            <w:hideMark/>
          </w:tcPr>
          <w:p w14:paraId="77515CF4" w14:textId="5ADBDB88"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w:t>
            </w:r>
            <w:r>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Definición de los indicadores de impacto a medir.</w:t>
            </w:r>
          </w:p>
        </w:tc>
        <w:tc>
          <w:tcPr>
            <w:tcW w:w="281" w:type="dxa"/>
            <w:shd w:val="clear" w:color="000000" w:fill="DDEBF7"/>
            <w:vAlign w:val="center"/>
            <w:hideMark/>
          </w:tcPr>
          <w:p w14:paraId="0767FF7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auto" w:fill="auto"/>
            <w:vAlign w:val="center"/>
            <w:hideMark/>
          </w:tcPr>
          <w:p w14:paraId="3BC057C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5CF3C46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EC1B6B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88AB55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C5C7D7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345048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49CCB7B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DB1CD0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913CA6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747CB9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85A76B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1880A1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AF6F6A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F60712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31E0D56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1966D4B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18FB283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7643184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07083D0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219331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7BC9F07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D1BE44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211047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1E4CAB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214233B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3C5C9E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5E0143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0734AC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208B03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125D652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3FF73D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A0B1E8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25021DF2" w14:textId="77777777" w:rsidTr="004049D6">
        <w:trPr>
          <w:gridAfter w:val="1"/>
          <w:wAfter w:w="33" w:type="dxa"/>
          <w:trHeight w:val="642"/>
        </w:trPr>
        <w:tc>
          <w:tcPr>
            <w:tcW w:w="3958" w:type="dxa"/>
            <w:shd w:val="clear" w:color="auto" w:fill="auto"/>
            <w:vAlign w:val="center"/>
            <w:hideMark/>
          </w:tcPr>
          <w:p w14:paraId="62856CE9" w14:textId="77777777" w:rsidR="00D458E1" w:rsidRPr="00D458E1" w:rsidRDefault="00D458E1" w:rsidP="004049D6">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t>Se deberá considerar toda la información que va a ser necesaria recolectar para la elaboración de los indicadores de impacto y cualquier otra información pertinente en el marco de la evaluación.</w:t>
            </w:r>
          </w:p>
        </w:tc>
        <w:tc>
          <w:tcPr>
            <w:tcW w:w="281" w:type="dxa"/>
            <w:shd w:val="clear" w:color="000000" w:fill="DDEBF7"/>
            <w:vAlign w:val="center"/>
            <w:hideMark/>
          </w:tcPr>
          <w:p w14:paraId="33B00FD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auto" w:fill="auto"/>
            <w:vAlign w:val="center"/>
            <w:hideMark/>
          </w:tcPr>
          <w:p w14:paraId="045CAC3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724745D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34E579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F830EA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1D5EB7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6B81DE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2060450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8448E5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915319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D1C381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EA1643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408F388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17847B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E642BE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33F5BA8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7502877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7D12DA2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74918B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A45DDA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55519D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3CCD6CE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FD8AAC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61D20C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67EABB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048E3AE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F76D5A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CEF862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BF9F37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EFCD9F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4541CC9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85389C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7D8D8C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64F74F2A" w14:textId="77777777" w:rsidTr="004049D6">
        <w:trPr>
          <w:gridAfter w:val="1"/>
          <w:wAfter w:w="33" w:type="dxa"/>
          <w:trHeight w:val="320"/>
        </w:trPr>
        <w:tc>
          <w:tcPr>
            <w:tcW w:w="3958" w:type="dxa"/>
            <w:shd w:val="clear" w:color="auto" w:fill="auto"/>
            <w:vAlign w:val="center"/>
            <w:hideMark/>
          </w:tcPr>
          <w:p w14:paraId="5D438ED9" w14:textId="310F0EF3"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2.</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 xml:space="preserve">Generación del instrumento de recopilación de la información –formulario- </w:t>
            </w:r>
          </w:p>
        </w:tc>
        <w:tc>
          <w:tcPr>
            <w:tcW w:w="281" w:type="dxa"/>
            <w:shd w:val="clear" w:color="auto" w:fill="auto"/>
            <w:vAlign w:val="center"/>
            <w:hideMark/>
          </w:tcPr>
          <w:p w14:paraId="03CC150B"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000000" w:fill="DDEBF7"/>
            <w:vAlign w:val="center"/>
            <w:hideMark/>
          </w:tcPr>
          <w:p w14:paraId="4750044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000000" w:fill="DDEBF7"/>
            <w:vAlign w:val="center"/>
            <w:hideMark/>
          </w:tcPr>
          <w:p w14:paraId="63C154A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0ADABA8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0433B2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E54AFD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1E9EF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26A0224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8508D4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547FA0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5501C0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D506D5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217FAE4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A4D7D1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9C47DA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121610A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738A3A2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18E5AF5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E83F62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6787A27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971919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74EA40B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9C0980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C95E4C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D7710D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4BCD104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4F6FC7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23F43C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0191DF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EA038D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3B095D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87088B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039657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0DF027F3" w14:textId="77777777" w:rsidTr="004049D6">
        <w:trPr>
          <w:gridAfter w:val="1"/>
          <w:wAfter w:w="33" w:type="dxa"/>
          <w:trHeight w:val="320"/>
        </w:trPr>
        <w:tc>
          <w:tcPr>
            <w:tcW w:w="3958" w:type="dxa"/>
            <w:shd w:val="clear" w:color="auto" w:fill="auto"/>
            <w:vAlign w:val="center"/>
            <w:hideMark/>
          </w:tcPr>
          <w:p w14:paraId="7EA4E7AE" w14:textId="2CC86192"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3.</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Solicitud de preparación de la información a las EEPP.</w:t>
            </w:r>
          </w:p>
        </w:tc>
        <w:tc>
          <w:tcPr>
            <w:tcW w:w="281" w:type="dxa"/>
            <w:shd w:val="clear" w:color="auto" w:fill="auto"/>
            <w:vAlign w:val="center"/>
            <w:hideMark/>
          </w:tcPr>
          <w:p w14:paraId="1758EDDB"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49A9B6E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000000" w:fill="DDEBF7"/>
            <w:vAlign w:val="center"/>
            <w:hideMark/>
          </w:tcPr>
          <w:p w14:paraId="0EDAE60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7EB69AA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E575D1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389B418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72EA44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1360FA6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A732D9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FA9C4F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EF604E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F2715B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0978FAB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13784F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9F4D7F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510CF4B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791516A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3913D0E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841F0A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4BB16F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86D77D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A9C73F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F18946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D031C6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B663A9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4BE3A20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6CADBB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F5B4BF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C7E89A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D74226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5B59065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15401A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ED1492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2695C02D" w14:textId="77777777" w:rsidTr="004049D6">
        <w:trPr>
          <w:gridAfter w:val="1"/>
          <w:wAfter w:w="33" w:type="dxa"/>
          <w:trHeight w:val="320"/>
        </w:trPr>
        <w:tc>
          <w:tcPr>
            <w:tcW w:w="3958" w:type="dxa"/>
            <w:shd w:val="clear" w:color="auto" w:fill="auto"/>
            <w:vAlign w:val="center"/>
            <w:hideMark/>
          </w:tcPr>
          <w:p w14:paraId="51395EE5" w14:textId="6452A869"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4.</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Preparación de la información por parte de las EEPP</w:t>
            </w:r>
          </w:p>
        </w:tc>
        <w:tc>
          <w:tcPr>
            <w:tcW w:w="281" w:type="dxa"/>
            <w:shd w:val="clear" w:color="auto" w:fill="auto"/>
            <w:vAlign w:val="center"/>
            <w:hideMark/>
          </w:tcPr>
          <w:p w14:paraId="20FA4F92"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3DCB641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3ECA935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7C83BFD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65641E6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4CF0552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3AFE8D6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5" w:type="dxa"/>
            <w:shd w:val="clear" w:color="000000" w:fill="DDEBF7"/>
            <w:vAlign w:val="center"/>
            <w:hideMark/>
          </w:tcPr>
          <w:p w14:paraId="5284A8E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64F732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7100F6C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D08342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EC6237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224BA83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B81C00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BB0387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4272ECF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4DFABC3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2713720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00B686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40B08DF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043C53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2F2234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E3F3EA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B53051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AF7830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146A491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C82848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623A12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FE990F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E6BE22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2BCF940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56EFB0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DA0381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2C5F7DEF" w14:textId="77777777" w:rsidTr="004049D6">
        <w:trPr>
          <w:gridAfter w:val="1"/>
          <w:wAfter w:w="33" w:type="dxa"/>
          <w:trHeight w:val="320"/>
        </w:trPr>
        <w:tc>
          <w:tcPr>
            <w:tcW w:w="3958" w:type="dxa"/>
            <w:shd w:val="clear" w:color="auto" w:fill="auto"/>
            <w:vAlign w:val="center"/>
            <w:hideMark/>
          </w:tcPr>
          <w:p w14:paraId="59FA39B1" w14:textId="73D2CEB9" w:rsidR="00D458E1" w:rsidRPr="00D458E1" w:rsidRDefault="00D458E1" w:rsidP="00D458E1">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footnoteReference w:customMarkFollows="1" w:id="47"/>
              <w:t xml:space="preserve">Esto considera que las EEPP preparen los </w:t>
            </w:r>
            <w:r w:rsidR="009A2BA7" w:rsidRPr="00D458E1">
              <w:rPr>
                <w:rFonts w:asciiTheme="minorHAnsi" w:hAnsiTheme="minorHAnsi" w:cstheme="minorHAnsi"/>
                <w:i/>
                <w:iCs/>
                <w:color w:val="000000"/>
                <w:spacing w:val="0"/>
                <w:sz w:val="18"/>
                <w:szCs w:val="18"/>
                <w:lang w:val="es-EC" w:eastAsia="es-EC"/>
              </w:rPr>
              <w:t>balances [</w:t>
            </w:r>
            <w:r w:rsidRPr="00D458E1">
              <w:rPr>
                <w:rFonts w:asciiTheme="minorHAnsi" w:hAnsiTheme="minorHAnsi" w:cstheme="minorHAnsi"/>
                <w:i/>
                <w:iCs/>
                <w:color w:val="000000"/>
                <w:spacing w:val="0"/>
                <w:sz w:val="18"/>
                <w:szCs w:val="18"/>
                <w:lang w:val="es-EC" w:eastAsia="es-EC"/>
              </w:rPr>
              <w:t xml:space="preserve">1], registros y/o información que va a ser solicitada. </w:t>
            </w:r>
          </w:p>
        </w:tc>
        <w:tc>
          <w:tcPr>
            <w:tcW w:w="281" w:type="dxa"/>
            <w:shd w:val="clear" w:color="auto" w:fill="auto"/>
            <w:vAlign w:val="center"/>
            <w:hideMark/>
          </w:tcPr>
          <w:p w14:paraId="6F840FBE"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385CE11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5E32F22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6380F67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657B4E4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4677C67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7C05FC6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5" w:type="dxa"/>
            <w:shd w:val="clear" w:color="000000" w:fill="DDEBF7"/>
            <w:vAlign w:val="center"/>
            <w:hideMark/>
          </w:tcPr>
          <w:p w14:paraId="0CAFE8B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37F4F1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56099E9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A16B98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4D8A81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66B4723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38E59E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71B0BE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63A40D0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2794D8A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1447617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11730F4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061E436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20D999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6ECB274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2ADAED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C188F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5505E7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674513A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00F193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E4784B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8BB0E4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B1EF98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0E56A98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DB337F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F773CA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030DF344" w14:textId="77777777" w:rsidTr="004049D6">
        <w:trPr>
          <w:gridAfter w:val="1"/>
          <w:wAfter w:w="33" w:type="dxa"/>
          <w:trHeight w:val="320"/>
        </w:trPr>
        <w:tc>
          <w:tcPr>
            <w:tcW w:w="3958" w:type="dxa"/>
            <w:shd w:val="clear" w:color="auto" w:fill="auto"/>
            <w:vAlign w:val="center"/>
            <w:hideMark/>
          </w:tcPr>
          <w:p w14:paraId="666EFF6E" w14:textId="7951939A"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5.</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Recopilación de la información:</w:t>
            </w:r>
          </w:p>
        </w:tc>
        <w:tc>
          <w:tcPr>
            <w:tcW w:w="281" w:type="dxa"/>
            <w:shd w:val="clear" w:color="auto" w:fill="auto"/>
            <w:vAlign w:val="center"/>
            <w:hideMark/>
          </w:tcPr>
          <w:p w14:paraId="4B4A1559"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7421D0D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5056D72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E899D0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059306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8A23DE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32E7F9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59E1C3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4517260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41AAA6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E08967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1A81845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75BFA68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54651CA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608295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4226310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4E33347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1D70235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72090C0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601F950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6A50CC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74E802F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3C67AF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0677F3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D87362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734FDE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6FCBC2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8CA804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BA7FD6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6B161E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2E060D6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93CCF2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CE407D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010CF7D7" w14:textId="77777777" w:rsidTr="004049D6">
        <w:trPr>
          <w:gridAfter w:val="1"/>
          <w:wAfter w:w="33" w:type="dxa"/>
          <w:trHeight w:val="320"/>
        </w:trPr>
        <w:tc>
          <w:tcPr>
            <w:tcW w:w="3958" w:type="dxa"/>
            <w:shd w:val="clear" w:color="auto" w:fill="auto"/>
            <w:vAlign w:val="center"/>
            <w:hideMark/>
          </w:tcPr>
          <w:p w14:paraId="493A2CAD" w14:textId="77777777"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Se deberá definir la forma del levantamiento de información :</w:t>
            </w:r>
          </w:p>
        </w:tc>
        <w:tc>
          <w:tcPr>
            <w:tcW w:w="281" w:type="dxa"/>
            <w:shd w:val="clear" w:color="auto" w:fill="auto"/>
            <w:vAlign w:val="center"/>
            <w:hideMark/>
          </w:tcPr>
          <w:p w14:paraId="57D0D2CC" w14:textId="77777777" w:rsidR="00D458E1" w:rsidRPr="00D458E1" w:rsidRDefault="00D458E1" w:rsidP="00D458E1">
            <w:pPr>
              <w:ind w:firstLineChars="300" w:firstLine="540"/>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0133C6D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3A5EBFD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FF2E11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3B12A7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EB5B55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BF9F23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1ECD0EC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3BBBCA7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E542F7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6EAD02E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7E56281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4A4E080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2E95C0A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20C28D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6787DB6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61F9F98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4DE79A5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9181E8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3D58A3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C8F9E4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7CB7B7D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F15DB0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481511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010071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21ECD86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63668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05E0B6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2E782D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692926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00814D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1158E7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3077B2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55113398" w14:textId="77777777" w:rsidTr="004049D6">
        <w:trPr>
          <w:gridAfter w:val="1"/>
          <w:wAfter w:w="33" w:type="dxa"/>
          <w:trHeight w:val="642"/>
        </w:trPr>
        <w:tc>
          <w:tcPr>
            <w:tcW w:w="3958" w:type="dxa"/>
            <w:shd w:val="clear" w:color="auto" w:fill="auto"/>
            <w:vAlign w:val="center"/>
            <w:hideMark/>
          </w:tcPr>
          <w:p w14:paraId="698CB710" w14:textId="499879A6" w:rsidR="00D458E1" w:rsidRPr="00D458E1" w:rsidRDefault="00D458E1" w:rsidP="00D458E1">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t>5.1</w:t>
            </w:r>
            <w:r w:rsidR="009A2BA7">
              <w:rPr>
                <w:rFonts w:asciiTheme="minorHAnsi" w:hAnsiTheme="minorHAnsi" w:cstheme="minorHAnsi"/>
                <w:i/>
                <w:iCs/>
                <w:color w:val="000000"/>
                <w:spacing w:val="0"/>
                <w:sz w:val="18"/>
                <w:szCs w:val="18"/>
                <w:lang w:val="es-EC" w:eastAsia="es-EC"/>
              </w:rPr>
              <w:t xml:space="preserve"> </w:t>
            </w:r>
            <w:r w:rsidRPr="00D458E1">
              <w:rPr>
                <w:rFonts w:asciiTheme="minorHAnsi" w:hAnsiTheme="minorHAnsi" w:cstheme="minorHAnsi"/>
                <w:i/>
                <w:iCs/>
                <w:color w:val="000000"/>
                <w:spacing w:val="0"/>
                <w:sz w:val="18"/>
                <w:szCs w:val="18"/>
                <w:lang w:val="es-EC" w:eastAsia="es-EC"/>
              </w:rPr>
              <w:t xml:space="preserve">Que cada empresa pública defina una persona o un grupo de personas que llene el formulario y envié la información solicitada al MEF </w:t>
            </w:r>
          </w:p>
        </w:tc>
        <w:tc>
          <w:tcPr>
            <w:tcW w:w="281" w:type="dxa"/>
            <w:shd w:val="clear" w:color="auto" w:fill="auto"/>
            <w:vAlign w:val="center"/>
            <w:hideMark/>
          </w:tcPr>
          <w:p w14:paraId="5657D759"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02ED644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682C9D5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29C9FC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DAB1E6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8B9AE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66966D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649AC1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1FFF7B8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7331DA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6F052BD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346FBC5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3D98F20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2F88E42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1A4C90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19C1529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28890E3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2CF24A4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6617CBB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39EF5AD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E7BB8E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B71398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1B7DD8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5BB8CA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7104E2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37939D7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50DA46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768845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FA8F82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045037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2A33D3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B6FE49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EA1178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17E099C1" w14:textId="77777777" w:rsidTr="004049D6">
        <w:trPr>
          <w:gridAfter w:val="1"/>
          <w:wAfter w:w="33" w:type="dxa"/>
          <w:trHeight w:val="320"/>
        </w:trPr>
        <w:tc>
          <w:tcPr>
            <w:tcW w:w="3958" w:type="dxa"/>
            <w:shd w:val="clear" w:color="auto" w:fill="auto"/>
            <w:vAlign w:val="center"/>
            <w:hideMark/>
          </w:tcPr>
          <w:p w14:paraId="0FF530FA" w14:textId="797FB523" w:rsidR="00D458E1" w:rsidRPr="00D458E1" w:rsidRDefault="00D458E1" w:rsidP="00D458E1">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t>5.2</w:t>
            </w:r>
            <w:r w:rsidR="009A2BA7">
              <w:rPr>
                <w:rFonts w:asciiTheme="minorHAnsi" w:hAnsiTheme="minorHAnsi" w:cstheme="minorHAnsi"/>
                <w:i/>
                <w:iCs/>
                <w:color w:val="000000"/>
                <w:spacing w:val="0"/>
                <w:sz w:val="18"/>
                <w:szCs w:val="18"/>
                <w:lang w:val="es-EC" w:eastAsia="es-EC"/>
              </w:rPr>
              <w:t xml:space="preserve"> </w:t>
            </w:r>
            <w:r w:rsidRPr="00D458E1">
              <w:rPr>
                <w:rFonts w:asciiTheme="minorHAnsi" w:hAnsiTheme="minorHAnsi" w:cstheme="minorHAnsi"/>
                <w:i/>
                <w:iCs/>
                <w:color w:val="000000"/>
                <w:spacing w:val="0"/>
                <w:sz w:val="18"/>
                <w:szCs w:val="18"/>
                <w:lang w:val="es-EC" w:eastAsia="es-EC"/>
              </w:rPr>
              <w:t xml:space="preserve">Que un equipo de personas definido por el MEF visite a las empresas públicas y recopile la información.  </w:t>
            </w:r>
          </w:p>
        </w:tc>
        <w:tc>
          <w:tcPr>
            <w:tcW w:w="281" w:type="dxa"/>
            <w:shd w:val="clear" w:color="auto" w:fill="auto"/>
            <w:vAlign w:val="center"/>
            <w:hideMark/>
          </w:tcPr>
          <w:p w14:paraId="4C64A9BB"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4CD04CA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6E19040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0BC28D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D7828E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5C633D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FBF4D4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6904103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5BEE874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68C9DB8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2F7D79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19164D8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07A97BE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0C022AE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A3584D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0234FAA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458193E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171371E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6004FD0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3A6D225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7CBEB3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350B042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2AC2DD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267050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539477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6177BA9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93DC6D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202D2D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1606C8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B308E1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60C8361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BD0D8F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62155A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08E2A4CE" w14:textId="77777777" w:rsidTr="004049D6">
        <w:trPr>
          <w:gridAfter w:val="1"/>
          <w:wAfter w:w="33" w:type="dxa"/>
          <w:trHeight w:val="320"/>
        </w:trPr>
        <w:tc>
          <w:tcPr>
            <w:tcW w:w="3958" w:type="dxa"/>
            <w:shd w:val="clear" w:color="auto" w:fill="auto"/>
            <w:vAlign w:val="center"/>
            <w:hideMark/>
          </w:tcPr>
          <w:p w14:paraId="1E7734AB" w14:textId="3354E5C5"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7.</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Estimación de los indicadores de impacto</w:t>
            </w:r>
          </w:p>
        </w:tc>
        <w:tc>
          <w:tcPr>
            <w:tcW w:w="281" w:type="dxa"/>
            <w:shd w:val="clear" w:color="auto" w:fill="auto"/>
            <w:vAlign w:val="center"/>
            <w:hideMark/>
          </w:tcPr>
          <w:p w14:paraId="5E2C3665"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612FBC5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7F588AC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2CFD65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A5ECBB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1B99B2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881DAC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58B37D5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8DCDD3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C1F093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000000" w:fill="DDEBF7"/>
            <w:vAlign w:val="center"/>
            <w:hideMark/>
          </w:tcPr>
          <w:p w14:paraId="5DB1E14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0C1CD15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000000" w:fill="DDEBF7"/>
            <w:vAlign w:val="center"/>
            <w:hideMark/>
          </w:tcPr>
          <w:p w14:paraId="4896C67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5B48023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7488F88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21" w:type="dxa"/>
            <w:shd w:val="clear" w:color="auto" w:fill="auto"/>
            <w:vAlign w:val="center"/>
            <w:hideMark/>
          </w:tcPr>
          <w:p w14:paraId="45B32E0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05F8C9F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3469986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20932D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45F0202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80E149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3F37D27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B913C1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DBB7F5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D1235C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4EA509A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C700BA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17C0A8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EAC45A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1F9712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977FD9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B48DB8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519C68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49CEA321" w14:textId="77777777" w:rsidTr="004049D6">
        <w:trPr>
          <w:gridAfter w:val="1"/>
          <w:wAfter w:w="33" w:type="dxa"/>
          <w:trHeight w:val="320"/>
        </w:trPr>
        <w:tc>
          <w:tcPr>
            <w:tcW w:w="3958" w:type="dxa"/>
            <w:shd w:val="clear" w:color="auto" w:fill="auto"/>
            <w:vAlign w:val="center"/>
            <w:hideMark/>
          </w:tcPr>
          <w:p w14:paraId="79D9324C" w14:textId="5AFF7954"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8.</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Análisis de los indicadores de impacto y la información pertinente</w:t>
            </w:r>
          </w:p>
        </w:tc>
        <w:tc>
          <w:tcPr>
            <w:tcW w:w="281" w:type="dxa"/>
            <w:shd w:val="clear" w:color="auto" w:fill="auto"/>
            <w:vAlign w:val="center"/>
            <w:hideMark/>
          </w:tcPr>
          <w:p w14:paraId="1C6B880B"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644EE05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41015B5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C1A34D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4699E8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2F28D8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E2B9B7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79F87CB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CD4AFA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6635E3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D22B8A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811BEF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000000" w:fill="DDEBF7"/>
            <w:vAlign w:val="center"/>
            <w:hideMark/>
          </w:tcPr>
          <w:p w14:paraId="1BD913A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71D2DCE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41718CD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21" w:type="dxa"/>
            <w:shd w:val="clear" w:color="auto" w:fill="auto"/>
            <w:vAlign w:val="center"/>
            <w:hideMark/>
          </w:tcPr>
          <w:p w14:paraId="3C34145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539" w:type="dxa"/>
            <w:shd w:val="clear" w:color="000000" w:fill="EDEDED"/>
            <w:vAlign w:val="center"/>
            <w:hideMark/>
          </w:tcPr>
          <w:p w14:paraId="34FDA62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01DBD76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69E3247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49FBD7B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D8F14B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51B9CA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F54C40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1F002F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FAEF5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360E2B8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8A90B6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8271FB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FF8C39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5753BD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D85B73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DD1B7F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18AEDB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18C6BE34" w14:textId="77777777" w:rsidTr="004049D6">
        <w:trPr>
          <w:gridAfter w:val="1"/>
          <w:wAfter w:w="33" w:type="dxa"/>
          <w:trHeight w:val="335"/>
        </w:trPr>
        <w:tc>
          <w:tcPr>
            <w:tcW w:w="3958" w:type="dxa"/>
            <w:shd w:val="clear" w:color="auto" w:fill="auto"/>
            <w:vAlign w:val="center"/>
            <w:hideMark/>
          </w:tcPr>
          <w:p w14:paraId="1755096D" w14:textId="77777777"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xml:space="preserve">9.Escritura del informe de línea base </w:t>
            </w:r>
          </w:p>
        </w:tc>
        <w:tc>
          <w:tcPr>
            <w:tcW w:w="281" w:type="dxa"/>
            <w:shd w:val="clear" w:color="auto" w:fill="auto"/>
            <w:vAlign w:val="center"/>
            <w:hideMark/>
          </w:tcPr>
          <w:p w14:paraId="345750C6"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14C27BE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0418C4D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544E14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E82FA7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1D0993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A931DD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38EB82F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E0B21E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C1F95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2C1890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5B2789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2AC8B80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148E4D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000000" w:fill="FFC000"/>
            <w:vAlign w:val="center"/>
            <w:hideMark/>
          </w:tcPr>
          <w:p w14:paraId="147F24E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21" w:type="dxa"/>
            <w:shd w:val="clear" w:color="000000" w:fill="FFC000"/>
            <w:vAlign w:val="center"/>
            <w:hideMark/>
          </w:tcPr>
          <w:p w14:paraId="6CB893C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539" w:type="dxa"/>
            <w:shd w:val="clear" w:color="000000" w:fill="EDEDED"/>
            <w:vAlign w:val="center"/>
            <w:hideMark/>
          </w:tcPr>
          <w:p w14:paraId="000B1B6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4527290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0A5E50A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5F4A07D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61B9AC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C0D655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8F5720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B25467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00C689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271464C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46A377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9DF045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BB70A5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815CD4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0770224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3E0250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8F98DE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5BF59738" w14:textId="77777777" w:rsidTr="004049D6">
        <w:trPr>
          <w:gridAfter w:val="1"/>
          <w:wAfter w:w="33" w:type="dxa"/>
          <w:trHeight w:val="320"/>
        </w:trPr>
        <w:tc>
          <w:tcPr>
            <w:tcW w:w="3958" w:type="dxa"/>
            <w:shd w:val="clear" w:color="000000" w:fill="FFF2CC"/>
            <w:vAlign w:val="center"/>
            <w:hideMark/>
          </w:tcPr>
          <w:p w14:paraId="1B7B832C" w14:textId="77777777" w:rsidR="00D458E1" w:rsidRPr="00D458E1" w:rsidRDefault="00D458E1" w:rsidP="00D458E1">
            <w:pPr>
              <w:rPr>
                <w:rFonts w:asciiTheme="minorHAnsi" w:hAnsiTheme="minorHAnsi" w:cstheme="minorHAnsi"/>
                <w:b/>
                <w:bCs/>
                <w:color w:val="000000"/>
                <w:spacing w:val="0"/>
                <w:sz w:val="18"/>
                <w:szCs w:val="18"/>
                <w:lang w:val="es-EC" w:eastAsia="es-EC"/>
              </w:rPr>
            </w:pPr>
            <w:proofErr w:type="spellStart"/>
            <w:r w:rsidRPr="00D458E1">
              <w:rPr>
                <w:rFonts w:asciiTheme="minorHAnsi" w:hAnsiTheme="minorHAnsi" w:cstheme="minorHAnsi"/>
                <w:b/>
                <w:bCs/>
                <w:color w:val="000000"/>
                <w:spacing w:val="0"/>
                <w:sz w:val="18"/>
                <w:szCs w:val="18"/>
                <w:lang w:val="es-EC" w:eastAsia="es-EC"/>
              </w:rPr>
              <w:lastRenderedPageBreak/>
              <w:t>Follow</w:t>
            </w:r>
            <w:proofErr w:type="spellEnd"/>
            <w:r w:rsidRPr="00D458E1">
              <w:rPr>
                <w:rFonts w:asciiTheme="minorHAnsi" w:hAnsiTheme="minorHAnsi" w:cstheme="minorHAnsi"/>
                <w:b/>
                <w:bCs/>
                <w:color w:val="000000"/>
                <w:spacing w:val="0"/>
                <w:sz w:val="18"/>
                <w:szCs w:val="18"/>
                <w:lang w:val="es-EC" w:eastAsia="es-EC"/>
              </w:rPr>
              <w:t xml:space="preserve"> up -2022-</w:t>
            </w:r>
          </w:p>
        </w:tc>
        <w:tc>
          <w:tcPr>
            <w:tcW w:w="281" w:type="dxa"/>
            <w:shd w:val="clear" w:color="000000" w:fill="FFF2CC"/>
            <w:vAlign w:val="center"/>
            <w:hideMark/>
          </w:tcPr>
          <w:p w14:paraId="6C63DDE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000000" w:fill="FFF2CC"/>
            <w:vAlign w:val="center"/>
            <w:hideMark/>
          </w:tcPr>
          <w:p w14:paraId="4E44426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000000" w:fill="FFF2CC"/>
            <w:vAlign w:val="center"/>
            <w:hideMark/>
          </w:tcPr>
          <w:p w14:paraId="2BB53E4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63229B6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41B0C36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3545A32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4B9113B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5" w:type="dxa"/>
            <w:shd w:val="clear" w:color="000000" w:fill="FFF2CC"/>
            <w:vAlign w:val="center"/>
            <w:hideMark/>
          </w:tcPr>
          <w:p w14:paraId="17AE39A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11E7BF2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029BEC3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32C1DFA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52AE1C8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000000" w:fill="FFF2CC"/>
            <w:vAlign w:val="center"/>
            <w:hideMark/>
          </w:tcPr>
          <w:p w14:paraId="7C89587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3C14670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75C1A3F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21" w:type="dxa"/>
            <w:shd w:val="clear" w:color="000000" w:fill="FFF2CC"/>
            <w:vAlign w:val="center"/>
            <w:hideMark/>
          </w:tcPr>
          <w:p w14:paraId="20BB9FC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539" w:type="dxa"/>
            <w:shd w:val="clear" w:color="000000" w:fill="EDEDED"/>
            <w:vAlign w:val="center"/>
            <w:hideMark/>
          </w:tcPr>
          <w:p w14:paraId="58ECA05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08CFA1F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2085465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33E847A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7110C50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FFF2CC"/>
            <w:vAlign w:val="center"/>
            <w:hideMark/>
          </w:tcPr>
          <w:p w14:paraId="2B6379B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2240D86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2CBB352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24F3AA9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FFF2CC"/>
            <w:vAlign w:val="center"/>
            <w:hideMark/>
          </w:tcPr>
          <w:p w14:paraId="32E3E88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FFF2CC"/>
            <w:vAlign w:val="center"/>
            <w:hideMark/>
          </w:tcPr>
          <w:p w14:paraId="6C5D3B9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4FC31B6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0AFFA78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0CCA766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000000" w:fill="FFF2CC"/>
            <w:vAlign w:val="center"/>
            <w:hideMark/>
          </w:tcPr>
          <w:p w14:paraId="4E2C31A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1079489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F2CC"/>
            <w:vAlign w:val="center"/>
            <w:hideMark/>
          </w:tcPr>
          <w:p w14:paraId="17E2341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49C8454A" w14:textId="77777777" w:rsidTr="004049D6">
        <w:trPr>
          <w:gridAfter w:val="1"/>
          <w:wAfter w:w="33" w:type="dxa"/>
          <w:trHeight w:val="320"/>
        </w:trPr>
        <w:tc>
          <w:tcPr>
            <w:tcW w:w="3958" w:type="dxa"/>
            <w:shd w:val="clear" w:color="auto" w:fill="auto"/>
            <w:vAlign w:val="center"/>
            <w:hideMark/>
          </w:tcPr>
          <w:p w14:paraId="77B72E02" w14:textId="62B6BF07"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10.</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Solicitud de preparación de la información a las EEPP.</w:t>
            </w:r>
          </w:p>
        </w:tc>
        <w:tc>
          <w:tcPr>
            <w:tcW w:w="281" w:type="dxa"/>
            <w:shd w:val="clear" w:color="auto" w:fill="auto"/>
            <w:vAlign w:val="center"/>
            <w:hideMark/>
          </w:tcPr>
          <w:p w14:paraId="496D0DCB"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77B7036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430989E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FFBA7C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461313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FAB2C8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4D9284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29EB7D8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A3B1A9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878642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DA62C3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AFA245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9514E4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F352C3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5ED66A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6F883BD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586C3D6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4B7DAA4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2EF9852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35755D6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728D933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6" w:type="dxa"/>
            <w:shd w:val="clear" w:color="auto" w:fill="auto"/>
            <w:vAlign w:val="center"/>
            <w:hideMark/>
          </w:tcPr>
          <w:p w14:paraId="3C55411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DAE7A9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9A233B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EA7088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68FE6E4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3DA11E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FECCE6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AB68A2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7DEBA0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6692AF4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45AF46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05E394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1DF9FF89" w14:textId="77777777" w:rsidTr="004049D6">
        <w:trPr>
          <w:gridAfter w:val="1"/>
          <w:wAfter w:w="33" w:type="dxa"/>
          <w:trHeight w:val="320"/>
        </w:trPr>
        <w:tc>
          <w:tcPr>
            <w:tcW w:w="3958" w:type="dxa"/>
            <w:shd w:val="clear" w:color="auto" w:fill="auto"/>
            <w:vAlign w:val="center"/>
            <w:hideMark/>
          </w:tcPr>
          <w:p w14:paraId="23170253" w14:textId="17CB56B9"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11.</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Preparación de la información por parte de las EEPP</w:t>
            </w:r>
          </w:p>
        </w:tc>
        <w:tc>
          <w:tcPr>
            <w:tcW w:w="281" w:type="dxa"/>
            <w:shd w:val="clear" w:color="auto" w:fill="auto"/>
            <w:vAlign w:val="center"/>
            <w:hideMark/>
          </w:tcPr>
          <w:p w14:paraId="44C0E6D8"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3764CB4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30D64DD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874E0B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6DC808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43B848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A58CFF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2C2F202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6F167D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62862C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661C8A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05A90A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D6BE0B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E9866A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7A6177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29DEF61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6992A8B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3A604E3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1BA4D7D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000000" w:fill="DDEBF7"/>
            <w:vAlign w:val="center"/>
            <w:hideMark/>
          </w:tcPr>
          <w:p w14:paraId="1DF825E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53D1B7A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2F7F3AC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3EFE346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392D9DB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2608AC8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6" w:type="dxa"/>
            <w:shd w:val="clear" w:color="auto" w:fill="auto"/>
            <w:vAlign w:val="center"/>
            <w:hideMark/>
          </w:tcPr>
          <w:p w14:paraId="35CFAD9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B42EE3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1BA947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DDD9DA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9F6BB8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4985278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44B093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DAD574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22385D49" w14:textId="77777777" w:rsidTr="004049D6">
        <w:trPr>
          <w:gridAfter w:val="1"/>
          <w:wAfter w:w="33" w:type="dxa"/>
          <w:trHeight w:val="320"/>
        </w:trPr>
        <w:tc>
          <w:tcPr>
            <w:tcW w:w="3958" w:type="dxa"/>
            <w:shd w:val="clear" w:color="auto" w:fill="auto"/>
            <w:vAlign w:val="center"/>
            <w:hideMark/>
          </w:tcPr>
          <w:p w14:paraId="1ACCDBDA" w14:textId="77777777" w:rsidR="00D458E1" w:rsidRPr="00D458E1" w:rsidRDefault="00D458E1" w:rsidP="009A2BA7">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footnoteReference w:customMarkFollows="1" w:id="48"/>
              <w:t xml:space="preserve">Esto considera que las EEPP preparen los balances[1], registros y/o información que va a ser solicitada. </w:t>
            </w:r>
          </w:p>
        </w:tc>
        <w:tc>
          <w:tcPr>
            <w:tcW w:w="281" w:type="dxa"/>
            <w:shd w:val="clear" w:color="auto" w:fill="auto"/>
            <w:vAlign w:val="center"/>
            <w:hideMark/>
          </w:tcPr>
          <w:p w14:paraId="401AECB3"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63F752D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2231C45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A462D5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1459C5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68AE77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9DE3C0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7DB1F88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F97B23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99D1FA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BD3450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30CA3D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16F7529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927532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4ACEA4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58A4CF6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45B691C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0803E2A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1819F1B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000000" w:fill="DDEBF7"/>
            <w:vAlign w:val="center"/>
            <w:hideMark/>
          </w:tcPr>
          <w:p w14:paraId="365AA7F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4EE96D5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6C14838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6A0806C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50F9B81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17175CF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6" w:type="dxa"/>
            <w:shd w:val="clear" w:color="auto" w:fill="auto"/>
            <w:vAlign w:val="center"/>
            <w:hideMark/>
          </w:tcPr>
          <w:p w14:paraId="76561BB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07206D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17DF59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842BF1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3AA12D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4EA1F6D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68727B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A0B654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5BB8E64D" w14:textId="77777777" w:rsidTr="004049D6">
        <w:trPr>
          <w:gridAfter w:val="1"/>
          <w:wAfter w:w="33" w:type="dxa"/>
          <w:trHeight w:val="320"/>
        </w:trPr>
        <w:tc>
          <w:tcPr>
            <w:tcW w:w="3958" w:type="dxa"/>
            <w:shd w:val="clear" w:color="auto" w:fill="auto"/>
            <w:vAlign w:val="center"/>
            <w:hideMark/>
          </w:tcPr>
          <w:p w14:paraId="675F77EF" w14:textId="6ECAAF40"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12.</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Recopilación de la información:</w:t>
            </w:r>
          </w:p>
        </w:tc>
        <w:tc>
          <w:tcPr>
            <w:tcW w:w="281" w:type="dxa"/>
            <w:shd w:val="clear" w:color="auto" w:fill="auto"/>
            <w:vAlign w:val="center"/>
            <w:hideMark/>
          </w:tcPr>
          <w:p w14:paraId="5488F16D"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24A2C82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13E4523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931B7C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363496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30473B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CD76E1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1FA7874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8FD92A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2F0AF3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67DDB6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55771F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6BAC46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60D707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C9F94C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111AE47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4FBB8B2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68D68D3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09F56C3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744B0D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1416A3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1595BE9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CBC85B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7616F9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500254E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048047D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484FAFE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341B493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15D4B43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1C11CD9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209C5A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BF01AF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5474F4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1CF97508" w14:textId="77777777" w:rsidTr="004049D6">
        <w:trPr>
          <w:gridAfter w:val="1"/>
          <w:wAfter w:w="33" w:type="dxa"/>
          <w:trHeight w:val="320"/>
        </w:trPr>
        <w:tc>
          <w:tcPr>
            <w:tcW w:w="3958" w:type="dxa"/>
            <w:shd w:val="clear" w:color="auto" w:fill="auto"/>
            <w:vAlign w:val="center"/>
            <w:hideMark/>
          </w:tcPr>
          <w:p w14:paraId="5F6808D0" w14:textId="7EB6EC21" w:rsidR="00D458E1" w:rsidRPr="00D458E1" w:rsidRDefault="009A2BA7" w:rsidP="009A2BA7">
            <w:pPr>
              <w:rPr>
                <w:rFonts w:asciiTheme="minorHAnsi" w:hAnsiTheme="minorHAnsi" w:cstheme="minorHAnsi"/>
                <w:color w:val="000000"/>
                <w:spacing w:val="0"/>
                <w:sz w:val="18"/>
                <w:szCs w:val="18"/>
                <w:lang w:val="es-EC" w:eastAsia="es-EC"/>
              </w:rPr>
            </w:pPr>
            <w:r>
              <w:rPr>
                <w:rFonts w:asciiTheme="minorHAnsi" w:hAnsiTheme="minorHAnsi" w:cstheme="minorHAnsi"/>
                <w:color w:val="000000"/>
                <w:spacing w:val="0"/>
                <w:sz w:val="18"/>
                <w:szCs w:val="18"/>
                <w:lang w:val="es-EC" w:eastAsia="es-EC"/>
              </w:rPr>
              <w:t>S</w:t>
            </w:r>
            <w:r w:rsidR="00D458E1" w:rsidRPr="00D458E1">
              <w:rPr>
                <w:rFonts w:asciiTheme="minorHAnsi" w:hAnsiTheme="minorHAnsi" w:cstheme="minorHAnsi"/>
                <w:color w:val="000000"/>
                <w:spacing w:val="0"/>
                <w:sz w:val="18"/>
                <w:szCs w:val="18"/>
                <w:lang w:val="es-EC" w:eastAsia="es-EC"/>
              </w:rPr>
              <w:t>e deberá definir la forma del levantamiento de información :</w:t>
            </w:r>
          </w:p>
        </w:tc>
        <w:tc>
          <w:tcPr>
            <w:tcW w:w="281" w:type="dxa"/>
            <w:shd w:val="clear" w:color="auto" w:fill="auto"/>
            <w:vAlign w:val="center"/>
            <w:hideMark/>
          </w:tcPr>
          <w:p w14:paraId="35270288" w14:textId="77777777" w:rsidR="00D458E1" w:rsidRPr="00D458E1" w:rsidRDefault="00D458E1" w:rsidP="00D458E1">
            <w:pPr>
              <w:ind w:firstLineChars="300" w:firstLine="540"/>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3498F59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6B13A2E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B5DAFC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42DCF0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C6AD4C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972468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1007F69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C8CDBE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2DBD6F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6D3DE7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909347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612DD75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6AC4F2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B6627E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69155F0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73EB330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2112A40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632BC22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0C4976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0F0411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0BFD51C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0369A3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9C69A1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7312AFC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2EEE91C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115B5E8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794635B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15876AB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071517F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4F4433E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687ACA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DF6B7E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709ABB76" w14:textId="77777777" w:rsidTr="004049D6">
        <w:trPr>
          <w:gridAfter w:val="1"/>
          <w:wAfter w:w="33" w:type="dxa"/>
          <w:trHeight w:val="642"/>
        </w:trPr>
        <w:tc>
          <w:tcPr>
            <w:tcW w:w="3958" w:type="dxa"/>
            <w:shd w:val="clear" w:color="auto" w:fill="auto"/>
            <w:vAlign w:val="center"/>
            <w:hideMark/>
          </w:tcPr>
          <w:p w14:paraId="290B6729" w14:textId="108399C4" w:rsidR="00D458E1" w:rsidRPr="00D458E1" w:rsidRDefault="00D458E1" w:rsidP="009A2BA7">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t>5.1</w:t>
            </w:r>
            <w:r w:rsidR="009A2BA7">
              <w:rPr>
                <w:rFonts w:asciiTheme="minorHAnsi" w:hAnsiTheme="minorHAnsi" w:cstheme="minorHAnsi"/>
                <w:i/>
                <w:iCs/>
                <w:color w:val="000000"/>
                <w:spacing w:val="0"/>
                <w:sz w:val="18"/>
                <w:szCs w:val="18"/>
                <w:lang w:val="es-EC" w:eastAsia="es-EC"/>
              </w:rPr>
              <w:t xml:space="preserve"> </w:t>
            </w:r>
            <w:r w:rsidRPr="00D458E1">
              <w:rPr>
                <w:rFonts w:asciiTheme="minorHAnsi" w:hAnsiTheme="minorHAnsi" w:cstheme="minorHAnsi"/>
                <w:i/>
                <w:iCs/>
                <w:color w:val="000000"/>
                <w:spacing w:val="0"/>
                <w:sz w:val="18"/>
                <w:szCs w:val="18"/>
                <w:lang w:val="es-EC" w:eastAsia="es-EC"/>
              </w:rPr>
              <w:t xml:space="preserve">Que cada empresa pública defina una persona o un grupo de personas que llene el formulario y envié la información solicitada al </w:t>
            </w:r>
            <w:r w:rsidR="009A2BA7">
              <w:rPr>
                <w:rFonts w:asciiTheme="minorHAnsi" w:hAnsiTheme="minorHAnsi" w:cstheme="minorHAnsi"/>
                <w:i/>
                <w:iCs/>
                <w:color w:val="000000"/>
                <w:spacing w:val="0"/>
                <w:sz w:val="18"/>
                <w:szCs w:val="18"/>
                <w:lang w:val="es-EC" w:eastAsia="es-EC"/>
              </w:rPr>
              <w:t>MEF y el MEF al consultor</w:t>
            </w:r>
          </w:p>
        </w:tc>
        <w:tc>
          <w:tcPr>
            <w:tcW w:w="281" w:type="dxa"/>
            <w:shd w:val="clear" w:color="auto" w:fill="auto"/>
            <w:vAlign w:val="center"/>
            <w:hideMark/>
          </w:tcPr>
          <w:p w14:paraId="35814CAA"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3C66D52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500BDFE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2999D9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A3FDA0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E9B806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E9ABF8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51B3318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280EA4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6A9846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048797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768D09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3B168B6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6AEE5C0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54E986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433938B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05420FD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52665D8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C1F0D9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0E5A066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EB419A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4E49B22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C45484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8F1D2A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402A75C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37F546D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57AB36A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5E5CF71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2F7F22D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3B67650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089B5A6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AE7858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2EFB0FD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5938A9A2" w14:textId="77777777" w:rsidTr="004049D6">
        <w:trPr>
          <w:gridAfter w:val="1"/>
          <w:wAfter w:w="33" w:type="dxa"/>
          <w:trHeight w:val="335"/>
        </w:trPr>
        <w:tc>
          <w:tcPr>
            <w:tcW w:w="3958" w:type="dxa"/>
            <w:shd w:val="clear" w:color="auto" w:fill="auto"/>
            <w:vAlign w:val="center"/>
            <w:hideMark/>
          </w:tcPr>
          <w:p w14:paraId="7B168557" w14:textId="3672ABEA" w:rsidR="00D458E1" w:rsidRPr="00D458E1" w:rsidRDefault="00D458E1" w:rsidP="009A2BA7">
            <w:pPr>
              <w:rPr>
                <w:rFonts w:asciiTheme="minorHAnsi" w:hAnsiTheme="minorHAnsi" w:cstheme="minorHAnsi"/>
                <w:i/>
                <w:iCs/>
                <w:color w:val="000000"/>
                <w:spacing w:val="0"/>
                <w:sz w:val="18"/>
                <w:szCs w:val="18"/>
                <w:lang w:val="es-EC" w:eastAsia="es-EC"/>
              </w:rPr>
            </w:pPr>
            <w:r w:rsidRPr="00D458E1">
              <w:rPr>
                <w:rFonts w:asciiTheme="minorHAnsi" w:hAnsiTheme="minorHAnsi" w:cstheme="minorHAnsi"/>
                <w:i/>
                <w:iCs/>
                <w:color w:val="000000"/>
                <w:spacing w:val="0"/>
                <w:sz w:val="18"/>
                <w:szCs w:val="18"/>
                <w:lang w:val="es-EC" w:eastAsia="es-EC"/>
              </w:rPr>
              <w:t>5.2</w:t>
            </w:r>
            <w:r w:rsidR="009A2BA7">
              <w:rPr>
                <w:rFonts w:asciiTheme="minorHAnsi" w:hAnsiTheme="minorHAnsi" w:cstheme="minorHAnsi"/>
                <w:i/>
                <w:iCs/>
                <w:color w:val="000000"/>
                <w:spacing w:val="0"/>
                <w:sz w:val="18"/>
                <w:szCs w:val="18"/>
                <w:lang w:val="es-EC" w:eastAsia="es-EC"/>
              </w:rPr>
              <w:t xml:space="preserve"> </w:t>
            </w:r>
            <w:r w:rsidRPr="00D458E1">
              <w:rPr>
                <w:rFonts w:asciiTheme="minorHAnsi" w:hAnsiTheme="minorHAnsi" w:cstheme="minorHAnsi"/>
                <w:i/>
                <w:iCs/>
                <w:color w:val="000000"/>
                <w:spacing w:val="0"/>
                <w:sz w:val="18"/>
                <w:szCs w:val="18"/>
                <w:lang w:val="es-EC" w:eastAsia="es-EC"/>
              </w:rPr>
              <w:t xml:space="preserve">Que un equipo de personas definido por el </w:t>
            </w:r>
            <w:r w:rsidR="009A2BA7" w:rsidRPr="00D458E1">
              <w:rPr>
                <w:rFonts w:asciiTheme="minorHAnsi" w:hAnsiTheme="minorHAnsi" w:cstheme="minorHAnsi"/>
                <w:i/>
                <w:iCs/>
                <w:color w:val="000000"/>
                <w:spacing w:val="0"/>
                <w:sz w:val="18"/>
                <w:szCs w:val="18"/>
                <w:lang w:val="es-EC" w:eastAsia="es-EC"/>
              </w:rPr>
              <w:t>consultor</w:t>
            </w:r>
            <w:r w:rsidRPr="00D458E1">
              <w:rPr>
                <w:rFonts w:asciiTheme="minorHAnsi" w:hAnsiTheme="minorHAnsi" w:cstheme="minorHAnsi"/>
                <w:i/>
                <w:iCs/>
                <w:color w:val="000000"/>
                <w:spacing w:val="0"/>
                <w:sz w:val="18"/>
                <w:szCs w:val="18"/>
                <w:lang w:val="es-EC" w:eastAsia="es-EC"/>
              </w:rPr>
              <w:t xml:space="preserve"> visite a las empresas públicas y recopile la información.  </w:t>
            </w:r>
          </w:p>
        </w:tc>
        <w:tc>
          <w:tcPr>
            <w:tcW w:w="281" w:type="dxa"/>
            <w:shd w:val="clear" w:color="auto" w:fill="auto"/>
            <w:vAlign w:val="center"/>
            <w:hideMark/>
          </w:tcPr>
          <w:p w14:paraId="2A0654F7" w14:textId="77777777" w:rsidR="00D458E1" w:rsidRPr="00D458E1" w:rsidRDefault="00D458E1" w:rsidP="00D458E1">
            <w:pPr>
              <w:ind w:firstLineChars="300" w:firstLine="540"/>
              <w:rPr>
                <w:rFonts w:asciiTheme="minorHAnsi" w:hAnsiTheme="minorHAnsi" w:cstheme="minorHAnsi"/>
                <w:i/>
                <w:iCs/>
                <w:color w:val="000000"/>
                <w:spacing w:val="0"/>
                <w:sz w:val="18"/>
                <w:szCs w:val="18"/>
                <w:lang w:val="es-EC" w:eastAsia="es-EC"/>
              </w:rPr>
            </w:pPr>
          </w:p>
        </w:tc>
        <w:tc>
          <w:tcPr>
            <w:tcW w:w="281" w:type="dxa"/>
            <w:shd w:val="clear" w:color="auto" w:fill="auto"/>
            <w:vAlign w:val="center"/>
            <w:hideMark/>
          </w:tcPr>
          <w:p w14:paraId="4FF6530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37DC48C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8E1B3B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5B86C1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2F187F4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9D8CD5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6D49918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A61314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DAD2C9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795747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BA2464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1B70244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382DBBD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D8C42C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18EBC3E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27C78AC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2D23B28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D85EF9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64647C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13D87A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6089AEA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CFE94F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DA6709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253A6A6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000000" w:fill="DDEBF7"/>
            <w:vAlign w:val="center"/>
            <w:hideMark/>
          </w:tcPr>
          <w:p w14:paraId="4D10127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000000" w:fill="DDEBF7"/>
            <w:vAlign w:val="center"/>
            <w:hideMark/>
          </w:tcPr>
          <w:p w14:paraId="7CA1F39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6C09D75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50962FF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2CBA119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7941639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C963EE4"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AF7A31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741BA3D1" w14:textId="77777777" w:rsidTr="004049D6">
        <w:trPr>
          <w:gridAfter w:val="1"/>
          <w:wAfter w:w="33" w:type="dxa"/>
          <w:trHeight w:val="320"/>
        </w:trPr>
        <w:tc>
          <w:tcPr>
            <w:tcW w:w="3958" w:type="dxa"/>
            <w:shd w:val="clear" w:color="auto" w:fill="auto"/>
            <w:vAlign w:val="center"/>
            <w:hideMark/>
          </w:tcPr>
          <w:p w14:paraId="6DD0847D" w14:textId="64605B31" w:rsidR="00D458E1" w:rsidRPr="00D458E1" w:rsidRDefault="00D458E1" w:rsidP="009A2BA7">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13.</w:t>
            </w:r>
            <w:r w:rsidR="009A2BA7">
              <w:rPr>
                <w:rFonts w:asciiTheme="minorHAnsi" w:hAnsiTheme="minorHAnsi" w:cstheme="minorHAnsi"/>
                <w:color w:val="000000"/>
                <w:spacing w:val="0"/>
                <w:sz w:val="18"/>
                <w:szCs w:val="18"/>
                <w:lang w:val="es-EC" w:eastAsia="es-EC"/>
              </w:rPr>
              <w:t xml:space="preserve"> E</w:t>
            </w:r>
            <w:r w:rsidRPr="00D458E1">
              <w:rPr>
                <w:rFonts w:asciiTheme="minorHAnsi" w:hAnsiTheme="minorHAnsi" w:cstheme="minorHAnsi"/>
                <w:color w:val="000000"/>
                <w:spacing w:val="0"/>
                <w:sz w:val="18"/>
                <w:szCs w:val="18"/>
                <w:lang w:val="es-EC" w:eastAsia="es-EC"/>
              </w:rPr>
              <w:t>stimación de los indicadores de impacto</w:t>
            </w:r>
          </w:p>
        </w:tc>
        <w:tc>
          <w:tcPr>
            <w:tcW w:w="281" w:type="dxa"/>
            <w:shd w:val="clear" w:color="auto" w:fill="auto"/>
            <w:vAlign w:val="center"/>
            <w:hideMark/>
          </w:tcPr>
          <w:p w14:paraId="7377AB0A"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50E993B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2BD5DCA1"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67DE8F3"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675E91A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206E30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D3F525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1146973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5C23067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46BD0BD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D7CA29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176EA2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1A02A05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1CDAA8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A12F798"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44B16F3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66055C1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76AAAB8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0C835DB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26AE2EB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341D22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0F290A0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473585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80FB96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E484AB5"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5666D4A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000000" w:fill="DDEBF7"/>
            <w:vAlign w:val="center"/>
            <w:hideMark/>
          </w:tcPr>
          <w:p w14:paraId="41F7D3E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5B89B76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4D4D22B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339807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7002926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414" w:type="dxa"/>
            <w:shd w:val="clear" w:color="auto" w:fill="auto"/>
            <w:vAlign w:val="center"/>
            <w:hideMark/>
          </w:tcPr>
          <w:p w14:paraId="2DB82BB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D72470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12FDEA3B" w14:textId="77777777" w:rsidTr="004049D6">
        <w:trPr>
          <w:gridAfter w:val="1"/>
          <w:wAfter w:w="33" w:type="dxa"/>
          <w:trHeight w:val="320"/>
        </w:trPr>
        <w:tc>
          <w:tcPr>
            <w:tcW w:w="3958" w:type="dxa"/>
            <w:shd w:val="clear" w:color="auto" w:fill="auto"/>
            <w:vAlign w:val="center"/>
            <w:hideMark/>
          </w:tcPr>
          <w:p w14:paraId="636885AE" w14:textId="08FF2EE3"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14.</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 xml:space="preserve">Análisis del efecto antes y después </w:t>
            </w:r>
            <w:r w:rsidR="009A2BA7" w:rsidRPr="00D458E1">
              <w:rPr>
                <w:rFonts w:asciiTheme="minorHAnsi" w:hAnsiTheme="minorHAnsi" w:cstheme="minorHAnsi"/>
                <w:color w:val="000000"/>
                <w:spacing w:val="0"/>
                <w:sz w:val="18"/>
                <w:szCs w:val="18"/>
                <w:lang w:val="es-EC" w:eastAsia="es-EC"/>
              </w:rPr>
              <w:t>considerando</w:t>
            </w:r>
            <w:r w:rsidRPr="00D458E1">
              <w:rPr>
                <w:rFonts w:asciiTheme="minorHAnsi" w:hAnsiTheme="minorHAnsi" w:cstheme="minorHAnsi"/>
                <w:color w:val="000000"/>
                <w:spacing w:val="0"/>
                <w:sz w:val="18"/>
                <w:szCs w:val="18"/>
                <w:lang w:val="es-EC" w:eastAsia="es-EC"/>
              </w:rPr>
              <w:t xml:space="preserve"> la </w:t>
            </w:r>
            <w:r w:rsidR="009A2BA7" w:rsidRPr="00D458E1">
              <w:rPr>
                <w:rFonts w:asciiTheme="minorHAnsi" w:hAnsiTheme="minorHAnsi" w:cstheme="minorHAnsi"/>
                <w:color w:val="000000"/>
                <w:spacing w:val="0"/>
                <w:sz w:val="18"/>
                <w:szCs w:val="18"/>
                <w:lang w:val="es-EC" w:eastAsia="es-EC"/>
              </w:rPr>
              <w:t>línea</w:t>
            </w:r>
            <w:r w:rsidRPr="00D458E1">
              <w:rPr>
                <w:rFonts w:asciiTheme="minorHAnsi" w:hAnsiTheme="minorHAnsi" w:cstheme="minorHAnsi"/>
                <w:color w:val="000000"/>
                <w:spacing w:val="0"/>
                <w:sz w:val="18"/>
                <w:szCs w:val="18"/>
                <w:lang w:val="es-EC" w:eastAsia="es-EC"/>
              </w:rPr>
              <w:t xml:space="preserve"> base</w:t>
            </w:r>
          </w:p>
        </w:tc>
        <w:tc>
          <w:tcPr>
            <w:tcW w:w="281" w:type="dxa"/>
            <w:shd w:val="clear" w:color="auto" w:fill="auto"/>
            <w:vAlign w:val="center"/>
            <w:hideMark/>
          </w:tcPr>
          <w:p w14:paraId="3BDD4EAF" w14:textId="77777777" w:rsidR="00D458E1" w:rsidRPr="00D458E1" w:rsidRDefault="00D458E1" w:rsidP="00D458E1">
            <w:pPr>
              <w:rPr>
                <w:rFonts w:asciiTheme="minorHAnsi" w:hAnsiTheme="minorHAnsi" w:cstheme="minorHAnsi"/>
                <w:color w:val="000000"/>
                <w:spacing w:val="0"/>
                <w:sz w:val="18"/>
                <w:szCs w:val="18"/>
                <w:lang w:val="es-EC" w:eastAsia="es-EC"/>
              </w:rPr>
            </w:pPr>
          </w:p>
        </w:tc>
        <w:tc>
          <w:tcPr>
            <w:tcW w:w="281" w:type="dxa"/>
            <w:shd w:val="clear" w:color="auto" w:fill="auto"/>
            <w:vAlign w:val="center"/>
            <w:hideMark/>
          </w:tcPr>
          <w:p w14:paraId="34206DA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1" w:type="dxa"/>
            <w:shd w:val="clear" w:color="auto" w:fill="auto"/>
            <w:vAlign w:val="center"/>
            <w:hideMark/>
          </w:tcPr>
          <w:p w14:paraId="5B1CB1C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6DE26D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4385F63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543F859"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B9B29A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5" w:type="dxa"/>
            <w:shd w:val="clear" w:color="auto" w:fill="auto"/>
            <w:vAlign w:val="center"/>
            <w:hideMark/>
          </w:tcPr>
          <w:p w14:paraId="2A9AA64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09EA59E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E8881EE"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5ED877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1471B6D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gridSpan w:val="2"/>
            <w:shd w:val="clear" w:color="auto" w:fill="auto"/>
            <w:vAlign w:val="center"/>
            <w:hideMark/>
          </w:tcPr>
          <w:p w14:paraId="697F55AD"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5506C15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7F32F06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21" w:type="dxa"/>
            <w:shd w:val="clear" w:color="auto" w:fill="auto"/>
            <w:vAlign w:val="center"/>
            <w:hideMark/>
          </w:tcPr>
          <w:p w14:paraId="603C9CAB"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539" w:type="dxa"/>
            <w:shd w:val="clear" w:color="000000" w:fill="EDEDED"/>
            <w:vAlign w:val="center"/>
            <w:hideMark/>
          </w:tcPr>
          <w:p w14:paraId="1053277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611D9D7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82E3ED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p>
        </w:tc>
        <w:tc>
          <w:tcPr>
            <w:tcW w:w="282" w:type="dxa"/>
            <w:shd w:val="clear" w:color="auto" w:fill="auto"/>
            <w:vAlign w:val="center"/>
            <w:hideMark/>
          </w:tcPr>
          <w:p w14:paraId="312D6D76"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6CD19EA"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7567FBD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136A05C"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17B2B72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3E2807F7"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6" w:type="dxa"/>
            <w:shd w:val="clear" w:color="auto" w:fill="auto"/>
            <w:vAlign w:val="center"/>
            <w:hideMark/>
          </w:tcPr>
          <w:p w14:paraId="20C65132"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282" w:type="dxa"/>
            <w:shd w:val="clear" w:color="auto" w:fill="auto"/>
            <w:vAlign w:val="center"/>
            <w:hideMark/>
          </w:tcPr>
          <w:p w14:paraId="7325A30F"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auto" w:fill="auto"/>
            <w:vAlign w:val="center"/>
            <w:hideMark/>
          </w:tcPr>
          <w:p w14:paraId="05ED63A0" w14:textId="77777777" w:rsidR="00D458E1" w:rsidRPr="00D458E1" w:rsidRDefault="00D458E1" w:rsidP="00D458E1">
            <w:pPr>
              <w:jc w:val="center"/>
              <w:rPr>
                <w:rFonts w:asciiTheme="minorHAnsi" w:hAnsiTheme="minorHAnsi" w:cstheme="minorHAnsi"/>
                <w:spacing w:val="0"/>
                <w:sz w:val="18"/>
                <w:szCs w:val="18"/>
                <w:lang w:val="es-EC" w:eastAsia="es-EC"/>
              </w:rPr>
            </w:pPr>
          </w:p>
        </w:tc>
        <w:tc>
          <w:tcPr>
            <w:tcW w:w="414" w:type="dxa"/>
            <w:shd w:val="clear" w:color="000000" w:fill="DDEBF7"/>
            <w:vAlign w:val="center"/>
            <w:hideMark/>
          </w:tcPr>
          <w:p w14:paraId="7F13974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2D9ED0A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000000" w:fill="DDEBF7"/>
            <w:vAlign w:val="center"/>
            <w:hideMark/>
          </w:tcPr>
          <w:p w14:paraId="40B6DB4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DDEBF7"/>
            <w:vAlign w:val="center"/>
            <w:hideMark/>
          </w:tcPr>
          <w:p w14:paraId="4205FE8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7B01E6BD"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r w:rsidR="004049D6" w:rsidRPr="00D458E1" w14:paraId="42D1D848" w14:textId="77777777" w:rsidTr="004049D6">
        <w:trPr>
          <w:gridAfter w:val="1"/>
          <w:wAfter w:w="33" w:type="dxa"/>
          <w:trHeight w:val="335"/>
        </w:trPr>
        <w:tc>
          <w:tcPr>
            <w:tcW w:w="3958" w:type="dxa"/>
            <w:shd w:val="clear" w:color="auto" w:fill="auto"/>
            <w:vAlign w:val="center"/>
            <w:hideMark/>
          </w:tcPr>
          <w:p w14:paraId="320F9FCB" w14:textId="40B66A0B" w:rsidR="00D458E1" w:rsidRPr="00D458E1" w:rsidRDefault="00D458E1" w:rsidP="00D458E1">
            <w:pP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15.</w:t>
            </w:r>
            <w:r w:rsidR="009A2BA7">
              <w:rPr>
                <w:rFonts w:asciiTheme="minorHAnsi" w:hAnsiTheme="minorHAnsi" w:cstheme="minorHAnsi"/>
                <w:color w:val="000000"/>
                <w:spacing w:val="0"/>
                <w:sz w:val="18"/>
                <w:szCs w:val="18"/>
                <w:lang w:val="es-EC" w:eastAsia="es-EC"/>
              </w:rPr>
              <w:t xml:space="preserve"> </w:t>
            </w:r>
            <w:r w:rsidRPr="00D458E1">
              <w:rPr>
                <w:rFonts w:asciiTheme="minorHAnsi" w:hAnsiTheme="minorHAnsi" w:cstheme="minorHAnsi"/>
                <w:color w:val="000000"/>
                <w:spacing w:val="0"/>
                <w:sz w:val="18"/>
                <w:szCs w:val="18"/>
                <w:lang w:val="es-EC" w:eastAsia="es-EC"/>
              </w:rPr>
              <w:t>Escritura del informe final de evaluación antes y después -Evaluación de impacto-</w:t>
            </w:r>
          </w:p>
        </w:tc>
        <w:tc>
          <w:tcPr>
            <w:tcW w:w="281" w:type="dxa"/>
            <w:shd w:val="clear" w:color="auto" w:fill="auto"/>
            <w:vAlign w:val="center"/>
            <w:hideMark/>
          </w:tcPr>
          <w:p w14:paraId="1C71F7B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auto" w:fill="auto"/>
            <w:vAlign w:val="center"/>
            <w:hideMark/>
          </w:tcPr>
          <w:p w14:paraId="5B39714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1" w:type="dxa"/>
            <w:shd w:val="clear" w:color="auto" w:fill="auto"/>
            <w:vAlign w:val="center"/>
            <w:hideMark/>
          </w:tcPr>
          <w:p w14:paraId="45BAF73F"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0AC18E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5446122"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B4F41E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6AA0DC2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5" w:type="dxa"/>
            <w:shd w:val="clear" w:color="auto" w:fill="auto"/>
            <w:vAlign w:val="center"/>
            <w:hideMark/>
          </w:tcPr>
          <w:p w14:paraId="382A300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580C24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77A8DEF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247DF7FB"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0F9F1AA6"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65CE0A3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2C6A33B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014E267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21" w:type="dxa"/>
            <w:shd w:val="clear" w:color="auto" w:fill="auto"/>
            <w:vAlign w:val="center"/>
            <w:hideMark/>
          </w:tcPr>
          <w:p w14:paraId="2E26147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539" w:type="dxa"/>
            <w:shd w:val="clear" w:color="000000" w:fill="EDEDED"/>
            <w:vAlign w:val="center"/>
            <w:hideMark/>
          </w:tcPr>
          <w:p w14:paraId="05EC21C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612" w:type="dxa"/>
            <w:shd w:val="clear" w:color="000000" w:fill="EDEDED"/>
            <w:vAlign w:val="center"/>
            <w:hideMark/>
          </w:tcPr>
          <w:p w14:paraId="4ED7A62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20D9E0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1F74B775"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BAEC477"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auto" w:fill="auto"/>
            <w:vAlign w:val="center"/>
            <w:hideMark/>
          </w:tcPr>
          <w:p w14:paraId="5AB3F59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44E0FB4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06144B0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538E1D09"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6" w:type="dxa"/>
            <w:shd w:val="clear" w:color="auto" w:fill="auto"/>
            <w:vAlign w:val="center"/>
            <w:hideMark/>
          </w:tcPr>
          <w:p w14:paraId="0DFCBA8A"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282" w:type="dxa"/>
            <w:shd w:val="clear" w:color="auto" w:fill="auto"/>
            <w:vAlign w:val="center"/>
            <w:hideMark/>
          </w:tcPr>
          <w:p w14:paraId="338CF290"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41423B28"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24E433E4"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auto" w:fill="auto"/>
            <w:vAlign w:val="center"/>
            <w:hideMark/>
          </w:tcPr>
          <w:p w14:paraId="61A77ACE"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gridSpan w:val="2"/>
            <w:shd w:val="clear" w:color="auto" w:fill="auto"/>
            <w:vAlign w:val="center"/>
            <w:hideMark/>
          </w:tcPr>
          <w:p w14:paraId="711F2DE3"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C000"/>
            <w:vAlign w:val="center"/>
            <w:hideMark/>
          </w:tcPr>
          <w:p w14:paraId="543063BC"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c>
          <w:tcPr>
            <w:tcW w:w="414" w:type="dxa"/>
            <w:shd w:val="clear" w:color="000000" w:fill="FFC000"/>
            <w:vAlign w:val="center"/>
            <w:hideMark/>
          </w:tcPr>
          <w:p w14:paraId="5F6F1051" w14:textId="77777777" w:rsidR="00D458E1" w:rsidRPr="00D458E1" w:rsidRDefault="00D458E1" w:rsidP="00D458E1">
            <w:pPr>
              <w:jc w:val="center"/>
              <w:rPr>
                <w:rFonts w:asciiTheme="minorHAnsi" w:hAnsiTheme="minorHAnsi" w:cstheme="minorHAnsi"/>
                <w:color w:val="000000"/>
                <w:spacing w:val="0"/>
                <w:sz w:val="18"/>
                <w:szCs w:val="18"/>
                <w:lang w:val="es-EC" w:eastAsia="es-EC"/>
              </w:rPr>
            </w:pPr>
            <w:r w:rsidRPr="00D458E1">
              <w:rPr>
                <w:rFonts w:asciiTheme="minorHAnsi" w:hAnsiTheme="minorHAnsi" w:cstheme="minorHAnsi"/>
                <w:color w:val="000000"/>
                <w:spacing w:val="0"/>
                <w:sz w:val="18"/>
                <w:szCs w:val="18"/>
                <w:lang w:val="es-EC" w:eastAsia="es-EC"/>
              </w:rPr>
              <w:t> </w:t>
            </w:r>
          </w:p>
        </w:tc>
      </w:tr>
    </w:tbl>
    <w:p w14:paraId="08C2A78F" w14:textId="77777777" w:rsidR="00D458E1" w:rsidRDefault="00D458E1" w:rsidP="00D458E1">
      <w:pPr>
        <w:spacing w:after="160"/>
        <w:jc w:val="both"/>
        <w:rPr>
          <w:rFonts w:asciiTheme="minorHAnsi" w:eastAsia="Calibri" w:hAnsiTheme="minorHAnsi" w:cstheme="minorHAnsi"/>
          <w:spacing w:val="0"/>
          <w:sz w:val="18"/>
          <w:szCs w:val="18"/>
          <w:lang w:val="es-EC"/>
        </w:rPr>
      </w:pPr>
    </w:p>
    <w:p w14:paraId="3D363A1C" w14:textId="64600C40" w:rsidR="004049D6" w:rsidRPr="004049D6" w:rsidRDefault="004049D6" w:rsidP="00D458E1">
      <w:pPr>
        <w:spacing w:after="160"/>
        <w:jc w:val="both"/>
        <w:rPr>
          <w:rFonts w:asciiTheme="minorHAnsi" w:eastAsia="Calibri" w:hAnsiTheme="minorHAnsi" w:cstheme="minorHAnsi"/>
          <w:b/>
          <w:spacing w:val="0"/>
          <w:sz w:val="18"/>
          <w:szCs w:val="18"/>
          <w:lang w:val="es-EC"/>
        </w:rPr>
      </w:pPr>
      <w:r w:rsidRPr="004049D6">
        <w:rPr>
          <w:rFonts w:asciiTheme="minorHAnsi" w:eastAsia="Calibri" w:hAnsiTheme="minorHAnsi" w:cstheme="minorHAnsi"/>
          <w:b/>
          <w:spacing w:val="0"/>
          <w:sz w:val="18"/>
          <w:szCs w:val="18"/>
          <w:lang w:val="es-EC"/>
        </w:rPr>
        <w:t>Perfil</w:t>
      </w:r>
    </w:p>
    <w:p w14:paraId="2270C8BA" w14:textId="153CB383" w:rsidR="00B45549" w:rsidRDefault="00C52F58" w:rsidP="00D458E1">
      <w:pPr>
        <w:spacing w:after="160"/>
        <w:jc w:val="both"/>
        <w:rPr>
          <w:rFonts w:asciiTheme="minorHAnsi" w:eastAsia="Calibri" w:hAnsiTheme="minorHAnsi" w:cstheme="minorHAnsi"/>
          <w:spacing w:val="0"/>
          <w:sz w:val="18"/>
          <w:szCs w:val="18"/>
          <w:lang w:val="es-EC"/>
        </w:rPr>
      </w:pPr>
      <w:r>
        <w:rPr>
          <w:rFonts w:asciiTheme="minorHAnsi" w:eastAsia="Calibri" w:hAnsiTheme="minorHAnsi" w:cstheme="minorHAnsi"/>
          <w:spacing w:val="0"/>
          <w:sz w:val="18"/>
          <w:szCs w:val="18"/>
          <w:lang w:val="es-EC"/>
        </w:rPr>
        <w:t>Se recomienda que la</w:t>
      </w:r>
      <w:r w:rsidR="00B45549">
        <w:rPr>
          <w:rFonts w:asciiTheme="minorHAnsi" w:eastAsia="Calibri" w:hAnsiTheme="minorHAnsi" w:cstheme="minorHAnsi"/>
          <w:spacing w:val="0"/>
          <w:sz w:val="18"/>
          <w:szCs w:val="18"/>
          <w:lang w:val="es-EC"/>
        </w:rPr>
        <w:t xml:space="preserve"> empresa/persona consultora tenga experiencia comprobable en realización de evaluaciones de impacto</w:t>
      </w:r>
      <w:r w:rsidR="004049D6">
        <w:rPr>
          <w:rFonts w:asciiTheme="minorHAnsi" w:eastAsia="Calibri" w:hAnsiTheme="minorHAnsi" w:cstheme="minorHAnsi"/>
          <w:spacing w:val="0"/>
          <w:sz w:val="18"/>
          <w:szCs w:val="18"/>
          <w:lang w:val="es-EC"/>
        </w:rPr>
        <w:t xml:space="preserve">, y estimación de indicadores financieros. </w:t>
      </w:r>
      <w:r w:rsidR="00B45549">
        <w:rPr>
          <w:rFonts w:asciiTheme="minorHAnsi" w:eastAsia="Calibri" w:hAnsiTheme="minorHAnsi" w:cstheme="minorHAnsi"/>
          <w:spacing w:val="0"/>
          <w:sz w:val="18"/>
          <w:szCs w:val="18"/>
          <w:lang w:val="es-EC"/>
        </w:rPr>
        <w:t xml:space="preserve"> </w:t>
      </w:r>
    </w:p>
    <w:p w14:paraId="37133D10" w14:textId="4649FDBF" w:rsidR="00D458E1" w:rsidRDefault="004049D6" w:rsidP="00B61103">
      <w:pPr>
        <w:spacing w:after="160"/>
        <w:jc w:val="both"/>
        <w:rPr>
          <w:rFonts w:ascii="Arial" w:eastAsia="Calibri" w:hAnsi="Arial" w:cs="Arial"/>
          <w:spacing w:val="0"/>
          <w:sz w:val="22"/>
          <w:szCs w:val="22"/>
          <w:lang w:val="es-EC"/>
        </w:rPr>
      </w:pPr>
      <w:r>
        <w:rPr>
          <w:rFonts w:asciiTheme="minorHAnsi" w:eastAsia="Calibri" w:hAnsiTheme="minorHAnsi" w:cstheme="minorHAnsi"/>
          <w:spacing w:val="0"/>
          <w:sz w:val="18"/>
          <w:szCs w:val="18"/>
          <w:lang w:val="es-EC"/>
        </w:rPr>
        <w:t xml:space="preserve">Sea el consultor principal de la empresa o la persona consultora se recomienda que </w:t>
      </w:r>
      <w:r w:rsidR="00B45549">
        <w:rPr>
          <w:rFonts w:asciiTheme="minorHAnsi" w:eastAsia="Calibri" w:hAnsiTheme="minorHAnsi" w:cstheme="minorHAnsi"/>
          <w:spacing w:val="0"/>
          <w:sz w:val="18"/>
          <w:szCs w:val="18"/>
          <w:lang w:val="es-EC"/>
        </w:rPr>
        <w:t xml:space="preserve">tenga una formación de cuarto nivel en Ecometría o en Economía con fuerte </w:t>
      </w:r>
      <w:r>
        <w:rPr>
          <w:rFonts w:asciiTheme="minorHAnsi" w:eastAsia="Calibri" w:hAnsiTheme="minorHAnsi" w:cstheme="minorHAnsi"/>
          <w:spacing w:val="0"/>
          <w:sz w:val="18"/>
          <w:szCs w:val="18"/>
          <w:lang w:val="es-EC"/>
        </w:rPr>
        <w:t>énfasis en econometría y/o finanzas.</w:t>
      </w:r>
    </w:p>
    <w:p w14:paraId="587C9733" w14:textId="77777777" w:rsidR="00D458E1" w:rsidRDefault="00D458E1" w:rsidP="00B61103">
      <w:pPr>
        <w:spacing w:after="160"/>
        <w:jc w:val="both"/>
        <w:rPr>
          <w:rFonts w:ascii="Arial" w:eastAsia="Calibri" w:hAnsi="Arial" w:cs="Arial"/>
          <w:spacing w:val="0"/>
          <w:sz w:val="22"/>
          <w:szCs w:val="22"/>
          <w:lang w:val="es-EC"/>
        </w:rPr>
        <w:sectPr w:rsidR="00D458E1" w:rsidSect="00D458E1">
          <w:pgSz w:w="15840" w:h="12240" w:orient="landscape" w:code="1"/>
          <w:pgMar w:top="1440" w:right="1276" w:bottom="1440" w:left="1440" w:header="720" w:footer="720" w:gutter="0"/>
          <w:cols w:space="720"/>
          <w:docGrid w:linePitch="360"/>
        </w:sectPr>
      </w:pPr>
    </w:p>
    <w:p w14:paraId="3715DE29" w14:textId="77777777" w:rsidR="00557C4D" w:rsidRPr="00DD2307" w:rsidRDefault="00884580" w:rsidP="00534766">
      <w:pPr>
        <w:pStyle w:val="Heading4"/>
        <w:numPr>
          <w:ilvl w:val="0"/>
          <w:numId w:val="0"/>
        </w:numPr>
        <w:tabs>
          <w:tab w:val="clear" w:pos="1440"/>
          <w:tab w:val="left" w:pos="720"/>
        </w:tabs>
        <w:spacing w:before="0" w:after="0" w:line="276" w:lineRule="auto"/>
        <w:rPr>
          <w:rFonts w:ascii="Arial" w:hAnsi="Arial" w:cs="Arial"/>
          <w:smallCaps/>
          <w:spacing w:val="-3"/>
          <w:sz w:val="22"/>
          <w:szCs w:val="22"/>
          <w:lang w:val="es-ES" w:eastAsia="en-US"/>
        </w:rPr>
      </w:pPr>
      <w:bookmarkStart w:id="38" w:name="_Toc491519002"/>
      <w:r w:rsidRPr="00DD2307">
        <w:rPr>
          <w:rStyle w:val="Heading1Char"/>
          <w:rFonts w:ascii="Arial" w:hAnsi="Arial" w:cs="Arial"/>
          <w:b/>
          <w:spacing w:val="-3"/>
          <w:sz w:val="22"/>
          <w:szCs w:val="22"/>
          <w:lang w:val="es-ES" w:eastAsia="en-US"/>
        </w:rPr>
        <w:lastRenderedPageBreak/>
        <w:t xml:space="preserve">Tabla </w:t>
      </w:r>
      <w:r w:rsidR="00A75CD8" w:rsidRPr="00DD2307">
        <w:rPr>
          <w:rStyle w:val="Heading1Char"/>
          <w:rFonts w:ascii="Arial" w:hAnsi="Arial" w:cs="Arial"/>
          <w:b/>
          <w:spacing w:val="-3"/>
          <w:sz w:val="22"/>
          <w:szCs w:val="22"/>
          <w:lang w:val="es-ES" w:eastAsia="en-US"/>
        </w:rPr>
        <w:t>7</w:t>
      </w:r>
      <w:r w:rsidRPr="00DD2307">
        <w:rPr>
          <w:rStyle w:val="Heading1Char"/>
          <w:rFonts w:ascii="Arial" w:hAnsi="Arial" w:cs="Arial"/>
          <w:b/>
          <w:spacing w:val="-3"/>
          <w:sz w:val="22"/>
          <w:szCs w:val="22"/>
          <w:lang w:val="es-ES" w:eastAsia="en-US"/>
        </w:rPr>
        <w:t>. Evaluación  - Plan de trabajo y Presupuesto</w:t>
      </w:r>
      <w:bookmarkEnd w:id="38"/>
    </w:p>
    <w:p w14:paraId="5CF8A602" w14:textId="77777777" w:rsidR="00113FF2" w:rsidRPr="00DD2307" w:rsidRDefault="00113FF2" w:rsidP="00113FF2">
      <w:pPr>
        <w:pStyle w:val="Heading4"/>
        <w:numPr>
          <w:ilvl w:val="0"/>
          <w:numId w:val="0"/>
        </w:numPr>
        <w:tabs>
          <w:tab w:val="clear" w:pos="1440"/>
          <w:tab w:val="left" w:pos="720"/>
        </w:tabs>
        <w:spacing w:before="0" w:after="0" w:line="276" w:lineRule="auto"/>
        <w:ind w:left="360"/>
        <w:rPr>
          <w:rFonts w:ascii="Arial" w:hAnsi="Arial" w:cs="Arial"/>
          <w:bCs/>
          <w:sz w:val="22"/>
          <w:szCs w:val="22"/>
          <w:highlight w:val="cyan"/>
          <w:u w:val="single"/>
          <w:lang w:val="es-ES"/>
        </w:rPr>
      </w:pPr>
    </w:p>
    <w:tbl>
      <w:tblPr>
        <w:tblW w:w="10605" w:type="dxa"/>
        <w:tblInd w:w="55" w:type="dxa"/>
        <w:tblCellMar>
          <w:left w:w="70" w:type="dxa"/>
          <w:right w:w="70" w:type="dxa"/>
        </w:tblCellMar>
        <w:tblLook w:val="04A0" w:firstRow="1" w:lastRow="0" w:firstColumn="1" w:lastColumn="0" w:noHBand="0" w:noVBand="1"/>
      </w:tblPr>
      <w:tblGrid>
        <w:gridCol w:w="1016"/>
        <w:gridCol w:w="1667"/>
        <w:gridCol w:w="347"/>
        <w:gridCol w:w="353"/>
        <w:gridCol w:w="354"/>
        <w:gridCol w:w="354"/>
        <w:gridCol w:w="354"/>
        <w:gridCol w:w="354"/>
        <w:gridCol w:w="354"/>
        <w:gridCol w:w="348"/>
        <w:gridCol w:w="348"/>
        <w:gridCol w:w="348"/>
        <w:gridCol w:w="348"/>
        <w:gridCol w:w="348"/>
        <w:gridCol w:w="348"/>
        <w:gridCol w:w="354"/>
        <w:gridCol w:w="354"/>
        <w:gridCol w:w="354"/>
        <w:gridCol w:w="1087"/>
        <w:gridCol w:w="121"/>
        <w:gridCol w:w="1094"/>
      </w:tblGrid>
      <w:tr w:rsidR="00C6334A" w:rsidRPr="00DD2307" w14:paraId="58F04138" w14:textId="77777777" w:rsidTr="00074E94">
        <w:trPr>
          <w:trHeight w:val="300"/>
        </w:trPr>
        <w:tc>
          <w:tcPr>
            <w:tcW w:w="2683" w:type="dxa"/>
            <w:gridSpan w:val="2"/>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A056FC5" w14:textId="77777777" w:rsidR="00C6334A" w:rsidRPr="00DD2307" w:rsidRDefault="00C6334A" w:rsidP="00113FF2">
            <w:pP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 xml:space="preserve">Actividades </w:t>
            </w:r>
          </w:p>
        </w:tc>
        <w:tc>
          <w:tcPr>
            <w:tcW w:w="1408" w:type="dxa"/>
            <w:gridSpan w:val="4"/>
            <w:tcBorders>
              <w:top w:val="single" w:sz="4" w:space="0" w:color="auto"/>
              <w:left w:val="nil"/>
              <w:bottom w:val="single" w:sz="4" w:space="0" w:color="auto"/>
              <w:right w:val="single" w:sz="4" w:space="0" w:color="auto"/>
            </w:tcBorders>
            <w:shd w:val="clear" w:color="000000" w:fill="F2F2F2"/>
            <w:vAlign w:val="center"/>
            <w:hideMark/>
          </w:tcPr>
          <w:p w14:paraId="4D9DB8A0"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1</w:t>
            </w:r>
          </w:p>
        </w:tc>
        <w:tc>
          <w:tcPr>
            <w:tcW w:w="1410" w:type="dxa"/>
            <w:gridSpan w:val="4"/>
            <w:tcBorders>
              <w:top w:val="single" w:sz="4" w:space="0" w:color="auto"/>
              <w:left w:val="nil"/>
              <w:bottom w:val="single" w:sz="4" w:space="0" w:color="auto"/>
              <w:right w:val="single" w:sz="4" w:space="0" w:color="auto"/>
            </w:tcBorders>
            <w:shd w:val="clear" w:color="000000" w:fill="F2F2F2"/>
            <w:vAlign w:val="center"/>
            <w:hideMark/>
          </w:tcPr>
          <w:p w14:paraId="36C0A6B8"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2</w:t>
            </w:r>
          </w:p>
        </w:tc>
        <w:tc>
          <w:tcPr>
            <w:tcW w:w="1392" w:type="dxa"/>
            <w:gridSpan w:val="4"/>
            <w:tcBorders>
              <w:top w:val="single" w:sz="4" w:space="0" w:color="auto"/>
              <w:left w:val="nil"/>
              <w:bottom w:val="single" w:sz="4" w:space="0" w:color="auto"/>
              <w:right w:val="single" w:sz="4" w:space="0" w:color="auto"/>
            </w:tcBorders>
            <w:shd w:val="clear" w:color="000000" w:fill="F2F2F2"/>
            <w:vAlign w:val="center"/>
            <w:hideMark/>
          </w:tcPr>
          <w:p w14:paraId="17C8BD75"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3</w:t>
            </w:r>
          </w:p>
        </w:tc>
        <w:tc>
          <w:tcPr>
            <w:tcW w:w="1410" w:type="dxa"/>
            <w:gridSpan w:val="4"/>
            <w:tcBorders>
              <w:top w:val="single" w:sz="4" w:space="0" w:color="auto"/>
              <w:left w:val="nil"/>
              <w:bottom w:val="single" w:sz="4" w:space="0" w:color="auto"/>
              <w:right w:val="single" w:sz="4" w:space="0" w:color="auto"/>
            </w:tcBorders>
            <w:shd w:val="clear" w:color="000000" w:fill="F2F2F2"/>
            <w:vAlign w:val="center"/>
            <w:hideMark/>
          </w:tcPr>
          <w:p w14:paraId="0B18F877"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Año 4</w:t>
            </w:r>
          </w:p>
        </w:tc>
        <w:tc>
          <w:tcPr>
            <w:tcW w:w="1087" w:type="dxa"/>
            <w:tcBorders>
              <w:top w:val="single" w:sz="4" w:space="0" w:color="auto"/>
              <w:left w:val="nil"/>
              <w:bottom w:val="single" w:sz="4" w:space="0" w:color="auto"/>
              <w:right w:val="single" w:sz="4" w:space="0" w:color="auto"/>
            </w:tcBorders>
            <w:shd w:val="clear" w:color="000000" w:fill="F2F2F2"/>
          </w:tcPr>
          <w:p w14:paraId="005C7B0D" w14:textId="6903963A" w:rsidR="00C6334A" w:rsidRPr="00DD2307" w:rsidRDefault="00C6334A" w:rsidP="00113FF2">
            <w:pPr>
              <w:jc w:val="both"/>
              <w:rPr>
                <w:rFonts w:ascii="Arial" w:hAnsi="Arial" w:cs="Arial"/>
                <w:b/>
                <w:bCs/>
                <w:color w:val="000000"/>
                <w:spacing w:val="0"/>
                <w:sz w:val="16"/>
                <w:szCs w:val="16"/>
                <w:lang w:val="es-ES" w:eastAsia="es-EC"/>
              </w:rPr>
            </w:pPr>
            <w:r>
              <w:rPr>
                <w:rFonts w:ascii="Arial" w:hAnsi="Arial" w:cs="Arial"/>
                <w:b/>
                <w:bCs/>
                <w:color w:val="000000"/>
                <w:spacing w:val="0"/>
                <w:sz w:val="16"/>
                <w:szCs w:val="16"/>
                <w:lang w:val="es-ES" w:eastAsia="es-EC"/>
              </w:rPr>
              <w:t>Total</w:t>
            </w:r>
          </w:p>
        </w:tc>
        <w:tc>
          <w:tcPr>
            <w:tcW w:w="1215"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2B363086" w14:textId="3C2C08DB" w:rsidR="00C6334A" w:rsidRPr="00DD2307" w:rsidRDefault="00C6334A" w:rsidP="00113FF2">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Responsable</w:t>
            </w:r>
          </w:p>
        </w:tc>
      </w:tr>
      <w:tr w:rsidR="00FA481D" w:rsidRPr="00DD2307" w14:paraId="7E955E94" w14:textId="77777777" w:rsidTr="005012B8">
        <w:trPr>
          <w:trHeight w:val="300"/>
        </w:trPr>
        <w:tc>
          <w:tcPr>
            <w:tcW w:w="2683" w:type="dxa"/>
            <w:gridSpan w:val="2"/>
            <w:vMerge/>
            <w:tcBorders>
              <w:top w:val="single" w:sz="4" w:space="0" w:color="auto"/>
              <w:left w:val="single" w:sz="4" w:space="0" w:color="auto"/>
              <w:bottom w:val="single" w:sz="4" w:space="0" w:color="auto"/>
              <w:right w:val="single" w:sz="4" w:space="0" w:color="auto"/>
            </w:tcBorders>
            <w:vAlign w:val="center"/>
            <w:hideMark/>
          </w:tcPr>
          <w:p w14:paraId="1402F88F" w14:textId="77777777" w:rsidR="00C6334A" w:rsidRPr="00DD2307" w:rsidRDefault="00C6334A" w:rsidP="00113FF2">
            <w:pPr>
              <w:rPr>
                <w:rFonts w:ascii="Arial" w:hAnsi="Arial" w:cs="Arial"/>
                <w:b/>
                <w:bCs/>
                <w:color w:val="000000"/>
                <w:spacing w:val="0"/>
                <w:sz w:val="16"/>
                <w:szCs w:val="16"/>
                <w:lang w:val="es-ES" w:eastAsia="es-EC"/>
              </w:rPr>
            </w:pPr>
          </w:p>
        </w:tc>
        <w:tc>
          <w:tcPr>
            <w:tcW w:w="347" w:type="dxa"/>
            <w:tcBorders>
              <w:top w:val="nil"/>
              <w:left w:val="nil"/>
              <w:bottom w:val="single" w:sz="4" w:space="0" w:color="auto"/>
              <w:right w:val="single" w:sz="4" w:space="0" w:color="auto"/>
            </w:tcBorders>
            <w:shd w:val="clear" w:color="000000" w:fill="F2F2F2"/>
            <w:vAlign w:val="center"/>
            <w:hideMark/>
          </w:tcPr>
          <w:p w14:paraId="5106390D"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353" w:type="dxa"/>
            <w:tcBorders>
              <w:top w:val="nil"/>
              <w:left w:val="nil"/>
              <w:bottom w:val="single" w:sz="4" w:space="0" w:color="auto"/>
              <w:right w:val="single" w:sz="4" w:space="0" w:color="auto"/>
            </w:tcBorders>
            <w:shd w:val="clear" w:color="000000" w:fill="F2F2F2"/>
            <w:vAlign w:val="center"/>
            <w:hideMark/>
          </w:tcPr>
          <w:p w14:paraId="76C77CEA"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354" w:type="dxa"/>
            <w:tcBorders>
              <w:top w:val="nil"/>
              <w:left w:val="nil"/>
              <w:bottom w:val="single" w:sz="4" w:space="0" w:color="auto"/>
              <w:right w:val="single" w:sz="4" w:space="0" w:color="auto"/>
            </w:tcBorders>
            <w:shd w:val="clear" w:color="000000" w:fill="F2F2F2"/>
            <w:vAlign w:val="center"/>
            <w:hideMark/>
          </w:tcPr>
          <w:p w14:paraId="5E100B00"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354" w:type="dxa"/>
            <w:tcBorders>
              <w:top w:val="nil"/>
              <w:left w:val="nil"/>
              <w:bottom w:val="single" w:sz="4" w:space="0" w:color="auto"/>
              <w:right w:val="single" w:sz="4" w:space="0" w:color="auto"/>
            </w:tcBorders>
            <w:shd w:val="clear" w:color="000000" w:fill="F2F2F2"/>
            <w:vAlign w:val="center"/>
            <w:hideMark/>
          </w:tcPr>
          <w:p w14:paraId="2882F1B8"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354" w:type="dxa"/>
            <w:tcBorders>
              <w:top w:val="nil"/>
              <w:left w:val="nil"/>
              <w:bottom w:val="single" w:sz="4" w:space="0" w:color="auto"/>
              <w:right w:val="single" w:sz="4" w:space="0" w:color="auto"/>
            </w:tcBorders>
            <w:shd w:val="clear" w:color="000000" w:fill="F2F2F2"/>
            <w:vAlign w:val="center"/>
            <w:hideMark/>
          </w:tcPr>
          <w:p w14:paraId="427FD6D7"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354" w:type="dxa"/>
            <w:tcBorders>
              <w:top w:val="nil"/>
              <w:left w:val="nil"/>
              <w:bottom w:val="single" w:sz="4" w:space="0" w:color="auto"/>
              <w:right w:val="single" w:sz="4" w:space="0" w:color="auto"/>
            </w:tcBorders>
            <w:shd w:val="clear" w:color="000000" w:fill="F2F2F2"/>
            <w:vAlign w:val="center"/>
            <w:hideMark/>
          </w:tcPr>
          <w:p w14:paraId="3D61DC62"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354" w:type="dxa"/>
            <w:tcBorders>
              <w:top w:val="nil"/>
              <w:left w:val="nil"/>
              <w:bottom w:val="single" w:sz="4" w:space="0" w:color="auto"/>
              <w:right w:val="single" w:sz="4" w:space="0" w:color="auto"/>
            </w:tcBorders>
            <w:shd w:val="clear" w:color="000000" w:fill="F2F2F2"/>
            <w:vAlign w:val="center"/>
            <w:hideMark/>
          </w:tcPr>
          <w:p w14:paraId="6E50731E"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348" w:type="dxa"/>
            <w:tcBorders>
              <w:top w:val="nil"/>
              <w:left w:val="nil"/>
              <w:bottom w:val="single" w:sz="4" w:space="0" w:color="auto"/>
              <w:right w:val="single" w:sz="4" w:space="0" w:color="auto"/>
            </w:tcBorders>
            <w:shd w:val="clear" w:color="000000" w:fill="F2F2F2"/>
            <w:vAlign w:val="center"/>
            <w:hideMark/>
          </w:tcPr>
          <w:p w14:paraId="1F5D25BC"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348" w:type="dxa"/>
            <w:tcBorders>
              <w:top w:val="nil"/>
              <w:left w:val="nil"/>
              <w:bottom w:val="single" w:sz="4" w:space="0" w:color="auto"/>
              <w:right w:val="single" w:sz="4" w:space="0" w:color="auto"/>
            </w:tcBorders>
            <w:shd w:val="clear" w:color="000000" w:fill="F2F2F2"/>
            <w:vAlign w:val="center"/>
            <w:hideMark/>
          </w:tcPr>
          <w:p w14:paraId="537D5D0F"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348" w:type="dxa"/>
            <w:tcBorders>
              <w:top w:val="nil"/>
              <w:left w:val="nil"/>
              <w:bottom w:val="single" w:sz="4" w:space="0" w:color="auto"/>
              <w:right w:val="single" w:sz="4" w:space="0" w:color="auto"/>
            </w:tcBorders>
            <w:shd w:val="clear" w:color="000000" w:fill="F2F2F2"/>
            <w:vAlign w:val="center"/>
            <w:hideMark/>
          </w:tcPr>
          <w:p w14:paraId="0B67F865"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348" w:type="dxa"/>
            <w:tcBorders>
              <w:top w:val="nil"/>
              <w:left w:val="nil"/>
              <w:bottom w:val="single" w:sz="4" w:space="0" w:color="auto"/>
              <w:right w:val="single" w:sz="4" w:space="0" w:color="auto"/>
            </w:tcBorders>
            <w:shd w:val="clear" w:color="000000" w:fill="F2F2F2"/>
            <w:vAlign w:val="center"/>
            <w:hideMark/>
          </w:tcPr>
          <w:p w14:paraId="2EB0FC68"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348" w:type="dxa"/>
            <w:tcBorders>
              <w:top w:val="nil"/>
              <w:left w:val="nil"/>
              <w:bottom w:val="single" w:sz="4" w:space="0" w:color="auto"/>
              <w:right w:val="single" w:sz="4" w:space="0" w:color="auto"/>
            </w:tcBorders>
            <w:shd w:val="clear" w:color="000000" w:fill="F2F2F2"/>
            <w:vAlign w:val="center"/>
            <w:hideMark/>
          </w:tcPr>
          <w:p w14:paraId="56CFE0B8"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348" w:type="dxa"/>
            <w:tcBorders>
              <w:top w:val="nil"/>
              <w:left w:val="nil"/>
              <w:bottom w:val="single" w:sz="4" w:space="0" w:color="auto"/>
              <w:right w:val="single" w:sz="4" w:space="0" w:color="auto"/>
            </w:tcBorders>
            <w:shd w:val="clear" w:color="000000" w:fill="F2F2F2"/>
            <w:vAlign w:val="center"/>
            <w:hideMark/>
          </w:tcPr>
          <w:p w14:paraId="7FECE2DC"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1</w:t>
            </w:r>
          </w:p>
        </w:tc>
        <w:tc>
          <w:tcPr>
            <w:tcW w:w="354" w:type="dxa"/>
            <w:tcBorders>
              <w:top w:val="nil"/>
              <w:left w:val="nil"/>
              <w:bottom w:val="single" w:sz="4" w:space="0" w:color="auto"/>
              <w:right w:val="single" w:sz="4" w:space="0" w:color="auto"/>
            </w:tcBorders>
            <w:shd w:val="clear" w:color="000000" w:fill="F2F2F2"/>
            <w:vAlign w:val="center"/>
            <w:hideMark/>
          </w:tcPr>
          <w:p w14:paraId="3DC800F7"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2</w:t>
            </w:r>
          </w:p>
        </w:tc>
        <w:tc>
          <w:tcPr>
            <w:tcW w:w="354" w:type="dxa"/>
            <w:tcBorders>
              <w:top w:val="nil"/>
              <w:left w:val="nil"/>
              <w:bottom w:val="single" w:sz="4" w:space="0" w:color="auto"/>
              <w:right w:val="single" w:sz="4" w:space="0" w:color="auto"/>
            </w:tcBorders>
            <w:shd w:val="clear" w:color="000000" w:fill="F2F2F2"/>
            <w:vAlign w:val="center"/>
            <w:hideMark/>
          </w:tcPr>
          <w:p w14:paraId="3CD9E510"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3</w:t>
            </w:r>
          </w:p>
        </w:tc>
        <w:tc>
          <w:tcPr>
            <w:tcW w:w="354" w:type="dxa"/>
            <w:tcBorders>
              <w:top w:val="nil"/>
              <w:left w:val="nil"/>
              <w:bottom w:val="single" w:sz="4" w:space="0" w:color="auto"/>
              <w:right w:val="single" w:sz="4" w:space="0" w:color="auto"/>
            </w:tcBorders>
            <w:shd w:val="clear" w:color="000000" w:fill="F2F2F2"/>
            <w:vAlign w:val="center"/>
            <w:hideMark/>
          </w:tcPr>
          <w:p w14:paraId="0E356EC8" w14:textId="77777777" w:rsidR="00C6334A" w:rsidRPr="00DD2307" w:rsidRDefault="00C6334A" w:rsidP="00113FF2">
            <w:pPr>
              <w:jc w:val="center"/>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4</w:t>
            </w:r>
          </w:p>
        </w:tc>
        <w:tc>
          <w:tcPr>
            <w:tcW w:w="1087" w:type="dxa"/>
            <w:tcBorders>
              <w:top w:val="single" w:sz="4" w:space="0" w:color="auto"/>
              <w:left w:val="nil"/>
              <w:bottom w:val="single" w:sz="4" w:space="0" w:color="auto"/>
              <w:right w:val="single" w:sz="4" w:space="0" w:color="auto"/>
            </w:tcBorders>
            <w:shd w:val="clear" w:color="000000" w:fill="F2F2F2"/>
          </w:tcPr>
          <w:p w14:paraId="6F0C277E" w14:textId="77777777" w:rsidR="00C6334A" w:rsidRPr="00DD2307" w:rsidRDefault="00C6334A" w:rsidP="00113FF2">
            <w:pPr>
              <w:jc w:val="both"/>
              <w:rPr>
                <w:rFonts w:ascii="Arial" w:hAnsi="Arial" w:cs="Arial"/>
                <w:color w:val="000000"/>
                <w:spacing w:val="0"/>
                <w:sz w:val="16"/>
                <w:szCs w:val="16"/>
                <w:lang w:val="es-ES" w:eastAsia="es-EC"/>
              </w:rPr>
            </w:pPr>
          </w:p>
        </w:tc>
        <w:tc>
          <w:tcPr>
            <w:tcW w:w="1215"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2A183AD2" w14:textId="76E94BC1" w:rsidR="00C6334A" w:rsidRPr="00DD2307" w:rsidRDefault="00C6334A" w:rsidP="00113FF2">
            <w:pPr>
              <w:jc w:val="both"/>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r>
      <w:tr w:rsidR="00A810DA" w:rsidRPr="00DD2307" w14:paraId="7D50EBDF" w14:textId="77777777" w:rsidTr="00074E94">
        <w:trPr>
          <w:trHeight w:val="300"/>
        </w:trPr>
        <w:tc>
          <w:tcPr>
            <w:tcW w:w="1016" w:type="dxa"/>
            <w:tcBorders>
              <w:top w:val="single" w:sz="4" w:space="0" w:color="auto"/>
              <w:left w:val="single" w:sz="4" w:space="0" w:color="auto"/>
              <w:bottom w:val="single" w:sz="4" w:space="0" w:color="auto"/>
              <w:right w:val="single" w:sz="4" w:space="0" w:color="auto"/>
            </w:tcBorders>
            <w:shd w:val="clear" w:color="000000" w:fill="FFFFFF"/>
          </w:tcPr>
          <w:p w14:paraId="72ED2B4A" w14:textId="77777777" w:rsidR="00A810DA" w:rsidRPr="00DD2307" w:rsidRDefault="00A810DA" w:rsidP="00113FF2">
            <w:pPr>
              <w:jc w:val="both"/>
              <w:rPr>
                <w:rFonts w:ascii="Arial" w:hAnsi="Arial" w:cs="Arial"/>
                <w:b/>
                <w:bCs/>
                <w:color w:val="000000"/>
                <w:spacing w:val="0"/>
                <w:sz w:val="16"/>
                <w:szCs w:val="16"/>
                <w:lang w:val="es-ES" w:eastAsia="es-EC"/>
              </w:rPr>
            </w:pPr>
          </w:p>
        </w:tc>
        <w:tc>
          <w:tcPr>
            <w:tcW w:w="9589" w:type="dxa"/>
            <w:gridSpan w:val="20"/>
            <w:tcBorders>
              <w:top w:val="single" w:sz="4" w:space="0" w:color="auto"/>
              <w:left w:val="single" w:sz="4" w:space="0" w:color="auto"/>
              <w:bottom w:val="single" w:sz="4" w:space="0" w:color="auto"/>
              <w:right w:val="single" w:sz="4" w:space="0" w:color="auto"/>
            </w:tcBorders>
            <w:shd w:val="clear" w:color="000000" w:fill="FFFFFF"/>
            <w:vAlign w:val="center"/>
            <w:hideMark/>
          </w:tcPr>
          <w:p w14:paraId="435A613B" w14:textId="40540914" w:rsidR="00A810DA" w:rsidRPr="00DD2307" w:rsidRDefault="00A810DA" w:rsidP="00113FF2">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Evaluación de Resultados intermedia</w:t>
            </w:r>
          </w:p>
        </w:tc>
      </w:tr>
      <w:tr w:rsidR="00FA481D" w:rsidRPr="00DD2307" w14:paraId="1699701D" w14:textId="77777777" w:rsidTr="005012B8">
        <w:trPr>
          <w:trHeight w:val="53"/>
        </w:trPr>
        <w:tc>
          <w:tcPr>
            <w:tcW w:w="2683" w:type="dxa"/>
            <w:gridSpan w:val="2"/>
            <w:tcBorders>
              <w:top w:val="nil"/>
              <w:left w:val="single" w:sz="4" w:space="0" w:color="auto"/>
              <w:bottom w:val="single" w:sz="4" w:space="0" w:color="auto"/>
              <w:right w:val="single" w:sz="4" w:space="0" w:color="auto"/>
            </w:tcBorders>
            <w:shd w:val="clear" w:color="000000" w:fill="FFFFFF"/>
            <w:vAlign w:val="center"/>
            <w:hideMark/>
          </w:tcPr>
          <w:p w14:paraId="2475C93E" w14:textId="77777777" w:rsidR="00C6334A" w:rsidRPr="00DD2307" w:rsidRDefault="00C6334A" w:rsidP="00E40FA5">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xml:space="preserve">1.1 Contratación </w:t>
            </w:r>
          </w:p>
        </w:tc>
        <w:tc>
          <w:tcPr>
            <w:tcW w:w="347" w:type="dxa"/>
            <w:tcBorders>
              <w:top w:val="nil"/>
              <w:left w:val="nil"/>
              <w:bottom w:val="single" w:sz="4" w:space="0" w:color="auto"/>
              <w:right w:val="single" w:sz="4" w:space="0" w:color="auto"/>
            </w:tcBorders>
            <w:shd w:val="clear" w:color="000000" w:fill="FFFFFF"/>
            <w:vAlign w:val="center"/>
            <w:hideMark/>
          </w:tcPr>
          <w:p w14:paraId="55B6137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000000" w:fill="FFFFFF"/>
            <w:vAlign w:val="center"/>
            <w:hideMark/>
          </w:tcPr>
          <w:p w14:paraId="45164C38"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376E7D3"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3A83736"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675AD6E0"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000000" w:fill="FFFFFF"/>
            <w:vAlign w:val="center"/>
            <w:hideMark/>
          </w:tcPr>
          <w:p w14:paraId="22F23B6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41DE753A"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tcPr>
          <w:p w14:paraId="0E44077E"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62E022F2"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4BA98444"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hideMark/>
          </w:tcPr>
          <w:p w14:paraId="41440330"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693B2426"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1CE6AC3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586A38E3"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7E15340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E7AE3E4"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shd w:val="clear" w:color="000000" w:fill="FFFFFF"/>
          </w:tcPr>
          <w:p w14:paraId="6EC8EBFA" w14:textId="77777777" w:rsidR="00C6334A" w:rsidRDefault="00C6334A" w:rsidP="00E40FA5">
            <w:pPr>
              <w:jc w:val="both"/>
              <w:rPr>
                <w:rFonts w:ascii="Arial" w:hAnsi="Arial" w:cs="Arial"/>
                <w:color w:val="000000"/>
                <w:spacing w:val="0"/>
                <w:sz w:val="16"/>
                <w:szCs w:val="16"/>
                <w:lang w:val="es-ES" w:eastAsia="es-EC"/>
              </w:rPr>
            </w:pPr>
          </w:p>
        </w:tc>
        <w:tc>
          <w:tcPr>
            <w:tcW w:w="10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1C313B" w14:textId="0FA2ACB9" w:rsidR="00C6334A" w:rsidRPr="00DD2307" w:rsidRDefault="00C6334A" w:rsidP="00E40FA5">
            <w:pPr>
              <w:jc w:val="both"/>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Equipo de Gestión (EDG)</w:t>
            </w:r>
            <w:r w:rsidRPr="00DD2307">
              <w:rPr>
                <w:rFonts w:ascii="Arial" w:hAnsi="Arial" w:cs="Arial"/>
                <w:color w:val="000000"/>
                <w:spacing w:val="0"/>
                <w:sz w:val="16"/>
                <w:szCs w:val="16"/>
                <w:lang w:val="es-ES" w:eastAsia="es-EC"/>
              </w:rPr>
              <w:t xml:space="preserve"> MEF</w:t>
            </w:r>
          </w:p>
        </w:tc>
      </w:tr>
      <w:tr w:rsidR="00FA481D" w:rsidRPr="00DD2307" w14:paraId="46AAE99D" w14:textId="77777777" w:rsidTr="005012B8">
        <w:trPr>
          <w:trHeight w:val="127"/>
        </w:trPr>
        <w:tc>
          <w:tcPr>
            <w:tcW w:w="2683" w:type="dxa"/>
            <w:gridSpan w:val="2"/>
            <w:tcBorders>
              <w:top w:val="nil"/>
              <w:left w:val="single" w:sz="4" w:space="0" w:color="auto"/>
              <w:bottom w:val="single" w:sz="4" w:space="0" w:color="auto"/>
              <w:right w:val="single" w:sz="4" w:space="0" w:color="auto"/>
            </w:tcBorders>
            <w:shd w:val="clear" w:color="000000" w:fill="FFFFFF"/>
            <w:vAlign w:val="center"/>
            <w:hideMark/>
          </w:tcPr>
          <w:p w14:paraId="176ECD8C" w14:textId="77777777" w:rsidR="00C6334A" w:rsidRPr="00DD2307" w:rsidRDefault="00C6334A" w:rsidP="00E40FA5">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1.2 Recolección de datos</w:t>
            </w:r>
          </w:p>
        </w:tc>
        <w:tc>
          <w:tcPr>
            <w:tcW w:w="347" w:type="dxa"/>
            <w:tcBorders>
              <w:top w:val="nil"/>
              <w:left w:val="nil"/>
              <w:bottom w:val="single" w:sz="4" w:space="0" w:color="auto"/>
              <w:right w:val="single" w:sz="4" w:space="0" w:color="auto"/>
            </w:tcBorders>
            <w:shd w:val="clear" w:color="000000" w:fill="FFFFFF"/>
            <w:vAlign w:val="center"/>
            <w:hideMark/>
          </w:tcPr>
          <w:p w14:paraId="10D03281"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000000" w:fill="FFFFFF"/>
            <w:vAlign w:val="center"/>
            <w:hideMark/>
          </w:tcPr>
          <w:p w14:paraId="1E2E2CA6"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6C738F1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2845DE7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1B755FF7"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000000" w:fill="FFFFFF"/>
            <w:vAlign w:val="center"/>
            <w:hideMark/>
          </w:tcPr>
          <w:p w14:paraId="00EF588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000000" w:fill="FFFFFF"/>
            <w:vAlign w:val="center"/>
            <w:hideMark/>
          </w:tcPr>
          <w:p w14:paraId="7925008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tcPr>
          <w:p w14:paraId="1B92E736"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6DBCB44B"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7B5D8B7E" w14:textId="77777777" w:rsidR="00C6334A" w:rsidRPr="00D51B14" w:rsidRDefault="00C6334A" w:rsidP="00E40FA5">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hideMark/>
          </w:tcPr>
          <w:p w14:paraId="4EBD507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4FC5C505"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71242316"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1262EDC5"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78484BE5"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8948C47"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1F07A49E" w14:textId="37878FDC" w:rsidR="00C6334A" w:rsidRPr="00DD2307" w:rsidRDefault="00C6334A" w:rsidP="00E40FA5">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US$5.600</w:t>
            </w:r>
          </w:p>
        </w:tc>
        <w:tc>
          <w:tcPr>
            <w:tcW w:w="1094" w:type="dxa"/>
            <w:vMerge/>
            <w:tcBorders>
              <w:top w:val="nil"/>
              <w:left w:val="single" w:sz="4" w:space="0" w:color="auto"/>
              <w:bottom w:val="single" w:sz="4" w:space="0" w:color="auto"/>
              <w:right w:val="single" w:sz="4" w:space="0" w:color="auto"/>
            </w:tcBorders>
            <w:vAlign w:val="center"/>
            <w:hideMark/>
          </w:tcPr>
          <w:p w14:paraId="249D6EA8" w14:textId="2D11CD8F" w:rsidR="00C6334A" w:rsidRPr="00DD2307" w:rsidRDefault="00C6334A" w:rsidP="00E40FA5">
            <w:pPr>
              <w:rPr>
                <w:rFonts w:ascii="Arial" w:hAnsi="Arial" w:cs="Arial"/>
                <w:color w:val="000000"/>
                <w:spacing w:val="0"/>
                <w:sz w:val="16"/>
                <w:szCs w:val="16"/>
                <w:lang w:val="es-ES" w:eastAsia="es-EC"/>
              </w:rPr>
            </w:pPr>
          </w:p>
        </w:tc>
      </w:tr>
      <w:tr w:rsidR="00FA481D" w:rsidRPr="00DD2307" w14:paraId="462070A1" w14:textId="77777777" w:rsidTr="005012B8">
        <w:trPr>
          <w:trHeight w:val="73"/>
        </w:trPr>
        <w:tc>
          <w:tcPr>
            <w:tcW w:w="2683" w:type="dxa"/>
            <w:gridSpan w:val="2"/>
            <w:tcBorders>
              <w:top w:val="nil"/>
              <w:left w:val="single" w:sz="4" w:space="0" w:color="auto"/>
              <w:bottom w:val="single" w:sz="4" w:space="0" w:color="auto"/>
              <w:right w:val="single" w:sz="4" w:space="0" w:color="auto"/>
            </w:tcBorders>
            <w:shd w:val="clear" w:color="000000" w:fill="FFFFFF"/>
            <w:vAlign w:val="center"/>
            <w:hideMark/>
          </w:tcPr>
          <w:p w14:paraId="25D109EC"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1.3 Análisis de datos</w:t>
            </w:r>
          </w:p>
        </w:tc>
        <w:tc>
          <w:tcPr>
            <w:tcW w:w="347" w:type="dxa"/>
            <w:tcBorders>
              <w:top w:val="nil"/>
              <w:left w:val="nil"/>
              <w:bottom w:val="single" w:sz="4" w:space="0" w:color="auto"/>
              <w:right w:val="single" w:sz="4" w:space="0" w:color="auto"/>
            </w:tcBorders>
            <w:shd w:val="clear" w:color="000000" w:fill="FFFFFF"/>
            <w:vAlign w:val="center"/>
            <w:hideMark/>
          </w:tcPr>
          <w:p w14:paraId="5F766D1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000000" w:fill="FFFFFF"/>
            <w:vAlign w:val="center"/>
            <w:hideMark/>
          </w:tcPr>
          <w:p w14:paraId="5D42DFD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699243E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2B44A88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401025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35C3237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000000" w:fill="FFFFFF"/>
            <w:vAlign w:val="center"/>
            <w:hideMark/>
          </w:tcPr>
          <w:p w14:paraId="1A3442A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tcPr>
          <w:p w14:paraId="61ECEF61"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59A854B9"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29C71A0B"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hideMark/>
          </w:tcPr>
          <w:p w14:paraId="563EF3D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481E0CE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43E296F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66C59A41"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45BB8F5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47780E9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3D8A8696" w14:textId="2331088B"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US$11</w:t>
            </w:r>
            <w:r w:rsidRPr="00E92053">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2</w:t>
            </w:r>
            <w:r w:rsidRPr="00E92053">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2F82C085" w14:textId="034307AF" w:rsidR="00C6334A" w:rsidRPr="00DD2307" w:rsidRDefault="00C6334A" w:rsidP="00A810DA">
            <w:pPr>
              <w:rPr>
                <w:rFonts w:ascii="Arial" w:hAnsi="Arial" w:cs="Arial"/>
                <w:color w:val="000000"/>
                <w:spacing w:val="0"/>
                <w:sz w:val="16"/>
                <w:szCs w:val="16"/>
                <w:lang w:val="es-ES" w:eastAsia="es-EC"/>
              </w:rPr>
            </w:pPr>
          </w:p>
        </w:tc>
      </w:tr>
      <w:tr w:rsidR="00FA481D" w:rsidRPr="00DD2307" w14:paraId="55C63B96" w14:textId="77777777" w:rsidTr="005012B8">
        <w:trPr>
          <w:trHeight w:val="162"/>
        </w:trPr>
        <w:tc>
          <w:tcPr>
            <w:tcW w:w="2683" w:type="dxa"/>
            <w:gridSpan w:val="2"/>
            <w:tcBorders>
              <w:top w:val="nil"/>
              <w:left w:val="single" w:sz="4" w:space="0" w:color="auto"/>
              <w:bottom w:val="single" w:sz="4" w:space="0" w:color="auto"/>
              <w:right w:val="single" w:sz="4" w:space="0" w:color="auto"/>
            </w:tcBorders>
            <w:shd w:val="clear" w:color="000000" w:fill="FFFFFF"/>
            <w:vAlign w:val="center"/>
            <w:hideMark/>
          </w:tcPr>
          <w:p w14:paraId="658DA0CF"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1.4 Informe preliminar</w:t>
            </w:r>
          </w:p>
        </w:tc>
        <w:tc>
          <w:tcPr>
            <w:tcW w:w="347" w:type="dxa"/>
            <w:tcBorders>
              <w:top w:val="nil"/>
              <w:left w:val="nil"/>
              <w:bottom w:val="single" w:sz="4" w:space="0" w:color="auto"/>
              <w:right w:val="single" w:sz="4" w:space="0" w:color="auto"/>
            </w:tcBorders>
            <w:shd w:val="clear" w:color="000000" w:fill="FFFFFF"/>
            <w:vAlign w:val="center"/>
            <w:hideMark/>
          </w:tcPr>
          <w:p w14:paraId="055F1A9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000000" w:fill="FFFFFF"/>
            <w:vAlign w:val="center"/>
            <w:hideMark/>
          </w:tcPr>
          <w:p w14:paraId="2C8CC4B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2F63657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1339516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18F523A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F6596D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4758491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48" w:type="dxa"/>
            <w:tcBorders>
              <w:top w:val="nil"/>
              <w:left w:val="nil"/>
              <w:bottom w:val="single" w:sz="4" w:space="0" w:color="auto"/>
              <w:right w:val="single" w:sz="4" w:space="0" w:color="auto"/>
            </w:tcBorders>
            <w:shd w:val="clear" w:color="auto" w:fill="auto"/>
            <w:vAlign w:val="center"/>
          </w:tcPr>
          <w:p w14:paraId="20F7C2EE"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5BFDEF50"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37D2BB83"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hideMark/>
          </w:tcPr>
          <w:p w14:paraId="2A70563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32A7B28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6679A4C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63B2A90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580A4ED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1E80B41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463DBDDF" w14:textId="2B219284"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w:t>
            </w:r>
            <w:r w:rsidRPr="00E92053">
              <w:rPr>
                <w:rFonts w:ascii="Arial" w:hAnsi="Arial" w:cs="Arial"/>
                <w:color w:val="000000"/>
                <w:spacing w:val="0"/>
                <w:sz w:val="16"/>
                <w:szCs w:val="16"/>
                <w:lang w:val="es-ES" w:eastAsia="es-EC"/>
              </w:rPr>
              <w:t>5.</w:t>
            </w:r>
            <w:r>
              <w:rPr>
                <w:rFonts w:ascii="Arial" w:hAnsi="Arial" w:cs="Arial"/>
                <w:color w:val="000000"/>
                <w:spacing w:val="0"/>
                <w:sz w:val="16"/>
                <w:szCs w:val="16"/>
                <w:lang w:val="es-ES" w:eastAsia="es-EC"/>
              </w:rPr>
              <w:t>6</w:t>
            </w:r>
            <w:r w:rsidRPr="00E92053">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74ED7C4B" w14:textId="065A0350" w:rsidR="00C6334A" w:rsidRPr="00DD2307" w:rsidRDefault="00C6334A" w:rsidP="00A810DA">
            <w:pPr>
              <w:rPr>
                <w:rFonts w:ascii="Arial" w:hAnsi="Arial" w:cs="Arial"/>
                <w:color w:val="000000"/>
                <w:spacing w:val="0"/>
                <w:sz w:val="16"/>
                <w:szCs w:val="16"/>
                <w:lang w:val="es-ES" w:eastAsia="es-EC"/>
              </w:rPr>
            </w:pPr>
          </w:p>
        </w:tc>
      </w:tr>
      <w:tr w:rsidR="00FA481D" w:rsidRPr="00DD2307" w14:paraId="3B61764C" w14:textId="77777777" w:rsidTr="005012B8">
        <w:trPr>
          <w:trHeight w:val="107"/>
        </w:trPr>
        <w:tc>
          <w:tcPr>
            <w:tcW w:w="2683" w:type="dxa"/>
            <w:gridSpan w:val="2"/>
            <w:tcBorders>
              <w:top w:val="nil"/>
              <w:left w:val="single" w:sz="4" w:space="0" w:color="auto"/>
              <w:bottom w:val="single" w:sz="4" w:space="0" w:color="auto"/>
              <w:right w:val="single" w:sz="4" w:space="0" w:color="auto"/>
            </w:tcBorders>
            <w:shd w:val="clear" w:color="000000" w:fill="FFFFFF"/>
            <w:vAlign w:val="center"/>
            <w:hideMark/>
          </w:tcPr>
          <w:p w14:paraId="30E8CA87"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1.5 Informe final</w:t>
            </w:r>
          </w:p>
        </w:tc>
        <w:tc>
          <w:tcPr>
            <w:tcW w:w="347" w:type="dxa"/>
            <w:tcBorders>
              <w:top w:val="nil"/>
              <w:left w:val="nil"/>
              <w:bottom w:val="single" w:sz="4" w:space="0" w:color="auto"/>
              <w:right w:val="single" w:sz="4" w:space="0" w:color="auto"/>
            </w:tcBorders>
            <w:shd w:val="clear" w:color="000000" w:fill="FFFFFF"/>
            <w:vAlign w:val="center"/>
            <w:hideMark/>
          </w:tcPr>
          <w:p w14:paraId="6DAE592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000000" w:fill="FFFFFF"/>
            <w:vAlign w:val="center"/>
            <w:hideMark/>
          </w:tcPr>
          <w:p w14:paraId="549E611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5B0087C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3E669D6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01B0B79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73808A9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25511E5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48" w:type="dxa"/>
            <w:tcBorders>
              <w:top w:val="nil"/>
              <w:left w:val="nil"/>
              <w:bottom w:val="single" w:sz="4" w:space="0" w:color="auto"/>
              <w:right w:val="single" w:sz="4" w:space="0" w:color="auto"/>
            </w:tcBorders>
            <w:shd w:val="clear" w:color="auto" w:fill="auto"/>
            <w:vAlign w:val="center"/>
          </w:tcPr>
          <w:p w14:paraId="3406DB62"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061B1346"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57BF21A5" w14:textId="77777777" w:rsidR="00C6334A" w:rsidRPr="00D51B14" w:rsidRDefault="00C6334A" w:rsidP="00A810DA">
            <w:pPr>
              <w:jc w:val="center"/>
              <w:rPr>
                <w:rFonts w:ascii="Arial" w:hAnsi="Arial" w:cs="Arial"/>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hideMark/>
          </w:tcPr>
          <w:p w14:paraId="5A7AA02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2D5E5FD1"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000000" w:fill="FFFFFF"/>
            <w:vAlign w:val="center"/>
            <w:hideMark/>
          </w:tcPr>
          <w:p w14:paraId="188EAD7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34A2891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5A71709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000000" w:fill="FFFFFF"/>
            <w:vAlign w:val="center"/>
            <w:hideMark/>
          </w:tcPr>
          <w:p w14:paraId="4CFA71F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1921BE55" w14:textId="5F53FBF9"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US$11</w:t>
            </w:r>
            <w:r w:rsidRPr="00E92053">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2</w:t>
            </w:r>
            <w:r w:rsidRPr="00E92053">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2334CB21" w14:textId="49A9FB7D" w:rsidR="00C6334A" w:rsidRPr="00DD2307" w:rsidRDefault="00C6334A" w:rsidP="00A810DA">
            <w:pPr>
              <w:rPr>
                <w:rFonts w:ascii="Arial" w:hAnsi="Arial" w:cs="Arial"/>
                <w:color w:val="000000"/>
                <w:spacing w:val="0"/>
                <w:sz w:val="16"/>
                <w:szCs w:val="16"/>
                <w:lang w:val="es-ES" w:eastAsia="es-EC"/>
              </w:rPr>
            </w:pPr>
          </w:p>
        </w:tc>
      </w:tr>
      <w:tr w:rsidR="00FA481D" w:rsidRPr="00DD2307" w14:paraId="3095F699" w14:textId="77777777" w:rsidTr="005012B8">
        <w:trPr>
          <w:trHeight w:val="107"/>
        </w:trPr>
        <w:tc>
          <w:tcPr>
            <w:tcW w:w="2683" w:type="dxa"/>
            <w:gridSpan w:val="2"/>
            <w:tcBorders>
              <w:top w:val="nil"/>
              <w:left w:val="single" w:sz="4" w:space="0" w:color="auto"/>
              <w:bottom w:val="single" w:sz="4" w:space="0" w:color="auto"/>
              <w:right w:val="single" w:sz="4" w:space="0" w:color="auto"/>
            </w:tcBorders>
            <w:shd w:val="clear" w:color="000000" w:fill="FFFFFF"/>
            <w:vAlign w:val="center"/>
          </w:tcPr>
          <w:p w14:paraId="3FA80E07" w14:textId="1D7EC157" w:rsidR="00C6334A" w:rsidRPr="00634AD8" w:rsidRDefault="00C6334A" w:rsidP="00A810DA">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TOTAL</w:t>
            </w:r>
          </w:p>
        </w:tc>
        <w:tc>
          <w:tcPr>
            <w:tcW w:w="347" w:type="dxa"/>
            <w:tcBorders>
              <w:top w:val="nil"/>
              <w:left w:val="nil"/>
              <w:bottom w:val="single" w:sz="4" w:space="0" w:color="auto"/>
              <w:right w:val="single" w:sz="4" w:space="0" w:color="auto"/>
            </w:tcBorders>
            <w:shd w:val="clear" w:color="000000" w:fill="FFFFFF"/>
            <w:vAlign w:val="center"/>
          </w:tcPr>
          <w:p w14:paraId="2D2EFE2F" w14:textId="77777777" w:rsidR="00C6334A" w:rsidRPr="00634AD8" w:rsidRDefault="00C6334A" w:rsidP="00A810DA">
            <w:pPr>
              <w:jc w:val="center"/>
              <w:rPr>
                <w:rFonts w:ascii="Arial" w:hAnsi="Arial" w:cs="Arial"/>
                <w:b/>
                <w:color w:val="000000"/>
                <w:spacing w:val="0"/>
                <w:sz w:val="16"/>
                <w:szCs w:val="16"/>
                <w:lang w:val="es-ES" w:eastAsia="es-EC"/>
              </w:rPr>
            </w:pPr>
          </w:p>
        </w:tc>
        <w:tc>
          <w:tcPr>
            <w:tcW w:w="353" w:type="dxa"/>
            <w:tcBorders>
              <w:top w:val="nil"/>
              <w:left w:val="nil"/>
              <w:bottom w:val="single" w:sz="4" w:space="0" w:color="auto"/>
              <w:right w:val="single" w:sz="4" w:space="0" w:color="auto"/>
            </w:tcBorders>
            <w:shd w:val="clear" w:color="000000" w:fill="FFFFFF"/>
            <w:vAlign w:val="center"/>
          </w:tcPr>
          <w:p w14:paraId="7EDA0A2B"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0DC4FD33"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59323E74"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7792D96E"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57AC4360"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06A1A1CE"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01C90CD8"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18FE6601"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auto" w:fill="auto"/>
            <w:vAlign w:val="center"/>
          </w:tcPr>
          <w:p w14:paraId="729BFC4B"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tcPr>
          <w:p w14:paraId="652AC879"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tcPr>
          <w:p w14:paraId="3559B448" w14:textId="77777777" w:rsidR="00C6334A" w:rsidRPr="00634AD8" w:rsidRDefault="00C6334A" w:rsidP="00A810DA">
            <w:pPr>
              <w:jc w:val="center"/>
              <w:rPr>
                <w:rFonts w:ascii="Arial" w:hAnsi="Arial" w:cs="Arial"/>
                <w:b/>
                <w:color w:val="000000"/>
                <w:spacing w:val="0"/>
                <w:sz w:val="16"/>
                <w:szCs w:val="16"/>
                <w:lang w:val="es-ES" w:eastAsia="es-EC"/>
              </w:rPr>
            </w:pPr>
          </w:p>
        </w:tc>
        <w:tc>
          <w:tcPr>
            <w:tcW w:w="348" w:type="dxa"/>
            <w:tcBorders>
              <w:top w:val="nil"/>
              <w:left w:val="nil"/>
              <w:bottom w:val="single" w:sz="4" w:space="0" w:color="auto"/>
              <w:right w:val="single" w:sz="4" w:space="0" w:color="auto"/>
            </w:tcBorders>
            <w:shd w:val="clear" w:color="000000" w:fill="FFFFFF"/>
            <w:vAlign w:val="center"/>
          </w:tcPr>
          <w:p w14:paraId="4D65FE54"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5CDAC3FD"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4F9DBB31" w14:textId="77777777" w:rsidR="00C6334A" w:rsidRPr="00634AD8" w:rsidRDefault="00C6334A" w:rsidP="00A810DA">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000000" w:fill="FFFFFF"/>
            <w:vAlign w:val="center"/>
          </w:tcPr>
          <w:p w14:paraId="7123316C" w14:textId="77777777" w:rsidR="00C6334A" w:rsidRPr="00634AD8" w:rsidRDefault="00C6334A" w:rsidP="00A810DA">
            <w:pPr>
              <w:jc w:val="center"/>
              <w:rPr>
                <w:rFonts w:ascii="Arial" w:hAnsi="Arial" w:cs="Arial"/>
                <w:b/>
                <w:color w:val="000000"/>
                <w:spacing w:val="0"/>
                <w:sz w:val="16"/>
                <w:szCs w:val="16"/>
                <w:lang w:val="es-ES" w:eastAsia="es-EC"/>
              </w:rPr>
            </w:pPr>
          </w:p>
        </w:tc>
        <w:tc>
          <w:tcPr>
            <w:tcW w:w="1208" w:type="dxa"/>
            <w:gridSpan w:val="2"/>
            <w:tcBorders>
              <w:top w:val="nil"/>
              <w:left w:val="single" w:sz="4" w:space="0" w:color="auto"/>
              <w:bottom w:val="single" w:sz="4" w:space="0" w:color="auto"/>
              <w:right w:val="single" w:sz="4" w:space="0" w:color="auto"/>
            </w:tcBorders>
          </w:tcPr>
          <w:p w14:paraId="08AB3253" w14:textId="0DF1BD18" w:rsidR="00C6334A" w:rsidRPr="00634AD8" w:rsidRDefault="00C6334A" w:rsidP="00A810DA">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US$3</w:t>
            </w:r>
            <w:r>
              <w:rPr>
                <w:rFonts w:ascii="Arial" w:hAnsi="Arial" w:cs="Arial"/>
                <w:b/>
                <w:color w:val="000000"/>
                <w:spacing w:val="0"/>
                <w:sz w:val="16"/>
                <w:szCs w:val="16"/>
                <w:lang w:val="es-ES" w:eastAsia="es-EC"/>
              </w:rPr>
              <w:t>3</w:t>
            </w:r>
            <w:r w:rsidRPr="00634AD8">
              <w:rPr>
                <w:rFonts w:ascii="Arial" w:hAnsi="Arial" w:cs="Arial"/>
                <w:b/>
                <w:color w:val="000000"/>
                <w:spacing w:val="0"/>
                <w:sz w:val="16"/>
                <w:szCs w:val="16"/>
                <w:lang w:val="es-ES" w:eastAsia="es-EC"/>
              </w:rPr>
              <w:t>.</w:t>
            </w:r>
            <w:r>
              <w:rPr>
                <w:rFonts w:ascii="Arial" w:hAnsi="Arial" w:cs="Arial"/>
                <w:b/>
                <w:color w:val="000000"/>
                <w:spacing w:val="0"/>
                <w:sz w:val="16"/>
                <w:szCs w:val="16"/>
                <w:lang w:val="es-ES" w:eastAsia="es-EC"/>
              </w:rPr>
              <w:t>6</w:t>
            </w:r>
            <w:r w:rsidRPr="00634AD8">
              <w:rPr>
                <w:rFonts w:ascii="Arial" w:hAnsi="Arial" w:cs="Arial"/>
                <w:b/>
                <w:color w:val="000000"/>
                <w:spacing w:val="0"/>
                <w:sz w:val="16"/>
                <w:szCs w:val="16"/>
                <w:lang w:val="es-ES" w:eastAsia="es-EC"/>
              </w:rPr>
              <w:t>00</w:t>
            </w:r>
          </w:p>
        </w:tc>
        <w:tc>
          <w:tcPr>
            <w:tcW w:w="1094" w:type="dxa"/>
            <w:tcBorders>
              <w:top w:val="nil"/>
              <w:left w:val="single" w:sz="4" w:space="0" w:color="auto"/>
              <w:bottom w:val="single" w:sz="4" w:space="0" w:color="auto"/>
              <w:right w:val="single" w:sz="4" w:space="0" w:color="auto"/>
            </w:tcBorders>
            <w:vAlign w:val="center"/>
          </w:tcPr>
          <w:p w14:paraId="2AB6598B" w14:textId="77777777" w:rsidR="00C6334A" w:rsidRPr="00DD2307" w:rsidRDefault="00C6334A" w:rsidP="00A810DA">
            <w:pPr>
              <w:rPr>
                <w:rFonts w:ascii="Arial" w:hAnsi="Arial" w:cs="Arial"/>
                <w:color w:val="000000"/>
                <w:spacing w:val="0"/>
                <w:sz w:val="16"/>
                <w:szCs w:val="16"/>
                <w:lang w:val="es-ES" w:eastAsia="es-EC"/>
              </w:rPr>
            </w:pPr>
          </w:p>
        </w:tc>
      </w:tr>
      <w:tr w:rsidR="00A810DA" w:rsidRPr="00DD2307" w14:paraId="626369AB" w14:textId="77777777" w:rsidTr="00074E94">
        <w:trPr>
          <w:trHeight w:val="300"/>
        </w:trPr>
        <w:tc>
          <w:tcPr>
            <w:tcW w:w="1016" w:type="dxa"/>
            <w:tcBorders>
              <w:top w:val="single" w:sz="4" w:space="0" w:color="auto"/>
              <w:left w:val="single" w:sz="4" w:space="0" w:color="auto"/>
              <w:bottom w:val="single" w:sz="4" w:space="0" w:color="auto"/>
              <w:right w:val="single" w:sz="4" w:space="0" w:color="auto"/>
            </w:tcBorders>
          </w:tcPr>
          <w:p w14:paraId="2DC16372" w14:textId="77777777" w:rsidR="00A810DA" w:rsidRPr="00DD2307" w:rsidRDefault="00A810DA" w:rsidP="00E40FA5">
            <w:pPr>
              <w:jc w:val="both"/>
              <w:rPr>
                <w:rFonts w:ascii="Arial" w:hAnsi="Arial" w:cs="Arial"/>
                <w:b/>
                <w:bCs/>
                <w:color w:val="000000"/>
                <w:spacing w:val="0"/>
                <w:sz w:val="16"/>
                <w:szCs w:val="16"/>
                <w:lang w:val="es-ES" w:eastAsia="es-EC"/>
              </w:rPr>
            </w:pPr>
          </w:p>
        </w:tc>
        <w:tc>
          <w:tcPr>
            <w:tcW w:w="9589"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60456C95" w14:textId="3FEBE275" w:rsidR="00A810DA" w:rsidRPr="00DD2307" w:rsidRDefault="00A810DA" w:rsidP="00E40FA5">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 xml:space="preserve">Evaluación de Resultados final Antes y Después (línea base) y </w:t>
            </w:r>
            <w:proofErr w:type="spellStart"/>
            <w:r w:rsidRPr="00DD2307">
              <w:rPr>
                <w:rFonts w:ascii="Arial" w:hAnsi="Arial" w:cs="Arial"/>
                <w:b/>
                <w:bCs/>
                <w:color w:val="000000"/>
                <w:spacing w:val="0"/>
                <w:sz w:val="16"/>
                <w:szCs w:val="16"/>
                <w:lang w:val="es-ES" w:eastAsia="es-EC"/>
              </w:rPr>
              <w:t>benchmark</w:t>
            </w:r>
            <w:proofErr w:type="spellEnd"/>
          </w:p>
        </w:tc>
      </w:tr>
      <w:tr w:rsidR="00C6334A" w:rsidRPr="00DD2307" w14:paraId="17CD5917"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1AD9A149" w14:textId="77777777" w:rsidR="00C6334A" w:rsidRPr="00DD2307" w:rsidRDefault="00C6334A" w:rsidP="00E40FA5">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3.1 Contratación</w:t>
            </w:r>
          </w:p>
        </w:tc>
        <w:tc>
          <w:tcPr>
            <w:tcW w:w="347" w:type="dxa"/>
            <w:tcBorders>
              <w:top w:val="nil"/>
              <w:left w:val="nil"/>
              <w:bottom w:val="single" w:sz="4" w:space="0" w:color="auto"/>
              <w:right w:val="single" w:sz="4" w:space="0" w:color="auto"/>
            </w:tcBorders>
            <w:shd w:val="clear" w:color="auto" w:fill="auto"/>
            <w:vAlign w:val="center"/>
            <w:hideMark/>
          </w:tcPr>
          <w:p w14:paraId="2A0D3108"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571ECCA2"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539D3CB1"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522E23F9"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F26E0D9"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18CB30F"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DBE1234"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FCD20D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B72C588"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D10C6FF"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7AF279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58F78F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C2182A2"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C9D834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1C303F4"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17B7F75"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72D785E4" w14:textId="77777777" w:rsidR="00C6334A" w:rsidRDefault="00C6334A" w:rsidP="00E40FA5">
            <w:pPr>
              <w:jc w:val="both"/>
              <w:rPr>
                <w:rFonts w:ascii="Arial" w:hAnsi="Arial" w:cs="Arial"/>
                <w:color w:val="000000"/>
                <w:spacing w:val="0"/>
                <w:sz w:val="16"/>
                <w:szCs w:val="16"/>
                <w:lang w:val="es-ES" w:eastAsia="es-EC"/>
              </w:rPr>
            </w:pPr>
          </w:p>
        </w:tc>
        <w:tc>
          <w:tcPr>
            <w:tcW w:w="10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9A1967" w14:textId="6F10CEB9" w:rsidR="00C6334A" w:rsidRPr="00DD2307" w:rsidRDefault="00C6334A" w:rsidP="00E40FA5">
            <w:pPr>
              <w:jc w:val="both"/>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ED</w:t>
            </w:r>
            <w:r w:rsidRPr="00DD2307">
              <w:rPr>
                <w:rFonts w:ascii="Arial" w:hAnsi="Arial" w:cs="Arial"/>
                <w:color w:val="000000"/>
                <w:spacing w:val="0"/>
                <w:sz w:val="16"/>
                <w:szCs w:val="16"/>
                <w:lang w:val="es-ES" w:eastAsia="es-EC"/>
              </w:rPr>
              <w:t>G MEF</w:t>
            </w:r>
          </w:p>
        </w:tc>
      </w:tr>
      <w:tr w:rsidR="00C6334A" w:rsidRPr="00DD2307" w14:paraId="56E56D71" w14:textId="77777777" w:rsidTr="00074E94">
        <w:trPr>
          <w:trHeight w:val="121"/>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3BDF8493"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3.2 Recolección de información</w:t>
            </w:r>
          </w:p>
        </w:tc>
        <w:tc>
          <w:tcPr>
            <w:tcW w:w="347" w:type="dxa"/>
            <w:tcBorders>
              <w:top w:val="nil"/>
              <w:left w:val="nil"/>
              <w:bottom w:val="single" w:sz="4" w:space="0" w:color="auto"/>
              <w:right w:val="single" w:sz="4" w:space="0" w:color="auto"/>
            </w:tcBorders>
            <w:shd w:val="clear" w:color="auto" w:fill="auto"/>
            <w:vAlign w:val="center"/>
            <w:hideMark/>
          </w:tcPr>
          <w:p w14:paraId="08EDBE3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23A804E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FD0C41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0700A791"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F29121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5A88B0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DE935C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6C0BE4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B5173D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ED650E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EEA9E89"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9D0C7E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991FCD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09D1A1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5FE023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CA73A5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7D5D2346" w14:textId="49CC4EC4"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US$22</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4</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49D6F798" w14:textId="5138713D" w:rsidR="00C6334A" w:rsidRPr="00DD2307" w:rsidRDefault="00C6334A" w:rsidP="00A810DA">
            <w:pPr>
              <w:rPr>
                <w:rFonts w:ascii="Arial" w:hAnsi="Arial" w:cs="Arial"/>
                <w:color w:val="000000"/>
                <w:spacing w:val="0"/>
                <w:sz w:val="16"/>
                <w:szCs w:val="16"/>
                <w:lang w:val="es-ES" w:eastAsia="es-EC"/>
              </w:rPr>
            </w:pPr>
          </w:p>
        </w:tc>
      </w:tr>
      <w:tr w:rsidR="00C6334A" w:rsidRPr="00DD2307" w14:paraId="3B6EAB86" w14:textId="77777777" w:rsidTr="00074E94">
        <w:trPr>
          <w:trHeight w:val="67"/>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3AA45F1E"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3.3 Informe preliminar</w:t>
            </w:r>
          </w:p>
        </w:tc>
        <w:tc>
          <w:tcPr>
            <w:tcW w:w="347" w:type="dxa"/>
            <w:tcBorders>
              <w:top w:val="nil"/>
              <w:left w:val="nil"/>
              <w:bottom w:val="single" w:sz="4" w:space="0" w:color="auto"/>
              <w:right w:val="single" w:sz="4" w:space="0" w:color="auto"/>
            </w:tcBorders>
            <w:shd w:val="clear" w:color="auto" w:fill="auto"/>
            <w:vAlign w:val="center"/>
            <w:hideMark/>
          </w:tcPr>
          <w:p w14:paraId="4EE1DE49"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4A196EE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CC1AD8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D2BD530"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559E598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6DE11C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05D92F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0DB7E4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F88F36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3EF0E8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50C8BB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D59847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E3B828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C0C335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B1A5B7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D3382F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3B1F3499" w14:textId="386718D2"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US$11</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2</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13BC5752" w14:textId="791F26C4" w:rsidR="00C6334A" w:rsidRPr="00DD2307" w:rsidRDefault="00C6334A" w:rsidP="00A810DA">
            <w:pPr>
              <w:rPr>
                <w:rFonts w:ascii="Arial" w:hAnsi="Arial" w:cs="Arial"/>
                <w:color w:val="000000"/>
                <w:spacing w:val="0"/>
                <w:sz w:val="16"/>
                <w:szCs w:val="16"/>
                <w:lang w:val="es-ES" w:eastAsia="es-EC"/>
              </w:rPr>
            </w:pPr>
          </w:p>
        </w:tc>
      </w:tr>
      <w:tr w:rsidR="00C6334A" w:rsidRPr="00DD2307" w14:paraId="5D7A7808"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699C98C6" w14:textId="77777777" w:rsidR="00C6334A" w:rsidRPr="00DD2307" w:rsidRDefault="00C6334A" w:rsidP="000E0616">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3.4 Informe final</w:t>
            </w:r>
          </w:p>
        </w:tc>
        <w:tc>
          <w:tcPr>
            <w:tcW w:w="347" w:type="dxa"/>
            <w:tcBorders>
              <w:top w:val="nil"/>
              <w:left w:val="nil"/>
              <w:bottom w:val="single" w:sz="4" w:space="0" w:color="auto"/>
              <w:right w:val="single" w:sz="4" w:space="0" w:color="auto"/>
            </w:tcBorders>
            <w:shd w:val="clear" w:color="auto" w:fill="auto"/>
            <w:vAlign w:val="center"/>
            <w:hideMark/>
          </w:tcPr>
          <w:p w14:paraId="379DDCA4"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3E264AF5"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E166880"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CB3EBFD"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3D711B8E"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73AFDD7"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D28E01E"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42AD5E2"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A5C2A07"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CC509BD"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E135E2A"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8106E8A"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96D7295"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6D19ECA"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2C56B00"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AA69AA6"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6999A4C0" w14:textId="5CF2DACC" w:rsidR="00C6334A" w:rsidRPr="00DD2307" w:rsidRDefault="00C6334A" w:rsidP="000E0616">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US$22</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4</w:t>
            </w:r>
            <w:r w:rsidRPr="00D878AE">
              <w:rPr>
                <w:rFonts w:ascii="Arial" w:hAnsi="Arial" w:cs="Arial"/>
                <w:color w:val="000000"/>
                <w:spacing w:val="0"/>
                <w:sz w:val="16"/>
                <w:szCs w:val="16"/>
                <w:lang w:val="es-ES" w:eastAsia="es-EC"/>
              </w:rPr>
              <w:t>00</w:t>
            </w:r>
          </w:p>
        </w:tc>
        <w:tc>
          <w:tcPr>
            <w:tcW w:w="1094" w:type="dxa"/>
            <w:tcBorders>
              <w:top w:val="nil"/>
              <w:left w:val="single" w:sz="4" w:space="0" w:color="auto"/>
              <w:bottom w:val="single" w:sz="4" w:space="0" w:color="auto"/>
              <w:right w:val="single" w:sz="4" w:space="0" w:color="auto"/>
            </w:tcBorders>
            <w:vAlign w:val="center"/>
            <w:hideMark/>
          </w:tcPr>
          <w:p w14:paraId="465246FF" w14:textId="77777777" w:rsidR="00C6334A" w:rsidRPr="00DD2307" w:rsidRDefault="00C6334A" w:rsidP="000E0616">
            <w:pPr>
              <w:rPr>
                <w:rFonts w:ascii="Arial" w:hAnsi="Arial" w:cs="Arial"/>
                <w:color w:val="000000"/>
                <w:spacing w:val="0"/>
                <w:sz w:val="16"/>
                <w:szCs w:val="16"/>
                <w:lang w:val="es-ES" w:eastAsia="es-EC"/>
              </w:rPr>
            </w:pPr>
          </w:p>
        </w:tc>
      </w:tr>
      <w:tr w:rsidR="00C6334A" w:rsidRPr="00DD2307" w14:paraId="15AE2FF3"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1FB6F924" w14:textId="7FBF56BA" w:rsidR="00C6334A" w:rsidRPr="00DD2307" w:rsidRDefault="00C6334A" w:rsidP="00A810DA">
            <w:pPr>
              <w:rPr>
                <w:rFonts w:ascii="Arial" w:hAnsi="Arial" w:cs="Arial"/>
                <w:color w:val="000000"/>
                <w:spacing w:val="0"/>
                <w:sz w:val="16"/>
                <w:szCs w:val="16"/>
                <w:lang w:val="es-ES" w:eastAsia="es-EC"/>
              </w:rPr>
            </w:pPr>
            <w:r w:rsidRPr="002810CC">
              <w:rPr>
                <w:rFonts w:ascii="Arial" w:hAnsi="Arial" w:cs="Arial"/>
                <w:b/>
                <w:color w:val="000000"/>
                <w:spacing w:val="0"/>
                <w:sz w:val="16"/>
                <w:szCs w:val="16"/>
                <w:lang w:val="es-ES" w:eastAsia="es-EC"/>
              </w:rPr>
              <w:t>TOTAL</w:t>
            </w:r>
          </w:p>
        </w:tc>
        <w:tc>
          <w:tcPr>
            <w:tcW w:w="347" w:type="dxa"/>
            <w:tcBorders>
              <w:top w:val="nil"/>
              <w:left w:val="nil"/>
              <w:bottom w:val="single" w:sz="4" w:space="0" w:color="auto"/>
              <w:right w:val="single" w:sz="4" w:space="0" w:color="auto"/>
            </w:tcBorders>
            <w:shd w:val="clear" w:color="auto" w:fill="auto"/>
            <w:vAlign w:val="center"/>
            <w:hideMark/>
          </w:tcPr>
          <w:p w14:paraId="49809C2A"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65F3D90A"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6DA300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B7206EB" w14:textId="6A6F2796" w:rsidR="00C6334A" w:rsidRPr="00DD2307" w:rsidRDefault="00C6334A" w:rsidP="00A810DA">
            <w:pPr>
              <w:jc w:val="center"/>
              <w:rPr>
                <w:rFonts w:ascii="Arial" w:hAnsi="Arial" w:cs="Arial"/>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auto" w:fill="auto"/>
            <w:vAlign w:val="center"/>
            <w:hideMark/>
          </w:tcPr>
          <w:p w14:paraId="30800E9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BBC4039"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FF8993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F1B540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674A54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3F683B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327F04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E39A3B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44B82A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FE0C15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C673EE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FE4817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08D790E8" w14:textId="6BC09C99" w:rsidR="00C6334A" w:rsidRPr="00634AD8" w:rsidRDefault="00C6334A" w:rsidP="00A810DA">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US$5</w:t>
            </w:r>
            <w:r>
              <w:rPr>
                <w:rFonts w:ascii="Arial" w:hAnsi="Arial" w:cs="Arial"/>
                <w:b/>
                <w:color w:val="000000"/>
                <w:spacing w:val="0"/>
                <w:sz w:val="16"/>
                <w:szCs w:val="16"/>
                <w:lang w:val="es-ES" w:eastAsia="es-EC"/>
              </w:rPr>
              <w:t>6</w:t>
            </w:r>
            <w:r w:rsidRPr="00634AD8">
              <w:rPr>
                <w:rFonts w:ascii="Arial" w:hAnsi="Arial" w:cs="Arial"/>
                <w:b/>
                <w:color w:val="000000"/>
                <w:spacing w:val="0"/>
                <w:sz w:val="16"/>
                <w:szCs w:val="16"/>
                <w:lang w:val="es-ES" w:eastAsia="es-EC"/>
              </w:rPr>
              <w:t>.000</w:t>
            </w:r>
          </w:p>
        </w:tc>
        <w:tc>
          <w:tcPr>
            <w:tcW w:w="1094" w:type="dxa"/>
            <w:tcBorders>
              <w:top w:val="nil"/>
              <w:left w:val="single" w:sz="4" w:space="0" w:color="auto"/>
              <w:bottom w:val="single" w:sz="4" w:space="0" w:color="auto"/>
              <w:right w:val="single" w:sz="4" w:space="0" w:color="auto"/>
            </w:tcBorders>
            <w:vAlign w:val="center"/>
            <w:hideMark/>
          </w:tcPr>
          <w:p w14:paraId="4BDDC3D2" w14:textId="3731B41D" w:rsidR="00C6334A" w:rsidRPr="00DD2307" w:rsidRDefault="00C6334A" w:rsidP="00A810DA">
            <w:pPr>
              <w:rPr>
                <w:rFonts w:ascii="Arial" w:hAnsi="Arial" w:cs="Arial"/>
                <w:color w:val="000000"/>
                <w:spacing w:val="0"/>
                <w:sz w:val="16"/>
                <w:szCs w:val="16"/>
                <w:lang w:val="es-ES" w:eastAsia="es-EC"/>
              </w:rPr>
            </w:pPr>
          </w:p>
        </w:tc>
      </w:tr>
      <w:tr w:rsidR="00A810DA" w:rsidRPr="00DD2307" w14:paraId="7796D8D5" w14:textId="77777777" w:rsidTr="00074E94">
        <w:trPr>
          <w:trHeight w:val="300"/>
        </w:trPr>
        <w:tc>
          <w:tcPr>
            <w:tcW w:w="1016" w:type="dxa"/>
            <w:tcBorders>
              <w:top w:val="single" w:sz="4" w:space="0" w:color="auto"/>
              <w:left w:val="single" w:sz="4" w:space="0" w:color="auto"/>
              <w:bottom w:val="single" w:sz="4" w:space="0" w:color="auto"/>
              <w:right w:val="single" w:sz="4" w:space="0" w:color="auto"/>
            </w:tcBorders>
          </w:tcPr>
          <w:p w14:paraId="10AA4C3C" w14:textId="77777777" w:rsidR="00A810DA" w:rsidRPr="00DD2307" w:rsidRDefault="00A810DA" w:rsidP="00E40FA5">
            <w:pPr>
              <w:jc w:val="both"/>
              <w:rPr>
                <w:rFonts w:ascii="Arial" w:hAnsi="Arial" w:cs="Arial"/>
                <w:b/>
                <w:bCs/>
                <w:color w:val="000000"/>
                <w:spacing w:val="0"/>
                <w:sz w:val="16"/>
                <w:szCs w:val="16"/>
                <w:lang w:val="es-ES" w:eastAsia="es-EC"/>
              </w:rPr>
            </w:pPr>
          </w:p>
        </w:tc>
        <w:tc>
          <w:tcPr>
            <w:tcW w:w="9589"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56723CE4" w14:textId="6987C71E" w:rsidR="00A810DA" w:rsidRPr="00DD2307" w:rsidRDefault="00A810DA" w:rsidP="00E40FA5">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 xml:space="preserve">Evaluación de Resultados final Antes y Después (línea de seguimiento y evaluación) y </w:t>
            </w:r>
            <w:proofErr w:type="spellStart"/>
            <w:r w:rsidRPr="00DD2307">
              <w:rPr>
                <w:rFonts w:ascii="Arial" w:hAnsi="Arial" w:cs="Arial"/>
                <w:b/>
                <w:bCs/>
                <w:color w:val="000000"/>
                <w:spacing w:val="0"/>
                <w:sz w:val="16"/>
                <w:szCs w:val="16"/>
                <w:lang w:val="es-ES" w:eastAsia="es-EC"/>
              </w:rPr>
              <w:t>benchmark</w:t>
            </w:r>
            <w:proofErr w:type="spellEnd"/>
          </w:p>
        </w:tc>
      </w:tr>
      <w:tr w:rsidR="00C6334A" w:rsidRPr="00DD2307" w14:paraId="5183A940" w14:textId="77777777" w:rsidTr="00074E94">
        <w:trPr>
          <w:trHeight w:val="77"/>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710953B2" w14:textId="77777777" w:rsidR="00C6334A" w:rsidRPr="00DD2307" w:rsidRDefault="00C6334A" w:rsidP="00E40FA5">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3.1 Contratación</w:t>
            </w:r>
          </w:p>
        </w:tc>
        <w:tc>
          <w:tcPr>
            <w:tcW w:w="347" w:type="dxa"/>
            <w:tcBorders>
              <w:top w:val="nil"/>
              <w:left w:val="nil"/>
              <w:bottom w:val="single" w:sz="4" w:space="0" w:color="auto"/>
              <w:right w:val="single" w:sz="4" w:space="0" w:color="auto"/>
            </w:tcBorders>
            <w:shd w:val="clear" w:color="auto" w:fill="auto"/>
            <w:vAlign w:val="center"/>
            <w:hideMark/>
          </w:tcPr>
          <w:p w14:paraId="0DDCB84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6796ECF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40E744A"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98FEE35"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1B2515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0E7CB54"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77022F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3FB5413"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BD522A9"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A9F8B5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5B1F35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6D1C6F7"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8CAFAE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E09200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4F1F7747"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52FAF7F"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2DF94923" w14:textId="77777777" w:rsidR="00C6334A" w:rsidRDefault="00C6334A" w:rsidP="00E40FA5">
            <w:pPr>
              <w:jc w:val="both"/>
              <w:rPr>
                <w:rFonts w:ascii="Arial" w:hAnsi="Arial" w:cs="Arial"/>
                <w:color w:val="000000"/>
                <w:spacing w:val="0"/>
                <w:sz w:val="16"/>
                <w:szCs w:val="16"/>
                <w:lang w:val="es-ES" w:eastAsia="es-EC"/>
              </w:rPr>
            </w:pPr>
          </w:p>
        </w:tc>
        <w:tc>
          <w:tcPr>
            <w:tcW w:w="10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810402" w14:textId="703B4CAC" w:rsidR="00C6334A" w:rsidRPr="00DD2307" w:rsidRDefault="00C6334A" w:rsidP="00E40FA5">
            <w:pPr>
              <w:jc w:val="both"/>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ED</w:t>
            </w:r>
            <w:r w:rsidRPr="00DD2307">
              <w:rPr>
                <w:rFonts w:ascii="Arial" w:hAnsi="Arial" w:cs="Arial"/>
                <w:color w:val="000000"/>
                <w:spacing w:val="0"/>
                <w:sz w:val="16"/>
                <w:szCs w:val="16"/>
                <w:lang w:val="es-ES" w:eastAsia="es-EC"/>
              </w:rPr>
              <w:t>G MEF</w:t>
            </w:r>
          </w:p>
        </w:tc>
      </w:tr>
      <w:tr w:rsidR="00C6334A" w:rsidRPr="00DD2307" w14:paraId="6D3362B0" w14:textId="77777777" w:rsidTr="00074E94">
        <w:trPr>
          <w:trHeight w:val="165"/>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4300E500"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3.2 Recolección de información</w:t>
            </w:r>
          </w:p>
        </w:tc>
        <w:tc>
          <w:tcPr>
            <w:tcW w:w="347" w:type="dxa"/>
            <w:tcBorders>
              <w:top w:val="nil"/>
              <w:left w:val="nil"/>
              <w:bottom w:val="single" w:sz="4" w:space="0" w:color="auto"/>
              <w:right w:val="single" w:sz="4" w:space="0" w:color="auto"/>
            </w:tcBorders>
            <w:shd w:val="clear" w:color="auto" w:fill="auto"/>
            <w:vAlign w:val="center"/>
            <w:hideMark/>
          </w:tcPr>
          <w:p w14:paraId="145E084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7670F02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5BABA6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78DC2F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47DEE8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E35691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20E923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40B4A0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023BB6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5D9DFC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26B6C8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E30361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A97D42A"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DB337D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F72BC4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7FADC2F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3A09AC16" w14:textId="7B0685A2"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US$22</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4</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372DA583" w14:textId="4F7797DC" w:rsidR="00C6334A" w:rsidRPr="00DD2307" w:rsidRDefault="00C6334A" w:rsidP="00A810DA">
            <w:pPr>
              <w:rPr>
                <w:rFonts w:ascii="Arial" w:hAnsi="Arial" w:cs="Arial"/>
                <w:color w:val="000000"/>
                <w:spacing w:val="0"/>
                <w:sz w:val="16"/>
                <w:szCs w:val="16"/>
                <w:lang w:val="es-ES" w:eastAsia="es-EC"/>
              </w:rPr>
            </w:pPr>
          </w:p>
        </w:tc>
      </w:tr>
      <w:tr w:rsidR="00C6334A" w:rsidRPr="00DD2307" w14:paraId="35E4E8AD"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675DDA71"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3.3 Informe preliminar</w:t>
            </w:r>
          </w:p>
        </w:tc>
        <w:tc>
          <w:tcPr>
            <w:tcW w:w="347" w:type="dxa"/>
            <w:tcBorders>
              <w:top w:val="nil"/>
              <w:left w:val="nil"/>
              <w:bottom w:val="single" w:sz="4" w:space="0" w:color="auto"/>
              <w:right w:val="single" w:sz="4" w:space="0" w:color="auto"/>
            </w:tcBorders>
            <w:shd w:val="clear" w:color="auto" w:fill="auto"/>
            <w:vAlign w:val="center"/>
            <w:hideMark/>
          </w:tcPr>
          <w:p w14:paraId="16921F7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7ECD8F6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F02B889"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66E251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A914AC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2EE9E51"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73C641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2D897F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A4A3E0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D3BBE28"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7FAF64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1C6AB1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D9DFB54"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0BF8FE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001125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42AA4D9"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1208" w:type="dxa"/>
            <w:gridSpan w:val="2"/>
            <w:tcBorders>
              <w:top w:val="nil"/>
              <w:left w:val="single" w:sz="4" w:space="0" w:color="auto"/>
              <w:bottom w:val="single" w:sz="4" w:space="0" w:color="auto"/>
              <w:right w:val="single" w:sz="4" w:space="0" w:color="auto"/>
            </w:tcBorders>
          </w:tcPr>
          <w:p w14:paraId="5FFC6FF6" w14:textId="20B2E298"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US$11</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2</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75B82EB6" w14:textId="201BA7AE" w:rsidR="00C6334A" w:rsidRPr="00DD2307" w:rsidRDefault="00C6334A" w:rsidP="00A810DA">
            <w:pPr>
              <w:rPr>
                <w:rFonts w:ascii="Arial" w:hAnsi="Arial" w:cs="Arial"/>
                <w:color w:val="000000"/>
                <w:spacing w:val="0"/>
                <w:sz w:val="16"/>
                <w:szCs w:val="16"/>
                <w:lang w:val="es-ES" w:eastAsia="es-EC"/>
              </w:rPr>
            </w:pPr>
          </w:p>
        </w:tc>
      </w:tr>
      <w:tr w:rsidR="00C6334A" w:rsidRPr="00DD2307" w14:paraId="192401D8"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29BEFF67" w14:textId="77777777" w:rsidR="00C6334A" w:rsidRPr="00DD2307" w:rsidRDefault="00C6334A" w:rsidP="00A810DA">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3.4 Informe final</w:t>
            </w:r>
          </w:p>
        </w:tc>
        <w:tc>
          <w:tcPr>
            <w:tcW w:w="347" w:type="dxa"/>
            <w:tcBorders>
              <w:top w:val="nil"/>
              <w:left w:val="nil"/>
              <w:bottom w:val="single" w:sz="4" w:space="0" w:color="auto"/>
              <w:right w:val="single" w:sz="4" w:space="0" w:color="auto"/>
            </w:tcBorders>
            <w:shd w:val="clear" w:color="auto" w:fill="auto"/>
            <w:vAlign w:val="center"/>
            <w:hideMark/>
          </w:tcPr>
          <w:p w14:paraId="1F58E1F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2FE2A35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4A21BAD"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A0C7D1B"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C287D07"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851581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3ACA54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14D362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A22B01C"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FCB0262"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A2725C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AE0CAEF"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CD620E5"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DB8C496"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45A8EB3"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1214B8E" w14:textId="77777777" w:rsidR="00C6334A" w:rsidRPr="00DD2307" w:rsidRDefault="00C6334A" w:rsidP="00A810DA">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1208" w:type="dxa"/>
            <w:gridSpan w:val="2"/>
            <w:tcBorders>
              <w:top w:val="nil"/>
              <w:left w:val="single" w:sz="4" w:space="0" w:color="auto"/>
              <w:bottom w:val="single" w:sz="4" w:space="0" w:color="auto"/>
              <w:right w:val="single" w:sz="4" w:space="0" w:color="auto"/>
            </w:tcBorders>
          </w:tcPr>
          <w:p w14:paraId="6CF53C93" w14:textId="1A4E35FB" w:rsidR="00C6334A" w:rsidRPr="00DD2307" w:rsidRDefault="00C6334A" w:rsidP="00A810DA">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US$22</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4</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557C35AD" w14:textId="72602195" w:rsidR="00C6334A" w:rsidRPr="00DD2307" w:rsidRDefault="00C6334A" w:rsidP="00A810DA">
            <w:pPr>
              <w:rPr>
                <w:rFonts w:ascii="Arial" w:hAnsi="Arial" w:cs="Arial"/>
                <w:color w:val="000000"/>
                <w:spacing w:val="0"/>
                <w:sz w:val="16"/>
                <w:szCs w:val="16"/>
                <w:lang w:val="es-ES" w:eastAsia="es-EC"/>
              </w:rPr>
            </w:pPr>
          </w:p>
        </w:tc>
      </w:tr>
      <w:tr w:rsidR="00C6334A" w:rsidRPr="00DD2307" w14:paraId="4EC8E6D9"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079405C6" w14:textId="77777777" w:rsidR="00C6334A" w:rsidRPr="00DD2307" w:rsidRDefault="00C6334A" w:rsidP="000E0616">
            <w:pPr>
              <w:rPr>
                <w:rFonts w:ascii="Arial" w:hAnsi="Arial" w:cs="Arial"/>
                <w:color w:val="000000"/>
                <w:spacing w:val="0"/>
                <w:sz w:val="16"/>
                <w:szCs w:val="16"/>
                <w:lang w:val="es-ES" w:eastAsia="es-EC"/>
              </w:rPr>
            </w:pPr>
            <w:r w:rsidRPr="002810CC">
              <w:rPr>
                <w:rFonts w:ascii="Arial" w:hAnsi="Arial" w:cs="Arial"/>
                <w:b/>
                <w:color w:val="000000"/>
                <w:spacing w:val="0"/>
                <w:sz w:val="16"/>
                <w:szCs w:val="16"/>
                <w:lang w:val="es-ES" w:eastAsia="es-EC"/>
              </w:rPr>
              <w:t>TOTAL</w:t>
            </w:r>
          </w:p>
        </w:tc>
        <w:tc>
          <w:tcPr>
            <w:tcW w:w="347" w:type="dxa"/>
            <w:tcBorders>
              <w:top w:val="nil"/>
              <w:left w:val="nil"/>
              <w:bottom w:val="single" w:sz="4" w:space="0" w:color="auto"/>
              <w:right w:val="single" w:sz="4" w:space="0" w:color="auto"/>
            </w:tcBorders>
            <w:shd w:val="clear" w:color="auto" w:fill="auto"/>
            <w:vAlign w:val="center"/>
            <w:hideMark/>
          </w:tcPr>
          <w:p w14:paraId="54AE2218"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375ED028"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B64556A"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32D96E7" w14:textId="2237B8A9" w:rsidR="00C6334A" w:rsidRPr="00DD2307" w:rsidRDefault="00C6334A" w:rsidP="000E0616">
            <w:pPr>
              <w:jc w:val="center"/>
              <w:rPr>
                <w:rFonts w:ascii="Arial" w:hAnsi="Arial" w:cs="Arial"/>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auto" w:fill="auto"/>
            <w:vAlign w:val="center"/>
            <w:hideMark/>
          </w:tcPr>
          <w:p w14:paraId="6702FC20"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88F3A27"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9B6E4E7"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87839C6"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74D422F"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9F0FC70"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D1115BA"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37B4D86"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C59D60F"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D75E91F"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F7D24C7"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EF8A9F5" w14:textId="77777777" w:rsidR="00C6334A" w:rsidRPr="00DD2307" w:rsidRDefault="00C6334A" w:rsidP="000E0616">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399D7040" w14:textId="45799721" w:rsidR="00C6334A" w:rsidRPr="00634AD8" w:rsidRDefault="00C6334A" w:rsidP="000E0616">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US$5</w:t>
            </w:r>
            <w:r>
              <w:rPr>
                <w:rFonts w:ascii="Arial" w:hAnsi="Arial" w:cs="Arial"/>
                <w:b/>
                <w:color w:val="000000"/>
                <w:spacing w:val="0"/>
                <w:sz w:val="16"/>
                <w:szCs w:val="16"/>
                <w:lang w:val="es-ES" w:eastAsia="es-EC"/>
              </w:rPr>
              <w:t>6</w:t>
            </w:r>
            <w:r w:rsidRPr="00634AD8">
              <w:rPr>
                <w:rFonts w:ascii="Arial" w:hAnsi="Arial" w:cs="Arial"/>
                <w:b/>
                <w:color w:val="000000"/>
                <w:spacing w:val="0"/>
                <w:sz w:val="16"/>
                <w:szCs w:val="16"/>
                <w:lang w:val="es-ES" w:eastAsia="es-EC"/>
              </w:rPr>
              <w:t>.000</w:t>
            </w:r>
          </w:p>
        </w:tc>
        <w:tc>
          <w:tcPr>
            <w:tcW w:w="1094" w:type="dxa"/>
            <w:tcBorders>
              <w:top w:val="nil"/>
              <w:left w:val="single" w:sz="4" w:space="0" w:color="auto"/>
              <w:bottom w:val="single" w:sz="4" w:space="0" w:color="auto"/>
              <w:right w:val="single" w:sz="4" w:space="0" w:color="auto"/>
            </w:tcBorders>
            <w:vAlign w:val="center"/>
            <w:hideMark/>
          </w:tcPr>
          <w:p w14:paraId="67E81DB7" w14:textId="77777777" w:rsidR="00C6334A" w:rsidRPr="00DD2307" w:rsidRDefault="00C6334A" w:rsidP="000E0616">
            <w:pPr>
              <w:rPr>
                <w:rFonts w:ascii="Arial" w:hAnsi="Arial" w:cs="Arial"/>
                <w:color w:val="000000"/>
                <w:spacing w:val="0"/>
                <w:sz w:val="16"/>
                <w:szCs w:val="16"/>
                <w:lang w:val="es-ES" w:eastAsia="es-EC"/>
              </w:rPr>
            </w:pPr>
          </w:p>
        </w:tc>
      </w:tr>
      <w:tr w:rsidR="00A810DA" w:rsidRPr="00DD2307" w14:paraId="3FA74297" w14:textId="77777777" w:rsidTr="00074E94">
        <w:trPr>
          <w:trHeight w:val="300"/>
        </w:trPr>
        <w:tc>
          <w:tcPr>
            <w:tcW w:w="1016" w:type="dxa"/>
            <w:tcBorders>
              <w:top w:val="single" w:sz="4" w:space="0" w:color="auto"/>
              <w:left w:val="single" w:sz="4" w:space="0" w:color="auto"/>
              <w:bottom w:val="single" w:sz="4" w:space="0" w:color="auto"/>
              <w:right w:val="single" w:sz="4" w:space="0" w:color="auto"/>
            </w:tcBorders>
          </w:tcPr>
          <w:p w14:paraId="04BD55B8" w14:textId="77777777" w:rsidR="00A810DA" w:rsidRPr="00DD2307" w:rsidRDefault="00A810DA" w:rsidP="00E40FA5">
            <w:pPr>
              <w:jc w:val="both"/>
              <w:rPr>
                <w:rFonts w:ascii="Arial" w:hAnsi="Arial" w:cs="Arial"/>
                <w:b/>
                <w:bCs/>
                <w:color w:val="000000"/>
                <w:spacing w:val="0"/>
                <w:sz w:val="16"/>
                <w:szCs w:val="16"/>
                <w:lang w:val="es-ES" w:eastAsia="es-EC"/>
              </w:rPr>
            </w:pPr>
          </w:p>
        </w:tc>
        <w:tc>
          <w:tcPr>
            <w:tcW w:w="9589"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156786B3" w14:textId="1721BF87" w:rsidR="00A810DA" w:rsidRPr="00DD2307" w:rsidRDefault="00A810DA" w:rsidP="00E40FA5">
            <w:pPr>
              <w:jc w:val="both"/>
              <w:rPr>
                <w:rFonts w:ascii="Arial" w:hAnsi="Arial" w:cs="Arial"/>
                <w:b/>
                <w:bCs/>
                <w:color w:val="000000"/>
                <w:spacing w:val="0"/>
                <w:sz w:val="16"/>
                <w:szCs w:val="16"/>
                <w:lang w:val="es-ES" w:eastAsia="es-EC"/>
              </w:rPr>
            </w:pPr>
            <w:r w:rsidRPr="00DD2307">
              <w:rPr>
                <w:rFonts w:ascii="Arial" w:hAnsi="Arial" w:cs="Arial"/>
                <w:b/>
                <w:bCs/>
                <w:color w:val="000000"/>
                <w:spacing w:val="0"/>
                <w:sz w:val="16"/>
                <w:szCs w:val="16"/>
                <w:lang w:val="es-ES" w:eastAsia="es-EC"/>
              </w:rPr>
              <w:t>Evaluación Económica Ex post</w:t>
            </w:r>
          </w:p>
        </w:tc>
      </w:tr>
      <w:tr w:rsidR="00C6334A" w:rsidRPr="00DD2307" w14:paraId="2F803810"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0EB2723A" w14:textId="77777777" w:rsidR="00C6334A" w:rsidRPr="00DD2307" w:rsidRDefault="00C6334A" w:rsidP="00E40FA5">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3.1 Contratación</w:t>
            </w:r>
          </w:p>
        </w:tc>
        <w:tc>
          <w:tcPr>
            <w:tcW w:w="347" w:type="dxa"/>
            <w:tcBorders>
              <w:top w:val="nil"/>
              <w:left w:val="nil"/>
              <w:bottom w:val="single" w:sz="4" w:space="0" w:color="auto"/>
              <w:right w:val="single" w:sz="4" w:space="0" w:color="auto"/>
            </w:tcBorders>
            <w:shd w:val="clear" w:color="auto" w:fill="auto"/>
            <w:vAlign w:val="center"/>
            <w:hideMark/>
          </w:tcPr>
          <w:p w14:paraId="6ED4C69A"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73D3F03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4B43C63"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17D6EE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414F5C1"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324B26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1DDB3BF"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1459069"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24C1E6CF"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DC064CC"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8E7B889"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C9F0BC2"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C92B67E"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36FCF46"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hideMark/>
          </w:tcPr>
          <w:p w14:paraId="636F7F8D"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tcPr>
          <w:p w14:paraId="477D3D3B" w14:textId="77777777" w:rsidR="00C6334A" w:rsidRPr="00DD2307" w:rsidRDefault="00C6334A" w:rsidP="00E40FA5">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5E4AE92D" w14:textId="77777777" w:rsidR="00C6334A" w:rsidRDefault="00C6334A" w:rsidP="00E40FA5">
            <w:pPr>
              <w:jc w:val="both"/>
              <w:rPr>
                <w:rFonts w:ascii="Arial" w:hAnsi="Arial" w:cs="Arial"/>
                <w:color w:val="000000"/>
                <w:spacing w:val="0"/>
                <w:sz w:val="16"/>
                <w:szCs w:val="16"/>
                <w:lang w:val="es-ES" w:eastAsia="es-EC"/>
              </w:rPr>
            </w:pPr>
          </w:p>
        </w:tc>
        <w:tc>
          <w:tcPr>
            <w:tcW w:w="10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5142E6" w14:textId="6E8E25BE" w:rsidR="00C6334A" w:rsidRPr="00DD2307" w:rsidRDefault="00C6334A" w:rsidP="00E40FA5">
            <w:pPr>
              <w:jc w:val="both"/>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ED</w:t>
            </w:r>
            <w:r w:rsidRPr="00DD2307">
              <w:rPr>
                <w:rFonts w:ascii="Arial" w:hAnsi="Arial" w:cs="Arial"/>
                <w:color w:val="000000"/>
                <w:spacing w:val="0"/>
                <w:sz w:val="16"/>
                <w:szCs w:val="16"/>
                <w:lang w:val="es-ES" w:eastAsia="es-EC"/>
              </w:rPr>
              <w:t xml:space="preserve"> MEF</w:t>
            </w:r>
          </w:p>
        </w:tc>
      </w:tr>
      <w:tr w:rsidR="00C6334A" w:rsidRPr="00DD2307" w14:paraId="15A3B99A" w14:textId="77777777" w:rsidTr="00074E94">
        <w:trPr>
          <w:trHeight w:val="209"/>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64F394BA" w14:textId="77777777" w:rsidR="00C6334A" w:rsidRPr="00DD2307" w:rsidRDefault="00C6334A" w:rsidP="009227AB">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3.2 Recolección de información</w:t>
            </w:r>
          </w:p>
        </w:tc>
        <w:tc>
          <w:tcPr>
            <w:tcW w:w="347" w:type="dxa"/>
            <w:tcBorders>
              <w:top w:val="nil"/>
              <w:left w:val="nil"/>
              <w:bottom w:val="single" w:sz="4" w:space="0" w:color="auto"/>
              <w:right w:val="single" w:sz="4" w:space="0" w:color="auto"/>
            </w:tcBorders>
            <w:shd w:val="clear" w:color="auto" w:fill="auto"/>
            <w:vAlign w:val="center"/>
            <w:hideMark/>
          </w:tcPr>
          <w:p w14:paraId="6F9D9862"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0BEBC84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F6E721A"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B1C3F6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5B8A132"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70CA1C1"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AA6317E"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4C59A72"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BC2E1EE"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E622B20"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71D1EED"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73383BB1"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F56EE16"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4F89456"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F5F98FB"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354" w:type="dxa"/>
            <w:tcBorders>
              <w:top w:val="nil"/>
              <w:left w:val="nil"/>
              <w:bottom w:val="single" w:sz="4" w:space="0" w:color="auto"/>
              <w:right w:val="single" w:sz="4" w:space="0" w:color="auto"/>
            </w:tcBorders>
            <w:shd w:val="clear" w:color="auto" w:fill="auto"/>
            <w:vAlign w:val="center"/>
          </w:tcPr>
          <w:p w14:paraId="717CCB0B"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09025BD1" w14:textId="5A1A90A2" w:rsidR="00C6334A" w:rsidRPr="00DD2307" w:rsidRDefault="00C6334A" w:rsidP="009227AB">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US$22</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4</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3FCC2492" w14:textId="7AE046A0" w:rsidR="00C6334A" w:rsidRPr="00DD2307" w:rsidRDefault="00C6334A" w:rsidP="009227AB">
            <w:pPr>
              <w:rPr>
                <w:rFonts w:ascii="Arial" w:hAnsi="Arial" w:cs="Arial"/>
                <w:color w:val="000000"/>
                <w:spacing w:val="0"/>
                <w:sz w:val="16"/>
                <w:szCs w:val="16"/>
                <w:lang w:val="es-ES" w:eastAsia="es-EC"/>
              </w:rPr>
            </w:pPr>
          </w:p>
        </w:tc>
      </w:tr>
      <w:tr w:rsidR="00C6334A" w:rsidRPr="00DD2307" w14:paraId="0483BE10"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45140424" w14:textId="77777777" w:rsidR="00C6334A" w:rsidRPr="00DD2307" w:rsidRDefault="00C6334A" w:rsidP="009227AB">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3.3 Informe preliminar</w:t>
            </w:r>
          </w:p>
        </w:tc>
        <w:tc>
          <w:tcPr>
            <w:tcW w:w="347" w:type="dxa"/>
            <w:tcBorders>
              <w:top w:val="nil"/>
              <w:left w:val="nil"/>
              <w:bottom w:val="single" w:sz="4" w:space="0" w:color="auto"/>
              <w:right w:val="single" w:sz="4" w:space="0" w:color="auto"/>
            </w:tcBorders>
            <w:shd w:val="clear" w:color="auto" w:fill="auto"/>
            <w:vAlign w:val="center"/>
            <w:hideMark/>
          </w:tcPr>
          <w:p w14:paraId="2BEF9F96"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22CA1469"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D7DCE98"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E6B7DE1"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CC8E05B"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153BEB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4C7C958"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F841985"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9D3FA60"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43926C5"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F910AA4"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A51FC77"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64F0E4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1E3008D"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6C98DD6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tcPr>
          <w:p w14:paraId="3F7219B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1208" w:type="dxa"/>
            <w:gridSpan w:val="2"/>
            <w:tcBorders>
              <w:top w:val="nil"/>
              <w:left w:val="single" w:sz="4" w:space="0" w:color="auto"/>
              <w:bottom w:val="single" w:sz="4" w:space="0" w:color="auto"/>
              <w:right w:val="single" w:sz="4" w:space="0" w:color="auto"/>
            </w:tcBorders>
          </w:tcPr>
          <w:p w14:paraId="3A7B6716" w14:textId="78DBE913" w:rsidR="00C6334A" w:rsidRPr="00DD2307" w:rsidRDefault="00C6334A" w:rsidP="009227AB">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US$33</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6</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6B38FE61" w14:textId="3A8925C9" w:rsidR="00C6334A" w:rsidRPr="00DD2307" w:rsidRDefault="00C6334A" w:rsidP="009227AB">
            <w:pPr>
              <w:rPr>
                <w:rFonts w:ascii="Arial" w:hAnsi="Arial" w:cs="Arial"/>
                <w:color w:val="000000"/>
                <w:spacing w:val="0"/>
                <w:sz w:val="16"/>
                <w:szCs w:val="16"/>
                <w:lang w:val="es-ES" w:eastAsia="es-EC"/>
              </w:rPr>
            </w:pPr>
          </w:p>
        </w:tc>
      </w:tr>
      <w:tr w:rsidR="00C6334A" w:rsidRPr="00DD2307" w14:paraId="1DDB5F6A"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4D1F11CD" w14:textId="77777777" w:rsidR="00C6334A" w:rsidRPr="00DD2307" w:rsidRDefault="00C6334A" w:rsidP="009227AB">
            <w:pP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3.4 Informe final</w:t>
            </w:r>
          </w:p>
        </w:tc>
        <w:tc>
          <w:tcPr>
            <w:tcW w:w="347" w:type="dxa"/>
            <w:tcBorders>
              <w:top w:val="nil"/>
              <w:left w:val="nil"/>
              <w:bottom w:val="single" w:sz="4" w:space="0" w:color="auto"/>
              <w:right w:val="single" w:sz="4" w:space="0" w:color="auto"/>
            </w:tcBorders>
            <w:shd w:val="clear" w:color="auto" w:fill="auto"/>
            <w:vAlign w:val="center"/>
            <w:hideMark/>
          </w:tcPr>
          <w:p w14:paraId="3BFAC2D5"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1E114BA9"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890438D"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17C31B1"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448B395A"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C241AD2"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025BE10"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42F9222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A9F66A4"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0318636"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6F676EC"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383D0325"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7AE6845"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8E2CE59"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5012F769"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tcPr>
          <w:p w14:paraId="02AA5123" w14:textId="77777777" w:rsidR="00C6334A" w:rsidRPr="00DD2307" w:rsidRDefault="00C6334A" w:rsidP="009227AB">
            <w:pPr>
              <w:jc w:val="center"/>
              <w:rPr>
                <w:rFonts w:ascii="Arial" w:hAnsi="Arial" w:cs="Arial"/>
                <w:color w:val="000000"/>
                <w:spacing w:val="0"/>
                <w:sz w:val="16"/>
                <w:szCs w:val="16"/>
                <w:lang w:val="es-ES" w:eastAsia="es-EC"/>
              </w:rPr>
            </w:pPr>
            <w:r w:rsidRPr="00DD2307">
              <w:rPr>
                <w:rFonts w:ascii="Arial" w:hAnsi="Arial" w:cs="Arial"/>
                <w:color w:val="000000"/>
                <w:spacing w:val="0"/>
                <w:sz w:val="16"/>
                <w:szCs w:val="16"/>
                <w:lang w:val="es-ES" w:eastAsia="es-EC"/>
              </w:rPr>
              <w:t>X</w:t>
            </w:r>
          </w:p>
        </w:tc>
        <w:tc>
          <w:tcPr>
            <w:tcW w:w="1208" w:type="dxa"/>
            <w:gridSpan w:val="2"/>
            <w:tcBorders>
              <w:top w:val="nil"/>
              <w:left w:val="single" w:sz="4" w:space="0" w:color="auto"/>
              <w:bottom w:val="single" w:sz="4" w:space="0" w:color="auto"/>
              <w:right w:val="single" w:sz="4" w:space="0" w:color="auto"/>
            </w:tcBorders>
          </w:tcPr>
          <w:p w14:paraId="34D8C8A8" w14:textId="2D28CAAD" w:rsidR="00C6334A" w:rsidRPr="00DD2307" w:rsidRDefault="00C6334A" w:rsidP="009227AB">
            <w:pPr>
              <w:rPr>
                <w:rFonts w:ascii="Arial" w:hAnsi="Arial" w:cs="Arial"/>
                <w:color w:val="000000"/>
                <w:spacing w:val="0"/>
                <w:sz w:val="16"/>
                <w:szCs w:val="16"/>
                <w:lang w:val="es-ES" w:eastAsia="es-EC"/>
              </w:rPr>
            </w:pPr>
            <w:r>
              <w:rPr>
                <w:rFonts w:ascii="Arial" w:hAnsi="Arial" w:cs="Arial"/>
                <w:color w:val="000000"/>
                <w:spacing w:val="0"/>
                <w:sz w:val="16"/>
                <w:szCs w:val="16"/>
                <w:lang w:val="es-ES" w:eastAsia="es-EC"/>
              </w:rPr>
              <w:t>US$56</w:t>
            </w:r>
            <w:r w:rsidRPr="00D878AE">
              <w:rPr>
                <w:rFonts w:ascii="Arial" w:hAnsi="Arial" w:cs="Arial"/>
                <w:color w:val="000000"/>
                <w:spacing w:val="0"/>
                <w:sz w:val="16"/>
                <w:szCs w:val="16"/>
                <w:lang w:val="es-ES" w:eastAsia="es-EC"/>
              </w:rPr>
              <w:t>.</w:t>
            </w:r>
            <w:r>
              <w:rPr>
                <w:rFonts w:ascii="Arial" w:hAnsi="Arial" w:cs="Arial"/>
                <w:color w:val="000000"/>
                <w:spacing w:val="0"/>
                <w:sz w:val="16"/>
                <w:szCs w:val="16"/>
                <w:lang w:val="es-ES" w:eastAsia="es-EC"/>
              </w:rPr>
              <w:t>0</w:t>
            </w:r>
            <w:r w:rsidRPr="00D878AE">
              <w:rPr>
                <w:rFonts w:ascii="Arial" w:hAnsi="Arial" w:cs="Arial"/>
                <w:color w:val="000000"/>
                <w:spacing w:val="0"/>
                <w:sz w:val="16"/>
                <w:szCs w:val="16"/>
                <w:lang w:val="es-ES" w:eastAsia="es-EC"/>
              </w:rPr>
              <w:t>00</w:t>
            </w:r>
          </w:p>
        </w:tc>
        <w:tc>
          <w:tcPr>
            <w:tcW w:w="1094" w:type="dxa"/>
            <w:vMerge/>
            <w:tcBorders>
              <w:top w:val="nil"/>
              <w:left w:val="single" w:sz="4" w:space="0" w:color="auto"/>
              <w:bottom w:val="single" w:sz="4" w:space="0" w:color="auto"/>
              <w:right w:val="single" w:sz="4" w:space="0" w:color="auto"/>
            </w:tcBorders>
            <w:vAlign w:val="center"/>
            <w:hideMark/>
          </w:tcPr>
          <w:p w14:paraId="3F07808C" w14:textId="2B2E9361" w:rsidR="00C6334A" w:rsidRPr="00DD2307" w:rsidRDefault="00C6334A" w:rsidP="009227AB">
            <w:pPr>
              <w:rPr>
                <w:rFonts w:ascii="Arial" w:hAnsi="Arial" w:cs="Arial"/>
                <w:color w:val="000000"/>
                <w:spacing w:val="0"/>
                <w:sz w:val="16"/>
                <w:szCs w:val="16"/>
                <w:lang w:val="es-ES" w:eastAsia="es-EC"/>
              </w:rPr>
            </w:pPr>
          </w:p>
        </w:tc>
      </w:tr>
      <w:tr w:rsidR="00C6334A" w:rsidRPr="00626634" w14:paraId="4FB4C9DB" w14:textId="77777777" w:rsidTr="00074E94">
        <w:trPr>
          <w:trHeight w:val="53"/>
        </w:trPr>
        <w:tc>
          <w:tcPr>
            <w:tcW w:w="2683" w:type="dxa"/>
            <w:gridSpan w:val="2"/>
            <w:tcBorders>
              <w:top w:val="nil"/>
              <w:left w:val="single" w:sz="4" w:space="0" w:color="auto"/>
              <w:bottom w:val="single" w:sz="4" w:space="0" w:color="auto"/>
              <w:right w:val="single" w:sz="4" w:space="0" w:color="auto"/>
            </w:tcBorders>
            <w:shd w:val="clear" w:color="auto" w:fill="auto"/>
            <w:vAlign w:val="center"/>
            <w:hideMark/>
          </w:tcPr>
          <w:p w14:paraId="2E9EB98E" w14:textId="77777777" w:rsidR="00C6334A" w:rsidRPr="00634AD8" w:rsidRDefault="00C6334A" w:rsidP="000E0616">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TOTAL</w:t>
            </w:r>
          </w:p>
        </w:tc>
        <w:tc>
          <w:tcPr>
            <w:tcW w:w="347" w:type="dxa"/>
            <w:tcBorders>
              <w:top w:val="nil"/>
              <w:left w:val="nil"/>
              <w:bottom w:val="single" w:sz="4" w:space="0" w:color="auto"/>
              <w:right w:val="single" w:sz="4" w:space="0" w:color="auto"/>
            </w:tcBorders>
            <w:shd w:val="clear" w:color="auto" w:fill="auto"/>
            <w:vAlign w:val="center"/>
            <w:hideMark/>
          </w:tcPr>
          <w:p w14:paraId="1A415827"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3" w:type="dxa"/>
            <w:tcBorders>
              <w:top w:val="nil"/>
              <w:left w:val="nil"/>
              <w:bottom w:val="single" w:sz="4" w:space="0" w:color="auto"/>
              <w:right w:val="single" w:sz="4" w:space="0" w:color="auto"/>
            </w:tcBorders>
            <w:shd w:val="clear" w:color="auto" w:fill="auto"/>
            <w:vAlign w:val="center"/>
            <w:hideMark/>
          </w:tcPr>
          <w:p w14:paraId="57DF824B"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349664F1"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8AB4865" w14:textId="77777777" w:rsidR="00C6334A" w:rsidRPr="00634AD8" w:rsidRDefault="00C6334A" w:rsidP="000E0616">
            <w:pPr>
              <w:jc w:val="center"/>
              <w:rPr>
                <w:rFonts w:ascii="Arial" w:hAnsi="Arial" w:cs="Arial"/>
                <w:b/>
                <w:color w:val="000000"/>
                <w:spacing w:val="0"/>
                <w:sz w:val="16"/>
                <w:szCs w:val="16"/>
                <w:lang w:val="es-ES" w:eastAsia="es-EC"/>
              </w:rPr>
            </w:pPr>
          </w:p>
        </w:tc>
        <w:tc>
          <w:tcPr>
            <w:tcW w:w="354" w:type="dxa"/>
            <w:tcBorders>
              <w:top w:val="nil"/>
              <w:left w:val="nil"/>
              <w:bottom w:val="single" w:sz="4" w:space="0" w:color="auto"/>
              <w:right w:val="single" w:sz="4" w:space="0" w:color="auto"/>
            </w:tcBorders>
            <w:shd w:val="clear" w:color="auto" w:fill="auto"/>
            <w:vAlign w:val="center"/>
            <w:hideMark/>
          </w:tcPr>
          <w:p w14:paraId="2E05122D"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139706C4"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23EB4C72"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4E07095"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014BBC54"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51849ED5"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7CE33AF"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6CA1B1DD"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48" w:type="dxa"/>
            <w:tcBorders>
              <w:top w:val="nil"/>
              <w:left w:val="nil"/>
              <w:bottom w:val="single" w:sz="4" w:space="0" w:color="auto"/>
              <w:right w:val="single" w:sz="4" w:space="0" w:color="auto"/>
            </w:tcBorders>
            <w:shd w:val="clear" w:color="auto" w:fill="auto"/>
            <w:vAlign w:val="center"/>
            <w:hideMark/>
          </w:tcPr>
          <w:p w14:paraId="12315DB4"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0AE483F5"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hideMark/>
          </w:tcPr>
          <w:p w14:paraId="7BA6FF01"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354" w:type="dxa"/>
            <w:tcBorders>
              <w:top w:val="nil"/>
              <w:left w:val="nil"/>
              <w:bottom w:val="single" w:sz="4" w:space="0" w:color="auto"/>
              <w:right w:val="single" w:sz="4" w:space="0" w:color="auto"/>
            </w:tcBorders>
            <w:shd w:val="clear" w:color="auto" w:fill="auto"/>
            <w:vAlign w:val="center"/>
          </w:tcPr>
          <w:p w14:paraId="5091C19F" w14:textId="77777777" w:rsidR="00C6334A" w:rsidRPr="00634AD8" w:rsidRDefault="00C6334A" w:rsidP="000E0616">
            <w:pPr>
              <w:jc w:val="cente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 </w:t>
            </w:r>
          </w:p>
        </w:tc>
        <w:tc>
          <w:tcPr>
            <w:tcW w:w="1208" w:type="dxa"/>
            <w:gridSpan w:val="2"/>
            <w:tcBorders>
              <w:top w:val="nil"/>
              <w:left w:val="single" w:sz="4" w:space="0" w:color="auto"/>
              <w:bottom w:val="single" w:sz="4" w:space="0" w:color="auto"/>
              <w:right w:val="single" w:sz="4" w:space="0" w:color="auto"/>
            </w:tcBorders>
          </w:tcPr>
          <w:p w14:paraId="65A3A7D3" w14:textId="0EFCE196" w:rsidR="00C6334A" w:rsidRPr="00634AD8" w:rsidRDefault="00C6334A" w:rsidP="000E0616">
            <w:pPr>
              <w:rPr>
                <w:rFonts w:ascii="Arial" w:hAnsi="Arial" w:cs="Arial"/>
                <w:b/>
                <w:color w:val="000000"/>
                <w:spacing w:val="0"/>
                <w:sz w:val="16"/>
                <w:szCs w:val="16"/>
                <w:lang w:val="es-ES" w:eastAsia="es-EC"/>
              </w:rPr>
            </w:pPr>
            <w:r w:rsidRPr="00634AD8">
              <w:rPr>
                <w:rFonts w:ascii="Arial" w:hAnsi="Arial" w:cs="Arial"/>
                <w:b/>
                <w:color w:val="000000"/>
                <w:spacing w:val="0"/>
                <w:sz w:val="16"/>
                <w:szCs w:val="16"/>
                <w:lang w:val="es-ES" w:eastAsia="es-EC"/>
              </w:rPr>
              <w:t>US$</w:t>
            </w:r>
            <w:r w:rsidRPr="00626634">
              <w:rPr>
                <w:rFonts w:ascii="Arial" w:hAnsi="Arial" w:cs="Arial"/>
                <w:b/>
                <w:color w:val="000000"/>
                <w:spacing w:val="0"/>
                <w:sz w:val="16"/>
                <w:szCs w:val="16"/>
                <w:lang w:val="es-ES" w:eastAsia="es-EC"/>
              </w:rPr>
              <w:t>1</w:t>
            </w:r>
            <w:r>
              <w:rPr>
                <w:rFonts w:ascii="Arial" w:hAnsi="Arial" w:cs="Arial"/>
                <w:b/>
                <w:color w:val="000000"/>
                <w:spacing w:val="0"/>
                <w:sz w:val="16"/>
                <w:szCs w:val="16"/>
                <w:lang w:val="es-ES" w:eastAsia="es-EC"/>
              </w:rPr>
              <w:t>12</w:t>
            </w:r>
            <w:r w:rsidRPr="00634AD8">
              <w:rPr>
                <w:rFonts w:ascii="Arial" w:hAnsi="Arial" w:cs="Arial"/>
                <w:b/>
                <w:color w:val="000000"/>
                <w:spacing w:val="0"/>
                <w:sz w:val="16"/>
                <w:szCs w:val="16"/>
                <w:lang w:val="es-ES" w:eastAsia="es-EC"/>
              </w:rPr>
              <w:t>.000</w:t>
            </w:r>
          </w:p>
        </w:tc>
        <w:tc>
          <w:tcPr>
            <w:tcW w:w="1094" w:type="dxa"/>
            <w:vMerge/>
            <w:tcBorders>
              <w:top w:val="nil"/>
              <w:left w:val="single" w:sz="4" w:space="0" w:color="auto"/>
              <w:bottom w:val="single" w:sz="4" w:space="0" w:color="auto"/>
              <w:right w:val="single" w:sz="4" w:space="0" w:color="auto"/>
            </w:tcBorders>
            <w:vAlign w:val="center"/>
            <w:hideMark/>
          </w:tcPr>
          <w:p w14:paraId="526A365F" w14:textId="77777777" w:rsidR="00C6334A" w:rsidRPr="00634AD8" w:rsidRDefault="00C6334A" w:rsidP="000E0616">
            <w:pPr>
              <w:rPr>
                <w:rFonts w:ascii="Arial" w:hAnsi="Arial" w:cs="Arial"/>
                <w:b/>
                <w:color w:val="000000"/>
                <w:spacing w:val="0"/>
                <w:sz w:val="16"/>
                <w:szCs w:val="16"/>
                <w:lang w:val="es-ES" w:eastAsia="es-EC"/>
              </w:rPr>
            </w:pPr>
          </w:p>
        </w:tc>
      </w:tr>
    </w:tbl>
    <w:p w14:paraId="7E745AC7" w14:textId="1666FAB5" w:rsidR="00172583" w:rsidRPr="00634AD8" w:rsidRDefault="00557C4D" w:rsidP="00634AD8">
      <w:pPr>
        <w:rPr>
          <w:rFonts w:ascii="Arial" w:hAnsi="Arial" w:cs="Arial"/>
          <w:sz w:val="18"/>
          <w:szCs w:val="18"/>
          <w:lang w:val="es-ES"/>
        </w:rPr>
        <w:sectPr w:rsidR="00172583" w:rsidRPr="00634AD8" w:rsidSect="00DD3BDA">
          <w:pgSz w:w="15840" w:h="12240" w:orient="landscape" w:code="1"/>
          <w:pgMar w:top="1440" w:right="1440" w:bottom="1440" w:left="1440" w:header="720" w:footer="720" w:gutter="0"/>
          <w:cols w:space="720"/>
          <w:docGrid w:linePitch="360"/>
        </w:sectPr>
      </w:pPr>
      <w:r w:rsidRPr="00634AD8">
        <w:rPr>
          <w:rFonts w:ascii="Arial" w:hAnsi="Arial" w:cs="Arial"/>
          <w:bCs/>
          <w:sz w:val="18"/>
          <w:szCs w:val="18"/>
          <w:u w:val="single"/>
          <w:lang w:val="es-ES"/>
        </w:rPr>
        <w:br w:type="page"/>
      </w:r>
    </w:p>
    <w:p w14:paraId="276963F0" w14:textId="77777777" w:rsidR="00557C4D" w:rsidRPr="00DD2307" w:rsidRDefault="00C12177" w:rsidP="00C12177">
      <w:pPr>
        <w:tabs>
          <w:tab w:val="center" w:pos="4680"/>
        </w:tabs>
        <w:spacing w:line="276" w:lineRule="auto"/>
        <w:jc w:val="both"/>
        <w:rPr>
          <w:rFonts w:ascii="Arial" w:hAnsi="Arial" w:cs="Arial"/>
          <w:b/>
          <w:bCs/>
          <w:smallCaps/>
          <w:sz w:val="22"/>
          <w:szCs w:val="22"/>
          <w:lang w:val="es-ES"/>
        </w:rPr>
      </w:pPr>
      <w:r w:rsidRPr="00DD2307">
        <w:rPr>
          <w:rFonts w:ascii="Arial" w:hAnsi="Arial" w:cs="Arial"/>
          <w:b/>
          <w:sz w:val="22"/>
          <w:szCs w:val="22"/>
          <w:lang w:val="es-ES"/>
        </w:rPr>
        <w:lastRenderedPageBreak/>
        <w:t xml:space="preserve">IV. </w:t>
      </w:r>
      <w:r w:rsidR="00557C4D" w:rsidRPr="00DD2307">
        <w:rPr>
          <w:rFonts w:ascii="Arial" w:hAnsi="Arial" w:cs="Arial"/>
          <w:b/>
          <w:bCs/>
          <w:smallCaps/>
          <w:sz w:val="22"/>
          <w:szCs w:val="22"/>
          <w:lang w:val="es-ES"/>
        </w:rPr>
        <w:t>Anexos</w:t>
      </w:r>
    </w:p>
    <w:p w14:paraId="55CE1B6C" w14:textId="77777777" w:rsidR="004D22AC" w:rsidRPr="00DD2307" w:rsidRDefault="004D22AC" w:rsidP="00534766">
      <w:pPr>
        <w:tabs>
          <w:tab w:val="center" w:pos="4680"/>
        </w:tabs>
        <w:spacing w:line="276" w:lineRule="auto"/>
        <w:jc w:val="both"/>
        <w:rPr>
          <w:rFonts w:ascii="Arial" w:hAnsi="Arial" w:cs="Arial"/>
          <w:b/>
          <w:bCs/>
          <w:sz w:val="22"/>
          <w:szCs w:val="22"/>
          <w:lang w:val="es-ES"/>
        </w:rPr>
      </w:pPr>
    </w:p>
    <w:p w14:paraId="5EFEEF4D" w14:textId="77777777" w:rsidR="00557C4D" w:rsidRPr="00DD2307" w:rsidRDefault="00557C4D" w:rsidP="00A06DD5">
      <w:pPr>
        <w:pStyle w:val="ListParagraph"/>
        <w:numPr>
          <w:ilvl w:val="0"/>
          <w:numId w:val="21"/>
        </w:numPr>
        <w:autoSpaceDE w:val="0"/>
        <w:adjustRightInd w:val="0"/>
        <w:spacing w:line="276" w:lineRule="auto"/>
        <w:jc w:val="both"/>
        <w:rPr>
          <w:rFonts w:ascii="Arial" w:hAnsi="Arial" w:cs="Arial"/>
          <w:i/>
          <w:iCs/>
          <w:sz w:val="22"/>
          <w:szCs w:val="22"/>
          <w:lang w:val="es-ES"/>
        </w:rPr>
      </w:pPr>
      <w:r w:rsidRPr="00DD2307">
        <w:rPr>
          <w:rFonts w:ascii="Arial" w:hAnsi="Arial" w:cs="Arial"/>
          <w:b/>
          <w:bCs/>
          <w:sz w:val="22"/>
          <w:szCs w:val="22"/>
          <w:lang w:val="es-ES"/>
        </w:rPr>
        <w:t>Términos de Referencia (</w:t>
      </w:r>
      <w:r w:rsidR="0008521B" w:rsidRPr="00DD2307">
        <w:rPr>
          <w:rFonts w:ascii="Arial" w:hAnsi="Arial" w:cs="Arial"/>
          <w:b/>
          <w:bCs/>
          <w:sz w:val="22"/>
          <w:szCs w:val="22"/>
          <w:lang w:val="es-ES"/>
        </w:rPr>
        <w:t>E</w:t>
      </w:r>
      <w:r w:rsidRPr="00DD2307">
        <w:rPr>
          <w:rFonts w:ascii="Arial" w:hAnsi="Arial" w:cs="Arial"/>
          <w:b/>
          <w:bCs/>
          <w:sz w:val="22"/>
          <w:szCs w:val="22"/>
          <w:lang w:val="es-ES"/>
        </w:rPr>
        <w:t xml:space="preserve">valuación </w:t>
      </w:r>
      <w:r w:rsidR="0008521B" w:rsidRPr="00DD2307">
        <w:rPr>
          <w:rFonts w:ascii="Arial" w:hAnsi="Arial" w:cs="Arial"/>
          <w:b/>
          <w:bCs/>
          <w:sz w:val="22"/>
          <w:szCs w:val="22"/>
          <w:lang w:val="es-ES"/>
        </w:rPr>
        <w:t xml:space="preserve">de Resultados </w:t>
      </w:r>
      <w:r w:rsidRPr="00DD2307">
        <w:rPr>
          <w:rFonts w:ascii="Arial" w:hAnsi="Arial" w:cs="Arial"/>
          <w:b/>
          <w:bCs/>
          <w:sz w:val="22"/>
          <w:szCs w:val="22"/>
          <w:lang w:val="es-ES"/>
        </w:rPr>
        <w:t>medio término y final)</w:t>
      </w:r>
    </w:p>
    <w:p w14:paraId="2FE374E6" w14:textId="77777777" w:rsidR="001B18BB" w:rsidRPr="00DD2307" w:rsidRDefault="001B18BB" w:rsidP="00534766">
      <w:pPr>
        <w:tabs>
          <w:tab w:val="center" w:pos="4680"/>
        </w:tabs>
        <w:spacing w:line="276" w:lineRule="auto"/>
        <w:ind w:left="360"/>
        <w:jc w:val="both"/>
        <w:rPr>
          <w:rFonts w:ascii="Arial" w:hAnsi="Arial" w:cs="Arial"/>
          <w:b/>
          <w:bCs/>
          <w:smallCaps/>
          <w:sz w:val="22"/>
          <w:szCs w:val="22"/>
          <w:u w:val="single"/>
          <w:lang w:val="es-ES"/>
        </w:rPr>
      </w:pPr>
    </w:p>
    <w:p w14:paraId="44086AE7" w14:textId="77777777" w:rsidR="00557C4D" w:rsidRPr="00DD2307" w:rsidRDefault="00557C4D" w:rsidP="00A75CD8">
      <w:pPr>
        <w:tabs>
          <w:tab w:val="center" w:pos="4680"/>
        </w:tabs>
        <w:spacing w:line="276" w:lineRule="auto"/>
        <w:ind w:left="360"/>
        <w:jc w:val="center"/>
        <w:rPr>
          <w:rFonts w:ascii="Arial" w:hAnsi="Arial" w:cs="Arial"/>
          <w:b/>
          <w:bCs/>
          <w:smallCaps/>
          <w:sz w:val="22"/>
          <w:szCs w:val="22"/>
          <w:u w:val="single"/>
          <w:lang w:val="es-ES"/>
        </w:rPr>
      </w:pPr>
      <w:r w:rsidRPr="00DD2307">
        <w:rPr>
          <w:rFonts w:ascii="Arial" w:hAnsi="Arial" w:cs="Arial"/>
          <w:b/>
          <w:bCs/>
          <w:smallCaps/>
          <w:sz w:val="22"/>
          <w:szCs w:val="22"/>
          <w:u w:val="single"/>
          <w:lang w:val="es-ES"/>
        </w:rPr>
        <w:t>Consultoría de Evaluación Medio Término del Proyecto</w:t>
      </w:r>
    </w:p>
    <w:p w14:paraId="11FA0779" w14:textId="77777777" w:rsidR="00EF7B5C" w:rsidRPr="00DD2307" w:rsidRDefault="00EF7B5C" w:rsidP="00534766">
      <w:pPr>
        <w:tabs>
          <w:tab w:val="center" w:pos="4680"/>
        </w:tabs>
        <w:spacing w:line="276" w:lineRule="auto"/>
        <w:ind w:left="360"/>
        <w:jc w:val="both"/>
        <w:rPr>
          <w:rFonts w:ascii="Arial" w:hAnsi="Arial" w:cs="Arial"/>
          <w:b/>
          <w:bCs/>
          <w:sz w:val="22"/>
          <w:szCs w:val="22"/>
          <w:u w:val="single"/>
          <w:lang w:val="es-ES"/>
        </w:rPr>
      </w:pPr>
    </w:p>
    <w:p w14:paraId="7691922F" w14:textId="77777777" w:rsidR="00557C4D" w:rsidRPr="00DD2307" w:rsidRDefault="00557C4D" w:rsidP="00A06DD5">
      <w:pPr>
        <w:pStyle w:val="ColorfulList-Accent12"/>
        <w:numPr>
          <w:ilvl w:val="0"/>
          <w:numId w:val="13"/>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Objetivo de la Consultoría</w:t>
      </w:r>
    </w:p>
    <w:p w14:paraId="49A2017F" w14:textId="77777777" w:rsidR="00557C4D" w:rsidRPr="00DD2307" w:rsidRDefault="001B16C0" w:rsidP="00534766">
      <w:pPr>
        <w:spacing w:line="276" w:lineRule="auto"/>
        <w:jc w:val="both"/>
        <w:rPr>
          <w:rFonts w:ascii="Arial" w:hAnsi="Arial" w:cs="Arial"/>
          <w:color w:val="000000"/>
          <w:sz w:val="22"/>
          <w:szCs w:val="22"/>
          <w:lang w:val="es-ES"/>
        </w:rPr>
      </w:pPr>
      <w:r w:rsidRPr="00DD2307">
        <w:rPr>
          <w:rFonts w:ascii="Arial" w:hAnsi="Arial" w:cs="Arial"/>
          <w:sz w:val="22"/>
          <w:szCs w:val="22"/>
          <w:lang w:val="es-ES"/>
        </w:rPr>
        <w:t>La E</w:t>
      </w:r>
      <w:r w:rsidR="00557C4D" w:rsidRPr="00DD2307">
        <w:rPr>
          <w:rFonts w:ascii="Arial" w:hAnsi="Arial" w:cs="Arial"/>
          <w:sz w:val="22"/>
          <w:szCs w:val="22"/>
          <w:lang w:val="es-ES"/>
        </w:rPr>
        <w:t>valuación</w:t>
      </w:r>
      <w:r w:rsidRPr="00DD2307">
        <w:rPr>
          <w:rFonts w:ascii="Arial" w:hAnsi="Arial" w:cs="Arial"/>
          <w:sz w:val="22"/>
          <w:szCs w:val="22"/>
          <w:lang w:val="es-ES"/>
        </w:rPr>
        <w:t xml:space="preserve"> de Resultados</w:t>
      </w:r>
      <w:r w:rsidR="00557C4D" w:rsidRPr="00DD2307">
        <w:rPr>
          <w:rFonts w:ascii="Arial" w:hAnsi="Arial" w:cs="Arial"/>
          <w:sz w:val="22"/>
          <w:szCs w:val="22"/>
          <w:lang w:val="es-ES"/>
        </w:rPr>
        <w:t xml:space="preserve"> de Medio Término tiene por objeto revisar el </w:t>
      </w:r>
      <w:r w:rsidR="007B21E6" w:rsidRPr="00DD2307">
        <w:rPr>
          <w:rFonts w:ascii="Arial" w:hAnsi="Arial" w:cs="Arial"/>
          <w:sz w:val="22"/>
          <w:szCs w:val="22"/>
          <w:lang w:val="es-ES"/>
        </w:rPr>
        <w:t>p</w:t>
      </w:r>
      <w:r w:rsidR="00557C4D" w:rsidRPr="00DD2307">
        <w:rPr>
          <w:rFonts w:ascii="Arial" w:hAnsi="Arial" w:cs="Arial"/>
          <w:sz w:val="22"/>
          <w:szCs w:val="22"/>
          <w:lang w:val="es-ES"/>
        </w:rPr>
        <w:t>rograma en su totalidad y realizar recomendaciones para mejorar su ejecución. En particula</w:t>
      </w:r>
      <w:r w:rsidRPr="00DD2307">
        <w:rPr>
          <w:rFonts w:ascii="Arial" w:hAnsi="Arial" w:cs="Arial"/>
          <w:sz w:val="22"/>
          <w:szCs w:val="22"/>
          <w:lang w:val="es-ES"/>
        </w:rPr>
        <w:t>r, la</w:t>
      </w:r>
      <w:r w:rsidR="00557C4D" w:rsidRPr="00DD2307">
        <w:rPr>
          <w:rFonts w:ascii="Arial" w:hAnsi="Arial" w:cs="Arial"/>
          <w:color w:val="000000"/>
          <w:sz w:val="22"/>
          <w:szCs w:val="22"/>
          <w:lang w:val="es-ES"/>
        </w:rPr>
        <w:t xml:space="preserve"> evaluación proveerá información crítica en cuanto a lo que está funcionando (y lo que no), así como las lecciones aprendidas durante la primera mitad de la ejecución del </w:t>
      </w:r>
      <w:r w:rsidR="00DF4118" w:rsidRPr="00DD2307">
        <w:rPr>
          <w:rFonts w:ascii="Arial" w:hAnsi="Arial" w:cs="Arial"/>
          <w:color w:val="000000"/>
          <w:sz w:val="22"/>
          <w:szCs w:val="22"/>
          <w:lang w:val="es-ES"/>
        </w:rPr>
        <w:t>p</w:t>
      </w:r>
      <w:r w:rsidR="00557C4D" w:rsidRPr="00DD2307">
        <w:rPr>
          <w:rFonts w:ascii="Arial" w:hAnsi="Arial" w:cs="Arial"/>
          <w:color w:val="000000"/>
          <w:sz w:val="22"/>
          <w:szCs w:val="22"/>
          <w:lang w:val="es-ES"/>
        </w:rPr>
        <w:t xml:space="preserve">rograma. Esta consultoría tratará de determinar en qué medida el </w:t>
      </w:r>
      <w:r w:rsidR="00DF4118" w:rsidRPr="00DD2307">
        <w:rPr>
          <w:rFonts w:ascii="Arial" w:hAnsi="Arial" w:cs="Arial"/>
          <w:color w:val="000000"/>
          <w:sz w:val="22"/>
          <w:szCs w:val="22"/>
          <w:lang w:val="es-ES"/>
        </w:rPr>
        <w:t>p</w:t>
      </w:r>
      <w:r w:rsidR="00557C4D" w:rsidRPr="00DD2307">
        <w:rPr>
          <w:rFonts w:ascii="Arial" w:hAnsi="Arial" w:cs="Arial"/>
          <w:color w:val="000000"/>
          <w:sz w:val="22"/>
          <w:szCs w:val="22"/>
          <w:lang w:val="es-ES"/>
        </w:rPr>
        <w:t xml:space="preserve">rograma está cumpliendo con los objetivos propuestos, y dará seguimiento a los respectivos indicadores anuales de </w:t>
      </w:r>
      <w:r w:rsidRPr="00DD2307">
        <w:rPr>
          <w:rFonts w:ascii="Arial" w:hAnsi="Arial" w:cs="Arial"/>
          <w:color w:val="000000"/>
          <w:sz w:val="22"/>
          <w:szCs w:val="22"/>
          <w:lang w:val="es-ES"/>
        </w:rPr>
        <w:t>productos y</w:t>
      </w:r>
      <w:r w:rsidR="00557C4D" w:rsidRPr="00DD2307">
        <w:rPr>
          <w:rFonts w:ascii="Arial" w:hAnsi="Arial" w:cs="Arial"/>
          <w:color w:val="000000"/>
          <w:sz w:val="22"/>
          <w:szCs w:val="22"/>
          <w:lang w:val="es-ES"/>
        </w:rPr>
        <w:t xml:space="preserve"> resultados que integr</w:t>
      </w:r>
      <w:r w:rsidRPr="00DD2307">
        <w:rPr>
          <w:rFonts w:ascii="Arial" w:hAnsi="Arial" w:cs="Arial"/>
          <w:color w:val="000000"/>
          <w:sz w:val="22"/>
          <w:szCs w:val="22"/>
          <w:lang w:val="es-ES"/>
        </w:rPr>
        <w:t>an la Matriz de Resultados del p</w:t>
      </w:r>
      <w:r w:rsidR="00557C4D" w:rsidRPr="00DD2307">
        <w:rPr>
          <w:rFonts w:ascii="Arial" w:hAnsi="Arial" w:cs="Arial"/>
          <w:color w:val="000000"/>
          <w:sz w:val="22"/>
          <w:szCs w:val="22"/>
          <w:lang w:val="es-ES"/>
        </w:rPr>
        <w:t>rograma y que se evaluarán de forma periódica según lo descrito.</w:t>
      </w:r>
    </w:p>
    <w:p w14:paraId="672038AE" w14:textId="77777777" w:rsidR="00EF7B5C" w:rsidRPr="00DD2307" w:rsidRDefault="00EF7B5C" w:rsidP="00534766">
      <w:pPr>
        <w:spacing w:line="276" w:lineRule="auto"/>
        <w:jc w:val="both"/>
        <w:rPr>
          <w:rFonts w:ascii="Arial" w:hAnsi="Arial" w:cs="Arial"/>
          <w:sz w:val="22"/>
          <w:szCs w:val="22"/>
          <w:lang w:val="es-ES"/>
        </w:rPr>
      </w:pPr>
    </w:p>
    <w:p w14:paraId="5A2B595B" w14:textId="77777777" w:rsidR="00557C4D" w:rsidRPr="00DD2307" w:rsidRDefault="00557C4D" w:rsidP="00A06DD5">
      <w:pPr>
        <w:pStyle w:val="ColorfulList-Accent12"/>
        <w:numPr>
          <w:ilvl w:val="0"/>
          <w:numId w:val="13"/>
        </w:numPr>
        <w:spacing w:line="276" w:lineRule="auto"/>
        <w:jc w:val="both"/>
        <w:rPr>
          <w:rFonts w:ascii="Arial" w:hAnsi="Arial" w:cs="Arial"/>
          <w:b/>
          <w:sz w:val="22"/>
          <w:szCs w:val="22"/>
          <w:lang w:val="es-ES"/>
        </w:rPr>
      </w:pPr>
      <w:r w:rsidRPr="00DD2307">
        <w:rPr>
          <w:rFonts w:ascii="Arial" w:hAnsi="Arial" w:cs="Arial"/>
          <w:b/>
          <w:sz w:val="22"/>
          <w:szCs w:val="22"/>
          <w:lang w:val="es-ES"/>
        </w:rPr>
        <w:t>Actividades</w:t>
      </w:r>
    </w:p>
    <w:p w14:paraId="4C0FD259" w14:textId="77777777" w:rsidR="00557C4D" w:rsidRPr="00DD2307" w:rsidRDefault="00557C4D" w:rsidP="00534766">
      <w:pPr>
        <w:pStyle w:val="Paragraph"/>
        <w:widowControl w:val="0"/>
        <w:tabs>
          <w:tab w:val="clear" w:pos="720"/>
        </w:tabs>
        <w:spacing w:before="0" w:after="0" w:line="276" w:lineRule="auto"/>
        <w:ind w:left="0" w:firstLine="0"/>
        <w:rPr>
          <w:rFonts w:ascii="Arial" w:hAnsi="Arial" w:cs="Arial"/>
          <w:bCs/>
          <w:sz w:val="22"/>
          <w:lang w:val="es-ES"/>
        </w:rPr>
      </w:pPr>
      <w:r w:rsidRPr="00DD2307">
        <w:rPr>
          <w:rFonts w:ascii="Arial" w:hAnsi="Arial" w:cs="Arial"/>
          <w:bCs/>
          <w:sz w:val="22"/>
          <w:lang w:val="es-ES"/>
        </w:rPr>
        <w:t xml:space="preserve">Las </w:t>
      </w:r>
      <w:r w:rsidRPr="00DD2307">
        <w:rPr>
          <w:rFonts w:ascii="Arial" w:hAnsi="Arial" w:cs="Arial"/>
          <w:sz w:val="22"/>
          <w:lang w:val="es-ES"/>
        </w:rPr>
        <w:t>actividades</w:t>
      </w:r>
      <w:r w:rsidRPr="00DD2307">
        <w:rPr>
          <w:rFonts w:ascii="Arial" w:hAnsi="Arial" w:cs="Arial"/>
          <w:bCs/>
          <w:sz w:val="22"/>
          <w:lang w:val="es-ES"/>
        </w:rPr>
        <w:t xml:space="preserve"> serán realizadas en coordinación directa con el Banco y </w:t>
      </w:r>
      <w:r w:rsidRPr="00DD2307">
        <w:rPr>
          <w:rFonts w:ascii="Arial" w:hAnsi="Arial" w:cs="Arial"/>
          <w:sz w:val="22"/>
          <w:lang w:val="es-ES"/>
        </w:rPr>
        <w:t>la Unidad de Coordinación del Proyecto (UE)</w:t>
      </w:r>
      <w:r w:rsidR="003D5337" w:rsidRPr="00DD2307">
        <w:rPr>
          <w:rFonts w:ascii="Arial" w:hAnsi="Arial" w:cs="Arial"/>
          <w:sz w:val="22"/>
          <w:lang w:val="es-ES"/>
        </w:rPr>
        <w:t>, y se detallan a</w:t>
      </w:r>
      <w:r w:rsidRPr="00DD2307">
        <w:rPr>
          <w:rFonts w:ascii="Arial" w:hAnsi="Arial" w:cs="Arial"/>
          <w:bCs/>
          <w:sz w:val="22"/>
          <w:lang w:val="es-ES"/>
        </w:rPr>
        <w:t xml:space="preserve"> continuación:</w:t>
      </w:r>
    </w:p>
    <w:p w14:paraId="16057574" w14:textId="77777777" w:rsidR="00557C4D" w:rsidRPr="00DD2307" w:rsidRDefault="003D5337" w:rsidP="00A06DD5">
      <w:pPr>
        <w:pStyle w:val="Paragraph"/>
        <w:widowControl w:val="0"/>
        <w:numPr>
          <w:ilvl w:val="0"/>
          <w:numId w:val="14"/>
        </w:numPr>
        <w:spacing w:before="0" w:after="0" w:line="276" w:lineRule="auto"/>
        <w:rPr>
          <w:rFonts w:ascii="Arial" w:hAnsi="Arial" w:cs="Arial"/>
          <w:bCs/>
          <w:sz w:val="22"/>
          <w:lang w:val="es-ES"/>
        </w:rPr>
      </w:pPr>
      <w:r w:rsidRPr="00DD2307">
        <w:rPr>
          <w:rFonts w:ascii="Arial" w:hAnsi="Arial" w:cs="Arial"/>
          <w:bCs/>
          <w:sz w:val="22"/>
          <w:lang w:val="es-ES"/>
        </w:rPr>
        <w:t>Analizar</w:t>
      </w:r>
      <w:r w:rsidR="00557C4D" w:rsidRPr="00DD2307">
        <w:rPr>
          <w:rFonts w:ascii="Arial" w:hAnsi="Arial" w:cs="Arial"/>
          <w:bCs/>
          <w:sz w:val="22"/>
          <w:lang w:val="es-ES"/>
        </w:rPr>
        <w:t xml:space="preserve"> la gestión operativa</w:t>
      </w:r>
      <w:r w:rsidRPr="00DD2307">
        <w:rPr>
          <w:rFonts w:ascii="Arial" w:hAnsi="Arial" w:cs="Arial"/>
          <w:bCs/>
          <w:sz w:val="22"/>
          <w:lang w:val="es-ES"/>
        </w:rPr>
        <w:t xml:space="preserve"> del programa</w:t>
      </w:r>
      <w:r w:rsidR="00557C4D" w:rsidRPr="00DD2307">
        <w:rPr>
          <w:rFonts w:ascii="Arial" w:hAnsi="Arial" w:cs="Arial"/>
          <w:bCs/>
          <w:sz w:val="22"/>
          <w:lang w:val="es-ES"/>
        </w:rPr>
        <w:t xml:space="preserve"> </w:t>
      </w:r>
      <w:r w:rsidR="00557C4D" w:rsidRPr="00DD2307">
        <w:rPr>
          <w:rFonts w:ascii="Arial" w:hAnsi="Arial" w:cs="Arial"/>
          <w:sz w:val="22"/>
          <w:lang w:val="es-ES"/>
        </w:rPr>
        <w:t>(</w:t>
      </w:r>
      <w:r w:rsidR="00F64CA0" w:rsidRPr="00DD2307">
        <w:rPr>
          <w:rFonts w:ascii="Arial" w:hAnsi="Arial" w:cs="Arial"/>
          <w:sz w:val="22"/>
          <w:lang w:val="es-ES"/>
        </w:rPr>
        <w:t>ej.</w:t>
      </w:r>
      <w:r w:rsidR="00557C4D" w:rsidRPr="00DD2307">
        <w:rPr>
          <w:rFonts w:ascii="Arial" w:hAnsi="Arial" w:cs="Arial"/>
          <w:sz w:val="22"/>
          <w:lang w:val="es-ES"/>
        </w:rPr>
        <w:t xml:space="preserve">: compromisos contractuales, procesos de adquisiciones y desembolsos; coordinación entre </w:t>
      </w:r>
      <w:r w:rsidRPr="00DD2307">
        <w:rPr>
          <w:rFonts w:ascii="Arial" w:hAnsi="Arial" w:cs="Arial"/>
          <w:sz w:val="22"/>
          <w:lang w:val="es-ES"/>
        </w:rPr>
        <w:t>OE, OSE</w:t>
      </w:r>
      <w:r w:rsidR="00557C4D" w:rsidRPr="00DD2307">
        <w:rPr>
          <w:rFonts w:ascii="Arial" w:hAnsi="Arial" w:cs="Arial"/>
          <w:sz w:val="22"/>
          <w:lang w:val="es-ES"/>
        </w:rPr>
        <w:t>; seguimiento de acuerdos,</w:t>
      </w:r>
      <w:r w:rsidRPr="00DD2307">
        <w:rPr>
          <w:rFonts w:ascii="Arial" w:hAnsi="Arial" w:cs="Arial"/>
          <w:sz w:val="22"/>
          <w:lang w:val="es-ES"/>
        </w:rPr>
        <w:t xml:space="preserve"> avances PEP, POA y PA,</w:t>
      </w:r>
      <w:r w:rsidR="00557C4D" w:rsidRPr="00DD2307">
        <w:rPr>
          <w:rFonts w:ascii="Arial" w:hAnsi="Arial" w:cs="Arial"/>
          <w:sz w:val="22"/>
          <w:lang w:val="es-ES"/>
        </w:rPr>
        <w:t xml:space="preserve"> etc.).</w:t>
      </w:r>
    </w:p>
    <w:p w14:paraId="6A77A3CD" w14:textId="77777777" w:rsidR="00557C4D" w:rsidRPr="00DD2307" w:rsidRDefault="00557C4D" w:rsidP="00A06DD5">
      <w:pPr>
        <w:pStyle w:val="Paragraph"/>
        <w:widowControl w:val="0"/>
        <w:numPr>
          <w:ilvl w:val="0"/>
          <w:numId w:val="14"/>
        </w:numPr>
        <w:spacing w:before="0" w:after="0" w:line="276" w:lineRule="auto"/>
        <w:rPr>
          <w:rFonts w:ascii="Arial" w:hAnsi="Arial" w:cs="Arial"/>
          <w:bCs/>
          <w:sz w:val="22"/>
          <w:lang w:val="es-ES"/>
        </w:rPr>
      </w:pPr>
      <w:r w:rsidRPr="00DD2307">
        <w:rPr>
          <w:rFonts w:ascii="Arial" w:hAnsi="Arial" w:cs="Arial"/>
          <w:sz w:val="22"/>
          <w:lang w:val="es-ES"/>
        </w:rPr>
        <w:t>Revisar la documentación (datos colectados</w:t>
      </w:r>
      <w:r w:rsidR="003D5337" w:rsidRPr="00DD2307">
        <w:rPr>
          <w:rFonts w:ascii="Arial" w:hAnsi="Arial" w:cs="Arial"/>
          <w:sz w:val="22"/>
          <w:lang w:val="es-ES"/>
        </w:rPr>
        <w:t>, medios de verificación e informes</w:t>
      </w:r>
      <w:r w:rsidRPr="00DD2307">
        <w:rPr>
          <w:rFonts w:ascii="Arial" w:hAnsi="Arial" w:cs="Arial"/>
          <w:sz w:val="22"/>
          <w:lang w:val="es-ES"/>
        </w:rPr>
        <w:t>) correspondiente a la ejecución</w:t>
      </w:r>
      <w:r w:rsidR="003D5337" w:rsidRPr="00DD2307">
        <w:rPr>
          <w:rFonts w:ascii="Arial" w:hAnsi="Arial" w:cs="Arial"/>
          <w:sz w:val="22"/>
          <w:lang w:val="es-ES"/>
        </w:rPr>
        <w:t xml:space="preserve"> del programa</w:t>
      </w:r>
      <w:r w:rsidRPr="00DD2307">
        <w:rPr>
          <w:rFonts w:ascii="Arial" w:hAnsi="Arial" w:cs="Arial"/>
          <w:sz w:val="22"/>
          <w:lang w:val="es-ES"/>
        </w:rPr>
        <w:t>. En particular, se evaluará el alcance del impacto</w:t>
      </w:r>
      <w:r w:rsidR="003D5337" w:rsidRPr="00DD2307">
        <w:rPr>
          <w:rFonts w:ascii="Arial" w:hAnsi="Arial" w:cs="Arial"/>
          <w:sz w:val="22"/>
          <w:lang w:val="es-ES"/>
        </w:rPr>
        <w:t>/efecto</w:t>
      </w:r>
      <w:r w:rsidRPr="00DD2307">
        <w:rPr>
          <w:rFonts w:ascii="Arial" w:hAnsi="Arial" w:cs="Arial"/>
          <w:sz w:val="22"/>
          <w:lang w:val="es-ES"/>
        </w:rPr>
        <w:t xml:space="preserve"> y los resultados logrados</w:t>
      </w:r>
      <w:r w:rsidR="003D5337" w:rsidRPr="00DD2307">
        <w:rPr>
          <w:rFonts w:ascii="Arial" w:hAnsi="Arial" w:cs="Arial"/>
          <w:sz w:val="22"/>
          <w:lang w:val="es-ES"/>
        </w:rPr>
        <w:t>,</w:t>
      </w:r>
      <w:r w:rsidRPr="00DD2307">
        <w:rPr>
          <w:rFonts w:ascii="Arial" w:hAnsi="Arial" w:cs="Arial"/>
          <w:sz w:val="22"/>
          <w:lang w:val="es-ES"/>
        </w:rPr>
        <w:t xml:space="preserve"> de acuerdo a las metas e indicadores establecidos en la Matriz de Resultados.</w:t>
      </w:r>
    </w:p>
    <w:p w14:paraId="0AD3E650" w14:textId="77777777" w:rsidR="00557C4D" w:rsidRPr="00DD2307" w:rsidRDefault="00557C4D" w:rsidP="00A06DD5">
      <w:pPr>
        <w:pStyle w:val="Paragraph"/>
        <w:widowControl w:val="0"/>
        <w:numPr>
          <w:ilvl w:val="0"/>
          <w:numId w:val="14"/>
        </w:numPr>
        <w:spacing w:before="0" w:after="0" w:line="276" w:lineRule="auto"/>
        <w:rPr>
          <w:rFonts w:ascii="Arial" w:hAnsi="Arial" w:cs="Arial"/>
          <w:bCs/>
          <w:sz w:val="22"/>
          <w:lang w:val="es-ES"/>
        </w:rPr>
      </w:pPr>
      <w:r w:rsidRPr="00DD2307">
        <w:rPr>
          <w:rFonts w:ascii="Arial" w:hAnsi="Arial" w:cs="Arial"/>
          <w:bCs/>
          <w:sz w:val="22"/>
          <w:lang w:val="es-ES"/>
        </w:rPr>
        <w:t>Evaluar el impacto</w:t>
      </w:r>
      <w:r w:rsidR="007564C5" w:rsidRPr="00DD2307">
        <w:rPr>
          <w:rFonts w:ascii="Arial" w:hAnsi="Arial" w:cs="Arial"/>
          <w:bCs/>
          <w:sz w:val="22"/>
          <w:lang w:val="es-ES"/>
        </w:rPr>
        <w:t>/efecto</w:t>
      </w:r>
      <w:r w:rsidRPr="00DD2307">
        <w:rPr>
          <w:rFonts w:ascii="Arial" w:hAnsi="Arial" w:cs="Arial"/>
          <w:bCs/>
          <w:sz w:val="22"/>
          <w:lang w:val="es-ES"/>
        </w:rPr>
        <w:t xml:space="preserve"> y los resultados de las acciones que conforman los componentes del Programa</w:t>
      </w:r>
      <w:r w:rsidR="003D5337" w:rsidRPr="00DD2307">
        <w:rPr>
          <w:rFonts w:ascii="Arial" w:hAnsi="Arial" w:cs="Arial"/>
          <w:bCs/>
          <w:sz w:val="22"/>
          <w:lang w:val="es-ES"/>
        </w:rPr>
        <w:t>,</w:t>
      </w:r>
      <w:r w:rsidRPr="00DD2307">
        <w:rPr>
          <w:rFonts w:ascii="Arial" w:hAnsi="Arial" w:cs="Arial"/>
          <w:bCs/>
          <w:sz w:val="22"/>
          <w:lang w:val="es-ES"/>
        </w:rPr>
        <w:t xml:space="preserve"> tomando como referencia la lí</w:t>
      </w:r>
      <w:r w:rsidR="003D5337" w:rsidRPr="00DD2307">
        <w:rPr>
          <w:rFonts w:ascii="Arial" w:hAnsi="Arial" w:cs="Arial"/>
          <w:bCs/>
          <w:sz w:val="22"/>
          <w:lang w:val="es-ES"/>
        </w:rPr>
        <w:t>nea de base establecidas en la M</w:t>
      </w:r>
      <w:r w:rsidRPr="00DD2307">
        <w:rPr>
          <w:rFonts w:ascii="Arial" w:hAnsi="Arial" w:cs="Arial"/>
          <w:bCs/>
          <w:sz w:val="22"/>
          <w:lang w:val="es-ES"/>
        </w:rPr>
        <w:t>atriz de resultados.</w:t>
      </w:r>
    </w:p>
    <w:p w14:paraId="7E3741AF" w14:textId="77777777" w:rsidR="00557C4D" w:rsidRPr="00DD2307" w:rsidRDefault="00557C4D" w:rsidP="00A06DD5">
      <w:pPr>
        <w:pStyle w:val="Paragraph"/>
        <w:widowControl w:val="0"/>
        <w:numPr>
          <w:ilvl w:val="0"/>
          <w:numId w:val="14"/>
        </w:numPr>
        <w:spacing w:before="0" w:after="0" w:line="276" w:lineRule="auto"/>
        <w:rPr>
          <w:rFonts w:ascii="Arial" w:hAnsi="Arial" w:cs="Arial"/>
          <w:bCs/>
          <w:sz w:val="22"/>
          <w:lang w:val="es-ES"/>
        </w:rPr>
      </w:pPr>
      <w:r w:rsidRPr="00DD2307">
        <w:rPr>
          <w:rFonts w:ascii="Arial" w:hAnsi="Arial" w:cs="Arial"/>
          <w:sz w:val="22"/>
          <w:lang w:val="es-ES"/>
        </w:rPr>
        <w:t xml:space="preserve">Realizar reuniones </w:t>
      </w:r>
      <w:r w:rsidR="003D5337" w:rsidRPr="00DD2307">
        <w:rPr>
          <w:rFonts w:ascii="Arial" w:hAnsi="Arial" w:cs="Arial"/>
          <w:sz w:val="22"/>
          <w:lang w:val="es-ES"/>
        </w:rPr>
        <w:t xml:space="preserve">periódicas </w:t>
      </w:r>
      <w:r w:rsidRPr="00DD2307">
        <w:rPr>
          <w:rFonts w:ascii="Arial" w:hAnsi="Arial" w:cs="Arial"/>
          <w:sz w:val="22"/>
          <w:lang w:val="es-ES"/>
        </w:rPr>
        <w:t xml:space="preserve">con el Banco/UE y los principales actores involucrados en el diseño y ejecución del </w:t>
      </w:r>
      <w:r w:rsidR="00DF4118" w:rsidRPr="00DD2307">
        <w:rPr>
          <w:rFonts w:ascii="Arial" w:hAnsi="Arial" w:cs="Arial"/>
          <w:sz w:val="22"/>
          <w:lang w:val="es-ES"/>
        </w:rPr>
        <w:t>p</w:t>
      </w:r>
      <w:r w:rsidRPr="00DD2307">
        <w:rPr>
          <w:rFonts w:ascii="Arial" w:hAnsi="Arial" w:cs="Arial"/>
          <w:sz w:val="22"/>
          <w:lang w:val="es-ES"/>
        </w:rPr>
        <w:t>rograma.</w:t>
      </w:r>
    </w:p>
    <w:p w14:paraId="28DFC060" w14:textId="77777777" w:rsidR="00557C4D" w:rsidRPr="00DD2307" w:rsidRDefault="00557C4D" w:rsidP="00A06DD5">
      <w:pPr>
        <w:pStyle w:val="Paragraph"/>
        <w:widowControl w:val="0"/>
        <w:numPr>
          <w:ilvl w:val="0"/>
          <w:numId w:val="14"/>
        </w:numPr>
        <w:spacing w:before="0" w:after="0" w:line="276" w:lineRule="auto"/>
        <w:rPr>
          <w:rFonts w:ascii="Arial" w:hAnsi="Arial" w:cs="Arial"/>
          <w:bCs/>
          <w:sz w:val="22"/>
          <w:lang w:val="es-ES"/>
        </w:rPr>
      </w:pPr>
      <w:r w:rsidRPr="00DD2307">
        <w:rPr>
          <w:rFonts w:ascii="Arial" w:hAnsi="Arial" w:cs="Arial"/>
          <w:sz w:val="22"/>
          <w:lang w:val="es-ES"/>
        </w:rPr>
        <w:t>Preparar el texto del Informe, de acuerdo con el formato a ser entregado por el Banco/UE. Se debería incluir texto y gráficos</w:t>
      </w:r>
      <w:r w:rsidR="003D5337" w:rsidRPr="00DD2307">
        <w:rPr>
          <w:rFonts w:ascii="Arial" w:hAnsi="Arial" w:cs="Arial"/>
          <w:sz w:val="22"/>
          <w:lang w:val="es-ES"/>
        </w:rPr>
        <w:t>,</w:t>
      </w:r>
      <w:r w:rsidRPr="00DD2307">
        <w:rPr>
          <w:rFonts w:ascii="Arial" w:hAnsi="Arial" w:cs="Arial"/>
          <w:sz w:val="22"/>
          <w:lang w:val="es-ES"/>
        </w:rPr>
        <w:t xml:space="preserve"> según corresponda.</w:t>
      </w:r>
    </w:p>
    <w:p w14:paraId="2AE3E8A3" w14:textId="77777777" w:rsidR="00EF7B5C" w:rsidRPr="00DD2307" w:rsidRDefault="00EF7B5C" w:rsidP="00534766">
      <w:pPr>
        <w:pStyle w:val="Paragraph"/>
        <w:widowControl w:val="0"/>
        <w:tabs>
          <w:tab w:val="clear" w:pos="720"/>
        </w:tabs>
        <w:spacing w:before="0" w:after="0" w:line="276" w:lineRule="auto"/>
        <w:ind w:left="720" w:firstLine="0"/>
        <w:rPr>
          <w:rFonts w:ascii="Arial" w:hAnsi="Arial" w:cs="Arial"/>
          <w:bCs/>
          <w:sz w:val="22"/>
          <w:lang w:val="es-ES"/>
        </w:rPr>
      </w:pPr>
    </w:p>
    <w:p w14:paraId="04606CD1" w14:textId="77777777" w:rsidR="00557C4D" w:rsidRPr="00DD2307" w:rsidRDefault="00557C4D" w:rsidP="00A06DD5">
      <w:pPr>
        <w:pStyle w:val="ColorfulList-Accent12"/>
        <w:keepNext/>
        <w:numPr>
          <w:ilvl w:val="0"/>
          <w:numId w:val="13"/>
        </w:numPr>
        <w:spacing w:line="276" w:lineRule="auto"/>
        <w:jc w:val="both"/>
        <w:rPr>
          <w:rFonts w:ascii="Arial" w:hAnsi="Arial" w:cs="Arial"/>
          <w:b/>
          <w:sz w:val="22"/>
          <w:szCs w:val="22"/>
          <w:lang w:val="es-ES"/>
        </w:rPr>
      </w:pPr>
      <w:r w:rsidRPr="00DD2307">
        <w:rPr>
          <w:rFonts w:ascii="Arial" w:hAnsi="Arial" w:cs="Arial"/>
          <w:b/>
          <w:sz w:val="22"/>
          <w:szCs w:val="22"/>
          <w:lang w:val="es-ES"/>
        </w:rPr>
        <w:t>Productos Esperados</w:t>
      </w:r>
    </w:p>
    <w:p w14:paraId="023B38DD" w14:textId="77777777" w:rsidR="00557C4D" w:rsidRPr="00DD2307" w:rsidRDefault="00557C4D" w:rsidP="00A06DD5">
      <w:pPr>
        <w:keepNext/>
        <w:numPr>
          <w:ilvl w:val="0"/>
          <w:numId w:val="14"/>
        </w:numPr>
        <w:spacing w:line="276" w:lineRule="auto"/>
        <w:jc w:val="both"/>
        <w:rPr>
          <w:rFonts w:ascii="Arial" w:hAnsi="Arial" w:cs="Arial"/>
          <w:sz w:val="22"/>
          <w:szCs w:val="22"/>
          <w:lang w:val="es-ES"/>
        </w:rPr>
      </w:pPr>
      <w:r w:rsidRPr="00DD2307">
        <w:rPr>
          <w:rFonts w:ascii="Arial" w:hAnsi="Arial" w:cs="Arial"/>
          <w:b/>
          <w:sz w:val="22"/>
          <w:szCs w:val="22"/>
          <w:lang w:val="es-ES"/>
        </w:rPr>
        <w:t>Plan de trabajo</w:t>
      </w:r>
      <w:r w:rsidRPr="00DD2307">
        <w:rPr>
          <w:rFonts w:ascii="Arial" w:hAnsi="Arial" w:cs="Arial"/>
          <w:sz w:val="22"/>
          <w:szCs w:val="22"/>
          <w:lang w:val="es-ES"/>
        </w:rPr>
        <w:t>, incluyendo sus actividades, productos y fechas de entrega.</w:t>
      </w:r>
    </w:p>
    <w:p w14:paraId="35012CD5"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b/>
          <w:sz w:val="22"/>
          <w:szCs w:val="22"/>
          <w:lang w:val="es-ES"/>
        </w:rPr>
        <w:t>Informe intermedio</w:t>
      </w:r>
      <w:r w:rsidRPr="00DD2307">
        <w:rPr>
          <w:rFonts w:ascii="Arial" w:hAnsi="Arial" w:cs="Arial"/>
          <w:sz w:val="22"/>
          <w:szCs w:val="22"/>
          <w:lang w:val="es-ES"/>
        </w:rPr>
        <w:t xml:space="preserve"> de Evaluación, con texto y gráficos, a ser revisado por el Banco/UE. El Informe debe incluir todas las áreas estipuladas en el formato, con especial énfasis en lo que corresponde a los resultados del proyecto y las lecciones aprendidas.</w:t>
      </w:r>
    </w:p>
    <w:p w14:paraId="0921CA37"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b/>
          <w:sz w:val="22"/>
          <w:szCs w:val="22"/>
          <w:lang w:val="es-ES"/>
        </w:rPr>
        <w:t>Informe final</w:t>
      </w:r>
      <w:r w:rsidRPr="00DD2307">
        <w:rPr>
          <w:rFonts w:ascii="Arial" w:hAnsi="Arial" w:cs="Arial"/>
          <w:sz w:val="22"/>
          <w:szCs w:val="22"/>
          <w:lang w:val="es-ES"/>
        </w:rPr>
        <w:t xml:space="preserve"> de Evaluación que incorpore comentarios hechos por el Banco/ UE.</w:t>
      </w:r>
    </w:p>
    <w:p w14:paraId="70575A7F"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Todos los informes deberán ser entregados al Banco/UE en forma electrónica en un solo archivo que incluya la portada, el documento pr</w:t>
      </w:r>
      <w:r w:rsidR="007564C5" w:rsidRPr="00DD2307">
        <w:rPr>
          <w:rFonts w:ascii="Arial" w:hAnsi="Arial" w:cs="Arial"/>
          <w:sz w:val="22"/>
          <w:szCs w:val="22"/>
          <w:lang w:val="es-ES"/>
        </w:rPr>
        <w:t>incipal y los anexos (a</w:t>
      </w:r>
      <w:r w:rsidRPr="00DD2307">
        <w:rPr>
          <w:rFonts w:ascii="Arial" w:hAnsi="Arial" w:cs="Arial"/>
          <w:sz w:val="22"/>
          <w:szCs w:val="22"/>
          <w:lang w:val="es-ES"/>
        </w:rPr>
        <w:t>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6237B504" w14:textId="77777777" w:rsidR="00EF7B5C" w:rsidRPr="00DD2307" w:rsidRDefault="00EF7B5C" w:rsidP="00534766">
      <w:pPr>
        <w:spacing w:line="276" w:lineRule="auto"/>
        <w:ind w:left="720"/>
        <w:jc w:val="both"/>
        <w:rPr>
          <w:rFonts w:ascii="Arial" w:hAnsi="Arial" w:cs="Arial"/>
          <w:sz w:val="22"/>
          <w:szCs w:val="22"/>
          <w:highlight w:val="cyan"/>
          <w:lang w:val="es-ES"/>
        </w:rPr>
      </w:pPr>
    </w:p>
    <w:p w14:paraId="0E285676" w14:textId="77777777" w:rsidR="00557C4D" w:rsidRPr="00DD2307" w:rsidRDefault="00557C4D" w:rsidP="00A06DD5">
      <w:pPr>
        <w:pStyle w:val="ColorfulList-Accent12"/>
        <w:numPr>
          <w:ilvl w:val="0"/>
          <w:numId w:val="13"/>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Características de la Consultoría</w:t>
      </w:r>
    </w:p>
    <w:p w14:paraId="3C89B7F2" w14:textId="77777777" w:rsidR="00557C4D" w:rsidRPr="00DD2307" w:rsidRDefault="00557C4D" w:rsidP="00534766">
      <w:pPr>
        <w:tabs>
          <w:tab w:val="left" w:pos="1800"/>
          <w:tab w:val="right" w:pos="2640"/>
          <w:tab w:val="left" w:pos="2880"/>
        </w:tabs>
        <w:spacing w:line="276" w:lineRule="auto"/>
        <w:ind w:left="835" w:hanging="835"/>
        <w:jc w:val="both"/>
        <w:rPr>
          <w:rFonts w:ascii="Arial" w:hAnsi="Arial" w:cs="Arial"/>
          <w:bCs/>
          <w:sz w:val="22"/>
          <w:szCs w:val="22"/>
          <w:lang w:val="es-ES"/>
        </w:rPr>
      </w:pPr>
      <w:r w:rsidRPr="00DD2307">
        <w:rPr>
          <w:rFonts w:ascii="Arial" w:hAnsi="Arial" w:cs="Arial"/>
          <w:b/>
          <w:bCs/>
          <w:sz w:val="22"/>
          <w:szCs w:val="22"/>
          <w:lang w:val="es-ES"/>
        </w:rPr>
        <w:t>Tipo de consultoría:</w:t>
      </w:r>
      <w:r w:rsidRPr="00DD2307">
        <w:rPr>
          <w:rFonts w:ascii="Arial" w:hAnsi="Arial" w:cs="Arial"/>
          <w:bCs/>
          <w:sz w:val="22"/>
          <w:szCs w:val="22"/>
          <w:lang w:val="es-ES"/>
        </w:rPr>
        <w:t xml:space="preserve"> consultor individual.</w:t>
      </w:r>
    </w:p>
    <w:p w14:paraId="0A6298E8" w14:textId="77777777" w:rsidR="00557C4D" w:rsidRPr="00DD2307" w:rsidRDefault="00557C4D" w:rsidP="00534766">
      <w:pPr>
        <w:tabs>
          <w:tab w:val="left" w:pos="1320"/>
          <w:tab w:val="left" w:pos="1800"/>
          <w:tab w:val="right" w:pos="2640"/>
          <w:tab w:val="left" w:pos="2880"/>
        </w:tabs>
        <w:spacing w:line="276" w:lineRule="auto"/>
        <w:jc w:val="both"/>
        <w:rPr>
          <w:rFonts w:ascii="Arial" w:hAnsi="Arial" w:cs="Arial"/>
          <w:sz w:val="22"/>
          <w:szCs w:val="22"/>
          <w:lang w:val="es-ES"/>
        </w:rPr>
      </w:pPr>
      <w:r w:rsidRPr="00DD2307">
        <w:rPr>
          <w:rFonts w:ascii="Arial" w:hAnsi="Arial" w:cs="Arial"/>
          <w:b/>
          <w:sz w:val="22"/>
          <w:szCs w:val="22"/>
          <w:lang w:val="es-ES"/>
        </w:rPr>
        <w:t>Duración:</w:t>
      </w:r>
      <w:r w:rsidRPr="00DD2307">
        <w:rPr>
          <w:rFonts w:ascii="Arial" w:hAnsi="Arial" w:cs="Arial"/>
          <w:sz w:val="22"/>
          <w:szCs w:val="22"/>
          <w:lang w:val="es-ES"/>
        </w:rPr>
        <w:t xml:space="preserve"> Será realizada en 20 días en un periodo de 2 meses, pudiendo incluir visitas cuando requeridos. </w:t>
      </w:r>
    </w:p>
    <w:p w14:paraId="0390B588" w14:textId="77777777" w:rsidR="004D22AC" w:rsidRPr="00DD2307" w:rsidRDefault="004D22AC" w:rsidP="00534766">
      <w:pPr>
        <w:tabs>
          <w:tab w:val="left" w:pos="1320"/>
          <w:tab w:val="left" w:pos="1800"/>
          <w:tab w:val="right" w:pos="2640"/>
          <w:tab w:val="left" w:pos="2880"/>
        </w:tabs>
        <w:spacing w:line="276" w:lineRule="auto"/>
        <w:jc w:val="both"/>
        <w:rPr>
          <w:rFonts w:ascii="Arial" w:hAnsi="Arial" w:cs="Arial"/>
          <w:sz w:val="22"/>
          <w:szCs w:val="22"/>
          <w:lang w:val="es-ES"/>
        </w:rPr>
      </w:pPr>
    </w:p>
    <w:p w14:paraId="6190CD30" w14:textId="77777777" w:rsidR="00557C4D" w:rsidRPr="00DD2307" w:rsidRDefault="00557C4D" w:rsidP="00534766">
      <w:pPr>
        <w:spacing w:line="276" w:lineRule="auto"/>
        <w:jc w:val="both"/>
        <w:rPr>
          <w:rFonts w:ascii="Arial" w:hAnsi="Arial" w:cs="Arial"/>
          <w:b/>
          <w:sz w:val="22"/>
          <w:szCs w:val="22"/>
          <w:lang w:val="es-ES"/>
        </w:rPr>
      </w:pPr>
      <w:r w:rsidRPr="00DD2307">
        <w:rPr>
          <w:rFonts w:ascii="Arial" w:hAnsi="Arial" w:cs="Arial"/>
          <w:b/>
          <w:sz w:val="22"/>
          <w:szCs w:val="22"/>
          <w:lang w:val="es-ES"/>
        </w:rPr>
        <w:t xml:space="preserve">Perfil del consultor: </w:t>
      </w:r>
    </w:p>
    <w:p w14:paraId="0B1C9FC7"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Maestría</w:t>
      </w:r>
      <w:r w:rsidR="007564C5" w:rsidRPr="00DD2307">
        <w:rPr>
          <w:rFonts w:ascii="Arial" w:hAnsi="Arial" w:cs="Arial"/>
          <w:sz w:val="22"/>
          <w:szCs w:val="22"/>
          <w:lang w:val="es-ES"/>
        </w:rPr>
        <w:t xml:space="preserve"> (cuarto nivel)</w:t>
      </w:r>
      <w:r w:rsidRPr="00DD2307">
        <w:rPr>
          <w:rFonts w:ascii="Arial" w:hAnsi="Arial" w:cs="Arial"/>
          <w:sz w:val="22"/>
          <w:szCs w:val="22"/>
          <w:lang w:val="es-ES"/>
        </w:rPr>
        <w:t>.</w:t>
      </w:r>
    </w:p>
    <w:p w14:paraId="642A5A00"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 xml:space="preserve">Al menos 5 años de experiencia relevante en materia de evaluación económica de proyectos financiados con recursos de cooperación multilateral y/o bilateral. </w:t>
      </w:r>
    </w:p>
    <w:p w14:paraId="47CBA17E" w14:textId="77777777" w:rsidR="00EF7B5C" w:rsidRPr="00DD2307" w:rsidRDefault="00EF7B5C" w:rsidP="00534766">
      <w:pPr>
        <w:spacing w:line="276" w:lineRule="auto"/>
        <w:jc w:val="both"/>
        <w:rPr>
          <w:rFonts w:ascii="Arial" w:hAnsi="Arial" w:cs="Arial"/>
          <w:b/>
          <w:sz w:val="22"/>
          <w:szCs w:val="22"/>
          <w:lang w:val="es-ES"/>
        </w:rPr>
      </w:pPr>
    </w:p>
    <w:p w14:paraId="69FF4366" w14:textId="77777777" w:rsidR="00557C4D" w:rsidRPr="00DD2307" w:rsidRDefault="00557C4D" w:rsidP="00534766">
      <w:pPr>
        <w:spacing w:line="276" w:lineRule="auto"/>
        <w:jc w:val="both"/>
        <w:rPr>
          <w:rFonts w:ascii="Arial" w:hAnsi="Arial" w:cs="Arial"/>
          <w:sz w:val="22"/>
          <w:szCs w:val="22"/>
          <w:lang w:val="es-ES"/>
        </w:rPr>
      </w:pPr>
      <w:r w:rsidRPr="00DD2307">
        <w:rPr>
          <w:rFonts w:ascii="Arial" w:hAnsi="Arial" w:cs="Arial"/>
          <w:b/>
          <w:sz w:val="22"/>
          <w:szCs w:val="22"/>
          <w:lang w:val="es-ES"/>
        </w:rPr>
        <w:t xml:space="preserve">Lugar de Trabajo: </w:t>
      </w:r>
      <w:r w:rsidR="0092592E" w:rsidRPr="00DD2307">
        <w:rPr>
          <w:rFonts w:ascii="Arial" w:hAnsi="Arial" w:cs="Arial"/>
          <w:sz w:val="22"/>
          <w:szCs w:val="22"/>
          <w:lang w:val="es-ES"/>
        </w:rPr>
        <w:t>Quito</w:t>
      </w:r>
      <w:r w:rsidRPr="00DD2307">
        <w:rPr>
          <w:rFonts w:ascii="Arial" w:hAnsi="Arial" w:cs="Arial"/>
          <w:sz w:val="22"/>
          <w:szCs w:val="22"/>
          <w:lang w:val="es-ES"/>
        </w:rPr>
        <w:t xml:space="preserve">, </w:t>
      </w:r>
      <w:r w:rsidR="0092592E" w:rsidRPr="00DD2307">
        <w:rPr>
          <w:rFonts w:ascii="Arial" w:hAnsi="Arial" w:cs="Arial"/>
          <w:sz w:val="22"/>
          <w:szCs w:val="22"/>
          <w:lang w:val="es-ES"/>
        </w:rPr>
        <w:t>Ecuador</w:t>
      </w:r>
      <w:r w:rsidRPr="00DD2307">
        <w:rPr>
          <w:rFonts w:ascii="Arial" w:hAnsi="Arial" w:cs="Arial"/>
          <w:sz w:val="22"/>
          <w:szCs w:val="22"/>
          <w:lang w:val="es-ES"/>
        </w:rPr>
        <w:t>, lugar de residencia del consultor.</w:t>
      </w:r>
    </w:p>
    <w:p w14:paraId="00C99E17" w14:textId="77777777" w:rsidR="001B18BB" w:rsidRPr="00DD2307" w:rsidRDefault="001B18BB" w:rsidP="00534766">
      <w:pPr>
        <w:spacing w:line="276" w:lineRule="auto"/>
        <w:jc w:val="both"/>
        <w:rPr>
          <w:rFonts w:ascii="Arial" w:hAnsi="Arial" w:cs="Arial"/>
          <w:sz w:val="22"/>
          <w:szCs w:val="22"/>
          <w:lang w:val="es-ES"/>
        </w:rPr>
      </w:pPr>
    </w:p>
    <w:p w14:paraId="51C27966" w14:textId="77777777" w:rsidR="00557C4D" w:rsidRPr="00DD2307" w:rsidRDefault="00557C4D" w:rsidP="00A06DD5">
      <w:pPr>
        <w:pStyle w:val="ColorfulList-Accent12"/>
        <w:numPr>
          <w:ilvl w:val="0"/>
          <w:numId w:val="13"/>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Condiciones de Pago</w:t>
      </w:r>
    </w:p>
    <w:p w14:paraId="2CB81BDE" w14:textId="77777777" w:rsidR="00557C4D" w:rsidRPr="00DD2307" w:rsidRDefault="00557C4D" w:rsidP="00534766">
      <w:pPr>
        <w:pStyle w:val="Paragraph"/>
        <w:widowControl w:val="0"/>
        <w:tabs>
          <w:tab w:val="clear" w:pos="720"/>
        </w:tabs>
        <w:spacing w:before="0" w:after="0" w:line="276" w:lineRule="auto"/>
        <w:ind w:left="0" w:firstLine="0"/>
        <w:rPr>
          <w:rFonts w:ascii="Arial" w:hAnsi="Arial" w:cs="Arial"/>
          <w:bCs/>
          <w:sz w:val="22"/>
          <w:lang w:val="es-ES"/>
        </w:rPr>
      </w:pPr>
      <w:r w:rsidRPr="00DD2307">
        <w:rPr>
          <w:rFonts w:ascii="Arial" w:hAnsi="Arial" w:cs="Arial"/>
          <w:bCs/>
          <w:sz w:val="22"/>
          <w:lang w:val="es-ES"/>
        </w:rPr>
        <w:t xml:space="preserve">Los pagos al </w:t>
      </w:r>
      <w:r w:rsidRPr="00DD2307">
        <w:rPr>
          <w:rFonts w:ascii="Arial" w:hAnsi="Arial" w:cs="Arial"/>
          <w:sz w:val="22"/>
          <w:lang w:val="es-ES"/>
        </w:rPr>
        <w:t>consultor</w:t>
      </w:r>
      <w:r w:rsidRPr="00DD2307">
        <w:rPr>
          <w:rFonts w:ascii="Arial" w:hAnsi="Arial" w:cs="Arial"/>
          <w:bCs/>
          <w:sz w:val="22"/>
          <w:lang w:val="es-ES"/>
        </w:rPr>
        <w:t xml:space="preserve"> individual se realizarán de la siguiente manera:</w:t>
      </w:r>
    </w:p>
    <w:p w14:paraId="2E11E279"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primer pago de 30% a la firma del contrato y entrega del plan de trabajo.</w:t>
      </w:r>
    </w:p>
    <w:p w14:paraId="7F2A1917"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segundo pago de 50% a la entrega y aprobación del informe intermedio a satisfacción del Banco/UE.</w:t>
      </w:r>
    </w:p>
    <w:p w14:paraId="0D117F18"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pago final de 20% a la entrega y aprobación del informe final a satisfacción del Banco/UE.</w:t>
      </w:r>
    </w:p>
    <w:p w14:paraId="73457962" w14:textId="77777777" w:rsidR="001B16C0" w:rsidRPr="00DD2307" w:rsidRDefault="001B16C0" w:rsidP="00534766">
      <w:pPr>
        <w:spacing w:line="276" w:lineRule="auto"/>
        <w:ind w:left="720"/>
        <w:jc w:val="both"/>
        <w:rPr>
          <w:rFonts w:ascii="Arial" w:hAnsi="Arial" w:cs="Arial"/>
          <w:sz w:val="22"/>
          <w:szCs w:val="22"/>
          <w:lang w:val="es-ES"/>
        </w:rPr>
      </w:pPr>
    </w:p>
    <w:p w14:paraId="4B4E913F" w14:textId="77777777" w:rsidR="00557C4D" w:rsidRPr="00DD2307" w:rsidRDefault="00557C4D" w:rsidP="00A06DD5">
      <w:pPr>
        <w:pStyle w:val="ColorfulList-Accent12"/>
        <w:numPr>
          <w:ilvl w:val="0"/>
          <w:numId w:val="13"/>
        </w:numPr>
        <w:spacing w:line="276" w:lineRule="auto"/>
        <w:jc w:val="both"/>
        <w:rPr>
          <w:rFonts w:ascii="Arial" w:hAnsi="Arial" w:cs="Arial"/>
          <w:b/>
          <w:sz w:val="22"/>
          <w:szCs w:val="22"/>
          <w:lang w:val="es-ES"/>
        </w:rPr>
      </w:pPr>
      <w:r w:rsidRPr="00DD2307">
        <w:rPr>
          <w:rFonts w:ascii="Arial" w:hAnsi="Arial" w:cs="Arial"/>
          <w:b/>
          <w:sz w:val="22"/>
          <w:szCs w:val="22"/>
          <w:lang w:val="es-ES"/>
        </w:rPr>
        <w:t>Supervisión o Coordinación</w:t>
      </w:r>
    </w:p>
    <w:p w14:paraId="2027066A" w14:textId="77777777" w:rsidR="00557C4D" w:rsidRPr="00DD2307" w:rsidRDefault="00557C4D" w:rsidP="00534766">
      <w:pPr>
        <w:pStyle w:val="Paragraph"/>
        <w:widowControl w:val="0"/>
        <w:tabs>
          <w:tab w:val="clear" w:pos="720"/>
        </w:tabs>
        <w:spacing w:before="0" w:after="0" w:line="276" w:lineRule="auto"/>
        <w:ind w:left="0" w:firstLine="0"/>
        <w:rPr>
          <w:rFonts w:ascii="Arial" w:hAnsi="Arial" w:cs="Arial"/>
          <w:bCs/>
          <w:sz w:val="22"/>
          <w:lang w:val="es-ES"/>
        </w:rPr>
      </w:pPr>
      <w:r w:rsidRPr="00DD2307">
        <w:rPr>
          <w:rFonts w:ascii="Arial" w:hAnsi="Arial" w:cs="Arial"/>
          <w:bCs/>
          <w:sz w:val="22"/>
          <w:lang w:val="es-ES"/>
        </w:rPr>
        <w:t xml:space="preserve">La coordinación de </w:t>
      </w:r>
      <w:r w:rsidRPr="00DD2307">
        <w:rPr>
          <w:rFonts w:ascii="Arial" w:hAnsi="Arial" w:cs="Arial"/>
          <w:sz w:val="22"/>
          <w:lang w:val="es-ES"/>
        </w:rPr>
        <w:t>la</w:t>
      </w:r>
      <w:r w:rsidRPr="00DD2307">
        <w:rPr>
          <w:rFonts w:ascii="Arial" w:hAnsi="Arial" w:cs="Arial"/>
          <w:bCs/>
          <w:sz w:val="22"/>
          <w:lang w:val="es-ES"/>
        </w:rPr>
        <w:t xml:space="preserve"> consultoría estará a cargo de Juan Luis Gómez (FMM/CEC), Jefe de Equipo del Programa, en coordinación con la UE. </w:t>
      </w:r>
    </w:p>
    <w:p w14:paraId="142DD2E6" w14:textId="77777777" w:rsidR="00557C4D" w:rsidRPr="00DD2307" w:rsidRDefault="00557C4D" w:rsidP="00A75CD8">
      <w:pPr>
        <w:pStyle w:val="Paragraph"/>
        <w:widowControl w:val="0"/>
        <w:tabs>
          <w:tab w:val="clear" w:pos="720"/>
        </w:tabs>
        <w:spacing w:before="0" w:after="0" w:line="276" w:lineRule="auto"/>
        <w:ind w:left="0" w:firstLine="0"/>
        <w:jc w:val="center"/>
        <w:rPr>
          <w:rFonts w:ascii="Arial" w:hAnsi="Arial" w:cs="Arial"/>
          <w:b/>
          <w:bCs/>
          <w:smallCaps/>
          <w:sz w:val="22"/>
          <w:u w:val="single"/>
          <w:lang w:val="es-ES"/>
        </w:rPr>
      </w:pPr>
      <w:r w:rsidRPr="00DD2307">
        <w:rPr>
          <w:rFonts w:ascii="Arial" w:hAnsi="Arial" w:cs="Arial"/>
          <w:bCs/>
          <w:sz w:val="22"/>
          <w:highlight w:val="cyan"/>
          <w:lang w:val="es-ES"/>
        </w:rPr>
        <w:br w:type="column"/>
      </w:r>
      <w:r w:rsidRPr="00DD2307">
        <w:rPr>
          <w:rFonts w:ascii="Arial" w:hAnsi="Arial" w:cs="Arial"/>
          <w:b/>
          <w:bCs/>
          <w:smallCaps/>
          <w:sz w:val="22"/>
          <w:u w:val="single"/>
          <w:lang w:val="es-ES"/>
        </w:rPr>
        <w:lastRenderedPageBreak/>
        <w:t>Consultoría de Evaluación Final</w:t>
      </w:r>
    </w:p>
    <w:p w14:paraId="5534C9F9" w14:textId="77777777" w:rsidR="009F6A02" w:rsidRPr="00DD2307" w:rsidRDefault="009F6A02" w:rsidP="00534766">
      <w:pPr>
        <w:pStyle w:val="Paragraph"/>
        <w:widowControl w:val="0"/>
        <w:tabs>
          <w:tab w:val="clear" w:pos="720"/>
        </w:tabs>
        <w:spacing w:before="0" w:after="0" w:line="276" w:lineRule="auto"/>
        <w:ind w:left="0" w:firstLine="0"/>
        <w:rPr>
          <w:rFonts w:ascii="Arial" w:hAnsi="Arial" w:cs="Arial"/>
          <w:b/>
          <w:bCs/>
          <w:smallCaps/>
          <w:sz w:val="22"/>
          <w:u w:val="single"/>
          <w:lang w:val="es-ES"/>
        </w:rPr>
      </w:pPr>
    </w:p>
    <w:p w14:paraId="653547DF" w14:textId="77777777" w:rsidR="00557C4D" w:rsidRPr="00DD2307" w:rsidRDefault="00557C4D" w:rsidP="00A06DD5">
      <w:pPr>
        <w:pStyle w:val="ColorfulList-Accent12"/>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Objetivo de la Consultoría</w:t>
      </w:r>
    </w:p>
    <w:p w14:paraId="48131DDD" w14:textId="77777777" w:rsidR="00557C4D" w:rsidRPr="00DD2307" w:rsidRDefault="00557C4D" w:rsidP="00534766">
      <w:pPr>
        <w:spacing w:line="276" w:lineRule="auto"/>
        <w:jc w:val="both"/>
        <w:rPr>
          <w:rFonts w:ascii="Arial" w:hAnsi="Arial" w:cs="Arial"/>
          <w:sz w:val="22"/>
          <w:szCs w:val="22"/>
          <w:lang w:val="es-ES"/>
        </w:rPr>
      </w:pPr>
      <w:r w:rsidRPr="00DD2307">
        <w:rPr>
          <w:rFonts w:ascii="Arial" w:hAnsi="Arial" w:cs="Arial"/>
          <w:sz w:val="22"/>
          <w:szCs w:val="22"/>
          <w:lang w:val="es-ES"/>
        </w:rPr>
        <w:t xml:space="preserve">La evaluación final analizará los resultados alcanzados y productos implementados por el </w:t>
      </w:r>
      <w:r w:rsidR="00DF4118" w:rsidRPr="00DD2307">
        <w:rPr>
          <w:rFonts w:ascii="Arial" w:hAnsi="Arial" w:cs="Arial"/>
          <w:sz w:val="22"/>
          <w:szCs w:val="22"/>
          <w:lang w:val="es-ES"/>
        </w:rPr>
        <w:t>p</w:t>
      </w:r>
      <w:r w:rsidRPr="00DD2307">
        <w:rPr>
          <w:rFonts w:ascii="Arial" w:hAnsi="Arial" w:cs="Arial"/>
          <w:sz w:val="22"/>
          <w:szCs w:val="22"/>
          <w:lang w:val="es-ES"/>
        </w:rPr>
        <w:t xml:space="preserve">rograma en su totalidad, en función de los indicadores definidos en la Matriz de Resultados, tanto antes como después del </w:t>
      </w:r>
      <w:r w:rsidR="00DF4118" w:rsidRPr="00DD2307">
        <w:rPr>
          <w:rFonts w:ascii="Arial" w:hAnsi="Arial" w:cs="Arial"/>
          <w:sz w:val="22"/>
          <w:szCs w:val="22"/>
          <w:lang w:val="es-ES"/>
        </w:rPr>
        <w:t>p</w:t>
      </w:r>
      <w:r w:rsidRPr="00DD2307">
        <w:rPr>
          <w:rFonts w:ascii="Arial" w:hAnsi="Arial" w:cs="Arial"/>
          <w:sz w:val="22"/>
          <w:szCs w:val="22"/>
          <w:lang w:val="es-ES"/>
        </w:rPr>
        <w:t xml:space="preserve">rograma. En particular, la evaluación abarcará el análisis de la gestión del </w:t>
      </w:r>
      <w:r w:rsidR="00DF4118" w:rsidRPr="00DD2307">
        <w:rPr>
          <w:rFonts w:ascii="Arial" w:hAnsi="Arial" w:cs="Arial"/>
          <w:sz w:val="22"/>
          <w:szCs w:val="22"/>
          <w:lang w:val="es-ES"/>
        </w:rPr>
        <w:t>p</w:t>
      </w:r>
      <w:r w:rsidR="00F75C54" w:rsidRPr="00DD2307">
        <w:rPr>
          <w:rFonts w:ascii="Arial" w:hAnsi="Arial" w:cs="Arial"/>
          <w:sz w:val="22"/>
          <w:szCs w:val="22"/>
          <w:lang w:val="es-ES"/>
        </w:rPr>
        <w:t>rograma, y el alcance de su</w:t>
      </w:r>
      <w:r w:rsidRPr="00DD2307">
        <w:rPr>
          <w:rFonts w:ascii="Arial" w:hAnsi="Arial" w:cs="Arial"/>
          <w:sz w:val="22"/>
          <w:szCs w:val="22"/>
          <w:lang w:val="es-ES"/>
        </w:rPr>
        <w:t xml:space="preserve"> ejecución, el grado de coordinación y articulación intra e interinstitucional logrados; la identificación de los principales problemas; el grado de institucionalización de las acciones del </w:t>
      </w:r>
      <w:r w:rsidR="00DF4118" w:rsidRPr="00DD2307">
        <w:rPr>
          <w:rFonts w:ascii="Arial" w:hAnsi="Arial" w:cs="Arial"/>
          <w:sz w:val="22"/>
          <w:szCs w:val="22"/>
          <w:lang w:val="es-ES"/>
        </w:rPr>
        <w:t>p</w:t>
      </w:r>
      <w:r w:rsidRPr="00DD2307">
        <w:rPr>
          <w:rFonts w:ascii="Arial" w:hAnsi="Arial" w:cs="Arial"/>
          <w:sz w:val="22"/>
          <w:szCs w:val="22"/>
          <w:lang w:val="es-ES"/>
        </w:rPr>
        <w:t xml:space="preserve">rograma; las lecciones aprendidas; el nivel de cumplimiento de cláusulas contractuales, las recomendaciones de los informes de la </w:t>
      </w:r>
      <w:r w:rsidR="00DD2307" w:rsidRPr="00DD2307">
        <w:rPr>
          <w:rFonts w:ascii="Arial" w:hAnsi="Arial" w:cs="Arial"/>
          <w:sz w:val="22"/>
          <w:szCs w:val="22"/>
          <w:lang w:val="es-ES"/>
        </w:rPr>
        <w:t>Auditoría</w:t>
      </w:r>
      <w:r w:rsidRPr="00DD2307">
        <w:rPr>
          <w:rFonts w:ascii="Arial" w:hAnsi="Arial" w:cs="Arial"/>
          <w:sz w:val="22"/>
          <w:szCs w:val="22"/>
          <w:lang w:val="es-ES"/>
        </w:rPr>
        <w:t xml:space="preserve"> Externa, la evaluación de la estructura de control interno, financiero y contable adoptada; y el manejo de los recursos financieros y justificaciones de gastos.</w:t>
      </w:r>
    </w:p>
    <w:p w14:paraId="206D77AF" w14:textId="77777777" w:rsidR="00EF7B5C" w:rsidRPr="00DD2307" w:rsidRDefault="00EF7B5C" w:rsidP="00534766">
      <w:pPr>
        <w:spacing w:line="276" w:lineRule="auto"/>
        <w:jc w:val="both"/>
        <w:rPr>
          <w:rFonts w:ascii="Arial" w:hAnsi="Arial" w:cs="Arial"/>
          <w:sz w:val="22"/>
          <w:szCs w:val="22"/>
          <w:lang w:val="es-ES"/>
        </w:rPr>
      </w:pPr>
    </w:p>
    <w:p w14:paraId="22954A98" w14:textId="77777777" w:rsidR="00557C4D" w:rsidRPr="00DD2307" w:rsidRDefault="00557C4D" w:rsidP="00A06DD5">
      <w:pPr>
        <w:pStyle w:val="ColorfulList-Accent12"/>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Actividades</w:t>
      </w:r>
    </w:p>
    <w:p w14:paraId="545B70C6" w14:textId="77777777" w:rsidR="00557C4D" w:rsidRPr="00DD2307" w:rsidRDefault="00557C4D" w:rsidP="00534766">
      <w:pPr>
        <w:pStyle w:val="Paragraph"/>
        <w:widowControl w:val="0"/>
        <w:tabs>
          <w:tab w:val="clear" w:pos="720"/>
        </w:tabs>
        <w:spacing w:before="0" w:after="0" w:line="276" w:lineRule="auto"/>
        <w:ind w:left="0" w:firstLine="0"/>
        <w:rPr>
          <w:rFonts w:ascii="Arial" w:hAnsi="Arial" w:cs="Arial"/>
          <w:bCs/>
          <w:sz w:val="22"/>
          <w:lang w:val="es-ES"/>
        </w:rPr>
      </w:pPr>
      <w:r w:rsidRPr="00DD2307">
        <w:rPr>
          <w:rFonts w:ascii="Arial" w:hAnsi="Arial" w:cs="Arial"/>
          <w:bCs/>
          <w:sz w:val="22"/>
          <w:lang w:val="es-ES"/>
        </w:rPr>
        <w:t xml:space="preserve">Las siguientes </w:t>
      </w:r>
      <w:r w:rsidRPr="00DD2307">
        <w:rPr>
          <w:rFonts w:ascii="Arial" w:hAnsi="Arial" w:cs="Arial"/>
          <w:sz w:val="22"/>
          <w:lang w:val="es-ES"/>
        </w:rPr>
        <w:t>actividades</w:t>
      </w:r>
      <w:r w:rsidRPr="00DD2307">
        <w:rPr>
          <w:rFonts w:ascii="Arial" w:hAnsi="Arial" w:cs="Arial"/>
          <w:bCs/>
          <w:sz w:val="22"/>
          <w:lang w:val="es-ES"/>
        </w:rPr>
        <w:t xml:space="preserve"> serán realizadas en coordinación directa con el Banco y </w:t>
      </w:r>
      <w:r w:rsidRPr="00DD2307">
        <w:rPr>
          <w:rFonts w:ascii="Arial" w:hAnsi="Arial" w:cs="Arial"/>
          <w:sz w:val="22"/>
          <w:lang w:val="es-ES"/>
        </w:rPr>
        <w:t>la Unidad Ejecutora (UE)</w:t>
      </w:r>
      <w:r w:rsidRPr="00DD2307">
        <w:rPr>
          <w:rFonts w:ascii="Arial" w:hAnsi="Arial" w:cs="Arial"/>
          <w:bCs/>
          <w:sz w:val="22"/>
          <w:lang w:val="es-ES"/>
        </w:rPr>
        <w:t>:</w:t>
      </w:r>
    </w:p>
    <w:p w14:paraId="530247AD" w14:textId="77777777" w:rsidR="00F75C54"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 xml:space="preserve">Revisar la documentación </w:t>
      </w:r>
      <w:r w:rsidR="00F75C54" w:rsidRPr="00DD2307">
        <w:rPr>
          <w:rFonts w:ascii="Arial" w:hAnsi="Arial" w:cs="Arial"/>
          <w:sz w:val="22"/>
          <w:szCs w:val="22"/>
          <w:lang w:val="es-ES"/>
        </w:rPr>
        <w:t xml:space="preserve">(datos colectados, medios de verificación e informes) </w:t>
      </w:r>
      <w:r w:rsidRPr="00DD2307">
        <w:rPr>
          <w:rFonts w:ascii="Arial" w:hAnsi="Arial" w:cs="Arial"/>
          <w:sz w:val="22"/>
          <w:szCs w:val="22"/>
          <w:lang w:val="es-ES"/>
        </w:rPr>
        <w:t xml:space="preserve">correspondiente a la ejecución del </w:t>
      </w:r>
      <w:r w:rsidR="00DF4118" w:rsidRPr="00DD2307">
        <w:rPr>
          <w:rFonts w:ascii="Arial" w:hAnsi="Arial" w:cs="Arial"/>
          <w:sz w:val="22"/>
          <w:szCs w:val="22"/>
          <w:lang w:val="es-ES"/>
        </w:rPr>
        <w:t>p</w:t>
      </w:r>
      <w:r w:rsidRPr="00DD2307">
        <w:rPr>
          <w:rFonts w:ascii="Arial" w:hAnsi="Arial" w:cs="Arial"/>
          <w:sz w:val="22"/>
          <w:szCs w:val="22"/>
          <w:lang w:val="es-ES"/>
        </w:rPr>
        <w:t>rograma</w:t>
      </w:r>
      <w:r w:rsidR="00F75C54" w:rsidRPr="00DD2307">
        <w:rPr>
          <w:rFonts w:ascii="Arial" w:hAnsi="Arial" w:cs="Arial"/>
          <w:sz w:val="22"/>
          <w:szCs w:val="22"/>
          <w:lang w:val="es-ES"/>
        </w:rPr>
        <w:t xml:space="preserve"> y analizar la gestión operativa del mismo</w:t>
      </w:r>
      <w:r w:rsidRPr="00DD2307">
        <w:rPr>
          <w:rFonts w:ascii="Arial" w:hAnsi="Arial" w:cs="Arial"/>
          <w:sz w:val="22"/>
          <w:szCs w:val="22"/>
          <w:lang w:val="es-ES"/>
        </w:rPr>
        <w:t xml:space="preserve">. </w:t>
      </w:r>
    </w:p>
    <w:p w14:paraId="19849955" w14:textId="77777777" w:rsidR="00557C4D" w:rsidRPr="00DD2307" w:rsidRDefault="00F75C54"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Evaluar</w:t>
      </w:r>
      <w:r w:rsidR="00557C4D" w:rsidRPr="00DD2307">
        <w:rPr>
          <w:rFonts w:ascii="Arial" w:hAnsi="Arial" w:cs="Arial"/>
          <w:sz w:val="22"/>
          <w:szCs w:val="22"/>
          <w:lang w:val="es-ES"/>
        </w:rPr>
        <w:t xml:space="preserve"> el alcance del impacto</w:t>
      </w:r>
      <w:r w:rsidRPr="00DD2307">
        <w:rPr>
          <w:rFonts w:ascii="Arial" w:hAnsi="Arial" w:cs="Arial"/>
          <w:sz w:val="22"/>
          <w:szCs w:val="22"/>
          <w:lang w:val="es-ES"/>
        </w:rPr>
        <w:t>/efecto</w:t>
      </w:r>
      <w:r w:rsidR="00557C4D" w:rsidRPr="00DD2307">
        <w:rPr>
          <w:rFonts w:ascii="Arial" w:hAnsi="Arial" w:cs="Arial"/>
          <w:sz w:val="22"/>
          <w:szCs w:val="22"/>
          <w:lang w:val="es-ES"/>
        </w:rPr>
        <w:t xml:space="preserve"> y los resultados logrados de acuerdo a las metas e indicadores establecidos en la Matriz de Resultados.</w:t>
      </w:r>
    </w:p>
    <w:p w14:paraId="0EFB116C"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 xml:space="preserve">Evaluar </w:t>
      </w:r>
      <w:r w:rsidR="00F75C54" w:rsidRPr="00DD2307">
        <w:rPr>
          <w:rFonts w:ascii="Arial" w:hAnsi="Arial" w:cs="Arial"/>
          <w:sz w:val="22"/>
          <w:szCs w:val="22"/>
          <w:lang w:val="es-ES"/>
        </w:rPr>
        <w:t xml:space="preserve">la </w:t>
      </w:r>
      <w:r w:rsidRPr="00DD2307">
        <w:rPr>
          <w:rFonts w:ascii="Arial" w:hAnsi="Arial" w:cs="Arial"/>
          <w:sz w:val="22"/>
          <w:szCs w:val="22"/>
          <w:lang w:val="es-ES"/>
        </w:rPr>
        <w:t xml:space="preserve">efectividad, eficiencia, sostenibilidad, y resultados imprevistos del </w:t>
      </w:r>
      <w:r w:rsidR="00DF4118" w:rsidRPr="00DD2307">
        <w:rPr>
          <w:rFonts w:ascii="Arial" w:hAnsi="Arial" w:cs="Arial"/>
          <w:sz w:val="22"/>
          <w:szCs w:val="22"/>
          <w:lang w:val="es-ES"/>
        </w:rPr>
        <w:t>p</w:t>
      </w:r>
      <w:r w:rsidRPr="00DD2307">
        <w:rPr>
          <w:rFonts w:ascii="Arial" w:hAnsi="Arial" w:cs="Arial"/>
          <w:sz w:val="22"/>
          <w:szCs w:val="22"/>
          <w:lang w:val="es-ES"/>
        </w:rPr>
        <w:t>rograma</w:t>
      </w:r>
      <w:r w:rsidR="00F75C54" w:rsidRPr="00DD2307">
        <w:rPr>
          <w:rFonts w:ascii="Arial" w:hAnsi="Arial" w:cs="Arial"/>
          <w:sz w:val="22"/>
          <w:szCs w:val="22"/>
          <w:lang w:val="es-ES"/>
        </w:rPr>
        <w:t xml:space="preserve">. Así como, analizar la lógica vertical, y relevancia del programa. </w:t>
      </w:r>
    </w:p>
    <w:p w14:paraId="50D810E9"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 xml:space="preserve">Identificar hallazgos y recomendaciones en relación a la ejecución del </w:t>
      </w:r>
      <w:r w:rsidR="00DF4118" w:rsidRPr="00DD2307">
        <w:rPr>
          <w:rFonts w:ascii="Arial" w:hAnsi="Arial" w:cs="Arial"/>
          <w:sz w:val="22"/>
          <w:szCs w:val="22"/>
          <w:lang w:val="es-ES"/>
        </w:rPr>
        <w:t>p</w:t>
      </w:r>
      <w:r w:rsidRPr="00DD2307">
        <w:rPr>
          <w:rFonts w:ascii="Arial" w:hAnsi="Arial" w:cs="Arial"/>
          <w:sz w:val="22"/>
          <w:szCs w:val="22"/>
          <w:lang w:val="es-ES"/>
        </w:rPr>
        <w:t>rograma</w:t>
      </w:r>
      <w:r w:rsidR="00F75C54" w:rsidRPr="00DD2307">
        <w:rPr>
          <w:rFonts w:ascii="Arial" w:hAnsi="Arial" w:cs="Arial"/>
          <w:sz w:val="22"/>
          <w:szCs w:val="22"/>
          <w:lang w:val="es-ES"/>
        </w:rPr>
        <w:t>.</w:t>
      </w:r>
      <w:r w:rsidRPr="00DD2307">
        <w:rPr>
          <w:rFonts w:ascii="Arial" w:hAnsi="Arial" w:cs="Arial"/>
          <w:sz w:val="22"/>
          <w:szCs w:val="22"/>
          <w:lang w:val="es-ES"/>
        </w:rPr>
        <w:t xml:space="preserve"> </w:t>
      </w:r>
    </w:p>
    <w:p w14:paraId="0C0D88B9"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 xml:space="preserve">Realizar reuniones </w:t>
      </w:r>
      <w:r w:rsidR="00F75C54" w:rsidRPr="00DD2307">
        <w:rPr>
          <w:rFonts w:ascii="Arial" w:hAnsi="Arial" w:cs="Arial"/>
          <w:sz w:val="22"/>
          <w:szCs w:val="22"/>
          <w:lang w:val="es-ES"/>
        </w:rPr>
        <w:t xml:space="preserve">periódicas </w:t>
      </w:r>
      <w:r w:rsidRPr="00DD2307">
        <w:rPr>
          <w:rFonts w:ascii="Arial" w:hAnsi="Arial" w:cs="Arial"/>
          <w:sz w:val="22"/>
          <w:szCs w:val="22"/>
          <w:lang w:val="es-ES"/>
        </w:rPr>
        <w:t xml:space="preserve">con el Banco/UE y los principales actores involucrados en el diseño y ejecución del </w:t>
      </w:r>
      <w:r w:rsidR="00DF4118" w:rsidRPr="00DD2307">
        <w:rPr>
          <w:rFonts w:ascii="Arial" w:hAnsi="Arial" w:cs="Arial"/>
          <w:sz w:val="22"/>
          <w:szCs w:val="22"/>
          <w:lang w:val="es-ES"/>
        </w:rPr>
        <w:t>p</w:t>
      </w:r>
      <w:r w:rsidRPr="00DD2307">
        <w:rPr>
          <w:rFonts w:ascii="Arial" w:hAnsi="Arial" w:cs="Arial"/>
          <w:sz w:val="22"/>
          <w:szCs w:val="22"/>
          <w:lang w:val="es-ES"/>
        </w:rPr>
        <w:t>rograma.</w:t>
      </w:r>
    </w:p>
    <w:p w14:paraId="7E42DF05"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Preparar el texto del Informe, de acuerdo con el formato a ser entregado por el Banco/UE.  Se debería incluir texto y gráficos según corresponda.</w:t>
      </w:r>
    </w:p>
    <w:p w14:paraId="5AD8D230" w14:textId="77777777" w:rsidR="00F75C54" w:rsidRPr="00DD2307" w:rsidRDefault="00F75C54" w:rsidP="00534766">
      <w:pPr>
        <w:spacing w:line="276" w:lineRule="auto"/>
        <w:ind w:left="720"/>
        <w:jc w:val="both"/>
        <w:rPr>
          <w:rFonts w:ascii="Arial" w:hAnsi="Arial" w:cs="Arial"/>
          <w:sz w:val="22"/>
          <w:szCs w:val="22"/>
          <w:lang w:val="es-ES"/>
        </w:rPr>
      </w:pPr>
    </w:p>
    <w:p w14:paraId="4B045700" w14:textId="77777777" w:rsidR="00557C4D" w:rsidRPr="00DD2307" w:rsidRDefault="00557C4D" w:rsidP="00A06DD5">
      <w:pPr>
        <w:pStyle w:val="ColorfulList-Accent12"/>
        <w:keepNext/>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Productos Esperados</w:t>
      </w:r>
    </w:p>
    <w:p w14:paraId="008A737F" w14:textId="77777777" w:rsidR="00557C4D" w:rsidRPr="00DD2307" w:rsidRDefault="00557C4D" w:rsidP="00A06DD5">
      <w:pPr>
        <w:keepNext/>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Plan de trabajo, incluyendo sus actividades, productos y fechas de entrega.</w:t>
      </w:r>
    </w:p>
    <w:p w14:paraId="5A7D701B"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Informe borrador de Evaluación, con texto y gráficos, a ser revisado por el Banco/UE. El Informe debe incluir todas las áreas estipuladas en el formato, con especial énfasis en lo que corresponde a los resultados del Programa y las lecciones aprendidas.</w:t>
      </w:r>
    </w:p>
    <w:p w14:paraId="194292A8"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Informe final de Evaluación que incorpore comentarios hechos por el Banco/ UE.</w:t>
      </w:r>
    </w:p>
    <w:p w14:paraId="2A00E39E" w14:textId="77777777" w:rsidR="00557C4D" w:rsidRPr="00DD2307" w:rsidRDefault="00557C4D" w:rsidP="00A06DD5">
      <w:pPr>
        <w:numPr>
          <w:ilvl w:val="0"/>
          <w:numId w:val="14"/>
        </w:numPr>
        <w:spacing w:line="276" w:lineRule="auto"/>
        <w:jc w:val="both"/>
        <w:rPr>
          <w:rFonts w:ascii="Arial" w:hAnsi="Arial" w:cs="Arial"/>
          <w:sz w:val="22"/>
          <w:szCs w:val="22"/>
          <w:lang w:val="es-ES"/>
        </w:rPr>
      </w:pPr>
      <w:r w:rsidRPr="00DD2307">
        <w:rPr>
          <w:rFonts w:ascii="Arial" w:hAnsi="Arial" w:cs="Arial"/>
          <w:sz w:val="22"/>
          <w:szCs w:val="22"/>
          <w:lang w:val="es-ES"/>
        </w:rPr>
        <w:t>Todos los informes deberán ser entregados al Banco/UE en forma electrónica en un solo archivo que incluya la portada, el d</w:t>
      </w:r>
      <w:r w:rsidR="00F75C54" w:rsidRPr="00DD2307">
        <w:rPr>
          <w:rFonts w:ascii="Arial" w:hAnsi="Arial" w:cs="Arial"/>
          <w:sz w:val="22"/>
          <w:szCs w:val="22"/>
          <w:lang w:val="es-ES"/>
        </w:rPr>
        <w:t>ocumento principal y los anexos (a</w:t>
      </w:r>
      <w:r w:rsidRPr="00DD2307">
        <w:rPr>
          <w:rFonts w:ascii="Arial" w:hAnsi="Arial" w:cs="Arial"/>
          <w:sz w:val="22"/>
          <w:szCs w:val="22"/>
          <w:lang w:val="es-ES"/>
        </w:rPr>
        <w:t>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11208D90" w14:textId="77777777" w:rsidR="004D22AC" w:rsidRPr="00DD2307" w:rsidRDefault="004D22AC" w:rsidP="00534766">
      <w:pPr>
        <w:spacing w:line="276" w:lineRule="auto"/>
        <w:ind w:left="720"/>
        <w:jc w:val="both"/>
        <w:rPr>
          <w:rFonts w:ascii="Arial" w:hAnsi="Arial" w:cs="Arial"/>
          <w:sz w:val="22"/>
          <w:szCs w:val="22"/>
          <w:highlight w:val="cyan"/>
          <w:lang w:val="es-ES"/>
        </w:rPr>
      </w:pPr>
    </w:p>
    <w:p w14:paraId="28E38AC1" w14:textId="77777777" w:rsidR="00557C4D" w:rsidRPr="00DD2307" w:rsidRDefault="00557C4D" w:rsidP="00A06DD5">
      <w:pPr>
        <w:pStyle w:val="ColorfulList-Accent12"/>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Características de la Consultoría</w:t>
      </w:r>
    </w:p>
    <w:p w14:paraId="3C4EE5DB" w14:textId="77777777" w:rsidR="00557C4D" w:rsidRPr="00DD2307" w:rsidRDefault="00557C4D" w:rsidP="00534766">
      <w:pPr>
        <w:pStyle w:val="Paragraph"/>
        <w:widowControl w:val="0"/>
        <w:tabs>
          <w:tab w:val="clear" w:pos="720"/>
        </w:tabs>
        <w:spacing w:before="0" w:after="0" w:line="276" w:lineRule="auto"/>
        <w:ind w:left="720"/>
        <w:rPr>
          <w:rFonts w:ascii="Arial" w:eastAsia="Times New Roman" w:hAnsi="Arial" w:cs="Arial"/>
          <w:sz w:val="22"/>
          <w:lang w:val="es-ES"/>
        </w:rPr>
      </w:pPr>
      <w:r w:rsidRPr="00DD2307">
        <w:rPr>
          <w:rFonts w:ascii="Arial" w:hAnsi="Arial" w:cs="Arial"/>
          <w:sz w:val="22"/>
          <w:lang w:val="es-ES"/>
        </w:rPr>
        <w:t xml:space="preserve">Esta consultoría será realizada al término del </w:t>
      </w:r>
      <w:r w:rsidR="00DF4118" w:rsidRPr="00DD2307">
        <w:rPr>
          <w:rFonts w:ascii="Arial" w:hAnsi="Arial" w:cs="Arial"/>
          <w:sz w:val="22"/>
          <w:lang w:val="es-ES"/>
        </w:rPr>
        <w:t>p</w:t>
      </w:r>
      <w:r w:rsidRPr="00DD2307">
        <w:rPr>
          <w:rFonts w:ascii="Arial" w:hAnsi="Arial" w:cs="Arial"/>
          <w:sz w:val="22"/>
          <w:lang w:val="es-ES"/>
        </w:rPr>
        <w:t>rograma.</w:t>
      </w:r>
    </w:p>
    <w:p w14:paraId="39D4D0EF" w14:textId="77777777" w:rsidR="00557C4D" w:rsidRPr="00DD2307" w:rsidRDefault="00557C4D" w:rsidP="00534766">
      <w:pPr>
        <w:tabs>
          <w:tab w:val="left" w:pos="840"/>
          <w:tab w:val="left" w:pos="1320"/>
          <w:tab w:val="left" w:pos="1800"/>
          <w:tab w:val="right" w:pos="2640"/>
          <w:tab w:val="left" w:pos="2880"/>
        </w:tabs>
        <w:spacing w:line="276" w:lineRule="auto"/>
        <w:ind w:left="835" w:hanging="835"/>
        <w:jc w:val="both"/>
        <w:rPr>
          <w:rFonts w:ascii="Arial" w:hAnsi="Arial" w:cs="Arial"/>
          <w:bCs/>
          <w:sz w:val="22"/>
          <w:szCs w:val="22"/>
          <w:lang w:val="es-ES"/>
        </w:rPr>
      </w:pPr>
      <w:r w:rsidRPr="00DD2307">
        <w:rPr>
          <w:rFonts w:ascii="Arial" w:hAnsi="Arial" w:cs="Arial"/>
          <w:b/>
          <w:bCs/>
          <w:sz w:val="22"/>
          <w:szCs w:val="22"/>
          <w:lang w:val="es-ES"/>
        </w:rPr>
        <w:t>Tipo de consultoría:</w:t>
      </w:r>
      <w:r w:rsidRPr="00DD2307">
        <w:rPr>
          <w:rFonts w:ascii="Arial" w:hAnsi="Arial" w:cs="Arial"/>
          <w:bCs/>
          <w:sz w:val="22"/>
          <w:szCs w:val="22"/>
          <w:lang w:val="es-ES"/>
        </w:rPr>
        <w:t xml:space="preserve"> consultor individual.</w:t>
      </w:r>
    </w:p>
    <w:p w14:paraId="34603A84" w14:textId="77777777" w:rsidR="00557C4D" w:rsidRPr="00DD2307" w:rsidRDefault="00557C4D" w:rsidP="00534766">
      <w:pPr>
        <w:tabs>
          <w:tab w:val="left" w:pos="1320"/>
          <w:tab w:val="left" w:pos="1800"/>
          <w:tab w:val="right" w:pos="2640"/>
          <w:tab w:val="left" w:pos="2880"/>
        </w:tabs>
        <w:spacing w:line="276" w:lineRule="auto"/>
        <w:jc w:val="both"/>
        <w:rPr>
          <w:rFonts w:ascii="Arial" w:hAnsi="Arial" w:cs="Arial"/>
          <w:sz w:val="22"/>
          <w:szCs w:val="22"/>
          <w:lang w:val="es-ES"/>
        </w:rPr>
      </w:pPr>
      <w:r w:rsidRPr="00DD2307">
        <w:rPr>
          <w:rFonts w:ascii="Arial" w:hAnsi="Arial" w:cs="Arial"/>
          <w:b/>
          <w:sz w:val="22"/>
          <w:szCs w:val="22"/>
          <w:lang w:val="es-ES"/>
        </w:rPr>
        <w:lastRenderedPageBreak/>
        <w:t>Duración:</w:t>
      </w:r>
      <w:r w:rsidRPr="00DD2307">
        <w:rPr>
          <w:rFonts w:ascii="Arial" w:hAnsi="Arial" w:cs="Arial"/>
          <w:sz w:val="22"/>
          <w:szCs w:val="22"/>
          <w:lang w:val="es-ES"/>
        </w:rPr>
        <w:t xml:space="preserve"> Será realizada en 20 días en un período de 2 meses, pudiendo incluir visitas cuando requeridos. </w:t>
      </w:r>
    </w:p>
    <w:p w14:paraId="6AB19DB0" w14:textId="77777777" w:rsidR="004D22AC" w:rsidRPr="00DD2307" w:rsidRDefault="004D22AC" w:rsidP="00534766">
      <w:pPr>
        <w:spacing w:line="276" w:lineRule="auto"/>
        <w:jc w:val="both"/>
        <w:rPr>
          <w:rFonts w:ascii="Arial" w:hAnsi="Arial" w:cs="Arial"/>
          <w:b/>
          <w:sz w:val="22"/>
          <w:szCs w:val="22"/>
          <w:lang w:val="es-ES"/>
        </w:rPr>
      </w:pPr>
    </w:p>
    <w:p w14:paraId="3AFB4A92" w14:textId="77777777" w:rsidR="00557C4D" w:rsidRPr="00DD2307" w:rsidRDefault="00557C4D" w:rsidP="00534766">
      <w:pPr>
        <w:spacing w:line="276" w:lineRule="auto"/>
        <w:jc w:val="both"/>
        <w:rPr>
          <w:rFonts w:ascii="Arial" w:hAnsi="Arial" w:cs="Arial"/>
          <w:b/>
          <w:sz w:val="22"/>
          <w:szCs w:val="22"/>
          <w:lang w:val="es-ES"/>
        </w:rPr>
      </w:pPr>
      <w:r w:rsidRPr="00DD2307">
        <w:rPr>
          <w:rFonts w:ascii="Arial" w:hAnsi="Arial" w:cs="Arial"/>
          <w:b/>
          <w:sz w:val="22"/>
          <w:szCs w:val="22"/>
          <w:lang w:val="es-ES"/>
        </w:rPr>
        <w:t xml:space="preserve">Perfil del consultor: </w:t>
      </w:r>
    </w:p>
    <w:p w14:paraId="55689084"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Maestría</w:t>
      </w:r>
      <w:r w:rsidR="00B01543" w:rsidRPr="00DD2307">
        <w:rPr>
          <w:rFonts w:ascii="Arial" w:hAnsi="Arial" w:cs="Arial"/>
          <w:sz w:val="22"/>
          <w:szCs w:val="22"/>
          <w:lang w:val="es-ES"/>
        </w:rPr>
        <w:t xml:space="preserve"> (cuarto nivel)</w:t>
      </w:r>
      <w:r w:rsidRPr="00DD2307">
        <w:rPr>
          <w:rFonts w:ascii="Arial" w:hAnsi="Arial" w:cs="Arial"/>
          <w:sz w:val="22"/>
          <w:szCs w:val="22"/>
          <w:lang w:val="es-ES"/>
        </w:rPr>
        <w:t>.</w:t>
      </w:r>
    </w:p>
    <w:p w14:paraId="277CEAC0"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 xml:space="preserve">Al menos 5 años de experiencia relevante en materia de evaluación económica de programas financiados con recursos de cooperación multilateral y/o bilateral. </w:t>
      </w:r>
    </w:p>
    <w:p w14:paraId="7E469692" w14:textId="77777777" w:rsidR="001B16C0" w:rsidRPr="00DD2307" w:rsidRDefault="001B16C0" w:rsidP="00534766">
      <w:pPr>
        <w:spacing w:line="276" w:lineRule="auto"/>
        <w:jc w:val="both"/>
        <w:rPr>
          <w:rFonts w:ascii="Arial" w:hAnsi="Arial" w:cs="Arial"/>
          <w:b/>
          <w:sz w:val="22"/>
          <w:szCs w:val="22"/>
          <w:lang w:val="es-ES"/>
        </w:rPr>
      </w:pPr>
    </w:p>
    <w:p w14:paraId="750B6289" w14:textId="77777777" w:rsidR="00557C4D" w:rsidRPr="00DD2307" w:rsidRDefault="00557C4D" w:rsidP="00534766">
      <w:pPr>
        <w:spacing w:line="276" w:lineRule="auto"/>
        <w:jc w:val="both"/>
        <w:rPr>
          <w:rFonts w:ascii="Arial" w:hAnsi="Arial" w:cs="Arial"/>
          <w:sz w:val="22"/>
          <w:szCs w:val="22"/>
          <w:lang w:val="es-ES"/>
        </w:rPr>
      </w:pPr>
      <w:r w:rsidRPr="00DD2307">
        <w:rPr>
          <w:rFonts w:ascii="Arial" w:hAnsi="Arial" w:cs="Arial"/>
          <w:b/>
          <w:sz w:val="22"/>
          <w:szCs w:val="22"/>
          <w:lang w:val="es-ES"/>
        </w:rPr>
        <w:t>Lugar de Trabajo:</w:t>
      </w:r>
      <w:r w:rsidRPr="00DD2307">
        <w:rPr>
          <w:rFonts w:ascii="Arial" w:hAnsi="Arial" w:cs="Arial"/>
          <w:sz w:val="22"/>
          <w:szCs w:val="22"/>
          <w:lang w:val="es-ES"/>
        </w:rPr>
        <w:t xml:space="preserve"> </w:t>
      </w:r>
      <w:r w:rsidR="0092592E" w:rsidRPr="00DD2307">
        <w:rPr>
          <w:rFonts w:ascii="Arial" w:hAnsi="Arial" w:cs="Arial"/>
          <w:sz w:val="22"/>
          <w:szCs w:val="22"/>
          <w:lang w:val="es-ES"/>
        </w:rPr>
        <w:t>Quito, Ecuador</w:t>
      </w:r>
      <w:r w:rsidRPr="00DD2307">
        <w:rPr>
          <w:rFonts w:ascii="Arial" w:hAnsi="Arial" w:cs="Arial"/>
          <w:sz w:val="22"/>
          <w:szCs w:val="22"/>
          <w:lang w:val="es-ES"/>
        </w:rPr>
        <w:t>, local de residencia del consultor.</w:t>
      </w:r>
    </w:p>
    <w:p w14:paraId="50D01994" w14:textId="77777777" w:rsidR="001B16C0" w:rsidRPr="00DD2307" w:rsidRDefault="001B16C0" w:rsidP="00534766">
      <w:pPr>
        <w:spacing w:line="276" w:lineRule="auto"/>
        <w:jc w:val="both"/>
        <w:rPr>
          <w:rFonts w:ascii="Arial" w:hAnsi="Arial" w:cs="Arial"/>
          <w:sz w:val="22"/>
          <w:szCs w:val="22"/>
          <w:lang w:val="es-ES"/>
        </w:rPr>
      </w:pPr>
    </w:p>
    <w:p w14:paraId="5A722DB0" w14:textId="77777777" w:rsidR="00557C4D" w:rsidRPr="00DD2307" w:rsidRDefault="00557C4D" w:rsidP="00A06DD5">
      <w:pPr>
        <w:pStyle w:val="ColorfulList-Accent12"/>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Condiciones de Pago</w:t>
      </w:r>
    </w:p>
    <w:p w14:paraId="694F9A7E" w14:textId="77777777" w:rsidR="00557C4D" w:rsidRPr="00DD2307" w:rsidRDefault="00557C4D" w:rsidP="00534766">
      <w:pPr>
        <w:pStyle w:val="Paragraph"/>
        <w:widowControl w:val="0"/>
        <w:tabs>
          <w:tab w:val="clear" w:pos="720"/>
        </w:tabs>
        <w:spacing w:before="0" w:after="0" w:line="276" w:lineRule="auto"/>
        <w:ind w:left="0" w:firstLine="0"/>
        <w:rPr>
          <w:rFonts w:ascii="Arial" w:hAnsi="Arial" w:cs="Arial"/>
          <w:bCs/>
          <w:sz w:val="22"/>
          <w:lang w:val="es-ES"/>
        </w:rPr>
      </w:pPr>
      <w:r w:rsidRPr="00DD2307">
        <w:rPr>
          <w:rFonts w:ascii="Arial" w:hAnsi="Arial" w:cs="Arial"/>
          <w:bCs/>
          <w:sz w:val="22"/>
          <w:lang w:val="es-ES"/>
        </w:rPr>
        <w:t xml:space="preserve">Los pagos al </w:t>
      </w:r>
      <w:r w:rsidRPr="00DD2307">
        <w:rPr>
          <w:rFonts w:ascii="Arial" w:hAnsi="Arial" w:cs="Arial"/>
          <w:sz w:val="22"/>
          <w:lang w:val="es-ES"/>
        </w:rPr>
        <w:t>consultor</w:t>
      </w:r>
      <w:r w:rsidRPr="00DD2307">
        <w:rPr>
          <w:rFonts w:ascii="Arial" w:hAnsi="Arial" w:cs="Arial"/>
          <w:bCs/>
          <w:sz w:val="22"/>
          <w:lang w:val="es-ES"/>
        </w:rPr>
        <w:t xml:space="preserve"> individual se realizarán de la siguiente manera:</w:t>
      </w:r>
    </w:p>
    <w:p w14:paraId="2DE6C0A5"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primer pago de 30% a la firma del contrato y entrega del plan de trabajo.</w:t>
      </w:r>
    </w:p>
    <w:p w14:paraId="087950DD"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segundo pago de 50% a la entrega y aprobación del informe intermedio a satisfacción del banco/UE.</w:t>
      </w:r>
    </w:p>
    <w:p w14:paraId="311FD65F" w14:textId="77777777" w:rsidR="00557C4D" w:rsidRPr="00DD2307" w:rsidRDefault="00557C4D" w:rsidP="00A06DD5">
      <w:pPr>
        <w:numPr>
          <w:ilvl w:val="0"/>
          <w:numId w:val="12"/>
        </w:numPr>
        <w:tabs>
          <w:tab w:val="clear" w:pos="1440"/>
        </w:tabs>
        <w:spacing w:line="276" w:lineRule="auto"/>
        <w:ind w:left="720"/>
        <w:jc w:val="both"/>
        <w:rPr>
          <w:rFonts w:ascii="Arial" w:hAnsi="Arial" w:cs="Arial"/>
          <w:sz w:val="22"/>
          <w:szCs w:val="22"/>
          <w:lang w:val="es-ES"/>
        </w:rPr>
      </w:pPr>
      <w:r w:rsidRPr="00DD2307">
        <w:rPr>
          <w:rFonts w:ascii="Arial" w:hAnsi="Arial" w:cs="Arial"/>
          <w:sz w:val="22"/>
          <w:szCs w:val="22"/>
          <w:lang w:val="es-ES"/>
        </w:rPr>
        <w:t>Un pago final de 20% a la entrega y aprobación del informe final a satisfacción del Banco/UE.</w:t>
      </w:r>
    </w:p>
    <w:p w14:paraId="2D6FDB2C" w14:textId="77777777" w:rsidR="00EF7B5C" w:rsidRPr="00DD2307" w:rsidRDefault="00EF7B5C" w:rsidP="00534766">
      <w:pPr>
        <w:spacing w:line="276" w:lineRule="auto"/>
        <w:ind w:left="720"/>
        <w:jc w:val="both"/>
        <w:rPr>
          <w:rFonts w:ascii="Arial" w:hAnsi="Arial" w:cs="Arial"/>
          <w:sz w:val="22"/>
          <w:szCs w:val="22"/>
          <w:lang w:val="es-ES"/>
        </w:rPr>
      </w:pPr>
    </w:p>
    <w:p w14:paraId="3737E699" w14:textId="77777777" w:rsidR="00557C4D" w:rsidRPr="00DD2307" w:rsidRDefault="00557C4D" w:rsidP="00A06DD5">
      <w:pPr>
        <w:pStyle w:val="ColorfulList-Accent12"/>
        <w:numPr>
          <w:ilvl w:val="0"/>
          <w:numId w:val="15"/>
        </w:numPr>
        <w:spacing w:line="276" w:lineRule="auto"/>
        <w:contextualSpacing w:val="0"/>
        <w:jc w:val="both"/>
        <w:rPr>
          <w:rFonts w:ascii="Arial" w:hAnsi="Arial" w:cs="Arial"/>
          <w:b/>
          <w:sz w:val="22"/>
          <w:szCs w:val="22"/>
          <w:lang w:val="es-ES"/>
        </w:rPr>
      </w:pPr>
      <w:r w:rsidRPr="00DD2307">
        <w:rPr>
          <w:rFonts w:ascii="Arial" w:hAnsi="Arial" w:cs="Arial"/>
          <w:b/>
          <w:sz w:val="22"/>
          <w:szCs w:val="22"/>
          <w:lang w:val="es-ES"/>
        </w:rPr>
        <w:t>Supervisión o Coordinación</w:t>
      </w:r>
    </w:p>
    <w:p w14:paraId="76965D96" w14:textId="77777777" w:rsidR="00557C4D" w:rsidRPr="00DD2307" w:rsidRDefault="00557C4D" w:rsidP="00534766">
      <w:pPr>
        <w:tabs>
          <w:tab w:val="center" w:pos="4680"/>
        </w:tabs>
        <w:spacing w:line="276" w:lineRule="auto"/>
        <w:ind w:left="360"/>
        <w:jc w:val="both"/>
        <w:rPr>
          <w:rFonts w:ascii="Arial" w:hAnsi="Arial" w:cs="Arial"/>
          <w:bCs/>
          <w:sz w:val="22"/>
          <w:szCs w:val="22"/>
          <w:lang w:val="es-ES"/>
        </w:rPr>
      </w:pPr>
      <w:r w:rsidRPr="00DD2307">
        <w:rPr>
          <w:rFonts w:ascii="Arial" w:hAnsi="Arial" w:cs="Arial"/>
          <w:bCs/>
          <w:sz w:val="22"/>
          <w:szCs w:val="22"/>
          <w:lang w:val="es-ES"/>
        </w:rPr>
        <w:t xml:space="preserve">La coordinación de </w:t>
      </w:r>
      <w:r w:rsidRPr="00DD2307">
        <w:rPr>
          <w:rFonts w:ascii="Arial" w:hAnsi="Arial" w:cs="Arial"/>
          <w:sz w:val="22"/>
          <w:szCs w:val="22"/>
          <w:lang w:val="es-ES"/>
        </w:rPr>
        <w:t>la</w:t>
      </w:r>
      <w:r w:rsidRPr="00DD2307">
        <w:rPr>
          <w:rFonts w:ascii="Arial" w:hAnsi="Arial" w:cs="Arial"/>
          <w:bCs/>
          <w:sz w:val="22"/>
          <w:szCs w:val="22"/>
          <w:lang w:val="es-ES"/>
        </w:rPr>
        <w:t xml:space="preserve"> consultoría estará a cargo de Juan Luis Gómez (FMM/CEC), Jefe de Equipo del </w:t>
      </w:r>
      <w:r w:rsidR="00DF4118" w:rsidRPr="00DD2307">
        <w:rPr>
          <w:rFonts w:ascii="Arial" w:hAnsi="Arial" w:cs="Arial"/>
          <w:bCs/>
          <w:sz w:val="22"/>
          <w:szCs w:val="22"/>
          <w:lang w:val="es-ES"/>
        </w:rPr>
        <w:t>p</w:t>
      </w:r>
      <w:r w:rsidRPr="00DD2307">
        <w:rPr>
          <w:rFonts w:ascii="Arial" w:hAnsi="Arial" w:cs="Arial"/>
          <w:bCs/>
          <w:sz w:val="22"/>
          <w:szCs w:val="22"/>
          <w:lang w:val="es-ES"/>
        </w:rPr>
        <w:t xml:space="preserve">rograma, en coordinación con la UP. </w:t>
      </w:r>
    </w:p>
    <w:p w14:paraId="019133D0" w14:textId="77777777" w:rsidR="00557C4D" w:rsidRPr="00DD2307" w:rsidRDefault="00557C4D" w:rsidP="00534766">
      <w:pPr>
        <w:spacing w:line="276" w:lineRule="auto"/>
        <w:jc w:val="both"/>
        <w:rPr>
          <w:rFonts w:ascii="Arial" w:hAnsi="Arial" w:cs="Arial"/>
          <w:bCs/>
          <w:sz w:val="22"/>
          <w:szCs w:val="22"/>
          <w:lang w:val="es-ES"/>
        </w:rPr>
      </w:pPr>
    </w:p>
    <w:p w14:paraId="3A7D70D4" w14:textId="77777777" w:rsidR="00557C4D" w:rsidRPr="00DD2307" w:rsidRDefault="00557C4D" w:rsidP="00534766">
      <w:pPr>
        <w:pStyle w:val="Heading4"/>
        <w:numPr>
          <w:ilvl w:val="0"/>
          <w:numId w:val="0"/>
        </w:numPr>
        <w:spacing w:before="0" w:after="0" w:line="276" w:lineRule="auto"/>
        <w:ind w:left="1170"/>
        <w:rPr>
          <w:rFonts w:ascii="Arial" w:eastAsia="Calibri" w:hAnsi="Arial" w:cs="Arial"/>
          <w:sz w:val="22"/>
          <w:szCs w:val="22"/>
          <w:lang w:val="es-ES"/>
        </w:rPr>
      </w:pPr>
    </w:p>
    <w:p w14:paraId="795E4CAE" w14:textId="77777777" w:rsidR="00BA6397" w:rsidRPr="00DD2307" w:rsidRDefault="00BA6397" w:rsidP="00534766">
      <w:pPr>
        <w:spacing w:line="276" w:lineRule="auto"/>
        <w:jc w:val="both"/>
        <w:rPr>
          <w:rFonts w:ascii="Arial" w:hAnsi="Arial" w:cs="Arial"/>
          <w:b/>
          <w:color w:val="000000"/>
          <w:sz w:val="22"/>
          <w:szCs w:val="22"/>
          <w:lang w:val="es-ES"/>
        </w:rPr>
      </w:pPr>
    </w:p>
    <w:sectPr w:rsidR="00BA6397" w:rsidRPr="00DD2307" w:rsidSect="00D64377">
      <w:footerReference w:type="default" r:id="rId18"/>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3803F" w14:textId="77777777" w:rsidR="00414F4C" w:rsidRDefault="00414F4C" w:rsidP="001B5186">
      <w:r>
        <w:separator/>
      </w:r>
    </w:p>
  </w:endnote>
  <w:endnote w:type="continuationSeparator" w:id="0">
    <w:p w14:paraId="1D18FE8D" w14:textId="77777777" w:rsidR="00414F4C" w:rsidRDefault="00414F4C" w:rsidP="001B5186">
      <w:r>
        <w:continuationSeparator/>
      </w:r>
    </w:p>
  </w:endnote>
  <w:endnote w:type="continuationNotice" w:id="1">
    <w:p w14:paraId="4EA9A1AD" w14:textId="77777777" w:rsidR="00414F4C" w:rsidRDefault="00414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1A38" w14:textId="77777777" w:rsidR="00FA481D" w:rsidRDefault="00FA481D"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099EBA" w14:textId="77777777" w:rsidR="00FA481D" w:rsidRDefault="00FA481D"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D3441" w14:textId="77777777" w:rsidR="00FA481D" w:rsidRPr="008D0059" w:rsidRDefault="00FA481D">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54</w:t>
    </w:r>
    <w:r w:rsidRPr="008D0059">
      <w:rPr>
        <w:rFonts w:ascii="Arial" w:hAnsi="Arial" w:cs="Arial"/>
        <w:noProof/>
        <w:sz w:val="22"/>
        <w:szCs w:val="22"/>
      </w:rPr>
      <w:fldChar w:fldCharType="end"/>
    </w:r>
    <w:r w:rsidRPr="008D0059">
      <w:rPr>
        <w:rFonts w:ascii="Arial" w:hAnsi="Arial" w:cs="Arial"/>
        <w:sz w:val="22"/>
        <w:szCs w:val="22"/>
      </w:rPr>
      <w:t>-</w:t>
    </w:r>
  </w:p>
  <w:p w14:paraId="1F4A6547" w14:textId="77777777" w:rsidR="00FA481D" w:rsidRDefault="00FA481D">
    <w:pPr>
      <w:pStyle w:val="Footer"/>
      <w:jc w:val="center"/>
    </w:pPr>
  </w:p>
  <w:p w14:paraId="041C0919" w14:textId="77777777" w:rsidR="00FA481D" w:rsidRDefault="00FA481D" w:rsidP="00077FB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53FAF" w14:textId="77777777" w:rsidR="00FA481D" w:rsidRDefault="00FA4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987C6" w14:textId="77777777" w:rsidR="00414F4C" w:rsidRDefault="00414F4C" w:rsidP="001B5186">
      <w:r>
        <w:separator/>
      </w:r>
    </w:p>
  </w:footnote>
  <w:footnote w:type="continuationSeparator" w:id="0">
    <w:p w14:paraId="63588401" w14:textId="77777777" w:rsidR="00414F4C" w:rsidRDefault="00414F4C" w:rsidP="001B5186">
      <w:r>
        <w:continuationSeparator/>
      </w:r>
    </w:p>
  </w:footnote>
  <w:footnote w:type="continuationNotice" w:id="1">
    <w:p w14:paraId="3481AC63" w14:textId="77777777" w:rsidR="00414F4C" w:rsidRDefault="00414F4C"/>
  </w:footnote>
  <w:footnote w:id="2">
    <w:p w14:paraId="414DB57D" w14:textId="77777777" w:rsidR="00FA481D" w:rsidRPr="00FC7E53" w:rsidRDefault="00FA481D" w:rsidP="000B055D">
      <w:pPr>
        <w:pStyle w:val="FootnoteText"/>
        <w:spacing w:after="0"/>
        <w:contextualSpacing/>
        <w:rPr>
          <w:rFonts w:ascii="Arial" w:hAnsi="Arial" w:cs="Arial"/>
          <w:sz w:val="18"/>
          <w:szCs w:val="18"/>
        </w:rPr>
      </w:pPr>
      <w:r w:rsidRPr="00FC7E53">
        <w:rPr>
          <w:rStyle w:val="FootnoteReference"/>
          <w:rFonts w:ascii="Arial" w:hAnsi="Arial" w:cs="Arial"/>
          <w:sz w:val="18"/>
          <w:szCs w:val="18"/>
        </w:rPr>
        <w:footnoteRef/>
      </w:r>
      <w:r w:rsidRPr="00FC7E53">
        <w:rPr>
          <w:rFonts w:ascii="Arial" w:hAnsi="Arial" w:cs="Arial"/>
          <w:sz w:val="18"/>
          <w:szCs w:val="18"/>
        </w:rPr>
        <w:t xml:space="preserve"> </w:t>
      </w:r>
      <w:r>
        <w:rPr>
          <w:rFonts w:ascii="Arial" w:hAnsi="Arial" w:cs="Arial"/>
          <w:sz w:val="18"/>
          <w:szCs w:val="18"/>
        </w:rPr>
        <w:tab/>
      </w:r>
      <w:r w:rsidRPr="00FC7E53">
        <w:rPr>
          <w:rFonts w:ascii="Arial" w:hAnsi="Arial" w:cs="Arial"/>
          <w:sz w:val="18"/>
          <w:szCs w:val="18"/>
        </w:rPr>
        <w:t xml:space="preserve">La propuesta de reforma de la LOEP </w:t>
      </w:r>
      <w:r w:rsidRPr="00FC7E53">
        <w:rPr>
          <w:rFonts w:ascii="Arial" w:hAnsi="Arial" w:cs="Arial"/>
          <w:sz w:val="18"/>
          <w:szCs w:val="18"/>
          <w:lang w:val="es-ES"/>
        </w:rPr>
        <w:t>se apoyará mediante la ATN/OC-17299-EC</w:t>
      </w:r>
      <w:r w:rsidRPr="00FC7E53">
        <w:rPr>
          <w:rFonts w:ascii="Arial" w:hAnsi="Arial" w:cs="Arial"/>
          <w:sz w:val="18"/>
          <w:szCs w:val="18"/>
        </w:rPr>
        <w:t>.</w:t>
      </w:r>
    </w:p>
  </w:footnote>
  <w:footnote w:id="3">
    <w:p w14:paraId="5D3856D9" w14:textId="77777777" w:rsidR="00FA481D" w:rsidRPr="00FC7E53" w:rsidRDefault="00FA481D" w:rsidP="000B055D">
      <w:pPr>
        <w:pStyle w:val="FootnoteText"/>
        <w:spacing w:after="0"/>
        <w:contextualSpacing/>
        <w:rPr>
          <w:rFonts w:ascii="Arial" w:hAnsi="Arial" w:cs="Arial"/>
          <w:sz w:val="18"/>
          <w:szCs w:val="18"/>
        </w:rPr>
      </w:pPr>
      <w:r w:rsidRPr="00FC7E53">
        <w:rPr>
          <w:rStyle w:val="FootnoteReference"/>
          <w:rFonts w:ascii="Arial" w:hAnsi="Arial" w:cs="Arial"/>
          <w:sz w:val="18"/>
          <w:szCs w:val="18"/>
        </w:rPr>
        <w:footnoteRef/>
      </w:r>
      <w:r w:rsidRPr="00FC7E53">
        <w:rPr>
          <w:rFonts w:ascii="Arial" w:hAnsi="Arial" w:cs="Arial"/>
          <w:sz w:val="18"/>
          <w:szCs w:val="18"/>
        </w:rPr>
        <w:t xml:space="preserve"> </w:t>
      </w:r>
      <w:r w:rsidRPr="00FC7E53">
        <w:rPr>
          <w:rFonts w:ascii="Arial" w:hAnsi="Arial" w:cs="Arial"/>
          <w:sz w:val="18"/>
          <w:szCs w:val="18"/>
        </w:rPr>
        <w:tab/>
        <w:t xml:space="preserve">Según directrices de la </w:t>
      </w:r>
      <w:r w:rsidRPr="00FC7E53">
        <w:rPr>
          <w:rFonts w:ascii="Arial" w:hAnsi="Arial" w:cs="Arial"/>
          <w:sz w:val="18"/>
          <w:szCs w:val="18"/>
        </w:rPr>
        <w:fldChar w:fldCharType="begin"/>
      </w:r>
      <w:r w:rsidRPr="00FC7E53">
        <w:rPr>
          <w:rFonts w:ascii="Arial" w:hAnsi="Arial" w:cs="Arial"/>
          <w:sz w:val="18"/>
          <w:szCs w:val="18"/>
        </w:rPr>
        <w:instrText xml:space="preserve"> ADDIN EN.CITE &lt;EndNote&gt;&lt;Cite&gt;&lt;Author&gt;OECD&lt;/Author&gt;&lt;Year&gt;2016&lt;/Year&gt;&lt;RecNum&gt;5&lt;/RecNum&gt;&lt;DisplayText&gt;OECD 2016&lt;/DisplayText&gt;&lt;record&gt;&lt;rec-number&gt;5&lt;/rec-number&gt;&lt;foreign-keys&gt;&lt;key app="EN" db-id="02zxxw05urrpste9z5uxf0fhatp05e0spft0" timestamp="1536678685"&gt;5&lt;/key&gt;&lt;/foreign-keys&gt;&lt;ref-type name="Book"&gt;6&lt;/ref-type&gt;&lt;contributors&gt;&lt;authors&gt;&lt;author&gt;OECD&lt;/author&gt;&lt;/authors&gt;&lt;/contributors&gt;&lt;titles&gt;&lt;title&gt;Directrices de la OCDE sobre el Gobierno Corporativo de las Empresas Públicas -Edición 2015&lt;/title&gt;&lt;/titles&gt;&lt;dates&gt;&lt;year&gt;2016&lt;/year&gt;&lt;/dates&gt;&lt;pub-location&gt;Paris&lt;/pub-location&gt;&lt;publisher&gt;Éditions OCDE&lt;/publisher&gt;&lt;urls&gt;&lt;/urls&gt;&lt;/record&gt;&lt;/Cite&gt;&lt;/EndNote&gt;</w:instrText>
      </w:r>
      <w:r w:rsidRPr="00FC7E53">
        <w:rPr>
          <w:rFonts w:ascii="Arial" w:hAnsi="Arial" w:cs="Arial"/>
          <w:sz w:val="18"/>
          <w:szCs w:val="18"/>
        </w:rPr>
        <w:fldChar w:fldCharType="separate"/>
      </w:r>
      <w:r w:rsidRPr="00FC7E53">
        <w:rPr>
          <w:rFonts w:ascii="Arial" w:hAnsi="Arial" w:cs="Arial"/>
          <w:sz w:val="18"/>
          <w:szCs w:val="18"/>
        </w:rPr>
        <w:t>OCD</w:t>
      </w:r>
      <w:r>
        <w:rPr>
          <w:rFonts w:ascii="Arial" w:hAnsi="Arial" w:cs="Arial"/>
          <w:sz w:val="18"/>
          <w:szCs w:val="18"/>
        </w:rPr>
        <w:t>E</w:t>
      </w:r>
      <w:r w:rsidRPr="00FC7E53">
        <w:rPr>
          <w:rFonts w:ascii="Arial" w:hAnsi="Arial" w:cs="Arial"/>
          <w:sz w:val="18"/>
          <w:szCs w:val="18"/>
        </w:rPr>
        <w:t xml:space="preserve"> 2016</w:t>
      </w:r>
      <w:r w:rsidRPr="00FC7E53">
        <w:rPr>
          <w:rFonts w:ascii="Arial" w:hAnsi="Arial" w:cs="Arial"/>
          <w:sz w:val="18"/>
          <w:szCs w:val="18"/>
        </w:rPr>
        <w:fldChar w:fldCharType="end"/>
      </w:r>
      <w:r w:rsidRPr="00FC7E53">
        <w:rPr>
          <w:rFonts w:ascii="Arial" w:hAnsi="Arial" w:cs="Arial"/>
          <w:spacing w:val="0"/>
          <w:sz w:val="18"/>
          <w:szCs w:val="18"/>
        </w:rPr>
        <w:t xml:space="preserve"> </w:t>
      </w:r>
      <w:r w:rsidRPr="00FC7E53">
        <w:rPr>
          <w:rFonts w:ascii="Arial" w:hAnsi="Arial" w:cs="Arial"/>
          <w:sz w:val="18"/>
          <w:szCs w:val="18"/>
        </w:rPr>
        <w:t xml:space="preserve">sobre </w:t>
      </w:r>
      <w:r>
        <w:rPr>
          <w:rFonts w:ascii="Arial" w:hAnsi="Arial" w:cs="Arial"/>
          <w:sz w:val="18"/>
          <w:szCs w:val="18"/>
        </w:rPr>
        <w:t>gobierno</w:t>
      </w:r>
      <w:r w:rsidRPr="00FC7E53">
        <w:rPr>
          <w:rFonts w:ascii="Arial" w:hAnsi="Arial" w:cs="Arial"/>
          <w:sz w:val="18"/>
          <w:szCs w:val="18"/>
        </w:rPr>
        <w:t xml:space="preserve"> </w:t>
      </w:r>
      <w:r>
        <w:rPr>
          <w:rFonts w:ascii="Arial" w:hAnsi="Arial" w:cs="Arial"/>
          <w:sz w:val="18"/>
          <w:szCs w:val="18"/>
        </w:rPr>
        <w:t>c</w:t>
      </w:r>
      <w:r w:rsidRPr="00FC7E53">
        <w:rPr>
          <w:rFonts w:ascii="Arial" w:hAnsi="Arial" w:cs="Arial"/>
          <w:sz w:val="18"/>
          <w:szCs w:val="18"/>
        </w:rPr>
        <w:t xml:space="preserve">orporativo de EEPP. </w:t>
      </w:r>
    </w:p>
  </w:footnote>
  <w:footnote w:id="4">
    <w:p w14:paraId="5568A5E3" w14:textId="77777777" w:rsidR="00FA481D" w:rsidRPr="00FC7E53" w:rsidRDefault="00FA481D" w:rsidP="000B055D">
      <w:pPr>
        <w:pStyle w:val="FootnoteText"/>
        <w:spacing w:after="0"/>
        <w:contextualSpacing/>
        <w:rPr>
          <w:rFonts w:ascii="Arial" w:hAnsi="Arial" w:cs="Arial"/>
          <w:sz w:val="18"/>
          <w:szCs w:val="18"/>
        </w:rPr>
      </w:pPr>
      <w:r w:rsidRPr="00FC7E53">
        <w:rPr>
          <w:rStyle w:val="FootnoteReference"/>
          <w:rFonts w:ascii="Arial" w:hAnsi="Arial" w:cs="Arial"/>
          <w:sz w:val="18"/>
          <w:szCs w:val="18"/>
        </w:rPr>
        <w:footnoteRef/>
      </w:r>
      <w:r w:rsidRPr="00FC7E53">
        <w:rPr>
          <w:rFonts w:ascii="Arial" w:hAnsi="Arial" w:cs="Arial"/>
          <w:sz w:val="18"/>
          <w:szCs w:val="18"/>
        </w:rPr>
        <w:t xml:space="preserve"> </w:t>
      </w:r>
      <w:r w:rsidRPr="00FC7E53">
        <w:rPr>
          <w:rFonts w:ascii="Arial" w:hAnsi="Arial" w:cs="Arial"/>
          <w:sz w:val="18"/>
          <w:szCs w:val="18"/>
        </w:rPr>
        <w:tab/>
        <w:t xml:space="preserve">Medidas incluyen: </w:t>
      </w:r>
      <w:r>
        <w:rPr>
          <w:rFonts w:ascii="Arial" w:hAnsi="Arial" w:cs="Arial"/>
          <w:sz w:val="18"/>
          <w:szCs w:val="18"/>
        </w:rPr>
        <w:t>(</w:t>
      </w:r>
      <w:r w:rsidRPr="00FC7E53">
        <w:rPr>
          <w:rFonts w:ascii="Arial" w:hAnsi="Arial" w:cs="Arial"/>
          <w:sz w:val="18"/>
          <w:szCs w:val="18"/>
        </w:rPr>
        <w:t>a) mejora de la gober</w:t>
      </w:r>
      <w:r>
        <w:rPr>
          <w:rFonts w:ascii="Arial" w:hAnsi="Arial" w:cs="Arial"/>
          <w:sz w:val="18"/>
          <w:szCs w:val="18"/>
        </w:rPr>
        <w:t>nan</w:t>
      </w:r>
      <w:r w:rsidRPr="00FC7E53">
        <w:rPr>
          <w:rFonts w:ascii="Arial" w:hAnsi="Arial" w:cs="Arial"/>
          <w:sz w:val="18"/>
          <w:szCs w:val="18"/>
        </w:rPr>
        <w:t xml:space="preserve">za corporativa; </w:t>
      </w:r>
      <w:r>
        <w:rPr>
          <w:rFonts w:ascii="Arial" w:hAnsi="Arial" w:cs="Arial"/>
          <w:sz w:val="18"/>
          <w:szCs w:val="18"/>
        </w:rPr>
        <w:t>(</w:t>
      </w:r>
      <w:r w:rsidRPr="00FC7E53">
        <w:rPr>
          <w:rFonts w:ascii="Arial" w:hAnsi="Arial" w:cs="Arial"/>
          <w:sz w:val="18"/>
          <w:szCs w:val="18"/>
        </w:rPr>
        <w:t>b)</w:t>
      </w:r>
      <w:r>
        <w:rPr>
          <w:rFonts w:ascii="Arial" w:hAnsi="Arial" w:cs="Arial"/>
          <w:sz w:val="18"/>
          <w:szCs w:val="18"/>
        </w:rPr>
        <w:t> </w:t>
      </w:r>
      <w:r w:rsidRPr="00FC7E53">
        <w:rPr>
          <w:rFonts w:ascii="Arial" w:hAnsi="Arial" w:cs="Arial"/>
          <w:sz w:val="18"/>
          <w:szCs w:val="18"/>
        </w:rPr>
        <w:t xml:space="preserve">régimen fiscal homogéneo con las empresas del sector privado, y; </w:t>
      </w:r>
      <w:r>
        <w:rPr>
          <w:rFonts w:ascii="Arial" w:hAnsi="Arial" w:cs="Arial"/>
          <w:sz w:val="18"/>
          <w:szCs w:val="18"/>
        </w:rPr>
        <w:t>(</w:t>
      </w:r>
      <w:r w:rsidRPr="00FC7E53">
        <w:rPr>
          <w:rFonts w:ascii="Arial" w:hAnsi="Arial" w:cs="Arial"/>
          <w:sz w:val="18"/>
          <w:szCs w:val="18"/>
        </w:rPr>
        <w:t>c) requerimientos de transparencia y rendición de cuentas.</w:t>
      </w:r>
    </w:p>
  </w:footnote>
  <w:footnote w:id="5">
    <w:p w14:paraId="2AB0D440" w14:textId="77777777" w:rsidR="00FA481D" w:rsidRPr="00FC7E53" w:rsidRDefault="00FA481D" w:rsidP="000B055D">
      <w:pPr>
        <w:pStyle w:val="FootnoteText"/>
        <w:spacing w:after="0"/>
        <w:contextualSpacing/>
        <w:rPr>
          <w:rFonts w:ascii="Arial" w:hAnsi="Arial" w:cs="Arial"/>
          <w:sz w:val="18"/>
          <w:szCs w:val="18"/>
        </w:rPr>
      </w:pPr>
      <w:r w:rsidRPr="00FC7E53">
        <w:rPr>
          <w:rStyle w:val="FootnoteReference"/>
          <w:rFonts w:ascii="Arial" w:hAnsi="Arial" w:cs="Arial"/>
          <w:sz w:val="18"/>
          <w:szCs w:val="18"/>
        </w:rPr>
        <w:footnoteRef/>
      </w:r>
      <w:r w:rsidRPr="00FC7E53">
        <w:rPr>
          <w:rFonts w:ascii="Arial" w:hAnsi="Arial" w:cs="Arial"/>
          <w:sz w:val="18"/>
          <w:szCs w:val="18"/>
        </w:rPr>
        <w:t xml:space="preserve"> </w:t>
      </w:r>
      <w:r>
        <w:rPr>
          <w:rFonts w:ascii="Arial" w:hAnsi="Arial" w:cs="Arial"/>
          <w:sz w:val="18"/>
          <w:szCs w:val="18"/>
        </w:rPr>
        <w:tab/>
      </w:r>
      <w:r w:rsidRPr="00FC7E53">
        <w:rPr>
          <w:rFonts w:ascii="Arial" w:hAnsi="Arial" w:cs="Arial"/>
          <w:sz w:val="18"/>
          <w:szCs w:val="18"/>
          <w:lang w:val="es-ES"/>
        </w:rPr>
        <w:t xml:space="preserve">El diseño </w:t>
      </w:r>
      <w:r w:rsidRPr="00FC7E53">
        <w:rPr>
          <w:rFonts w:ascii="Arial" w:hAnsi="Arial" w:cs="Arial"/>
          <w:sz w:val="18"/>
          <w:szCs w:val="18"/>
        </w:rPr>
        <w:t xml:space="preserve">del régimen de gobernanza fiscal y del régimen fiscal especifico de las empresas en sector hidrocarburos se apoyará mediante la </w:t>
      </w:r>
      <w:r w:rsidRPr="009B2848">
        <w:rPr>
          <w:rFonts w:ascii="Arial" w:hAnsi="Arial" w:cs="Arial"/>
          <w:bCs/>
          <w:sz w:val="18"/>
          <w:szCs w:val="18"/>
          <w:lang w:val="es-ES"/>
        </w:rPr>
        <w:t>ATN/OC-17299-EC</w:t>
      </w:r>
      <w:r w:rsidRPr="00FC7E53">
        <w:rPr>
          <w:rFonts w:ascii="Arial" w:hAnsi="Arial" w:cs="Arial"/>
          <w:sz w:val="18"/>
          <w:szCs w:val="18"/>
        </w:rPr>
        <w:t>.</w:t>
      </w:r>
    </w:p>
  </w:footnote>
  <w:footnote w:id="6">
    <w:p w14:paraId="5CCB6C79" w14:textId="77777777" w:rsidR="00FA481D" w:rsidRPr="00905C69" w:rsidRDefault="00FA481D" w:rsidP="000B055D">
      <w:pPr>
        <w:pStyle w:val="FootnoteText"/>
        <w:spacing w:after="0"/>
        <w:contextualSpacing/>
        <w:rPr>
          <w:rFonts w:ascii="Arial" w:hAnsi="Arial" w:cs="Arial"/>
          <w:sz w:val="18"/>
          <w:szCs w:val="18"/>
        </w:rPr>
      </w:pPr>
      <w:r w:rsidRPr="00905C69">
        <w:rPr>
          <w:rStyle w:val="FootnoteReference"/>
          <w:rFonts w:ascii="Arial" w:hAnsi="Arial" w:cs="Arial"/>
          <w:sz w:val="18"/>
          <w:szCs w:val="18"/>
        </w:rPr>
        <w:footnoteRef/>
      </w:r>
      <w:r w:rsidRPr="00905C69">
        <w:rPr>
          <w:rFonts w:ascii="Arial" w:hAnsi="Arial" w:cs="Arial"/>
          <w:sz w:val="18"/>
          <w:szCs w:val="18"/>
        </w:rPr>
        <w:t xml:space="preserve"> </w:t>
      </w:r>
      <w:r>
        <w:rPr>
          <w:rFonts w:ascii="Arial" w:hAnsi="Arial" w:cs="Arial"/>
          <w:sz w:val="18"/>
          <w:szCs w:val="18"/>
        </w:rPr>
        <w:tab/>
      </w:r>
      <w:r w:rsidRPr="00905C69">
        <w:rPr>
          <w:rFonts w:ascii="Arial" w:hAnsi="Arial" w:cs="Arial"/>
          <w:sz w:val="18"/>
          <w:szCs w:val="18"/>
          <w:lang w:val="es-ES"/>
        </w:rPr>
        <w:t xml:space="preserve">El diseño de </w:t>
      </w:r>
      <w:r w:rsidRPr="00905C69">
        <w:rPr>
          <w:rFonts w:ascii="Arial" w:hAnsi="Arial" w:cs="Arial"/>
          <w:sz w:val="18"/>
          <w:szCs w:val="18"/>
        </w:rPr>
        <w:t xml:space="preserve">la nueva entidad de gestión propietaria de EEPP, </w:t>
      </w:r>
      <w:r w:rsidRPr="00905C69">
        <w:rPr>
          <w:rFonts w:ascii="Arial" w:hAnsi="Arial" w:cs="Arial"/>
          <w:sz w:val="18"/>
          <w:szCs w:val="18"/>
          <w:lang w:val="es-ES"/>
        </w:rPr>
        <w:t>se apoyará mediante la ATN/OC-17299-EC</w:t>
      </w:r>
      <w:r w:rsidRPr="00905C69">
        <w:rPr>
          <w:rFonts w:ascii="Arial" w:hAnsi="Arial" w:cs="Arial"/>
          <w:sz w:val="18"/>
          <w:szCs w:val="18"/>
        </w:rPr>
        <w:t>.</w:t>
      </w:r>
    </w:p>
  </w:footnote>
  <w:footnote w:id="7">
    <w:p w14:paraId="030D33E7" w14:textId="77777777" w:rsidR="00FA481D" w:rsidRPr="002913D7" w:rsidRDefault="00FA481D" w:rsidP="00634AD8">
      <w:pPr>
        <w:pStyle w:val="FootnoteText"/>
        <w:spacing w:after="0"/>
        <w:ind w:left="270" w:hanging="270"/>
        <w:contextualSpacing/>
      </w:pPr>
      <w:r w:rsidRPr="005A61AE">
        <w:rPr>
          <w:rStyle w:val="FootnoteReference"/>
          <w:rFonts w:ascii="Arial" w:hAnsi="Arial" w:cs="Arial"/>
          <w:sz w:val="18"/>
          <w:szCs w:val="18"/>
        </w:rPr>
        <w:footnoteRef/>
      </w:r>
      <w:r w:rsidRPr="005A61AE">
        <w:rPr>
          <w:rFonts w:ascii="Arial" w:hAnsi="Arial" w:cs="Arial"/>
          <w:sz w:val="18"/>
          <w:szCs w:val="18"/>
        </w:rPr>
        <w:t xml:space="preserve"> </w:t>
      </w:r>
      <w:r>
        <w:rPr>
          <w:rFonts w:ascii="Arial" w:hAnsi="Arial" w:cs="Arial"/>
          <w:sz w:val="18"/>
          <w:szCs w:val="18"/>
        </w:rPr>
        <w:tab/>
        <w:t>Personal técnico de la DNEP y el MEF, e</w:t>
      </w:r>
      <w:r w:rsidRPr="005A61AE">
        <w:rPr>
          <w:rFonts w:ascii="Arial" w:hAnsi="Arial" w:cs="Arial"/>
          <w:sz w:val="18"/>
          <w:szCs w:val="18"/>
        </w:rPr>
        <w:t>n sector de hidrocarburos</w:t>
      </w:r>
      <w:r>
        <w:rPr>
          <w:rFonts w:ascii="Arial" w:hAnsi="Arial" w:cs="Arial"/>
          <w:sz w:val="18"/>
          <w:szCs w:val="18"/>
        </w:rPr>
        <w:t xml:space="preserve">, </w:t>
      </w:r>
      <w:r w:rsidRPr="005A61AE">
        <w:rPr>
          <w:rFonts w:ascii="Arial" w:hAnsi="Arial" w:cs="Arial"/>
          <w:sz w:val="18"/>
          <w:szCs w:val="18"/>
        </w:rPr>
        <w:t>eléctrico</w:t>
      </w:r>
      <w:r>
        <w:rPr>
          <w:rFonts w:ascii="Arial" w:hAnsi="Arial" w:cs="Arial"/>
          <w:sz w:val="18"/>
          <w:szCs w:val="18"/>
        </w:rPr>
        <w:t xml:space="preserve"> y telecomunicaciones</w:t>
      </w:r>
      <w:r w:rsidRPr="005A61AE">
        <w:rPr>
          <w:rFonts w:ascii="Arial" w:hAnsi="Arial" w:cs="Arial"/>
          <w:sz w:val="18"/>
          <w:szCs w:val="18"/>
        </w:rPr>
        <w:t>.</w:t>
      </w:r>
      <w:r>
        <w:t xml:space="preserve"> </w:t>
      </w:r>
    </w:p>
  </w:footnote>
  <w:footnote w:id="8">
    <w:p w14:paraId="2C8CE582" w14:textId="37B59306" w:rsidR="00FA481D" w:rsidRPr="00D07CDC" w:rsidRDefault="00FA481D" w:rsidP="00634AD8">
      <w:pPr>
        <w:pStyle w:val="FootnoteText"/>
        <w:spacing w:after="0"/>
        <w:contextualSpacing/>
      </w:pPr>
      <w:r>
        <w:rPr>
          <w:rStyle w:val="FootnoteReference"/>
        </w:rPr>
        <w:footnoteRef/>
      </w:r>
      <w:r>
        <w:t xml:space="preserve"> </w:t>
      </w:r>
      <w:r>
        <w:tab/>
      </w:r>
      <w:r w:rsidRPr="00F550E6">
        <w:rPr>
          <w:lang w:val="es-ES"/>
        </w:rPr>
        <w:t>Socialización y capacitación.</w:t>
      </w:r>
    </w:p>
  </w:footnote>
  <w:footnote w:id="9">
    <w:p w14:paraId="344D75BC" w14:textId="77777777" w:rsidR="00FA481D" w:rsidRPr="00544402" w:rsidRDefault="00FA481D">
      <w:pPr>
        <w:pStyle w:val="FootnoteText"/>
        <w:spacing w:after="0"/>
        <w:contextualSpacing/>
        <w:rPr>
          <w:rFonts w:ascii="Arial" w:hAnsi="Arial" w:cs="Arial"/>
          <w:sz w:val="18"/>
          <w:szCs w:val="18"/>
          <w:lang w:val="es-ES"/>
        </w:rPr>
      </w:pPr>
      <w:r w:rsidRPr="00905C69">
        <w:rPr>
          <w:rStyle w:val="FootnoteReference"/>
          <w:rFonts w:ascii="Arial" w:hAnsi="Arial" w:cs="Arial"/>
          <w:sz w:val="18"/>
          <w:szCs w:val="18"/>
        </w:rPr>
        <w:footnoteRef/>
      </w:r>
      <w:r w:rsidRPr="00905C69">
        <w:rPr>
          <w:rFonts w:ascii="Arial" w:hAnsi="Arial" w:cs="Arial"/>
          <w:sz w:val="18"/>
          <w:szCs w:val="18"/>
        </w:rPr>
        <w:t xml:space="preserve"> </w:t>
      </w:r>
      <w:r>
        <w:rPr>
          <w:rFonts w:ascii="Arial" w:hAnsi="Arial" w:cs="Arial"/>
          <w:sz w:val="18"/>
          <w:szCs w:val="18"/>
        </w:rPr>
        <w:tab/>
      </w:r>
      <w:r>
        <w:rPr>
          <w:rFonts w:ascii="Arial" w:hAnsi="Arial" w:cs="Arial"/>
          <w:sz w:val="18"/>
          <w:szCs w:val="18"/>
          <w:lang w:val="es-ES"/>
        </w:rPr>
        <w:t>La fusión</w:t>
      </w:r>
      <w:r w:rsidRPr="00905C69">
        <w:rPr>
          <w:rFonts w:ascii="Arial" w:hAnsi="Arial" w:cs="Arial"/>
          <w:sz w:val="18"/>
          <w:szCs w:val="18"/>
          <w:lang w:val="es-ES"/>
        </w:rPr>
        <w:t xml:space="preserve"> </w:t>
      </w:r>
      <w:r w:rsidRPr="00F550E6">
        <w:rPr>
          <w:rFonts w:ascii="Arial" w:hAnsi="Arial" w:cs="Arial"/>
          <w:sz w:val="18"/>
          <w:szCs w:val="18"/>
          <w:lang w:val="es-ES"/>
        </w:rPr>
        <w:t>requerirá de apoyo legal para adecuar la estrategia propuesta por la firma internacional a la normativa nacional.</w:t>
      </w:r>
      <w:r w:rsidRPr="00905C69">
        <w:rPr>
          <w:rFonts w:ascii="Arial" w:hAnsi="Arial" w:cs="Arial"/>
          <w:sz w:val="18"/>
          <w:szCs w:val="18"/>
          <w:lang w:val="es-ES"/>
        </w:rPr>
        <w:t xml:space="preserve"> </w:t>
      </w:r>
    </w:p>
  </w:footnote>
  <w:footnote w:id="10">
    <w:p w14:paraId="1AAA7F0C" w14:textId="77777777" w:rsidR="00FA481D" w:rsidRPr="00905C69" w:rsidRDefault="00FA481D">
      <w:pPr>
        <w:pStyle w:val="FootnoteText"/>
        <w:spacing w:after="0"/>
        <w:contextualSpacing/>
        <w:rPr>
          <w:rFonts w:ascii="Arial" w:hAnsi="Arial" w:cs="Arial"/>
          <w:sz w:val="18"/>
          <w:szCs w:val="18"/>
        </w:rPr>
      </w:pPr>
      <w:r w:rsidRPr="00905C69">
        <w:rPr>
          <w:rStyle w:val="FootnoteReference"/>
          <w:rFonts w:ascii="Arial" w:hAnsi="Arial" w:cs="Arial"/>
          <w:sz w:val="18"/>
          <w:szCs w:val="18"/>
        </w:rPr>
        <w:footnoteRef/>
      </w:r>
      <w:r w:rsidRPr="00905C69">
        <w:rPr>
          <w:rFonts w:ascii="Arial" w:hAnsi="Arial" w:cs="Arial"/>
          <w:sz w:val="18"/>
          <w:szCs w:val="18"/>
        </w:rPr>
        <w:t xml:space="preserve"> </w:t>
      </w:r>
      <w:r w:rsidRPr="00905C69">
        <w:rPr>
          <w:rFonts w:ascii="Arial" w:hAnsi="Arial" w:cs="Arial"/>
          <w:sz w:val="18"/>
          <w:szCs w:val="18"/>
        </w:rPr>
        <w:tab/>
        <w:t xml:space="preserve">En febrero 2019 se ha comenzado la consultoría. </w:t>
      </w:r>
    </w:p>
  </w:footnote>
  <w:footnote w:id="11">
    <w:p w14:paraId="19D8A95B" w14:textId="77777777" w:rsidR="00FA481D" w:rsidRPr="00875FB8" w:rsidRDefault="00FA481D">
      <w:pPr>
        <w:pStyle w:val="FootnoteText"/>
        <w:spacing w:after="0"/>
        <w:contextualSpacing/>
        <w:rPr>
          <w:rFonts w:ascii="Arial" w:hAnsi="Arial" w:cs="Arial"/>
          <w:sz w:val="18"/>
          <w:szCs w:val="18"/>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r>
      <w:r w:rsidRPr="00875FB8">
        <w:rPr>
          <w:rFonts w:ascii="Arial" w:hAnsi="Arial" w:cs="Arial"/>
          <w:sz w:val="18"/>
          <w:szCs w:val="18"/>
          <w:lang w:val="es-ES"/>
        </w:rPr>
        <w:t>Este gasto cumple con la política “Modernización de políticas y prácticas de restricción al uso de recursos en préstamos de inversión” (GN-2331-5), y con los Parámetros de Financiamiento de País acordados con Ecuador (CP-28273 y anexo IX del GN-2495).</w:t>
      </w:r>
    </w:p>
  </w:footnote>
  <w:footnote w:id="12">
    <w:p w14:paraId="27E5D22A" w14:textId="77777777" w:rsidR="00FA481D" w:rsidRPr="00875FB8" w:rsidRDefault="00FA481D" w:rsidP="00634AD8">
      <w:pPr>
        <w:pStyle w:val="FootnoteText"/>
        <w:spacing w:after="0"/>
        <w:contextualSpacing/>
        <w:rPr>
          <w:rFonts w:ascii="Arial" w:hAnsi="Arial" w:cs="Arial"/>
          <w:sz w:val="18"/>
          <w:szCs w:val="18"/>
          <w:lang w:val="es-ES"/>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r>
      <w:r w:rsidRPr="00875FB8">
        <w:rPr>
          <w:rFonts w:ascii="Arial" w:hAnsi="Arial" w:cs="Arial"/>
          <w:sz w:val="18"/>
          <w:szCs w:val="18"/>
          <w:lang w:val="es-ES"/>
        </w:rPr>
        <w:t>Artículo 81 de la LOSEP, artículo 289 del Reglamento de la LOSEP y el artículo 188 de la Ley de la Seguridad Social (LSS) “Jubilación por edad avanzada”</w:t>
      </w:r>
    </w:p>
  </w:footnote>
  <w:footnote w:id="13">
    <w:p w14:paraId="36BC6163" w14:textId="77777777" w:rsidR="00FA481D" w:rsidRPr="00875FB8" w:rsidRDefault="00FA481D">
      <w:pPr>
        <w:pStyle w:val="FootnoteText"/>
        <w:spacing w:after="0"/>
        <w:contextualSpacing/>
        <w:rPr>
          <w:rFonts w:ascii="Arial" w:hAnsi="Arial" w:cs="Arial"/>
          <w:sz w:val="18"/>
          <w:szCs w:val="18"/>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t>Artículo 186 de LSS “Jubilación por invalidez”.</w:t>
      </w:r>
    </w:p>
  </w:footnote>
  <w:footnote w:id="14">
    <w:p w14:paraId="73F0DB6B" w14:textId="77777777" w:rsidR="00FA481D" w:rsidRPr="00875FB8" w:rsidRDefault="00FA481D">
      <w:pPr>
        <w:pStyle w:val="FootnoteText"/>
        <w:spacing w:after="0"/>
        <w:contextualSpacing/>
        <w:rPr>
          <w:rFonts w:ascii="Arial" w:hAnsi="Arial" w:cs="Arial"/>
          <w:sz w:val="18"/>
          <w:szCs w:val="18"/>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r>
      <w:r w:rsidRPr="00875FB8">
        <w:rPr>
          <w:rFonts w:ascii="Arial" w:hAnsi="Arial" w:cs="Arial"/>
          <w:sz w:val="18"/>
          <w:szCs w:val="18"/>
          <w:lang w:val="es-ES"/>
        </w:rPr>
        <w:t>Artículo 288 del Reglamento de la LOSEP.</w:t>
      </w:r>
    </w:p>
  </w:footnote>
  <w:footnote w:id="15">
    <w:p w14:paraId="7A1E8A82" w14:textId="77777777" w:rsidR="00FA481D" w:rsidRPr="00875FB8" w:rsidRDefault="00FA481D">
      <w:pPr>
        <w:pStyle w:val="FootnoteText"/>
        <w:spacing w:after="0"/>
        <w:contextualSpacing/>
        <w:rPr>
          <w:rFonts w:ascii="Arial" w:hAnsi="Arial" w:cs="Arial"/>
          <w:sz w:val="18"/>
          <w:szCs w:val="18"/>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r>
      <w:r w:rsidRPr="00875FB8">
        <w:rPr>
          <w:rFonts w:ascii="Arial" w:hAnsi="Arial" w:cs="Arial"/>
          <w:sz w:val="18"/>
          <w:szCs w:val="18"/>
          <w:lang w:val="es-ES"/>
        </w:rPr>
        <w:t>Artículos 23, 60 de la LOSEP y 30 de la LOEP (que se remite al Código de Trabajo).</w:t>
      </w:r>
    </w:p>
  </w:footnote>
  <w:footnote w:id="16">
    <w:p w14:paraId="00B49A23" w14:textId="77777777" w:rsidR="00FA481D" w:rsidRPr="00875FB8" w:rsidRDefault="00FA481D">
      <w:pPr>
        <w:pStyle w:val="FootnoteText"/>
        <w:spacing w:after="0"/>
        <w:contextualSpacing/>
        <w:rPr>
          <w:rFonts w:ascii="Arial" w:hAnsi="Arial" w:cs="Arial"/>
          <w:sz w:val="18"/>
          <w:szCs w:val="18"/>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t>El apoyo a otras modalidades de desvinculación previstas en la legislación nacional estará sujeto a que las mismas sean consistentes con los preceptos legales y constitucionales del país, y se ajusten a los criterios y objetivos previstos en el programa análisis y previo no objeción del Banco. El ROP contendrá la descripción detallada de cada modalidad de desvinculación a ser financiada. De las tres modalidades mencionadas, se priorizarán las que contribuyan al recambio generacional en educación y al cambio del perfil del TH de las EEPP.</w:t>
      </w:r>
    </w:p>
  </w:footnote>
  <w:footnote w:id="17">
    <w:p w14:paraId="2B89DC66" w14:textId="77777777" w:rsidR="00FA481D" w:rsidRPr="00875FB8" w:rsidRDefault="00FA481D" w:rsidP="000B055D">
      <w:pPr>
        <w:pStyle w:val="FootnoteText"/>
        <w:spacing w:after="0"/>
        <w:contextualSpacing/>
        <w:rPr>
          <w:rFonts w:ascii="Arial" w:hAnsi="Arial" w:cs="Arial"/>
          <w:sz w:val="18"/>
          <w:szCs w:val="18"/>
          <w:lang w:val="es-ES"/>
        </w:rPr>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t>La LOEP se remite al Código de Trabajo.</w:t>
      </w:r>
    </w:p>
  </w:footnote>
  <w:footnote w:id="18">
    <w:p w14:paraId="62D90AEC" w14:textId="77777777" w:rsidR="00FA481D" w:rsidRPr="00B9018A" w:rsidRDefault="00FA481D" w:rsidP="000B055D">
      <w:pPr>
        <w:pStyle w:val="FootnoteText"/>
        <w:spacing w:after="0"/>
        <w:contextualSpacing/>
      </w:pPr>
      <w:r w:rsidRPr="00875FB8">
        <w:rPr>
          <w:rStyle w:val="FootnoteReference"/>
          <w:rFonts w:ascii="Arial" w:hAnsi="Arial" w:cs="Arial"/>
          <w:sz w:val="18"/>
          <w:szCs w:val="18"/>
        </w:rPr>
        <w:footnoteRef/>
      </w:r>
      <w:r w:rsidRPr="00875FB8">
        <w:rPr>
          <w:rFonts w:ascii="Arial" w:hAnsi="Arial" w:cs="Arial"/>
          <w:sz w:val="18"/>
          <w:szCs w:val="18"/>
        </w:rPr>
        <w:t xml:space="preserve"> </w:t>
      </w:r>
      <w:r w:rsidRPr="00875FB8">
        <w:rPr>
          <w:rFonts w:ascii="Arial" w:hAnsi="Arial" w:cs="Arial"/>
          <w:sz w:val="18"/>
          <w:szCs w:val="18"/>
        </w:rPr>
        <w:tab/>
      </w:r>
      <w:r w:rsidRPr="00875FB8">
        <w:rPr>
          <w:rFonts w:ascii="Arial" w:hAnsi="Arial" w:cs="Arial"/>
          <w:sz w:val="18"/>
          <w:szCs w:val="18"/>
          <w:lang w:val="es-ES"/>
        </w:rPr>
        <w:t>El diseño de la campaña se apoyará mediante la ATN/OC-17299-EC</w:t>
      </w:r>
      <w:r w:rsidRPr="00875FB8">
        <w:rPr>
          <w:rFonts w:ascii="Arial" w:hAnsi="Arial" w:cs="Arial"/>
          <w:sz w:val="18"/>
          <w:szCs w:val="18"/>
        </w:rPr>
        <w:t>.</w:t>
      </w:r>
    </w:p>
  </w:footnote>
  <w:footnote w:id="19">
    <w:p w14:paraId="4C509401" w14:textId="77777777" w:rsidR="00FA481D" w:rsidRPr="00F003DB" w:rsidRDefault="00FA481D" w:rsidP="005A48E4">
      <w:pPr>
        <w:pStyle w:val="FootnoteText"/>
        <w:spacing w:after="0"/>
      </w:pPr>
      <w:r w:rsidRPr="000B6DC4">
        <w:rPr>
          <w:rStyle w:val="FootnoteReference"/>
          <w:rFonts w:ascii="Arial" w:hAnsi="Arial" w:cs="Arial"/>
          <w:sz w:val="18"/>
          <w:szCs w:val="18"/>
        </w:rPr>
        <w:footnoteRef/>
      </w:r>
      <w:r w:rsidRPr="000B6DC4">
        <w:rPr>
          <w:rFonts w:ascii="Arial" w:hAnsi="Arial" w:cs="Arial"/>
          <w:sz w:val="18"/>
          <w:szCs w:val="18"/>
        </w:rPr>
        <w:t xml:space="preserve"> </w:t>
      </w:r>
      <w:r>
        <w:rPr>
          <w:rFonts w:ascii="Arial" w:hAnsi="Arial" w:cs="Arial"/>
          <w:sz w:val="18"/>
          <w:szCs w:val="18"/>
        </w:rPr>
        <w:tab/>
      </w:r>
      <w:r w:rsidRPr="000B6DC4">
        <w:rPr>
          <w:rFonts w:ascii="Arial" w:hAnsi="Arial" w:cs="Arial"/>
          <w:sz w:val="18"/>
          <w:szCs w:val="18"/>
        </w:rPr>
        <w:t>PEP y PA se elaboraron en talleres de trabajo con los ejecutores, consolidando las adquisiciones en función de los productos y la naturaleza de las adquisiciones.</w:t>
      </w:r>
    </w:p>
  </w:footnote>
  <w:footnote w:id="20">
    <w:p w14:paraId="78CA2C1E" w14:textId="37464899" w:rsidR="00FA481D" w:rsidRPr="00C8197C" w:rsidRDefault="00FA481D" w:rsidP="007F130A">
      <w:pPr>
        <w:pStyle w:val="FootnoteText"/>
        <w:spacing w:after="0"/>
        <w:contextualSpacing/>
        <w:rPr>
          <w:rFonts w:ascii="Arial" w:hAnsi="Arial" w:cs="Arial"/>
          <w:sz w:val="18"/>
          <w:szCs w:val="18"/>
          <w:lang w:val="es-ES"/>
        </w:rPr>
      </w:pPr>
      <w:r w:rsidRPr="00C8197C">
        <w:rPr>
          <w:rStyle w:val="FootnoteReference"/>
          <w:rFonts w:ascii="Arial" w:hAnsi="Arial" w:cs="Arial"/>
          <w:sz w:val="18"/>
          <w:szCs w:val="18"/>
        </w:rPr>
        <w:footnoteRef/>
      </w:r>
      <w:r w:rsidRPr="00C8197C">
        <w:rPr>
          <w:rFonts w:ascii="Arial" w:hAnsi="Arial" w:cs="Arial"/>
          <w:sz w:val="18"/>
          <w:szCs w:val="18"/>
        </w:rPr>
        <w:t xml:space="preserve"> </w:t>
      </w:r>
      <w:r>
        <w:rPr>
          <w:rFonts w:ascii="Arial" w:hAnsi="Arial" w:cs="Arial"/>
          <w:sz w:val="18"/>
          <w:szCs w:val="18"/>
        </w:rPr>
        <w:tab/>
      </w:r>
      <w:r w:rsidRPr="00C8197C">
        <w:rPr>
          <w:rFonts w:ascii="Arial" w:hAnsi="Arial" w:cs="Arial"/>
          <w:sz w:val="18"/>
          <w:szCs w:val="18"/>
        </w:rPr>
        <w:t xml:space="preserve">En caso de que la nueva entidad no tuviera competencia para contratar, las consultorías </w:t>
      </w:r>
      <w:r>
        <w:rPr>
          <w:rFonts w:ascii="Arial" w:hAnsi="Arial" w:cs="Arial"/>
          <w:sz w:val="18"/>
          <w:szCs w:val="18"/>
        </w:rPr>
        <w:t xml:space="preserve">del producto 1.3 </w:t>
      </w:r>
      <w:r w:rsidRPr="00C8197C">
        <w:rPr>
          <w:rFonts w:ascii="Arial" w:hAnsi="Arial" w:cs="Arial"/>
          <w:sz w:val="18"/>
          <w:szCs w:val="18"/>
        </w:rPr>
        <w:t xml:space="preserve">de las EEPP se contratarían por los ministerios del ramo del que </w:t>
      </w:r>
      <w:r>
        <w:rPr>
          <w:rFonts w:ascii="Arial" w:hAnsi="Arial" w:cs="Arial"/>
          <w:sz w:val="18"/>
          <w:szCs w:val="18"/>
        </w:rPr>
        <w:t xml:space="preserve">éstas </w:t>
      </w:r>
      <w:r w:rsidRPr="00C8197C">
        <w:rPr>
          <w:rFonts w:ascii="Arial" w:hAnsi="Arial" w:cs="Arial"/>
          <w:sz w:val="18"/>
          <w:szCs w:val="18"/>
        </w:rPr>
        <w:t>depend</w:t>
      </w:r>
      <w:r>
        <w:rPr>
          <w:rFonts w:ascii="Arial" w:hAnsi="Arial" w:cs="Arial"/>
          <w:sz w:val="18"/>
          <w:szCs w:val="18"/>
        </w:rPr>
        <w:t>a</w:t>
      </w:r>
      <w:r w:rsidRPr="00C8197C">
        <w:rPr>
          <w:rFonts w:ascii="Arial" w:hAnsi="Arial" w:cs="Arial"/>
          <w:sz w:val="18"/>
          <w:szCs w:val="18"/>
        </w:rPr>
        <w:t>n (</w:t>
      </w:r>
      <w:r w:rsidRPr="00C8197C">
        <w:rPr>
          <w:rFonts w:ascii="Arial" w:hAnsi="Arial" w:cs="Arial"/>
          <w:sz w:val="18"/>
          <w:szCs w:val="18"/>
          <w:lang w:val="es-ES"/>
        </w:rPr>
        <w:t>MERNNR y MTOP).</w:t>
      </w:r>
    </w:p>
  </w:footnote>
  <w:footnote w:id="21">
    <w:p w14:paraId="7216C8BF" w14:textId="77777777" w:rsidR="006E58FC" w:rsidRPr="002913D7" w:rsidRDefault="006E58FC" w:rsidP="00074E94">
      <w:pPr>
        <w:pStyle w:val="FootnoteText"/>
        <w:spacing w:after="0"/>
        <w:ind w:left="274" w:hanging="274"/>
        <w:contextualSpacing/>
      </w:pPr>
      <w:r w:rsidRPr="00204744">
        <w:rPr>
          <w:rStyle w:val="FootnoteReference"/>
          <w:rFonts w:ascii="Arial" w:hAnsi="Arial" w:cs="Arial"/>
          <w:sz w:val="18"/>
          <w:szCs w:val="18"/>
        </w:rPr>
        <w:footnoteRef/>
      </w:r>
      <w:r w:rsidRPr="00204744">
        <w:rPr>
          <w:rFonts w:ascii="Arial" w:hAnsi="Arial" w:cs="Arial"/>
          <w:sz w:val="18"/>
          <w:szCs w:val="18"/>
        </w:rPr>
        <w:t xml:space="preserve"> </w:t>
      </w:r>
      <w:r>
        <w:rPr>
          <w:rFonts w:ascii="Arial" w:hAnsi="Arial" w:cs="Arial"/>
          <w:sz w:val="18"/>
          <w:szCs w:val="18"/>
        </w:rPr>
        <w:tab/>
        <w:t xml:space="preserve">Directivas </w:t>
      </w:r>
      <w:r w:rsidRPr="00204744">
        <w:rPr>
          <w:rFonts w:ascii="Arial" w:hAnsi="Arial" w:cs="Arial"/>
          <w:sz w:val="18"/>
          <w:szCs w:val="18"/>
        </w:rPr>
        <w:t>asociad</w:t>
      </w:r>
      <w:r>
        <w:rPr>
          <w:rFonts w:ascii="Arial" w:hAnsi="Arial" w:cs="Arial"/>
          <w:sz w:val="18"/>
          <w:szCs w:val="18"/>
        </w:rPr>
        <w:t>a</w:t>
      </w:r>
      <w:r w:rsidRPr="00204744">
        <w:rPr>
          <w:rFonts w:ascii="Arial" w:hAnsi="Arial" w:cs="Arial"/>
          <w:sz w:val="18"/>
          <w:szCs w:val="18"/>
        </w:rPr>
        <w:t>s a la LOEP.</w:t>
      </w:r>
      <w:r>
        <w:t xml:space="preserve"> </w:t>
      </w:r>
    </w:p>
  </w:footnote>
  <w:footnote w:id="22">
    <w:p w14:paraId="6F20299D" w14:textId="77777777" w:rsidR="006E58FC" w:rsidRPr="002838C4" w:rsidRDefault="006E58FC" w:rsidP="00074E94">
      <w:pPr>
        <w:pStyle w:val="FootnoteText"/>
        <w:spacing w:after="0"/>
        <w:ind w:left="270" w:hanging="270"/>
        <w:rPr>
          <w:rFonts w:ascii="Arial" w:hAnsi="Arial" w:cs="Arial"/>
          <w:sz w:val="18"/>
          <w:szCs w:val="18"/>
        </w:rPr>
      </w:pPr>
      <w:r w:rsidRPr="002838C4">
        <w:rPr>
          <w:rStyle w:val="FootnoteReference"/>
          <w:rFonts w:ascii="Arial" w:hAnsi="Arial" w:cs="Arial"/>
          <w:sz w:val="18"/>
          <w:szCs w:val="18"/>
        </w:rPr>
        <w:footnoteRef/>
      </w:r>
      <w:r w:rsidRPr="002838C4">
        <w:rPr>
          <w:rFonts w:ascii="Arial" w:hAnsi="Arial" w:cs="Arial"/>
          <w:sz w:val="18"/>
          <w:szCs w:val="18"/>
        </w:rPr>
        <w:t xml:space="preserve"> </w:t>
      </w:r>
      <w:r>
        <w:rPr>
          <w:rFonts w:ascii="Arial" w:hAnsi="Arial" w:cs="Arial"/>
          <w:sz w:val="18"/>
          <w:szCs w:val="18"/>
        </w:rPr>
        <w:tab/>
      </w:r>
      <w:r w:rsidRPr="002838C4">
        <w:rPr>
          <w:rFonts w:ascii="Arial" w:hAnsi="Arial" w:cs="Arial"/>
          <w:sz w:val="18"/>
          <w:szCs w:val="18"/>
        </w:rPr>
        <w:t xml:space="preserve">Consultoría incluye capacitación a 20 funcionarios </w:t>
      </w:r>
      <w:r w:rsidRPr="002838C4">
        <w:rPr>
          <w:rFonts w:ascii="Arial" w:hAnsi="Arial" w:cs="Arial"/>
          <w:bCs/>
          <w:sz w:val="18"/>
          <w:szCs w:val="18"/>
        </w:rPr>
        <w:t xml:space="preserve">del SRI </w:t>
      </w:r>
      <w:r w:rsidRPr="002838C4">
        <w:rPr>
          <w:rFonts w:ascii="Arial" w:hAnsi="Arial" w:cs="Arial"/>
          <w:sz w:val="18"/>
          <w:szCs w:val="18"/>
        </w:rPr>
        <w:t xml:space="preserve">en </w:t>
      </w:r>
      <w:r w:rsidRPr="002838C4">
        <w:rPr>
          <w:rFonts w:ascii="Arial" w:hAnsi="Arial" w:cs="Arial"/>
          <w:bCs/>
          <w:sz w:val="18"/>
          <w:szCs w:val="18"/>
        </w:rPr>
        <w:t>función recaudadora sobre EEPP.</w:t>
      </w:r>
    </w:p>
  </w:footnote>
  <w:footnote w:id="23">
    <w:p w14:paraId="3FE97155" w14:textId="77777777" w:rsidR="006E58FC" w:rsidRPr="002810CC" w:rsidRDefault="006E58FC" w:rsidP="00074E94">
      <w:pPr>
        <w:pStyle w:val="FootnoteText"/>
        <w:spacing w:after="0"/>
        <w:ind w:left="270" w:hanging="270"/>
      </w:pPr>
      <w:r w:rsidRPr="002838C4">
        <w:rPr>
          <w:rStyle w:val="FootnoteReference"/>
          <w:rFonts w:ascii="Arial" w:hAnsi="Arial" w:cs="Arial"/>
          <w:sz w:val="18"/>
          <w:szCs w:val="18"/>
        </w:rPr>
        <w:footnoteRef/>
      </w:r>
      <w:r w:rsidRPr="002838C4">
        <w:rPr>
          <w:rFonts w:ascii="Arial" w:hAnsi="Arial" w:cs="Arial"/>
          <w:sz w:val="18"/>
          <w:szCs w:val="18"/>
        </w:rPr>
        <w:t xml:space="preserve"> </w:t>
      </w:r>
      <w:r>
        <w:rPr>
          <w:rFonts w:ascii="Arial" w:hAnsi="Arial" w:cs="Arial"/>
          <w:sz w:val="18"/>
          <w:szCs w:val="18"/>
        </w:rPr>
        <w:tab/>
      </w:r>
      <w:r w:rsidRPr="002838C4">
        <w:rPr>
          <w:rFonts w:ascii="Arial" w:hAnsi="Arial" w:cs="Arial"/>
          <w:sz w:val="18"/>
          <w:szCs w:val="18"/>
        </w:rPr>
        <w:t>Consultoría incluye capacitación a 40 empleados de las</w:t>
      </w:r>
      <w:r w:rsidRPr="002838C4">
        <w:rPr>
          <w:rFonts w:ascii="Arial" w:hAnsi="Arial" w:cs="Arial"/>
          <w:bCs/>
          <w:sz w:val="18"/>
          <w:szCs w:val="18"/>
        </w:rPr>
        <w:t xml:space="preserve"> EEPP para enfrentar responsabilidades tributarias.</w:t>
      </w:r>
    </w:p>
  </w:footnote>
  <w:footnote w:id="24">
    <w:p w14:paraId="79ADA91C" w14:textId="77777777" w:rsidR="006E58FC" w:rsidRPr="002838C4" w:rsidRDefault="006E58FC" w:rsidP="00074E94">
      <w:pPr>
        <w:pStyle w:val="FootnoteText"/>
        <w:spacing w:after="0"/>
        <w:ind w:left="274" w:hanging="274"/>
        <w:rPr>
          <w:rFonts w:ascii="Arial" w:hAnsi="Arial" w:cs="Arial"/>
          <w:sz w:val="18"/>
          <w:szCs w:val="18"/>
        </w:rPr>
      </w:pPr>
      <w:r w:rsidRPr="002838C4">
        <w:rPr>
          <w:rStyle w:val="FootnoteReference"/>
          <w:rFonts w:ascii="Arial" w:hAnsi="Arial" w:cs="Arial"/>
          <w:sz w:val="18"/>
          <w:szCs w:val="18"/>
        </w:rPr>
        <w:footnoteRef/>
      </w:r>
      <w:r w:rsidRPr="002838C4">
        <w:rPr>
          <w:rFonts w:ascii="Arial" w:hAnsi="Arial" w:cs="Arial"/>
          <w:sz w:val="18"/>
          <w:szCs w:val="18"/>
        </w:rPr>
        <w:t xml:space="preserve"> </w:t>
      </w:r>
      <w:r>
        <w:rPr>
          <w:rFonts w:ascii="Arial" w:hAnsi="Arial" w:cs="Arial"/>
          <w:sz w:val="18"/>
          <w:szCs w:val="18"/>
        </w:rPr>
        <w:tab/>
      </w:r>
      <w:r w:rsidRPr="002838C4">
        <w:rPr>
          <w:rFonts w:ascii="Arial" w:hAnsi="Arial" w:cs="Arial"/>
          <w:sz w:val="18"/>
          <w:szCs w:val="18"/>
        </w:rPr>
        <w:t>Consultoría incluye capacitación a empleados de la entidad propietaria de EEPP sobre contrato de gestión de desempeño</w:t>
      </w:r>
      <w:r w:rsidRPr="002838C4">
        <w:rPr>
          <w:rFonts w:ascii="Arial" w:hAnsi="Arial" w:cs="Arial"/>
          <w:bCs/>
          <w:sz w:val="18"/>
          <w:szCs w:val="18"/>
        </w:rPr>
        <w:t>.</w:t>
      </w:r>
    </w:p>
  </w:footnote>
  <w:footnote w:id="25">
    <w:p w14:paraId="163D9235" w14:textId="77777777" w:rsidR="006E58FC" w:rsidRPr="002913D7" w:rsidRDefault="006E58FC" w:rsidP="00074E94">
      <w:pPr>
        <w:pStyle w:val="FootnoteText"/>
        <w:spacing w:after="0"/>
        <w:ind w:left="274" w:hanging="274"/>
      </w:pPr>
      <w:r w:rsidRPr="00682292">
        <w:rPr>
          <w:rStyle w:val="FootnoteReference"/>
          <w:rFonts w:ascii="Arial" w:hAnsi="Arial" w:cs="Arial"/>
          <w:sz w:val="18"/>
          <w:szCs w:val="18"/>
        </w:rPr>
        <w:footnoteRef/>
      </w:r>
      <w:r w:rsidRPr="00682292">
        <w:rPr>
          <w:rFonts w:ascii="Arial" w:hAnsi="Arial" w:cs="Arial"/>
          <w:sz w:val="18"/>
          <w:szCs w:val="18"/>
        </w:rPr>
        <w:t xml:space="preserve"> </w:t>
      </w:r>
      <w:r w:rsidRPr="00682292">
        <w:rPr>
          <w:rFonts w:ascii="Arial" w:hAnsi="Arial" w:cs="Arial"/>
          <w:sz w:val="18"/>
          <w:szCs w:val="18"/>
        </w:rPr>
        <w:tab/>
        <w:t>Sector de hidrocarburos, eléctrico y telecomunicaciones.</w:t>
      </w:r>
      <w:r>
        <w:t xml:space="preserve"> </w:t>
      </w:r>
    </w:p>
  </w:footnote>
  <w:footnote w:id="26">
    <w:p w14:paraId="531EB89F" w14:textId="77777777" w:rsidR="006E58FC" w:rsidRPr="005A61AE" w:rsidRDefault="006E58FC" w:rsidP="006E58FC">
      <w:pPr>
        <w:pStyle w:val="FootnoteText"/>
        <w:ind w:left="274" w:hanging="274"/>
        <w:contextualSpacing/>
        <w:rPr>
          <w:rFonts w:ascii="Arial" w:hAnsi="Arial" w:cs="Arial"/>
          <w:sz w:val="18"/>
          <w:szCs w:val="18"/>
        </w:rPr>
      </w:pPr>
      <w:r w:rsidRPr="005A61AE">
        <w:rPr>
          <w:rStyle w:val="FootnoteReference"/>
          <w:rFonts w:ascii="Arial" w:hAnsi="Arial" w:cs="Arial"/>
          <w:sz w:val="18"/>
          <w:szCs w:val="18"/>
        </w:rPr>
        <w:footnoteRef/>
      </w:r>
      <w:r w:rsidRPr="005A61AE">
        <w:rPr>
          <w:rFonts w:ascii="Arial" w:hAnsi="Arial" w:cs="Arial"/>
          <w:sz w:val="18"/>
          <w:szCs w:val="18"/>
        </w:rPr>
        <w:t xml:space="preserve"> </w:t>
      </w:r>
      <w:r>
        <w:rPr>
          <w:rFonts w:ascii="Arial" w:hAnsi="Arial" w:cs="Arial"/>
          <w:sz w:val="18"/>
          <w:szCs w:val="18"/>
        </w:rPr>
        <w:tab/>
      </w:r>
      <w:r w:rsidRPr="005A61AE">
        <w:rPr>
          <w:rFonts w:ascii="Arial" w:hAnsi="Arial" w:cs="Arial"/>
          <w:sz w:val="18"/>
          <w:szCs w:val="18"/>
        </w:rPr>
        <w:t>Según documento preliminar son 3 fases de implementación</w:t>
      </w:r>
      <w:r>
        <w:rPr>
          <w:rFonts w:ascii="Arial" w:hAnsi="Arial" w:cs="Arial"/>
          <w:sz w:val="18"/>
          <w:szCs w:val="18"/>
        </w:rPr>
        <w:t xml:space="preserve"> de fusión</w:t>
      </w:r>
      <w:r w:rsidRPr="005A61AE">
        <w:rPr>
          <w:rFonts w:ascii="Arial" w:hAnsi="Arial" w:cs="Arial"/>
          <w:sz w:val="18"/>
          <w:szCs w:val="18"/>
        </w:rPr>
        <w:t xml:space="preserve">. </w:t>
      </w:r>
    </w:p>
  </w:footnote>
  <w:footnote w:id="27">
    <w:p w14:paraId="4EF590FF" w14:textId="6E933513" w:rsidR="00FA481D" w:rsidRPr="00100C6C" w:rsidRDefault="00FA481D" w:rsidP="0073500A">
      <w:pPr>
        <w:pStyle w:val="FootnoteText"/>
        <w:spacing w:after="0"/>
        <w:ind w:left="289" w:hanging="289"/>
        <w:rPr>
          <w:rFonts w:ascii="Arial" w:hAnsi="Arial" w:cs="Arial"/>
          <w:sz w:val="18"/>
          <w:szCs w:val="18"/>
        </w:rPr>
      </w:pPr>
      <w:r w:rsidRPr="00100C6C">
        <w:rPr>
          <w:rStyle w:val="FootnoteReference"/>
          <w:rFonts w:ascii="Arial" w:hAnsi="Arial" w:cs="Arial"/>
          <w:sz w:val="18"/>
          <w:szCs w:val="18"/>
        </w:rPr>
        <w:footnoteRef/>
      </w:r>
      <w:r w:rsidRPr="00100C6C">
        <w:rPr>
          <w:rFonts w:ascii="Arial" w:hAnsi="Arial" w:cs="Arial"/>
          <w:sz w:val="18"/>
          <w:szCs w:val="18"/>
        </w:rPr>
        <w:t xml:space="preserve"> </w:t>
      </w:r>
      <w:r>
        <w:rPr>
          <w:rFonts w:ascii="Arial" w:hAnsi="Arial" w:cs="Arial"/>
          <w:sz w:val="18"/>
          <w:szCs w:val="18"/>
        </w:rPr>
        <w:tab/>
      </w:r>
      <w:r w:rsidRPr="00100C6C">
        <w:rPr>
          <w:rFonts w:ascii="Arial" w:hAnsi="Arial" w:cs="Arial"/>
          <w:sz w:val="18"/>
          <w:szCs w:val="18"/>
        </w:rPr>
        <w:t xml:space="preserve">Se presentan dos escenarios respecto a los resultados de la implementación del programa. El primer escenario toma en cuenta los beneficios y costos del proyecto asociados únicamente al préstamo del Banco Interamericano de Desarrollo BID. El segundo escenario considera los beneficios y costos, asociados al préstamo del BID y a los valores de la implementación del programa asumidos por el Ministerio de Economía y Finanzas. En la matriz por componente, se detalla únicamente el primer escenario. </w:t>
      </w:r>
    </w:p>
  </w:footnote>
  <w:footnote w:id="28">
    <w:p w14:paraId="25993656" w14:textId="45BEBD93" w:rsidR="00FA481D" w:rsidRPr="00634AD8" w:rsidRDefault="00FA481D" w:rsidP="00634AD8">
      <w:pPr>
        <w:pStyle w:val="FootnoteText"/>
        <w:spacing w:after="0"/>
        <w:rPr>
          <w:rFonts w:ascii="Arial" w:hAnsi="Arial" w:cs="Arial"/>
          <w:sz w:val="18"/>
          <w:szCs w:val="18"/>
        </w:rPr>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 xml:space="preserve">Consultoría incluye capacitación a funcionarios </w:t>
      </w:r>
      <w:r w:rsidRPr="00634AD8">
        <w:rPr>
          <w:rFonts w:ascii="Arial" w:hAnsi="Arial" w:cs="Arial"/>
          <w:bCs/>
          <w:sz w:val="18"/>
          <w:szCs w:val="18"/>
        </w:rPr>
        <w:t xml:space="preserve">del SRI </w:t>
      </w:r>
      <w:r w:rsidRPr="00634AD8">
        <w:rPr>
          <w:rFonts w:ascii="Arial" w:hAnsi="Arial" w:cs="Arial"/>
          <w:sz w:val="18"/>
          <w:szCs w:val="18"/>
        </w:rPr>
        <w:t xml:space="preserve">en </w:t>
      </w:r>
      <w:r w:rsidRPr="00634AD8">
        <w:rPr>
          <w:rFonts w:ascii="Arial" w:hAnsi="Arial" w:cs="Arial"/>
          <w:bCs/>
          <w:sz w:val="18"/>
          <w:szCs w:val="18"/>
        </w:rPr>
        <w:t>función recaudadora sobre EEPP.</w:t>
      </w:r>
    </w:p>
  </w:footnote>
  <w:footnote w:id="29">
    <w:p w14:paraId="7760DC79" w14:textId="417B9C73" w:rsidR="00FA481D" w:rsidRPr="00634AD8" w:rsidRDefault="00FA481D" w:rsidP="00634AD8">
      <w:pPr>
        <w:pStyle w:val="FootnoteText"/>
        <w:spacing w:after="0"/>
        <w:rPr>
          <w:rFonts w:ascii="Arial" w:hAnsi="Arial" w:cs="Arial"/>
          <w:sz w:val="18"/>
          <w:szCs w:val="18"/>
          <w:lang w:val="es-ES"/>
        </w:rPr>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Consultoría incluye capacitación a empleados de las</w:t>
      </w:r>
      <w:r w:rsidRPr="00634AD8">
        <w:rPr>
          <w:rFonts w:ascii="Arial" w:hAnsi="Arial" w:cs="Arial"/>
          <w:bCs/>
          <w:sz w:val="18"/>
          <w:szCs w:val="18"/>
        </w:rPr>
        <w:t xml:space="preserve"> EEPP para enfrentar responsabilidades tributarias.</w:t>
      </w:r>
    </w:p>
  </w:footnote>
  <w:footnote w:id="30">
    <w:p w14:paraId="283A2745" w14:textId="3E2DBEC5" w:rsidR="00FA481D" w:rsidRPr="00634AD8" w:rsidRDefault="00FA481D" w:rsidP="00634AD8">
      <w:pPr>
        <w:pStyle w:val="FootnoteText"/>
        <w:spacing w:after="0"/>
        <w:rPr>
          <w:rFonts w:ascii="Arial" w:hAnsi="Arial" w:cs="Arial"/>
          <w:sz w:val="18"/>
          <w:szCs w:val="18"/>
          <w:lang w:val="es-ES"/>
        </w:rPr>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Consultoría incluye capacitación a empleados de las</w:t>
      </w:r>
      <w:r w:rsidRPr="00634AD8">
        <w:rPr>
          <w:rFonts w:ascii="Arial" w:hAnsi="Arial" w:cs="Arial"/>
          <w:bCs/>
          <w:sz w:val="18"/>
          <w:szCs w:val="18"/>
        </w:rPr>
        <w:t xml:space="preserve"> EEPP petroleras sobre régimen fiscal.</w:t>
      </w:r>
    </w:p>
  </w:footnote>
  <w:footnote w:id="31">
    <w:p w14:paraId="42FBBF2A" w14:textId="7FBBF33D" w:rsidR="00FA481D" w:rsidRPr="00A943AE" w:rsidRDefault="00FA481D" w:rsidP="00634AD8">
      <w:pPr>
        <w:pStyle w:val="FootnoteText"/>
        <w:spacing w:after="0"/>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Incluye socialización.</w:t>
      </w:r>
      <w:r>
        <w:t xml:space="preserve"> </w:t>
      </w:r>
    </w:p>
  </w:footnote>
  <w:footnote w:id="32">
    <w:p w14:paraId="6B0EC2C0" w14:textId="29A1104F" w:rsidR="00FA481D" w:rsidRPr="00634AD8" w:rsidRDefault="00FA481D" w:rsidP="006D4ACE">
      <w:pPr>
        <w:pStyle w:val="FootnoteText"/>
        <w:rPr>
          <w:rFonts w:ascii="Arial" w:hAnsi="Arial" w:cs="Arial"/>
          <w:sz w:val="18"/>
          <w:szCs w:val="18"/>
          <w:lang w:val="es-ES"/>
        </w:rPr>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Consultoría incluye capacitación a empleados de la entidad propietaria de las EEPP sobre contrato de gestión de desempeño</w:t>
      </w:r>
      <w:r w:rsidRPr="00634AD8">
        <w:rPr>
          <w:rFonts w:ascii="Arial" w:hAnsi="Arial" w:cs="Arial"/>
          <w:bCs/>
          <w:sz w:val="18"/>
          <w:szCs w:val="18"/>
        </w:rPr>
        <w:t>.</w:t>
      </w:r>
    </w:p>
  </w:footnote>
  <w:footnote w:id="33">
    <w:p w14:paraId="0F97AB38" w14:textId="434E3055" w:rsidR="00FA481D" w:rsidRPr="00AC3A78" w:rsidRDefault="00FA481D">
      <w:pPr>
        <w:pStyle w:val="FootnoteText"/>
      </w:pPr>
      <w:r w:rsidRPr="00634AD8">
        <w:rPr>
          <w:rStyle w:val="FootnoteReference"/>
          <w:rFonts w:ascii="Arial" w:hAnsi="Arial" w:cs="Arial"/>
          <w:sz w:val="18"/>
          <w:szCs w:val="18"/>
        </w:rPr>
        <w:footnoteRef/>
      </w:r>
      <w:r w:rsidRPr="00634AD8">
        <w:rPr>
          <w:rFonts w:ascii="Arial" w:hAnsi="Arial" w:cs="Arial"/>
          <w:sz w:val="18"/>
          <w:szCs w:val="18"/>
        </w:rPr>
        <w:t xml:space="preserve"> </w:t>
      </w:r>
      <w:r>
        <w:rPr>
          <w:rFonts w:ascii="Arial" w:hAnsi="Arial" w:cs="Arial"/>
          <w:sz w:val="18"/>
          <w:szCs w:val="18"/>
        </w:rPr>
        <w:tab/>
      </w:r>
      <w:r w:rsidRPr="00634AD8">
        <w:rPr>
          <w:rFonts w:ascii="Arial" w:hAnsi="Arial" w:cs="Arial"/>
          <w:sz w:val="18"/>
          <w:szCs w:val="18"/>
        </w:rPr>
        <w:t>El monto del especialista de monitoreo es parte del monto de Contratación equipo de coordinación y administración de proyecto</w:t>
      </w:r>
    </w:p>
  </w:footnote>
  <w:footnote w:id="34">
    <w:p w14:paraId="391F1754" w14:textId="3168F887" w:rsidR="00FA481D" w:rsidRDefault="00FA481D" w:rsidP="00CA69A0">
      <w:pPr>
        <w:pStyle w:val="FootnoteText"/>
        <w:spacing w:after="0"/>
        <w:ind w:left="270" w:hanging="270"/>
        <w:contextualSpacing/>
        <w:rPr>
          <w:rFonts w:ascii="Arial" w:hAnsi="Arial" w:cs="Arial"/>
          <w:sz w:val="18"/>
          <w:szCs w:val="18"/>
        </w:rPr>
      </w:pPr>
      <w:r>
        <w:rPr>
          <w:rStyle w:val="FootnoteReference"/>
          <w:rFonts w:ascii="Arial" w:eastAsia="Calibri" w:hAnsi="Arial" w:cs="Arial"/>
          <w:sz w:val="18"/>
          <w:szCs w:val="18"/>
        </w:rPr>
        <w:footnoteRef/>
      </w:r>
      <w:r>
        <w:rPr>
          <w:rFonts w:ascii="Arial" w:hAnsi="Arial" w:cs="Arial"/>
          <w:sz w:val="18"/>
          <w:szCs w:val="18"/>
        </w:rPr>
        <w:t xml:space="preserve"> </w:t>
      </w:r>
      <w:r>
        <w:rPr>
          <w:rFonts w:ascii="Arial" w:hAnsi="Arial" w:cs="Arial"/>
          <w:sz w:val="18"/>
          <w:szCs w:val="18"/>
        </w:rPr>
        <w:tab/>
        <w:t>Los resultados esperados son acumulativos.</w:t>
      </w:r>
    </w:p>
  </w:footnote>
  <w:footnote w:id="35">
    <w:p w14:paraId="78CEB878" w14:textId="317FADD8" w:rsidR="00FA481D" w:rsidRPr="00D660D7" w:rsidRDefault="00FA481D" w:rsidP="00CA69A0">
      <w:pPr>
        <w:pStyle w:val="FootnoteText"/>
        <w:spacing w:after="0"/>
        <w:ind w:left="270" w:hanging="270"/>
        <w:contextualSpacing/>
        <w:rPr>
          <w:rFonts w:ascii="Arial" w:hAnsi="Arial" w:cs="Arial"/>
          <w:sz w:val="18"/>
          <w:szCs w:val="18"/>
        </w:rPr>
      </w:pPr>
      <w:r w:rsidRPr="00D660D7">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D660D7">
        <w:rPr>
          <w:rFonts w:ascii="Arial" w:hAnsi="Arial" w:cs="Arial"/>
          <w:sz w:val="18"/>
          <w:szCs w:val="18"/>
        </w:rPr>
        <w:t>Fuente: Estimaciones de PAM.</w:t>
      </w:r>
    </w:p>
  </w:footnote>
  <w:footnote w:id="36">
    <w:p w14:paraId="2D87D452" w14:textId="0DC2A382" w:rsidR="00FA481D" w:rsidRPr="00D660D7" w:rsidRDefault="00FA481D" w:rsidP="00BE468F">
      <w:pPr>
        <w:pStyle w:val="FootnoteText"/>
        <w:spacing w:after="0"/>
        <w:contextualSpacing/>
        <w:rPr>
          <w:rFonts w:ascii="Arial" w:hAnsi="Arial" w:cs="Arial"/>
          <w:sz w:val="18"/>
          <w:szCs w:val="18"/>
        </w:rPr>
      </w:pPr>
      <w:r w:rsidRPr="00D660D7">
        <w:rPr>
          <w:rStyle w:val="FootnoteReference"/>
          <w:rFonts w:ascii="Arial" w:hAnsi="Arial" w:cs="Arial"/>
          <w:sz w:val="18"/>
          <w:szCs w:val="18"/>
        </w:rPr>
        <w:footnoteRef/>
      </w:r>
      <w:r w:rsidRPr="00D660D7">
        <w:rPr>
          <w:rFonts w:ascii="Arial" w:hAnsi="Arial" w:cs="Arial"/>
          <w:sz w:val="18"/>
          <w:szCs w:val="18"/>
        </w:rPr>
        <w:t xml:space="preserve"> </w:t>
      </w:r>
      <w:r>
        <w:rPr>
          <w:rFonts w:ascii="Arial" w:hAnsi="Arial" w:cs="Arial"/>
          <w:sz w:val="18"/>
          <w:szCs w:val="18"/>
        </w:rPr>
        <w:tab/>
      </w:r>
      <w:r w:rsidRPr="00D660D7">
        <w:rPr>
          <w:rFonts w:ascii="Arial" w:hAnsi="Arial" w:cs="Arial"/>
          <w:sz w:val="18"/>
          <w:szCs w:val="18"/>
        </w:rPr>
        <w:t xml:space="preserve">Estructura Organizacional y Estatuto Orgánico Funcional por Procesos de CELEC y CNEL (PricewaterhouseCoopers-PwC, 2014): Promedio ratio en empresas eléctricas de generación y transmisión (Interconexión Eléctrica de Colombia, Red Eléctrica Española y </w:t>
      </w:r>
      <w:r w:rsidRPr="00D660D7">
        <w:rPr>
          <w:rFonts w:ascii="Arial" w:hAnsi="Arial" w:cs="Arial"/>
          <w:sz w:val="18"/>
          <w:szCs w:val="18"/>
        </w:rPr>
        <w:t>Eletronorte de Brasil: 0.056).</w:t>
      </w:r>
    </w:p>
  </w:footnote>
  <w:footnote w:id="37">
    <w:p w14:paraId="4EE92A06" w14:textId="7F075D02" w:rsidR="00FA481D" w:rsidRPr="00BC19CF" w:rsidRDefault="00FA481D" w:rsidP="00BE468F">
      <w:pPr>
        <w:pStyle w:val="FootnoteText"/>
        <w:spacing w:after="0"/>
        <w:contextualSpacing/>
        <w:rPr>
          <w:rFonts w:ascii="Arial" w:hAnsi="Arial" w:cs="Arial"/>
          <w:sz w:val="18"/>
          <w:szCs w:val="18"/>
        </w:rPr>
      </w:pPr>
      <w:r w:rsidRPr="00D660D7">
        <w:rPr>
          <w:rStyle w:val="FootnoteReference"/>
          <w:rFonts w:ascii="Arial" w:hAnsi="Arial" w:cs="Arial"/>
          <w:sz w:val="18"/>
          <w:szCs w:val="18"/>
        </w:rPr>
        <w:footnoteRef/>
      </w:r>
      <w:r w:rsidRPr="00D660D7">
        <w:rPr>
          <w:rFonts w:ascii="Arial" w:hAnsi="Arial" w:cs="Arial"/>
          <w:sz w:val="18"/>
          <w:szCs w:val="18"/>
        </w:rPr>
        <w:t xml:space="preserve"> </w:t>
      </w:r>
      <w:r>
        <w:rPr>
          <w:rFonts w:ascii="Arial" w:hAnsi="Arial" w:cs="Arial"/>
          <w:sz w:val="18"/>
          <w:szCs w:val="18"/>
        </w:rPr>
        <w:tab/>
      </w:r>
      <w:r w:rsidRPr="00D660D7">
        <w:rPr>
          <w:rFonts w:ascii="Arial" w:hAnsi="Arial" w:cs="Arial"/>
          <w:sz w:val="18"/>
          <w:szCs w:val="18"/>
        </w:rPr>
        <w:t>Informe rendición de cuentas 2018. Web CELEC</w:t>
      </w:r>
    </w:p>
  </w:footnote>
  <w:footnote w:id="38">
    <w:p w14:paraId="61FE1905" w14:textId="58880B10" w:rsidR="00FA481D" w:rsidRPr="00BC19CF" w:rsidRDefault="00FA481D" w:rsidP="00BE468F">
      <w:pPr>
        <w:pStyle w:val="FootnoteText"/>
        <w:spacing w:after="0"/>
        <w:contextualSpacing/>
        <w:rPr>
          <w:rFonts w:ascii="Arial" w:hAnsi="Arial" w:cs="Arial"/>
          <w:sz w:val="18"/>
          <w:szCs w:val="18"/>
        </w:rPr>
      </w:pPr>
      <w:r w:rsidRPr="00BC19CF">
        <w:rPr>
          <w:rStyle w:val="FootnoteReference"/>
          <w:rFonts w:ascii="Arial" w:hAnsi="Arial" w:cs="Arial"/>
          <w:sz w:val="18"/>
          <w:szCs w:val="18"/>
        </w:rPr>
        <w:footnoteRef/>
      </w:r>
      <w:r w:rsidRPr="00BC19CF">
        <w:rPr>
          <w:rFonts w:ascii="Arial" w:hAnsi="Arial" w:cs="Arial"/>
          <w:sz w:val="18"/>
          <w:szCs w:val="18"/>
        </w:rPr>
        <w:t xml:space="preserve"> </w:t>
      </w:r>
      <w:r>
        <w:rPr>
          <w:rFonts w:ascii="Arial" w:hAnsi="Arial" w:cs="Arial"/>
          <w:sz w:val="18"/>
          <w:szCs w:val="18"/>
        </w:rPr>
        <w:tab/>
      </w:r>
      <w:r w:rsidRPr="00BC19CF">
        <w:rPr>
          <w:rFonts w:ascii="Arial" w:hAnsi="Arial" w:cs="Arial"/>
          <w:sz w:val="18"/>
          <w:szCs w:val="18"/>
        </w:rPr>
        <w:t>Estructura Organizacional y Estatuto Orgánico Funcional por Procesos de CELEC y CNEL (PwC, 2014): Promedio ratio en empresas eléctricas de distribución (Comisión Federal de Electricidad de México, Empresas Públicas de Medellín, Iberdrola de España: 0.002).</w:t>
      </w:r>
    </w:p>
  </w:footnote>
  <w:footnote w:id="39">
    <w:p w14:paraId="6C12C3C8" w14:textId="761D5008" w:rsidR="00FA481D" w:rsidRPr="00BC19CF" w:rsidRDefault="00FA481D" w:rsidP="00BE468F">
      <w:pPr>
        <w:pStyle w:val="FootnoteText"/>
        <w:spacing w:after="0"/>
        <w:contextualSpacing/>
        <w:rPr>
          <w:rFonts w:ascii="Arial" w:hAnsi="Arial" w:cs="Arial"/>
          <w:sz w:val="18"/>
          <w:szCs w:val="18"/>
        </w:rPr>
      </w:pPr>
      <w:r w:rsidRPr="00BC19CF">
        <w:rPr>
          <w:rStyle w:val="FootnoteReference"/>
          <w:rFonts w:ascii="Arial" w:hAnsi="Arial" w:cs="Arial"/>
          <w:sz w:val="18"/>
          <w:szCs w:val="18"/>
        </w:rPr>
        <w:footnoteRef/>
      </w:r>
      <w:r w:rsidRPr="00BC19CF">
        <w:rPr>
          <w:rFonts w:ascii="Arial" w:hAnsi="Arial" w:cs="Arial"/>
          <w:sz w:val="18"/>
          <w:szCs w:val="18"/>
        </w:rPr>
        <w:t xml:space="preserve"> </w:t>
      </w:r>
      <w:r>
        <w:rPr>
          <w:rFonts w:ascii="Arial" w:hAnsi="Arial" w:cs="Arial"/>
          <w:sz w:val="18"/>
          <w:szCs w:val="18"/>
        </w:rPr>
        <w:tab/>
      </w:r>
      <w:r w:rsidRPr="00BC19CF">
        <w:rPr>
          <w:rFonts w:ascii="Arial" w:hAnsi="Arial" w:cs="Arial"/>
          <w:sz w:val="18"/>
          <w:szCs w:val="18"/>
        </w:rPr>
        <w:t>Informe rendición de cuentas 2018. Web CNEL</w:t>
      </w:r>
    </w:p>
  </w:footnote>
  <w:footnote w:id="40">
    <w:p w14:paraId="26EDD03C" w14:textId="1C6A1648" w:rsidR="00FA481D" w:rsidRPr="00204744" w:rsidRDefault="00FA481D" w:rsidP="00BE468F">
      <w:pPr>
        <w:pStyle w:val="FootnoteText"/>
        <w:spacing w:after="0"/>
        <w:contextualSpacing/>
        <w:rPr>
          <w:rFonts w:ascii="Arial" w:hAnsi="Arial" w:cs="Arial"/>
          <w:sz w:val="18"/>
          <w:szCs w:val="18"/>
        </w:rPr>
      </w:pPr>
      <w:r w:rsidRPr="00204744">
        <w:rPr>
          <w:rStyle w:val="FootnoteReference"/>
          <w:rFonts w:ascii="Arial" w:hAnsi="Arial" w:cs="Arial"/>
          <w:sz w:val="18"/>
          <w:szCs w:val="18"/>
        </w:rPr>
        <w:footnoteRef/>
      </w:r>
      <w:r w:rsidRPr="00204744">
        <w:rPr>
          <w:rFonts w:ascii="Arial" w:hAnsi="Arial" w:cs="Arial"/>
          <w:sz w:val="18"/>
          <w:szCs w:val="18"/>
        </w:rPr>
        <w:t xml:space="preserve"> </w:t>
      </w:r>
      <w:bookmarkStart w:id="37" w:name="_Hlk9952105"/>
      <w:r>
        <w:rPr>
          <w:rFonts w:ascii="Arial" w:hAnsi="Arial" w:cs="Arial"/>
          <w:sz w:val="18"/>
          <w:szCs w:val="18"/>
        </w:rPr>
        <w:tab/>
        <w:t xml:space="preserve">Fuente Tame: </w:t>
      </w:r>
      <w:r w:rsidRPr="00204744">
        <w:rPr>
          <w:rFonts w:ascii="Arial" w:hAnsi="Arial" w:cs="Arial"/>
          <w:sz w:val="18"/>
          <w:szCs w:val="18"/>
        </w:rPr>
        <w:t xml:space="preserve">Promedio de aerolíneas </w:t>
      </w:r>
      <w:r w:rsidRPr="001E29CA">
        <w:rPr>
          <w:rFonts w:ascii="Arial" w:hAnsi="Arial" w:cs="Arial"/>
          <w:sz w:val="18"/>
          <w:szCs w:val="18"/>
          <w:lang w:val="es-ES" w:eastAsia="zh-CN"/>
        </w:rPr>
        <w:t>estadounidenses regionales con aeronaves de un solo pasillo y que operan principalmente rutas domésticas (</w:t>
      </w:r>
      <w:r w:rsidRPr="001E29CA">
        <w:rPr>
          <w:rFonts w:ascii="Arial" w:hAnsi="Arial" w:cs="Arial"/>
          <w:sz w:val="18"/>
          <w:szCs w:val="18"/>
          <w:lang w:val="es-ES" w:eastAsia="zh-CN"/>
        </w:rPr>
        <w:t>Southwest, JetBlue, y Spirit)</w:t>
      </w:r>
      <w:bookmarkEnd w:id="37"/>
    </w:p>
  </w:footnote>
  <w:footnote w:id="41">
    <w:p w14:paraId="0C5A5BF3" w14:textId="1B74FFC8" w:rsidR="00FA481D" w:rsidRPr="00204744" w:rsidRDefault="00FA481D" w:rsidP="00BE468F">
      <w:pPr>
        <w:pStyle w:val="FootnoteText"/>
        <w:spacing w:after="0"/>
        <w:contextualSpacing/>
        <w:rPr>
          <w:rFonts w:ascii="Arial" w:hAnsi="Arial" w:cs="Arial"/>
          <w:sz w:val="18"/>
          <w:szCs w:val="18"/>
        </w:rPr>
      </w:pPr>
      <w:r w:rsidRPr="00204744">
        <w:rPr>
          <w:rStyle w:val="FootnoteReference"/>
          <w:rFonts w:ascii="Arial" w:hAnsi="Arial" w:cs="Arial"/>
          <w:sz w:val="18"/>
          <w:szCs w:val="18"/>
        </w:rPr>
        <w:footnoteRef/>
      </w:r>
      <w:r w:rsidRPr="00204744">
        <w:rPr>
          <w:rFonts w:ascii="Arial" w:hAnsi="Arial" w:cs="Arial"/>
          <w:sz w:val="18"/>
          <w:szCs w:val="18"/>
        </w:rPr>
        <w:t xml:space="preserve"> </w:t>
      </w:r>
      <w:r>
        <w:rPr>
          <w:rFonts w:ascii="Arial" w:hAnsi="Arial" w:cs="Arial"/>
          <w:sz w:val="18"/>
          <w:szCs w:val="18"/>
        </w:rPr>
        <w:tab/>
      </w:r>
      <w:r w:rsidRPr="00204744">
        <w:rPr>
          <w:rFonts w:ascii="Arial" w:hAnsi="Arial" w:cs="Arial"/>
          <w:sz w:val="18"/>
          <w:szCs w:val="18"/>
        </w:rPr>
        <w:t>Fuente: Tame</w:t>
      </w:r>
    </w:p>
  </w:footnote>
  <w:footnote w:id="42">
    <w:p w14:paraId="600CDBC4" w14:textId="4D7FAD51" w:rsidR="00FA481D" w:rsidRPr="005177A9" w:rsidRDefault="00FA481D" w:rsidP="005177A9">
      <w:pPr>
        <w:pStyle w:val="FootnoteText"/>
        <w:spacing w:after="0"/>
        <w:rPr>
          <w:rFonts w:ascii="Arial" w:hAnsi="Arial" w:cs="Arial"/>
          <w:sz w:val="18"/>
          <w:szCs w:val="18"/>
          <w:lang w:val="es-EC"/>
        </w:rPr>
      </w:pPr>
      <w:r w:rsidRPr="005177A9">
        <w:rPr>
          <w:rStyle w:val="FootnoteReference"/>
          <w:rFonts w:ascii="Arial" w:hAnsi="Arial" w:cs="Arial"/>
          <w:sz w:val="18"/>
          <w:szCs w:val="18"/>
        </w:rPr>
        <w:footnoteRef/>
      </w:r>
      <w:r w:rsidRPr="005177A9">
        <w:rPr>
          <w:rFonts w:ascii="Arial" w:hAnsi="Arial" w:cs="Arial"/>
          <w:sz w:val="18"/>
          <w:szCs w:val="18"/>
        </w:rPr>
        <w:t xml:space="preserve"> </w:t>
      </w:r>
      <w:r>
        <w:rPr>
          <w:rFonts w:ascii="Arial" w:hAnsi="Arial" w:cs="Arial"/>
          <w:sz w:val="18"/>
          <w:szCs w:val="18"/>
        </w:rPr>
        <w:tab/>
      </w:r>
      <w:r w:rsidRPr="005177A9">
        <w:rPr>
          <w:rFonts w:ascii="Arial" w:hAnsi="Arial" w:cs="Arial"/>
          <w:sz w:val="18"/>
          <w:szCs w:val="18"/>
        </w:rPr>
        <w:t xml:space="preserve">La empresas públicas incluidas son: </w:t>
      </w:r>
      <w:r w:rsidRPr="005177A9">
        <w:rPr>
          <w:rFonts w:ascii="Arial" w:hAnsi="Arial" w:cs="Arial"/>
          <w:sz w:val="18"/>
          <w:szCs w:val="18"/>
          <w:lang w:val="es-EC"/>
        </w:rPr>
        <w:t xml:space="preserve">Astilleros Navales Ecuatorianos - </w:t>
      </w:r>
      <w:r w:rsidRPr="005177A9">
        <w:rPr>
          <w:rFonts w:ascii="Arial" w:hAnsi="Arial" w:cs="Arial"/>
          <w:sz w:val="18"/>
          <w:szCs w:val="18"/>
          <w:lang w:val="es-EC"/>
        </w:rPr>
        <w:t>Astinave Ep, Empresa Pública Correos del Ecuador - CDE E.P., Ferrocarriles del Ecuador Empresa Pública, Corporación Eléctrica del Ecuador CELEC EP, Empresa Publica Cementera Del Ecuador EP, Empresa Eléctrica Pública Estratégica Corporación Nacional De Electricidad CNEL EP, Corporación Nacional De Telecomunicaciones – CNT EP, Empresa Pública Casa Para Todos EP, Empresa De Desarrollo Estratégico Ecuador Estratégico, Empresa Coordinadora De Empresas Públicas EMCO EP, Empresa Nacional Minera Del Ecuador ENAMI EP, Empresa Pública del Agua EPA EP, Fabricamos Ecuador FABREC EP, Centros De Entrenamiento para el Alto Rendimiento, Flota Petrolera Ecuatoriana FLOPEC, Empresa Pública Medios Públicos de Comunicación del Ecuador EP., Empresa Pública De Exploración y Explotación de Hidrocarburos Petroamazonas EP, Empresa Pública de Hidrocarburos del Ecuador EP Petroecuador, Santa Barbara EP, Empresa Pública Tame Línea Aérea del Ecuador TAME EP, Empresa Pública Unidad Nacional De Almacenamiento UNA EP, Empresa Pública Yachay E.P.</w:t>
      </w:r>
    </w:p>
  </w:footnote>
  <w:footnote w:id="43">
    <w:p w14:paraId="6857D1DB" w14:textId="08208843" w:rsidR="00FA481D" w:rsidRPr="005177A9" w:rsidRDefault="00FA481D" w:rsidP="000D34DF">
      <w:pPr>
        <w:pStyle w:val="FootnoteText"/>
        <w:spacing w:after="0"/>
        <w:ind w:left="289" w:hanging="289"/>
        <w:rPr>
          <w:rFonts w:ascii="Arial" w:hAnsi="Arial" w:cs="Arial"/>
          <w:sz w:val="18"/>
          <w:szCs w:val="18"/>
          <w:lang w:val="es-EC"/>
        </w:rPr>
      </w:pPr>
      <w:r w:rsidRPr="005177A9">
        <w:rPr>
          <w:rStyle w:val="FootnoteReference"/>
          <w:rFonts w:ascii="Arial" w:hAnsi="Arial" w:cs="Arial"/>
          <w:sz w:val="18"/>
          <w:szCs w:val="18"/>
        </w:rPr>
        <w:footnoteRef/>
      </w:r>
      <w:r w:rsidRPr="005177A9">
        <w:rPr>
          <w:rFonts w:ascii="Arial" w:hAnsi="Arial" w:cs="Arial"/>
          <w:sz w:val="18"/>
          <w:szCs w:val="18"/>
        </w:rPr>
        <w:t xml:space="preserve"> </w:t>
      </w:r>
      <w:r>
        <w:rPr>
          <w:rFonts w:ascii="Arial" w:hAnsi="Arial" w:cs="Arial"/>
          <w:sz w:val="18"/>
          <w:szCs w:val="18"/>
        </w:rPr>
        <w:tab/>
      </w:r>
      <w:r w:rsidRPr="005177A9">
        <w:rPr>
          <w:rFonts w:ascii="Arial" w:hAnsi="Arial" w:cs="Arial"/>
          <w:sz w:val="18"/>
          <w:szCs w:val="18"/>
        </w:rPr>
        <w:t>No es formalmente la definición de una evaluación de impacto, tiene limitaciones en la definición del grupo de control.</w:t>
      </w:r>
    </w:p>
  </w:footnote>
  <w:footnote w:id="44">
    <w:p w14:paraId="18F8066A" w14:textId="77777777" w:rsidR="00FA481D" w:rsidRPr="00471BD2" w:rsidRDefault="00FA481D" w:rsidP="00126B92">
      <w:pPr>
        <w:pStyle w:val="FootnoteText"/>
        <w:spacing w:after="0"/>
        <w:ind w:left="289" w:hanging="289"/>
        <w:rPr>
          <w:rFonts w:ascii="Arial" w:hAnsi="Arial" w:cs="Arial"/>
          <w:sz w:val="18"/>
          <w:szCs w:val="18"/>
          <w:lang w:val="es-EC"/>
        </w:rPr>
      </w:pPr>
      <w:r w:rsidRPr="00471BD2">
        <w:rPr>
          <w:rStyle w:val="FootnoteReference"/>
          <w:rFonts w:ascii="Arial" w:hAnsi="Arial" w:cs="Arial"/>
          <w:sz w:val="18"/>
          <w:szCs w:val="18"/>
        </w:rPr>
        <w:footnoteRef/>
      </w:r>
      <w:r w:rsidRPr="00471BD2">
        <w:rPr>
          <w:rFonts w:ascii="Arial" w:hAnsi="Arial" w:cs="Arial"/>
          <w:sz w:val="18"/>
          <w:szCs w:val="18"/>
        </w:rPr>
        <w:t xml:space="preserve"> </w:t>
      </w:r>
      <w:r w:rsidRPr="00471BD2">
        <w:rPr>
          <w:rFonts w:ascii="Arial" w:hAnsi="Arial" w:cs="Arial"/>
          <w:sz w:val="18"/>
          <w:szCs w:val="18"/>
        </w:rPr>
        <w:tab/>
        <w:t>L</w:t>
      </w:r>
      <w:r w:rsidRPr="00471BD2">
        <w:rPr>
          <w:rFonts w:ascii="Arial" w:hAnsi="Arial" w:cs="Arial"/>
          <w:sz w:val="18"/>
          <w:szCs w:val="18"/>
          <w:lang w:val="es-EC"/>
        </w:rPr>
        <w:t>a trayectoria en el tiempo no necesariamente pudiera mantenerse constante, esta pudiera verse afectada por cualquier otro tipo de shock.</w:t>
      </w:r>
    </w:p>
  </w:footnote>
  <w:footnote w:id="45">
    <w:p w14:paraId="76ADEC2F" w14:textId="3461E075" w:rsidR="00FA481D" w:rsidRPr="000D34DF" w:rsidRDefault="00FA481D" w:rsidP="000D34DF">
      <w:pPr>
        <w:pStyle w:val="FootnoteText"/>
        <w:spacing w:after="0"/>
        <w:ind w:left="289" w:hanging="289"/>
        <w:rPr>
          <w:lang w:val="es-EC"/>
        </w:rPr>
      </w:pPr>
      <w:r w:rsidRPr="00471BD2">
        <w:rPr>
          <w:rStyle w:val="FootnoteReference"/>
          <w:rFonts w:ascii="Arial" w:hAnsi="Arial" w:cs="Arial"/>
          <w:sz w:val="18"/>
          <w:szCs w:val="18"/>
        </w:rPr>
        <w:footnoteRef/>
      </w:r>
      <w:r w:rsidRPr="00471BD2">
        <w:rPr>
          <w:rFonts w:ascii="Arial" w:hAnsi="Arial" w:cs="Arial"/>
          <w:sz w:val="18"/>
          <w:szCs w:val="18"/>
        </w:rPr>
        <w:t xml:space="preserve"> </w:t>
      </w:r>
      <w:r w:rsidRPr="00471BD2">
        <w:rPr>
          <w:rFonts w:ascii="Arial" w:hAnsi="Arial" w:cs="Arial"/>
          <w:sz w:val="18"/>
          <w:szCs w:val="18"/>
        </w:rPr>
        <w:tab/>
      </w:r>
      <w:r w:rsidRPr="00471BD2">
        <w:rPr>
          <w:rFonts w:ascii="Arial" w:hAnsi="Arial" w:cs="Arial"/>
          <w:sz w:val="18"/>
          <w:szCs w:val="18"/>
          <w:lang w:val="es-ES"/>
        </w:rPr>
        <w:t xml:space="preserve">El indicador de impacto debe ser exactamente igual al levantado en la línea base, es decir, </w:t>
      </w:r>
      <w:r>
        <w:rPr>
          <w:rFonts w:ascii="Arial" w:hAnsi="Arial" w:cs="Arial"/>
          <w:sz w:val="18"/>
          <w:szCs w:val="18"/>
          <w:lang w:val="es-ES"/>
        </w:rPr>
        <w:t>debe ser estimado considerando la misma m</w:t>
      </w:r>
      <w:r w:rsidRPr="00471BD2">
        <w:rPr>
          <w:rFonts w:ascii="Arial" w:hAnsi="Arial" w:cs="Arial"/>
          <w:sz w:val="18"/>
          <w:szCs w:val="18"/>
          <w:lang w:val="es-ES"/>
        </w:rPr>
        <w:t>etodología de cálculo.</w:t>
      </w:r>
    </w:p>
  </w:footnote>
  <w:footnote w:id="46">
    <w:p w14:paraId="6979A8B4" w14:textId="06528A96" w:rsidR="00FA481D" w:rsidRPr="00C34CBD" w:rsidRDefault="00FA481D" w:rsidP="00C34CBD">
      <w:pPr>
        <w:pStyle w:val="FootnoteText"/>
        <w:spacing w:after="0"/>
        <w:contextualSpacing/>
        <w:rPr>
          <w:rFonts w:ascii="Arial" w:hAnsi="Arial" w:cs="Arial"/>
          <w:sz w:val="18"/>
          <w:szCs w:val="18"/>
          <w:lang w:val="es-ES"/>
        </w:rPr>
      </w:pPr>
      <w:r w:rsidRPr="00C34CBD">
        <w:rPr>
          <w:rStyle w:val="FootnoteReference"/>
          <w:rFonts w:ascii="Arial" w:hAnsi="Arial" w:cs="Arial"/>
          <w:sz w:val="18"/>
          <w:szCs w:val="18"/>
        </w:rPr>
        <w:footnoteRef/>
      </w:r>
      <w:r w:rsidRPr="00C34CBD">
        <w:rPr>
          <w:rFonts w:ascii="Arial" w:hAnsi="Arial" w:cs="Arial"/>
          <w:sz w:val="18"/>
          <w:szCs w:val="18"/>
        </w:rPr>
        <w:t xml:space="preserve"> </w:t>
      </w:r>
      <w:r>
        <w:rPr>
          <w:rFonts w:ascii="Arial" w:hAnsi="Arial" w:cs="Arial"/>
          <w:sz w:val="18"/>
          <w:szCs w:val="18"/>
        </w:rPr>
        <w:tab/>
      </w:r>
      <w:r w:rsidRPr="00C34CBD">
        <w:rPr>
          <w:rFonts w:ascii="Arial" w:hAnsi="Arial" w:cs="Arial"/>
          <w:sz w:val="18"/>
          <w:szCs w:val="18"/>
        </w:rPr>
        <w:t>La experiencia de la OCDE también ha demostrado que el buen gobierno corporativo de las empresas públicas constituye un importante requisito previo para llevar a cabo una privatización efectiva desde el punto de vista económico, dado que hará que las empresas resulten más atractivas para los posibles compradores, aumentando su valoración (OCDE, 2019)</w:t>
      </w:r>
      <w:r>
        <w:rPr>
          <w:rFonts w:ascii="Arial" w:hAnsi="Arial" w:cs="Arial"/>
          <w:sz w:val="18"/>
          <w:szCs w:val="18"/>
        </w:rPr>
        <w:t>.</w:t>
      </w:r>
    </w:p>
  </w:footnote>
  <w:footnote w:id="47">
    <w:p w14:paraId="0763085E" w14:textId="77777777" w:rsidR="00FA481D" w:rsidRDefault="00FA481D" w:rsidP="00D458E1"/>
  </w:footnote>
  <w:footnote w:id="48">
    <w:p w14:paraId="7D44B930" w14:textId="77777777" w:rsidR="00FA481D" w:rsidRDefault="00FA481D" w:rsidP="00D458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B9D8" w14:textId="77777777" w:rsidR="00FA481D" w:rsidRDefault="00FA481D" w:rsidP="009F3219">
    <w:pPr>
      <w:pStyle w:val="Header"/>
      <w:jc w:val="right"/>
    </w:pPr>
    <w:r>
      <w:tab/>
    </w:r>
    <w:r>
      <w:tab/>
      <w:t xml:space="preserve"> </w:t>
    </w:r>
  </w:p>
  <w:p w14:paraId="7380D491" w14:textId="77777777" w:rsidR="00FA481D" w:rsidRDefault="00FA481D" w:rsidP="00091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793B"/>
    <w:multiLevelType w:val="hybridMultilevel"/>
    <w:tmpl w:val="27540BF4"/>
    <w:lvl w:ilvl="0" w:tplc="267EFEF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77136"/>
    <w:multiLevelType w:val="multilevel"/>
    <w:tmpl w:val="00E46380"/>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326C4"/>
    <w:multiLevelType w:val="hybridMultilevel"/>
    <w:tmpl w:val="B0F8900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6DF4FAF"/>
    <w:multiLevelType w:val="hybridMultilevel"/>
    <w:tmpl w:val="5930E7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7A45676"/>
    <w:multiLevelType w:val="multilevel"/>
    <w:tmpl w:val="45146CE2"/>
    <w:lvl w:ilvl="0">
      <w:start w:val="2"/>
      <w:numFmt w:val="decimal"/>
      <w:lvlText w:val="%1"/>
      <w:lvlJc w:val="left"/>
      <w:pPr>
        <w:ind w:left="405" w:hanging="405"/>
      </w:pPr>
      <w:rPr>
        <w:rFonts w:hint="default"/>
      </w:rPr>
    </w:lvl>
    <w:lvl w:ilvl="1">
      <w:start w:val="1"/>
      <w:numFmt w:val="lowerRoman"/>
      <w:lvlText w:val="(%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15:restartNumberingAfterBreak="0">
    <w:nsid w:val="0CE569A1"/>
    <w:multiLevelType w:val="hybridMultilevel"/>
    <w:tmpl w:val="AFB09E84"/>
    <w:lvl w:ilvl="0" w:tplc="1CD0E22E">
      <w:start w:val="1"/>
      <w:numFmt w:val="upperLetter"/>
      <w:lvlText w:val="%1."/>
      <w:lvlJc w:val="left"/>
      <w:pPr>
        <w:ind w:left="720" w:hanging="360"/>
      </w:pPr>
      <w:rPr>
        <w:rFonts w:hint="default"/>
        <w:b/>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0D4E208E"/>
    <w:multiLevelType w:val="multilevel"/>
    <w:tmpl w:val="5A641312"/>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0D28F9"/>
    <w:multiLevelType w:val="multilevel"/>
    <w:tmpl w:val="4A0861DE"/>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587EA7"/>
    <w:multiLevelType w:val="hybridMultilevel"/>
    <w:tmpl w:val="3BD6E35A"/>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34F6978"/>
    <w:multiLevelType w:val="multilevel"/>
    <w:tmpl w:val="BB6460E8"/>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1" w15:restartNumberingAfterBreak="0">
    <w:nsid w:val="185D6B3D"/>
    <w:multiLevelType w:val="hybridMultilevel"/>
    <w:tmpl w:val="717E6212"/>
    <w:lvl w:ilvl="0" w:tplc="D270A9B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C46E51"/>
    <w:multiLevelType w:val="multilevel"/>
    <w:tmpl w:val="45C2B256"/>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D379B6"/>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703B47"/>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CD29D8"/>
    <w:multiLevelType w:val="hybridMultilevel"/>
    <w:tmpl w:val="1A70BCA6"/>
    <w:lvl w:ilvl="0" w:tplc="EDF2E922">
      <w:start w:val="1"/>
      <w:numFmt w:val="lowerLetter"/>
      <w:lvlText w:val="(%1)"/>
      <w:lvlJc w:val="left"/>
      <w:pPr>
        <w:ind w:left="10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118EE"/>
    <w:multiLevelType w:val="hybridMultilevel"/>
    <w:tmpl w:val="42C6F926"/>
    <w:lvl w:ilvl="0" w:tplc="61962F64">
      <w:start w:val="1"/>
      <w:numFmt w:val="bullet"/>
      <w:lvlText w:val=""/>
      <w:lvlJc w:val="left"/>
      <w:pPr>
        <w:ind w:left="1428" w:hanging="360"/>
      </w:pPr>
      <w:rPr>
        <w:rFonts w:ascii="Symbol" w:hAnsi="Symbol" w:hint="default"/>
      </w:rPr>
    </w:lvl>
    <w:lvl w:ilvl="1" w:tplc="300A0003" w:tentative="1">
      <w:start w:val="1"/>
      <w:numFmt w:val="bullet"/>
      <w:lvlText w:val="o"/>
      <w:lvlJc w:val="left"/>
      <w:pPr>
        <w:ind w:left="2148" w:hanging="360"/>
      </w:pPr>
      <w:rPr>
        <w:rFonts w:ascii="Courier New" w:hAnsi="Courier New" w:cs="Courier New" w:hint="default"/>
      </w:rPr>
    </w:lvl>
    <w:lvl w:ilvl="2" w:tplc="300A0005" w:tentative="1">
      <w:start w:val="1"/>
      <w:numFmt w:val="bullet"/>
      <w:lvlText w:val=""/>
      <w:lvlJc w:val="left"/>
      <w:pPr>
        <w:ind w:left="2868" w:hanging="360"/>
      </w:pPr>
      <w:rPr>
        <w:rFonts w:ascii="Wingdings" w:hAnsi="Wingdings" w:hint="default"/>
      </w:rPr>
    </w:lvl>
    <w:lvl w:ilvl="3" w:tplc="300A0001" w:tentative="1">
      <w:start w:val="1"/>
      <w:numFmt w:val="bullet"/>
      <w:lvlText w:val=""/>
      <w:lvlJc w:val="left"/>
      <w:pPr>
        <w:ind w:left="3588" w:hanging="360"/>
      </w:pPr>
      <w:rPr>
        <w:rFonts w:ascii="Symbol" w:hAnsi="Symbol" w:hint="default"/>
      </w:rPr>
    </w:lvl>
    <w:lvl w:ilvl="4" w:tplc="300A0003" w:tentative="1">
      <w:start w:val="1"/>
      <w:numFmt w:val="bullet"/>
      <w:lvlText w:val="o"/>
      <w:lvlJc w:val="left"/>
      <w:pPr>
        <w:ind w:left="4308" w:hanging="360"/>
      </w:pPr>
      <w:rPr>
        <w:rFonts w:ascii="Courier New" w:hAnsi="Courier New" w:cs="Courier New" w:hint="default"/>
      </w:rPr>
    </w:lvl>
    <w:lvl w:ilvl="5" w:tplc="300A0005" w:tentative="1">
      <w:start w:val="1"/>
      <w:numFmt w:val="bullet"/>
      <w:lvlText w:val=""/>
      <w:lvlJc w:val="left"/>
      <w:pPr>
        <w:ind w:left="5028" w:hanging="360"/>
      </w:pPr>
      <w:rPr>
        <w:rFonts w:ascii="Wingdings" w:hAnsi="Wingdings" w:hint="default"/>
      </w:rPr>
    </w:lvl>
    <w:lvl w:ilvl="6" w:tplc="300A0001" w:tentative="1">
      <w:start w:val="1"/>
      <w:numFmt w:val="bullet"/>
      <w:lvlText w:val=""/>
      <w:lvlJc w:val="left"/>
      <w:pPr>
        <w:ind w:left="5748" w:hanging="360"/>
      </w:pPr>
      <w:rPr>
        <w:rFonts w:ascii="Symbol" w:hAnsi="Symbol" w:hint="default"/>
      </w:rPr>
    </w:lvl>
    <w:lvl w:ilvl="7" w:tplc="300A0003" w:tentative="1">
      <w:start w:val="1"/>
      <w:numFmt w:val="bullet"/>
      <w:lvlText w:val="o"/>
      <w:lvlJc w:val="left"/>
      <w:pPr>
        <w:ind w:left="6468" w:hanging="360"/>
      </w:pPr>
      <w:rPr>
        <w:rFonts w:ascii="Courier New" w:hAnsi="Courier New" w:cs="Courier New" w:hint="default"/>
      </w:rPr>
    </w:lvl>
    <w:lvl w:ilvl="8" w:tplc="300A0005" w:tentative="1">
      <w:start w:val="1"/>
      <w:numFmt w:val="bullet"/>
      <w:lvlText w:val=""/>
      <w:lvlJc w:val="left"/>
      <w:pPr>
        <w:ind w:left="7188" w:hanging="360"/>
      </w:pPr>
      <w:rPr>
        <w:rFonts w:ascii="Wingdings" w:hAnsi="Wingdings" w:hint="default"/>
      </w:rPr>
    </w:lvl>
  </w:abstractNum>
  <w:abstractNum w:abstractNumId="17" w15:restartNumberingAfterBreak="0">
    <w:nsid w:val="24A203BF"/>
    <w:multiLevelType w:val="hybridMultilevel"/>
    <w:tmpl w:val="ED9AD3C2"/>
    <w:lvl w:ilvl="0" w:tplc="BA20064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7B4C5C"/>
    <w:multiLevelType w:val="hybridMultilevel"/>
    <w:tmpl w:val="797033AA"/>
    <w:lvl w:ilvl="0" w:tplc="7966A330">
      <w:start w:val="1"/>
      <w:numFmt w:val="lowerLetter"/>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19"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20" w15:restartNumberingAfterBreak="0">
    <w:nsid w:val="2CDC30DD"/>
    <w:multiLevelType w:val="hybridMultilevel"/>
    <w:tmpl w:val="BABC515C"/>
    <w:lvl w:ilvl="0" w:tplc="360E0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624BA1"/>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557767"/>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0915DF8"/>
    <w:multiLevelType w:val="multilevel"/>
    <w:tmpl w:val="6098243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342E7901"/>
    <w:multiLevelType w:val="hybridMultilevel"/>
    <w:tmpl w:val="8D4042AE"/>
    <w:lvl w:ilvl="0" w:tplc="80688D4A">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9E7543"/>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7"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28" w15:restartNumberingAfterBreak="0">
    <w:nsid w:val="395A73A4"/>
    <w:multiLevelType w:val="hybridMultilevel"/>
    <w:tmpl w:val="56F45794"/>
    <w:lvl w:ilvl="0" w:tplc="F39E93C4">
      <w:start w:val="1"/>
      <w:numFmt w:val="lowerLetter"/>
      <w:lvlText w:val="(%1)"/>
      <w:lvlJc w:val="left"/>
      <w:pPr>
        <w:ind w:left="114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DD49B7"/>
    <w:multiLevelType w:val="hybridMultilevel"/>
    <w:tmpl w:val="4572A808"/>
    <w:lvl w:ilvl="0" w:tplc="7966A330">
      <w:start w:val="1"/>
      <w:numFmt w:val="lowerLetter"/>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30"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31" w15:restartNumberingAfterBreak="0">
    <w:nsid w:val="3C7C14F4"/>
    <w:multiLevelType w:val="hybridMultilevel"/>
    <w:tmpl w:val="28D4A5D2"/>
    <w:lvl w:ilvl="0" w:tplc="482AE23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164FA9"/>
    <w:multiLevelType w:val="multilevel"/>
    <w:tmpl w:val="61068AA6"/>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148283C"/>
    <w:multiLevelType w:val="multilevel"/>
    <w:tmpl w:val="8DF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3DD3A30"/>
    <w:multiLevelType w:val="hybridMultilevel"/>
    <w:tmpl w:val="B176ADAA"/>
    <w:lvl w:ilvl="0" w:tplc="D270A9B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8756D"/>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51F6846"/>
    <w:multiLevelType w:val="hybridMultilevel"/>
    <w:tmpl w:val="58BC87FA"/>
    <w:lvl w:ilvl="0" w:tplc="7966A330">
      <w:start w:val="1"/>
      <w:numFmt w:val="lowerLetter"/>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37" w15:restartNumberingAfterBreak="0">
    <w:nsid w:val="456B5560"/>
    <w:multiLevelType w:val="multilevel"/>
    <w:tmpl w:val="FBE6553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lang w:val="es-ES_tradn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5883558"/>
    <w:multiLevelType w:val="hybridMultilevel"/>
    <w:tmpl w:val="BABC515C"/>
    <w:lvl w:ilvl="0" w:tplc="360E0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514D44"/>
    <w:multiLevelType w:val="hybridMultilevel"/>
    <w:tmpl w:val="CA2218A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15:restartNumberingAfterBreak="0">
    <w:nsid w:val="46BE1A51"/>
    <w:multiLevelType w:val="hybridMultilevel"/>
    <w:tmpl w:val="6D46728C"/>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2" w15:restartNumberingAfterBreak="0">
    <w:nsid w:val="4A167A3E"/>
    <w:multiLevelType w:val="hybridMultilevel"/>
    <w:tmpl w:val="9D3C99A2"/>
    <w:lvl w:ilvl="0" w:tplc="41629DC4">
      <w:start w:val="1"/>
      <w:numFmt w:val="decimal"/>
      <w:pStyle w:val="TItuloAnexo"/>
      <w:lvlText w:val="%1."/>
      <w:lvlJc w:val="left"/>
      <w:pPr>
        <w:ind w:left="928" w:hanging="360"/>
      </w:pPr>
      <w:rPr>
        <w:rFonts w:hint="default"/>
      </w:rPr>
    </w:lvl>
    <w:lvl w:ilvl="1" w:tplc="199CF7D0">
      <w:start w:val="1"/>
      <w:numFmt w:val="lowerLetter"/>
      <w:lvlText w:val="%2."/>
      <w:lvlJc w:val="left"/>
      <w:pPr>
        <w:ind w:left="1648" w:hanging="360"/>
      </w:pPr>
    </w:lvl>
    <w:lvl w:ilvl="2" w:tplc="745C8588" w:tentative="1">
      <w:start w:val="1"/>
      <w:numFmt w:val="lowerRoman"/>
      <w:lvlText w:val="%3."/>
      <w:lvlJc w:val="right"/>
      <w:pPr>
        <w:ind w:left="2368" w:hanging="180"/>
      </w:pPr>
    </w:lvl>
    <w:lvl w:ilvl="3" w:tplc="5A7A785C" w:tentative="1">
      <w:start w:val="1"/>
      <w:numFmt w:val="decimal"/>
      <w:lvlText w:val="%4."/>
      <w:lvlJc w:val="left"/>
      <w:pPr>
        <w:ind w:left="3088" w:hanging="360"/>
      </w:pPr>
    </w:lvl>
    <w:lvl w:ilvl="4" w:tplc="FB3CE1D8" w:tentative="1">
      <w:start w:val="1"/>
      <w:numFmt w:val="lowerLetter"/>
      <w:lvlText w:val="%5."/>
      <w:lvlJc w:val="left"/>
      <w:pPr>
        <w:ind w:left="3808" w:hanging="360"/>
      </w:pPr>
    </w:lvl>
    <w:lvl w:ilvl="5" w:tplc="D81E712A" w:tentative="1">
      <w:start w:val="1"/>
      <w:numFmt w:val="lowerRoman"/>
      <w:lvlText w:val="%6."/>
      <w:lvlJc w:val="right"/>
      <w:pPr>
        <w:ind w:left="4528" w:hanging="180"/>
      </w:pPr>
    </w:lvl>
    <w:lvl w:ilvl="6" w:tplc="B3D2257E" w:tentative="1">
      <w:start w:val="1"/>
      <w:numFmt w:val="decimal"/>
      <w:lvlText w:val="%7."/>
      <w:lvlJc w:val="left"/>
      <w:pPr>
        <w:ind w:left="5248" w:hanging="360"/>
      </w:pPr>
    </w:lvl>
    <w:lvl w:ilvl="7" w:tplc="AAE4A2B8" w:tentative="1">
      <w:start w:val="1"/>
      <w:numFmt w:val="lowerLetter"/>
      <w:lvlText w:val="%8."/>
      <w:lvlJc w:val="left"/>
      <w:pPr>
        <w:ind w:left="5968" w:hanging="360"/>
      </w:pPr>
    </w:lvl>
    <w:lvl w:ilvl="8" w:tplc="F000E49A" w:tentative="1">
      <w:start w:val="1"/>
      <w:numFmt w:val="lowerRoman"/>
      <w:lvlText w:val="%9."/>
      <w:lvlJc w:val="right"/>
      <w:pPr>
        <w:ind w:left="6688" w:hanging="180"/>
      </w:pPr>
    </w:lvl>
  </w:abstractNum>
  <w:abstractNum w:abstractNumId="43" w15:restartNumberingAfterBreak="0">
    <w:nsid w:val="4FB80014"/>
    <w:multiLevelType w:val="hybridMultilevel"/>
    <w:tmpl w:val="F8A2F404"/>
    <w:lvl w:ilvl="0" w:tplc="13F4D034">
      <w:start w:val="1"/>
      <w:numFmt w:val="bullet"/>
      <w:lvlText w:val=""/>
      <w:lvlJc w:val="left"/>
      <w:pPr>
        <w:ind w:left="502" w:hanging="360"/>
      </w:pPr>
      <w:rPr>
        <w:rFonts w:ascii="Symbol" w:hAnsi="Symbol" w:hint="default"/>
        <w:color w:val="auto"/>
        <w:sz w:val="18"/>
        <w:szCs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0">
    <w:nsid w:val="50CD7DF5"/>
    <w:multiLevelType w:val="multilevel"/>
    <w:tmpl w:val="C5D03A4A"/>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2694911"/>
    <w:multiLevelType w:val="hybridMultilevel"/>
    <w:tmpl w:val="9C3E6E1C"/>
    <w:lvl w:ilvl="0" w:tplc="13F4D034">
      <w:start w:val="1"/>
      <w:numFmt w:val="bullet"/>
      <w:lvlText w:val=""/>
      <w:lvlJc w:val="left"/>
      <w:pPr>
        <w:ind w:left="720" w:hanging="360"/>
      </w:pPr>
      <w:rPr>
        <w:rFonts w:ascii="Symbol" w:hAnsi="Symbol" w:hint="default"/>
        <w:color w:val="auto"/>
        <w:sz w:val="18"/>
        <w:szCs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15:restartNumberingAfterBreak="0">
    <w:nsid w:val="53774A7F"/>
    <w:multiLevelType w:val="hybridMultilevel"/>
    <w:tmpl w:val="74100008"/>
    <w:lvl w:ilvl="0" w:tplc="1C50864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CA4207"/>
    <w:multiLevelType w:val="hybridMultilevel"/>
    <w:tmpl w:val="717E6212"/>
    <w:lvl w:ilvl="0" w:tplc="D270A9B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237B6F"/>
    <w:multiLevelType w:val="hybridMultilevel"/>
    <w:tmpl w:val="6CC2C5B2"/>
    <w:lvl w:ilvl="0" w:tplc="072C7F2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D929A2"/>
    <w:multiLevelType w:val="hybridMultilevel"/>
    <w:tmpl w:val="A914EA3C"/>
    <w:lvl w:ilvl="0" w:tplc="2284959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4519A3"/>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0584DC0"/>
    <w:multiLevelType w:val="hybridMultilevel"/>
    <w:tmpl w:val="F36ABDCE"/>
    <w:lvl w:ilvl="0" w:tplc="7966A330">
      <w:start w:val="1"/>
      <w:numFmt w:val="lowerLetter"/>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52"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3" w15:restartNumberingAfterBreak="0">
    <w:nsid w:val="60B70B68"/>
    <w:multiLevelType w:val="multilevel"/>
    <w:tmpl w:val="98D6EE6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color w:val="auto"/>
        <w:sz w:val="22"/>
        <w:szCs w:val="22"/>
      </w:rPr>
    </w:lvl>
    <w:lvl w:ilvl="2">
      <w:start w:val="1"/>
      <w:numFmt w:val="lowerLetter"/>
      <w:lvlText w:val="%3."/>
      <w:lvlJc w:val="left"/>
      <w:pPr>
        <w:tabs>
          <w:tab w:val="num" w:pos="1152"/>
        </w:tabs>
        <w:ind w:left="1152" w:hanging="432"/>
      </w:pPr>
      <w:rPr>
        <w:color w:val="auto"/>
      </w:rPr>
    </w:lvl>
    <w:lvl w:ilvl="3">
      <w:start w:val="1"/>
      <w:numFmt w:val="lowerLetter"/>
      <w:lvlText w:val="%4."/>
      <w:lvlJc w:val="right"/>
      <w:pPr>
        <w:tabs>
          <w:tab w:val="num" w:pos="3024"/>
        </w:tabs>
        <w:ind w:left="3024" w:hanging="288"/>
      </w:pPr>
      <w:rPr>
        <w:rFonts w:ascii="Arial" w:eastAsia="Times New Roman" w:hAnsi="Arial" w:cs="Arial"/>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4"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3DA6667"/>
    <w:multiLevelType w:val="hybridMultilevel"/>
    <w:tmpl w:val="ADA40058"/>
    <w:lvl w:ilvl="0" w:tplc="AD763A1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9148C9"/>
    <w:multiLevelType w:val="multilevel"/>
    <w:tmpl w:val="FB30F73E"/>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4A4A61"/>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7A90DE1"/>
    <w:multiLevelType w:val="hybridMultilevel"/>
    <w:tmpl w:val="33CA23AC"/>
    <w:lvl w:ilvl="0" w:tplc="E8128E00">
      <w:start w:val="1"/>
      <w:numFmt w:val="upperLetter"/>
      <w:lvlText w:val="%1."/>
      <w:lvlJc w:val="left"/>
      <w:pPr>
        <w:ind w:left="1080" w:hanging="360"/>
      </w:pPr>
      <w:rPr>
        <w:rFonts w:hint="default"/>
        <w:b/>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61" w15:restartNumberingAfterBreak="0">
    <w:nsid w:val="683C1680"/>
    <w:multiLevelType w:val="hybridMultilevel"/>
    <w:tmpl w:val="717E6212"/>
    <w:lvl w:ilvl="0" w:tplc="D270A9B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8AD1484"/>
    <w:multiLevelType w:val="multilevel"/>
    <w:tmpl w:val="7260671A"/>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AA03DB1"/>
    <w:multiLevelType w:val="hybridMultilevel"/>
    <w:tmpl w:val="E3A268D2"/>
    <w:lvl w:ilvl="0" w:tplc="300A0003">
      <w:start w:val="1"/>
      <w:numFmt w:val="bullet"/>
      <w:lvlText w:val="o"/>
      <w:lvlJc w:val="left"/>
      <w:pPr>
        <w:ind w:left="502" w:hanging="360"/>
      </w:pPr>
      <w:rPr>
        <w:rFonts w:ascii="Courier New" w:hAnsi="Courier New" w:cs="Courier New" w:hint="default"/>
        <w:color w:val="auto"/>
        <w:sz w:val="18"/>
        <w:szCs w:val="18"/>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4"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65"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66"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714533EE"/>
    <w:multiLevelType w:val="hybridMultilevel"/>
    <w:tmpl w:val="C3C024F0"/>
    <w:lvl w:ilvl="0" w:tplc="7966A330">
      <w:start w:val="1"/>
      <w:numFmt w:val="lowerLetter"/>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68" w15:restartNumberingAfterBreak="0">
    <w:nsid w:val="79A80436"/>
    <w:multiLevelType w:val="multilevel"/>
    <w:tmpl w:val="891A18C8"/>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0C01D8"/>
    <w:multiLevelType w:val="hybridMultilevel"/>
    <w:tmpl w:val="E6BA2E7E"/>
    <w:lvl w:ilvl="0" w:tplc="A53A2702">
      <w:start w:val="1"/>
      <w:numFmt w:val="lowerLetter"/>
      <w:lvlText w:val="(%1)"/>
      <w:lvlJc w:val="left"/>
      <w:pPr>
        <w:ind w:left="114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B9E378C"/>
    <w:multiLevelType w:val="hybridMultilevel"/>
    <w:tmpl w:val="45A8B830"/>
    <w:lvl w:ilvl="0" w:tplc="7966A330">
      <w:start w:val="1"/>
      <w:numFmt w:val="lowerLetter"/>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71" w15:restartNumberingAfterBreak="0">
    <w:nsid w:val="7BB469A1"/>
    <w:multiLevelType w:val="hybridMultilevel"/>
    <w:tmpl w:val="A560DD8C"/>
    <w:lvl w:ilvl="0" w:tplc="300A0001">
      <w:start w:val="1"/>
      <w:numFmt w:val="bullet"/>
      <w:lvlText w:val=""/>
      <w:lvlJc w:val="left"/>
      <w:pPr>
        <w:ind w:left="2160" w:hanging="360"/>
      </w:pPr>
      <w:rPr>
        <w:rFonts w:ascii="Symbol" w:hAnsi="Symbol" w:hint="default"/>
      </w:rPr>
    </w:lvl>
    <w:lvl w:ilvl="1" w:tplc="300A0003" w:tentative="1">
      <w:start w:val="1"/>
      <w:numFmt w:val="bullet"/>
      <w:lvlText w:val="o"/>
      <w:lvlJc w:val="left"/>
      <w:pPr>
        <w:ind w:left="2880" w:hanging="360"/>
      </w:pPr>
      <w:rPr>
        <w:rFonts w:ascii="Courier New" w:hAnsi="Courier New" w:cs="Courier New" w:hint="default"/>
      </w:rPr>
    </w:lvl>
    <w:lvl w:ilvl="2" w:tplc="300A0005" w:tentative="1">
      <w:start w:val="1"/>
      <w:numFmt w:val="bullet"/>
      <w:lvlText w:val=""/>
      <w:lvlJc w:val="left"/>
      <w:pPr>
        <w:ind w:left="3600" w:hanging="360"/>
      </w:pPr>
      <w:rPr>
        <w:rFonts w:ascii="Wingdings" w:hAnsi="Wingdings" w:hint="default"/>
      </w:rPr>
    </w:lvl>
    <w:lvl w:ilvl="3" w:tplc="300A0001" w:tentative="1">
      <w:start w:val="1"/>
      <w:numFmt w:val="bullet"/>
      <w:lvlText w:val=""/>
      <w:lvlJc w:val="left"/>
      <w:pPr>
        <w:ind w:left="4320" w:hanging="360"/>
      </w:pPr>
      <w:rPr>
        <w:rFonts w:ascii="Symbol" w:hAnsi="Symbol" w:hint="default"/>
      </w:rPr>
    </w:lvl>
    <w:lvl w:ilvl="4" w:tplc="300A0003" w:tentative="1">
      <w:start w:val="1"/>
      <w:numFmt w:val="bullet"/>
      <w:lvlText w:val="o"/>
      <w:lvlJc w:val="left"/>
      <w:pPr>
        <w:ind w:left="5040" w:hanging="360"/>
      </w:pPr>
      <w:rPr>
        <w:rFonts w:ascii="Courier New" w:hAnsi="Courier New" w:cs="Courier New" w:hint="default"/>
      </w:rPr>
    </w:lvl>
    <w:lvl w:ilvl="5" w:tplc="300A0005" w:tentative="1">
      <w:start w:val="1"/>
      <w:numFmt w:val="bullet"/>
      <w:lvlText w:val=""/>
      <w:lvlJc w:val="left"/>
      <w:pPr>
        <w:ind w:left="5760" w:hanging="360"/>
      </w:pPr>
      <w:rPr>
        <w:rFonts w:ascii="Wingdings" w:hAnsi="Wingdings" w:hint="default"/>
      </w:rPr>
    </w:lvl>
    <w:lvl w:ilvl="6" w:tplc="300A0001" w:tentative="1">
      <w:start w:val="1"/>
      <w:numFmt w:val="bullet"/>
      <w:lvlText w:val=""/>
      <w:lvlJc w:val="left"/>
      <w:pPr>
        <w:ind w:left="6480" w:hanging="360"/>
      </w:pPr>
      <w:rPr>
        <w:rFonts w:ascii="Symbol" w:hAnsi="Symbol" w:hint="default"/>
      </w:rPr>
    </w:lvl>
    <w:lvl w:ilvl="7" w:tplc="300A0003" w:tentative="1">
      <w:start w:val="1"/>
      <w:numFmt w:val="bullet"/>
      <w:lvlText w:val="o"/>
      <w:lvlJc w:val="left"/>
      <w:pPr>
        <w:ind w:left="7200" w:hanging="360"/>
      </w:pPr>
      <w:rPr>
        <w:rFonts w:ascii="Courier New" w:hAnsi="Courier New" w:cs="Courier New" w:hint="default"/>
      </w:rPr>
    </w:lvl>
    <w:lvl w:ilvl="8" w:tplc="300A0005" w:tentative="1">
      <w:start w:val="1"/>
      <w:numFmt w:val="bullet"/>
      <w:lvlText w:val=""/>
      <w:lvlJc w:val="left"/>
      <w:pPr>
        <w:ind w:left="7920" w:hanging="360"/>
      </w:pPr>
      <w:rPr>
        <w:rFonts w:ascii="Wingdings" w:hAnsi="Wingdings" w:hint="default"/>
      </w:rPr>
    </w:lvl>
  </w:abstractNum>
  <w:num w:numId="1">
    <w:abstractNumId w:val="65"/>
  </w:num>
  <w:num w:numId="2">
    <w:abstractNumId w:val="26"/>
  </w:num>
  <w:num w:numId="3">
    <w:abstractNumId w:val="30"/>
  </w:num>
  <w:num w:numId="4">
    <w:abstractNumId w:val="19"/>
  </w:num>
  <w:num w:numId="5">
    <w:abstractNumId w:val="52"/>
  </w:num>
  <w:num w:numId="6">
    <w:abstractNumId w:val="64"/>
  </w:num>
  <w:num w:numId="7">
    <w:abstractNumId w:val="10"/>
  </w:num>
  <w:num w:numId="8">
    <w:abstractNumId w:val="27"/>
  </w:num>
  <w:num w:numId="9">
    <w:abstractNumId w:val="55"/>
  </w:num>
  <w:num w:numId="10">
    <w:abstractNumId w:val="33"/>
  </w:num>
  <w:num w:numId="11">
    <w:abstractNumId w:val="68"/>
  </w:num>
  <w:num w:numId="12">
    <w:abstractNumId w:val="41"/>
  </w:num>
  <w:num w:numId="13">
    <w:abstractNumId w:val="54"/>
  </w:num>
  <w:num w:numId="14">
    <w:abstractNumId w:val="58"/>
  </w:num>
  <w:num w:numId="15">
    <w:abstractNumId w:val="66"/>
  </w:num>
  <w:num w:numId="16">
    <w:abstractNumId w:val="42"/>
  </w:num>
  <w:num w:numId="17">
    <w:abstractNumId w:val="59"/>
  </w:num>
  <w:num w:numId="18">
    <w:abstractNumId w:val="50"/>
  </w:num>
  <w:num w:numId="19">
    <w:abstractNumId w:val="40"/>
  </w:num>
  <w:num w:numId="20">
    <w:abstractNumId w:val="8"/>
  </w:num>
  <w:num w:numId="21">
    <w:abstractNumId w:val="5"/>
  </w:num>
  <w:num w:numId="22">
    <w:abstractNumId w:val="71"/>
  </w:num>
  <w:num w:numId="23">
    <w:abstractNumId w:val="53"/>
  </w:num>
  <w:num w:numId="24">
    <w:abstractNumId w:val="3"/>
  </w:num>
  <w:num w:numId="25">
    <w:abstractNumId w:val="2"/>
  </w:num>
  <w:num w:numId="26">
    <w:abstractNumId w:val="43"/>
  </w:num>
  <w:num w:numId="27">
    <w:abstractNumId w:val="63"/>
  </w:num>
  <w:num w:numId="28">
    <w:abstractNumId w:val="45"/>
  </w:num>
  <w:num w:numId="29">
    <w:abstractNumId w:val="60"/>
  </w:num>
  <w:num w:numId="30">
    <w:abstractNumId w:val="39"/>
  </w:num>
  <w:num w:numId="31">
    <w:abstractNumId w:val="16"/>
  </w:num>
  <w:num w:numId="32">
    <w:abstractNumId w:val="23"/>
  </w:num>
  <w:num w:numId="33">
    <w:abstractNumId w:val="24"/>
  </w:num>
  <w:num w:numId="34">
    <w:abstractNumId w:val="1"/>
  </w:num>
  <w:num w:numId="35">
    <w:abstractNumId w:val="34"/>
  </w:num>
  <w:num w:numId="36">
    <w:abstractNumId w:val="44"/>
  </w:num>
  <w:num w:numId="37">
    <w:abstractNumId w:val="6"/>
  </w:num>
  <w:num w:numId="38">
    <w:abstractNumId w:val="9"/>
  </w:num>
  <w:num w:numId="39">
    <w:abstractNumId w:val="0"/>
  </w:num>
  <w:num w:numId="40">
    <w:abstractNumId w:val="12"/>
  </w:num>
  <w:num w:numId="41">
    <w:abstractNumId w:val="32"/>
  </w:num>
  <w:num w:numId="42">
    <w:abstractNumId w:val="7"/>
  </w:num>
  <w:num w:numId="43">
    <w:abstractNumId w:val="46"/>
  </w:num>
  <w:num w:numId="44">
    <w:abstractNumId w:val="57"/>
  </w:num>
  <w:num w:numId="45">
    <w:abstractNumId w:val="62"/>
  </w:num>
  <w:num w:numId="46">
    <w:abstractNumId w:val="56"/>
  </w:num>
  <w:num w:numId="47">
    <w:abstractNumId w:val="17"/>
  </w:num>
  <w:num w:numId="48">
    <w:abstractNumId w:val="18"/>
  </w:num>
  <w:num w:numId="49">
    <w:abstractNumId w:val="15"/>
  </w:num>
  <w:num w:numId="50">
    <w:abstractNumId w:val="51"/>
  </w:num>
  <w:num w:numId="51">
    <w:abstractNumId w:val="48"/>
  </w:num>
  <w:num w:numId="52">
    <w:abstractNumId w:val="67"/>
  </w:num>
  <w:num w:numId="53">
    <w:abstractNumId w:val="29"/>
  </w:num>
  <w:num w:numId="54">
    <w:abstractNumId w:val="70"/>
  </w:num>
  <w:num w:numId="55">
    <w:abstractNumId w:val="49"/>
  </w:num>
  <w:num w:numId="56">
    <w:abstractNumId w:val="36"/>
  </w:num>
  <w:num w:numId="57">
    <w:abstractNumId w:val="28"/>
  </w:num>
  <w:num w:numId="58">
    <w:abstractNumId w:val="69"/>
  </w:num>
  <w:num w:numId="59">
    <w:abstractNumId w:val="31"/>
  </w:num>
  <w:num w:numId="60">
    <w:abstractNumId w:val="4"/>
  </w:num>
  <w:num w:numId="61">
    <w:abstractNumId w:val="47"/>
  </w:num>
  <w:num w:numId="62">
    <w:abstractNumId w:val="13"/>
  </w:num>
  <w:num w:numId="63">
    <w:abstractNumId w:val="21"/>
  </w:num>
  <w:num w:numId="64">
    <w:abstractNumId w:val="22"/>
  </w:num>
  <w:num w:numId="65">
    <w:abstractNumId w:val="11"/>
  </w:num>
  <w:num w:numId="66">
    <w:abstractNumId w:val="25"/>
  </w:num>
  <w:num w:numId="67">
    <w:abstractNumId w:val="35"/>
  </w:num>
  <w:num w:numId="68">
    <w:abstractNumId w:val="37"/>
  </w:num>
  <w:num w:numId="69">
    <w:abstractNumId w:val="61"/>
  </w:num>
  <w:num w:numId="70">
    <w:abstractNumId w:val="14"/>
  </w:num>
  <w:num w:numId="71">
    <w:abstractNumId w:val="38"/>
  </w:num>
  <w:num w:numId="72">
    <w:abstractNumId w:val="2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C" w:vendorID="64" w:dllVersion="6" w:nlCheck="1" w:checkStyle="1"/>
  <w:activeWritingStyle w:appName="MSWord" w:lang="en-GB" w:vendorID="64" w:dllVersion="6" w:nlCheck="1" w:checkStyle="1"/>
  <w:activeWritingStyle w:appName="MSWord" w:lang="es-AR" w:vendorID="64" w:dllVersion="6" w:nlCheck="1" w:checkStyle="1"/>
  <w:activeWritingStyle w:appName="MSWord" w:lang="es-MX" w:vendorID="64" w:dllVersion="6" w:nlCheck="1" w:checkStyle="1"/>
  <w:activeWritingStyle w:appName="MSWord" w:lang="es-CO" w:vendorID="64" w:dllVersion="6" w:nlCheck="1" w:checkStyle="1"/>
  <w:activeWritingStyle w:appName="MSWord" w:lang="es-BO"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activeWritingStyle w:appName="MSWord" w:lang="en-GB" w:vendorID="64" w:dllVersion="0" w:nlCheck="1" w:checkStyle="0"/>
  <w:activeWritingStyle w:appName="MSWord" w:lang="en-US" w:vendorID="64" w:dllVersion="0" w:nlCheck="1" w:checkStyle="0"/>
  <w:activeWritingStyle w:appName="MSWord" w:lang="es-EC" w:vendorID="64" w:dllVersion="0" w:nlCheck="1" w:checkStyle="0"/>
  <w:activeWritingStyle w:appName="MSWord" w:lang="es-MX"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C"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hyphenationZone w:val="425"/>
  <w:drawingGridHorizontalSpacing w:val="237"/>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1A95"/>
    <w:rsid w:val="000020D6"/>
    <w:rsid w:val="000022FB"/>
    <w:rsid w:val="0000236C"/>
    <w:rsid w:val="0000263D"/>
    <w:rsid w:val="00004A60"/>
    <w:rsid w:val="00006971"/>
    <w:rsid w:val="00006996"/>
    <w:rsid w:val="0001006D"/>
    <w:rsid w:val="0001063E"/>
    <w:rsid w:val="00012907"/>
    <w:rsid w:val="00013C29"/>
    <w:rsid w:val="00014886"/>
    <w:rsid w:val="00015318"/>
    <w:rsid w:val="00016FC2"/>
    <w:rsid w:val="00017FB8"/>
    <w:rsid w:val="0002028E"/>
    <w:rsid w:val="000205AA"/>
    <w:rsid w:val="0002127B"/>
    <w:rsid w:val="00021C9A"/>
    <w:rsid w:val="000220AE"/>
    <w:rsid w:val="00024437"/>
    <w:rsid w:val="00024A0A"/>
    <w:rsid w:val="0002594E"/>
    <w:rsid w:val="00025FB5"/>
    <w:rsid w:val="00027783"/>
    <w:rsid w:val="00033598"/>
    <w:rsid w:val="0003399C"/>
    <w:rsid w:val="00033ABA"/>
    <w:rsid w:val="000341CA"/>
    <w:rsid w:val="00035677"/>
    <w:rsid w:val="000410B2"/>
    <w:rsid w:val="00042743"/>
    <w:rsid w:val="00042940"/>
    <w:rsid w:val="00042FA5"/>
    <w:rsid w:val="00043160"/>
    <w:rsid w:val="00043D04"/>
    <w:rsid w:val="000457D7"/>
    <w:rsid w:val="000501D5"/>
    <w:rsid w:val="00051592"/>
    <w:rsid w:val="00052887"/>
    <w:rsid w:val="00052958"/>
    <w:rsid w:val="00052C69"/>
    <w:rsid w:val="00053194"/>
    <w:rsid w:val="000539CC"/>
    <w:rsid w:val="000545F3"/>
    <w:rsid w:val="0005630D"/>
    <w:rsid w:val="000571FA"/>
    <w:rsid w:val="0005774B"/>
    <w:rsid w:val="00060779"/>
    <w:rsid w:val="00061C4A"/>
    <w:rsid w:val="00062F3E"/>
    <w:rsid w:val="00063B89"/>
    <w:rsid w:val="0006464F"/>
    <w:rsid w:val="000653FF"/>
    <w:rsid w:val="00065F7E"/>
    <w:rsid w:val="00070411"/>
    <w:rsid w:val="00070CEC"/>
    <w:rsid w:val="0007114D"/>
    <w:rsid w:val="0007115A"/>
    <w:rsid w:val="000725ED"/>
    <w:rsid w:val="000737E0"/>
    <w:rsid w:val="00074E94"/>
    <w:rsid w:val="00074EB0"/>
    <w:rsid w:val="00077F1C"/>
    <w:rsid w:val="00077FB1"/>
    <w:rsid w:val="000831A2"/>
    <w:rsid w:val="0008378F"/>
    <w:rsid w:val="00084D71"/>
    <w:rsid w:val="0008521B"/>
    <w:rsid w:val="00085F9A"/>
    <w:rsid w:val="00086A49"/>
    <w:rsid w:val="00087E85"/>
    <w:rsid w:val="00091AD4"/>
    <w:rsid w:val="00091D11"/>
    <w:rsid w:val="0009203D"/>
    <w:rsid w:val="000924FD"/>
    <w:rsid w:val="00094261"/>
    <w:rsid w:val="00094851"/>
    <w:rsid w:val="000948F8"/>
    <w:rsid w:val="000A06A8"/>
    <w:rsid w:val="000A10D8"/>
    <w:rsid w:val="000A2BD2"/>
    <w:rsid w:val="000A39D1"/>
    <w:rsid w:val="000A3E8D"/>
    <w:rsid w:val="000A3F4E"/>
    <w:rsid w:val="000A4009"/>
    <w:rsid w:val="000A53A5"/>
    <w:rsid w:val="000A603C"/>
    <w:rsid w:val="000B055D"/>
    <w:rsid w:val="000B0AFF"/>
    <w:rsid w:val="000B2EAC"/>
    <w:rsid w:val="000B30DF"/>
    <w:rsid w:val="000B3C00"/>
    <w:rsid w:val="000B461F"/>
    <w:rsid w:val="000B53A9"/>
    <w:rsid w:val="000B5CD2"/>
    <w:rsid w:val="000B682D"/>
    <w:rsid w:val="000B69FD"/>
    <w:rsid w:val="000B723F"/>
    <w:rsid w:val="000B7DB1"/>
    <w:rsid w:val="000C064B"/>
    <w:rsid w:val="000C085F"/>
    <w:rsid w:val="000C1425"/>
    <w:rsid w:val="000C1503"/>
    <w:rsid w:val="000C1BBA"/>
    <w:rsid w:val="000C29FF"/>
    <w:rsid w:val="000C4FF8"/>
    <w:rsid w:val="000C5DDD"/>
    <w:rsid w:val="000C635B"/>
    <w:rsid w:val="000C6592"/>
    <w:rsid w:val="000C7995"/>
    <w:rsid w:val="000C7BA5"/>
    <w:rsid w:val="000C7D2D"/>
    <w:rsid w:val="000D0D1E"/>
    <w:rsid w:val="000D0D4F"/>
    <w:rsid w:val="000D1328"/>
    <w:rsid w:val="000D29F5"/>
    <w:rsid w:val="000D34DF"/>
    <w:rsid w:val="000D495B"/>
    <w:rsid w:val="000D54D4"/>
    <w:rsid w:val="000D6DFC"/>
    <w:rsid w:val="000E0616"/>
    <w:rsid w:val="000E1513"/>
    <w:rsid w:val="000E1CA3"/>
    <w:rsid w:val="000E37AF"/>
    <w:rsid w:val="000E42D8"/>
    <w:rsid w:val="000E5F94"/>
    <w:rsid w:val="000F23CE"/>
    <w:rsid w:val="000F2831"/>
    <w:rsid w:val="000F32E6"/>
    <w:rsid w:val="000F356A"/>
    <w:rsid w:val="000F42DB"/>
    <w:rsid w:val="000F5080"/>
    <w:rsid w:val="000F5CD3"/>
    <w:rsid w:val="000F61A7"/>
    <w:rsid w:val="000F6626"/>
    <w:rsid w:val="000F7196"/>
    <w:rsid w:val="000F751C"/>
    <w:rsid w:val="00100B81"/>
    <w:rsid w:val="00100C6C"/>
    <w:rsid w:val="00101691"/>
    <w:rsid w:val="00103750"/>
    <w:rsid w:val="001058E9"/>
    <w:rsid w:val="00105AFA"/>
    <w:rsid w:val="0010743F"/>
    <w:rsid w:val="00110DDC"/>
    <w:rsid w:val="00113D56"/>
    <w:rsid w:val="00113E0A"/>
    <w:rsid w:val="00113FF2"/>
    <w:rsid w:val="00114A8C"/>
    <w:rsid w:val="00115785"/>
    <w:rsid w:val="001158EE"/>
    <w:rsid w:val="00115D80"/>
    <w:rsid w:val="0011719E"/>
    <w:rsid w:val="00117A04"/>
    <w:rsid w:val="0012017B"/>
    <w:rsid w:val="00120AA6"/>
    <w:rsid w:val="0012129F"/>
    <w:rsid w:val="00121C68"/>
    <w:rsid w:val="001227CE"/>
    <w:rsid w:val="001232AF"/>
    <w:rsid w:val="001251E3"/>
    <w:rsid w:val="00126467"/>
    <w:rsid w:val="00126B53"/>
    <w:rsid w:val="00126B92"/>
    <w:rsid w:val="00131140"/>
    <w:rsid w:val="00131BCB"/>
    <w:rsid w:val="001323E1"/>
    <w:rsid w:val="00133055"/>
    <w:rsid w:val="00133A9B"/>
    <w:rsid w:val="00133BE3"/>
    <w:rsid w:val="00133FB3"/>
    <w:rsid w:val="001351DD"/>
    <w:rsid w:val="00141170"/>
    <w:rsid w:val="00143B2D"/>
    <w:rsid w:val="0014406A"/>
    <w:rsid w:val="00144583"/>
    <w:rsid w:val="00145066"/>
    <w:rsid w:val="001458AE"/>
    <w:rsid w:val="001459D8"/>
    <w:rsid w:val="00145B82"/>
    <w:rsid w:val="00146F71"/>
    <w:rsid w:val="00146FDE"/>
    <w:rsid w:val="001470CA"/>
    <w:rsid w:val="00150810"/>
    <w:rsid w:val="001508B5"/>
    <w:rsid w:val="001522BC"/>
    <w:rsid w:val="001523E1"/>
    <w:rsid w:val="00152C74"/>
    <w:rsid w:val="00152F69"/>
    <w:rsid w:val="00153AEF"/>
    <w:rsid w:val="00156D27"/>
    <w:rsid w:val="00160DF7"/>
    <w:rsid w:val="0016128B"/>
    <w:rsid w:val="0016497F"/>
    <w:rsid w:val="00164D86"/>
    <w:rsid w:val="00165C07"/>
    <w:rsid w:val="001671E7"/>
    <w:rsid w:val="001714D3"/>
    <w:rsid w:val="001718B2"/>
    <w:rsid w:val="00171BF5"/>
    <w:rsid w:val="00172583"/>
    <w:rsid w:val="00173677"/>
    <w:rsid w:val="0017457B"/>
    <w:rsid w:val="00175BF3"/>
    <w:rsid w:val="00176807"/>
    <w:rsid w:val="00177824"/>
    <w:rsid w:val="0018034C"/>
    <w:rsid w:val="0018197F"/>
    <w:rsid w:val="00182AA4"/>
    <w:rsid w:val="001838E4"/>
    <w:rsid w:val="00190ED3"/>
    <w:rsid w:val="001919BC"/>
    <w:rsid w:val="001925C8"/>
    <w:rsid w:val="00192B66"/>
    <w:rsid w:val="0019361A"/>
    <w:rsid w:val="00193813"/>
    <w:rsid w:val="001938C1"/>
    <w:rsid w:val="00193973"/>
    <w:rsid w:val="00193C8A"/>
    <w:rsid w:val="00194598"/>
    <w:rsid w:val="00194620"/>
    <w:rsid w:val="001946B3"/>
    <w:rsid w:val="00194A4F"/>
    <w:rsid w:val="00195206"/>
    <w:rsid w:val="0019710C"/>
    <w:rsid w:val="00197B77"/>
    <w:rsid w:val="001A29B1"/>
    <w:rsid w:val="001A4C0B"/>
    <w:rsid w:val="001A5B19"/>
    <w:rsid w:val="001A6293"/>
    <w:rsid w:val="001A6374"/>
    <w:rsid w:val="001B16C0"/>
    <w:rsid w:val="001B18BB"/>
    <w:rsid w:val="001B28B1"/>
    <w:rsid w:val="001B4AA5"/>
    <w:rsid w:val="001B4B75"/>
    <w:rsid w:val="001B5186"/>
    <w:rsid w:val="001B5453"/>
    <w:rsid w:val="001B5ED9"/>
    <w:rsid w:val="001B74AC"/>
    <w:rsid w:val="001B76D0"/>
    <w:rsid w:val="001B7D20"/>
    <w:rsid w:val="001C02C5"/>
    <w:rsid w:val="001C2999"/>
    <w:rsid w:val="001C3B33"/>
    <w:rsid w:val="001C5AC3"/>
    <w:rsid w:val="001C5EE6"/>
    <w:rsid w:val="001C647D"/>
    <w:rsid w:val="001C6504"/>
    <w:rsid w:val="001C6CFB"/>
    <w:rsid w:val="001D02DD"/>
    <w:rsid w:val="001D05A9"/>
    <w:rsid w:val="001D0A67"/>
    <w:rsid w:val="001D0A7C"/>
    <w:rsid w:val="001D0B7B"/>
    <w:rsid w:val="001D1C6D"/>
    <w:rsid w:val="001D2BC4"/>
    <w:rsid w:val="001D2E04"/>
    <w:rsid w:val="001D33F1"/>
    <w:rsid w:val="001D603B"/>
    <w:rsid w:val="001D65F2"/>
    <w:rsid w:val="001D6B04"/>
    <w:rsid w:val="001D6F72"/>
    <w:rsid w:val="001E129F"/>
    <w:rsid w:val="001E1629"/>
    <w:rsid w:val="001E3203"/>
    <w:rsid w:val="001E3B89"/>
    <w:rsid w:val="001E4849"/>
    <w:rsid w:val="001E5553"/>
    <w:rsid w:val="001E6478"/>
    <w:rsid w:val="001E7634"/>
    <w:rsid w:val="001E791F"/>
    <w:rsid w:val="001F0B03"/>
    <w:rsid w:val="001F12EC"/>
    <w:rsid w:val="001F17B0"/>
    <w:rsid w:val="001F1B35"/>
    <w:rsid w:val="001F25E2"/>
    <w:rsid w:val="001F4C88"/>
    <w:rsid w:val="001F59AB"/>
    <w:rsid w:val="001F5A8C"/>
    <w:rsid w:val="001F66F5"/>
    <w:rsid w:val="001F730F"/>
    <w:rsid w:val="00200C6A"/>
    <w:rsid w:val="00200F00"/>
    <w:rsid w:val="002010F9"/>
    <w:rsid w:val="00201100"/>
    <w:rsid w:val="00201A08"/>
    <w:rsid w:val="00201B89"/>
    <w:rsid w:val="00202AD8"/>
    <w:rsid w:val="00202F6A"/>
    <w:rsid w:val="00203FA0"/>
    <w:rsid w:val="00204415"/>
    <w:rsid w:val="00206534"/>
    <w:rsid w:val="002071AA"/>
    <w:rsid w:val="00210C42"/>
    <w:rsid w:val="00210D5F"/>
    <w:rsid w:val="002113B5"/>
    <w:rsid w:val="0021172D"/>
    <w:rsid w:val="00211E37"/>
    <w:rsid w:val="00212719"/>
    <w:rsid w:val="00213022"/>
    <w:rsid w:val="00214FC6"/>
    <w:rsid w:val="00215A56"/>
    <w:rsid w:val="0021612C"/>
    <w:rsid w:val="00217612"/>
    <w:rsid w:val="00220F68"/>
    <w:rsid w:val="0022102C"/>
    <w:rsid w:val="00222FFE"/>
    <w:rsid w:val="00223291"/>
    <w:rsid w:val="0022342D"/>
    <w:rsid w:val="00223A0B"/>
    <w:rsid w:val="00224728"/>
    <w:rsid w:val="002250EB"/>
    <w:rsid w:val="002267AC"/>
    <w:rsid w:val="00226FC5"/>
    <w:rsid w:val="00231C51"/>
    <w:rsid w:val="002352AA"/>
    <w:rsid w:val="0023648C"/>
    <w:rsid w:val="0023765D"/>
    <w:rsid w:val="00241F59"/>
    <w:rsid w:val="00243485"/>
    <w:rsid w:val="00243B33"/>
    <w:rsid w:val="00244B9C"/>
    <w:rsid w:val="0024571D"/>
    <w:rsid w:val="00245D71"/>
    <w:rsid w:val="002473C7"/>
    <w:rsid w:val="0025058B"/>
    <w:rsid w:val="0025239D"/>
    <w:rsid w:val="0025510D"/>
    <w:rsid w:val="00255A82"/>
    <w:rsid w:val="00256B83"/>
    <w:rsid w:val="00257145"/>
    <w:rsid w:val="00257175"/>
    <w:rsid w:val="00263FF6"/>
    <w:rsid w:val="00264C20"/>
    <w:rsid w:val="00265EF1"/>
    <w:rsid w:val="00266997"/>
    <w:rsid w:val="00266E44"/>
    <w:rsid w:val="00272142"/>
    <w:rsid w:val="00272287"/>
    <w:rsid w:val="00273020"/>
    <w:rsid w:val="0027338C"/>
    <w:rsid w:val="002738FA"/>
    <w:rsid w:val="00276254"/>
    <w:rsid w:val="00276433"/>
    <w:rsid w:val="0027787F"/>
    <w:rsid w:val="00277F0B"/>
    <w:rsid w:val="00280175"/>
    <w:rsid w:val="002806E2"/>
    <w:rsid w:val="00280849"/>
    <w:rsid w:val="002808D6"/>
    <w:rsid w:val="00281B07"/>
    <w:rsid w:val="00282FC6"/>
    <w:rsid w:val="0028406C"/>
    <w:rsid w:val="002856F4"/>
    <w:rsid w:val="00286C85"/>
    <w:rsid w:val="0028764B"/>
    <w:rsid w:val="00290B6F"/>
    <w:rsid w:val="002912FF"/>
    <w:rsid w:val="0029150F"/>
    <w:rsid w:val="00291775"/>
    <w:rsid w:val="00294D7C"/>
    <w:rsid w:val="002961BC"/>
    <w:rsid w:val="002A13A6"/>
    <w:rsid w:val="002A402D"/>
    <w:rsid w:val="002A5F32"/>
    <w:rsid w:val="002A66B1"/>
    <w:rsid w:val="002A7D58"/>
    <w:rsid w:val="002A7DE1"/>
    <w:rsid w:val="002B00C7"/>
    <w:rsid w:val="002B31F7"/>
    <w:rsid w:val="002B532A"/>
    <w:rsid w:val="002B5F31"/>
    <w:rsid w:val="002C2BBD"/>
    <w:rsid w:val="002C3938"/>
    <w:rsid w:val="002C4BE8"/>
    <w:rsid w:val="002C533C"/>
    <w:rsid w:val="002C597D"/>
    <w:rsid w:val="002C680D"/>
    <w:rsid w:val="002D0E0C"/>
    <w:rsid w:val="002D1E0B"/>
    <w:rsid w:val="002D5027"/>
    <w:rsid w:val="002D5D3C"/>
    <w:rsid w:val="002D6177"/>
    <w:rsid w:val="002D7531"/>
    <w:rsid w:val="002E09FF"/>
    <w:rsid w:val="002E253E"/>
    <w:rsid w:val="002E4CED"/>
    <w:rsid w:val="002E6CD1"/>
    <w:rsid w:val="002E789D"/>
    <w:rsid w:val="002F0E4B"/>
    <w:rsid w:val="002F2A98"/>
    <w:rsid w:val="002F2AF9"/>
    <w:rsid w:val="002F5D6C"/>
    <w:rsid w:val="002F60F2"/>
    <w:rsid w:val="002F7C50"/>
    <w:rsid w:val="0030128F"/>
    <w:rsid w:val="00301C1D"/>
    <w:rsid w:val="00302907"/>
    <w:rsid w:val="00302C1E"/>
    <w:rsid w:val="00305D10"/>
    <w:rsid w:val="00305F3B"/>
    <w:rsid w:val="00306491"/>
    <w:rsid w:val="00306775"/>
    <w:rsid w:val="003070FB"/>
    <w:rsid w:val="00307194"/>
    <w:rsid w:val="00311ECC"/>
    <w:rsid w:val="00313322"/>
    <w:rsid w:val="00317070"/>
    <w:rsid w:val="003178F6"/>
    <w:rsid w:val="00317C4C"/>
    <w:rsid w:val="00321F95"/>
    <w:rsid w:val="00322C9B"/>
    <w:rsid w:val="00324F25"/>
    <w:rsid w:val="003255A9"/>
    <w:rsid w:val="003272A0"/>
    <w:rsid w:val="00327933"/>
    <w:rsid w:val="00327B6A"/>
    <w:rsid w:val="00330503"/>
    <w:rsid w:val="003317F1"/>
    <w:rsid w:val="00332D8A"/>
    <w:rsid w:val="00333FF5"/>
    <w:rsid w:val="003350C3"/>
    <w:rsid w:val="003355CF"/>
    <w:rsid w:val="00335DAF"/>
    <w:rsid w:val="00340161"/>
    <w:rsid w:val="0034045A"/>
    <w:rsid w:val="003406F9"/>
    <w:rsid w:val="003409DC"/>
    <w:rsid w:val="00340AB6"/>
    <w:rsid w:val="00341BEC"/>
    <w:rsid w:val="00341E4C"/>
    <w:rsid w:val="00343B1B"/>
    <w:rsid w:val="00343F80"/>
    <w:rsid w:val="0034554A"/>
    <w:rsid w:val="0034557A"/>
    <w:rsid w:val="00347126"/>
    <w:rsid w:val="003472F0"/>
    <w:rsid w:val="003514FB"/>
    <w:rsid w:val="00352018"/>
    <w:rsid w:val="003527AC"/>
    <w:rsid w:val="003561C8"/>
    <w:rsid w:val="00360138"/>
    <w:rsid w:val="00363D24"/>
    <w:rsid w:val="00364AA5"/>
    <w:rsid w:val="003653A1"/>
    <w:rsid w:val="00365FB9"/>
    <w:rsid w:val="00370314"/>
    <w:rsid w:val="00373350"/>
    <w:rsid w:val="00373979"/>
    <w:rsid w:val="003754A4"/>
    <w:rsid w:val="00376CCF"/>
    <w:rsid w:val="00377810"/>
    <w:rsid w:val="00380774"/>
    <w:rsid w:val="00380DB3"/>
    <w:rsid w:val="00381612"/>
    <w:rsid w:val="003820FF"/>
    <w:rsid w:val="00383ABE"/>
    <w:rsid w:val="00383DDC"/>
    <w:rsid w:val="00385555"/>
    <w:rsid w:val="00386496"/>
    <w:rsid w:val="00387144"/>
    <w:rsid w:val="00387A42"/>
    <w:rsid w:val="00387B70"/>
    <w:rsid w:val="00391367"/>
    <w:rsid w:val="00391F03"/>
    <w:rsid w:val="00393423"/>
    <w:rsid w:val="00394726"/>
    <w:rsid w:val="0039578A"/>
    <w:rsid w:val="00396405"/>
    <w:rsid w:val="00397C1A"/>
    <w:rsid w:val="003A0C8A"/>
    <w:rsid w:val="003A47AE"/>
    <w:rsid w:val="003A4F29"/>
    <w:rsid w:val="003A56D8"/>
    <w:rsid w:val="003A6429"/>
    <w:rsid w:val="003A674F"/>
    <w:rsid w:val="003A6C02"/>
    <w:rsid w:val="003A6CE9"/>
    <w:rsid w:val="003A730D"/>
    <w:rsid w:val="003A7761"/>
    <w:rsid w:val="003B0350"/>
    <w:rsid w:val="003B0F5D"/>
    <w:rsid w:val="003B3586"/>
    <w:rsid w:val="003B3A9D"/>
    <w:rsid w:val="003B3AB5"/>
    <w:rsid w:val="003B4FB0"/>
    <w:rsid w:val="003B5034"/>
    <w:rsid w:val="003B52DB"/>
    <w:rsid w:val="003B5F5D"/>
    <w:rsid w:val="003B606E"/>
    <w:rsid w:val="003B6BEF"/>
    <w:rsid w:val="003B6D39"/>
    <w:rsid w:val="003B7021"/>
    <w:rsid w:val="003B7FE3"/>
    <w:rsid w:val="003C023E"/>
    <w:rsid w:val="003C06C5"/>
    <w:rsid w:val="003C0783"/>
    <w:rsid w:val="003C1A2C"/>
    <w:rsid w:val="003C2827"/>
    <w:rsid w:val="003C28EA"/>
    <w:rsid w:val="003C45F9"/>
    <w:rsid w:val="003C66A3"/>
    <w:rsid w:val="003C6A97"/>
    <w:rsid w:val="003C7612"/>
    <w:rsid w:val="003D1433"/>
    <w:rsid w:val="003D21D8"/>
    <w:rsid w:val="003D3B07"/>
    <w:rsid w:val="003D5337"/>
    <w:rsid w:val="003D5CAE"/>
    <w:rsid w:val="003D5F56"/>
    <w:rsid w:val="003D703B"/>
    <w:rsid w:val="003D7601"/>
    <w:rsid w:val="003E3037"/>
    <w:rsid w:val="003E37A9"/>
    <w:rsid w:val="003E386C"/>
    <w:rsid w:val="003E3DA9"/>
    <w:rsid w:val="003E3EE4"/>
    <w:rsid w:val="003E4714"/>
    <w:rsid w:val="003E54AD"/>
    <w:rsid w:val="003E69DF"/>
    <w:rsid w:val="003E76D6"/>
    <w:rsid w:val="003F0322"/>
    <w:rsid w:val="003F0741"/>
    <w:rsid w:val="003F09BE"/>
    <w:rsid w:val="003F0D9D"/>
    <w:rsid w:val="003F1CA7"/>
    <w:rsid w:val="003F207A"/>
    <w:rsid w:val="003F57E6"/>
    <w:rsid w:val="003F5B9D"/>
    <w:rsid w:val="003F6179"/>
    <w:rsid w:val="003F7E36"/>
    <w:rsid w:val="0040058D"/>
    <w:rsid w:val="004005A5"/>
    <w:rsid w:val="0040087D"/>
    <w:rsid w:val="00403CEA"/>
    <w:rsid w:val="004049D6"/>
    <w:rsid w:val="00406053"/>
    <w:rsid w:val="0040643B"/>
    <w:rsid w:val="0040664F"/>
    <w:rsid w:val="00406870"/>
    <w:rsid w:val="00407397"/>
    <w:rsid w:val="004074FE"/>
    <w:rsid w:val="00407897"/>
    <w:rsid w:val="00410703"/>
    <w:rsid w:val="00411503"/>
    <w:rsid w:val="0041192D"/>
    <w:rsid w:val="0041235D"/>
    <w:rsid w:val="00412998"/>
    <w:rsid w:val="00412BFC"/>
    <w:rsid w:val="00413D24"/>
    <w:rsid w:val="00414F4C"/>
    <w:rsid w:val="0042190D"/>
    <w:rsid w:val="00421C57"/>
    <w:rsid w:val="004236E3"/>
    <w:rsid w:val="00424E98"/>
    <w:rsid w:val="004250EC"/>
    <w:rsid w:val="00426200"/>
    <w:rsid w:val="0042696E"/>
    <w:rsid w:val="00426B94"/>
    <w:rsid w:val="00427ADF"/>
    <w:rsid w:val="004314D7"/>
    <w:rsid w:val="0043180B"/>
    <w:rsid w:val="00432BEA"/>
    <w:rsid w:val="00432C7C"/>
    <w:rsid w:val="004332DA"/>
    <w:rsid w:val="00433604"/>
    <w:rsid w:val="00435761"/>
    <w:rsid w:val="00435BDF"/>
    <w:rsid w:val="004366C8"/>
    <w:rsid w:val="00437227"/>
    <w:rsid w:val="00441107"/>
    <w:rsid w:val="00444F8A"/>
    <w:rsid w:val="00445FFF"/>
    <w:rsid w:val="00446584"/>
    <w:rsid w:val="004471B7"/>
    <w:rsid w:val="00450255"/>
    <w:rsid w:val="00454B9A"/>
    <w:rsid w:val="00455E56"/>
    <w:rsid w:val="004564B5"/>
    <w:rsid w:val="0045777D"/>
    <w:rsid w:val="00460600"/>
    <w:rsid w:val="0046086E"/>
    <w:rsid w:val="00460B92"/>
    <w:rsid w:val="00462764"/>
    <w:rsid w:val="004629B6"/>
    <w:rsid w:val="00463987"/>
    <w:rsid w:val="00465164"/>
    <w:rsid w:val="004673B5"/>
    <w:rsid w:val="00467629"/>
    <w:rsid w:val="00471BD2"/>
    <w:rsid w:val="00472438"/>
    <w:rsid w:val="00472995"/>
    <w:rsid w:val="00472AB0"/>
    <w:rsid w:val="00473964"/>
    <w:rsid w:val="004756F4"/>
    <w:rsid w:val="00477FDB"/>
    <w:rsid w:val="00481A7F"/>
    <w:rsid w:val="00481F1D"/>
    <w:rsid w:val="004826C9"/>
    <w:rsid w:val="00482C68"/>
    <w:rsid w:val="004831FF"/>
    <w:rsid w:val="0048348D"/>
    <w:rsid w:val="00483F68"/>
    <w:rsid w:val="00484382"/>
    <w:rsid w:val="00484A7E"/>
    <w:rsid w:val="00485CFB"/>
    <w:rsid w:val="0048778A"/>
    <w:rsid w:val="00487BA8"/>
    <w:rsid w:val="0049313E"/>
    <w:rsid w:val="00495C46"/>
    <w:rsid w:val="0049736F"/>
    <w:rsid w:val="00497A92"/>
    <w:rsid w:val="004A07B9"/>
    <w:rsid w:val="004A0EEE"/>
    <w:rsid w:val="004A15E4"/>
    <w:rsid w:val="004A1AC5"/>
    <w:rsid w:val="004A2684"/>
    <w:rsid w:val="004A2EDF"/>
    <w:rsid w:val="004A3A57"/>
    <w:rsid w:val="004A3C55"/>
    <w:rsid w:val="004A4EB8"/>
    <w:rsid w:val="004A510C"/>
    <w:rsid w:val="004A5BBE"/>
    <w:rsid w:val="004A5DC4"/>
    <w:rsid w:val="004A6E51"/>
    <w:rsid w:val="004B00A2"/>
    <w:rsid w:val="004B03F7"/>
    <w:rsid w:val="004B0F24"/>
    <w:rsid w:val="004B1FA3"/>
    <w:rsid w:val="004B2288"/>
    <w:rsid w:val="004B3F35"/>
    <w:rsid w:val="004B42D2"/>
    <w:rsid w:val="004B4C73"/>
    <w:rsid w:val="004B5E0D"/>
    <w:rsid w:val="004B66C2"/>
    <w:rsid w:val="004B6AE5"/>
    <w:rsid w:val="004B6CB0"/>
    <w:rsid w:val="004B71EE"/>
    <w:rsid w:val="004B77C1"/>
    <w:rsid w:val="004C06FA"/>
    <w:rsid w:val="004C1C49"/>
    <w:rsid w:val="004C1DF2"/>
    <w:rsid w:val="004C3207"/>
    <w:rsid w:val="004C389A"/>
    <w:rsid w:val="004C5049"/>
    <w:rsid w:val="004C6DFB"/>
    <w:rsid w:val="004C70D7"/>
    <w:rsid w:val="004C71E2"/>
    <w:rsid w:val="004C7210"/>
    <w:rsid w:val="004C765E"/>
    <w:rsid w:val="004C7E53"/>
    <w:rsid w:val="004D028D"/>
    <w:rsid w:val="004D0992"/>
    <w:rsid w:val="004D1DEF"/>
    <w:rsid w:val="004D22AC"/>
    <w:rsid w:val="004D352C"/>
    <w:rsid w:val="004D384A"/>
    <w:rsid w:val="004D67D0"/>
    <w:rsid w:val="004D69FA"/>
    <w:rsid w:val="004D7151"/>
    <w:rsid w:val="004E056F"/>
    <w:rsid w:val="004E393B"/>
    <w:rsid w:val="004E480A"/>
    <w:rsid w:val="004E4CFE"/>
    <w:rsid w:val="004E4D87"/>
    <w:rsid w:val="004E55C5"/>
    <w:rsid w:val="004E5C63"/>
    <w:rsid w:val="004E7666"/>
    <w:rsid w:val="004F0D92"/>
    <w:rsid w:val="004F1381"/>
    <w:rsid w:val="004F1515"/>
    <w:rsid w:val="004F3B3D"/>
    <w:rsid w:val="004F6489"/>
    <w:rsid w:val="004F75E2"/>
    <w:rsid w:val="004F7D79"/>
    <w:rsid w:val="005012B8"/>
    <w:rsid w:val="00503269"/>
    <w:rsid w:val="0050326C"/>
    <w:rsid w:val="0050340F"/>
    <w:rsid w:val="005037C0"/>
    <w:rsid w:val="00503C08"/>
    <w:rsid w:val="005045E4"/>
    <w:rsid w:val="00505B29"/>
    <w:rsid w:val="00506567"/>
    <w:rsid w:val="005072EC"/>
    <w:rsid w:val="00510041"/>
    <w:rsid w:val="00510044"/>
    <w:rsid w:val="005114FB"/>
    <w:rsid w:val="00512DAA"/>
    <w:rsid w:val="005140AB"/>
    <w:rsid w:val="005156DD"/>
    <w:rsid w:val="005171FD"/>
    <w:rsid w:val="005177A9"/>
    <w:rsid w:val="005200C5"/>
    <w:rsid w:val="00521A89"/>
    <w:rsid w:val="00522044"/>
    <w:rsid w:val="00522F2E"/>
    <w:rsid w:val="005237EA"/>
    <w:rsid w:val="00523B1F"/>
    <w:rsid w:val="00525490"/>
    <w:rsid w:val="005258AC"/>
    <w:rsid w:val="005263A1"/>
    <w:rsid w:val="00530CC6"/>
    <w:rsid w:val="005345BB"/>
    <w:rsid w:val="00534766"/>
    <w:rsid w:val="00536B8B"/>
    <w:rsid w:val="0053706F"/>
    <w:rsid w:val="00540195"/>
    <w:rsid w:val="005411BB"/>
    <w:rsid w:val="005412A6"/>
    <w:rsid w:val="0054312D"/>
    <w:rsid w:val="00543988"/>
    <w:rsid w:val="00545800"/>
    <w:rsid w:val="005502E0"/>
    <w:rsid w:val="0055199D"/>
    <w:rsid w:val="00553515"/>
    <w:rsid w:val="00553C28"/>
    <w:rsid w:val="0055500C"/>
    <w:rsid w:val="005551C9"/>
    <w:rsid w:val="0055596E"/>
    <w:rsid w:val="00555AD5"/>
    <w:rsid w:val="00556462"/>
    <w:rsid w:val="00557C4D"/>
    <w:rsid w:val="00562112"/>
    <w:rsid w:val="005621E1"/>
    <w:rsid w:val="005638D8"/>
    <w:rsid w:val="0056495E"/>
    <w:rsid w:val="00565DCB"/>
    <w:rsid w:val="00566BE0"/>
    <w:rsid w:val="005705B7"/>
    <w:rsid w:val="00570B45"/>
    <w:rsid w:val="00571715"/>
    <w:rsid w:val="00572048"/>
    <w:rsid w:val="005726BE"/>
    <w:rsid w:val="00572CCF"/>
    <w:rsid w:val="005753E8"/>
    <w:rsid w:val="005775D3"/>
    <w:rsid w:val="00581408"/>
    <w:rsid w:val="005816F5"/>
    <w:rsid w:val="00581A19"/>
    <w:rsid w:val="0058305D"/>
    <w:rsid w:val="005833B5"/>
    <w:rsid w:val="005837EE"/>
    <w:rsid w:val="0058573C"/>
    <w:rsid w:val="0058651D"/>
    <w:rsid w:val="00586585"/>
    <w:rsid w:val="00586797"/>
    <w:rsid w:val="00586C31"/>
    <w:rsid w:val="005901A1"/>
    <w:rsid w:val="00590AB9"/>
    <w:rsid w:val="0059133C"/>
    <w:rsid w:val="00591357"/>
    <w:rsid w:val="005923F3"/>
    <w:rsid w:val="00595026"/>
    <w:rsid w:val="005A002D"/>
    <w:rsid w:val="005A0030"/>
    <w:rsid w:val="005A1E38"/>
    <w:rsid w:val="005A2238"/>
    <w:rsid w:val="005A42B9"/>
    <w:rsid w:val="005A48E4"/>
    <w:rsid w:val="005A4993"/>
    <w:rsid w:val="005A4C24"/>
    <w:rsid w:val="005A5111"/>
    <w:rsid w:val="005B52EC"/>
    <w:rsid w:val="005B73C1"/>
    <w:rsid w:val="005C0F89"/>
    <w:rsid w:val="005C1099"/>
    <w:rsid w:val="005C14D9"/>
    <w:rsid w:val="005C17F0"/>
    <w:rsid w:val="005C2370"/>
    <w:rsid w:val="005C3A99"/>
    <w:rsid w:val="005C3CC1"/>
    <w:rsid w:val="005C472B"/>
    <w:rsid w:val="005C7F5E"/>
    <w:rsid w:val="005D1C5E"/>
    <w:rsid w:val="005D21CB"/>
    <w:rsid w:val="005D5DF9"/>
    <w:rsid w:val="005D6887"/>
    <w:rsid w:val="005D718C"/>
    <w:rsid w:val="005E0856"/>
    <w:rsid w:val="005E1C1F"/>
    <w:rsid w:val="005E1D64"/>
    <w:rsid w:val="005E2940"/>
    <w:rsid w:val="005E58B3"/>
    <w:rsid w:val="005E6152"/>
    <w:rsid w:val="005E7B9E"/>
    <w:rsid w:val="005F0DFB"/>
    <w:rsid w:val="005F31FE"/>
    <w:rsid w:val="005F3731"/>
    <w:rsid w:val="005F3987"/>
    <w:rsid w:val="005F5204"/>
    <w:rsid w:val="005F5758"/>
    <w:rsid w:val="005F60D3"/>
    <w:rsid w:val="005F63D9"/>
    <w:rsid w:val="005F6E25"/>
    <w:rsid w:val="005F7678"/>
    <w:rsid w:val="00600935"/>
    <w:rsid w:val="0060388A"/>
    <w:rsid w:val="00604127"/>
    <w:rsid w:val="00604330"/>
    <w:rsid w:val="006050A9"/>
    <w:rsid w:val="006063A4"/>
    <w:rsid w:val="00606E21"/>
    <w:rsid w:val="006075AF"/>
    <w:rsid w:val="00610333"/>
    <w:rsid w:val="00611DFA"/>
    <w:rsid w:val="006121FB"/>
    <w:rsid w:val="006129A0"/>
    <w:rsid w:val="00613020"/>
    <w:rsid w:val="006138BE"/>
    <w:rsid w:val="006139FD"/>
    <w:rsid w:val="0061429B"/>
    <w:rsid w:val="00615A23"/>
    <w:rsid w:val="0061640A"/>
    <w:rsid w:val="00620E6B"/>
    <w:rsid w:val="00624386"/>
    <w:rsid w:val="00624DF2"/>
    <w:rsid w:val="00625738"/>
    <w:rsid w:val="00626634"/>
    <w:rsid w:val="00626C3F"/>
    <w:rsid w:val="00627A56"/>
    <w:rsid w:val="00631DB5"/>
    <w:rsid w:val="00632A36"/>
    <w:rsid w:val="00633B3C"/>
    <w:rsid w:val="00634AD8"/>
    <w:rsid w:val="00634F2F"/>
    <w:rsid w:val="0063572E"/>
    <w:rsid w:val="00635DDB"/>
    <w:rsid w:val="006367F8"/>
    <w:rsid w:val="0064079C"/>
    <w:rsid w:val="00641B17"/>
    <w:rsid w:val="0064246E"/>
    <w:rsid w:val="006432AC"/>
    <w:rsid w:val="00643347"/>
    <w:rsid w:val="0064552D"/>
    <w:rsid w:val="00645CA5"/>
    <w:rsid w:val="00647544"/>
    <w:rsid w:val="0065041E"/>
    <w:rsid w:val="0065133C"/>
    <w:rsid w:val="0065251D"/>
    <w:rsid w:val="006546A6"/>
    <w:rsid w:val="006571CA"/>
    <w:rsid w:val="0066000B"/>
    <w:rsid w:val="00660ED3"/>
    <w:rsid w:val="00661713"/>
    <w:rsid w:val="00663037"/>
    <w:rsid w:val="006633A9"/>
    <w:rsid w:val="006659C1"/>
    <w:rsid w:val="0066607C"/>
    <w:rsid w:val="006717E5"/>
    <w:rsid w:val="00671879"/>
    <w:rsid w:val="006730F2"/>
    <w:rsid w:val="00673A5F"/>
    <w:rsid w:val="00675235"/>
    <w:rsid w:val="00676274"/>
    <w:rsid w:val="00676693"/>
    <w:rsid w:val="00677CF7"/>
    <w:rsid w:val="00677FBB"/>
    <w:rsid w:val="00680353"/>
    <w:rsid w:val="00680C3A"/>
    <w:rsid w:val="00680D17"/>
    <w:rsid w:val="00682B65"/>
    <w:rsid w:val="00683A75"/>
    <w:rsid w:val="0068481A"/>
    <w:rsid w:val="00684F2E"/>
    <w:rsid w:val="0068586D"/>
    <w:rsid w:val="0068592F"/>
    <w:rsid w:val="00685AAA"/>
    <w:rsid w:val="00686C0F"/>
    <w:rsid w:val="00687D8E"/>
    <w:rsid w:val="006900CB"/>
    <w:rsid w:val="0069080D"/>
    <w:rsid w:val="00690986"/>
    <w:rsid w:val="00691A13"/>
    <w:rsid w:val="00691F40"/>
    <w:rsid w:val="00692845"/>
    <w:rsid w:val="006934C5"/>
    <w:rsid w:val="00694115"/>
    <w:rsid w:val="00694721"/>
    <w:rsid w:val="00694E22"/>
    <w:rsid w:val="006950FC"/>
    <w:rsid w:val="00695D86"/>
    <w:rsid w:val="00695EE6"/>
    <w:rsid w:val="00696679"/>
    <w:rsid w:val="00696862"/>
    <w:rsid w:val="00696E4E"/>
    <w:rsid w:val="00697EBD"/>
    <w:rsid w:val="006A0C38"/>
    <w:rsid w:val="006A0C6B"/>
    <w:rsid w:val="006A5060"/>
    <w:rsid w:val="006A508B"/>
    <w:rsid w:val="006A6224"/>
    <w:rsid w:val="006A6339"/>
    <w:rsid w:val="006A6FE5"/>
    <w:rsid w:val="006A72BC"/>
    <w:rsid w:val="006B0952"/>
    <w:rsid w:val="006B1292"/>
    <w:rsid w:val="006B2921"/>
    <w:rsid w:val="006B2B2D"/>
    <w:rsid w:val="006B34B1"/>
    <w:rsid w:val="006B381E"/>
    <w:rsid w:val="006B3A82"/>
    <w:rsid w:val="006B3BC4"/>
    <w:rsid w:val="006B49B3"/>
    <w:rsid w:val="006B79C2"/>
    <w:rsid w:val="006C0182"/>
    <w:rsid w:val="006C10FD"/>
    <w:rsid w:val="006C15DB"/>
    <w:rsid w:val="006C2A59"/>
    <w:rsid w:val="006C37C6"/>
    <w:rsid w:val="006C7026"/>
    <w:rsid w:val="006D01D1"/>
    <w:rsid w:val="006D1645"/>
    <w:rsid w:val="006D18CD"/>
    <w:rsid w:val="006D20FC"/>
    <w:rsid w:val="006D2F14"/>
    <w:rsid w:val="006D3B48"/>
    <w:rsid w:val="006D3E6E"/>
    <w:rsid w:val="006D4298"/>
    <w:rsid w:val="006D44C5"/>
    <w:rsid w:val="006D49B9"/>
    <w:rsid w:val="006D4ACE"/>
    <w:rsid w:val="006D57FD"/>
    <w:rsid w:val="006D6037"/>
    <w:rsid w:val="006E21C8"/>
    <w:rsid w:val="006E35F5"/>
    <w:rsid w:val="006E4CEA"/>
    <w:rsid w:val="006E58FC"/>
    <w:rsid w:val="006E662B"/>
    <w:rsid w:val="006F07D6"/>
    <w:rsid w:val="006F177F"/>
    <w:rsid w:val="006F37FF"/>
    <w:rsid w:val="006F38B4"/>
    <w:rsid w:val="006F544F"/>
    <w:rsid w:val="006F5488"/>
    <w:rsid w:val="006F6F0D"/>
    <w:rsid w:val="006F707F"/>
    <w:rsid w:val="006F7AA0"/>
    <w:rsid w:val="00701694"/>
    <w:rsid w:val="00701B13"/>
    <w:rsid w:val="00701CE2"/>
    <w:rsid w:val="00702FDE"/>
    <w:rsid w:val="00703764"/>
    <w:rsid w:val="00704F4E"/>
    <w:rsid w:val="00705014"/>
    <w:rsid w:val="0070507C"/>
    <w:rsid w:val="00705216"/>
    <w:rsid w:val="00706522"/>
    <w:rsid w:val="00706936"/>
    <w:rsid w:val="00706CA5"/>
    <w:rsid w:val="007074DA"/>
    <w:rsid w:val="00707CEB"/>
    <w:rsid w:val="00710205"/>
    <w:rsid w:val="00710ED1"/>
    <w:rsid w:val="00711F34"/>
    <w:rsid w:val="007122D3"/>
    <w:rsid w:val="007122EF"/>
    <w:rsid w:val="00713E8B"/>
    <w:rsid w:val="00714100"/>
    <w:rsid w:val="00715370"/>
    <w:rsid w:val="007157C3"/>
    <w:rsid w:val="00716175"/>
    <w:rsid w:val="00716D65"/>
    <w:rsid w:val="007179E2"/>
    <w:rsid w:val="007213C4"/>
    <w:rsid w:val="00721C9D"/>
    <w:rsid w:val="00722062"/>
    <w:rsid w:val="00725830"/>
    <w:rsid w:val="00727148"/>
    <w:rsid w:val="007278CD"/>
    <w:rsid w:val="007278E6"/>
    <w:rsid w:val="00730A86"/>
    <w:rsid w:val="007325BD"/>
    <w:rsid w:val="007336C4"/>
    <w:rsid w:val="0073500A"/>
    <w:rsid w:val="00735654"/>
    <w:rsid w:val="00736793"/>
    <w:rsid w:val="00736C10"/>
    <w:rsid w:val="00737479"/>
    <w:rsid w:val="007379A4"/>
    <w:rsid w:val="00737E37"/>
    <w:rsid w:val="007406B1"/>
    <w:rsid w:val="00740B34"/>
    <w:rsid w:val="00743F54"/>
    <w:rsid w:val="00744534"/>
    <w:rsid w:val="007463DB"/>
    <w:rsid w:val="00746564"/>
    <w:rsid w:val="007467C4"/>
    <w:rsid w:val="00746847"/>
    <w:rsid w:val="00747D3D"/>
    <w:rsid w:val="00751673"/>
    <w:rsid w:val="00752650"/>
    <w:rsid w:val="00753334"/>
    <w:rsid w:val="00753980"/>
    <w:rsid w:val="00753B35"/>
    <w:rsid w:val="00753F1E"/>
    <w:rsid w:val="00754D35"/>
    <w:rsid w:val="00756383"/>
    <w:rsid w:val="007564C5"/>
    <w:rsid w:val="00756A7F"/>
    <w:rsid w:val="007608EC"/>
    <w:rsid w:val="00760BAF"/>
    <w:rsid w:val="0076493C"/>
    <w:rsid w:val="00765108"/>
    <w:rsid w:val="007656F1"/>
    <w:rsid w:val="00766337"/>
    <w:rsid w:val="007663FB"/>
    <w:rsid w:val="007702AF"/>
    <w:rsid w:val="00770545"/>
    <w:rsid w:val="00770578"/>
    <w:rsid w:val="00771E94"/>
    <w:rsid w:val="007734BC"/>
    <w:rsid w:val="0077380E"/>
    <w:rsid w:val="00773828"/>
    <w:rsid w:val="00773A6A"/>
    <w:rsid w:val="0077417F"/>
    <w:rsid w:val="007744D6"/>
    <w:rsid w:val="0077454E"/>
    <w:rsid w:val="0077456C"/>
    <w:rsid w:val="00774570"/>
    <w:rsid w:val="00775D03"/>
    <w:rsid w:val="00777271"/>
    <w:rsid w:val="00782E31"/>
    <w:rsid w:val="00783711"/>
    <w:rsid w:val="007850A1"/>
    <w:rsid w:val="00785325"/>
    <w:rsid w:val="007864E2"/>
    <w:rsid w:val="0079021F"/>
    <w:rsid w:val="00790363"/>
    <w:rsid w:val="00792261"/>
    <w:rsid w:val="0079285B"/>
    <w:rsid w:val="00792FFC"/>
    <w:rsid w:val="0079391E"/>
    <w:rsid w:val="00793F46"/>
    <w:rsid w:val="007944A2"/>
    <w:rsid w:val="00795BA5"/>
    <w:rsid w:val="007977E2"/>
    <w:rsid w:val="007A0A9A"/>
    <w:rsid w:val="007A1208"/>
    <w:rsid w:val="007A1B5E"/>
    <w:rsid w:val="007A36AB"/>
    <w:rsid w:val="007A5E14"/>
    <w:rsid w:val="007A6211"/>
    <w:rsid w:val="007B069A"/>
    <w:rsid w:val="007B164B"/>
    <w:rsid w:val="007B21E6"/>
    <w:rsid w:val="007B3222"/>
    <w:rsid w:val="007B4513"/>
    <w:rsid w:val="007B51E6"/>
    <w:rsid w:val="007B7C05"/>
    <w:rsid w:val="007B7CEC"/>
    <w:rsid w:val="007C0DF3"/>
    <w:rsid w:val="007C1D71"/>
    <w:rsid w:val="007C249A"/>
    <w:rsid w:val="007C67BE"/>
    <w:rsid w:val="007C7FAF"/>
    <w:rsid w:val="007D0176"/>
    <w:rsid w:val="007D0355"/>
    <w:rsid w:val="007D1E9A"/>
    <w:rsid w:val="007D2348"/>
    <w:rsid w:val="007D5ACA"/>
    <w:rsid w:val="007D5C26"/>
    <w:rsid w:val="007D61B1"/>
    <w:rsid w:val="007D6398"/>
    <w:rsid w:val="007D737F"/>
    <w:rsid w:val="007D7EC5"/>
    <w:rsid w:val="007E0C29"/>
    <w:rsid w:val="007E1B6B"/>
    <w:rsid w:val="007E260B"/>
    <w:rsid w:val="007E2852"/>
    <w:rsid w:val="007E2992"/>
    <w:rsid w:val="007E652F"/>
    <w:rsid w:val="007E741E"/>
    <w:rsid w:val="007F130A"/>
    <w:rsid w:val="007F1FC8"/>
    <w:rsid w:val="007F24CE"/>
    <w:rsid w:val="007F664B"/>
    <w:rsid w:val="007F68EE"/>
    <w:rsid w:val="007F7732"/>
    <w:rsid w:val="007F78B0"/>
    <w:rsid w:val="00800D3F"/>
    <w:rsid w:val="0080147C"/>
    <w:rsid w:val="008014AC"/>
    <w:rsid w:val="008021CC"/>
    <w:rsid w:val="0080268F"/>
    <w:rsid w:val="00805E08"/>
    <w:rsid w:val="0080630C"/>
    <w:rsid w:val="00807CCE"/>
    <w:rsid w:val="0081138F"/>
    <w:rsid w:val="00811DB0"/>
    <w:rsid w:val="00811DB3"/>
    <w:rsid w:val="0081204C"/>
    <w:rsid w:val="0081230D"/>
    <w:rsid w:val="00812FA9"/>
    <w:rsid w:val="00813637"/>
    <w:rsid w:val="00813737"/>
    <w:rsid w:val="008139DB"/>
    <w:rsid w:val="00813AAE"/>
    <w:rsid w:val="008156C4"/>
    <w:rsid w:val="00815718"/>
    <w:rsid w:val="008167C0"/>
    <w:rsid w:val="008168C0"/>
    <w:rsid w:val="00817C9A"/>
    <w:rsid w:val="00817F10"/>
    <w:rsid w:val="00826201"/>
    <w:rsid w:val="0082645D"/>
    <w:rsid w:val="0082779A"/>
    <w:rsid w:val="008301F7"/>
    <w:rsid w:val="00831C48"/>
    <w:rsid w:val="008325F9"/>
    <w:rsid w:val="00832850"/>
    <w:rsid w:val="00832E1A"/>
    <w:rsid w:val="00834956"/>
    <w:rsid w:val="008349D4"/>
    <w:rsid w:val="00834B37"/>
    <w:rsid w:val="00834E22"/>
    <w:rsid w:val="00835C70"/>
    <w:rsid w:val="00836243"/>
    <w:rsid w:val="0083651A"/>
    <w:rsid w:val="008370E7"/>
    <w:rsid w:val="00837B8B"/>
    <w:rsid w:val="008411DD"/>
    <w:rsid w:val="00842BE9"/>
    <w:rsid w:val="00842D3C"/>
    <w:rsid w:val="008434C2"/>
    <w:rsid w:val="0084366E"/>
    <w:rsid w:val="00843A33"/>
    <w:rsid w:val="00847064"/>
    <w:rsid w:val="00850829"/>
    <w:rsid w:val="0085104C"/>
    <w:rsid w:val="00852A08"/>
    <w:rsid w:val="0085370F"/>
    <w:rsid w:val="00856931"/>
    <w:rsid w:val="008574A7"/>
    <w:rsid w:val="008579AE"/>
    <w:rsid w:val="008579BA"/>
    <w:rsid w:val="00857DE9"/>
    <w:rsid w:val="008602AA"/>
    <w:rsid w:val="0086030D"/>
    <w:rsid w:val="008617A6"/>
    <w:rsid w:val="00863148"/>
    <w:rsid w:val="00863656"/>
    <w:rsid w:val="00864152"/>
    <w:rsid w:val="00864E11"/>
    <w:rsid w:val="00865174"/>
    <w:rsid w:val="008651BD"/>
    <w:rsid w:val="0086796E"/>
    <w:rsid w:val="00871430"/>
    <w:rsid w:val="00871476"/>
    <w:rsid w:val="0087199A"/>
    <w:rsid w:val="008745B6"/>
    <w:rsid w:val="00874F67"/>
    <w:rsid w:val="0087537C"/>
    <w:rsid w:val="00875449"/>
    <w:rsid w:val="008762A2"/>
    <w:rsid w:val="00881002"/>
    <w:rsid w:val="0088237E"/>
    <w:rsid w:val="008835AB"/>
    <w:rsid w:val="00884422"/>
    <w:rsid w:val="00884580"/>
    <w:rsid w:val="0088580B"/>
    <w:rsid w:val="00886144"/>
    <w:rsid w:val="00886A4E"/>
    <w:rsid w:val="00886BF0"/>
    <w:rsid w:val="00887D82"/>
    <w:rsid w:val="0089251E"/>
    <w:rsid w:val="00892C3B"/>
    <w:rsid w:val="008944F0"/>
    <w:rsid w:val="0089461C"/>
    <w:rsid w:val="00895623"/>
    <w:rsid w:val="008957AE"/>
    <w:rsid w:val="00896310"/>
    <w:rsid w:val="00896538"/>
    <w:rsid w:val="0089744F"/>
    <w:rsid w:val="00897622"/>
    <w:rsid w:val="00897D29"/>
    <w:rsid w:val="008A241A"/>
    <w:rsid w:val="008A3C39"/>
    <w:rsid w:val="008A6654"/>
    <w:rsid w:val="008A6977"/>
    <w:rsid w:val="008B0F74"/>
    <w:rsid w:val="008B3C11"/>
    <w:rsid w:val="008B3F75"/>
    <w:rsid w:val="008B477F"/>
    <w:rsid w:val="008B491D"/>
    <w:rsid w:val="008B73A7"/>
    <w:rsid w:val="008B7455"/>
    <w:rsid w:val="008B7A95"/>
    <w:rsid w:val="008C35AD"/>
    <w:rsid w:val="008C4A22"/>
    <w:rsid w:val="008C794C"/>
    <w:rsid w:val="008C7E1C"/>
    <w:rsid w:val="008C7E58"/>
    <w:rsid w:val="008D0059"/>
    <w:rsid w:val="008D0E2F"/>
    <w:rsid w:val="008D1431"/>
    <w:rsid w:val="008D371C"/>
    <w:rsid w:val="008D59CB"/>
    <w:rsid w:val="008D6278"/>
    <w:rsid w:val="008D6C82"/>
    <w:rsid w:val="008D6FBC"/>
    <w:rsid w:val="008D72BC"/>
    <w:rsid w:val="008D758D"/>
    <w:rsid w:val="008E0E91"/>
    <w:rsid w:val="008E1439"/>
    <w:rsid w:val="008E3370"/>
    <w:rsid w:val="008E6870"/>
    <w:rsid w:val="008E6B62"/>
    <w:rsid w:val="008E7D54"/>
    <w:rsid w:val="008F0AA1"/>
    <w:rsid w:val="008F1787"/>
    <w:rsid w:val="008F23A1"/>
    <w:rsid w:val="008F33F9"/>
    <w:rsid w:val="008F3AF3"/>
    <w:rsid w:val="008F49EF"/>
    <w:rsid w:val="008F4FE2"/>
    <w:rsid w:val="008F6433"/>
    <w:rsid w:val="00900E52"/>
    <w:rsid w:val="009014E0"/>
    <w:rsid w:val="0090208D"/>
    <w:rsid w:val="00902527"/>
    <w:rsid w:val="00902AE1"/>
    <w:rsid w:val="0090323B"/>
    <w:rsid w:val="0090351D"/>
    <w:rsid w:val="00905852"/>
    <w:rsid w:val="0090638B"/>
    <w:rsid w:val="00906537"/>
    <w:rsid w:val="0090673D"/>
    <w:rsid w:val="00907F9E"/>
    <w:rsid w:val="0091229A"/>
    <w:rsid w:val="00914343"/>
    <w:rsid w:val="00914388"/>
    <w:rsid w:val="00916522"/>
    <w:rsid w:val="00916639"/>
    <w:rsid w:val="00916A6F"/>
    <w:rsid w:val="00916CB9"/>
    <w:rsid w:val="00917872"/>
    <w:rsid w:val="00920C6D"/>
    <w:rsid w:val="00920D4F"/>
    <w:rsid w:val="009217B1"/>
    <w:rsid w:val="00922661"/>
    <w:rsid w:val="009227AB"/>
    <w:rsid w:val="009246F9"/>
    <w:rsid w:val="00924B3A"/>
    <w:rsid w:val="00924B54"/>
    <w:rsid w:val="0092592E"/>
    <w:rsid w:val="00925CB7"/>
    <w:rsid w:val="00926628"/>
    <w:rsid w:val="009270D1"/>
    <w:rsid w:val="00930A3F"/>
    <w:rsid w:val="0093277A"/>
    <w:rsid w:val="00933590"/>
    <w:rsid w:val="00934051"/>
    <w:rsid w:val="00934083"/>
    <w:rsid w:val="009344BE"/>
    <w:rsid w:val="00935B23"/>
    <w:rsid w:val="00936DCD"/>
    <w:rsid w:val="00936DDA"/>
    <w:rsid w:val="00937F37"/>
    <w:rsid w:val="00942B6B"/>
    <w:rsid w:val="00943CB8"/>
    <w:rsid w:val="00943D5D"/>
    <w:rsid w:val="009440D5"/>
    <w:rsid w:val="00944735"/>
    <w:rsid w:val="009452B5"/>
    <w:rsid w:val="00950DB6"/>
    <w:rsid w:val="00951496"/>
    <w:rsid w:val="0095221F"/>
    <w:rsid w:val="00952728"/>
    <w:rsid w:val="009534AA"/>
    <w:rsid w:val="00954209"/>
    <w:rsid w:val="00955494"/>
    <w:rsid w:val="00955563"/>
    <w:rsid w:val="00955E0F"/>
    <w:rsid w:val="00955E62"/>
    <w:rsid w:val="00955EBE"/>
    <w:rsid w:val="0095771A"/>
    <w:rsid w:val="00957D40"/>
    <w:rsid w:val="00961400"/>
    <w:rsid w:val="00961F1A"/>
    <w:rsid w:val="00962A69"/>
    <w:rsid w:val="00963F96"/>
    <w:rsid w:val="00964DF3"/>
    <w:rsid w:val="00965B98"/>
    <w:rsid w:val="0096661B"/>
    <w:rsid w:val="009677B2"/>
    <w:rsid w:val="0097009E"/>
    <w:rsid w:val="009700E0"/>
    <w:rsid w:val="00970175"/>
    <w:rsid w:val="0097338E"/>
    <w:rsid w:val="00973D98"/>
    <w:rsid w:val="00973DE5"/>
    <w:rsid w:val="009745F8"/>
    <w:rsid w:val="009754EA"/>
    <w:rsid w:val="00975539"/>
    <w:rsid w:val="0097569F"/>
    <w:rsid w:val="00976289"/>
    <w:rsid w:val="009806A5"/>
    <w:rsid w:val="00981587"/>
    <w:rsid w:val="009828EC"/>
    <w:rsid w:val="009830DF"/>
    <w:rsid w:val="00983F6C"/>
    <w:rsid w:val="009850B6"/>
    <w:rsid w:val="0098608D"/>
    <w:rsid w:val="00986DFD"/>
    <w:rsid w:val="00987863"/>
    <w:rsid w:val="009879DE"/>
    <w:rsid w:val="00990CA2"/>
    <w:rsid w:val="00992C7F"/>
    <w:rsid w:val="009931B6"/>
    <w:rsid w:val="009935DA"/>
    <w:rsid w:val="0099378A"/>
    <w:rsid w:val="00995CB9"/>
    <w:rsid w:val="00995FDC"/>
    <w:rsid w:val="009966F6"/>
    <w:rsid w:val="009A09E3"/>
    <w:rsid w:val="009A0C47"/>
    <w:rsid w:val="009A2BA7"/>
    <w:rsid w:val="009A4461"/>
    <w:rsid w:val="009A488F"/>
    <w:rsid w:val="009A6DC4"/>
    <w:rsid w:val="009A76CC"/>
    <w:rsid w:val="009A7849"/>
    <w:rsid w:val="009B1A4A"/>
    <w:rsid w:val="009B1B80"/>
    <w:rsid w:val="009B2238"/>
    <w:rsid w:val="009B4671"/>
    <w:rsid w:val="009B4D22"/>
    <w:rsid w:val="009B5B09"/>
    <w:rsid w:val="009B657F"/>
    <w:rsid w:val="009B7352"/>
    <w:rsid w:val="009B776D"/>
    <w:rsid w:val="009B7853"/>
    <w:rsid w:val="009C1017"/>
    <w:rsid w:val="009C1FEE"/>
    <w:rsid w:val="009C5025"/>
    <w:rsid w:val="009C505C"/>
    <w:rsid w:val="009C732A"/>
    <w:rsid w:val="009D10A6"/>
    <w:rsid w:val="009D19D2"/>
    <w:rsid w:val="009D1A7A"/>
    <w:rsid w:val="009D1D2E"/>
    <w:rsid w:val="009D34CA"/>
    <w:rsid w:val="009D3F14"/>
    <w:rsid w:val="009D4C8E"/>
    <w:rsid w:val="009D5D7C"/>
    <w:rsid w:val="009E246F"/>
    <w:rsid w:val="009E3068"/>
    <w:rsid w:val="009E3EF2"/>
    <w:rsid w:val="009E45FC"/>
    <w:rsid w:val="009E5803"/>
    <w:rsid w:val="009E6E4B"/>
    <w:rsid w:val="009E737E"/>
    <w:rsid w:val="009E754D"/>
    <w:rsid w:val="009E7B66"/>
    <w:rsid w:val="009E7D79"/>
    <w:rsid w:val="009F071B"/>
    <w:rsid w:val="009F0F42"/>
    <w:rsid w:val="009F1757"/>
    <w:rsid w:val="009F28B4"/>
    <w:rsid w:val="009F2AE9"/>
    <w:rsid w:val="009F3219"/>
    <w:rsid w:val="009F3C1A"/>
    <w:rsid w:val="009F43B3"/>
    <w:rsid w:val="009F55E7"/>
    <w:rsid w:val="009F6896"/>
    <w:rsid w:val="009F6A02"/>
    <w:rsid w:val="009F7413"/>
    <w:rsid w:val="00A030AF"/>
    <w:rsid w:val="00A0314E"/>
    <w:rsid w:val="00A04E86"/>
    <w:rsid w:val="00A05F1B"/>
    <w:rsid w:val="00A06DD5"/>
    <w:rsid w:val="00A10CF2"/>
    <w:rsid w:val="00A10EAC"/>
    <w:rsid w:val="00A116FA"/>
    <w:rsid w:val="00A1181B"/>
    <w:rsid w:val="00A12A8D"/>
    <w:rsid w:val="00A13C7F"/>
    <w:rsid w:val="00A14BCA"/>
    <w:rsid w:val="00A15983"/>
    <w:rsid w:val="00A15D33"/>
    <w:rsid w:val="00A1735D"/>
    <w:rsid w:val="00A17D61"/>
    <w:rsid w:val="00A215C7"/>
    <w:rsid w:val="00A21B69"/>
    <w:rsid w:val="00A22193"/>
    <w:rsid w:val="00A23CBB"/>
    <w:rsid w:val="00A2425A"/>
    <w:rsid w:val="00A2493A"/>
    <w:rsid w:val="00A25F5F"/>
    <w:rsid w:val="00A26B8E"/>
    <w:rsid w:val="00A272CC"/>
    <w:rsid w:val="00A300BB"/>
    <w:rsid w:val="00A32635"/>
    <w:rsid w:val="00A327F8"/>
    <w:rsid w:val="00A32F41"/>
    <w:rsid w:val="00A34915"/>
    <w:rsid w:val="00A34E35"/>
    <w:rsid w:val="00A358CC"/>
    <w:rsid w:val="00A35DD6"/>
    <w:rsid w:val="00A36D77"/>
    <w:rsid w:val="00A37EB9"/>
    <w:rsid w:val="00A37FBB"/>
    <w:rsid w:val="00A4368E"/>
    <w:rsid w:val="00A43B72"/>
    <w:rsid w:val="00A43D27"/>
    <w:rsid w:val="00A43DD3"/>
    <w:rsid w:val="00A443BA"/>
    <w:rsid w:val="00A45151"/>
    <w:rsid w:val="00A46446"/>
    <w:rsid w:val="00A474FC"/>
    <w:rsid w:val="00A47B60"/>
    <w:rsid w:val="00A50E84"/>
    <w:rsid w:val="00A51E77"/>
    <w:rsid w:val="00A54F79"/>
    <w:rsid w:val="00A551B4"/>
    <w:rsid w:val="00A55B52"/>
    <w:rsid w:val="00A56585"/>
    <w:rsid w:val="00A60453"/>
    <w:rsid w:val="00A6132C"/>
    <w:rsid w:val="00A625F6"/>
    <w:rsid w:val="00A6260A"/>
    <w:rsid w:val="00A6381D"/>
    <w:rsid w:val="00A6465C"/>
    <w:rsid w:val="00A647AC"/>
    <w:rsid w:val="00A654C8"/>
    <w:rsid w:val="00A65BC7"/>
    <w:rsid w:val="00A66F72"/>
    <w:rsid w:val="00A700F6"/>
    <w:rsid w:val="00A706CA"/>
    <w:rsid w:val="00A71416"/>
    <w:rsid w:val="00A718F7"/>
    <w:rsid w:val="00A71ECB"/>
    <w:rsid w:val="00A72664"/>
    <w:rsid w:val="00A72787"/>
    <w:rsid w:val="00A72CEA"/>
    <w:rsid w:val="00A72D9C"/>
    <w:rsid w:val="00A7398D"/>
    <w:rsid w:val="00A73C99"/>
    <w:rsid w:val="00A747E8"/>
    <w:rsid w:val="00A74C92"/>
    <w:rsid w:val="00A75CD8"/>
    <w:rsid w:val="00A7772E"/>
    <w:rsid w:val="00A8052D"/>
    <w:rsid w:val="00A805ED"/>
    <w:rsid w:val="00A810DA"/>
    <w:rsid w:val="00A818DE"/>
    <w:rsid w:val="00A81E0A"/>
    <w:rsid w:val="00A82336"/>
    <w:rsid w:val="00A853BA"/>
    <w:rsid w:val="00A86B82"/>
    <w:rsid w:val="00A87D51"/>
    <w:rsid w:val="00A9040A"/>
    <w:rsid w:val="00A90602"/>
    <w:rsid w:val="00A91E44"/>
    <w:rsid w:val="00A9359B"/>
    <w:rsid w:val="00A94065"/>
    <w:rsid w:val="00A943AE"/>
    <w:rsid w:val="00A95B48"/>
    <w:rsid w:val="00A96644"/>
    <w:rsid w:val="00A97CAD"/>
    <w:rsid w:val="00A97EC8"/>
    <w:rsid w:val="00AA0F55"/>
    <w:rsid w:val="00AA13E6"/>
    <w:rsid w:val="00AA1669"/>
    <w:rsid w:val="00AA1C4F"/>
    <w:rsid w:val="00AA2A17"/>
    <w:rsid w:val="00AA2DE7"/>
    <w:rsid w:val="00AA3BBD"/>
    <w:rsid w:val="00AA3DC8"/>
    <w:rsid w:val="00AA3F60"/>
    <w:rsid w:val="00AA43D5"/>
    <w:rsid w:val="00AA556A"/>
    <w:rsid w:val="00AA6141"/>
    <w:rsid w:val="00AA6A45"/>
    <w:rsid w:val="00AA7239"/>
    <w:rsid w:val="00AB1E5F"/>
    <w:rsid w:val="00AB26C9"/>
    <w:rsid w:val="00AB2763"/>
    <w:rsid w:val="00AB2A70"/>
    <w:rsid w:val="00AB34FC"/>
    <w:rsid w:val="00AB3ECB"/>
    <w:rsid w:val="00AB4F51"/>
    <w:rsid w:val="00AB4FC8"/>
    <w:rsid w:val="00AB56F6"/>
    <w:rsid w:val="00AB5ED7"/>
    <w:rsid w:val="00AB6368"/>
    <w:rsid w:val="00AB6457"/>
    <w:rsid w:val="00AB7347"/>
    <w:rsid w:val="00AC14FF"/>
    <w:rsid w:val="00AC2DA4"/>
    <w:rsid w:val="00AC2F57"/>
    <w:rsid w:val="00AC3262"/>
    <w:rsid w:val="00AC3303"/>
    <w:rsid w:val="00AC3A78"/>
    <w:rsid w:val="00AC4FA7"/>
    <w:rsid w:val="00AC5381"/>
    <w:rsid w:val="00AC5742"/>
    <w:rsid w:val="00AC58A2"/>
    <w:rsid w:val="00AC6536"/>
    <w:rsid w:val="00AC65E6"/>
    <w:rsid w:val="00AC6A91"/>
    <w:rsid w:val="00AD0222"/>
    <w:rsid w:val="00AD0558"/>
    <w:rsid w:val="00AD0C7D"/>
    <w:rsid w:val="00AD4079"/>
    <w:rsid w:val="00AD45B5"/>
    <w:rsid w:val="00AD5B53"/>
    <w:rsid w:val="00AD5E99"/>
    <w:rsid w:val="00AD684C"/>
    <w:rsid w:val="00AD7B5D"/>
    <w:rsid w:val="00AE0C2B"/>
    <w:rsid w:val="00AE0E6D"/>
    <w:rsid w:val="00AE1BE2"/>
    <w:rsid w:val="00AE21D7"/>
    <w:rsid w:val="00AE25A9"/>
    <w:rsid w:val="00AE2ACB"/>
    <w:rsid w:val="00AE3131"/>
    <w:rsid w:val="00AE37F8"/>
    <w:rsid w:val="00AE4024"/>
    <w:rsid w:val="00AE4B4F"/>
    <w:rsid w:val="00AE5665"/>
    <w:rsid w:val="00AF12E0"/>
    <w:rsid w:val="00AF15E9"/>
    <w:rsid w:val="00AF20AA"/>
    <w:rsid w:val="00AF27C7"/>
    <w:rsid w:val="00AF3311"/>
    <w:rsid w:val="00AF4CA1"/>
    <w:rsid w:val="00AF5EB1"/>
    <w:rsid w:val="00AF6405"/>
    <w:rsid w:val="00B00A2B"/>
    <w:rsid w:val="00B00D96"/>
    <w:rsid w:val="00B01543"/>
    <w:rsid w:val="00B01B08"/>
    <w:rsid w:val="00B02122"/>
    <w:rsid w:val="00B0277C"/>
    <w:rsid w:val="00B0346F"/>
    <w:rsid w:val="00B05D31"/>
    <w:rsid w:val="00B05E96"/>
    <w:rsid w:val="00B068DE"/>
    <w:rsid w:val="00B06BF6"/>
    <w:rsid w:val="00B1004B"/>
    <w:rsid w:val="00B12856"/>
    <w:rsid w:val="00B129D4"/>
    <w:rsid w:val="00B12E7F"/>
    <w:rsid w:val="00B15BCE"/>
    <w:rsid w:val="00B16490"/>
    <w:rsid w:val="00B16680"/>
    <w:rsid w:val="00B1751F"/>
    <w:rsid w:val="00B20173"/>
    <w:rsid w:val="00B20ECE"/>
    <w:rsid w:val="00B21CEA"/>
    <w:rsid w:val="00B21E66"/>
    <w:rsid w:val="00B24C2F"/>
    <w:rsid w:val="00B26030"/>
    <w:rsid w:val="00B270B4"/>
    <w:rsid w:val="00B300EA"/>
    <w:rsid w:val="00B31BEE"/>
    <w:rsid w:val="00B31F3C"/>
    <w:rsid w:val="00B33AE9"/>
    <w:rsid w:val="00B33E0A"/>
    <w:rsid w:val="00B34445"/>
    <w:rsid w:val="00B346C0"/>
    <w:rsid w:val="00B34774"/>
    <w:rsid w:val="00B36469"/>
    <w:rsid w:val="00B36FF8"/>
    <w:rsid w:val="00B37A1C"/>
    <w:rsid w:val="00B40AC5"/>
    <w:rsid w:val="00B410CD"/>
    <w:rsid w:val="00B4183D"/>
    <w:rsid w:val="00B4298D"/>
    <w:rsid w:val="00B42AD5"/>
    <w:rsid w:val="00B42B43"/>
    <w:rsid w:val="00B43D33"/>
    <w:rsid w:val="00B45337"/>
    <w:rsid w:val="00B45549"/>
    <w:rsid w:val="00B5162A"/>
    <w:rsid w:val="00B52226"/>
    <w:rsid w:val="00B52DB3"/>
    <w:rsid w:val="00B53984"/>
    <w:rsid w:val="00B54E89"/>
    <w:rsid w:val="00B55900"/>
    <w:rsid w:val="00B56EBA"/>
    <w:rsid w:val="00B57047"/>
    <w:rsid w:val="00B5797D"/>
    <w:rsid w:val="00B604CB"/>
    <w:rsid w:val="00B604CD"/>
    <w:rsid w:val="00B606BF"/>
    <w:rsid w:val="00B61103"/>
    <w:rsid w:val="00B62A95"/>
    <w:rsid w:val="00B63D73"/>
    <w:rsid w:val="00B64CD6"/>
    <w:rsid w:val="00B65079"/>
    <w:rsid w:val="00B6619D"/>
    <w:rsid w:val="00B661D3"/>
    <w:rsid w:val="00B67B2E"/>
    <w:rsid w:val="00B67CB4"/>
    <w:rsid w:val="00B70A9A"/>
    <w:rsid w:val="00B710D2"/>
    <w:rsid w:val="00B7126A"/>
    <w:rsid w:val="00B71469"/>
    <w:rsid w:val="00B7297A"/>
    <w:rsid w:val="00B72A02"/>
    <w:rsid w:val="00B759C5"/>
    <w:rsid w:val="00B75EAA"/>
    <w:rsid w:val="00B7619A"/>
    <w:rsid w:val="00B766F3"/>
    <w:rsid w:val="00B77F81"/>
    <w:rsid w:val="00B77FDE"/>
    <w:rsid w:val="00B81429"/>
    <w:rsid w:val="00B84C25"/>
    <w:rsid w:val="00B86728"/>
    <w:rsid w:val="00B873D2"/>
    <w:rsid w:val="00B87A39"/>
    <w:rsid w:val="00B90312"/>
    <w:rsid w:val="00B90971"/>
    <w:rsid w:val="00B9125A"/>
    <w:rsid w:val="00B93C07"/>
    <w:rsid w:val="00B93EE8"/>
    <w:rsid w:val="00B94672"/>
    <w:rsid w:val="00B946A8"/>
    <w:rsid w:val="00B95808"/>
    <w:rsid w:val="00B95F5A"/>
    <w:rsid w:val="00B96F4F"/>
    <w:rsid w:val="00B97ED5"/>
    <w:rsid w:val="00BA081B"/>
    <w:rsid w:val="00BA0FEF"/>
    <w:rsid w:val="00BA1A11"/>
    <w:rsid w:val="00BA452E"/>
    <w:rsid w:val="00BA4A16"/>
    <w:rsid w:val="00BA6397"/>
    <w:rsid w:val="00BA6C80"/>
    <w:rsid w:val="00BA74CE"/>
    <w:rsid w:val="00BA7543"/>
    <w:rsid w:val="00BA7996"/>
    <w:rsid w:val="00BA7B85"/>
    <w:rsid w:val="00BB1A70"/>
    <w:rsid w:val="00BB1C53"/>
    <w:rsid w:val="00BB3585"/>
    <w:rsid w:val="00BB4DA0"/>
    <w:rsid w:val="00BB4EAE"/>
    <w:rsid w:val="00BB604F"/>
    <w:rsid w:val="00BB62BA"/>
    <w:rsid w:val="00BB7434"/>
    <w:rsid w:val="00BB7E9B"/>
    <w:rsid w:val="00BC0D1C"/>
    <w:rsid w:val="00BC147B"/>
    <w:rsid w:val="00BC1602"/>
    <w:rsid w:val="00BC1693"/>
    <w:rsid w:val="00BC3B03"/>
    <w:rsid w:val="00BC46BE"/>
    <w:rsid w:val="00BC6E5B"/>
    <w:rsid w:val="00BC7AA6"/>
    <w:rsid w:val="00BD02A3"/>
    <w:rsid w:val="00BD137E"/>
    <w:rsid w:val="00BD2761"/>
    <w:rsid w:val="00BD6C4D"/>
    <w:rsid w:val="00BD7977"/>
    <w:rsid w:val="00BD7E91"/>
    <w:rsid w:val="00BD7E96"/>
    <w:rsid w:val="00BE050B"/>
    <w:rsid w:val="00BE10C3"/>
    <w:rsid w:val="00BE13F2"/>
    <w:rsid w:val="00BE1587"/>
    <w:rsid w:val="00BE1922"/>
    <w:rsid w:val="00BE2285"/>
    <w:rsid w:val="00BE2504"/>
    <w:rsid w:val="00BE2632"/>
    <w:rsid w:val="00BE31FA"/>
    <w:rsid w:val="00BE32AD"/>
    <w:rsid w:val="00BE42F8"/>
    <w:rsid w:val="00BE468F"/>
    <w:rsid w:val="00BE661A"/>
    <w:rsid w:val="00BE680F"/>
    <w:rsid w:val="00BE7C6A"/>
    <w:rsid w:val="00BF0BE9"/>
    <w:rsid w:val="00BF0D78"/>
    <w:rsid w:val="00BF4A43"/>
    <w:rsid w:val="00C00AFB"/>
    <w:rsid w:val="00C00B55"/>
    <w:rsid w:val="00C020D6"/>
    <w:rsid w:val="00C0344E"/>
    <w:rsid w:val="00C043F3"/>
    <w:rsid w:val="00C047B1"/>
    <w:rsid w:val="00C066BA"/>
    <w:rsid w:val="00C06E80"/>
    <w:rsid w:val="00C10A72"/>
    <w:rsid w:val="00C12177"/>
    <w:rsid w:val="00C122E9"/>
    <w:rsid w:val="00C12FE7"/>
    <w:rsid w:val="00C144BC"/>
    <w:rsid w:val="00C15750"/>
    <w:rsid w:val="00C15E8D"/>
    <w:rsid w:val="00C16139"/>
    <w:rsid w:val="00C16CF5"/>
    <w:rsid w:val="00C173B9"/>
    <w:rsid w:val="00C20E01"/>
    <w:rsid w:val="00C22417"/>
    <w:rsid w:val="00C2297E"/>
    <w:rsid w:val="00C2372F"/>
    <w:rsid w:val="00C24F2C"/>
    <w:rsid w:val="00C27B1C"/>
    <w:rsid w:val="00C31381"/>
    <w:rsid w:val="00C3143C"/>
    <w:rsid w:val="00C31819"/>
    <w:rsid w:val="00C319F3"/>
    <w:rsid w:val="00C32A84"/>
    <w:rsid w:val="00C344D0"/>
    <w:rsid w:val="00C34CBD"/>
    <w:rsid w:val="00C35ED9"/>
    <w:rsid w:val="00C377F5"/>
    <w:rsid w:val="00C412F3"/>
    <w:rsid w:val="00C41313"/>
    <w:rsid w:val="00C42473"/>
    <w:rsid w:val="00C426FD"/>
    <w:rsid w:val="00C42848"/>
    <w:rsid w:val="00C42A96"/>
    <w:rsid w:val="00C42EC1"/>
    <w:rsid w:val="00C45BF3"/>
    <w:rsid w:val="00C45F1D"/>
    <w:rsid w:val="00C46F18"/>
    <w:rsid w:val="00C479EB"/>
    <w:rsid w:val="00C479F3"/>
    <w:rsid w:val="00C508EC"/>
    <w:rsid w:val="00C5273B"/>
    <w:rsid w:val="00C52F58"/>
    <w:rsid w:val="00C53BCB"/>
    <w:rsid w:val="00C550D7"/>
    <w:rsid w:val="00C56C7F"/>
    <w:rsid w:val="00C5792A"/>
    <w:rsid w:val="00C60C84"/>
    <w:rsid w:val="00C60DD0"/>
    <w:rsid w:val="00C61158"/>
    <w:rsid w:val="00C61302"/>
    <w:rsid w:val="00C61345"/>
    <w:rsid w:val="00C6334A"/>
    <w:rsid w:val="00C6399E"/>
    <w:rsid w:val="00C6727B"/>
    <w:rsid w:val="00C6750A"/>
    <w:rsid w:val="00C702D7"/>
    <w:rsid w:val="00C70843"/>
    <w:rsid w:val="00C72176"/>
    <w:rsid w:val="00C72A3F"/>
    <w:rsid w:val="00C73718"/>
    <w:rsid w:val="00C741B2"/>
    <w:rsid w:val="00C74A57"/>
    <w:rsid w:val="00C75571"/>
    <w:rsid w:val="00C75BAB"/>
    <w:rsid w:val="00C7740F"/>
    <w:rsid w:val="00C77539"/>
    <w:rsid w:val="00C80437"/>
    <w:rsid w:val="00C80F70"/>
    <w:rsid w:val="00C81AF9"/>
    <w:rsid w:val="00C828BA"/>
    <w:rsid w:val="00C82FE2"/>
    <w:rsid w:val="00C83731"/>
    <w:rsid w:val="00C8479F"/>
    <w:rsid w:val="00C853E6"/>
    <w:rsid w:val="00C90746"/>
    <w:rsid w:val="00C95777"/>
    <w:rsid w:val="00C9668D"/>
    <w:rsid w:val="00CA385B"/>
    <w:rsid w:val="00CA3D66"/>
    <w:rsid w:val="00CA65C6"/>
    <w:rsid w:val="00CA6962"/>
    <w:rsid w:val="00CA69A0"/>
    <w:rsid w:val="00CB18D7"/>
    <w:rsid w:val="00CB1A1D"/>
    <w:rsid w:val="00CB221C"/>
    <w:rsid w:val="00CB25A2"/>
    <w:rsid w:val="00CB2DF9"/>
    <w:rsid w:val="00CB2E0F"/>
    <w:rsid w:val="00CB3875"/>
    <w:rsid w:val="00CB438C"/>
    <w:rsid w:val="00CB4BA3"/>
    <w:rsid w:val="00CB5450"/>
    <w:rsid w:val="00CB566F"/>
    <w:rsid w:val="00CB5696"/>
    <w:rsid w:val="00CB569C"/>
    <w:rsid w:val="00CB584F"/>
    <w:rsid w:val="00CB73E5"/>
    <w:rsid w:val="00CB741B"/>
    <w:rsid w:val="00CB75CD"/>
    <w:rsid w:val="00CB7898"/>
    <w:rsid w:val="00CB7AB2"/>
    <w:rsid w:val="00CC0B52"/>
    <w:rsid w:val="00CC0D07"/>
    <w:rsid w:val="00CC1EE4"/>
    <w:rsid w:val="00CC3692"/>
    <w:rsid w:val="00CC3E89"/>
    <w:rsid w:val="00CC4497"/>
    <w:rsid w:val="00CC473E"/>
    <w:rsid w:val="00CC4B7F"/>
    <w:rsid w:val="00CC4C2D"/>
    <w:rsid w:val="00CC4CD3"/>
    <w:rsid w:val="00CC57B9"/>
    <w:rsid w:val="00CC5887"/>
    <w:rsid w:val="00CC77D6"/>
    <w:rsid w:val="00CD0D9E"/>
    <w:rsid w:val="00CD17E6"/>
    <w:rsid w:val="00CD20D2"/>
    <w:rsid w:val="00CD23CB"/>
    <w:rsid w:val="00CD35D9"/>
    <w:rsid w:val="00CD5355"/>
    <w:rsid w:val="00CD5510"/>
    <w:rsid w:val="00CD6467"/>
    <w:rsid w:val="00CD6B0E"/>
    <w:rsid w:val="00CD79D8"/>
    <w:rsid w:val="00CD7B80"/>
    <w:rsid w:val="00CD7DB3"/>
    <w:rsid w:val="00CE1002"/>
    <w:rsid w:val="00CE56DD"/>
    <w:rsid w:val="00CE64E9"/>
    <w:rsid w:val="00CE6C25"/>
    <w:rsid w:val="00CE76F2"/>
    <w:rsid w:val="00CE786F"/>
    <w:rsid w:val="00CF1060"/>
    <w:rsid w:val="00CF144E"/>
    <w:rsid w:val="00CF16FE"/>
    <w:rsid w:val="00CF20C0"/>
    <w:rsid w:val="00CF230A"/>
    <w:rsid w:val="00CF392F"/>
    <w:rsid w:val="00CF41DC"/>
    <w:rsid w:val="00CF534C"/>
    <w:rsid w:val="00CF61F4"/>
    <w:rsid w:val="00CF6499"/>
    <w:rsid w:val="00CF6CD0"/>
    <w:rsid w:val="00CF7E5E"/>
    <w:rsid w:val="00D0036E"/>
    <w:rsid w:val="00D01472"/>
    <w:rsid w:val="00D023EA"/>
    <w:rsid w:val="00D0288C"/>
    <w:rsid w:val="00D030DA"/>
    <w:rsid w:val="00D0465E"/>
    <w:rsid w:val="00D05E0A"/>
    <w:rsid w:val="00D06608"/>
    <w:rsid w:val="00D11296"/>
    <w:rsid w:val="00D1140F"/>
    <w:rsid w:val="00D11AFE"/>
    <w:rsid w:val="00D1296F"/>
    <w:rsid w:val="00D12B65"/>
    <w:rsid w:val="00D13C5A"/>
    <w:rsid w:val="00D14973"/>
    <w:rsid w:val="00D14E5A"/>
    <w:rsid w:val="00D14F22"/>
    <w:rsid w:val="00D15645"/>
    <w:rsid w:val="00D16398"/>
    <w:rsid w:val="00D1745C"/>
    <w:rsid w:val="00D17CE5"/>
    <w:rsid w:val="00D21180"/>
    <w:rsid w:val="00D2679B"/>
    <w:rsid w:val="00D27776"/>
    <w:rsid w:val="00D27C81"/>
    <w:rsid w:val="00D3182C"/>
    <w:rsid w:val="00D321BA"/>
    <w:rsid w:val="00D325A7"/>
    <w:rsid w:val="00D33658"/>
    <w:rsid w:val="00D34266"/>
    <w:rsid w:val="00D34864"/>
    <w:rsid w:val="00D348E4"/>
    <w:rsid w:val="00D34ADD"/>
    <w:rsid w:val="00D34EDD"/>
    <w:rsid w:val="00D35A11"/>
    <w:rsid w:val="00D35CC9"/>
    <w:rsid w:val="00D35FAC"/>
    <w:rsid w:val="00D36221"/>
    <w:rsid w:val="00D3652F"/>
    <w:rsid w:val="00D4006B"/>
    <w:rsid w:val="00D40324"/>
    <w:rsid w:val="00D4088E"/>
    <w:rsid w:val="00D41AB9"/>
    <w:rsid w:val="00D4402E"/>
    <w:rsid w:val="00D44C99"/>
    <w:rsid w:val="00D457A6"/>
    <w:rsid w:val="00D458E1"/>
    <w:rsid w:val="00D45C80"/>
    <w:rsid w:val="00D45E1D"/>
    <w:rsid w:val="00D465D7"/>
    <w:rsid w:val="00D46883"/>
    <w:rsid w:val="00D47877"/>
    <w:rsid w:val="00D47F07"/>
    <w:rsid w:val="00D51311"/>
    <w:rsid w:val="00D51B14"/>
    <w:rsid w:val="00D52B9E"/>
    <w:rsid w:val="00D52C43"/>
    <w:rsid w:val="00D52CF3"/>
    <w:rsid w:val="00D5408C"/>
    <w:rsid w:val="00D55497"/>
    <w:rsid w:val="00D55DF8"/>
    <w:rsid w:val="00D56141"/>
    <w:rsid w:val="00D564D2"/>
    <w:rsid w:val="00D57DC8"/>
    <w:rsid w:val="00D60111"/>
    <w:rsid w:val="00D60929"/>
    <w:rsid w:val="00D62104"/>
    <w:rsid w:val="00D62750"/>
    <w:rsid w:val="00D63501"/>
    <w:rsid w:val="00D64377"/>
    <w:rsid w:val="00D65E3C"/>
    <w:rsid w:val="00D660D7"/>
    <w:rsid w:val="00D66269"/>
    <w:rsid w:val="00D66A68"/>
    <w:rsid w:val="00D66E08"/>
    <w:rsid w:val="00D67407"/>
    <w:rsid w:val="00D67EF3"/>
    <w:rsid w:val="00D7393C"/>
    <w:rsid w:val="00D74737"/>
    <w:rsid w:val="00D74C2D"/>
    <w:rsid w:val="00D74D72"/>
    <w:rsid w:val="00D7507A"/>
    <w:rsid w:val="00D771A6"/>
    <w:rsid w:val="00D7723E"/>
    <w:rsid w:val="00D809EF"/>
    <w:rsid w:val="00D83461"/>
    <w:rsid w:val="00D83958"/>
    <w:rsid w:val="00D83EC9"/>
    <w:rsid w:val="00D851E0"/>
    <w:rsid w:val="00D85262"/>
    <w:rsid w:val="00D8592D"/>
    <w:rsid w:val="00D85964"/>
    <w:rsid w:val="00D872E7"/>
    <w:rsid w:val="00D905DB"/>
    <w:rsid w:val="00D90C1C"/>
    <w:rsid w:val="00D90CDD"/>
    <w:rsid w:val="00D91A72"/>
    <w:rsid w:val="00D929F1"/>
    <w:rsid w:val="00D929FC"/>
    <w:rsid w:val="00D92C59"/>
    <w:rsid w:val="00D94A50"/>
    <w:rsid w:val="00D95DFD"/>
    <w:rsid w:val="00D97C85"/>
    <w:rsid w:val="00DA075E"/>
    <w:rsid w:val="00DA31DE"/>
    <w:rsid w:val="00DA3FA4"/>
    <w:rsid w:val="00DA5AB5"/>
    <w:rsid w:val="00DA60A3"/>
    <w:rsid w:val="00DA6B71"/>
    <w:rsid w:val="00DA76AB"/>
    <w:rsid w:val="00DB04DE"/>
    <w:rsid w:val="00DB39CA"/>
    <w:rsid w:val="00DB455C"/>
    <w:rsid w:val="00DB47E6"/>
    <w:rsid w:val="00DB6CD3"/>
    <w:rsid w:val="00DC031E"/>
    <w:rsid w:val="00DC04A8"/>
    <w:rsid w:val="00DC0C91"/>
    <w:rsid w:val="00DC2477"/>
    <w:rsid w:val="00DC291F"/>
    <w:rsid w:val="00DC4215"/>
    <w:rsid w:val="00DC4597"/>
    <w:rsid w:val="00DC51A6"/>
    <w:rsid w:val="00DC652D"/>
    <w:rsid w:val="00DC6687"/>
    <w:rsid w:val="00DC6BCF"/>
    <w:rsid w:val="00DD1291"/>
    <w:rsid w:val="00DD1311"/>
    <w:rsid w:val="00DD2307"/>
    <w:rsid w:val="00DD2D6F"/>
    <w:rsid w:val="00DD3366"/>
    <w:rsid w:val="00DD3BDA"/>
    <w:rsid w:val="00DD53F3"/>
    <w:rsid w:val="00DD56A3"/>
    <w:rsid w:val="00DD7A3F"/>
    <w:rsid w:val="00DE29E0"/>
    <w:rsid w:val="00DE2A82"/>
    <w:rsid w:val="00DE2CC8"/>
    <w:rsid w:val="00DE46F2"/>
    <w:rsid w:val="00DE51F9"/>
    <w:rsid w:val="00DE5332"/>
    <w:rsid w:val="00DE5691"/>
    <w:rsid w:val="00DE60EC"/>
    <w:rsid w:val="00DE6692"/>
    <w:rsid w:val="00DE6E5B"/>
    <w:rsid w:val="00DE710E"/>
    <w:rsid w:val="00DE7899"/>
    <w:rsid w:val="00DF1794"/>
    <w:rsid w:val="00DF2AD8"/>
    <w:rsid w:val="00DF4118"/>
    <w:rsid w:val="00DF442D"/>
    <w:rsid w:val="00DF5241"/>
    <w:rsid w:val="00DF5348"/>
    <w:rsid w:val="00DF5352"/>
    <w:rsid w:val="00DF6CDC"/>
    <w:rsid w:val="00DF6EE8"/>
    <w:rsid w:val="00DF7545"/>
    <w:rsid w:val="00DF7D0B"/>
    <w:rsid w:val="00E00962"/>
    <w:rsid w:val="00E00B74"/>
    <w:rsid w:val="00E012C6"/>
    <w:rsid w:val="00E02229"/>
    <w:rsid w:val="00E028AA"/>
    <w:rsid w:val="00E02908"/>
    <w:rsid w:val="00E0322E"/>
    <w:rsid w:val="00E0621E"/>
    <w:rsid w:val="00E07CF4"/>
    <w:rsid w:val="00E1071D"/>
    <w:rsid w:val="00E1245B"/>
    <w:rsid w:val="00E138F7"/>
    <w:rsid w:val="00E200C2"/>
    <w:rsid w:val="00E209D3"/>
    <w:rsid w:val="00E2167A"/>
    <w:rsid w:val="00E22134"/>
    <w:rsid w:val="00E23B68"/>
    <w:rsid w:val="00E24E72"/>
    <w:rsid w:val="00E24F2F"/>
    <w:rsid w:val="00E24F51"/>
    <w:rsid w:val="00E2513D"/>
    <w:rsid w:val="00E25F6A"/>
    <w:rsid w:val="00E26E98"/>
    <w:rsid w:val="00E27048"/>
    <w:rsid w:val="00E278F0"/>
    <w:rsid w:val="00E307F2"/>
    <w:rsid w:val="00E30AFA"/>
    <w:rsid w:val="00E31648"/>
    <w:rsid w:val="00E33094"/>
    <w:rsid w:val="00E33299"/>
    <w:rsid w:val="00E334E7"/>
    <w:rsid w:val="00E33EDA"/>
    <w:rsid w:val="00E34B64"/>
    <w:rsid w:val="00E34C09"/>
    <w:rsid w:val="00E3593A"/>
    <w:rsid w:val="00E36137"/>
    <w:rsid w:val="00E373A9"/>
    <w:rsid w:val="00E40FA5"/>
    <w:rsid w:val="00E43733"/>
    <w:rsid w:val="00E43D46"/>
    <w:rsid w:val="00E43FAA"/>
    <w:rsid w:val="00E445CD"/>
    <w:rsid w:val="00E4493D"/>
    <w:rsid w:val="00E5034D"/>
    <w:rsid w:val="00E50B46"/>
    <w:rsid w:val="00E516E5"/>
    <w:rsid w:val="00E51F66"/>
    <w:rsid w:val="00E5367F"/>
    <w:rsid w:val="00E53F3F"/>
    <w:rsid w:val="00E540C6"/>
    <w:rsid w:val="00E54368"/>
    <w:rsid w:val="00E56DDB"/>
    <w:rsid w:val="00E57081"/>
    <w:rsid w:val="00E57248"/>
    <w:rsid w:val="00E57E6E"/>
    <w:rsid w:val="00E60A4F"/>
    <w:rsid w:val="00E60F55"/>
    <w:rsid w:val="00E613DB"/>
    <w:rsid w:val="00E62BC5"/>
    <w:rsid w:val="00E63F51"/>
    <w:rsid w:val="00E65DE0"/>
    <w:rsid w:val="00E672A5"/>
    <w:rsid w:val="00E67618"/>
    <w:rsid w:val="00E7288C"/>
    <w:rsid w:val="00E73667"/>
    <w:rsid w:val="00E73C33"/>
    <w:rsid w:val="00E742EA"/>
    <w:rsid w:val="00E757FF"/>
    <w:rsid w:val="00E769E5"/>
    <w:rsid w:val="00E76C5E"/>
    <w:rsid w:val="00E76D38"/>
    <w:rsid w:val="00E77154"/>
    <w:rsid w:val="00E80793"/>
    <w:rsid w:val="00E8085E"/>
    <w:rsid w:val="00E80E00"/>
    <w:rsid w:val="00E83D62"/>
    <w:rsid w:val="00E8411A"/>
    <w:rsid w:val="00E866EC"/>
    <w:rsid w:val="00E86B59"/>
    <w:rsid w:val="00E87EB0"/>
    <w:rsid w:val="00E9071F"/>
    <w:rsid w:val="00E91D55"/>
    <w:rsid w:val="00E92065"/>
    <w:rsid w:val="00E93D41"/>
    <w:rsid w:val="00E948D0"/>
    <w:rsid w:val="00E94A76"/>
    <w:rsid w:val="00E95F18"/>
    <w:rsid w:val="00E9626E"/>
    <w:rsid w:val="00EA0165"/>
    <w:rsid w:val="00EA01D2"/>
    <w:rsid w:val="00EA0649"/>
    <w:rsid w:val="00EA29AB"/>
    <w:rsid w:val="00EA36DA"/>
    <w:rsid w:val="00EA5AD5"/>
    <w:rsid w:val="00EA6DD5"/>
    <w:rsid w:val="00EA72FA"/>
    <w:rsid w:val="00EB1862"/>
    <w:rsid w:val="00EB24EB"/>
    <w:rsid w:val="00EB264F"/>
    <w:rsid w:val="00EB2EE4"/>
    <w:rsid w:val="00EB3E8B"/>
    <w:rsid w:val="00EB5620"/>
    <w:rsid w:val="00EC05F2"/>
    <w:rsid w:val="00EC0E1A"/>
    <w:rsid w:val="00EC3F29"/>
    <w:rsid w:val="00EC4A2D"/>
    <w:rsid w:val="00EC7BC5"/>
    <w:rsid w:val="00ED083B"/>
    <w:rsid w:val="00ED11A2"/>
    <w:rsid w:val="00ED1746"/>
    <w:rsid w:val="00ED1BDA"/>
    <w:rsid w:val="00ED4128"/>
    <w:rsid w:val="00ED4AF0"/>
    <w:rsid w:val="00ED4E3E"/>
    <w:rsid w:val="00ED5582"/>
    <w:rsid w:val="00ED5755"/>
    <w:rsid w:val="00ED5D03"/>
    <w:rsid w:val="00ED6F27"/>
    <w:rsid w:val="00ED6FE6"/>
    <w:rsid w:val="00EE0016"/>
    <w:rsid w:val="00EE225F"/>
    <w:rsid w:val="00EE2EB5"/>
    <w:rsid w:val="00EE4DBE"/>
    <w:rsid w:val="00EE58CF"/>
    <w:rsid w:val="00EF1C57"/>
    <w:rsid w:val="00EF54DC"/>
    <w:rsid w:val="00EF57D2"/>
    <w:rsid w:val="00EF67BD"/>
    <w:rsid w:val="00EF7B5C"/>
    <w:rsid w:val="00F0016D"/>
    <w:rsid w:val="00F0155C"/>
    <w:rsid w:val="00F01DC8"/>
    <w:rsid w:val="00F02488"/>
    <w:rsid w:val="00F029D3"/>
    <w:rsid w:val="00F02F92"/>
    <w:rsid w:val="00F0312B"/>
    <w:rsid w:val="00F039D4"/>
    <w:rsid w:val="00F05B9B"/>
    <w:rsid w:val="00F06AB2"/>
    <w:rsid w:val="00F06BEB"/>
    <w:rsid w:val="00F10BA6"/>
    <w:rsid w:val="00F13D1A"/>
    <w:rsid w:val="00F151B5"/>
    <w:rsid w:val="00F1718E"/>
    <w:rsid w:val="00F17560"/>
    <w:rsid w:val="00F17972"/>
    <w:rsid w:val="00F208CE"/>
    <w:rsid w:val="00F20EF6"/>
    <w:rsid w:val="00F21C01"/>
    <w:rsid w:val="00F241DB"/>
    <w:rsid w:val="00F25057"/>
    <w:rsid w:val="00F2626B"/>
    <w:rsid w:val="00F324D4"/>
    <w:rsid w:val="00F3336B"/>
    <w:rsid w:val="00F34341"/>
    <w:rsid w:val="00F3573A"/>
    <w:rsid w:val="00F35F94"/>
    <w:rsid w:val="00F360B2"/>
    <w:rsid w:val="00F37026"/>
    <w:rsid w:val="00F41E01"/>
    <w:rsid w:val="00F4233C"/>
    <w:rsid w:val="00F43407"/>
    <w:rsid w:val="00F50E74"/>
    <w:rsid w:val="00F512A6"/>
    <w:rsid w:val="00F52FC9"/>
    <w:rsid w:val="00F53CB6"/>
    <w:rsid w:val="00F55F73"/>
    <w:rsid w:val="00F56D2A"/>
    <w:rsid w:val="00F57FC6"/>
    <w:rsid w:val="00F602F4"/>
    <w:rsid w:val="00F6256F"/>
    <w:rsid w:val="00F64CA0"/>
    <w:rsid w:val="00F6584F"/>
    <w:rsid w:val="00F65916"/>
    <w:rsid w:val="00F66400"/>
    <w:rsid w:val="00F6691F"/>
    <w:rsid w:val="00F67DE5"/>
    <w:rsid w:val="00F718D5"/>
    <w:rsid w:val="00F75C54"/>
    <w:rsid w:val="00F7672A"/>
    <w:rsid w:val="00F76DF2"/>
    <w:rsid w:val="00F774A0"/>
    <w:rsid w:val="00F80132"/>
    <w:rsid w:val="00F80C17"/>
    <w:rsid w:val="00F81499"/>
    <w:rsid w:val="00F82B7B"/>
    <w:rsid w:val="00F82E40"/>
    <w:rsid w:val="00F84380"/>
    <w:rsid w:val="00F84A88"/>
    <w:rsid w:val="00F85368"/>
    <w:rsid w:val="00F86CD4"/>
    <w:rsid w:val="00F87BCB"/>
    <w:rsid w:val="00F9007B"/>
    <w:rsid w:val="00F90D07"/>
    <w:rsid w:val="00F91523"/>
    <w:rsid w:val="00F92438"/>
    <w:rsid w:val="00F938CA"/>
    <w:rsid w:val="00F941B0"/>
    <w:rsid w:val="00F94273"/>
    <w:rsid w:val="00F9482A"/>
    <w:rsid w:val="00F96C9B"/>
    <w:rsid w:val="00FA0F6F"/>
    <w:rsid w:val="00FA10FE"/>
    <w:rsid w:val="00FA16B1"/>
    <w:rsid w:val="00FA1B97"/>
    <w:rsid w:val="00FA3198"/>
    <w:rsid w:val="00FA481D"/>
    <w:rsid w:val="00FA5F4C"/>
    <w:rsid w:val="00FB0893"/>
    <w:rsid w:val="00FB1A96"/>
    <w:rsid w:val="00FB24FD"/>
    <w:rsid w:val="00FB34D7"/>
    <w:rsid w:val="00FB39DF"/>
    <w:rsid w:val="00FB3D7F"/>
    <w:rsid w:val="00FB5E95"/>
    <w:rsid w:val="00FB6DE2"/>
    <w:rsid w:val="00FB7EB4"/>
    <w:rsid w:val="00FC129B"/>
    <w:rsid w:val="00FC2406"/>
    <w:rsid w:val="00FC37E5"/>
    <w:rsid w:val="00FC45B7"/>
    <w:rsid w:val="00FC5AF0"/>
    <w:rsid w:val="00FC5DB6"/>
    <w:rsid w:val="00FC7343"/>
    <w:rsid w:val="00FC7868"/>
    <w:rsid w:val="00FD05CA"/>
    <w:rsid w:val="00FD097C"/>
    <w:rsid w:val="00FD306D"/>
    <w:rsid w:val="00FD3D8F"/>
    <w:rsid w:val="00FD5895"/>
    <w:rsid w:val="00FD6479"/>
    <w:rsid w:val="00FD7A39"/>
    <w:rsid w:val="00FE160E"/>
    <w:rsid w:val="00FE34FC"/>
    <w:rsid w:val="00FE3AE2"/>
    <w:rsid w:val="00FE414C"/>
    <w:rsid w:val="00FE5A71"/>
    <w:rsid w:val="00FE5EF7"/>
    <w:rsid w:val="00FF0550"/>
    <w:rsid w:val="00FF1555"/>
    <w:rsid w:val="00FF2811"/>
    <w:rsid w:val="00FF2FB7"/>
    <w:rsid w:val="00FF3826"/>
    <w:rsid w:val="00FF4648"/>
    <w:rsid w:val="00FF533B"/>
    <w:rsid w:val="00FF5B79"/>
    <w:rsid w:val="00FF6638"/>
    <w:rsid w:val="00FF723A"/>
    <w:rsid w:val="00FF74B7"/>
    <w:rsid w:val="0E573582"/>
    <w:rsid w:val="1A366E0D"/>
    <w:rsid w:val="38F8EDB1"/>
    <w:rsid w:val="43A5E20D"/>
    <w:rsid w:val="4A1E5441"/>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DC8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F"/>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r"/>
    <w:link w:val="Char2"/>
    <w:uiPriority w:val="99"/>
    <w:qFormat/>
    <w:rsid w:val="00B87A39"/>
    <w:rPr>
      <w:rFonts w:ascii="Times New Roman" w:hAnsi="Times New Roman"/>
      <w:sz w:val="20"/>
      <w:vertAlign w:val="superscript"/>
    </w:rPr>
  </w:style>
  <w:style w:type="paragraph" w:customStyle="1" w:styleId="Char2">
    <w:name w:val="Char2"/>
    <w:basedOn w:val="Normal"/>
    <w:link w:val="FootnoteReference"/>
    <w:rsid w:val="00257145"/>
    <w:pPr>
      <w:spacing w:after="160" w:line="240" w:lineRule="exact"/>
    </w:pPr>
    <w:rPr>
      <w:rFonts w:eastAsia="Calibri"/>
      <w:spacing w:val="0"/>
      <w:sz w:val="20"/>
      <w:vertAlign w:val="superscript"/>
      <w:lang w:val="es-AR" w:eastAsia="es-AR"/>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uiPriority w:val="99"/>
    <w:rsid w:val="00816867"/>
    <w:pPr>
      <w:keepNext/>
      <w:numPr>
        <w:numId w:val="1"/>
      </w:numPr>
      <w:tabs>
        <w:tab w:val="left" w:pos="1440"/>
      </w:tabs>
      <w:spacing w:before="240" w:after="240"/>
      <w:jc w:val="center"/>
    </w:pPr>
    <w:rPr>
      <w:rFonts w:eastAsia="Calibri"/>
      <w:b/>
      <w:smallCaps/>
      <w:spacing w:val="0"/>
      <w:szCs w:val="22"/>
    </w:rPr>
  </w:style>
  <w:style w:type="character" w:customStyle="1" w:styleId="ChapterChar">
    <w:name w:val="Chapter Char"/>
    <w:link w:val="Chapter"/>
    <w:uiPriority w:val="99"/>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aliases w:val="p Char,PARAGRAPH Char,PG Char,pa Char,at Char,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uiPriority w:val="99"/>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aliases w:val="titulo 5"/>
    <w:basedOn w:val="Normal"/>
    <w:link w:val="ListParagraphChar"/>
    <w:uiPriority w:val="34"/>
    <w:qFormat/>
    <w:rsid w:val="00B7297A"/>
    <w:pPr>
      <w:ind w:left="720"/>
      <w:contextualSpacing/>
    </w:pPr>
    <w:rPr>
      <w:spacing w:val="0"/>
      <w:lang w:val="en-US"/>
    </w:rPr>
  </w:style>
  <w:style w:type="character" w:customStyle="1" w:styleId="ListParagraphChar">
    <w:name w:val="List Paragraph Char"/>
    <w:aliases w:val="titulo 5 Char"/>
    <w:link w:val="ListParagraph"/>
    <w:uiPriority w:val="34"/>
    <w:locked/>
    <w:rsid w:val="00DD3BDA"/>
    <w:rPr>
      <w:rFonts w:ascii="Times New Roman" w:eastAsia="Times New Roman" w:hAnsi="Times New Roman"/>
      <w:sz w:val="24"/>
      <w:lang w:val="en-US" w:eastAsia="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paragraph" w:customStyle="1" w:styleId="ColorfulList-Accent11">
    <w:name w:val="Colorful List - Accent 11"/>
    <w:basedOn w:val="Normal"/>
    <w:link w:val="ColorfulList-Accent1Char"/>
    <w:uiPriority w:val="34"/>
    <w:qFormat/>
    <w:rsid w:val="00562112"/>
    <w:pPr>
      <w:spacing w:after="200" w:line="276" w:lineRule="auto"/>
      <w:ind w:left="720"/>
      <w:contextualSpacing/>
    </w:pPr>
    <w:rPr>
      <w:rFonts w:ascii="Calibri" w:eastAsia="Calibri" w:hAnsi="Calibri"/>
      <w:spacing w:val="0"/>
      <w:sz w:val="22"/>
      <w:szCs w:val="22"/>
      <w:lang w:val="en-US"/>
    </w:rPr>
  </w:style>
  <w:style w:type="character" w:customStyle="1" w:styleId="ColorfulList-Accent1Char">
    <w:name w:val="Colorful List - Accent 1 Char"/>
    <w:link w:val="ColorfulList-Accent11"/>
    <w:uiPriority w:val="34"/>
    <w:rsid w:val="00562112"/>
    <w:rPr>
      <w:sz w:val="22"/>
      <w:szCs w:val="22"/>
      <w:lang w:val="en-US" w:eastAsia="en-US"/>
    </w:rPr>
  </w:style>
  <w:style w:type="paragraph" w:customStyle="1" w:styleId="Default">
    <w:name w:val="Default"/>
    <w:rsid w:val="00257145"/>
    <w:pPr>
      <w:autoSpaceDE w:val="0"/>
      <w:autoSpaceDN w:val="0"/>
      <w:adjustRightInd w:val="0"/>
    </w:pPr>
    <w:rPr>
      <w:rFonts w:ascii="Arial" w:eastAsia="Times New Roman" w:hAnsi="Arial" w:cs="Arial"/>
      <w:color w:val="000000"/>
      <w:sz w:val="24"/>
      <w:szCs w:val="24"/>
      <w:lang w:val="en-US" w:eastAsia="en-US"/>
    </w:rPr>
  </w:style>
  <w:style w:type="character" w:customStyle="1" w:styleId="hps">
    <w:name w:val="hps"/>
    <w:rsid w:val="006E21C8"/>
  </w:style>
  <w:style w:type="paragraph" w:customStyle="1" w:styleId="ColorfulList-Accent12">
    <w:name w:val="Colorful List - Accent 12"/>
    <w:basedOn w:val="Normal"/>
    <w:link w:val="ColorfulList-Accent1Char1"/>
    <w:uiPriority w:val="34"/>
    <w:qFormat/>
    <w:rsid w:val="00557C4D"/>
    <w:pPr>
      <w:ind w:left="720"/>
      <w:contextualSpacing/>
    </w:pPr>
    <w:rPr>
      <w:rFonts w:eastAsia="Calibri"/>
      <w:spacing w:val="0"/>
      <w:szCs w:val="24"/>
      <w:lang w:val="en-US"/>
    </w:rPr>
  </w:style>
  <w:style w:type="character" w:customStyle="1" w:styleId="ColorfulList-Accent1Char1">
    <w:name w:val="Colorful List - Accent 1 Char1"/>
    <w:link w:val="ColorfulList-Accent12"/>
    <w:uiPriority w:val="34"/>
    <w:rsid w:val="00557C4D"/>
    <w:rPr>
      <w:rFonts w:ascii="Times New Roman" w:hAnsi="Times New Roman"/>
      <w:sz w:val="24"/>
      <w:szCs w:val="24"/>
      <w:lang w:val="en-US" w:eastAsia="en-US"/>
    </w:rPr>
  </w:style>
  <w:style w:type="paragraph" w:styleId="TOC4">
    <w:name w:val="toc 4"/>
    <w:basedOn w:val="Normal"/>
    <w:next w:val="Normal"/>
    <w:autoRedefine/>
    <w:uiPriority w:val="39"/>
    <w:unhideWhenUsed/>
    <w:rsid w:val="003E3EE4"/>
    <w:pPr>
      <w:spacing w:after="100" w:line="259" w:lineRule="auto"/>
      <w:ind w:left="660"/>
    </w:pPr>
    <w:rPr>
      <w:rFonts w:asciiTheme="minorHAnsi" w:eastAsiaTheme="minorEastAsia" w:hAnsiTheme="minorHAnsi" w:cstheme="minorBidi"/>
      <w:spacing w:val="0"/>
      <w:sz w:val="22"/>
      <w:szCs w:val="22"/>
      <w:lang w:val="en-US"/>
    </w:rPr>
  </w:style>
  <w:style w:type="paragraph" w:styleId="TOC5">
    <w:name w:val="toc 5"/>
    <w:basedOn w:val="Normal"/>
    <w:next w:val="Normal"/>
    <w:autoRedefine/>
    <w:uiPriority w:val="39"/>
    <w:unhideWhenUsed/>
    <w:rsid w:val="003E3EE4"/>
    <w:pPr>
      <w:spacing w:after="100" w:line="259" w:lineRule="auto"/>
      <w:ind w:left="880"/>
    </w:pPr>
    <w:rPr>
      <w:rFonts w:asciiTheme="minorHAnsi" w:eastAsiaTheme="minorEastAsia" w:hAnsiTheme="minorHAnsi" w:cstheme="minorBidi"/>
      <w:spacing w:val="0"/>
      <w:sz w:val="22"/>
      <w:szCs w:val="22"/>
      <w:lang w:val="en-US"/>
    </w:rPr>
  </w:style>
  <w:style w:type="paragraph" w:styleId="TOC6">
    <w:name w:val="toc 6"/>
    <w:basedOn w:val="Normal"/>
    <w:next w:val="Normal"/>
    <w:autoRedefine/>
    <w:uiPriority w:val="39"/>
    <w:unhideWhenUsed/>
    <w:rsid w:val="003E3EE4"/>
    <w:pPr>
      <w:spacing w:after="100" w:line="259" w:lineRule="auto"/>
      <w:ind w:left="1100"/>
    </w:pPr>
    <w:rPr>
      <w:rFonts w:asciiTheme="minorHAnsi" w:eastAsiaTheme="minorEastAsia" w:hAnsiTheme="minorHAnsi" w:cstheme="minorBidi"/>
      <w:spacing w:val="0"/>
      <w:sz w:val="22"/>
      <w:szCs w:val="22"/>
      <w:lang w:val="en-US"/>
    </w:rPr>
  </w:style>
  <w:style w:type="paragraph" w:styleId="TOC7">
    <w:name w:val="toc 7"/>
    <w:basedOn w:val="Normal"/>
    <w:next w:val="Normal"/>
    <w:autoRedefine/>
    <w:uiPriority w:val="39"/>
    <w:unhideWhenUsed/>
    <w:rsid w:val="003E3EE4"/>
    <w:pPr>
      <w:spacing w:after="100" w:line="259" w:lineRule="auto"/>
      <w:ind w:left="1320"/>
    </w:pPr>
    <w:rPr>
      <w:rFonts w:asciiTheme="minorHAnsi" w:eastAsiaTheme="minorEastAsia" w:hAnsiTheme="minorHAnsi" w:cstheme="minorBidi"/>
      <w:spacing w:val="0"/>
      <w:sz w:val="22"/>
      <w:szCs w:val="22"/>
      <w:lang w:val="en-US"/>
    </w:rPr>
  </w:style>
  <w:style w:type="paragraph" w:styleId="TOC8">
    <w:name w:val="toc 8"/>
    <w:basedOn w:val="Normal"/>
    <w:next w:val="Normal"/>
    <w:autoRedefine/>
    <w:uiPriority w:val="39"/>
    <w:unhideWhenUsed/>
    <w:rsid w:val="003E3EE4"/>
    <w:pPr>
      <w:spacing w:after="100" w:line="259" w:lineRule="auto"/>
      <w:ind w:left="1540"/>
    </w:pPr>
    <w:rPr>
      <w:rFonts w:asciiTheme="minorHAnsi" w:eastAsiaTheme="minorEastAsia" w:hAnsiTheme="minorHAnsi" w:cstheme="minorBidi"/>
      <w:spacing w:val="0"/>
      <w:sz w:val="22"/>
      <w:szCs w:val="22"/>
      <w:lang w:val="en-US"/>
    </w:rPr>
  </w:style>
  <w:style w:type="paragraph" w:styleId="TOC9">
    <w:name w:val="toc 9"/>
    <w:basedOn w:val="Normal"/>
    <w:next w:val="Normal"/>
    <w:autoRedefine/>
    <w:uiPriority w:val="39"/>
    <w:unhideWhenUsed/>
    <w:rsid w:val="003E3EE4"/>
    <w:pPr>
      <w:spacing w:after="100" w:line="259" w:lineRule="auto"/>
      <w:ind w:left="1760"/>
    </w:pPr>
    <w:rPr>
      <w:rFonts w:asciiTheme="minorHAnsi" w:eastAsiaTheme="minorEastAsia" w:hAnsiTheme="minorHAnsi" w:cstheme="minorBidi"/>
      <w:spacing w:val="0"/>
      <w:sz w:val="22"/>
      <w:szCs w:val="22"/>
      <w:lang w:val="en-US"/>
    </w:rPr>
  </w:style>
  <w:style w:type="character" w:customStyle="1" w:styleId="Mencinsinresolver1">
    <w:name w:val="Mención sin resolver1"/>
    <w:basedOn w:val="DefaultParagraphFont"/>
    <w:uiPriority w:val="99"/>
    <w:semiHidden/>
    <w:unhideWhenUsed/>
    <w:rsid w:val="003E3EE4"/>
    <w:rPr>
      <w:color w:val="605E5C"/>
      <w:shd w:val="clear" w:color="auto" w:fill="E1DFDD"/>
    </w:rPr>
  </w:style>
  <w:style w:type="paragraph" w:styleId="Revision">
    <w:name w:val="Revision"/>
    <w:hidden/>
    <w:uiPriority w:val="99"/>
    <w:semiHidden/>
    <w:rsid w:val="00472438"/>
    <w:rPr>
      <w:rFonts w:ascii="Times New Roman" w:eastAsia="Times New Roman" w:hAnsi="Times New Roman"/>
      <w:spacing w:val="-3"/>
      <w:sz w:val="24"/>
      <w:lang w:val="es-ES_tradnl" w:eastAsia="en-US"/>
    </w:rPr>
  </w:style>
  <w:style w:type="paragraph" w:customStyle="1" w:styleId="TItuloAnexo">
    <w:name w:val="TItulo Anexo"/>
    <w:basedOn w:val="Normal"/>
    <w:qFormat/>
    <w:rsid w:val="00FC7868"/>
    <w:pPr>
      <w:numPr>
        <w:numId w:val="16"/>
      </w:numPr>
      <w:spacing w:before="240" w:line="480" w:lineRule="auto"/>
      <w:outlineLvl w:val="1"/>
    </w:pPr>
    <w:rPr>
      <w:b/>
      <w:bCs/>
      <w:spacing w:val="0"/>
      <w:szCs w:val="24"/>
      <w:lang w:val="es-ES"/>
    </w:rPr>
  </w:style>
  <w:style w:type="table" w:styleId="LightShading-Accent1">
    <w:name w:val="Light Shading Accent 1"/>
    <w:basedOn w:val="TableNormal"/>
    <w:uiPriority w:val="60"/>
    <w:rsid w:val="0016497F"/>
    <w:rPr>
      <w:rFonts w:asciiTheme="minorHAnsi" w:eastAsiaTheme="minorHAnsi" w:hAnsiTheme="minorHAnsi" w:cstheme="minorBidi"/>
      <w:color w:val="365F91" w:themeColor="accent1" w:themeShade="BF"/>
      <w:sz w:val="22"/>
      <w:szCs w:val="22"/>
      <w:lang w:val="es-EC"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ibliography">
    <w:name w:val="Bibliography"/>
    <w:basedOn w:val="Normal"/>
    <w:next w:val="Normal"/>
    <w:uiPriority w:val="37"/>
    <w:semiHidden/>
    <w:unhideWhenUsed/>
    <w:rsid w:val="009677B2"/>
  </w:style>
  <w:style w:type="table" w:customStyle="1" w:styleId="Tablaconcuadrcula1">
    <w:name w:val="Tabla con cuadrícula1"/>
    <w:basedOn w:val="TableNormal"/>
    <w:next w:val="TableGrid"/>
    <w:uiPriority w:val="39"/>
    <w:rsid w:val="009677B2"/>
    <w:rPr>
      <w:sz w:val="22"/>
      <w:szCs w:val="22"/>
      <w:lang w:val="es-EC"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17348900">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360252719">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581137917">
      <w:bodyDiv w:val="1"/>
      <w:marLeft w:val="0"/>
      <w:marRight w:val="0"/>
      <w:marTop w:val="0"/>
      <w:marBottom w:val="0"/>
      <w:divBdr>
        <w:top w:val="none" w:sz="0" w:space="0" w:color="auto"/>
        <w:left w:val="none" w:sz="0" w:space="0" w:color="auto"/>
        <w:bottom w:val="none" w:sz="0" w:space="0" w:color="auto"/>
        <w:right w:val="none" w:sz="0" w:space="0" w:color="auto"/>
      </w:divBdr>
    </w:div>
    <w:div w:id="600072420">
      <w:bodyDiv w:val="1"/>
      <w:marLeft w:val="0"/>
      <w:marRight w:val="0"/>
      <w:marTop w:val="0"/>
      <w:marBottom w:val="0"/>
      <w:divBdr>
        <w:top w:val="none" w:sz="0" w:space="0" w:color="auto"/>
        <w:left w:val="none" w:sz="0" w:space="0" w:color="auto"/>
        <w:bottom w:val="none" w:sz="0" w:space="0" w:color="auto"/>
        <w:right w:val="none" w:sz="0" w:space="0" w:color="auto"/>
      </w:divBdr>
    </w:div>
    <w:div w:id="610936645">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46520756">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22827110">
      <w:bodyDiv w:val="1"/>
      <w:marLeft w:val="0"/>
      <w:marRight w:val="0"/>
      <w:marTop w:val="0"/>
      <w:marBottom w:val="0"/>
      <w:divBdr>
        <w:top w:val="none" w:sz="0" w:space="0" w:color="auto"/>
        <w:left w:val="none" w:sz="0" w:space="0" w:color="auto"/>
        <w:bottom w:val="none" w:sz="0" w:space="0" w:color="auto"/>
        <w:right w:val="none" w:sz="0" w:space="0" w:color="auto"/>
      </w:divBdr>
    </w:div>
    <w:div w:id="729159214">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67554">
      <w:bodyDiv w:val="1"/>
      <w:marLeft w:val="0"/>
      <w:marRight w:val="0"/>
      <w:marTop w:val="0"/>
      <w:marBottom w:val="0"/>
      <w:divBdr>
        <w:top w:val="none" w:sz="0" w:space="0" w:color="auto"/>
        <w:left w:val="none" w:sz="0" w:space="0" w:color="auto"/>
        <w:bottom w:val="none" w:sz="0" w:space="0" w:color="auto"/>
        <w:right w:val="none" w:sz="0" w:space="0" w:color="auto"/>
      </w:divBdr>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25125368">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871919224">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15822882">
      <w:bodyDiv w:val="1"/>
      <w:marLeft w:val="0"/>
      <w:marRight w:val="0"/>
      <w:marTop w:val="0"/>
      <w:marBottom w:val="0"/>
      <w:divBdr>
        <w:top w:val="none" w:sz="0" w:space="0" w:color="auto"/>
        <w:left w:val="none" w:sz="0" w:space="0" w:color="auto"/>
        <w:bottom w:val="none" w:sz="0" w:space="0" w:color="auto"/>
        <w:right w:val="none" w:sz="0" w:space="0" w:color="auto"/>
      </w:divBdr>
    </w:div>
    <w:div w:id="957565983">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48596988">
      <w:bodyDiv w:val="1"/>
      <w:marLeft w:val="0"/>
      <w:marRight w:val="0"/>
      <w:marTop w:val="0"/>
      <w:marBottom w:val="0"/>
      <w:divBdr>
        <w:top w:val="none" w:sz="0" w:space="0" w:color="auto"/>
        <w:left w:val="none" w:sz="0" w:space="0" w:color="auto"/>
        <w:bottom w:val="none" w:sz="0" w:space="0" w:color="auto"/>
        <w:right w:val="none" w:sz="0" w:space="0" w:color="auto"/>
      </w:divBdr>
    </w:div>
    <w:div w:id="1183283739">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5865862">
      <w:bodyDiv w:val="1"/>
      <w:marLeft w:val="0"/>
      <w:marRight w:val="0"/>
      <w:marTop w:val="0"/>
      <w:marBottom w:val="0"/>
      <w:divBdr>
        <w:top w:val="none" w:sz="0" w:space="0" w:color="auto"/>
        <w:left w:val="none" w:sz="0" w:space="0" w:color="auto"/>
        <w:bottom w:val="none" w:sz="0" w:space="0" w:color="auto"/>
        <w:right w:val="none" w:sz="0" w:space="0" w:color="auto"/>
      </w:divBdr>
    </w:div>
    <w:div w:id="1347558102">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34133191">
      <w:bodyDiv w:val="1"/>
      <w:marLeft w:val="0"/>
      <w:marRight w:val="0"/>
      <w:marTop w:val="0"/>
      <w:marBottom w:val="0"/>
      <w:divBdr>
        <w:top w:val="none" w:sz="0" w:space="0" w:color="auto"/>
        <w:left w:val="none" w:sz="0" w:space="0" w:color="auto"/>
        <w:bottom w:val="none" w:sz="0" w:space="0" w:color="auto"/>
        <w:right w:val="none" w:sz="0" w:space="0" w:color="auto"/>
      </w:divBdr>
    </w:div>
    <w:div w:id="1453089152">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37679983">
      <w:bodyDiv w:val="1"/>
      <w:marLeft w:val="0"/>
      <w:marRight w:val="0"/>
      <w:marTop w:val="0"/>
      <w:marBottom w:val="0"/>
      <w:divBdr>
        <w:top w:val="none" w:sz="0" w:space="0" w:color="auto"/>
        <w:left w:val="none" w:sz="0" w:space="0" w:color="auto"/>
        <w:bottom w:val="none" w:sz="0" w:space="0" w:color="auto"/>
        <w:right w:val="none" w:sz="0" w:space="0" w:color="auto"/>
      </w:divBdr>
    </w:div>
    <w:div w:id="16901383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57576207">
      <w:bodyDiv w:val="1"/>
      <w:marLeft w:val="0"/>
      <w:marRight w:val="0"/>
      <w:marTop w:val="0"/>
      <w:marBottom w:val="0"/>
      <w:divBdr>
        <w:top w:val="none" w:sz="0" w:space="0" w:color="auto"/>
        <w:left w:val="none" w:sz="0" w:space="0" w:color="auto"/>
        <w:bottom w:val="none" w:sz="0" w:space="0" w:color="auto"/>
        <w:right w:val="none" w:sz="0" w:space="0" w:color="auto"/>
      </w:divBdr>
      <w:divsChild>
        <w:div w:id="1264456391">
          <w:marLeft w:val="547"/>
          <w:marRight w:val="0"/>
          <w:marTop w:val="0"/>
          <w:marBottom w:val="0"/>
          <w:divBdr>
            <w:top w:val="none" w:sz="0" w:space="0" w:color="auto"/>
            <w:left w:val="none" w:sz="0" w:space="0" w:color="auto"/>
            <w:bottom w:val="none" w:sz="0" w:space="0" w:color="auto"/>
            <w:right w:val="none" w:sz="0" w:space="0" w:color="auto"/>
          </w:divBdr>
        </w:div>
      </w:divsChild>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30580023">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1989943700">
      <w:bodyDiv w:val="1"/>
      <w:marLeft w:val="0"/>
      <w:marRight w:val="0"/>
      <w:marTop w:val="0"/>
      <w:marBottom w:val="0"/>
      <w:divBdr>
        <w:top w:val="none" w:sz="0" w:space="0" w:color="auto"/>
        <w:left w:val="none" w:sz="0" w:space="0" w:color="auto"/>
        <w:bottom w:val="none" w:sz="0" w:space="0" w:color="auto"/>
        <w:right w:val="none" w:sz="0" w:space="0" w:color="auto"/>
      </w:divBdr>
    </w:div>
    <w:div w:id="2022320132">
      <w:bodyDiv w:val="1"/>
      <w:marLeft w:val="0"/>
      <w:marRight w:val="0"/>
      <w:marTop w:val="0"/>
      <w:marBottom w:val="0"/>
      <w:divBdr>
        <w:top w:val="none" w:sz="0" w:space="0" w:color="auto"/>
        <w:left w:val="none" w:sz="0" w:space="0" w:color="auto"/>
        <w:bottom w:val="none" w:sz="0" w:space="0" w:color="auto"/>
        <w:right w:val="none" w:sz="0" w:space="0" w:color="auto"/>
      </w:divBdr>
    </w:div>
    <w:div w:id="203013545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R0002831449</Record_x0020_Number>
    <Key_x0020_Document xmlns="cdc7663a-08f0-4737-9e8c-148ce897a09c">false</Key_x0020_Document>
    <Division_x0020_or_x0020_Unit xmlns="cdc7663a-08f0-4737-9e8c-148ce897a09c">IFD/FMM</Division_x0020_or_x0020_Unit>
    <Document_x0020_Author xmlns="cdc7663a-08f0-4737-9e8c-148ce897a09c">Gomez Reino, Juan Luis</Document_x0020_Author>
    <_dlc_DocId xmlns="cdc7663a-08f0-4737-9e8c-148ce897a09c">EZSHARE-1354788817-12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Loan Operation</Operation_x0020_Type>
    <TaxCatchAll xmlns="cdc7663a-08f0-4737-9e8c-148ce897a09c">
      <Value>46</Value>
      <Value>45</Value>
      <Value>9</Value>
      <Value>32</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EC-L1251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Spanish</Document_x0020_Language_x0020_IDB>
    <_dlc_DocIdUrl xmlns="cdc7663a-08f0-4737-9e8c-148ce897a09c">
      <Url>https://idbg.sharepoint.com/teams/EZ-EC-LON/EC-L1251/_layouts/15/DocIdRedir.aspx?ID=EZSHARE-1354788817-12</Url>
      <Description>EZSHARE-1354788817-12</Description>
    </_dlc_DocIdUrl>
    <Phase xmlns="cdc7663a-08f0-4737-9e8c-148ce897a09c">ACTIVE</Phase>
    <Other_x0020_Author xmlns="cdc7663a-08f0-4737-9e8c-148ce897a09c">Diana Champi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5ED1042DEEA64488ECB5F0046B8EA3" ma:contentTypeVersion="2686" ma:contentTypeDescription="A content type to manage public (operations) IDB documents" ma:contentTypeScope="" ma:versionID="4957a8ea04025407ec7aa33d7e4838c2">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b:Source>
    <b:Tag>OCD19</b:Tag>
    <b:SourceType>Report</b:SourceType>
    <b:Guid>{DFD05DA7-E0A1-48DF-B5DC-D1CC7FF6FA24}</b:Guid>
    <b:Author>
      <b:Author>
        <b:NameList>
          <b:Person>
            <b:Last>OCDE</b:Last>
          </b:Person>
        </b:NameList>
      </b:Author>
    </b:Author>
    <b:Title>Directrices de la OCDE sobre el Gobierno Corporativo de las Empresas Públicas</b:Title>
    <b:Year>2019</b:Year>
    <b:RefOrder>1</b:RefOrder>
  </b:Source>
  <b:Source>
    <b:Tag>Gar081</b:Tag>
    <b:SourceType>Misc</b:SourceType>
    <b:Guid>{C550B026-F09E-4376-881E-562019324821}</b:Guid>
    <b:Title>Análisis de los procesos de fusión y adquisición de las empresas españolas no cotizadas</b:Title>
    <b:Year>2008</b:Year>
    <b:CountryRegion>España</b:CountryRegion>
    <b:Author>
      <b:Author>
        <b:NameList>
          <b:Person>
            <b:Last>García Tabuenca</b:Last>
            <b:First>Antonio</b:First>
          </b:Person>
          <b:Person>
            <b:Last>Crespo Espert</b:Last>
            <b:Middle>Luis</b:Middle>
            <b:First>José</b:First>
          </b:Person>
        </b:NameList>
      </b:Author>
    </b:Author>
    <b:RefOrder>1</b:RefOrder>
  </b:Source>
  <b:Source>
    <b:Tag>Peñ18</b:Tag>
    <b:SourceType>Misc</b:SourceType>
    <b:Guid>{D8465888-ECBE-4C8B-B1D3-90CAF1615F74}</b:Guid>
    <b:Title>	Análisis de factibilidad para la fusión de la empresa pública metropolitana de gestión integral de residuos sólidos, EMGIRS EP y la empresa pública metropolitana de aseo, EMASEO EP, para realizar la gestión de los residuos sólidos en la ciudad de Quito.</b:Title>
    <b:Year>2018</b:Year>
    <b:Month>mayo</b:Month>
    <b:City>Quito</b:City>
    <b:CountryRegion>Ecuador</b:CountryRegion>
    <b:Publisher>Instituto de Altos Estudios Nacionales</b:Publisher>
    <b:Author>
      <b:Author>
        <b:NameList>
          <b:Person>
            <b:Last>Peñaherrera Sarmiento</b:Last>
            <b:First>Gonzalo Enrique</b:First>
          </b:Person>
        </b:NameList>
      </b:Author>
    </b:Author>
    <b:RefOrder>2</b:RefOrder>
  </b:Source>
  <b:Source>
    <b:Tag>Boz03</b:Tag>
    <b:SourceType>Misc</b:SourceType>
    <b:Guid>{306816FA-B800-44E7-85DC-FDE6780B382E}</b:Guid>
    <b:Title>	The impact of the corporatization process on the financial performance of Canadian state-owned enterprises</b:Title>
    <b:Year>2003</b:Year>
    <b:City>Ottawa</b:City>
    <b:CountryRegion>Canada</b:CountryRegion>
    <b:Publisher>Emerald</b:Publisher>
    <b:Author>
      <b:Author>
        <b:NameList>
          <b:Person>
            <b:Last>Bozec</b:Last>
            <b:First>Ricard</b:First>
          </b:Person>
          <b:Person>
            <b:Last>Breton</b:Last>
            <b:First>Gaétan</b:First>
          </b:Person>
        </b:NameList>
      </b:Author>
    </b:Author>
    <b:RefOrder>3</b:RefOrder>
  </b:Source>
  <b:Source>
    <b:Tag>Bou98</b:Tag>
    <b:SourceType>Misc</b:SourceType>
    <b:Guid>{657D2605-46AA-41C7-9946-4460AB645325}</b:Guid>
    <b:Title>The Financial and Operating Performance of Newly Privatized Firms: Evidence from Developing Countries</b:Title>
    <b:Year>1998</b:Year>
    <b:StateProvince>Québec</b:StateProvince>
    <b:CountryRegion>Canadá</b:CountryRegion>
    <b:Publisher>The Journal of Finance</b:Publisher>
    <b:Author>
      <b:Author>
        <b:NameList>
          <b:Person>
            <b:Last>Boubakri</b:Last>
            <b:First>Narjess</b:First>
          </b:Person>
          <b:Person>
            <b:Last>Cosset</b:Last>
            <b:First>Jean-Claude </b:First>
          </b:Person>
        </b:NameList>
      </b:Author>
    </b:Author>
    <b:RefOrder>4</b:RefOrder>
  </b:Source>
  <b:Source>
    <b:Tag>Bou97</b:Tag>
    <b:SourceType>Misc</b:SourceType>
    <b:Guid>{3B18D526-7D4A-4622-B403-A898FACC1130}</b:Guid>
    <b:Title>The impact on technical eficiency of the UK privatization programme</b:Title>
    <b:Year>1997</b:Year>
    <b:CountryRegion>United Kingdom</b:CountryRegion>
    <b:Author>
      <b:Author>
        <b:NameList>
          <b:Person>
            <b:Last>Boussofiane</b:Last>
            <b:First>Aziz</b:First>
          </b:Person>
          <b:Person>
            <b:Last>Martin</b:Last>
            <b:First>Stephen</b:First>
          </b:Person>
          <b:Person>
            <b:Last>Parker</b:Last>
            <b:First>David</b:First>
          </b:Person>
        </b:NameList>
      </b:Author>
    </b:Author>
    <b:RefOrder>5</b:RefOrder>
  </b:Source>
</b:Sources>
</file>

<file path=customXml/itemProps1.xml><?xml version="1.0" encoding="utf-8"?>
<ds:datastoreItem xmlns:ds="http://schemas.openxmlformats.org/officeDocument/2006/customXml" ds:itemID="{D811AD55-28CE-42C7-AF26-AF040FF72EC6}">
  <ds:schemaRefs>
    <ds:schemaRef ds:uri="http://schemas.microsoft.com/sharepoint/v3/contenttype/forms"/>
  </ds:schemaRefs>
</ds:datastoreItem>
</file>

<file path=customXml/itemProps2.xml><?xml version="1.0" encoding="utf-8"?>
<ds:datastoreItem xmlns:ds="http://schemas.openxmlformats.org/officeDocument/2006/customXml" ds:itemID="{2E4BD830-2AE6-4B2F-8F8C-82E490A4579F}">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FDB710BF-E9BD-464A-88CA-394E7A8EE34C}">
  <ds:schemaRefs>
    <ds:schemaRef ds:uri="Microsoft.SharePoint.Taxonomy.ContentTypeSync"/>
  </ds:schemaRefs>
</ds:datastoreItem>
</file>

<file path=customXml/itemProps4.xml><?xml version="1.0" encoding="utf-8"?>
<ds:datastoreItem xmlns:ds="http://schemas.openxmlformats.org/officeDocument/2006/customXml" ds:itemID="{3F527360-9609-40FE-BA58-6D1B0922F23D}"/>
</file>

<file path=customXml/itemProps5.xml><?xml version="1.0" encoding="utf-8"?>
<ds:datastoreItem xmlns:ds="http://schemas.openxmlformats.org/officeDocument/2006/customXml" ds:itemID="{321C296E-AF4C-41C4-8078-46F9A3764824}">
  <ds:schemaRefs>
    <ds:schemaRef ds:uri="http://schemas.microsoft.com/sharepoint/events"/>
  </ds:schemaRefs>
</ds:datastoreItem>
</file>

<file path=customXml/itemProps6.xml><?xml version="1.0" encoding="utf-8"?>
<ds:datastoreItem xmlns:ds="http://schemas.openxmlformats.org/officeDocument/2006/customXml" ds:itemID="{C110B3C6-954F-4FA3-9F82-748D059F8538}">
  <ds:schemaRefs>
    <ds:schemaRef ds:uri="http://schemas.microsoft.com/sharepoint/v3/contenttype/forms/url"/>
  </ds:schemaRefs>
</ds:datastoreItem>
</file>

<file path=customXml/itemProps7.xml><?xml version="1.0" encoding="utf-8"?>
<ds:datastoreItem xmlns:ds="http://schemas.openxmlformats.org/officeDocument/2006/customXml" ds:itemID="{F2580C5D-F96F-4F4F-90CA-A4349024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16507</Words>
  <Characters>94092</Characters>
  <Application>Microsoft Office Word</Application>
  <DocSecurity>0</DocSecurity>
  <Lines>784</Lines>
  <Paragraphs>220</Paragraphs>
  <ScaleCrop>false</ScaleCrop>
  <HeadingPairs>
    <vt:vector size="6" baseType="variant">
      <vt:variant>
        <vt:lpstr>Title</vt:lpstr>
      </vt:variant>
      <vt:variant>
        <vt:i4>1</vt:i4>
      </vt:variant>
      <vt:variant>
        <vt:lpstr>Headings</vt:lpstr>
      </vt:variant>
      <vt:variant>
        <vt:i4>25</vt:i4>
      </vt:variant>
      <vt:variant>
        <vt:lpstr>Título</vt:lpstr>
      </vt:variant>
      <vt:variant>
        <vt:i4>1</vt:i4>
      </vt:variant>
    </vt:vector>
  </HeadingPairs>
  <TitlesOfParts>
    <vt:vector size="27" baseType="lpstr">
      <vt:lpstr/>
      <vt:lpstr/>
      <vt:lpstr>Introducción</vt:lpstr>
      <vt:lpstr>    El Programa de Apoyo a la Reforma de Empresas Públicas tiene como objetivo gener</vt:lpstr>
      <vt:lpstr>    </vt:lpstr>
      <vt:lpstr>    Componente 1. Fortalecimiento del Marco de Gobernanza Corporativa y Fiscal de la</vt:lpstr>
      <vt:lpstr>        Subcomponente 1.1. Mejora e implementación del marco normativo. (i) Marco normat</vt:lpstr>
      <vt:lpstr>        Subcomponente 1.2. Rediseño de la función propietaria y de gestión. (i) Apoyo a </vt:lpstr>
      <vt:lpstr>    Componente 2. Optimización de la cartera de EEPP (US$70,8 millones). </vt:lpstr>
      <vt:lpstr>        Subcomponente 2.1. Rediseño de EEPP. (i) Apoyo a la fusión de Petroamazonas y Pe</vt:lpstr>
      <vt:lpstr>        Subcomponente 2.2. Mejora de la gestión y optimización del TH. Se financiará: (i</vt:lpstr>
      <vt:lpstr>    </vt:lpstr>
      <vt:lpstr>    Administración del programa. (USD 3.4 millones). Adicionalmente, se financiarán </vt:lpstr>
      <vt:lpstr>    El prestatario será la República del Ecuador, representada por el Ministerio de </vt:lpstr>
      <vt:lpstr>    </vt:lpstr>
      <vt:lpstr>    El MEF será el responsable de la ejecución de todo el Programa, y en particular,</vt:lpstr>
      <vt:lpstr>    </vt:lpstr>
      <vt:lpstr>    Las principales responsabilidades del OE serán: (i) planificar la ejecución de l</vt:lpstr>
      <vt:lpstr>    Los ministerios que se constituyan como OSE (MERNNR y MTOP) serán responsables, </vt:lpstr>
      <vt:lpstr>    </vt:lpstr>
      <vt:lpstr>    Al cierre del proyecto, el equipo de gestión del MEF preparará y remitirá al Ban</vt:lpstr>
      <vt:lpstr>    </vt:lpstr>
      <vt:lpstr>    Para el Plan monitoreo y la evaluación de los resultados esperados del Programa </vt:lpstr>
      <vt:lpstr>Monitoreo</vt:lpstr>
      <vt:lpstr>    Tabla 3. Actividades de Recolección de Datos y Cronograma</vt:lpstr>
      <vt:lpstr>Evaluación</vt:lpstr>
      <vt:lpstr/>
    </vt:vector>
  </TitlesOfParts>
  <LinksUpToDate>false</LinksUpToDate>
  <CharactersWithSpaces>110379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2019-06-24T17:22:00Z</dcterms:created>
  <dcterms:modified xsi:type="dcterms:W3CDTF">2019-07-03T20:42:00Z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5" name="Series Operations IDB">
    <vt:lpwstr/>
  </property>
  <property fmtid="{D5CDD505-2E9C-101B-9397-08002B2CF9AE}" pid="6" name="Sub-Sector">
    <vt:lpwstr>46;#REFORM AND PUBLIC SECTOR SUPPORT|6679f56e-8b55-402b-90a0-8fe4c41c00ba</vt:lpwstr>
  </property>
  <property fmtid="{D5CDD505-2E9C-101B-9397-08002B2CF9AE}" pid="7" name="Country">
    <vt:lpwstr>32;#Ecuador|8f163189-00fa-4e7c-827d-28fb5798781c</vt:lpwstr>
  </property>
  <property fmtid="{D5CDD505-2E9C-101B-9397-08002B2CF9AE}" pid="8" name="Fund IDB">
    <vt:lpwstr/>
  </property>
  <property fmtid="{D5CDD505-2E9C-101B-9397-08002B2CF9AE}" pid="9" name="_dlc_DocIdItemGuid">
    <vt:lpwstr>f17ffb46-a971-4404-8334-254e23c891a4</vt:lpwstr>
  </property>
  <property fmtid="{D5CDD505-2E9C-101B-9397-08002B2CF9AE}" pid="10" name="EMAIL_OWNER_ADDRESS">
    <vt:lpwstr>sAAAUYtyAkeNWR6UX6YuoX9Qj7gNDQPGp1Pr6nAKcGtg1wk=</vt:lpwstr>
  </property>
  <property fmtid="{D5CDD505-2E9C-101B-9397-08002B2CF9AE}" pid="11" name="Sector IDB">
    <vt:lpwstr>45;#REFORM / MODERNIZATION OF THE STATE|c8fda4a7-691a-4c65-b227-9825197b5cd2</vt:lpwstr>
  </property>
  <property fmtid="{D5CDD505-2E9C-101B-9397-08002B2CF9AE}" pid="12" name="MAIL_MSG_ID2">
    <vt:lpwstr>er2av+cVWyWdzJS0ljDq8++Cw6Z9z+3HrPJfp/2Ejp81irMrr9FFDWNzhx1_x000d_
A2IaRyXt65zHkGypCBE0YDj1dif4MG8UssatcQ==</vt:lpwstr>
  </property>
  <property fmtid="{D5CDD505-2E9C-101B-9397-08002B2CF9AE}" pid="13" name="Function Operations IDB">
    <vt:lpwstr>9;#Project Administration|751f71fd-1433-4702-a2db-ff12a4e45594</vt:lpwstr>
  </property>
  <property fmtid="{D5CDD505-2E9C-101B-9397-08002B2CF9AE}" pid="14" name="RESPONSE_SENDER_NAME">
    <vt:lpwstr>sAAAE9kkUq3pEoKedQ2Y8znnKYCKstQ+UAeWGc2IXV6vNyw=</vt:lpwstr>
  </property>
  <property fmtid="{D5CDD505-2E9C-101B-9397-08002B2CF9AE}" pid="15" name="Disclosure Activity">
    <vt:lpwstr>Loan Proposal</vt:lpwstr>
  </property>
  <property fmtid="{D5CDD505-2E9C-101B-9397-08002B2CF9AE}" pid="16" name="ContentTypeId">
    <vt:lpwstr>0x0101001A458A224826124E8B45B1D613300CFC00965ED1042DEEA64488ECB5F0046B8EA3</vt:lpwstr>
  </property>
</Properties>
</file>