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C98265" w14:textId="71AF9F41" w:rsidR="00CA719D" w:rsidRPr="00FE21FE" w:rsidRDefault="00CA719D" w:rsidP="00233BDA">
      <w:pPr>
        <w:jc w:val="both"/>
        <w:rPr>
          <w:rFonts w:ascii="Times New Roman" w:hAnsi="Times New Roman" w:cs="Times New Roman"/>
        </w:rPr>
      </w:pPr>
    </w:p>
    <w:p w14:paraId="797D66F6" w14:textId="5AE818C5" w:rsidR="00FE21FE" w:rsidRDefault="00FE21FE" w:rsidP="00233BDA">
      <w:pPr>
        <w:jc w:val="both"/>
        <w:rPr>
          <w:rFonts w:ascii="Times New Roman" w:hAnsi="Times New Roman" w:cs="Times New Roman"/>
        </w:rPr>
      </w:pPr>
    </w:p>
    <w:p w14:paraId="150B2F89" w14:textId="692B58CF" w:rsidR="00F40EF1" w:rsidRDefault="00F40EF1" w:rsidP="00233BDA">
      <w:pPr>
        <w:jc w:val="both"/>
        <w:rPr>
          <w:rFonts w:ascii="Times New Roman" w:hAnsi="Times New Roman" w:cs="Times New Roman"/>
        </w:rPr>
      </w:pPr>
    </w:p>
    <w:p w14:paraId="3EFAE653" w14:textId="3A62D1EC" w:rsidR="00F40EF1" w:rsidRDefault="00F40EF1" w:rsidP="00233BDA">
      <w:pPr>
        <w:jc w:val="both"/>
        <w:rPr>
          <w:rFonts w:ascii="Times New Roman" w:hAnsi="Times New Roman" w:cs="Times New Roman"/>
        </w:rPr>
      </w:pPr>
    </w:p>
    <w:p w14:paraId="7C1C276B" w14:textId="5F212829" w:rsidR="00F40EF1" w:rsidRDefault="00F40EF1" w:rsidP="00233BDA">
      <w:pPr>
        <w:jc w:val="both"/>
        <w:rPr>
          <w:rFonts w:ascii="Times New Roman" w:hAnsi="Times New Roman" w:cs="Times New Roman"/>
        </w:rPr>
      </w:pPr>
    </w:p>
    <w:p w14:paraId="160E8324" w14:textId="45C9B22D" w:rsidR="00F40EF1" w:rsidRDefault="00F40EF1" w:rsidP="00233BDA">
      <w:pPr>
        <w:jc w:val="both"/>
        <w:rPr>
          <w:rFonts w:ascii="Times New Roman" w:hAnsi="Times New Roman" w:cs="Times New Roman"/>
        </w:rPr>
      </w:pPr>
    </w:p>
    <w:p w14:paraId="65C547BB" w14:textId="5C5DB38A" w:rsidR="00F40EF1" w:rsidRDefault="00F40EF1" w:rsidP="00233BDA">
      <w:pPr>
        <w:jc w:val="both"/>
        <w:rPr>
          <w:rFonts w:ascii="Times New Roman" w:hAnsi="Times New Roman" w:cs="Times New Roman"/>
        </w:rPr>
      </w:pPr>
    </w:p>
    <w:p w14:paraId="11BD9079" w14:textId="305C358B" w:rsidR="00F40EF1" w:rsidRDefault="00F40EF1" w:rsidP="00233BDA">
      <w:pPr>
        <w:jc w:val="both"/>
        <w:rPr>
          <w:rFonts w:ascii="Times New Roman" w:hAnsi="Times New Roman" w:cs="Times New Roman"/>
        </w:rPr>
      </w:pPr>
    </w:p>
    <w:p w14:paraId="5C7EE931" w14:textId="0BC4D286" w:rsidR="00F40EF1" w:rsidRDefault="00F40EF1" w:rsidP="00233BDA">
      <w:pPr>
        <w:jc w:val="both"/>
        <w:rPr>
          <w:rFonts w:ascii="Times New Roman" w:hAnsi="Times New Roman" w:cs="Times New Roman"/>
        </w:rPr>
      </w:pPr>
    </w:p>
    <w:p w14:paraId="18CD0A5E" w14:textId="0D1367A8" w:rsidR="00F40EF1" w:rsidRPr="00F40EF1" w:rsidRDefault="00F40EF1" w:rsidP="00F40EF1">
      <w:pPr>
        <w:jc w:val="center"/>
        <w:rPr>
          <w:rFonts w:ascii="Times New Roman" w:hAnsi="Times New Roman" w:cs="Times New Roman"/>
          <w:b/>
        </w:rPr>
      </w:pPr>
    </w:p>
    <w:p w14:paraId="3C7C51A7" w14:textId="0855414C" w:rsidR="00F40EF1" w:rsidRPr="00F40EF1" w:rsidRDefault="00F40EF1" w:rsidP="00F40EF1">
      <w:pPr>
        <w:jc w:val="center"/>
        <w:rPr>
          <w:rFonts w:ascii="Times New Roman" w:hAnsi="Times New Roman" w:cs="Times New Roman"/>
          <w:b/>
        </w:rPr>
      </w:pPr>
    </w:p>
    <w:p w14:paraId="49B6BAFA" w14:textId="751F328A" w:rsidR="00F40EF1" w:rsidRPr="00F40EF1" w:rsidRDefault="00F40EF1" w:rsidP="00F40EF1">
      <w:pPr>
        <w:jc w:val="center"/>
        <w:rPr>
          <w:rFonts w:ascii="Times New Roman" w:hAnsi="Times New Roman" w:cs="Times New Roman"/>
          <w:b/>
          <w:sz w:val="44"/>
        </w:rPr>
      </w:pPr>
      <w:r w:rsidRPr="00F40EF1">
        <w:rPr>
          <w:rFonts w:ascii="Times New Roman" w:hAnsi="Times New Roman" w:cs="Times New Roman"/>
          <w:b/>
          <w:sz w:val="44"/>
        </w:rPr>
        <w:t>PN-L1150</w:t>
      </w:r>
    </w:p>
    <w:p w14:paraId="48E2E12D" w14:textId="42E55DBB" w:rsidR="00F40EF1" w:rsidRPr="00F40EF1" w:rsidRDefault="00F40EF1" w:rsidP="00F40EF1">
      <w:pPr>
        <w:jc w:val="center"/>
        <w:rPr>
          <w:rFonts w:ascii="Times New Roman" w:hAnsi="Times New Roman" w:cs="Times New Roman"/>
          <w:b/>
        </w:rPr>
      </w:pPr>
    </w:p>
    <w:p w14:paraId="7449955D" w14:textId="45F40719" w:rsidR="00F40EF1" w:rsidRPr="00F40EF1" w:rsidRDefault="00F40EF1" w:rsidP="00F40EF1">
      <w:pPr>
        <w:jc w:val="center"/>
        <w:rPr>
          <w:rFonts w:ascii="Times New Roman" w:hAnsi="Times New Roman" w:cs="Times New Roman"/>
          <w:b/>
        </w:rPr>
      </w:pPr>
    </w:p>
    <w:p w14:paraId="3DC11CBA" w14:textId="1DE3F3B0" w:rsidR="00F40EF1" w:rsidRPr="00F40EF1" w:rsidRDefault="00F40EF1" w:rsidP="00F40EF1">
      <w:pPr>
        <w:jc w:val="center"/>
        <w:rPr>
          <w:rFonts w:ascii="Times New Roman" w:hAnsi="Times New Roman" w:cs="Times New Roman"/>
          <w:b/>
          <w:sz w:val="32"/>
          <w:u w:val="single"/>
        </w:rPr>
      </w:pPr>
      <w:r w:rsidRPr="00F40EF1">
        <w:rPr>
          <w:rFonts w:ascii="Times New Roman" w:hAnsi="Times New Roman" w:cs="Times New Roman"/>
          <w:b/>
          <w:sz w:val="32"/>
          <w:u w:val="single"/>
        </w:rPr>
        <w:t>Análisis Financiero</w:t>
      </w:r>
    </w:p>
    <w:p w14:paraId="04F43E18" w14:textId="28FEC2B0" w:rsidR="00F40EF1" w:rsidRDefault="00F40EF1" w:rsidP="00233BDA">
      <w:pPr>
        <w:jc w:val="both"/>
        <w:rPr>
          <w:rFonts w:ascii="Times New Roman" w:hAnsi="Times New Roman" w:cs="Times New Roman"/>
        </w:rPr>
      </w:pPr>
    </w:p>
    <w:p w14:paraId="507FAB99" w14:textId="4CE6FD16" w:rsidR="00F40EF1" w:rsidRDefault="00F40EF1" w:rsidP="00233BDA">
      <w:pPr>
        <w:jc w:val="both"/>
        <w:rPr>
          <w:rFonts w:ascii="Times New Roman" w:hAnsi="Times New Roman" w:cs="Times New Roman"/>
        </w:rPr>
      </w:pPr>
    </w:p>
    <w:p w14:paraId="548817BF" w14:textId="0403E3AA" w:rsidR="00F40EF1" w:rsidRDefault="00F40EF1" w:rsidP="00233BDA">
      <w:pPr>
        <w:jc w:val="both"/>
        <w:rPr>
          <w:rFonts w:ascii="Times New Roman" w:hAnsi="Times New Roman" w:cs="Times New Roman"/>
        </w:rPr>
      </w:pPr>
    </w:p>
    <w:p w14:paraId="2441AC1A" w14:textId="067435E5" w:rsidR="00F40EF1" w:rsidRDefault="00F40EF1" w:rsidP="00233BDA">
      <w:pPr>
        <w:jc w:val="both"/>
        <w:rPr>
          <w:rFonts w:ascii="Times New Roman" w:hAnsi="Times New Roman" w:cs="Times New Roman"/>
        </w:rPr>
      </w:pPr>
    </w:p>
    <w:p w14:paraId="33443A81" w14:textId="5B853610" w:rsidR="00F40EF1" w:rsidRDefault="00F40EF1" w:rsidP="00233BDA">
      <w:pPr>
        <w:jc w:val="both"/>
        <w:rPr>
          <w:rFonts w:ascii="Times New Roman" w:hAnsi="Times New Roman" w:cs="Times New Roman"/>
        </w:rPr>
      </w:pPr>
    </w:p>
    <w:p w14:paraId="2077DD6E" w14:textId="317681BB" w:rsidR="00F40EF1" w:rsidRDefault="00F40EF1" w:rsidP="00233BDA">
      <w:pPr>
        <w:jc w:val="both"/>
        <w:rPr>
          <w:rFonts w:ascii="Times New Roman" w:hAnsi="Times New Roman" w:cs="Times New Roman"/>
        </w:rPr>
      </w:pPr>
    </w:p>
    <w:p w14:paraId="2A5BA253" w14:textId="186F1742" w:rsidR="00F40EF1" w:rsidRDefault="00F40EF1" w:rsidP="00233BDA">
      <w:pPr>
        <w:jc w:val="both"/>
        <w:rPr>
          <w:rFonts w:ascii="Times New Roman" w:hAnsi="Times New Roman" w:cs="Times New Roman"/>
        </w:rPr>
      </w:pPr>
    </w:p>
    <w:p w14:paraId="78DBEEED" w14:textId="286A03E4" w:rsidR="00F40EF1" w:rsidRDefault="00F40EF1" w:rsidP="00233BDA">
      <w:pPr>
        <w:jc w:val="both"/>
        <w:rPr>
          <w:rFonts w:ascii="Times New Roman" w:hAnsi="Times New Roman" w:cs="Times New Roman"/>
        </w:rPr>
      </w:pPr>
    </w:p>
    <w:p w14:paraId="06241D2B" w14:textId="327FBE35" w:rsidR="00F40EF1" w:rsidRDefault="00F40EF1" w:rsidP="00233BDA">
      <w:pPr>
        <w:jc w:val="both"/>
        <w:rPr>
          <w:rFonts w:ascii="Times New Roman" w:hAnsi="Times New Roman" w:cs="Times New Roman"/>
        </w:rPr>
      </w:pPr>
    </w:p>
    <w:p w14:paraId="69B0CAF2" w14:textId="3E66A1FF" w:rsidR="00F40EF1" w:rsidRDefault="00F40EF1" w:rsidP="00233BDA">
      <w:pPr>
        <w:jc w:val="both"/>
        <w:rPr>
          <w:rFonts w:ascii="Times New Roman" w:hAnsi="Times New Roman" w:cs="Times New Roman"/>
        </w:rPr>
      </w:pPr>
    </w:p>
    <w:p w14:paraId="026185B0" w14:textId="72526070" w:rsidR="00F40EF1" w:rsidRDefault="00F40EF1" w:rsidP="00233BDA">
      <w:pPr>
        <w:jc w:val="both"/>
        <w:rPr>
          <w:rFonts w:ascii="Times New Roman" w:hAnsi="Times New Roman" w:cs="Times New Roman"/>
        </w:rPr>
      </w:pPr>
    </w:p>
    <w:p w14:paraId="5D4AAF09" w14:textId="1529D0E7" w:rsidR="00F40EF1" w:rsidRDefault="00F40EF1" w:rsidP="00233BDA">
      <w:pPr>
        <w:jc w:val="both"/>
        <w:rPr>
          <w:rFonts w:ascii="Times New Roman" w:hAnsi="Times New Roman" w:cs="Times New Roman"/>
        </w:rPr>
      </w:pPr>
    </w:p>
    <w:p w14:paraId="003FDF3A" w14:textId="2D63551D" w:rsidR="00F40EF1" w:rsidRDefault="00F40EF1" w:rsidP="00233BDA">
      <w:pPr>
        <w:jc w:val="both"/>
        <w:rPr>
          <w:rFonts w:ascii="Times New Roman" w:hAnsi="Times New Roman" w:cs="Times New Roman"/>
        </w:rPr>
      </w:pPr>
    </w:p>
    <w:p w14:paraId="56C51759" w14:textId="090DAB41" w:rsidR="00F40EF1" w:rsidRPr="000239FE" w:rsidRDefault="00A11FCE" w:rsidP="009820F2">
      <w:pPr>
        <w:jc w:val="center"/>
        <w:rPr>
          <w:rFonts w:ascii="Times New Roman" w:hAnsi="Times New Roman" w:cs="Times New Roman"/>
          <w:b/>
        </w:rPr>
      </w:pPr>
      <w:r w:rsidRPr="000239FE">
        <w:rPr>
          <w:rFonts w:ascii="Times New Roman" w:hAnsi="Times New Roman" w:cs="Times New Roman"/>
          <w:b/>
        </w:rPr>
        <w:lastRenderedPageBreak/>
        <w:t>INDICE</w:t>
      </w:r>
    </w:p>
    <w:p w14:paraId="5C024FF6" w14:textId="5FC27FB6" w:rsidR="00A11FCE" w:rsidRPr="009820F2" w:rsidRDefault="00A11FCE" w:rsidP="009820F2">
      <w:pPr>
        <w:rPr>
          <w:rFonts w:ascii="Times New Roman" w:hAnsi="Times New Roman" w:cs="Times New Roman"/>
          <w:b/>
        </w:rPr>
      </w:pPr>
    </w:p>
    <w:p w14:paraId="43AA3FCF" w14:textId="094D229A" w:rsidR="00A11FCE" w:rsidRPr="009820F2" w:rsidRDefault="00A11FCE" w:rsidP="009820F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u w:val="single"/>
        </w:rPr>
      </w:pPr>
      <w:r w:rsidRPr="009820F2">
        <w:rPr>
          <w:rFonts w:ascii="Times New Roman" w:hAnsi="Times New Roman" w:cs="Times New Roman"/>
          <w:b/>
          <w:u w:val="single"/>
        </w:rPr>
        <w:t>I</w:t>
      </w:r>
      <w:r w:rsidR="009820F2" w:rsidRPr="009820F2">
        <w:rPr>
          <w:rFonts w:ascii="Times New Roman" w:hAnsi="Times New Roman" w:cs="Times New Roman"/>
          <w:b/>
          <w:u w:val="single"/>
        </w:rPr>
        <w:t>NTRODUCCION Y REGIMEN JURIDICO MUPA</w:t>
      </w:r>
    </w:p>
    <w:p w14:paraId="11789731" w14:textId="6287ACC0" w:rsidR="009820F2" w:rsidRDefault="009820F2" w:rsidP="009820F2">
      <w:pPr>
        <w:pStyle w:val="ListParagraph"/>
        <w:ind w:left="1080"/>
        <w:rPr>
          <w:rFonts w:ascii="Times New Roman" w:hAnsi="Times New Roman" w:cs="Times New Roman"/>
          <w:b/>
          <w:u w:val="single"/>
        </w:rPr>
      </w:pPr>
    </w:p>
    <w:p w14:paraId="09FB390A" w14:textId="77777777" w:rsidR="00C138C4" w:rsidRDefault="00C138C4" w:rsidP="009820F2">
      <w:pPr>
        <w:pStyle w:val="ListParagraph"/>
        <w:ind w:left="1080"/>
        <w:rPr>
          <w:rFonts w:ascii="Times New Roman" w:hAnsi="Times New Roman" w:cs="Times New Roman"/>
          <w:b/>
          <w:u w:val="single"/>
        </w:rPr>
      </w:pPr>
    </w:p>
    <w:p w14:paraId="0790E234" w14:textId="77777777" w:rsidR="009820F2" w:rsidRPr="009820F2" w:rsidRDefault="009820F2" w:rsidP="009820F2">
      <w:pPr>
        <w:pStyle w:val="ListParagraph"/>
        <w:ind w:left="1080"/>
        <w:rPr>
          <w:rFonts w:ascii="Times New Roman" w:hAnsi="Times New Roman" w:cs="Times New Roman"/>
          <w:b/>
          <w:u w:val="single"/>
        </w:rPr>
      </w:pPr>
    </w:p>
    <w:p w14:paraId="160A4E0F" w14:textId="5A4CE7A0" w:rsidR="009820F2" w:rsidRPr="009820F2" w:rsidRDefault="009820F2" w:rsidP="009820F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u w:val="single"/>
        </w:rPr>
      </w:pPr>
      <w:r w:rsidRPr="009820F2">
        <w:rPr>
          <w:rFonts w:ascii="Times New Roman" w:hAnsi="Times New Roman" w:cs="Times New Roman"/>
          <w:b/>
          <w:u w:val="single"/>
        </w:rPr>
        <w:t>ANALISIS PRESPUESTARIO HISTORICO MUPA</w:t>
      </w:r>
    </w:p>
    <w:p w14:paraId="752437A6" w14:textId="77777777" w:rsidR="009820F2" w:rsidRPr="009820F2" w:rsidRDefault="009820F2" w:rsidP="009820F2">
      <w:pPr>
        <w:pStyle w:val="ListParagraph"/>
        <w:rPr>
          <w:rFonts w:ascii="Times New Roman" w:hAnsi="Times New Roman" w:cs="Times New Roman"/>
          <w:b/>
          <w:u w:val="single"/>
        </w:rPr>
      </w:pPr>
    </w:p>
    <w:p w14:paraId="535EC123" w14:textId="77777777" w:rsidR="009820F2" w:rsidRPr="009820F2" w:rsidRDefault="009820F2" w:rsidP="009820F2">
      <w:pPr>
        <w:rPr>
          <w:rFonts w:ascii="Times New Roman" w:hAnsi="Times New Roman" w:cs="Times New Roman"/>
          <w:b/>
          <w:u w:val="single"/>
        </w:rPr>
      </w:pPr>
    </w:p>
    <w:p w14:paraId="139386CC" w14:textId="7B6340A9" w:rsidR="009820F2" w:rsidRPr="009820F2" w:rsidRDefault="009820F2" w:rsidP="009820F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u w:val="single"/>
        </w:rPr>
      </w:pPr>
      <w:r w:rsidRPr="009820F2">
        <w:rPr>
          <w:rFonts w:ascii="Times New Roman" w:hAnsi="Times New Roman" w:cs="Times New Roman"/>
          <w:b/>
          <w:u w:val="single"/>
        </w:rPr>
        <w:t>ANALISIS PRESUPUESTARIO PROYECTADO MUPA</w:t>
      </w:r>
    </w:p>
    <w:p w14:paraId="29B4867D" w14:textId="3683A098" w:rsidR="009820F2" w:rsidRDefault="009820F2" w:rsidP="009820F2">
      <w:pPr>
        <w:rPr>
          <w:rFonts w:ascii="Times New Roman" w:hAnsi="Times New Roman" w:cs="Times New Roman"/>
          <w:b/>
          <w:u w:val="single"/>
        </w:rPr>
      </w:pPr>
    </w:p>
    <w:p w14:paraId="72B4B90A" w14:textId="77777777" w:rsidR="00566544" w:rsidRPr="009820F2" w:rsidRDefault="00566544" w:rsidP="009820F2">
      <w:pPr>
        <w:rPr>
          <w:rFonts w:ascii="Times New Roman" w:hAnsi="Times New Roman" w:cs="Times New Roman"/>
          <w:b/>
          <w:u w:val="single"/>
        </w:rPr>
      </w:pPr>
    </w:p>
    <w:p w14:paraId="129B8CCA" w14:textId="5B35B593" w:rsidR="009820F2" w:rsidRPr="009820F2" w:rsidRDefault="009820F2" w:rsidP="009820F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u w:val="single"/>
        </w:rPr>
      </w:pPr>
      <w:r w:rsidRPr="009820F2">
        <w:rPr>
          <w:rFonts w:ascii="Times New Roman" w:hAnsi="Times New Roman" w:cs="Times New Roman"/>
          <w:b/>
          <w:u w:val="single"/>
        </w:rPr>
        <w:t>ESTADOS FINANCIEROS</w:t>
      </w:r>
      <w:r w:rsidR="00566544">
        <w:rPr>
          <w:rFonts w:ascii="Times New Roman" w:hAnsi="Times New Roman" w:cs="Times New Roman"/>
          <w:b/>
          <w:u w:val="single"/>
        </w:rPr>
        <w:t xml:space="preserve"> HISTORICOS</w:t>
      </w:r>
      <w:r w:rsidRPr="009820F2">
        <w:rPr>
          <w:rFonts w:ascii="Times New Roman" w:hAnsi="Times New Roman" w:cs="Times New Roman"/>
          <w:b/>
          <w:u w:val="single"/>
        </w:rPr>
        <w:t xml:space="preserve"> MUPA</w:t>
      </w:r>
    </w:p>
    <w:p w14:paraId="213A76A0" w14:textId="02E493ED" w:rsidR="00F40EF1" w:rsidRDefault="00F40EF1" w:rsidP="00233BDA">
      <w:pPr>
        <w:jc w:val="both"/>
        <w:rPr>
          <w:rFonts w:ascii="Times New Roman" w:hAnsi="Times New Roman" w:cs="Times New Roman"/>
        </w:rPr>
      </w:pPr>
    </w:p>
    <w:p w14:paraId="160BA29F" w14:textId="576A7818" w:rsidR="009820F2" w:rsidRDefault="009820F2" w:rsidP="00233BDA">
      <w:pPr>
        <w:jc w:val="both"/>
        <w:rPr>
          <w:rFonts w:ascii="Times New Roman" w:hAnsi="Times New Roman" w:cs="Times New Roman"/>
        </w:rPr>
      </w:pPr>
    </w:p>
    <w:p w14:paraId="2A8E0264" w14:textId="24FE8FB8" w:rsidR="009820F2" w:rsidRDefault="009820F2" w:rsidP="00233BDA">
      <w:pPr>
        <w:jc w:val="both"/>
        <w:rPr>
          <w:rFonts w:ascii="Times New Roman" w:hAnsi="Times New Roman" w:cs="Times New Roman"/>
        </w:rPr>
      </w:pPr>
    </w:p>
    <w:p w14:paraId="54DC5411" w14:textId="2392024B" w:rsidR="009820F2" w:rsidRDefault="009820F2" w:rsidP="00233BDA">
      <w:pPr>
        <w:jc w:val="both"/>
        <w:rPr>
          <w:rFonts w:ascii="Times New Roman" w:hAnsi="Times New Roman" w:cs="Times New Roman"/>
        </w:rPr>
      </w:pPr>
    </w:p>
    <w:p w14:paraId="336EC339" w14:textId="3B444297" w:rsidR="009820F2" w:rsidRDefault="009820F2" w:rsidP="00233BDA">
      <w:pPr>
        <w:jc w:val="both"/>
        <w:rPr>
          <w:rFonts w:ascii="Times New Roman" w:hAnsi="Times New Roman" w:cs="Times New Roman"/>
        </w:rPr>
      </w:pPr>
    </w:p>
    <w:p w14:paraId="44BB6F60" w14:textId="65AC8B84" w:rsidR="009820F2" w:rsidRDefault="009820F2" w:rsidP="00233BDA">
      <w:pPr>
        <w:jc w:val="both"/>
        <w:rPr>
          <w:rFonts w:ascii="Times New Roman" w:hAnsi="Times New Roman" w:cs="Times New Roman"/>
        </w:rPr>
      </w:pPr>
    </w:p>
    <w:p w14:paraId="27713865" w14:textId="3D8D54AE" w:rsidR="009820F2" w:rsidRDefault="009820F2" w:rsidP="00233BDA">
      <w:pPr>
        <w:jc w:val="both"/>
        <w:rPr>
          <w:rFonts w:ascii="Times New Roman" w:hAnsi="Times New Roman" w:cs="Times New Roman"/>
        </w:rPr>
      </w:pPr>
    </w:p>
    <w:p w14:paraId="71F676D1" w14:textId="17392770" w:rsidR="009820F2" w:rsidRDefault="009820F2" w:rsidP="00233BDA">
      <w:pPr>
        <w:jc w:val="both"/>
        <w:rPr>
          <w:rFonts w:ascii="Times New Roman" w:hAnsi="Times New Roman" w:cs="Times New Roman"/>
        </w:rPr>
      </w:pPr>
    </w:p>
    <w:p w14:paraId="06AAC2BE" w14:textId="5FFD9856" w:rsidR="009820F2" w:rsidRDefault="009820F2" w:rsidP="00233BDA">
      <w:pPr>
        <w:jc w:val="both"/>
        <w:rPr>
          <w:rFonts w:ascii="Times New Roman" w:hAnsi="Times New Roman" w:cs="Times New Roman"/>
        </w:rPr>
      </w:pPr>
    </w:p>
    <w:p w14:paraId="1ECA069E" w14:textId="476C9A0A" w:rsidR="009820F2" w:rsidRDefault="009820F2" w:rsidP="00233BDA">
      <w:pPr>
        <w:jc w:val="both"/>
        <w:rPr>
          <w:rFonts w:ascii="Times New Roman" w:hAnsi="Times New Roman" w:cs="Times New Roman"/>
        </w:rPr>
      </w:pPr>
    </w:p>
    <w:p w14:paraId="2C5E45C7" w14:textId="37A7BC75" w:rsidR="009820F2" w:rsidRDefault="009820F2" w:rsidP="00233BDA">
      <w:pPr>
        <w:jc w:val="both"/>
        <w:rPr>
          <w:rFonts w:ascii="Times New Roman" w:hAnsi="Times New Roman" w:cs="Times New Roman"/>
        </w:rPr>
      </w:pPr>
    </w:p>
    <w:p w14:paraId="38F5B430" w14:textId="450E6D8E" w:rsidR="009820F2" w:rsidRDefault="009820F2" w:rsidP="00233BDA">
      <w:pPr>
        <w:jc w:val="both"/>
        <w:rPr>
          <w:rFonts w:ascii="Times New Roman" w:hAnsi="Times New Roman" w:cs="Times New Roman"/>
        </w:rPr>
      </w:pPr>
    </w:p>
    <w:p w14:paraId="558DAB70" w14:textId="36F6D323" w:rsidR="009820F2" w:rsidRDefault="009820F2" w:rsidP="00233BDA">
      <w:pPr>
        <w:jc w:val="both"/>
        <w:rPr>
          <w:rFonts w:ascii="Times New Roman" w:hAnsi="Times New Roman" w:cs="Times New Roman"/>
        </w:rPr>
      </w:pPr>
    </w:p>
    <w:p w14:paraId="360EAB53" w14:textId="6BCF5F2C" w:rsidR="009820F2" w:rsidRDefault="009820F2" w:rsidP="00233BDA">
      <w:pPr>
        <w:jc w:val="both"/>
        <w:rPr>
          <w:rFonts w:ascii="Times New Roman" w:hAnsi="Times New Roman" w:cs="Times New Roman"/>
        </w:rPr>
      </w:pPr>
    </w:p>
    <w:p w14:paraId="0D831AE4" w14:textId="79AB52B3" w:rsidR="009820F2" w:rsidRDefault="009820F2" w:rsidP="00233BDA">
      <w:pPr>
        <w:jc w:val="both"/>
        <w:rPr>
          <w:rFonts w:ascii="Times New Roman" w:hAnsi="Times New Roman" w:cs="Times New Roman"/>
        </w:rPr>
      </w:pPr>
    </w:p>
    <w:p w14:paraId="3C908DDF" w14:textId="77777777" w:rsidR="009820F2" w:rsidRDefault="009820F2" w:rsidP="00233BDA">
      <w:pPr>
        <w:jc w:val="both"/>
        <w:rPr>
          <w:rFonts w:ascii="Times New Roman" w:hAnsi="Times New Roman" w:cs="Times New Roman"/>
        </w:rPr>
      </w:pPr>
    </w:p>
    <w:p w14:paraId="368D7D90" w14:textId="6D16C5C4" w:rsidR="00F40EF1" w:rsidRDefault="00F40EF1" w:rsidP="00233BDA">
      <w:pPr>
        <w:jc w:val="both"/>
        <w:rPr>
          <w:rFonts w:ascii="Times New Roman" w:hAnsi="Times New Roman" w:cs="Times New Roman"/>
        </w:rPr>
      </w:pPr>
    </w:p>
    <w:p w14:paraId="109F6CC5" w14:textId="0EA8F501" w:rsidR="009820F2" w:rsidRPr="002B4558" w:rsidRDefault="009820F2" w:rsidP="002B4558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u w:val="single"/>
        </w:rPr>
      </w:pPr>
      <w:r w:rsidRPr="002B4558">
        <w:rPr>
          <w:rFonts w:ascii="Times New Roman" w:hAnsi="Times New Roman" w:cs="Times New Roman"/>
          <w:b/>
          <w:u w:val="single"/>
        </w:rPr>
        <w:lastRenderedPageBreak/>
        <w:t>INTRODUCCION Y REGIMEN JURIDICO MUPA</w:t>
      </w:r>
    </w:p>
    <w:p w14:paraId="2EEFC64C" w14:textId="77777777" w:rsidR="00F40EF1" w:rsidRPr="00FE21FE" w:rsidRDefault="00F40EF1" w:rsidP="00233BDA">
      <w:pPr>
        <w:jc w:val="both"/>
        <w:rPr>
          <w:rFonts w:ascii="Times New Roman" w:hAnsi="Times New Roman" w:cs="Times New Roman"/>
        </w:rPr>
      </w:pPr>
    </w:p>
    <w:p w14:paraId="74C708E8" w14:textId="46ECE7B5" w:rsidR="000679CA" w:rsidRDefault="00E128FB" w:rsidP="00233BDA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Introducción. </w:t>
      </w:r>
      <w:r w:rsidR="00E81945" w:rsidRPr="00E81945">
        <w:rPr>
          <w:rFonts w:ascii="Times New Roman" w:hAnsi="Times New Roman" w:cs="Times New Roman"/>
        </w:rPr>
        <w:t>El territorio del estado Panameño se divide políticamente en nueve provincias y cinco comarcas. Est</w:t>
      </w:r>
      <w:r w:rsidR="00E81945">
        <w:rPr>
          <w:rFonts w:ascii="Times New Roman" w:hAnsi="Times New Roman" w:cs="Times New Roman"/>
        </w:rPr>
        <w:t>a</w:t>
      </w:r>
      <w:r w:rsidR="00E81945" w:rsidRPr="00E81945">
        <w:rPr>
          <w:rFonts w:ascii="Times New Roman" w:hAnsi="Times New Roman" w:cs="Times New Roman"/>
        </w:rPr>
        <w:t xml:space="preserve"> división política, a su vez, se divide en 76 distritos, y en 596 corregimientos.</w:t>
      </w:r>
      <w:r w:rsidR="00A85931">
        <w:rPr>
          <w:rFonts w:ascii="Times New Roman" w:hAnsi="Times New Roman" w:cs="Times New Roman"/>
        </w:rPr>
        <w:t xml:space="preserve"> </w:t>
      </w:r>
      <w:r w:rsidR="00DE37C8" w:rsidRPr="00DE37C8">
        <w:rPr>
          <w:rFonts w:ascii="Times New Roman" w:hAnsi="Times New Roman" w:cs="Times New Roman"/>
        </w:rPr>
        <w:t>En el 2016, la población de Panamá se estimó en 4,03 millones de habitantes, localizándose el 67% en las áreas urbanas y el 33% restante en áreas rurales</w:t>
      </w:r>
      <w:r w:rsidR="00DE37C8">
        <w:rPr>
          <w:rFonts w:ascii="Times New Roman" w:hAnsi="Times New Roman" w:cs="Times New Roman"/>
        </w:rPr>
        <w:t xml:space="preserve">. </w:t>
      </w:r>
      <w:r w:rsidR="00537BFB">
        <w:rPr>
          <w:rFonts w:ascii="Times New Roman" w:hAnsi="Times New Roman" w:cs="Times New Roman"/>
        </w:rPr>
        <w:t>Ciudad de Panamá</w:t>
      </w:r>
      <w:r w:rsidR="00537BFB" w:rsidRPr="00537BFB">
        <w:rPr>
          <w:rFonts w:ascii="Times New Roman" w:hAnsi="Times New Roman" w:cs="Times New Roman"/>
        </w:rPr>
        <w:t xml:space="preserve"> es la capital de la República de Panamá,</w:t>
      </w:r>
      <w:r w:rsidR="009552C7">
        <w:rPr>
          <w:rFonts w:ascii="Times New Roman" w:hAnsi="Times New Roman" w:cs="Times New Roman"/>
        </w:rPr>
        <w:t xml:space="preserve"> </w:t>
      </w:r>
      <w:r w:rsidR="00537BFB" w:rsidRPr="00537BFB">
        <w:rPr>
          <w:rFonts w:ascii="Times New Roman" w:hAnsi="Times New Roman" w:cs="Times New Roman"/>
        </w:rPr>
        <w:t xml:space="preserve">de la provincia de Panamá y cabecera del distrito </w:t>
      </w:r>
      <w:r w:rsidR="00C2498E" w:rsidRPr="00537BFB">
        <w:rPr>
          <w:rFonts w:ascii="Times New Roman" w:hAnsi="Times New Roman" w:cs="Times New Roman"/>
        </w:rPr>
        <w:t>homónimo. ​</w:t>
      </w:r>
      <w:r w:rsidR="00537BFB" w:rsidRPr="00537BFB">
        <w:rPr>
          <w:rFonts w:ascii="Times New Roman" w:hAnsi="Times New Roman" w:cs="Times New Roman"/>
        </w:rPr>
        <w:t xml:space="preserve"> Es la ciudad más grande y la primera más poblada del país, tiene 430</w:t>
      </w:r>
      <w:r w:rsidR="00C2498E">
        <w:rPr>
          <w:rFonts w:ascii="Times New Roman" w:hAnsi="Times New Roman" w:cs="Times New Roman"/>
        </w:rPr>
        <w:t>.</w:t>
      </w:r>
      <w:r w:rsidR="00537BFB" w:rsidRPr="00537BFB">
        <w:rPr>
          <w:rFonts w:ascii="Times New Roman" w:hAnsi="Times New Roman" w:cs="Times New Roman"/>
        </w:rPr>
        <w:t>299 habitantes en el centro de la ciudad, 880</w:t>
      </w:r>
      <w:r w:rsidR="00111E6A">
        <w:rPr>
          <w:rFonts w:ascii="Times New Roman" w:hAnsi="Times New Roman" w:cs="Times New Roman"/>
        </w:rPr>
        <w:t>.</w:t>
      </w:r>
      <w:r w:rsidR="00537BFB" w:rsidRPr="00537BFB">
        <w:rPr>
          <w:rFonts w:ascii="Times New Roman" w:hAnsi="Times New Roman" w:cs="Times New Roman"/>
        </w:rPr>
        <w:t>691 habitantes dentro de su municipio</w:t>
      </w:r>
      <w:r w:rsidR="00111E6A">
        <w:rPr>
          <w:rFonts w:ascii="Times New Roman" w:hAnsi="Times New Roman" w:cs="Times New Roman"/>
        </w:rPr>
        <w:t xml:space="preserve"> </w:t>
      </w:r>
      <w:r w:rsidR="00537BFB" w:rsidRPr="00537BFB">
        <w:rPr>
          <w:rFonts w:ascii="Times New Roman" w:hAnsi="Times New Roman" w:cs="Times New Roman"/>
        </w:rPr>
        <w:t>y 2</w:t>
      </w:r>
      <w:r w:rsidR="00111E6A">
        <w:rPr>
          <w:rFonts w:ascii="Times New Roman" w:hAnsi="Times New Roman" w:cs="Times New Roman"/>
        </w:rPr>
        <w:t>.</w:t>
      </w:r>
      <w:r w:rsidR="00537BFB" w:rsidRPr="00537BFB">
        <w:rPr>
          <w:rFonts w:ascii="Times New Roman" w:hAnsi="Times New Roman" w:cs="Times New Roman"/>
        </w:rPr>
        <w:t>011</w:t>
      </w:r>
      <w:r w:rsidR="00111E6A">
        <w:rPr>
          <w:rFonts w:ascii="Times New Roman" w:hAnsi="Times New Roman" w:cs="Times New Roman"/>
        </w:rPr>
        <w:t>.</w:t>
      </w:r>
      <w:r w:rsidR="00537BFB" w:rsidRPr="00537BFB">
        <w:rPr>
          <w:rFonts w:ascii="Times New Roman" w:hAnsi="Times New Roman" w:cs="Times New Roman"/>
        </w:rPr>
        <w:t xml:space="preserve">780 habitantes en su área metropolitana, que incluye a varias jurisdicciones como la ciudad de Panamá y ciudad-distrito de San Miguelito. </w:t>
      </w:r>
    </w:p>
    <w:p w14:paraId="28242C62" w14:textId="659C613B" w:rsidR="000679CA" w:rsidRPr="007B24A1" w:rsidRDefault="007B24A1" w:rsidP="00233BDA">
      <w:pPr>
        <w:jc w:val="both"/>
        <w:rPr>
          <w:rFonts w:ascii="Times New Roman" w:hAnsi="Times New Roman" w:cs="Times New Roman"/>
        </w:rPr>
      </w:pPr>
      <w:r w:rsidRPr="007B24A1">
        <w:rPr>
          <w:rFonts w:ascii="Times New Roman" w:hAnsi="Times New Roman" w:cs="Times New Roman"/>
        </w:rPr>
        <w:t xml:space="preserve">A continuación se presenta el organigrama actual del </w:t>
      </w:r>
      <w:r w:rsidR="00084259">
        <w:rPr>
          <w:rFonts w:ascii="Times New Roman" w:hAnsi="Times New Roman" w:cs="Times New Roman"/>
        </w:rPr>
        <w:t>Municipio de Panamá (</w:t>
      </w:r>
      <w:r w:rsidRPr="007B24A1">
        <w:rPr>
          <w:rFonts w:ascii="Times New Roman" w:hAnsi="Times New Roman" w:cs="Times New Roman"/>
        </w:rPr>
        <w:t>MUPA</w:t>
      </w:r>
      <w:r w:rsidR="00084259">
        <w:rPr>
          <w:rFonts w:ascii="Times New Roman" w:hAnsi="Times New Roman" w:cs="Times New Roman"/>
        </w:rPr>
        <w:t>)</w:t>
      </w:r>
      <w:r w:rsidRPr="007B24A1">
        <w:rPr>
          <w:rFonts w:ascii="Times New Roman" w:hAnsi="Times New Roman" w:cs="Times New Roman"/>
        </w:rPr>
        <w:t>.</w:t>
      </w:r>
    </w:p>
    <w:p w14:paraId="1D78CCD8" w14:textId="2A7B0462" w:rsidR="000679CA" w:rsidRPr="007B24A1" w:rsidRDefault="007B24A1" w:rsidP="007B24A1">
      <w:pPr>
        <w:jc w:val="center"/>
        <w:rPr>
          <w:rFonts w:ascii="Times New Roman" w:hAnsi="Times New Roman" w:cs="Times New Roman"/>
          <w:b/>
          <w:u w:val="single"/>
          <w:lang w:val="pt-BR"/>
        </w:rPr>
      </w:pPr>
      <w:r w:rsidRPr="007B24A1">
        <w:rPr>
          <w:rFonts w:ascii="Times New Roman" w:hAnsi="Times New Roman" w:cs="Times New Roman"/>
          <w:b/>
          <w:u w:val="single"/>
          <w:lang w:val="pt-BR"/>
        </w:rPr>
        <w:t xml:space="preserve">Gráfico </w:t>
      </w:r>
      <w:r w:rsidR="00E81945">
        <w:rPr>
          <w:rFonts w:ascii="Times New Roman" w:hAnsi="Times New Roman" w:cs="Times New Roman"/>
          <w:b/>
          <w:u w:val="single"/>
          <w:lang w:val="pt-BR"/>
        </w:rPr>
        <w:t>1</w:t>
      </w:r>
      <w:r w:rsidRPr="007B24A1">
        <w:rPr>
          <w:rFonts w:ascii="Times New Roman" w:hAnsi="Times New Roman" w:cs="Times New Roman"/>
          <w:b/>
          <w:u w:val="single"/>
          <w:lang w:val="pt-BR"/>
        </w:rPr>
        <w:t xml:space="preserve">. </w:t>
      </w:r>
      <w:r w:rsidRPr="007B24A1">
        <w:rPr>
          <w:rFonts w:ascii="Times New Roman" w:hAnsi="Times New Roman" w:cs="Times New Roman"/>
          <w:b/>
          <w:u w:val="single"/>
          <w:lang w:val="es-ES"/>
        </w:rPr>
        <w:t>Organigrama</w:t>
      </w:r>
      <w:r>
        <w:rPr>
          <w:rFonts w:ascii="Times New Roman" w:hAnsi="Times New Roman" w:cs="Times New Roman"/>
          <w:b/>
          <w:u w:val="single"/>
          <w:lang w:val="es-ES"/>
        </w:rPr>
        <w:t xml:space="preserve"> actual</w:t>
      </w:r>
      <w:r w:rsidRPr="007B24A1">
        <w:rPr>
          <w:rFonts w:ascii="Times New Roman" w:hAnsi="Times New Roman" w:cs="Times New Roman"/>
          <w:b/>
          <w:u w:val="single"/>
          <w:lang w:val="pt-BR"/>
        </w:rPr>
        <w:t xml:space="preserve"> MUPA</w:t>
      </w:r>
    </w:p>
    <w:p w14:paraId="31B58CA6" w14:textId="66D5E84E" w:rsidR="000679CA" w:rsidRDefault="000679CA" w:rsidP="00233BDA">
      <w:pPr>
        <w:jc w:val="both"/>
        <w:rPr>
          <w:rFonts w:ascii="Times New Roman" w:hAnsi="Times New Roman" w:cs="Times New Roman"/>
          <w:b/>
        </w:rPr>
      </w:pPr>
      <w:r>
        <w:rPr>
          <w:b/>
          <w:noProof/>
        </w:rPr>
        <w:drawing>
          <wp:inline distT="0" distB="0" distL="0" distR="0" wp14:anchorId="66365096" wp14:editId="2DCD71B1">
            <wp:extent cx="5731510" cy="3762736"/>
            <wp:effectExtent l="76200" t="19050" r="78740" b="142875"/>
            <wp:docPr id="26" name="Picture 26" descr="C:\Users\lucioga\AppData\Local\Microsoft\Windows\INetCache\Content.MSO\E673A371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C:\Users\lucioga\AppData\Local\Microsoft\Windows\INetCache\Content.MSO\E673A371.tmp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762736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  <a:effectLst>
                      <a:outerShdw blurRad="50800" dist="50800" dir="5400000" algn="ctr" rotWithShape="0">
                        <a:schemeClr val="tx1"/>
                      </a:outerShdw>
                    </a:effectLst>
                  </pic:spPr>
                </pic:pic>
              </a:graphicData>
            </a:graphic>
          </wp:inline>
        </w:drawing>
      </w:r>
    </w:p>
    <w:p w14:paraId="6354A7D1" w14:textId="616D56A3" w:rsidR="00E128FB" w:rsidRPr="007B4B9D" w:rsidRDefault="007B4B9D" w:rsidP="007B4B9D">
      <w:pPr>
        <w:ind w:firstLine="708"/>
        <w:jc w:val="both"/>
        <w:rPr>
          <w:rFonts w:ascii="Times New Roman" w:hAnsi="Times New Roman" w:cs="Times New Roman"/>
          <w:sz w:val="16"/>
        </w:rPr>
      </w:pPr>
      <w:r w:rsidRPr="007B4B9D">
        <w:rPr>
          <w:rFonts w:ascii="Times New Roman" w:hAnsi="Times New Roman" w:cs="Times New Roman"/>
          <w:sz w:val="16"/>
        </w:rPr>
        <w:t>Fuente: Web MUPA</w:t>
      </w:r>
    </w:p>
    <w:p w14:paraId="08E209C4" w14:textId="657B5F8F" w:rsidR="00226624" w:rsidRDefault="00FE21FE" w:rsidP="00233BDA">
      <w:pPr>
        <w:jc w:val="both"/>
        <w:rPr>
          <w:rFonts w:ascii="Times New Roman" w:hAnsi="Times New Roman" w:cs="Times New Roman"/>
        </w:rPr>
      </w:pPr>
      <w:r w:rsidRPr="00FE21FE">
        <w:rPr>
          <w:rFonts w:ascii="Times New Roman" w:hAnsi="Times New Roman" w:cs="Times New Roman"/>
          <w:b/>
        </w:rPr>
        <w:t>Régimen legal</w:t>
      </w:r>
      <w:r w:rsidR="00226624">
        <w:rPr>
          <w:rFonts w:ascii="Times New Roman" w:hAnsi="Times New Roman" w:cs="Times New Roman"/>
          <w:b/>
        </w:rPr>
        <w:t xml:space="preserve"> del MUPA</w:t>
      </w:r>
      <w:r w:rsidRPr="00FE21FE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</w:rPr>
        <w:t xml:space="preserve"> </w:t>
      </w:r>
      <w:r w:rsidRPr="00FE21FE">
        <w:rPr>
          <w:rFonts w:ascii="Times New Roman" w:hAnsi="Times New Roman" w:cs="Times New Roman"/>
        </w:rPr>
        <w:t>Seg</w:t>
      </w:r>
      <w:r>
        <w:rPr>
          <w:rFonts w:ascii="Times New Roman" w:hAnsi="Times New Roman" w:cs="Times New Roman"/>
        </w:rPr>
        <w:t>ún la Constitución Política Vigente y la Ley 106 de 8 de octubre de 1973, modificado por la Ley 52 de 1984, la que regula a los municipios.</w:t>
      </w:r>
      <w:r w:rsidR="00233BDA">
        <w:rPr>
          <w:rFonts w:ascii="Times New Roman" w:hAnsi="Times New Roman" w:cs="Times New Roman"/>
        </w:rPr>
        <w:t xml:space="preserve"> El MUPA está compartido entre el cuerpo deliberante, denomina “Consejo Municipal, constituido por los representantes de los corregimientos y el denominado “Alcalde”, los cuales funcionan de separadamente de forma coordinada.</w:t>
      </w:r>
      <w:r w:rsidR="00226624">
        <w:rPr>
          <w:rFonts w:ascii="Times New Roman" w:hAnsi="Times New Roman" w:cs="Times New Roman"/>
        </w:rPr>
        <w:t xml:space="preserve"> Es la unidad administrativa más completa del distrito, como Gobierno Local de la Ciudad de Panamá, entidad con poderes y características propias.</w:t>
      </w:r>
      <w:r w:rsidR="00487909">
        <w:rPr>
          <w:rFonts w:ascii="Times New Roman" w:hAnsi="Times New Roman" w:cs="Times New Roman"/>
        </w:rPr>
        <w:t xml:space="preserve"> </w:t>
      </w:r>
      <w:r w:rsidR="00226624">
        <w:rPr>
          <w:rFonts w:ascii="Times New Roman" w:hAnsi="Times New Roman" w:cs="Times New Roman"/>
        </w:rPr>
        <w:t xml:space="preserve">Mediante el cumplimiento de </w:t>
      </w:r>
      <w:r w:rsidR="002E56C2">
        <w:rPr>
          <w:rFonts w:ascii="Times New Roman" w:hAnsi="Times New Roman" w:cs="Times New Roman"/>
        </w:rPr>
        <w:t>l</w:t>
      </w:r>
      <w:r w:rsidR="00226624">
        <w:rPr>
          <w:rFonts w:ascii="Times New Roman" w:hAnsi="Times New Roman" w:cs="Times New Roman"/>
        </w:rPr>
        <w:t xml:space="preserve">os </w:t>
      </w:r>
      <w:r w:rsidR="002E56C2">
        <w:rPr>
          <w:rFonts w:ascii="Times New Roman" w:hAnsi="Times New Roman" w:cs="Times New Roman"/>
        </w:rPr>
        <w:t>requisitos</w:t>
      </w:r>
      <w:r w:rsidR="00226624">
        <w:rPr>
          <w:rFonts w:ascii="Times New Roman" w:hAnsi="Times New Roman" w:cs="Times New Roman"/>
        </w:rPr>
        <w:t xml:space="preserve"> legales, puede celebrar contratos para la ejecución de su competencia.</w:t>
      </w:r>
    </w:p>
    <w:p w14:paraId="16800EB3" w14:textId="59C547CD" w:rsidR="002E56C2" w:rsidRDefault="002E56C2" w:rsidP="00233BD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El MUPA posee bienes patrimoniales propios, con facultades para adquirirlos por cualquier título, así como poder tributario otorgado por la Constitución Política que le permite gravar con tributos todas las actividades </w:t>
      </w:r>
      <w:r w:rsidR="00500EF9">
        <w:rPr>
          <w:rFonts w:ascii="Times New Roman" w:hAnsi="Times New Roman" w:cs="Times New Roman"/>
        </w:rPr>
        <w:t>industriales,</w:t>
      </w:r>
      <w:r>
        <w:rPr>
          <w:rFonts w:ascii="Times New Roman" w:hAnsi="Times New Roman" w:cs="Times New Roman"/>
        </w:rPr>
        <w:t xml:space="preserve"> comerciales que se realicen dentro de su jurisdicción; asimismo, puede gravar con tasas la prestación de los servicios públicos de cualquier naturaleza</w:t>
      </w:r>
      <w:r w:rsidR="00500EF9">
        <w:rPr>
          <w:rFonts w:ascii="Times New Roman" w:hAnsi="Times New Roman" w:cs="Times New Roman"/>
        </w:rPr>
        <w:t xml:space="preserve">. Además de su poder impositivo, </w:t>
      </w:r>
      <w:r w:rsidR="00EC5479">
        <w:rPr>
          <w:rFonts w:ascii="Times New Roman" w:hAnsi="Times New Roman" w:cs="Times New Roman"/>
        </w:rPr>
        <w:t>tiene la facultad de obtener préstamos, constituir empresas mixtas o propias para la prestación de los servicios.</w:t>
      </w:r>
    </w:p>
    <w:p w14:paraId="0060785D" w14:textId="2DAE65D6" w:rsidR="00D533A4" w:rsidRDefault="00D533A4" w:rsidP="00233BD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La Ley No.41 de 27 de agosto de 1999, transfiere los servicios de aseo urbano y domiciliario en la región metropolitana al MUPA, y esta a través de la Ley No.51 de 29 de septiembre de 2010, la transfiere a la Autoridad de Aseo Urbano y Domiciliario (ANA). </w:t>
      </w:r>
    </w:p>
    <w:p w14:paraId="6B1B0CEE" w14:textId="6514343C" w:rsidR="00AD0D2D" w:rsidRDefault="00AD0D2D" w:rsidP="00233BDA">
      <w:pPr>
        <w:jc w:val="both"/>
        <w:rPr>
          <w:rFonts w:ascii="Times New Roman" w:hAnsi="Times New Roman" w:cs="Times New Roman"/>
        </w:rPr>
      </w:pPr>
      <w:r w:rsidRPr="00AD0D2D">
        <w:rPr>
          <w:rFonts w:ascii="Times New Roman" w:hAnsi="Times New Roman" w:cs="Times New Roman"/>
          <w:b/>
        </w:rPr>
        <w:t xml:space="preserve">Régimen Jurídico de la Descentralización en Panamá. </w:t>
      </w:r>
      <w:r w:rsidR="00E768C7" w:rsidRPr="00E768C7">
        <w:rPr>
          <w:rFonts w:ascii="Times New Roman" w:hAnsi="Times New Roman" w:cs="Times New Roman"/>
        </w:rPr>
        <w:t xml:space="preserve">El régimen </w:t>
      </w:r>
      <w:r w:rsidR="00E768C7">
        <w:rPr>
          <w:rFonts w:ascii="Times New Roman" w:hAnsi="Times New Roman" w:cs="Times New Roman"/>
        </w:rPr>
        <w:t>j</w:t>
      </w:r>
      <w:r w:rsidR="00E768C7" w:rsidRPr="00E768C7">
        <w:rPr>
          <w:rFonts w:ascii="Times New Roman" w:hAnsi="Times New Roman" w:cs="Times New Roman"/>
        </w:rPr>
        <w:t>urídico de la Descentralización en Panamá</w:t>
      </w:r>
      <w:r w:rsidR="00E768C7">
        <w:rPr>
          <w:rFonts w:ascii="Times New Roman" w:hAnsi="Times New Roman" w:cs="Times New Roman"/>
        </w:rPr>
        <w:t xml:space="preserve"> se basa en el Titulo VII de la Constitución Política de la República de Panamá “Regímenes Municipal y Provinciales”, la Ley 37 de 29 de junio de 2009 “Que descentraliza la Administración </w:t>
      </w:r>
      <w:r w:rsidR="009820F2">
        <w:rPr>
          <w:rFonts w:ascii="Times New Roman" w:hAnsi="Times New Roman" w:cs="Times New Roman"/>
        </w:rPr>
        <w:t>Pública</w:t>
      </w:r>
      <w:r w:rsidR="00E768C7">
        <w:rPr>
          <w:rFonts w:ascii="Times New Roman" w:hAnsi="Times New Roman" w:cs="Times New Roman"/>
        </w:rPr>
        <w:t xml:space="preserve">” </w:t>
      </w:r>
      <w:r w:rsidR="00D14679">
        <w:rPr>
          <w:rFonts w:ascii="Times New Roman" w:hAnsi="Times New Roman" w:cs="Times New Roman"/>
        </w:rPr>
        <w:t xml:space="preserve">, La Ley 66 de 29 de octubre de 2015 “Que reforma la Ley 37 de 2009, que descentraliza la Administración Pública y dicta otras disposiciones”, y el </w:t>
      </w:r>
      <w:r w:rsidR="001E167F">
        <w:rPr>
          <w:rFonts w:ascii="Times New Roman" w:hAnsi="Times New Roman" w:cs="Times New Roman"/>
        </w:rPr>
        <w:t>Decreto Ejecutivo No.10 de 2017 “Que reglamenta la Ley 37 de 29 de junio, modificada por la Ley 66 de 29 de octubre de 2015”.</w:t>
      </w:r>
      <w:r w:rsidR="00697742">
        <w:rPr>
          <w:rFonts w:ascii="Times New Roman" w:hAnsi="Times New Roman" w:cs="Times New Roman"/>
        </w:rPr>
        <w:t xml:space="preserve"> </w:t>
      </w:r>
    </w:p>
    <w:p w14:paraId="5324DC01" w14:textId="5FF34617" w:rsidR="00697742" w:rsidRDefault="00697742" w:rsidP="00233BDA">
      <w:pPr>
        <w:jc w:val="both"/>
        <w:rPr>
          <w:rFonts w:ascii="Times New Roman" w:hAnsi="Times New Roman" w:cs="Times New Roman"/>
        </w:rPr>
      </w:pPr>
      <w:r w:rsidRPr="00697742">
        <w:rPr>
          <w:rFonts w:ascii="Times New Roman" w:hAnsi="Times New Roman" w:cs="Times New Roman"/>
        </w:rPr>
        <w:t>Cabe desta</w:t>
      </w:r>
      <w:r>
        <w:rPr>
          <w:rFonts w:ascii="Times New Roman" w:hAnsi="Times New Roman" w:cs="Times New Roman"/>
        </w:rPr>
        <w:t xml:space="preserve">car que un importante impulso a la descentralización </w:t>
      </w:r>
      <w:r w:rsidR="00427CFB">
        <w:rPr>
          <w:rFonts w:ascii="Times New Roman" w:hAnsi="Times New Roman" w:cs="Times New Roman"/>
        </w:rPr>
        <w:t xml:space="preserve">en Panamá se concretó a través de la citada Ley 66 de 2015, que modifico la Ley 37 de 2009. La reforma facilitó la transferencia del impuesto de inmueble, a través de una fórmula de distribución equitativa, </w:t>
      </w:r>
      <w:r w:rsidR="00727D64">
        <w:rPr>
          <w:rFonts w:ascii="Times New Roman" w:hAnsi="Times New Roman" w:cs="Times New Roman"/>
        </w:rPr>
        <w:t>dotando a</w:t>
      </w:r>
      <w:r w:rsidR="00427CFB">
        <w:rPr>
          <w:rFonts w:ascii="Times New Roman" w:hAnsi="Times New Roman" w:cs="Times New Roman"/>
        </w:rPr>
        <w:t xml:space="preserve"> los municipios del país recursos para financiar obras y proyectos de desarrollo local, cumpliendo con ello, parte de los objetivos técnicos de la descentralización, que se materializan mediante el traslado de recursos y competencias. </w:t>
      </w:r>
      <w:r w:rsidR="00727D64">
        <w:rPr>
          <w:rFonts w:ascii="Times New Roman" w:hAnsi="Times New Roman" w:cs="Times New Roman"/>
        </w:rPr>
        <w:t xml:space="preserve">Para fortalecer la acción ciudadana, la Ley instituyó </w:t>
      </w:r>
      <w:r w:rsidR="00954FE1">
        <w:rPr>
          <w:rFonts w:ascii="Times New Roman" w:hAnsi="Times New Roman" w:cs="Times New Roman"/>
        </w:rPr>
        <w:t>mecanismos de participación ciudadana, necesarios para validar las obras de inversión pública</w:t>
      </w:r>
      <w:r w:rsidR="001349BE">
        <w:rPr>
          <w:rFonts w:ascii="Times New Roman" w:hAnsi="Times New Roman" w:cs="Times New Roman"/>
        </w:rPr>
        <w:t xml:space="preserve">, financiadas con los aportes de la transferencia, </w:t>
      </w:r>
      <w:r w:rsidR="00EE4856">
        <w:rPr>
          <w:rFonts w:ascii="Times New Roman" w:hAnsi="Times New Roman" w:cs="Times New Roman"/>
        </w:rPr>
        <w:t xml:space="preserve">generando un cambio de cultura para la toma de decisiones, lo que viene contribuyendo a una mayor eficacia y transparencia del gasto público, mejor receptividad de obra pública y la fiscalización social. </w:t>
      </w:r>
    </w:p>
    <w:p w14:paraId="51D86B85" w14:textId="47DC3994" w:rsidR="00C943EB" w:rsidRDefault="00C943EB" w:rsidP="00233BD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En este sentido, el Articulo 63 de la Ley 37 de 2009, establece que en materia de servicios </w:t>
      </w:r>
      <w:r w:rsidR="000B4A26">
        <w:rPr>
          <w:rFonts w:ascii="Times New Roman" w:hAnsi="Times New Roman" w:cs="Times New Roman"/>
        </w:rPr>
        <w:t>públicos,</w:t>
      </w:r>
      <w:r>
        <w:rPr>
          <w:rFonts w:ascii="Times New Roman" w:hAnsi="Times New Roman" w:cs="Times New Roman"/>
        </w:rPr>
        <w:t xml:space="preserve"> se traspasará gradualmente a los </w:t>
      </w:r>
      <w:r w:rsidR="0081450D">
        <w:rPr>
          <w:rFonts w:ascii="Times New Roman" w:hAnsi="Times New Roman" w:cs="Times New Roman"/>
        </w:rPr>
        <w:t>municipios,</w:t>
      </w:r>
      <w:r>
        <w:rPr>
          <w:rFonts w:ascii="Times New Roman" w:hAnsi="Times New Roman" w:cs="Times New Roman"/>
        </w:rPr>
        <w:t xml:space="preserve"> en </w:t>
      </w:r>
      <w:r w:rsidR="00A213E9">
        <w:rPr>
          <w:rFonts w:ascii="Times New Roman" w:hAnsi="Times New Roman" w:cs="Times New Roman"/>
        </w:rPr>
        <w:t xml:space="preserve">coordinación con las instituciones </w:t>
      </w:r>
      <w:r w:rsidR="00FD6316">
        <w:rPr>
          <w:rFonts w:ascii="Times New Roman" w:hAnsi="Times New Roman" w:cs="Times New Roman"/>
        </w:rPr>
        <w:t>rectoras,</w:t>
      </w:r>
      <w:r w:rsidR="002B4558">
        <w:rPr>
          <w:rFonts w:ascii="Times New Roman" w:hAnsi="Times New Roman" w:cs="Times New Roman"/>
        </w:rPr>
        <w:t xml:space="preserve"> la construcción, el mantenimiento y la administración de las redes de servicios no estratégicos.</w:t>
      </w:r>
      <w:r>
        <w:rPr>
          <w:rFonts w:ascii="Times New Roman" w:hAnsi="Times New Roman" w:cs="Times New Roman"/>
        </w:rPr>
        <w:t xml:space="preserve"> </w:t>
      </w:r>
      <w:r w:rsidR="0081450D">
        <w:rPr>
          <w:rFonts w:ascii="Times New Roman" w:hAnsi="Times New Roman" w:cs="Times New Roman"/>
        </w:rPr>
        <w:t>Además, el Artículo 112 de la citada Ley establece que la recaudación del impuesto de inmuebles corresponderá exclusivamente al Ministerio de Economía y Finanzas</w:t>
      </w:r>
      <w:r w:rsidR="004A0E31">
        <w:rPr>
          <w:rFonts w:ascii="Times New Roman" w:hAnsi="Times New Roman" w:cs="Times New Roman"/>
        </w:rPr>
        <w:t xml:space="preserve"> (MEF)</w:t>
      </w:r>
      <w:r w:rsidR="0081450D">
        <w:rPr>
          <w:rFonts w:ascii="Times New Roman" w:hAnsi="Times New Roman" w:cs="Times New Roman"/>
        </w:rPr>
        <w:t xml:space="preserve">, que transferirá el importe recaudado a los municipios, y el Artículo 112-E, establece que se podrán destinar </w:t>
      </w:r>
      <w:r w:rsidR="00141854">
        <w:rPr>
          <w:rFonts w:ascii="Times New Roman" w:hAnsi="Times New Roman" w:cs="Times New Roman"/>
        </w:rPr>
        <w:t>recursos procedentes</w:t>
      </w:r>
      <w:r w:rsidR="0081450D">
        <w:rPr>
          <w:rFonts w:ascii="Times New Roman" w:hAnsi="Times New Roman" w:cs="Times New Roman"/>
        </w:rPr>
        <w:t xml:space="preserve"> del impuesto de inmuebles, a las siguientes áreas y asuntos:</w:t>
      </w:r>
    </w:p>
    <w:p w14:paraId="35124EE6" w14:textId="42AC8F95" w:rsidR="0081450D" w:rsidRPr="00605A8C" w:rsidRDefault="0081450D" w:rsidP="00233BDA">
      <w:pPr>
        <w:jc w:val="both"/>
        <w:rPr>
          <w:rFonts w:ascii="Times New Roman" w:hAnsi="Times New Roman" w:cs="Times New Roman"/>
          <w:i/>
        </w:rPr>
      </w:pPr>
      <w:r w:rsidRPr="00605A8C">
        <w:rPr>
          <w:rFonts w:ascii="Times New Roman" w:hAnsi="Times New Roman" w:cs="Times New Roman"/>
          <w:i/>
        </w:rPr>
        <w:t xml:space="preserve">….. </w:t>
      </w:r>
      <w:r w:rsidR="009552C7">
        <w:rPr>
          <w:rFonts w:ascii="Times New Roman" w:hAnsi="Times New Roman" w:cs="Times New Roman"/>
          <w:i/>
        </w:rPr>
        <w:t xml:space="preserve"> </w:t>
      </w:r>
      <w:r w:rsidRPr="00605A8C">
        <w:rPr>
          <w:rFonts w:ascii="Times New Roman" w:hAnsi="Times New Roman" w:cs="Times New Roman"/>
          <w:i/>
        </w:rPr>
        <w:t>3. Servicio público domiciliario</w:t>
      </w:r>
      <w:r w:rsidR="00B10EFC" w:rsidRPr="00605A8C">
        <w:rPr>
          <w:rFonts w:ascii="Times New Roman" w:hAnsi="Times New Roman" w:cs="Times New Roman"/>
          <w:i/>
        </w:rPr>
        <w:t>:</w:t>
      </w:r>
    </w:p>
    <w:p w14:paraId="5E1F9501" w14:textId="2F5EEF61" w:rsidR="0081450D" w:rsidRPr="00605A8C" w:rsidRDefault="0081450D" w:rsidP="00141854">
      <w:pPr>
        <w:spacing w:line="240" w:lineRule="auto"/>
        <w:ind w:left="708"/>
        <w:jc w:val="both"/>
        <w:rPr>
          <w:rFonts w:ascii="Times New Roman" w:hAnsi="Times New Roman" w:cs="Times New Roman"/>
          <w:i/>
        </w:rPr>
      </w:pPr>
      <w:r w:rsidRPr="00605A8C">
        <w:rPr>
          <w:rFonts w:ascii="Times New Roman" w:hAnsi="Times New Roman" w:cs="Times New Roman"/>
          <w:i/>
        </w:rPr>
        <w:t>a. Acueductos rurales</w:t>
      </w:r>
    </w:p>
    <w:p w14:paraId="68122AFC" w14:textId="021C57E0" w:rsidR="0081450D" w:rsidRPr="00605A8C" w:rsidRDefault="0081450D" w:rsidP="00141854">
      <w:pPr>
        <w:spacing w:line="240" w:lineRule="auto"/>
        <w:ind w:left="708"/>
        <w:jc w:val="both"/>
        <w:rPr>
          <w:rFonts w:ascii="Times New Roman" w:hAnsi="Times New Roman" w:cs="Times New Roman"/>
          <w:i/>
        </w:rPr>
      </w:pPr>
      <w:r w:rsidRPr="00605A8C">
        <w:rPr>
          <w:rFonts w:ascii="Times New Roman" w:hAnsi="Times New Roman" w:cs="Times New Roman"/>
          <w:i/>
        </w:rPr>
        <w:t>b. Alumbrado público rural</w:t>
      </w:r>
    </w:p>
    <w:p w14:paraId="1463D789" w14:textId="781ED287" w:rsidR="00141854" w:rsidRPr="00605A8C" w:rsidRDefault="00141854" w:rsidP="00141854">
      <w:pPr>
        <w:spacing w:line="240" w:lineRule="auto"/>
        <w:ind w:left="708"/>
        <w:jc w:val="both"/>
        <w:rPr>
          <w:rFonts w:ascii="Times New Roman" w:hAnsi="Times New Roman" w:cs="Times New Roman"/>
          <w:i/>
        </w:rPr>
      </w:pPr>
      <w:r w:rsidRPr="00605A8C">
        <w:rPr>
          <w:rFonts w:ascii="Times New Roman" w:hAnsi="Times New Roman" w:cs="Times New Roman"/>
          <w:i/>
        </w:rPr>
        <w:t>c. Recolección de basura</w:t>
      </w:r>
    </w:p>
    <w:p w14:paraId="517F7A3B" w14:textId="145CE65C" w:rsidR="00141854" w:rsidRPr="00605A8C" w:rsidRDefault="00141854" w:rsidP="00141854">
      <w:pPr>
        <w:spacing w:line="240" w:lineRule="auto"/>
        <w:ind w:left="708"/>
        <w:jc w:val="both"/>
        <w:rPr>
          <w:rFonts w:ascii="Times New Roman" w:hAnsi="Times New Roman" w:cs="Times New Roman"/>
          <w:i/>
        </w:rPr>
      </w:pPr>
      <w:r w:rsidRPr="00605A8C">
        <w:rPr>
          <w:rFonts w:ascii="Times New Roman" w:hAnsi="Times New Roman" w:cs="Times New Roman"/>
          <w:i/>
        </w:rPr>
        <w:t>d. Reciclaje</w:t>
      </w:r>
    </w:p>
    <w:p w14:paraId="4AFE0D85" w14:textId="432D427F" w:rsidR="00141854" w:rsidRPr="00605A8C" w:rsidRDefault="00141854" w:rsidP="00141854">
      <w:pPr>
        <w:spacing w:line="240" w:lineRule="auto"/>
        <w:ind w:left="708"/>
        <w:jc w:val="both"/>
        <w:rPr>
          <w:rFonts w:ascii="Times New Roman" w:hAnsi="Times New Roman" w:cs="Times New Roman"/>
          <w:b/>
          <w:i/>
        </w:rPr>
      </w:pPr>
      <w:r w:rsidRPr="00605A8C">
        <w:rPr>
          <w:rFonts w:ascii="Times New Roman" w:hAnsi="Times New Roman" w:cs="Times New Roman"/>
          <w:b/>
          <w:i/>
        </w:rPr>
        <w:t>e. Canalización</w:t>
      </w:r>
    </w:p>
    <w:p w14:paraId="3A5CD455" w14:textId="006BB2F1" w:rsidR="00141854" w:rsidRDefault="00141854" w:rsidP="00141854">
      <w:pPr>
        <w:spacing w:line="240" w:lineRule="auto"/>
        <w:ind w:left="708"/>
        <w:jc w:val="both"/>
        <w:rPr>
          <w:rFonts w:ascii="Times New Roman" w:hAnsi="Times New Roman" w:cs="Times New Roman"/>
          <w:b/>
          <w:i/>
        </w:rPr>
      </w:pPr>
      <w:r w:rsidRPr="00605A8C">
        <w:rPr>
          <w:rFonts w:ascii="Times New Roman" w:hAnsi="Times New Roman" w:cs="Times New Roman"/>
          <w:b/>
          <w:i/>
        </w:rPr>
        <w:t>f. Dragados y servidumbres pluviales</w:t>
      </w:r>
    </w:p>
    <w:p w14:paraId="3EBC7F86" w14:textId="77777777" w:rsidR="00605A8C" w:rsidRPr="00605A8C" w:rsidRDefault="00605A8C" w:rsidP="00141854">
      <w:pPr>
        <w:spacing w:line="240" w:lineRule="auto"/>
        <w:ind w:left="708"/>
        <w:jc w:val="both"/>
        <w:rPr>
          <w:rFonts w:ascii="Times New Roman" w:hAnsi="Times New Roman" w:cs="Times New Roman"/>
          <w:b/>
          <w:i/>
        </w:rPr>
      </w:pPr>
    </w:p>
    <w:p w14:paraId="1D31B0B9" w14:textId="77777777" w:rsidR="0081450D" w:rsidRDefault="0081450D" w:rsidP="00233BDA">
      <w:pPr>
        <w:jc w:val="both"/>
        <w:rPr>
          <w:rFonts w:ascii="Times New Roman" w:hAnsi="Times New Roman" w:cs="Times New Roman"/>
        </w:rPr>
      </w:pPr>
    </w:p>
    <w:p w14:paraId="40585107" w14:textId="3EC118BC" w:rsidR="0081450D" w:rsidRDefault="00B51D2D" w:rsidP="00B51D2D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b/>
          <w:u w:val="single"/>
        </w:rPr>
      </w:pPr>
      <w:r w:rsidRPr="00B51D2D">
        <w:rPr>
          <w:rFonts w:ascii="Times New Roman" w:hAnsi="Times New Roman" w:cs="Times New Roman"/>
          <w:b/>
          <w:u w:val="single"/>
        </w:rPr>
        <w:t>ANALISIS PRESUPUESTARIO HISTORICO MUPA</w:t>
      </w:r>
    </w:p>
    <w:p w14:paraId="10DEC8B4" w14:textId="4DC66427" w:rsidR="00302305" w:rsidRDefault="00302305" w:rsidP="00302305">
      <w:pPr>
        <w:pStyle w:val="ListParagraph"/>
        <w:ind w:left="1080"/>
        <w:jc w:val="both"/>
        <w:rPr>
          <w:rFonts w:ascii="Times New Roman" w:hAnsi="Times New Roman" w:cs="Times New Roman"/>
          <w:b/>
          <w:u w:val="single"/>
        </w:rPr>
      </w:pPr>
    </w:p>
    <w:p w14:paraId="49243D4D" w14:textId="41ADAEFB" w:rsidR="00302305" w:rsidRDefault="00A7085B" w:rsidP="00302305">
      <w:pPr>
        <w:pStyle w:val="ListParagraph"/>
        <w:ind w:left="0"/>
        <w:jc w:val="both"/>
        <w:rPr>
          <w:rFonts w:ascii="Times New Roman" w:hAnsi="Times New Roman" w:cs="Times New Roman"/>
        </w:rPr>
      </w:pPr>
      <w:r w:rsidRPr="00A7085B">
        <w:rPr>
          <w:rFonts w:ascii="Times New Roman" w:hAnsi="Times New Roman" w:cs="Times New Roman"/>
        </w:rPr>
        <w:t xml:space="preserve">El presente informe analiza la evolución de </w:t>
      </w:r>
      <w:r>
        <w:rPr>
          <w:rFonts w:ascii="Times New Roman" w:hAnsi="Times New Roman" w:cs="Times New Roman"/>
        </w:rPr>
        <w:t>p</w:t>
      </w:r>
      <w:r w:rsidRPr="00A7085B">
        <w:rPr>
          <w:rFonts w:ascii="Times New Roman" w:hAnsi="Times New Roman" w:cs="Times New Roman"/>
        </w:rPr>
        <w:t>resupuesto</w:t>
      </w:r>
      <w:r>
        <w:rPr>
          <w:rFonts w:ascii="Times New Roman" w:hAnsi="Times New Roman" w:cs="Times New Roman"/>
        </w:rPr>
        <w:t xml:space="preserve"> de ingresos y gastos</w:t>
      </w:r>
      <w:r w:rsidRPr="00A7085B">
        <w:rPr>
          <w:rFonts w:ascii="Times New Roman" w:hAnsi="Times New Roman" w:cs="Times New Roman"/>
        </w:rPr>
        <w:t xml:space="preserve"> del </w:t>
      </w:r>
      <w:r>
        <w:rPr>
          <w:rFonts w:ascii="Times New Roman" w:hAnsi="Times New Roman" w:cs="Times New Roman"/>
        </w:rPr>
        <w:t xml:space="preserve">MUPA, tanto importes presupuestados como importes ejecutados por año, </w:t>
      </w:r>
      <w:r w:rsidRPr="00A7085B">
        <w:rPr>
          <w:rFonts w:ascii="Times New Roman" w:hAnsi="Times New Roman" w:cs="Times New Roman"/>
        </w:rPr>
        <w:t xml:space="preserve">durante el periodo comprendido entre los </w:t>
      </w:r>
      <w:r w:rsidR="00D97A5D">
        <w:rPr>
          <w:rFonts w:ascii="Times New Roman" w:hAnsi="Times New Roman" w:cs="Times New Roman"/>
        </w:rPr>
        <w:t xml:space="preserve">ejercicios </w:t>
      </w:r>
      <w:r w:rsidRPr="00A7085B">
        <w:rPr>
          <w:rFonts w:ascii="Times New Roman" w:hAnsi="Times New Roman" w:cs="Times New Roman"/>
        </w:rPr>
        <w:t>201</w:t>
      </w:r>
      <w:r>
        <w:rPr>
          <w:rFonts w:ascii="Times New Roman" w:hAnsi="Times New Roman" w:cs="Times New Roman"/>
        </w:rPr>
        <w:t>5</w:t>
      </w:r>
      <w:r w:rsidRPr="00A7085B">
        <w:rPr>
          <w:rFonts w:ascii="Times New Roman" w:hAnsi="Times New Roman" w:cs="Times New Roman"/>
        </w:rPr>
        <w:t>-201</w:t>
      </w:r>
      <w:r>
        <w:rPr>
          <w:rFonts w:ascii="Times New Roman" w:hAnsi="Times New Roman" w:cs="Times New Roman"/>
        </w:rPr>
        <w:t>7.</w:t>
      </w:r>
    </w:p>
    <w:p w14:paraId="3F1EB9FC" w14:textId="18D1DA7B" w:rsidR="005C0CC3" w:rsidRDefault="005C0CC3" w:rsidP="00302305">
      <w:pPr>
        <w:pStyle w:val="ListParagraph"/>
        <w:ind w:left="0"/>
        <w:jc w:val="both"/>
        <w:rPr>
          <w:rFonts w:ascii="Times New Roman" w:hAnsi="Times New Roman" w:cs="Times New Roman"/>
        </w:rPr>
      </w:pPr>
    </w:p>
    <w:p w14:paraId="7A6F6DCD" w14:textId="0EE081C2" w:rsidR="00686D88" w:rsidRDefault="005C0CC3" w:rsidP="00302305">
      <w:pPr>
        <w:pStyle w:val="ListParagraph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Como se observa en los dos gráficos posteriores, </w:t>
      </w:r>
      <w:r w:rsidR="00813451">
        <w:rPr>
          <w:rFonts w:ascii="Times New Roman" w:hAnsi="Times New Roman" w:cs="Times New Roman"/>
        </w:rPr>
        <w:t>el presupuesto</w:t>
      </w:r>
      <w:r w:rsidR="00686D88">
        <w:rPr>
          <w:rFonts w:ascii="Times New Roman" w:hAnsi="Times New Roman" w:cs="Times New Roman"/>
        </w:rPr>
        <w:t xml:space="preserve"> total autorizado</w:t>
      </w:r>
      <w:r w:rsidR="00813451">
        <w:rPr>
          <w:rFonts w:ascii="Times New Roman" w:hAnsi="Times New Roman" w:cs="Times New Roman"/>
        </w:rPr>
        <w:t xml:space="preserve"> del MUPA </w:t>
      </w:r>
      <w:r w:rsidR="00686D88">
        <w:rPr>
          <w:rFonts w:ascii="Times New Roman" w:hAnsi="Times New Roman" w:cs="Times New Roman"/>
        </w:rPr>
        <w:t>creció</w:t>
      </w:r>
      <w:r w:rsidR="00813451">
        <w:rPr>
          <w:rFonts w:ascii="Times New Roman" w:hAnsi="Times New Roman" w:cs="Times New Roman"/>
        </w:rPr>
        <w:t xml:space="preserve"> un 44% entre el </w:t>
      </w:r>
      <w:r w:rsidR="00686D88">
        <w:rPr>
          <w:rFonts w:ascii="Times New Roman" w:hAnsi="Times New Roman" w:cs="Times New Roman"/>
        </w:rPr>
        <w:t>periodo</w:t>
      </w:r>
      <w:r w:rsidR="00813451">
        <w:rPr>
          <w:rFonts w:ascii="Times New Roman" w:hAnsi="Times New Roman" w:cs="Times New Roman"/>
        </w:rPr>
        <w:t xml:space="preserve"> 2015-201</w:t>
      </w:r>
      <w:r w:rsidR="00686D88">
        <w:rPr>
          <w:rFonts w:ascii="Times New Roman" w:hAnsi="Times New Roman" w:cs="Times New Roman"/>
        </w:rPr>
        <w:t>6</w:t>
      </w:r>
      <w:r w:rsidR="00813451">
        <w:rPr>
          <w:rFonts w:ascii="Times New Roman" w:hAnsi="Times New Roman" w:cs="Times New Roman"/>
        </w:rPr>
        <w:t xml:space="preserve">, y un </w:t>
      </w:r>
      <w:r w:rsidR="00686D88">
        <w:rPr>
          <w:rFonts w:ascii="Times New Roman" w:hAnsi="Times New Roman" w:cs="Times New Roman"/>
        </w:rPr>
        <w:t>44% entre el periodo 2016-2017, incrementándose de US$144.4 millones en 2015 a US$300 millones en 2017. Esto estuvo motivado principalmente por los aportes recibidos del Gobierno Central en 2016 y 2017, vinculados a obras a ser realizadas por el MUPA, en función de</w:t>
      </w:r>
      <w:r w:rsidR="0090518B">
        <w:rPr>
          <w:rFonts w:ascii="Times New Roman" w:hAnsi="Times New Roman" w:cs="Times New Roman"/>
        </w:rPr>
        <w:t xml:space="preserve"> la aplicación del</w:t>
      </w:r>
      <w:r w:rsidR="00686D88">
        <w:rPr>
          <w:rFonts w:ascii="Times New Roman" w:hAnsi="Times New Roman" w:cs="Times New Roman"/>
        </w:rPr>
        <w:t xml:space="preserve"> régimen de Descentralización de Panamá (Ley 37 de 29 de junio de 2009 y </w:t>
      </w:r>
      <w:r w:rsidR="00E27089">
        <w:rPr>
          <w:rFonts w:ascii="Times New Roman" w:hAnsi="Times New Roman" w:cs="Times New Roman"/>
        </w:rPr>
        <w:t xml:space="preserve">con las modificaciones de la </w:t>
      </w:r>
      <w:r w:rsidR="00686D88">
        <w:rPr>
          <w:rFonts w:ascii="Times New Roman" w:hAnsi="Times New Roman" w:cs="Times New Roman"/>
        </w:rPr>
        <w:t xml:space="preserve">Ley 66 de 29 de octubre de 2015). </w:t>
      </w:r>
      <w:r w:rsidR="00686D88" w:rsidRPr="00686D88">
        <w:rPr>
          <w:rFonts w:ascii="Times New Roman" w:hAnsi="Times New Roman" w:cs="Times New Roman"/>
        </w:rPr>
        <w:t xml:space="preserve">En este sentido, el Artículo 112 de la citada Ley establece que </w:t>
      </w:r>
      <w:r w:rsidR="00F37E93">
        <w:rPr>
          <w:rFonts w:ascii="Times New Roman" w:hAnsi="Times New Roman" w:cs="Times New Roman"/>
        </w:rPr>
        <w:t>el importe recaudado</w:t>
      </w:r>
      <w:r w:rsidR="00686D88" w:rsidRPr="00686D88">
        <w:rPr>
          <w:rFonts w:ascii="Times New Roman" w:hAnsi="Times New Roman" w:cs="Times New Roman"/>
        </w:rPr>
        <w:t xml:space="preserve"> del impuesto de inmuebles </w:t>
      </w:r>
      <w:r w:rsidR="00F37E93">
        <w:rPr>
          <w:rFonts w:ascii="Times New Roman" w:hAnsi="Times New Roman" w:cs="Times New Roman"/>
        </w:rPr>
        <w:t>que recauda</w:t>
      </w:r>
      <w:r w:rsidR="00686D88" w:rsidRPr="00686D88">
        <w:rPr>
          <w:rFonts w:ascii="Times New Roman" w:hAnsi="Times New Roman" w:cs="Times New Roman"/>
        </w:rPr>
        <w:t xml:space="preserve"> </w:t>
      </w:r>
      <w:r w:rsidR="00F37E93">
        <w:rPr>
          <w:rFonts w:ascii="Times New Roman" w:hAnsi="Times New Roman" w:cs="Times New Roman"/>
        </w:rPr>
        <w:t>e</w:t>
      </w:r>
      <w:r w:rsidR="00686D88" w:rsidRPr="00686D88">
        <w:rPr>
          <w:rFonts w:ascii="Times New Roman" w:hAnsi="Times New Roman" w:cs="Times New Roman"/>
        </w:rPr>
        <w:t xml:space="preserve">l </w:t>
      </w:r>
      <w:r w:rsidR="0022692B">
        <w:rPr>
          <w:rFonts w:ascii="Times New Roman" w:hAnsi="Times New Roman" w:cs="Times New Roman"/>
        </w:rPr>
        <w:t>MEF</w:t>
      </w:r>
      <w:r w:rsidR="00F37E93">
        <w:rPr>
          <w:rFonts w:ascii="Times New Roman" w:hAnsi="Times New Roman" w:cs="Times New Roman"/>
        </w:rPr>
        <w:t xml:space="preserve"> del Gobierno Central podrá ser</w:t>
      </w:r>
      <w:r w:rsidR="00686D88" w:rsidRPr="00686D88">
        <w:rPr>
          <w:rFonts w:ascii="Times New Roman" w:hAnsi="Times New Roman" w:cs="Times New Roman"/>
        </w:rPr>
        <w:t xml:space="preserve"> transfer</w:t>
      </w:r>
      <w:r w:rsidR="00F37E93">
        <w:rPr>
          <w:rFonts w:ascii="Times New Roman" w:hAnsi="Times New Roman" w:cs="Times New Roman"/>
        </w:rPr>
        <w:t>ido</w:t>
      </w:r>
      <w:r w:rsidR="00686D88" w:rsidRPr="00686D88">
        <w:rPr>
          <w:rFonts w:ascii="Times New Roman" w:hAnsi="Times New Roman" w:cs="Times New Roman"/>
        </w:rPr>
        <w:t xml:space="preserve"> a</w:t>
      </w:r>
      <w:r w:rsidR="00F37E93">
        <w:rPr>
          <w:rFonts w:ascii="Times New Roman" w:hAnsi="Times New Roman" w:cs="Times New Roman"/>
        </w:rPr>
        <w:t xml:space="preserve"> </w:t>
      </w:r>
      <w:r w:rsidR="00686D88" w:rsidRPr="00686D88">
        <w:rPr>
          <w:rFonts w:ascii="Times New Roman" w:hAnsi="Times New Roman" w:cs="Times New Roman"/>
        </w:rPr>
        <w:t>los municipios</w:t>
      </w:r>
      <w:r w:rsidR="00686D88">
        <w:rPr>
          <w:rFonts w:ascii="Times New Roman" w:hAnsi="Times New Roman" w:cs="Times New Roman"/>
        </w:rPr>
        <w:t xml:space="preserve"> correspondientes</w:t>
      </w:r>
      <w:r w:rsidR="00F37E93">
        <w:rPr>
          <w:rFonts w:ascii="Times New Roman" w:hAnsi="Times New Roman" w:cs="Times New Roman"/>
        </w:rPr>
        <w:t xml:space="preserve"> para la realización de actividades relacionadas con</w:t>
      </w:r>
      <w:r w:rsidR="00684BF8">
        <w:rPr>
          <w:rFonts w:ascii="Times New Roman" w:hAnsi="Times New Roman" w:cs="Times New Roman"/>
        </w:rPr>
        <w:t>:</w:t>
      </w:r>
      <w:r w:rsidR="00F37E93">
        <w:rPr>
          <w:rFonts w:ascii="Times New Roman" w:hAnsi="Times New Roman" w:cs="Times New Roman"/>
        </w:rPr>
        <w:t xml:space="preserve"> </w:t>
      </w:r>
      <w:r w:rsidR="00684BF8">
        <w:rPr>
          <w:rFonts w:ascii="Times New Roman" w:hAnsi="Times New Roman" w:cs="Times New Roman"/>
        </w:rPr>
        <w:t>i)</w:t>
      </w:r>
      <w:r w:rsidR="00F37E93">
        <w:rPr>
          <w:rFonts w:ascii="Times New Roman" w:hAnsi="Times New Roman" w:cs="Times New Roman"/>
        </w:rPr>
        <w:t xml:space="preserve"> Educación y Salud (mantenimiento y mejoras de centros educativos y mantenimiento y mejoras de puestos y subcentros de salud)</w:t>
      </w:r>
      <w:r w:rsidR="00684BF8">
        <w:rPr>
          <w:rFonts w:ascii="Times New Roman" w:hAnsi="Times New Roman" w:cs="Times New Roman"/>
        </w:rPr>
        <w:t>;</w:t>
      </w:r>
      <w:r w:rsidR="00F37E93">
        <w:rPr>
          <w:rFonts w:ascii="Times New Roman" w:hAnsi="Times New Roman" w:cs="Times New Roman"/>
        </w:rPr>
        <w:t xml:space="preserve"> </w:t>
      </w:r>
      <w:r w:rsidR="00684BF8">
        <w:rPr>
          <w:rFonts w:ascii="Times New Roman" w:hAnsi="Times New Roman" w:cs="Times New Roman"/>
        </w:rPr>
        <w:t xml:space="preserve">ii) </w:t>
      </w:r>
      <w:r w:rsidR="00F37E93">
        <w:rPr>
          <w:rFonts w:ascii="Times New Roman" w:hAnsi="Times New Roman" w:cs="Times New Roman"/>
        </w:rPr>
        <w:t>Deporte y recreación (</w:t>
      </w:r>
      <w:r w:rsidR="0090518B">
        <w:rPr>
          <w:rFonts w:ascii="Times New Roman" w:hAnsi="Times New Roman" w:cs="Times New Roman"/>
        </w:rPr>
        <w:t>c</w:t>
      </w:r>
      <w:r w:rsidR="00F37E93">
        <w:rPr>
          <w:rFonts w:ascii="Times New Roman" w:hAnsi="Times New Roman" w:cs="Times New Roman"/>
        </w:rPr>
        <w:t>onstrucción y mantenimiento de infraestructuras deportivas, recreativas y parques, transporte y movilidad, mantenimiento de caminos rurales y mejoras en la señalización vial)</w:t>
      </w:r>
      <w:r w:rsidR="00684BF8">
        <w:rPr>
          <w:rFonts w:ascii="Times New Roman" w:hAnsi="Times New Roman" w:cs="Times New Roman"/>
        </w:rPr>
        <w:t>; iii)</w:t>
      </w:r>
      <w:r w:rsidR="00F37E93">
        <w:rPr>
          <w:rFonts w:ascii="Times New Roman" w:hAnsi="Times New Roman" w:cs="Times New Roman"/>
        </w:rPr>
        <w:t xml:space="preserve"> Servicio Público Domiciliario (acueductos rurales, alumbrado público rural, recolección de basura, reciclaje, canalización, dragados de servidumbres pluviales)</w:t>
      </w:r>
      <w:r w:rsidR="00684BF8">
        <w:rPr>
          <w:rFonts w:ascii="Times New Roman" w:hAnsi="Times New Roman" w:cs="Times New Roman"/>
        </w:rPr>
        <w:t>; iv)</w:t>
      </w:r>
      <w:r w:rsidR="00F37E93">
        <w:rPr>
          <w:rFonts w:ascii="Times New Roman" w:hAnsi="Times New Roman" w:cs="Times New Roman"/>
        </w:rPr>
        <w:t xml:space="preserve"> Infraestructuras para la seguridad ciudadana (acondicionamiento</w:t>
      </w:r>
      <w:r w:rsidR="00306FDE">
        <w:rPr>
          <w:rFonts w:ascii="Times New Roman" w:hAnsi="Times New Roman" w:cs="Times New Roman"/>
        </w:rPr>
        <w:t xml:space="preserve"> de las infraestructuras para las persona con discapacidad y las personas de la tercera edad)</w:t>
      </w:r>
      <w:r w:rsidR="00684BF8">
        <w:rPr>
          <w:rFonts w:ascii="Times New Roman" w:hAnsi="Times New Roman" w:cs="Times New Roman"/>
        </w:rPr>
        <w:t>; v)</w:t>
      </w:r>
      <w:r w:rsidR="00306FDE">
        <w:rPr>
          <w:rFonts w:ascii="Times New Roman" w:hAnsi="Times New Roman" w:cs="Times New Roman"/>
        </w:rPr>
        <w:t xml:space="preserve"> Servicios sociales (</w:t>
      </w:r>
      <w:r w:rsidR="0090518B">
        <w:rPr>
          <w:rFonts w:ascii="Times New Roman" w:hAnsi="Times New Roman" w:cs="Times New Roman"/>
        </w:rPr>
        <w:t>construcción y mantenimiento de los centro de orientación infantil y familiar, infraestructura y apoyo para la mitigación de riesgos y desastres naturales, construcción de centros de servicios sociales, construcción y/o adecuación de infraestructura para la efectiva participación de grupos de la sociedad civil en las instalaciones de las juntas comunales)</w:t>
      </w:r>
      <w:r w:rsidR="00684BF8">
        <w:rPr>
          <w:rFonts w:ascii="Times New Roman" w:hAnsi="Times New Roman" w:cs="Times New Roman"/>
        </w:rPr>
        <w:t>; vi)</w:t>
      </w:r>
      <w:r w:rsidR="0090518B">
        <w:rPr>
          <w:rFonts w:ascii="Times New Roman" w:hAnsi="Times New Roman" w:cs="Times New Roman"/>
        </w:rPr>
        <w:t xml:space="preserve"> Turismo y Cultura (infraestructura para el turismo local y paisajismo, construcción y mantenimiento de infraestructuras culturales, artísticas y religiosas)</w:t>
      </w:r>
      <w:r w:rsidR="00684BF8">
        <w:rPr>
          <w:rFonts w:ascii="Times New Roman" w:hAnsi="Times New Roman" w:cs="Times New Roman"/>
        </w:rPr>
        <w:t xml:space="preserve">; </w:t>
      </w:r>
      <w:r w:rsidR="0090518B">
        <w:rPr>
          <w:rFonts w:ascii="Times New Roman" w:hAnsi="Times New Roman" w:cs="Times New Roman"/>
        </w:rPr>
        <w:t>y</w:t>
      </w:r>
      <w:r w:rsidR="00684BF8">
        <w:rPr>
          <w:rFonts w:ascii="Times New Roman" w:hAnsi="Times New Roman" w:cs="Times New Roman"/>
        </w:rPr>
        <w:t xml:space="preserve"> vii)</w:t>
      </w:r>
      <w:r w:rsidR="0090518B">
        <w:rPr>
          <w:rFonts w:ascii="Times New Roman" w:hAnsi="Times New Roman" w:cs="Times New Roman"/>
        </w:rPr>
        <w:t xml:space="preserve"> Desarrollo económico social (</w:t>
      </w:r>
      <w:r w:rsidR="00C55FC9">
        <w:rPr>
          <w:rFonts w:ascii="Times New Roman" w:hAnsi="Times New Roman" w:cs="Times New Roman"/>
        </w:rPr>
        <w:t>equipamiento urbano, mejoras a la infraestructura pública, embarcaderos fluviales o lacustres, construcción y mejoras de mercados municipales, infraestructuras para microempresas municipales, y apoyo al sector agropecuario).</w:t>
      </w:r>
    </w:p>
    <w:p w14:paraId="6EA3E390" w14:textId="77777777" w:rsidR="00686D88" w:rsidRDefault="00686D88" w:rsidP="00302305">
      <w:pPr>
        <w:pStyle w:val="ListParagraph"/>
        <w:ind w:left="0"/>
        <w:jc w:val="both"/>
        <w:rPr>
          <w:rFonts w:ascii="Times New Roman" w:hAnsi="Times New Roman" w:cs="Times New Roman"/>
        </w:rPr>
      </w:pPr>
    </w:p>
    <w:p w14:paraId="2BD8D36E" w14:textId="3836CEF7" w:rsidR="00686D88" w:rsidRDefault="009F325F" w:rsidP="00302305">
      <w:pPr>
        <w:pStyle w:val="ListParagraph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En relación con</w:t>
      </w:r>
      <w:r w:rsidR="00686D88">
        <w:rPr>
          <w:rFonts w:ascii="Times New Roman" w:hAnsi="Times New Roman" w:cs="Times New Roman"/>
        </w:rPr>
        <w:t xml:space="preserve"> los ingresos del MUPA, como se observa en el siguiente gráfico, en el periodo analizado se ha tenido </w:t>
      </w:r>
      <w:r w:rsidR="00676392">
        <w:rPr>
          <w:rFonts w:ascii="Times New Roman" w:hAnsi="Times New Roman" w:cs="Times New Roman"/>
        </w:rPr>
        <w:t xml:space="preserve">un porcentaje medio de ejecución presupuestaria de ingresos del 86%. Los ingresos del MUPA se dividen en Ingresos Corrientes (Ingresos tributarios, Ingresos No Tributarios </w:t>
      </w:r>
      <w:r w:rsidR="00426B92">
        <w:rPr>
          <w:rFonts w:ascii="Times New Roman" w:hAnsi="Times New Roman" w:cs="Times New Roman"/>
        </w:rPr>
        <w:t>y Otros</w:t>
      </w:r>
      <w:r w:rsidR="00676392">
        <w:rPr>
          <w:rFonts w:ascii="Times New Roman" w:hAnsi="Times New Roman" w:cs="Times New Roman"/>
        </w:rPr>
        <w:t xml:space="preserve"> Ingresos Corrientes)</w:t>
      </w:r>
      <w:r w:rsidR="00907EF3">
        <w:rPr>
          <w:rFonts w:ascii="Times New Roman" w:hAnsi="Times New Roman" w:cs="Times New Roman"/>
        </w:rPr>
        <w:t xml:space="preserve">, Ingresos de Capital e Ingresos de Saldo Corriente procedentes </w:t>
      </w:r>
      <w:r w:rsidR="00426B92">
        <w:rPr>
          <w:rFonts w:ascii="Times New Roman" w:hAnsi="Times New Roman" w:cs="Times New Roman"/>
        </w:rPr>
        <w:t>de los saldos positivos</w:t>
      </w:r>
      <w:r w:rsidR="00907EF3">
        <w:rPr>
          <w:rFonts w:ascii="Times New Roman" w:hAnsi="Times New Roman" w:cs="Times New Roman"/>
        </w:rPr>
        <w:t xml:space="preserve"> de ejercicios anteriores.</w:t>
      </w:r>
      <w:r w:rsidR="00426B92">
        <w:rPr>
          <w:rFonts w:ascii="Times New Roman" w:hAnsi="Times New Roman" w:cs="Times New Roman"/>
        </w:rPr>
        <w:t xml:space="preserve"> En el último año cerrado (2017), </w:t>
      </w:r>
      <w:r w:rsidR="0093743A">
        <w:rPr>
          <w:rFonts w:ascii="Times New Roman" w:hAnsi="Times New Roman" w:cs="Times New Roman"/>
        </w:rPr>
        <w:t>los ingresos corrientes representaron el 76,7%, los ingresos de capital el 6% y los ingresos de saldo corriente el 17.3% restante.</w:t>
      </w:r>
    </w:p>
    <w:p w14:paraId="3423E3CD" w14:textId="5FE704BE" w:rsidR="0093743A" w:rsidRDefault="0093743A" w:rsidP="00302305">
      <w:pPr>
        <w:pStyle w:val="ListParagraph"/>
        <w:ind w:left="0"/>
        <w:jc w:val="both"/>
        <w:rPr>
          <w:rFonts w:ascii="Times New Roman" w:hAnsi="Times New Roman" w:cs="Times New Roman"/>
        </w:rPr>
      </w:pPr>
    </w:p>
    <w:p w14:paraId="3CADD2A0" w14:textId="4652A014" w:rsidR="0093743A" w:rsidRDefault="0093743A" w:rsidP="00302305">
      <w:pPr>
        <w:pStyle w:val="ListParagraph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Dentro de los ingresos corrientes, los ingresos tributarios</w:t>
      </w:r>
      <w:r w:rsidR="0018065B">
        <w:rPr>
          <w:rFonts w:ascii="Times New Roman" w:hAnsi="Times New Roman" w:cs="Times New Roman"/>
        </w:rPr>
        <w:t xml:space="preserve"> que recauda el MUPA</w:t>
      </w:r>
      <w:r>
        <w:rPr>
          <w:rFonts w:ascii="Times New Roman" w:hAnsi="Times New Roman" w:cs="Times New Roman"/>
        </w:rPr>
        <w:t xml:space="preserve"> representaron el 41.2%</w:t>
      </w:r>
      <w:r w:rsidR="003D266E">
        <w:rPr>
          <w:rFonts w:ascii="Times New Roman" w:hAnsi="Times New Roman" w:cs="Times New Roman"/>
        </w:rPr>
        <w:t xml:space="preserve">, los ingresos no tributarios el 19.8% y los ingresos procedentes del Gobierno Central por la aplicación del régimen de descentralización el 39% restante. </w:t>
      </w:r>
      <w:r w:rsidR="0018065B">
        <w:rPr>
          <w:rFonts w:ascii="Times New Roman" w:hAnsi="Times New Roman" w:cs="Times New Roman"/>
        </w:rPr>
        <w:t xml:space="preserve"> El desglose de rubros y valores de las principales partidas de ingresos del MUPA</w:t>
      </w:r>
      <w:r w:rsidR="00A8086A">
        <w:rPr>
          <w:rFonts w:ascii="Times New Roman" w:hAnsi="Times New Roman" w:cs="Times New Roman"/>
        </w:rPr>
        <w:t xml:space="preserve"> comentadas</w:t>
      </w:r>
      <w:r w:rsidR="0018065B">
        <w:rPr>
          <w:rFonts w:ascii="Times New Roman" w:hAnsi="Times New Roman" w:cs="Times New Roman"/>
        </w:rPr>
        <w:t xml:space="preserve"> se detalla a continuación:</w:t>
      </w:r>
    </w:p>
    <w:p w14:paraId="634675C5" w14:textId="2120F8C2" w:rsidR="003D266E" w:rsidRDefault="003D266E" w:rsidP="00302305">
      <w:pPr>
        <w:pStyle w:val="ListParagraph"/>
        <w:ind w:left="0"/>
        <w:jc w:val="both"/>
        <w:rPr>
          <w:rFonts w:ascii="Times New Roman" w:hAnsi="Times New Roman" w:cs="Times New Roman"/>
        </w:rPr>
      </w:pPr>
    </w:p>
    <w:p w14:paraId="08F3FD6D" w14:textId="134DF500" w:rsidR="003D266E" w:rsidRDefault="003D266E" w:rsidP="00302305">
      <w:pPr>
        <w:pStyle w:val="ListParagraph"/>
        <w:ind w:left="0"/>
        <w:jc w:val="both"/>
        <w:rPr>
          <w:rFonts w:ascii="Times New Roman" w:hAnsi="Times New Roman" w:cs="Times New Roman"/>
        </w:rPr>
      </w:pPr>
    </w:p>
    <w:p w14:paraId="30BCAF88" w14:textId="5D7B690B" w:rsidR="003D266E" w:rsidRDefault="003D266E" w:rsidP="00302305">
      <w:pPr>
        <w:pStyle w:val="ListParagraph"/>
        <w:ind w:left="0"/>
        <w:jc w:val="both"/>
        <w:rPr>
          <w:rFonts w:ascii="Times New Roman" w:hAnsi="Times New Roman" w:cs="Times New Roman"/>
        </w:rPr>
      </w:pPr>
    </w:p>
    <w:p w14:paraId="6279B7DD" w14:textId="77777777" w:rsidR="00401A9B" w:rsidRPr="00A7085B" w:rsidRDefault="00401A9B" w:rsidP="00302305">
      <w:pPr>
        <w:pStyle w:val="ListParagraph"/>
        <w:ind w:left="0"/>
        <w:jc w:val="both"/>
        <w:rPr>
          <w:rFonts w:ascii="Times New Roman" w:hAnsi="Times New Roman" w:cs="Times New Roman"/>
        </w:rPr>
      </w:pPr>
    </w:p>
    <w:p w14:paraId="38C0FE29" w14:textId="06F076D6" w:rsidR="00AD0D2D" w:rsidRPr="00C33474" w:rsidRDefault="00B51D2D" w:rsidP="00B51D2D">
      <w:pPr>
        <w:jc w:val="center"/>
        <w:rPr>
          <w:rFonts w:ascii="Times New Roman" w:hAnsi="Times New Roman" w:cs="Times New Roman"/>
          <w:b/>
          <w:u w:val="single"/>
        </w:rPr>
      </w:pPr>
      <w:r w:rsidRPr="00A7085B">
        <w:rPr>
          <w:rFonts w:ascii="Times New Roman" w:hAnsi="Times New Roman" w:cs="Times New Roman"/>
          <w:b/>
          <w:u w:val="single"/>
        </w:rPr>
        <w:t xml:space="preserve">Gráfico </w:t>
      </w:r>
      <w:r w:rsidR="007710B0">
        <w:rPr>
          <w:rFonts w:ascii="Times New Roman" w:hAnsi="Times New Roman" w:cs="Times New Roman"/>
          <w:b/>
          <w:u w:val="single"/>
        </w:rPr>
        <w:t>2</w:t>
      </w:r>
      <w:r w:rsidRPr="00A7085B">
        <w:rPr>
          <w:rFonts w:ascii="Times New Roman" w:hAnsi="Times New Roman" w:cs="Times New Roman"/>
          <w:b/>
          <w:u w:val="single"/>
        </w:rPr>
        <w:t xml:space="preserve">. </w:t>
      </w:r>
      <w:r w:rsidRPr="00C33474">
        <w:rPr>
          <w:rFonts w:ascii="Times New Roman" w:hAnsi="Times New Roman" w:cs="Times New Roman"/>
          <w:b/>
          <w:u w:val="single"/>
        </w:rPr>
        <w:t>Desglose Ingresos MUPA 2015 -2017</w:t>
      </w:r>
      <w:r w:rsidR="00C33474" w:rsidRPr="00C33474">
        <w:rPr>
          <w:rFonts w:ascii="Times New Roman" w:hAnsi="Times New Roman" w:cs="Times New Roman"/>
          <w:b/>
          <w:u w:val="single"/>
        </w:rPr>
        <w:t xml:space="preserve"> </w:t>
      </w:r>
      <w:r w:rsidR="00C33474">
        <w:rPr>
          <w:rFonts w:ascii="Times New Roman" w:hAnsi="Times New Roman" w:cs="Times New Roman"/>
          <w:b/>
          <w:u w:val="single"/>
        </w:rPr>
        <w:t>(</w:t>
      </w:r>
      <w:r w:rsidR="00C33474" w:rsidRPr="00C33474">
        <w:rPr>
          <w:rFonts w:ascii="Times New Roman" w:hAnsi="Times New Roman" w:cs="Times New Roman"/>
          <w:b/>
          <w:u w:val="single"/>
        </w:rPr>
        <w:t>importes en</w:t>
      </w:r>
      <w:r w:rsidR="00C33474">
        <w:rPr>
          <w:rFonts w:ascii="Times New Roman" w:hAnsi="Times New Roman" w:cs="Times New Roman"/>
          <w:b/>
          <w:u w:val="single"/>
        </w:rPr>
        <w:t xml:space="preserve"> US$)</w:t>
      </w:r>
    </w:p>
    <w:p w14:paraId="1CDF6EF7" w14:textId="7355D191" w:rsidR="00B9582F" w:rsidRDefault="00B51D2D" w:rsidP="00233BDA">
      <w:pPr>
        <w:jc w:val="both"/>
        <w:rPr>
          <w:rFonts w:ascii="Times New Roman" w:hAnsi="Times New Roman" w:cs="Times New Roman"/>
        </w:rPr>
      </w:pPr>
      <w:r w:rsidRPr="00B51D2D">
        <w:rPr>
          <w:noProof/>
        </w:rPr>
        <w:drawing>
          <wp:inline distT="0" distB="0" distL="0" distR="0" wp14:anchorId="4DDA46F2" wp14:editId="3A94A39F">
            <wp:extent cx="5731510" cy="3612947"/>
            <wp:effectExtent l="0" t="0" r="254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6129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E396FE" w14:textId="13579368" w:rsidR="00667BF3" w:rsidRPr="00A1312A" w:rsidRDefault="00A1312A" w:rsidP="00C12CA1">
      <w:pPr>
        <w:rPr>
          <w:rFonts w:ascii="Times New Roman" w:hAnsi="Times New Roman" w:cs="Times New Roman"/>
          <w:sz w:val="16"/>
        </w:rPr>
      </w:pPr>
      <w:r w:rsidRPr="00A1312A">
        <w:rPr>
          <w:rFonts w:ascii="Times New Roman" w:hAnsi="Times New Roman" w:cs="Times New Roman"/>
          <w:sz w:val="16"/>
        </w:rPr>
        <w:t>Fuente: Elaboración propia con información presupuestal recibida del MUPA</w:t>
      </w:r>
    </w:p>
    <w:p w14:paraId="54413A71" w14:textId="766B0B3B" w:rsidR="0018065B" w:rsidRDefault="009F325F" w:rsidP="00B27C9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En relación con</w:t>
      </w:r>
      <w:r w:rsidR="00667BF3">
        <w:rPr>
          <w:rFonts w:ascii="Times New Roman" w:hAnsi="Times New Roman" w:cs="Times New Roman"/>
        </w:rPr>
        <w:t xml:space="preserve"> los gastos del MUPA, como se observa en el siguiente gráfico, en el periodo analizado se ha tenido un porcentaje medio de ejecución presupuestaria de </w:t>
      </w:r>
      <w:r w:rsidR="005B4EBE">
        <w:rPr>
          <w:rFonts w:ascii="Times New Roman" w:hAnsi="Times New Roman" w:cs="Times New Roman"/>
        </w:rPr>
        <w:t xml:space="preserve">gastos </w:t>
      </w:r>
      <w:r w:rsidR="00667BF3">
        <w:rPr>
          <w:rFonts w:ascii="Times New Roman" w:hAnsi="Times New Roman" w:cs="Times New Roman"/>
        </w:rPr>
        <w:t xml:space="preserve">del </w:t>
      </w:r>
      <w:r w:rsidR="005B4EBE">
        <w:rPr>
          <w:rFonts w:ascii="Times New Roman" w:hAnsi="Times New Roman" w:cs="Times New Roman"/>
        </w:rPr>
        <w:t>75</w:t>
      </w:r>
      <w:r w:rsidR="00667BF3">
        <w:rPr>
          <w:rFonts w:ascii="Times New Roman" w:hAnsi="Times New Roman" w:cs="Times New Roman"/>
        </w:rPr>
        <w:t>%.</w:t>
      </w:r>
      <w:r w:rsidR="005B4EBE">
        <w:rPr>
          <w:rFonts w:ascii="Times New Roman" w:hAnsi="Times New Roman" w:cs="Times New Roman"/>
        </w:rPr>
        <w:t xml:space="preserve"> En el desglose de gastos</w:t>
      </w:r>
      <w:r w:rsidR="001141A4">
        <w:rPr>
          <w:rFonts w:ascii="Times New Roman" w:hAnsi="Times New Roman" w:cs="Times New Roman"/>
        </w:rPr>
        <w:t xml:space="preserve"> presupuestados</w:t>
      </w:r>
      <w:r w:rsidR="005B4EBE">
        <w:rPr>
          <w:rFonts w:ascii="Times New Roman" w:hAnsi="Times New Roman" w:cs="Times New Roman"/>
        </w:rPr>
        <w:t xml:space="preserve"> por actividad, se observa que</w:t>
      </w:r>
      <w:r w:rsidR="001141A4">
        <w:rPr>
          <w:rFonts w:ascii="Times New Roman" w:hAnsi="Times New Roman" w:cs="Times New Roman"/>
        </w:rPr>
        <w:t>,</w:t>
      </w:r>
      <w:r w:rsidR="005B4EBE">
        <w:rPr>
          <w:rFonts w:ascii="Times New Roman" w:hAnsi="Times New Roman" w:cs="Times New Roman"/>
        </w:rPr>
        <w:t xml:space="preserve"> en el último ejercicio cerrado (2017) , </w:t>
      </w:r>
      <w:r w:rsidR="001141A4">
        <w:rPr>
          <w:rFonts w:ascii="Times New Roman" w:hAnsi="Times New Roman" w:cs="Times New Roman"/>
        </w:rPr>
        <w:t xml:space="preserve">el rubro de </w:t>
      </w:r>
      <w:r w:rsidR="001141A4" w:rsidRPr="00AF6620">
        <w:rPr>
          <w:rFonts w:ascii="Times New Roman" w:hAnsi="Times New Roman" w:cs="Times New Roman"/>
          <w:i/>
        </w:rPr>
        <w:t>Construcción por contrato</w:t>
      </w:r>
      <w:r w:rsidR="003C09C7">
        <w:rPr>
          <w:rFonts w:ascii="Times New Roman" w:hAnsi="Times New Roman" w:cs="Times New Roman"/>
        </w:rPr>
        <w:t xml:space="preserve"> de obras</w:t>
      </w:r>
      <w:r w:rsidR="00827290">
        <w:rPr>
          <w:rFonts w:ascii="Times New Roman" w:hAnsi="Times New Roman" w:cs="Times New Roman"/>
        </w:rPr>
        <w:t xml:space="preserve"> de inversión (avenidas, calles y aceras, carreteras y caminos, edificios de administración, edificio para educación, edificios industriales y comerciales, otras edificaciones, locales de cultura y recreación, locales de deportes, parques, plazas y jardines, otras obras urbanísticas, proyectos comunitarios, proyectos locales, instalaciones) </w:t>
      </w:r>
      <w:r w:rsidR="001141A4">
        <w:rPr>
          <w:rFonts w:ascii="Times New Roman" w:hAnsi="Times New Roman" w:cs="Times New Roman"/>
        </w:rPr>
        <w:t xml:space="preserve"> represento el 38.6% de los gastos, los </w:t>
      </w:r>
      <w:r w:rsidR="001141A4" w:rsidRPr="00AF6620">
        <w:rPr>
          <w:rFonts w:ascii="Times New Roman" w:hAnsi="Times New Roman" w:cs="Times New Roman"/>
          <w:i/>
        </w:rPr>
        <w:t>servicios</w:t>
      </w:r>
      <w:r w:rsidR="003C09C7" w:rsidRPr="00AF6620">
        <w:rPr>
          <w:rFonts w:ascii="Times New Roman" w:hAnsi="Times New Roman" w:cs="Times New Roman"/>
          <w:i/>
        </w:rPr>
        <w:t xml:space="preserve"> no personales</w:t>
      </w:r>
      <w:r w:rsidR="008B74B8">
        <w:rPr>
          <w:rFonts w:ascii="Times New Roman" w:hAnsi="Times New Roman" w:cs="Times New Roman"/>
        </w:rPr>
        <w:t xml:space="preserve"> (</w:t>
      </w:r>
      <w:r w:rsidR="008B74B8" w:rsidRPr="008B74B8">
        <w:rPr>
          <w:rFonts w:ascii="Times New Roman" w:hAnsi="Times New Roman" w:cs="Times New Roman"/>
        </w:rPr>
        <w:t>abarca los gastos por conceptos  de servicios de carácter no personal y por el uso de bienes muebles e inmuebles</w:t>
      </w:r>
      <w:r w:rsidR="008B74B8">
        <w:rPr>
          <w:rFonts w:ascii="Times New Roman" w:hAnsi="Times New Roman" w:cs="Times New Roman"/>
        </w:rPr>
        <w:t>;</w:t>
      </w:r>
      <w:r w:rsidR="008B74B8" w:rsidRPr="008B74B8">
        <w:rPr>
          <w:rFonts w:ascii="Times New Roman" w:hAnsi="Times New Roman" w:cs="Times New Roman"/>
        </w:rPr>
        <w:t xml:space="preserve"> </w:t>
      </w:r>
      <w:r w:rsidR="008B74B8">
        <w:rPr>
          <w:rFonts w:ascii="Times New Roman" w:hAnsi="Times New Roman" w:cs="Times New Roman"/>
        </w:rPr>
        <w:t>s</w:t>
      </w:r>
      <w:r w:rsidR="008B74B8" w:rsidRPr="008B74B8">
        <w:rPr>
          <w:rFonts w:ascii="Times New Roman" w:hAnsi="Times New Roman" w:cs="Times New Roman"/>
        </w:rPr>
        <w:t>u adquisición o contratación puede ser</w:t>
      </w:r>
      <w:r w:rsidR="008B74B8" w:rsidRPr="008B74B8">
        <w:rPr>
          <w:rFonts w:ascii="MS Gothic" w:eastAsia="MS Gothic" w:hAnsi="MS Gothic" w:cs="MS Gothic" w:hint="eastAsia"/>
        </w:rPr>
        <w:t xml:space="preserve">　</w:t>
      </w:r>
      <w:r w:rsidR="008B74B8" w:rsidRPr="008B74B8">
        <w:rPr>
          <w:rFonts w:ascii="Times New Roman" w:hAnsi="Times New Roman" w:cs="Times New Roman"/>
        </w:rPr>
        <w:t>hecha con personas naturales e instituciones públicas, privadas, como por ejemplo: servicios públicos; publicidad; impresión y encuadernación; fletes, alquiler de edificios; de terrenos y equipos; servicios contratados para mantenimiento y reparación</w:t>
      </w:r>
      <w:r w:rsidR="003B7D1F">
        <w:rPr>
          <w:rFonts w:ascii="Times New Roman" w:hAnsi="Times New Roman" w:cs="Times New Roman"/>
        </w:rPr>
        <w:t>)</w:t>
      </w:r>
      <w:r w:rsidR="003C09C7">
        <w:rPr>
          <w:rFonts w:ascii="Times New Roman" w:hAnsi="Times New Roman" w:cs="Times New Roman"/>
        </w:rPr>
        <w:t xml:space="preserve"> el 17.6%, los </w:t>
      </w:r>
      <w:r w:rsidR="003C09C7" w:rsidRPr="00AF6620">
        <w:rPr>
          <w:rFonts w:ascii="Times New Roman" w:hAnsi="Times New Roman" w:cs="Times New Roman"/>
          <w:i/>
        </w:rPr>
        <w:t>servicios personales</w:t>
      </w:r>
      <w:r w:rsidR="002B2506">
        <w:rPr>
          <w:rFonts w:ascii="Times New Roman" w:hAnsi="Times New Roman" w:cs="Times New Roman"/>
        </w:rPr>
        <w:t xml:space="preserve"> (</w:t>
      </w:r>
      <w:r w:rsidR="002B2506" w:rsidRPr="002B2506">
        <w:rPr>
          <w:rFonts w:ascii="Times New Roman" w:hAnsi="Times New Roman" w:cs="Times New Roman"/>
        </w:rPr>
        <w:t>abarca todos los gastos por concepto de servicios prestados por el personal fijo, transitorio y personal contingente del sector público</w:t>
      </w:r>
      <w:r w:rsidR="002B2506">
        <w:rPr>
          <w:rFonts w:ascii="Times New Roman" w:hAnsi="Times New Roman" w:cs="Times New Roman"/>
        </w:rPr>
        <w:t>; i</w:t>
      </w:r>
      <w:r w:rsidR="002B2506" w:rsidRPr="002B2506">
        <w:rPr>
          <w:rFonts w:ascii="Times New Roman" w:hAnsi="Times New Roman" w:cs="Times New Roman"/>
        </w:rPr>
        <w:t xml:space="preserve">ncluye sueldos ordinarios, salarios, sobresueldos, contribuciones patronales del Estado al </w:t>
      </w:r>
      <w:r w:rsidR="00A1193D">
        <w:rPr>
          <w:rFonts w:ascii="Times New Roman" w:hAnsi="Times New Roman" w:cs="Times New Roman"/>
        </w:rPr>
        <w:t>s</w:t>
      </w:r>
      <w:r w:rsidR="002B2506" w:rsidRPr="002B2506">
        <w:rPr>
          <w:rFonts w:ascii="Times New Roman" w:hAnsi="Times New Roman" w:cs="Times New Roman"/>
        </w:rPr>
        <w:t>istema de Seguridad Social)</w:t>
      </w:r>
      <w:r w:rsidR="003C09C7">
        <w:rPr>
          <w:rFonts w:ascii="Times New Roman" w:hAnsi="Times New Roman" w:cs="Times New Roman"/>
        </w:rPr>
        <w:t xml:space="preserve"> el 16%, las </w:t>
      </w:r>
      <w:r w:rsidR="003C09C7" w:rsidRPr="00AF6620">
        <w:rPr>
          <w:rFonts w:ascii="Times New Roman" w:hAnsi="Times New Roman" w:cs="Times New Roman"/>
          <w:i/>
        </w:rPr>
        <w:t>transferencias corrientes</w:t>
      </w:r>
      <w:r w:rsidR="00D51E6D">
        <w:rPr>
          <w:rFonts w:ascii="Times New Roman" w:hAnsi="Times New Roman" w:cs="Times New Roman"/>
          <w:i/>
        </w:rPr>
        <w:t xml:space="preserve"> (</w:t>
      </w:r>
      <w:r w:rsidR="00D51E6D" w:rsidRPr="00D51E6D">
        <w:rPr>
          <w:rFonts w:ascii="Times New Roman" w:hAnsi="Times New Roman" w:cs="Times New Roman"/>
        </w:rPr>
        <w:t>incluye los gastos corrientes a favor de personas y de empresas públicas y privadas, que no implican una contraprestación de servicios o adquisición de bienes</w:t>
      </w:r>
      <w:r w:rsidR="00D51E6D">
        <w:rPr>
          <w:rFonts w:ascii="Times New Roman" w:hAnsi="Times New Roman" w:cs="Times New Roman"/>
        </w:rPr>
        <w:t>)</w:t>
      </w:r>
      <w:r w:rsidR="003C09C7">
        <w:rPr>
          <w:rFonts w:ascii="Times New Roman" w:hAnsi="Times New Roman" w:cs="Times New Roman"/>
        </w:rPr>
        <w:t xml:space="preserve"> el 8.8%, la </w:t>
      </w:r>
      <w:r w:rsidR="003C09C7" w:rsidRPr="00AF6620">
        <w:rPr>
          <w:rFonts w:ascii="Times New Roman" w:hAnsi="Times New Roman" w:cs="Times New Roman"/>
          <w:i/>
        </w:rPr>
        <w:t>inversión financiera</w:t>
      </w:r>
      <w:r w:rsidR="004C2C87">
        <w:rPr>
          <w:rFonts w:ascii="Times New Roman" w:hAnsi="Times New Roman" w:cs="Times New Roman"/>
          <w:i/>
        </w:rPr>
        <w:t xml:space="preserve"> </w:t>
      </w:r>
      <w:r w:rsidR="004C2C87" w:rsidRPr="004C2C87">
        <w:rPr>
          <w:rFonts w:ascii="Times New Roman" w:hAnsi="Times New Roman" w:cs="Times New Roman"/>
        </w:rPr>
        <w:t>(adquisiciones de valores)</w:t>
      </w:r>
      <w:r w:rsidR="003C09C7" w:rsidRPr="004C2C87">
        <w:rPr>
          <w:rFonts w:ascii="Times New Roman" w:hAnsi="Times New Roman" w:cs="Times New Roman"/>
        </w:rPr>
        <w:t xml:space="preserve"> </w:t>
      </w:r>
      <w:r w:rsidR="003C09C7">
        <w:rPr>
          <w:rFonts w:ascii="Times New Roman" w:hAnsi="Times New Roman" w:cs="Times New Roman"/>
        </w:rPr>
        <w:t xml:space="preserve">el 7.7%, las </w:t>
      </w:r>
      <w:r w:rsidR="003C09C7" w:rsidRPr="00AF6620">
        <w:rPr>
          <w:rFonts w:ascii="Times New Roman" w:hAnsi="Times New Roman" w:cs="Times New Roman"/>
          <w:i/>
        </w:rPr>
        <w:t>transferencias de capital</w:t>
      </w:r>
      <w:r w:rsidR="00827290">
        <w:rPr>
          <w:rFonts w:ascii="Times New Roman" w:hAnsi="Times New Roman" w:cs="Times New Roman"/>
          <w:i/>
        </w:rPr>
        <w:t xml:space="preserve"> </w:t>
      </w:r>
      <w:r w:rsidR="00827290" w:rsidRPr="00DE5F81">
        <w:rPr>
          <w:rFonts w:ascii="Times New Roman" w:hAnsi="Times New Roman" w:cs="Times New Roman"/>
        </w:rPr>
        <w:t>(</w:t>
      </w:r>
      <w:r w:rsidR="00DE5F81" w:rsidRPr="00DE5F81">
        <w:rPr>
          <w:rFonts w:ascii="Times New Roman" w:hAnsi="Times New Roman" w:cs="Times New Roman"/>
        </w:rPr>
        <w:t>a municipalidades y juntas comunales</w:t>
      </w:r>
      <w:r w:rsidR="00DE5F81">
        <w:rPr>
          <w:rFonts w:ascii="Times New Roman" w:hAnsi="Times New Roman" w:cs="Times New Roman"/>
          <w:i/>
        </w:rPr>
        <w:t>)</w:t>
      </w:r>
      <w:r w:rsidR="003C09C7">
        <w:rPr>
          <w:rFonts w:ascii="Times New Roman" w:hAnsi="Times New Roman" w:cs="Times New Roman"/>
        </w:rPr>
        <w:t xml:space="preserve"> el 6.5%, la partida de </w:t>
      </w:r>
      <w:r w:rsidR="003C09C7" w:rsidRPr="00AF6620">
        <w:rPr>
          <w:rFonts w:ascii="Times New Roman" w:hAnsi="Times New Roman" w:cs="Times New Roman"/>
          <w:i/>
        </w:rPr>
        <w:t>materiales y suministros</w:t>
      </w:r>
      <w:r w:rsidR="00CF2A85">
        <w:rPr>
          <w:rFonts w:ascii="Times New Roman" w:hAnsi="Times New Roman" w:cs="Times New Roman"/>
        </w:rPr>
        <w:t xml:space="preserve"> (</w:t>
      </w:r>
      <w:r w:rsidR="00CF2A85" w:rsidRPr="00CF2A85">
        <w:rPr>
          <w:rFonts w:ascii="Times New Roman" w:hAnsi="Times New Roman" w:cs="Times New Roman"/>
        </w:rPr>
        <w:t>abarca la compra de artículos, materiales y bienes en general que consumen para llevar a cabo las metas y objetivos de los programas presupuestarios</w:t>
      </w:r>
      <w:r w:rsidR="00CF2A85">
        <w:rPr>
          <w:rFonts w:ascii="Times New Roman" w:hAnsi="Times New Roman" w:cs="Times New Roman"/>
        </w:rPr>
        <w:t>)</w:t>
      </w:r>
      <w:r w:rsidR="003C09C7">
        <w:rPr>
          <w:rFonts w:ascii="Times New Roman" w:hAnsi="Times New Roman" w:cs="Times New Roman"/>
        </w:rPr>
        <w:t xml:space="preserve"> el 2,1%, el rubro de </w:t>
      </w:r>
      <w:r w:rsidR="003C09C7" w:rsidRPr="00AF6620">
        <w:rPr>
          <w:rFonts w:ascii="Times New Roman" w:hAnsi="Times New Roman" w:cs="Times New Roman"/>
          <w:i/>
        </w:rPr>
        <w:t>maquinaria y equipo</w:t>
      </w:r>
      <w:r w:rsidR="003C09C7">
        <w:rPr>
          <w:rFonts w:ascii="Times New Roman" w:hAnsi="Times New Roman" w:cs="Times New Roman"/>
        </w:rPr>
        <w:t xml:space="preserve"> el 1.4%, los </w:t>
      </w:r>
      <w:r w:rsidR="003C09C7" w:rsidRPr="00AF6620">
        <w:rPr>
          <w:rFonts w:ascii="Times New Roman" w:hAnsi="Times New Roman" w:cs="Times New Roman"/>
          <w:i/>
        </w:rPr>
        <w:t>servicios de la deuda pública</w:t>
      </w:r>
      <w:r w:rsidR="00435131">
        <w:rPr>
          <w:rFonts w:ascii="Times New Roman" w:hAnsi="Times New Roman" w:cs="Times New Roman"/>
        </w:rPr>
        <w:t xml:space="preserve"> (amortización e intereses)</w:t>
      </w:r>
      <w:r w:rsidR="003C09C7">
        <w:rPr>
          <w:rFonts w:ascii="Times New Roman" w:hAnsi="Times New Roman" w:cs="Times New Roman"/>
        </w:rPr>
        <w:t xml:space="preserve"> el 0.8%, y las </w:t>
      </w:r>
      <w:r w:rsidR="003C09C7" w:rsidRPr="00AF6620">
        <w:rPr>
          <w:rFonts w:ascii="Times New Roman" w:hAnsi="Times New Roman" w:cs="Times New Roman"/>
          <w:i/>
        </w:rPr>
        <w:t>asignaciones globales</w:t>
      </w:r>
      <w:r w:rsidR="00435131">
        <w:rPr>
          <w:rFonts w:ascii="Times New Roman" w:hAnsi="Times New Roman" w:cs="Times New Roman"/>
        </w:rPr>
        <w:t xml:space="preserve"> (emergencias nacionales, imprevistos y otros)</w:t>
      </w:r>
      <w:r w:rsidR="003C09C7">
        <w:rPr>
          <w:rFonts w:ascii="Times New Roman" w:hAnsi="Times New Roman" w:cs="Times New Roman"/>
        </w:rPr>
        <w:t xml:space="preserve"> el 0.5% restante.</w:t>
      </w:r>
      <w:r w:rsidR="00B27C96">
        <w:rPr>
          <w:rFonts w:ascii="Times New Roman" w:hAnsi="Times New Roman" w:cs="Times New Roman"/>
        </w:rPr>
        <w:t xml:space="preserve"> </w:t>
      </w:r>
      <w:r w:rsidR="0018065B">
        <w:rPr>
          <w:rFonts w:ascii="Times New Roman" w:hAnsi="Times New Roman" w:cs="Times New Roman"/>
        </w:rPr>
        <w:t xml:space="preserve">El </w:t>
      </w:r>
      <w:r w:rsidR="0018065B">
        <w:rPr>
          <w:rFonts w:ascii="Times New Roman" w:hAnsi="Times New Roman" w:cs="Times New Roman"/>
        </w:rPr>
        <w:lastRenderedPageBreak/>
        <w:t>desglose de rubros y valores de las principales partidas de gastos del MUPA</w:t>
      </w:r>
      <w:r w:rsidR="00667BF3">
        <w:rPr>
          <w:rFonts w:ascii="Times New Roman" w:hAnsi="Times New Roman" w:cs="Times New Roman"/>
        </w:rPr>
        <w:t xml:space="preserve"> por actividad</w:t>
      </w:r>
      <w:r w:rsidR="0018065B">
        <w:rPr>
          <w:rFonts w:ascii="Times New Roman" w:hAnsi="Times New Roman" w:cs="Times New Roman"/>
        </w:rPr>
        <w:t xml:space="preserve"> se detalla a continuación:</w:t>
      </w:r>
    </w:p>
    <w:p w14:paraId="0BA008EF" w14:textId="520B998D" w:rsidR="00B51D2D" w:rsidRPr="00B51D2D" w:rsidRDefault="00B51D2D" w:rsidP="00B51D2D">
      <w:pPr>
        <w:jc w:val="center"/>
        <w:rPr>
          <w:rFonts w:ascii="Times New Roman" w:hAnsi="Times New Roman" w:cs="Times New Roman"/>
          <w:b/>
          <w:u w:val="single"/>
        </w:rPr>
      </w:pPr>
      <w:r w:rsidRPr="00B51D2D">
        <w:rPr>
          <w:rFonts w:ascii="Times New Roman" w:hAnsi="Times New Roman" w:cs="Times New Roman"/>
          <w:b/>
          <w:u w:val="single"/>
        </w:rPr>
        <w:t>Gr</w:t>
      </w:r>
      <w:r>
        <w:rPr>
          <w:rFonts w:ascii="Times New Roman" w:hAnsi="Times New Roman" w:cs="Times New Roman"/>
          <w:b/>
          <w:u w:val="single"/>
        </w:rPr>
        <w:t>á</w:t>
      </w:r>
      <w:r w:rsidRPr="00B51D2D">
        <w:rPr>
          <w:rFonts w:ascii="Times New Roman" w:hAnsi="Times New Roman" w:cs="Times New Roman"/>
          <w:b/>
          <w:u w:val="single"/>
        </w:rPr>
        <w:t xml:space="preserve">fico </w:t>
      </w:r>
      <w:r w:rsidR="007710B0">
        <w:rPr>
          <w:rFonts w:ascii="Times New Roman" w:hAnsi="Times New Roman" w:cs="Times New Roman"/>
          <w:b/>
          <w:u w:val="single"/>
        </w:rPr>
        <w:t>3</w:t>
      </w:r>
      <w:r w:rsidRPr="00B51D2D">
        <w:rPr>
          <w:rFonts w:ascii="Times New Roman" w:hAnsi="Times New Roman" w:cs="Times New Roman"/>
          <w:b/>
          <w:u w:val="single"/>
        </w:rPr>
        <w:t xml:space="preserve">. Desglose </w:t>
      </w:r>
      <w:r>
        <w:rPr>
          <w:rFonts w:ascii="Times New Roman" w:hAnsi="Times New Roman" w:cs="Times New Roman"/>
          <w:b/>
          <w:u w:val="single"/>
        </w:rPr>
        <w:t>gastos</w:t>
      </w:r>
      <w:r w:rsidRPr="00B51D2D">
        <w:rPr>
          <w:rFonts w:ascii="Times New Roman" w:hAnsi="Times New Roman" w:cs="Times New Roman"/>
          <w:b/>
          <w:u w:val="single"/>
        </w:rPr>
        <w:t xml:space="preserve"> MUPA 2015 -2017</w:t>
      </w:r>
      <w:r>
        <w:rPr>
          <w:rFonts w:ascii="Times New Roman" w:hAnsi="Times New Roman" w:cs="Times New Roman"/>
          <w:b/>
          <w:u w:val="single"/>
        </w:rPr>
        <w:t xml:space="preserve"> por actividad</w:t>
      </w:r>
      <w:r w:rsidR="00C33474">
        <w:rPr>
          <w:rFonts w:ascii="Times New Roman" w:hAnsi="Times New Roman" w:cs="Times New Roman"/>
          <w:b/>
          <w:u w:val="single"/>
        </w:rPr>
        <w:t xml:space="preserve"> (importes en US$)</w:t>
      </w:r>
    </w:p>
    <w:p w14:paraId="3E559A77" w14:textId="264F07D8" w:rsidR="00B51D2D" w:rsidRDefault="00B51D2D" w:rsidP="00233BDA">
      <w:pPr>
        <w:jc w:val="both"/>
        <w:rPr>
          <w:rFonts w:ascii="Times New Roman" w:hAnsi="Times New Roman" w:cs="Times New Roman"/>
        </w:rPr>
      </w:pPr>
      <w:r w:rsidRPr="00B51D2D">
        <w:rPr>
          <w:noProof/>
        </w:rPr>
        <w:drawing>
          <wp:inline distT="0" distB="0" distL="0" distR="0" wp14:anchorId="0DD21AB6" wp14:editId="5552A7C7">
            <wp:extent cx="5731510" cy="2644468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6444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686CEB" w14:textId="658719C2" w:rsidR="00A1312A" w:rsidRPr="00A1312A" w:rsidRDefault="00A1312A" w:rsidP="00A1312A">
      <w:pPr>
        <w:rPr>
          <w:rFonts w:ascii="Times New Roman" w:hAnsi="Times New Roman" w:cs="Times New Roman"/>
          <w:sz w:val="16"/>
        </w:rPr>
      </w:pPr>
      <w:r w:rsidRPr="00A1312A">
        <w:rPr>
          <w:rFonts w:ascii="Times New Roman" w:hAnsi="Times New Roman" w:cs="Times New Roman"/>
          <w:sz w:val="16"/>
        </w:rPr>
        <w:t>Fuente: Elaboración propia con información presupuestal recibida del MUPA</w:t>
      </w:r>
    </w:p>
    <w:p w14:paraId="6F2062A9" w14:textId="1398BC93" w:rsidR="007F30B7" w:rsidRDefault="007F30B7" w:rsidP="00233BD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En el grafico que se describe a continuación se detallan los presupuestos de gastos Aprobados y Comprometidos del MUPA en el periodo 2015-2017, desglosando las actividades por actividades de funcionamiento y actividades de inversión, así como por división municipal. </w:t>
      </w:r>
      <w:r w:rsidR="00992357">
        <w:rPr>
          <w:rFonts w:ascii="Times New Roman" w:hAnsi="Times New Roman" w:cs="Times New Roman"/>
        </w:rPr>
        <w:t>En el último ejercicio cerrado (2017), el presupuesto de funcionamiento represento el 43,7% del presupuesto aprobado, y el presupuesto de inversión el 56.3% restante.</w:t>
      </w:r>
      <w:r w:rsidR="00E146BA">
        <w:rPr>
          <w:rFonts w:ascii="Times New Roman" w:hAnsi="Times New Roman" w:cs="Times New Roman"/>
        </w:rPr>
        <w:t xml:space="preserve"> Dentro del presupuesto de inversión, las inversiones especiales vinculadas a la aplicación del Régimen de Descentralización de Panamá a partir del año 2016 suponen una parte importe del presupuesto de inversión, representando por ejemplo en 2017 el 75.3% del presupuesto de inversión del MUPA. </w:t>
      </w:r>
      <w:r w:rsidR="00CF375B">
        <w:rPr>
          <w:rFonts w:ascii="Times New Roman" w:hAnsi="Times New Roman" w:cs="Times New Roman"/>
        </w:rPr>
        <w:t>En los siguientes gráficos, también se detalla el desglose de dichas inversiones especiales vinculadas a la aplicación del Régimen de Descentralización de Panamá.</w:t>
      </w:r>
    </w:p>
    <w:p w14:paraId="65B230F4" w14:textId="77777777" w:rsidR="00233E51" w:rsidRDefault="00233E51" w:rsidP="00233BDA">
      <w:pPr>
        <w:jc w:val="both"/>
        <w:rPr>
          <w:rFonts w:ascii="Times New Roman" w:hAnsi="Times New Roman" w:cs="Times New Roman"/>
        </w:rPr>
      </w:pPr>
    </w:p>
    <w:p w14:paraId="0190D943" w14:textId="220E9DB3" w:rsidR="00B51D2D" w:rsidRPr="00B51D2D" w:rsidRDefault="00B51D2D" w:rsidP="00B51D2D">
      <w:pPr>
        <w:jc w:val="center"/>
        <w:rPr>
          <w:rFonts w:ascii="Times New Roman" w:hAnsi="Times New Roman" w:cs="Times New Roman"/>
          <w:b/>
          <w:u w:val="single"/>
        </w:rPr>
      </w:pPr>
      <w:r w:rsidRPr="00B51D2D">
        <w:rPr>
          <w:rFonts w:ascii="Times New Roman" w:hAnsi="Times New Roman" w:cs="Times New Roman"/>
          <w:b/>
          <w:u w:val="single"/>
        </w:rPr>
        <w:t>Gr</w:t>
      </w:r>
      <w:r>
        <w:rPr>
          <w:rFonts w:ascii="Times New Roman" w:hAnsi="Times New Roman" w:cs="Times New Roman"/>
          <w:b/>
          <w:u w:val="single"/>
        </w:rPr>
        <w:t>á</w:t>
      </w:r>
      <w:r w:rsidRPr="00B51D2D">
        <w:rPr>
          <w:rFonts w:ascii="Times New Roman" w:hAnsi="Times New Roman" w:cs="Times New Roman"/>
          <w:b/>
          <w:u w:val="single"/>
        </w:rPr>
        <w:t xml:space="preserve">fico </w:t>
      </w:r>
      <w:r w:rsidR="007710B0">
        <w:rPr>
          <w:rFonts w:ascii="Times New Roman" w:hAnsi="Times New Roman" w:cs="Times New Roman"/>
          <w:b/>
          <w:u w:val="single"/>
        </w:rPr>
        <w:t>4</w:t>
      </w:r>
      <w:r w:rsidRPr="00B51D2D">
        <w:rPr>
          <w:rFonts w:ascii="Times New Roman" w:hAnsi="Times New Roman" w:cs="Times New Roman"/>
          <w:b/>
          <w:u w:val="single"/>
        </w:rPr>
        <w:t xml:space="preserve">. Desglose </w:t>
      </w:r>
      <w:r>
        <w:rPr>
          <w:rFonts w:ascii="Times New Roman" w:hAnsi="Times New Roman" w:cs="Times New Roman"/>
          <w:b/>
          <w:u w:val="single"/>
        </w:rPr>
        <w:t>gastos</w:t>
      </w:r>
      <w:r w:rsidRPr="00B51D2D">
        <w:rPr>
          <w:rFonts w:ascii="Times New Roman" w:hAnsi="Times New Roman" w:cs="Times New Roman"/>
          <w:b/>
          <w:u w:val="single"/>
        </w:rPr>
        <w:t xml:space="preserve"> MUPA 2015 </w:t>
      </w:r>
      <w:r>
        <w:rPr>
          <w:rFonts w:ascii="Times New Roman" w:hAnsi="Times New Roman" w:cs="Times New Roman"/>
          <w:b/>
          <w:u w:val="single"/>
        </w:rPr>
        <w:t>por división municipal</w:t>
      </w:r>
      <w:r w:rsidR="00827290">
        <w:rPr>
          <w:rFonts w:ascii="Times New Roman" w:hAnsi="Times New Roman" w:cs="Times New Roman"/>
          <w:b/>
          <w:u w:val="single"/>
        </w:rPr>
        <w:t xml:space="preserve"> y por Funcionamiento Vs Inversión</w:t>
      </w:r>
      <w:r w:rsidR="00C33474">
        <w:rPr>
          <w:rFonts w:ascii="Times New Roman" w:hAnsi="Times New Roman" w:cs="Times New Roman"/>
          <w:b/>
          <w:u w:val="single"/>
        </w:rPr>
        <w:t xml:space="preserve"> (importes en US$)</w:t>
      </w:r>
    </w:p>
    <w:p w14:paraId="4A10A5C6" w14:textId="4EA14ABE" w:rsidR="00B9582F" w:rsidRDefault="00B51D2D" w:rsidP="00233BDA">
      <w:pPr>
        <w:jc w:val="both"/>
        <w:rPr>
          <w:rFonts w:ascii="Times New Roman" w:hAnsi="Times New Roman" w:cs="Times New Roman"/>
        </w:rPr>
      </w:pPr>
      <w:r w:rsidRPr="00B51D2D">
        <w:rPr>
          <w:noProof/>
        </w:rPr>
        <w:drawing>
          <wp:inline distT="0" distB="0" distL="0" distR="0" wp14:anchorId="101A4A1B" wp14:editId="086BD2C1">
            <wp:extent cx="5731510" cy="1802652"/>
            <wp:effectExtent l="0" t="0" r="2540" b="762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8026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6CB1DE" w14:textId="7C5F820B" w:rsidR="00B9582F" w:rsidRDefault="00B51D2D" w:rsidP="00B51D2D">
      <w:pPr>
        <w:jc w:val="center"/>
        <w:rPr>
          <w:rFonts w:ascii="Times New Roman" w:hAnsi="Times New Roman" w:cs="Times New Roman"/>
        </w:rPr>
      </w:pPr>
      <w:r w:rsidRPr="00B51D2D">
        <w:rPr>
          <w:noProof/>
        </w:rPr>
        <w:lastRenderedPageBreak/>
        <w:drawing>
          <wp:inline distT="0" distB="0" distL="0" distR="0" wp14:anchorId="0F55CC75" wp14:editId="3D0BB884">
            <wp:extent cx="4839354" cy="873442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9147" cy="875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FA12E2" w14:textId="330AE726" w:rsidR="00B9582F" w:rsidRDefault="00B51D2D" w:rsidP="00B51D2D">
      <w:pPr>
        <w:jc w:val="center"/>
        <w:rPr>
          <w:rFonts w:ascii="Times New Roman" w:hAnsi="Times New Roman" w:cs="Times New Roman"/>
        </w:rPr>
      </w:pPr>
      <w:r w:rsidRPr="00B51D2D">
        <w:rPr>
          <w:noProof/>
        </w:rPr>
        <w:lastRenderedPageBreak/>
        <w:drawing>
          <wp:inline distT="0" distB="0" distL="0" distR="0" wp14:anchorId="2EBCEBE1" wp14:editId="0E036BA6">
            <wp:extent cx="4355992" cy="8448514"/>
            <wp:effectExtent l="0" t="0" r="698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1769" cy="8459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D05AE2" w14:textId="77777777" w:rsidR="00E7499A" w:rsidRPr="00A1312A" w:rsidRDefault="00E7499A" w:rsidP="00E7499A">
      <w:pPr>
        <w:ind w:firstLine="708"/>
        <w:rPr>
          <w:rFonts w:ascii="Times New Roman" w:hAnsi="Times New Roman" w:cs="Times New Roman"/>
          <w:sz w:val="16"/>
        </w:rPr>
      </w:pPr>
      <w:r w:rsidRPr="00A1312A">
        <w:rPr>
          <w:rFonts w:ascii="Times New Roman" w:hAnsi="Times New Roman" w:cs="Times New Roman"/>
          <w:sz w:val="16"/>
        </w:rPr>
        <w:t>Fuente: Elaboración propia con información presupuestal recibida del MUPA</w:t>
      </w:r>
    </w:p>
    <w:p w14:paraId="7E720035" w14:textId="767EF80C" w:rsidR="00B9582F" w:rsidRDefault="00B9582F" w:rsidP="00233BDA">
      <w:pPr>
        <w:jc w:val="both"/>
        <w:rPr>
          <w:rFonts w:ascii="Times New Roman" w:hAnsi="Times New Roman" w:cs="Times New Roman"/>
        </w:rPr>
      </w:pPr>
    </w:p>
    <w:p w14:paraId="3A5447EC" w14:textId="34EE2358" w:rsidR="00DB0993" w:rsidRPr="00B51D2D" w:rsidRDefault="00DB0993" w:rsidP="00DB0993">
      <w:pPr>
        <w:jc w:val="center"/>
        <w:rPr>
          <w:rFonts w:ascii="Times New Roman" w:hAnsi="Times New Roman" w:cs="Times New Roman"/>
          <w:b/>
          <w:u w:val="single"/>
        </w:rPr>
      </w:pPr>
      <w:r w:rsidRPr="00B51D2D">
        <w:rPr>
          <w:rFonts w:ascii="Times New Roman" w:hAnsi="Times New Roman" w:cs="Times New Roman"/>
          <w:b/>
          <w:u w:val="single"/>
        </w:rPr>
        <w:t>Gr</w:t>
      </w:r>
      <w:r>
        <w:rPr>
          <w:rFonts w:ascii="Times New Roman" w:hAnsi="Times New Roman" w:cs="Times New Roman"/>
          <w:b/>
          <w:u w:val="single"/>
        </w:rPr>
        <w:t>á</w:t>
      </w:r>
      <w:r w:rsidRPr="00B51D2D">
        <w:rPr>
          <w:rFonts w:ascii="Times New Roman" w:hAnsi="Times New Roman" w:cs="Times New Roman"/>
          <w:b/>
          <w:u w:val="single"/>
        </w:rPr>
        <w:t xml:space="preserve">fico </w:t>
      </w:r>
      <w:r w:rsidR="007710B0">
        <w:rPr>
          <w:rFonts w:ascii="Times New Roman" w:hAnsi="Times New Roman" w:cs="Times New Roman"/>
          <w:b/>
          <w:u w:val="single"/>
        </w:rPr>
        <w:t>5</w:t>
      </w:r>
      <w:r w:rsidRPr="00B51D2D">
        <w:rPr>
          <w:rFonts w:ascii="Times New Roman" w:hAnsi="Times New Roman" w:cs="Times New Roman"/>
          <w:b/>
          <w:u w:val="single"/>
        </w:rPr>
        <w:t xml:space="preserve">. Desglose </w:t>
      </w:r>
      <w:r>
        <w:rPr>
          <w:rFonts w:ascii="Times New Roman" w:hAnsi="Times New Roman" w:cs="Times New Roman"/>
          <w:b/>
          <w:u w:val="single"/>
        </w:rPr>
        <w:t>gastos</w:t>
      </w:r>
      <w:r w:rsidRPr="00B51D2D">
        <w:rPr>
          <w:rFonts w:ascii="Times New Roman" w:hAnsi="Times New Roman" w:cs="Times New Roman"/>
          <w:b/>
          <w:u w:val="single"/>
        </w:rPr>
        <w:t xml:space="preserve"> MUPA 201</w:t>
      </w:r>
      <w:r>
        <w:rPr>
          <w:rFonts w:ascii="Times New Roman" w:hAnsi="Times New Roman" w:cs="Times New Roman"/>
          <w:b/>
          <w:u w:val="single"/>
        </w:rPr>
        <w:t>6</w:t>
      </w:r>
      <w:r w:rsidRPr="00B51D2D">
        <w:rPr>
          <w:rFonts w:ascii="Times New Roman" w:hAnsi="Times New Roman" w:cs="Times New Roman"/>
          <w:b/>
          <w:u w:val="single"/>
        </w:rPr>
        <w:t xml:space="preserve"> </w:t>
      </w:r>
      <w:r>
        <w:rPr>
          <w:rFonts w:ascii="Times New Roman" w:hAnsi="Times New Roman" w:cs="Times New Roman"/>
          <w:b/>
          <w:u w:val="single"/>
        </w:rPr>
        <w:t>por división municipal</w:t>
      </w:r>
      <w:r w:rsidR="00827290">
        <w:rPr>
          <w:rFonts w:ascii="Times New Roman" w:hAnsi="Times New Roman" w:cs="Times New Roman"/>
          <w:b/>
          <w:u w:val="single"/>
        </w:rPr>
        <w:t xml:space="preserve"> y por Funcionamiento Vs Inversión </w:t>
      </w:r>
      <w:r w:rsidR="004C77F0">
        <w:rPr>
          <w:rFonts w:ascii="Times New Roman" w:hAnsi="Times New Roman" w:cs="Times New Roman"/>
          <w:b/>
          <w:u w:val="single"/>
        </w:rPr>
        <w:t>(importes en US$)</w:t>
      </w:r>
    </w:p>
    <w:p w14:paraId="7816DB6B" w14:textId="71236387" w:rsidR="00B9582F" w:rsidRDefault="00DB0993" w:rsidP="00233BDA">
      <w:pPr>
        <w:jc w:val="both"/>
        <w:rPr>
          <w:rFonts w:ascii="Times New Roman" w:hAnsi="Times New Roman" w:cs="Times New Roman"/>
        </w:rPr>
      </w:pPr>
      <w:r w:rsidRPr="00DB0993">
        <w:rPr>
          <w:noProof/>
        </w:rPr>
        <w:drawing>
          <wp:inline distT="0" distB="0" distL="0" distR="0" wp14:anchorId="20181BF0" wp14:editId="5589AEC9">
            <wp:extent cx="5731510" cy="1925313"/>
            <wp:effectExtent l="0" t="0" r="254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9253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FAFC50" w14:textId="1F23F712" w:rsidR="00B9582F" w:rsidRDefault="00B9582F" w:rsidP="00233BDA">
      <w:pPr>
        <w:jc w:val="both"/>
        <w:rPr>
          <w:rFonts w:ascii="Times New Roman" w:hAnsi="Times New Roman" w:cs="Times New Roman"/>
        </w:rPr>
      </w:pPr>
    </w:p>
    <w:p w14:paraId="41CA1FAB" w14:textId="33D95D08" w:rsidR="00AE5C3B" w:rsidRDefault="00AE5C3B" w:rsidP="00233BDA">
      <w:pPr>
        <w:jc w:val="both"/>
        <w:rPr>
          <w:rFonts w:ascii="Times New Roman" w:hAnsi="Times New Roman" w:cs="Times New Roman"/>
        </w:rPr>
      </w:pPr>
    </w:p>
    <w:p w14:paraId="34D2D153" w14:textId="16B539B1" w:rsidR="00AE5C3B" w:rsidRDefault="00AE5C3B" w:rsidP="00233BDA">
      <w:pPr>
        <w:jc w:val="both"/>
        <w:rPr>
          <w:rFonts w:ascii="Times New Roman" w:hAnsi="Times New Roman" w:cs="Times New Roman"/>
        </w:rPr>
      </w:pPr>
    </w:p>
    <w:p w14:paraId="4172FB4A" w14:textId="731F245D" w:rsidR="00AE5C3B" w:rsidRDefault="00AE5C3B" w:rsidP="00233BDA">
      <w:pPr>
        <w:jc w:val="both"/>
        <w:rPr>
          <w:rFonts w:ascii="Times New Roman" w:hAnsi="Times New Roman" w:cs="Times New Roman"/>
        </w:rPr>
      </w:pPr>
    </w:p>
    <w:p w14:paraId="0CC305DD" w14:textId="30C4AF5A" w:rsidR="00AE5C3B" w:rsidRDefault="00AE5C3B" w:rsidP="00233BDA">
      <w:pPr>
        <w:jc w:val="both"/>
        <w:rPr>
          <w:rFonts w:ascii="Times New Roman" w:hAnsi="Times New Roman" w:cs="Times New Roman"/>
        </w:rPr>
      </w:pPr>
    </w:p>
    <w:p w14:paraId="0487CECA" w14:textId="6914CC9C" w:rsidR="00AE5C3B" w:rsidRDefault="00AE5C3B" w:rsidP="00233BDA">
      <w:pPr>
        <w:jc w:val="both"/>
        <w:rPr>
          <w:rFonts w:ascii="Times New Roman" w:hAnsi="Times New Roman" w:cs="Times New Roman"/>
        </w:rPr>
      </w:pPr>
    </w:p>
    <w:p w14:paraId="5DFA6379" w14:textId="69C6FAE3" w:rsidR="00AE5C3B" w:rsidRDefault="00AE5C3B" w:rsidP="00233BDA">
      <w:pPr>
        <w:jc w:val="both"/>
        <w:rPr>
          <w:rFonts w:ascii="Times New Roman" w:hAnsi="Times New Roman" w:cs="Times New Roman"/>
        </w:rPr>
      </w:pPr>
    </w:p>
    <w:p w14:paraId="1193BFD1" w14:textId="6C32773C" w:rsidR="00AE5C3B" w:rsidRDefault="00AE5C3B" w:rsidP="00233BDA">
      <w:pPr>
        <w:jc w:val="both"/>
        <w:rPr>
          <w:rFonts w:ascii="Times New Roman" w:hAnsi="Times New Roman" w:cs="Times New Roman"/>
        </w:rPr>
      </w:pPr>
    </w:p>
    <w:p w14:paraId="67152F7B" w14:textId="32CB7719" w:rsidR="00AE5C3B" w:rsidRDefault="00AE5C3B" w:rsidP="00233BDA">
      <w:pPr>
        <w:jc w:val="both"/>
        <w:rPr>
          <w:rFonts w:ascii="Times New Roman" w:hAnsi="Times New Roman" w:cs="Times New Roman"/>
        </w:rPr>
      </w:pPr>
    </w:p>
    <w:p w14:paraId="42A4C5C3" w14:textId="46438ED9" w:rsidR="00AE5C3B" w:rsidRDefault="00AE5C3B" w:rsidP="00233BDA">
      <w:pPr>
        <w:jc w:val="both"/>
        <w:rPr>
          <w:rFonts w:ascii="Times New Roman" w:hAnsi="Times New Roman" w:cs="Times New Roman"/>
        </w:rPr>
      </w:pPr>
    </w:p>
    <w:p w14:paraId="28CBFFD6" w14:textId="352288E3" w:rsidR="00AE5C3B" w:rsidRDefault="00AE5C3B" w:rsidP="00233BDA">
      <w:pPr>
        <w:jc w:val="both"/>
        <w:rPr>
          <w:rFonts w:ascii="Times New Roman" w:hAnsi="Times New Roman" w:cs="Times New Roman"/>
        </w:rPr>
      </w:pPr>
    </w:p>
    <w:p w14:paraId="08EA45A2" w14:textId="1E7E112D" w:rsidR="00AE5C3B" w:rsidRDefault="00AE5C3B" w:rsidP="00233BDA">
      <w:pPr>
        <w:jc w:val="both"/>
        <w:rPr>
          <w:rFonts w:ascii="Times New Roman" w:hAnsi="Times New Roman" w:cs="Times New Roman"/>
        </w:rPr>
      </w:pPr>
    </w:p>
    <w:p w14:paraId="65659D19" w14:textId="0648B94D" w:rsidR="00AE5C3B" w:rsidRDefault="00AE5C3B" w:rsidP="00233BDA">
      <w:pPr>
        <w:jc w:val="both"/>
        <w:rPr>
          <w:rFonts w:ascii="Times New Roman" w:hAnsi="Times New Roman" w:cs="Times New Roman"/>
        </w:rPr>
      </w:pPr>
    </w:p>
    <w:p w14:paraId="2EF9840F" w14:textId="354BF90F" w:rsidR="00AE5C3B" w:rsidRDefault="00AE5C3B" w:rsidP="00233BDA">
      <w:pPr>
        <w:jc w:val="both"/>
        <w:rPr>
          <w:rFonts w:ascii="Times New Roman" w:hAnsi="Times New Roman" w:cs="Times New Roman"/>
        </w:rPr>
      </w:pPr>
    </w:p>
    <w:p w14:paraId="3E9E8479" w14:textId="624CEF7F" w:rsidR="00AE5C3B" w:rsidRDefault="00AE5C3B" w:rsidP="00233BDA">
      <w:pPr>
        <w:jc w:val="both"/>
        <w:rPr>
          <w:rFonts w:ascii="Times New Roman" w:hAnsi="Times New Roman" w:cs="Times New Roman"/>
        </w:rPr>
      </w:pPr>
    </w:p>
    <w:p w14:paraId="3C8CB74D" w14:textId="7D60C87B" w:rsidR="00AE5C3B" w:rsidRDefault="00AE5C3B" w:rsidP="00233BDA">
      <w:pPr>
        <w:jc w:val="both"/>
        <w:rPr>
          <w:rFonts w:ascii="Times New Roman" w:hAnsi="Times New Roman" w:cs="Times New Roman"/>
        </w:rPr>
      </w:pPr>
    </w:p>
    <w:p w14:paraId="04F809C7" w14:textId="3A9BCAC5" w:rsidR="00AE5C3B" w:rsidRDefault="00AE5C3B" w:rsidP="00233BDA">
      <w:pPr>
        <w:jc w:val="both"/>
        <w:rPr>
          <w:rFonts w:ascii="Times New Roman" w:hAnsi="Times New Roman" w:cs="Times New Roman"/>
        </w:rPr>
      </w:pPr>
    </w:p>
    <w:p w14:paraId="05BEB93E" w14:textId="00D5328E" w:rsidR="00AE5C3B" w:rsidRDefault="00AE5C3B" w:rsidP="00233BDA">
      <w:pPr>
        <w:jc w:val="both"/>
        <w:rPr>
          <w:rFonts w:ascii="Times New Roman" w:hAnsi="Times New Roman" w:cs="Times New Roman"/>
        </w:rPr>
      </w:pPr>
    </w:p>
    <w:p w14:paraId="5F6564E2" w14:textId="77777777" w:rsidR="00AE5C3B" w:rsidRDefault="00AE5C3B" w:rsidP="00233BDA">
      <w:pPr>
        <w:jc w:val="both"/>
        <w:rPr>
          <w:rFonts w:ascii="Times New Roman" w:hAnsi="Times New Roman" w:cs="Times New Roman"/>
        </w:rPr>
      </w:pPr>
    </w:p>
    <w:p w14:paraId="3F489BC1" w14:textId="745CA2A2" w:rsidR="00B9582F" w:rsidRDefault="00AE5C3B" w:rsidP="00AE5C3B">
      <w:pPr>
        <w:jc w:val="center"/>
        <w:rPr>
          <w:rFonts w:ascii="Times New Roman" w:hAnsi="Times New Roman" w:cs="Times New Roman"/>
        </w:rPr>
      </w:pPr>
      <w:r w:rsidRPr="00AE5C3B">
        <w:rPr>
          <w:noProof/>
        </w:rPr>
        <w:lastRenderedPageBreak/>
        <w:drawing>
          <wp:inline distT="0" distB="0" distL="0" distR="0" wp14:anchorId="5421BC09" wp14:editId="1933097C">
            <wp:extent cx="4168776" cy="9567350"/>
            <wp:effectExtent l="0" t="0" r="317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6979" cy="96091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9749E9" w14:textId="739E8EB3" w:rsidR="00AE5C3B" w:rsidRDefault="00745EA7" w:rsidP="00745EA7">
      <w:pPr>
        <w:jc w:val="center"/>
        <w:rPr>
          <w:rFonts w:ascii="Times New Roman" w:hAnsi="Times New Roman" w:cs="Times New Roman"/>
        </w:rPr>
      </w:pPr>
      <w:r w:rsidRPr="00745EA7">
        <w:rPr>
          <w:noProof/>
        </w:rPr>
        <w:lastRenderedPageBreak/>
        <w:drawing>
          <wp:inline distT="0" distB="0" distL="0" distR="0" wp14:anchorId="1E088EAC" wp14:editId="407D443A">
            <wp:extent cx="4544234" cy="9624694"/>
            <wp:effectExtent l="0" t="0" r="889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8883" cy="96345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178714" w14:textId="790B9B27" w:rsidR="00AE5C3B" w:rsidRDefault="00745EA7" w:rsidP="00745EA7">
      <w:pPr>
        <w:jc w:val="center"/>
        <w:rPr>
          <w:rFonts w:ascii="Times New Roman" w:hAnsi="Times New Roman" w:cs="Times New Roman"/>
        </w:rPr>
      </w:pPr>
      <w:r w:rsidRPr="00745EA7">
        <w:rPr>
          <w:noProof/>
        </w:rPr>
        <w:lastRenderedPageBreak/>
        <w:drawing>
          <wp:inline distT="0" distB="0" distL="0" distR="0" wp14:anchorId="7B66AABD" wp14:editId="63AB960C">
            <wp:extent cx="4645784" cy="7762978"/>
            <wp:effectExtent l="0" t="0" r="254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3408" cy="7775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21D130" w14:textId="77777777" w:rsidR="003A6C59" w:rsidRPr="00A1312A" w:rsidRDefault="003A6C59" w:rsidP="003A6C59">
      <w:pPr>
        <w:rPr>
          <w:rFonts w:ascii="Times New Roman" w:hAnsi="Times New Roman" w:cs="Times New Roman"/>
          <w:sz w:val="16"/>
        </w:rPr>
      </w:pPr>
      <w:r w:rsidRPr="00A1312A">
        <w:rPr>
          <w:rFonts w:ascii="Times New Roman" w:hAnsi="Times New Roman" w:cs="Times New Roman"/>
          <w:sz w:val="16"/>
        </w:rPr>
        <w:t>Fuente: Elaboración propia con información presupuestal recibida del MUPA</w:t>
      </w:r>
    </w:p>
    <w:p w14:paraId="1CDEBE1B" w14:textId="48A83F79" w:rsidR="00AE5C3B" w:rsidRDefault="00AE5C3B" w:rsidP="00233BDA">
      <w:pPr>
        <w:jc w:val="both"/>
        <w:rPr>
          <w:rFonts w:ascii="Times New Roman" w:hAnsi="Times New Roman" w:cs="Times New Roman"/>
        </w:rPr>
      </w:pPr>
    </w:p>
    <w:p w14:paraId="7997DB1F" w14:textId="78F67C82" w:rsidR="00745EA7" w:rsidRDefault="00745EA7" w:rsidP="00233BDA">
      <w:pPr>
        <w:jc w:val="both"/>
        <w:rPr>
          <w:rFonts w:ascii="Times New Roman" w:hAnsi="Times New Roman" w:cs="Times New Roman"/>
        </w:rPr>
      </w:pPr>
    </w:p>
    <w:p w14:paraId="325AC409" w14:textId="7A8B983A" w:rsidR="003E6170" w:rsidRPr="00B51D2D" w:rsidRDefault="003E6170" w:rsidP="003E6170">
      <w:pPr>
        <w:jc w:val="center"/>
        <w:rPr>
          <w:rFonts w:ascii="Times New Roman" w:hAnsi="Times New Roman" w:cs="Times New Roman"/>
          <w:b/>
          <w:u w:val="single"/>
        </w:rPr>
      </w:pPr>
      <w:r w:rsidRPr="00B51D2D">
        <w:rPr>
          <w:rFonts w:ascii="Times New Roman" w:hAnsi="Times New Roman" w:cs="Times New Roman"/>
          <w:b/>
          <w:u w:val="single"/>
        </w:rPr>
        <w:lastRenderedPageBreak/>
        <w:t>Gr</w:t>
      </w:r>
      <w:r>
        <w:rPr>
          <w:rFonts w:ascii="Times New Roman" w:hAnsi="Times New Roman" w:cs="Times New Roman"/>
          <w:b/>
          <w:u w:val="single"/>
        </w:rPr>
        <w:t>á</w:t>
      </w:r>
      <w:r w:rsidRPr="00B51D2D">
        <w:rPr>
          <w:rFonts w:ascii="Times New Roman" w:hAnsi="Times New Roman" w:cs="Times New Roman"/>
          <w:b/>
          <w:u w:val="single"/>
        </w:rPr>
        <w:t xml:space="preserve">fico </w:t>
      </w:r>
      <w:r w:rsidR="007710B0">
        <w:rPr>
          <w:rFonts w:ascii="Times New Roman" w:hAnsi="Times New Roman" w:cs="Times New Roman"/>
          <w:b/>
          <w:u w:val="single"/>
        </w:rPr>
        <w:t>6</w:t>
      </w:r>
      <w:r w:rsidRPr="00B51D2D">
        <w:rPr>
          <w:rFonts w:ascii="Times New Roman" w:hAnsi="Times New Roman" w:cs="Times New Roman"/>
          <w:b/>
          <w:u w:val="single"/>
        </w:rPr>
        <w:t xml:space="preserve">. Desglose </w:t>
      </w:r>
      <w:r>
        <w:rPr>
          <w:rFonts w:ascii="Times New Roman" w:hAnsi="Times New Roman" w:cs="Times New Roman"/>
          <w:b/>
          <w:u w:val="single"/>
        </w:rPr>
        <w:t>gastos</w:t>
      </w:r>
      <w:r w:rsidRPr="00B51D2D">
        <w:rPr>
          <w:rFonts w:ascii="Times New Roman" w:hAnsi="Times New Roman" w:cs="Times New Roman"/>
          <w:b/>
          <w:u w:val="single"/>
        </w:rPr>
        <w:t xml:space="preserve"> MUPA 201</w:t>
      </w:r>
      <w:r>
        <w:rPr>
          <w:rFonts w:ascii="Times New Roman" w:hAnsi="Times New Roman" w:cs="Times New Roman"/>
          <w:b/>
          <w:u w:val="single"/>
        </w:rPr>
        <w:t>7</w:t>
      </w:r>
      <w:r w:rsidRPr="00B51D2D">
        <w:rPr>
          <w:rFonts w:ascii="Times New Roman" w:hAnsi="Times New Roman" w:cs="Times New Roman"/>
          <w:b/>
          <w:u w:val="single"/>
        </w:rPr>
        <w:t xml:space="preserve"> </w:t>
      </w:r>
      <w:r>
        <w:rPr>
          <w:rFonts w:ascii="Times New Roman" w:hAnsi="Times New Roman" w:cs="Times New Roman"/>
          <w:b/>
          <w:u w:val="single"/>
        </w:rPr>
        <w:t>por división municipal</w:t>
      </w:r>
      <w:r w:rsidR="00827290">
        <w:rPr>
          <w:rFonts w:ascii="Times New Roman" w:hAnsi="Times New Roman" w:cs="Times New Roman"/>
          <w:b/>
          <w:u w:val="single"/>
        </w:rPr>
        <w:t xml:space="preserve"> y por Funcionamiento Vs Inversión </w:t>
      </w:r>
      <w:r w:rsidR="00040C11">
        <w:rPr>
          <w:rFonts w:ascii="Times New Roman" w:hAnsi="Times New Roman" w:cs="Times New Roman"/>
          <w:b/>
          <w:u w:val="single"/>
        </w:rPr>
        <w:t>(importes en US$)</w:t>
      </w:r>
    </w:p>
    <w:p w14:paraId="08F2780F" w14:textId="03A78748" w:rsidR="00745EA7" w:rsidRDefault="003E6170" w:rsidP="00233BDA">
      <w:pPr>
        <w:jc w:val="both"/>
        <w:rPr>
          <w:rFonts w:ascii="Times New Roman" w:hAnsi="Times New Roman" w:cs="Times New Roman"/>
        </w:rPr>
      </w:pPr>
      <w:r w:rsidRPr="003E6170">
        <w:rPr>
          <w:noProof/>
        </w:rPr>
        <w:drawing>
          <wp:inline distT="0" distB="0" distL="0" distR="0" wp14:anchorId="3725B54D" wp14:editId="7DCA1CD3">
            <wp:extent cx="5731510" cy="1925313"/>
            <wp:effectExtent l="0" t="0" r="254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9253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5479D7" w14:textId="77777777" w:rsidR="00745EA7" w:rsidRDefault="00745EA7" w:rsidP="00233BDA">
      <w:pPr>
        <w:jc w:val="both"/>
        <w:rPr>
          <w:rFonts w:ascii="Times New Roman" w:hAnsi="Times New Roman" w:cs="Times New Roman"/>
        </w:rPr>
      </w:pPr>
    </w:p>
    <w:p w14:paraId="4C73CA66" w14:textId="38C57A52" w:rsidR="00AE5C3B" w:rsidRDefault="00BA37EB" w:rsidP="00BA37EB">
      <w:pPr>
        <w:jc w:val="center"/>
        <w:rPr>
          <w:rFonts w:ascii="Times New Roman" w:hAnsi="Times New Roman" w:cs="Times New Roman"/>
        </w:rPr>
      </w:pPr>
      <w:r w:rsidRPr="00BA37EB">
        <w:rPr>
          <w:noProof/>
        </w:rPr>
        <w:lastRenderedPageBreak/>
        <w:drawing>
          <wp:inline distT="0" distB="0" distL="0" distR="0" wp14:anchorId="0FD3E734" wp14:editId="46AD8A4D">
            <wp:extent cx="4082574" cy="9535160"/>
            <wp:effectExtent l="0" t="0" r="0" b="889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3109" cy="95831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AD6BD0" w14:textId="2C191F05" w:rsidR="00AE5C3B" w:rsidRDefault="000727EA" w:rsidP="000727EA">
      <w:pPr>
        <w:jc w:val="center"/>
        <w:rPr>
          <w:rFonts w:ascii="Times New Roman" w:hAnsi="Times New Roman" w:cs="Times New Roman"/>
        </w:rPr>
      </w:pPr>
      <w:r w:rsidRPr="000727EA">
        <w:rPr>
          <w:noProof/>
        </w:rPr>
        <w:lastRenderedPageBreak/>
        <w:drawing>
          <wp:inline distT="0" distB="0" distL="0" distR="0" wp14:anchorId="5E011217" wp14:editId="384E7FD4">
            <wp:extent cx="4802390" cy="8909858"/>
            <wp:effectExtent l="0" t="0" r="0" b="571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9346" cy="89227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3EFB3B" w14:textId="3F593015" w:rsidR="00AE5C3B" w:rsidRDefault="000727EA" w:rsidP="000727EA">
      <w:pPr>
        <w:jc w:val="center"/>
        <w:rPr>
          <w:rFonts w:ascii="Times New Roman" w:hAnsi="Times New Roman" w:cs="Times New Roman"/>
        </w:rPr>
      </w:pPr>
      <w:r w:rsidRPr="000727EA">
        <w:rPr>
          <w:noProof/>
        </w:rPr>
        <w:lastRenderedPageBreak/>
        <w:drawing>
          <wp:inline distT="0" distB="0" distL="0" distR="0" wp14:anchorId="3C47BE45" wp14:editId="0F51B8E6">
            <wp:extent cx="4592206" cy="6265334"/>
            <wp:effectExtent l="0" t="0" r="0" b="254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7120" cy="62720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B6E2F0" w14:textId="77777777" w:rsidR="003A6C59" w:rsidRPr="00A1312A" w:rsidRDefault="003A6C59" w:rsidP="003A6C59">
      <w:pPr>
        <w:ind w:left="708"/>
        <w:rPr>
          <w:rFonts w:ascii="Times New Roman" w:hAnsi="Times New Roman" w:cs="Times New Roman"/>
          <w:sz w:val="16"/>
        </w:rPr>
      </w:pPr>
      <w:r w:rsidRPr="00A1312A">
        <w:rPr>
          <w:rFonts w:ascii="Times New Roman" w:hAnsi="Times New Roman" w:cs="Times New Roman"/>
          <w:sz w:val="16"/>
        </w:rPr>
        <w:t>Fuente: Elaboración propia con información presupuestal recibida del MUPA</w:t>
      </w:r>
    </w:p>
    <w:p w14:paraId="2966D22B" w14:textId="68999096" w:rsidR="00AE5C3B" w:rsidRDefault="00AE5C3B" w:rsidP="00233BDA">
      <w:pPr>
        <w:jc w:val="both"/>
        <w:rPr>
          <w:rFonts w:ascii="Times New Roman" w:hAnsi="Times New Roman" w:cs="Times New Roman"/>
        </w:rPr>
      </w:pPr>
    </w:p>
    <w:p w14:paraId="664CC9F1" w14:textId="2AEC21A1" w:rsidR="00AE5C3B" w:rsidRDefault="00AE5C3B" w:rsidP="00233BDA">
      <w:pPr>
        <w:jc w:val="both"/>
        <w:rPr>
          <w:rFonts w:ascii="Times New Roman" w:hAnsi="Times New Roman" w:cs="Times New Roman"/>
        </w:rPr>
      </w:pPr>
    </w:p>
    <w:p w14:paraId="3FD2F9BA" w14:textId="1BC31F0D" w:rsidR="00AE5C3B" w:rsidRDefault="00AE5C3B" w:rsidP="00233BDA">
      <w:pPr>
        <w:jc w:val="both"/>
        <w:rPr>
          <w:rFonts w:ascii="Times New Roman" w:hAnsi="Times New Roman" w:cs="Times New Roman"/>
        </w:rPr>
      </w:pPr>
    </w:p>
    <w:p w14:paraId="278AFE54" w14:textId="1A4BB6BB" w:rsidR="00AE5C3B" w:rsidRDefault="00AE5C3B" w:rsidP="00233BDA">
      <w:pPr>
        <w:jc w:val="both"/>
        <w:rPr>
          <w:rFonts w:ascii="Times New Roman" w:hAnsi="Times New Roman" w:cs="Times New Roman"/>
        </w:rPr>
      </w:pPr>
    </w:p>
    <w:p w14:paraId="65ADF215" w14:textId="5D2CFAC6" w:rsidR="00AE5C3B" w:rsidRDefault="00AE5C3B" w:rsidP="00233BDA">
      <w:pPr>
        <w:jc w:val="both"/>
        <w:rPr>
          <w:rFonts w:ascii="Times New Roman" w:hAnsi="Times New Roman" w:cs="Times New Roman"/>
        </w:rPr>
      </w:pPr>
    </w:p>
    <w:p w14:paraId="219D7465" w14:textId="308700D6" w:rsidR="00AE5C3B" w:rsidRDefault="00AE5C3B" w:rsidP="00233BDA">
      <w:pPr>
        <w:jc w:val="both"/>
        <w:rPr>
          <w:rFonts w:ascii="Times New Roman" w:hAnsi="Times New Roman" w:cs="Times New Roman"/>
        </w:rPr>
      </w:pPr>
    </w:p>
    <w:p w14:paraId="4637E9C8" w14:textId="6A1087E7" w:rsidR="00AE5C3B" w:rsidRDefault="00AE5C3B" w:rsidP="00233BDA">
      <w:pPr>
        <w:jc w:val="both"/>
        <w:rPr>
          <w:rFonts w:ascii="Times New Roman" w:hAnsi="Times New Roman" w:cs="Times New Roman"/>
        </w:rPr>
      </w:pPr>
    </w:p>
    <w:p w14:paraId="173A987D" w14:textId="3DF8B8A5" w:rsidR="00AE5C3B" w:rsidRDefault="00AE5C3B" w:rsidP="00233BDA">
      <w:pPr>
        <w:jc w:val="both"/>
        <w:rPr>
          <w:rFonts w:ascii="Times New Roman" w:hAnsi="Times New Roman" w:cs="Times New Roman"/>
        </w:rPr>
      </w:pPr>
    </w:p>
    <w:p w14:paraId="09D0657D" w14:textId="5648456C" w:rsidR="00AE5C3B" w:rsidRPr="008A49C4" w:rsidRDefault="008A49C4" w:rsidP="008A49C4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b/>
          <w:u w:val="single"/>
        </w:rPr>
      </w:pPr>
      <w:r w:rsidRPr="008A49C4">
        <w:rPr>
          <w:rFonts w:ascii="Times New Roman" w:hAnsi="Times New Roman" w:cs="Times New Roman"/>
          <w:b/>
          <w:u w:val="single"/>
        </w:rPr>
        <w:t>ANALISIS PRESPUESTARIO PROYECT</w:t>
      </w:r>
      <w:r w:rsidR="00E7430A">
        <w:rPr>
          <w:rFonts w:ascii="Times New Roman" w:hAnsi="Times New Roman" w:cs="Times New Roman"/>
          <w:b/>
          <w:u w:val="single"/>
        </w:rPr>
        <w:t>ADO</w:t>
      </w:r>
      <w:r w:rsidRPr="008A49C4">
        <w:rPr>
          <w:rFonts w:ascii="Times New Roman" w:hAnsi="Times New Roman" w:cs="Times New Roman"/>
          <w:b/>
          <w:u w:val="single"/>
        </w:rPr>
        <w:t xml:space="preserve"> MUPA</w:t>
      </w:r>
    </w:p>
    <w:p w14:paraId="0D291618" w14:textId="019B1C77" w:rsidR="00AE5C3B" w:rsidRDefault="00AE5C3B" w:rsidP="00233BDA">
      <w:pPr>
        <w:jc w:val="both"/>
        <w:rPr>
          <w:rFonts w:ascii="Times New Roman" w:hAnsi="Times New Roman" w:cs="Times New Roman"/>
        </w:rPr>
      </w:pPr>
    </w:p>
    <w:p w14:paraId="369FBF6C" w14:textId="5F54689F" w:rsidR="00562DB0" w:rsidRDefault="00932688" w:rsidP="00233BD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En el gráfico que presenta a continuación se presentan los ingresos proyectados estimados del MUPA </w:t>
      </w:r>
      <w:r w:rsidR="00C619DE">
        <w:rPr>
          <w:rFonts w:ascii="Times New Roman" w:hAnsi="Times New Roman" w:cs="Times New Roman"/>
        </w:rPr>
        <w:t>para los próximos 7 ejercicios (2018-2024)</w:t>
      </w:r>
      <w:r w:rsidR="00550256">
        <w:rPr>
          <w:rFonts w:ascii="Times New Roman" w:hAnsi="Times New Roman" w:cs="Times New Roman"/>
        </w:rPr>
        <w:t xml:space="preserve"> en términos reales, </w:t>
      </w:r>
      <w:r w:rsidR="000034BB">
        <w:rPr>
          <w:rFonts w:ascii="Times New Roman" w:hAnsi="Times New Roman" w:cs="Times New Roman"/>
        </w:rPr>
        <w:t xml:space="preserve">basados en los valores históricos de dichos rubros y estimaciones de crecimiento </w:t>
      </w:r>
      <w:r w:rsidR="00606F0A">
        <w:rPr>
          <w:rFonts w:ascii="Times New Roman" w:hAnsi="Times New Roman" w:cs="Times New Roman"/>
        </w:rPr>
        <w:t xml:space="preserve">de los mismos. </w:t>
      </w:r>
      <w:r w:rsidR="00C619DE">
        <w:rPr>
          <w:rFonts w:ascii="Times New Roman" w:hAnsi="Times New Roman" w:cs="Times New Roman"/>
        </w:rPr>
        <w:t xml:space="preserve"> </w:t>
      </w:r>
    </w:p>
    <w:p w14:paraId="369AD092" w14:textId="752925CD" w:rsidR="00E81E07" w:rsidRPr="00B51D2D" w:rsidRDefault="00E81E07" w:rsidP="00E81E07">
      <w:pPr>
        <w:jc w:val="center"/>
        <w:rPr>
          <w:rFonts w:ascii="Times New Roman" w:hAnsi="Times New Roman" w:cs="Times New Roman"/>
          <w:b/>
          <w:u w:val="single"/>
        </w:rPr>
      </w:pPr>
      <w:r w:rsidRPr="00B51D2D">
        <w:rPr>
          <w:rFonts w:ascii="Times New Roman" w:hAnsi="Times New Roman" w:cs="Times New Roman"/>
          <w:b/>
          <w:u w:val="single"/>
        </w:rPr>
        <w:t>Gr</w:t>
      </w:r>
      <w:r>
        <w:rPr>
          <w:rFonts w:ascii="Times New Roman" w:hAnsi="Times New Roman" w:cs="Times New Roman"/>
          <w:b/>
          <w:u w:val="single"/>
        </w:rPr>
        <w:t>á</w:t>
      </w:r>
      <w:r w:rsidRPr="00B51D2D">
        <w:rPr>
          <w:rFonts w:ascii="Times New Roman" w:hAnsi="Times New Roman" w:cs="Times New Roman"/>
          <w:b/>
          <w:u w:val="single"/>
        </w:rPr>
        <w:t xml:space="preserve">fico </w:t>
      </w:r>
      <w:r w:rsidR="007710B0">
        <w:rPr>
          <w:rFonts w:ascii="Times New Roman" w:hAnsi="Times New Roman" w:cs="Times New Roman"/>
          <w:b/>
          <w:u w:val="single"/>
        </w:rPr>
        <w:t>7</w:t>
      </w:r>
      <w:r w:rsidRPr="00B51D2D">
        <w:rPr>
          <w:rFonts w:ascii="Times New Roman" w:hAnsi="Times New Roman" w:cs="Times New Roman"/>
          <w:b/>
          <w:u w:val="single"/>
        </w:rPr>
        <w:t xml:space="preserve">. </w:t>
      </w:r>
      <w:r>
        <w:rPr>
          <w:rFonts w:ascii="Times New Roman" w:hAnsi="Times New Roman" w:cs="Times New Roman"/>
          <w:b/>
          <w:u w:val="single"/>
        </w:rPr>
        <w:t>Ingresos proyectados</w:t>
      </w:r>
      <w:r w:rsidR="00932688">
        <w:rPr>
          <w:rFonts w:ascii="Times New Roman" w:hAnsi="Times New Roman" w:cs="Times New Roman"/>
          <w:b/>
          <w:u w:val="single"/>
        </w:rPr>
        <w:t xml:space="preserve"> esti</w:t>
      </w:r>
      <w:r w:rsidR="00C619DE">
        <w:rPr>
          <w:rFonts w:ascii="Times New Roman" w:hAnsi="Times New Roman" w:cs="Times New Roman"/>
          <w:b/>
          <w:u w:val="single"/>
        </w:rPr>
        <w:t>mados</w:t>
      </w:r>
      <w:r>
        <w:rPr>
          <w:rFonts w:ascii="Times New Roman" w:hAnsi="Times New Roman" w:cs="Times New Roman"/>
          <w:b/>
          <w:u w:val="single"/>
        </w:rPr>
        <w:t xml:space="preserve"> </w:t>
      </w:r>
      <w:r w:rsidRPr="00B51D2D">
        <w:rPr>
          <w:rFonts w:ascii="Times New Roman" w:hAnsi="Times New Roman" w:cs="Times New Roman"/>
          <w:b/>
          <w:u w:val="single"/>
        </w:rPr>
        <w:t>201</w:t>
      </w:r>
      <w:r>
        <w:rPr>
          <w:rFonts w:ascii="Times New Roman" w:hAnsi="Times New Roman" w:cs="Times New Roman"/>
          <w:b/>
          <w:u w:val="single"/>
        </w:rPr>
        <w:t>8-2024</w:t>
      </w:r>
      <w:r w:rsidRPr="00B51D2D">
        <w:rPr>
          <w:rFonts w:ascii="Times New Roman" w:hAnsi="Times New Roman" w:cs="Times New Roman"/>
          <w:b/>
          <w:u w:val="single"/>
        </w:rPr>
        <w:t xml:space="preserve"> </w:t>
      </w:r>
      <w:r>
        <w:rPr>
          <w:rFonts w:ascii="Times New Roman" w:hAnsi="Times New Roman" w:cs="Times New Roman"/>
          <w:b/>
          <w:u w:val="single"/>
        </w:rPr>
        <w:t>MUPA</w:t>
      </w:r>
      <w:r w:rsidR="00E7430A">
        <w:rPr>
          <w:rFonts w:ascii="Times New Roman" w:hAnsi="Times New Roman" w:cs="Times New Roman"/>
          <w:b/>
          <w:u w:val="single"/>
        </w:rPr>
        <w:t xml:space="preserve"> (importes en US$)</w:t>
      </w:r>
    </w:p>
    <w:p w14:paraId="74DBE1BF" w14:textId="27AFAE0C" w:rsidR="00AE5C3B" w:rsidRDefault="00E81E07" w:rsidP="00233BDA">
      <w:pPr>
        <w:jc w:val="both"/>
        <w:rPr>
          <w:rFonts w:ascii="Times New Roman" w:hAnsi="Times New Roman" w:cs="Times New Roman"/>
        </w:rPr>
      </w:pPr>
      <w:r w:rsidRPr="00E81E07">
        <w:rPr>
          <w:noProof/>
        </w:rPr>
        <w:drawing>
          <wp:inline distT="0" distB="0" distL="0" distR="0" wp14:anchorId="72243852" wp14:editId="7E2DC030">
            <wp:extent cx="5731510" cy="3088669"/>
            <wp:effectExtent l="0" t="0" r="254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0886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0611E2" w14:textId="44A7D0A2" w:rsidR="00714E8E" w:rsidRDefault="003A6C59" w:rsidP="003A6C59">
      <w:pPr>
        <w:rPr>
          <w:rFonts w:ascii="Times New Roman" w:hAnsi="Times New Roman" w:cs="Times New Roman"/>
        </w:rPr>
      </w:pPr>
      <w:r w:rsidRPr="00A1312A">
        <w:rPr>
          <w:rFonts w:ascii="Times New Roman" w:hAnsi="Times New Roman" w:cs="Times New Roman"/>
          <w:sz w:val="16"/>
        </w:rPr>
        <w:t>Fuente: Elaboración propia con información presupuestal recibida del MUPA</w:t>
      </w:r>
    </w:p>
    <w:p w14:paraId="78B16592" w14:textId="21B345D2" w:rsidR="00C619DE" w:rsidRDefault="00C619DE" w:rsidP="00C619D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En el gráfico que presenta a continuación se presentan los gastos proyectados estimados del MUPA para los próximos 7 ejercicios (2018-2024)</w:t>
      </w:r>
      <w:r w:rsidR="007E2E96">
        <w:rPr>
          <w:rFonts w:ascii="Times New Roman" w:hAnsi="Times New Roman" w:cs="Times New Roman"/>
        </w:rPr>
        <w:t xml:space="preserve"> en términos </w:t>
      </w:r>
      <w:r w:rsidR="00550256">
        <w:rPr>
          <w:rFonts w:ascii="Times New Roman" w:hAnsi="Times New Roman" w:cs="Times New Roman"/>
        </w:rPr>
        <w:t>reales</w:t>
      </w:r>
      <w:r w:rsidR="007E2E96">
        <w:rPr>
          <w:rFonts w:ascii="Times New Roman" w:hAnsi="Times New Roman" w:cs="Times New Roman"/>
        </w:rPr>
        <w:t xml:space="preserve">, teniendo en cuenta los valores históricos y la </w:t>
      </w:r>
      <w:r w:rsidR="00D56755">
        <w:rPr>
          <w:rFonts w:ascii="Times New Roman" w:hAnsi="Times New Roman" w:cs="Times New Roman"/>
        </w:rPr>
        <w:t>previsión</w:t>
      </w:r>
      <w:r w:rsidR="007E2E96">
        <w:rPr>
          <w:rFonts w:ascii="Times New Roman" w:hAnsi="Times New Roman" w:cs="Times New Roman"/>
        </w:rPr>
        <w:t xml:space="preserve"> de </w:t>
      </w:r>
      <w:r w:rsidR="00D56755">
        <w:rPr>
          <w:rFonts w:ascii="Times New Roman" w:hAnsi="Times New Roman" w:cs="Times New Roman"/>
        </w:rPr>
        <w:t>los gastos de inversión del MUPA para los próximos ejercicios</w:t>
      </w:r>
      <w:r>
        <w:rPr>
          <w:rFonts w:ascii="Times New Roman" w:hAnsi="Times New Roman" w:cs="Times New Roman"/>
        </w:rPr>
        <w:t xml:space="preserve">. </w:t>
      </w:r>
    </w:p>
    <w:p w14:paraId="48539DDD" w14:textId="4ADC059F" w:rsidR="00714E8E" w:rsidRDefault="00714E8E" w:rsidP="00233BDA">
      <w:pPr>
        <w:jc w:val="both"/>
        <w:rPr>
          <w:rFonts w:ascii="Times New Roman" w:hAnsi="Times New Roman" w:cs="Times New Roman"/>
        </w:rPr>
      </w:pPr>
    </w:p>
    <w:p w14:paraId="4D237BD8" w14:textId="19A9EC1D" w:rsidR="00E81E07" w:rsidRPr="00B51D2D" w:rsidRDefault="00E81E07" w:rsidP="00E81E07">
      <w:pPr>
        <w:jc w:val="center"/>
        <w:rPr>
          <w:rFonts w:ascii="Times New Roman" w:hAnsi="Times New Roman" w:cs="Times New Roman"/>
          <w:b/>
          <w:u w:val="single"/>
        </w:rPr>
      </w:pPr>
      <w:r w:rsidRPr="00B51D2D">
        <w:rPr>
          <w:rFonts w:ascii="Times New Roman" w:hAnsi="Times New Roman" w:cs="Times New Roman"/>
          <w:b/>
          <w:u w:val="single"/>
        </w:rPr>
        <w:t>Gr</w:t>
      </w:r>
      <w:r>
        <w:rPr>
          <w:rFonts w:ascii="Times New Roman" w:hAnsi="Times New Roman" w:cs="Times New Roman"/>
          <w:b/>
          <w:u w:val="single"/>
        </w:rPr>
        <w:t>á</w:t>
      </w:r>
      <w:r w:rsidRPr="00B51D2D">
        <w:rPr>
          <w:rFonts w:ascii="Times New Roman" w:hAnsi="Times New Roman" w:cs="Times New Roman"/>
          <w:b/>
          <w:u w:val="single"/>
        </w:rPr>
        <w:t xml:space="preserve">fico </w:t>
      </w:r>
      <w:r w:rsidR="007710B0">
        <w:rPr>
          <w:rFonts w:ascii="Times New Roman" w:hAnsi="Times New Roman" w:cs="Times New Roman"/>
          <w:b/>
          <w:u w:val="single"/>
        </w:rPr>
        <w:t>8</w:t>
      </w:r>
      <w:r w:rsidRPr="00B51D2D">
        <w:rPr>
          <w:rFonts w:ascii="Times New Roman" w:hAnsi="Times New Roman" w:cs="Times New Roman"/>
          <w:b/>
          <w:u w:val="single"/>
        </w:rPr>
        <w:t xml:space="preserve">. </w:t>
      </w:r>
      <w:r>
        <w:rPr>
          <w:rFonts w:ascii="Times New Roman" w:hAnsi="Times New Roman" w:cs="Times New Roman"/>
          <w:b/>
          <w:u w:val="single"/>
        </w:rPr>
        <w:t xml:space="preserve">Gastos proyectados </w:t>
      </w:r>
      <w:r w:rsidRPr="00B51D2D">
        <w:rPr>
          <w:rFonts w:ascii="Times New Roman" w:hAnsi="Times New Roman" w:cs="Times New Roman"/>
          <w:b/>
          <w:u w:val="single"/>
        </w:rPr>
        <w:t>201</w:t>
      </w:r>
      <w:r>
        <w:rPr>
          <w:rFonts w:ascii="Times New Roman" w:hAnsi="Times New Roman" w:cs="Times New Roman"/>
          <w:b/>
          <w:u w:val="single"/>
        </w:rPr>
        <w:t>8-2024</w:t>
      </w:r>
      <w:r w:rsidRPr="00B51D2D">
        <w:rPr>
          <w:rFonts w:ascii="Times New Roman" w:hAnsi="Times New Roman" w:cs="Times New Roman"/>
          <w:b/>
          <w:u w:val="single"/>
        </w:rPr>
        <w:t xml:space="preserve"> </w:t>
      </w:r>
      <w:r>
        <w:rPr>
          <w:rFonts w:ascii="Times New Roman" w:hAnsi="Times New Roman" w:cs="Times New Roman"/>
          <w:b/>
          <w:u w:val="single"/>
        </w:rPr>
        <w:t>MUPA</w:t>
      </w:r>
      <w:r w:rsidR="00E7430A">
        <w:rPr>
          <w:rFonts w:ascii="Times New Roman" w:hAnsi="Times New Roman" w:cs="Times New Roman"/>
          <w:b/>
          <w:u w:val="single"/>
        </w:rPr>
        <w:t xml:space="preserve"> (importes en US$)</w:t>
      </w:r>
    </w:p>
    <w:p w14:paraId="68F9AB0A" w14:textId="23AB0A85" w:rsidR="00E81E07" w:rsidRDefault="00714E8E" w:rsidP="00233BDA">
      <w:pPr>
        <w:jc w:val="both"/>
        <w:rPr>
          <w:rFonts w:ascii="Times New Roman" w:hAnsi="Times New Roman" w:cs="Times New Roman"/>
        </w:rPr>
      </w:pPr>
      <w:r w:rsidRPr="00714E8E">
        <w:rPr>
          <w:noProof/>
        </w:rPr>
        <w:drawing>
          <wp:inline distT="0" distB="0" distL="0" distR="0" wp14:anchorId="16BE1567" wp14:editId="014A37DC">
            <wp:extent cx="5731510" cy="963212"/>
            <wp:effectExtent l="0" t="0" r="2540" b="889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9632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9D0D77" w14:textId="041A73D6" w:rsidR="00714E8E" w:rsidRDefault="00714E8E" w:rsidP="00233BDA">
      <w:pPr>
        <w:jc w:val="both"/>
        <w:rPr>
          <w:rFonts w:ascii="Times New Roman" w:hAnsi="Times New Roman" w:cs="Times New Roman"/>
        </w:rPr>
      </w:pPr>
    </w:p>
    <w:p w14:paraId="05DA97E9" w14:textId="7205B3BD" w:rsidR="00714E8E" w:rsidRDefault="00714E8E" w:rsidP="00714E8E">
      <w:pPr>
        <w:jc w:val="center"/>
        <w:rPr>
          <w:rFonts w:ascii="Times New Roman" w:hAnsi="Times New Roman" w:cs="Times New Roman"/>
        </w:rPr>
      </w:pPr>
      <w:r w:rsidRPr="00714E8E">
        <w:rPr>
          <w:noProof/>
        </w:rPr>
        <w:lastRenderedPageBreak/>
        <w:drawing>
          <wp:inline distT="0" distB="0" distL="0" distR="0" wp14:anchorId="61976ABA" wp14:editId="7611E2D0">
            <wp:extent cx="5276564" cy="6544404"/>
            <wp:effectExtent l="0" t="0" r="635" b="889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9921" cy="65485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A283CA" w14:textId="055398BE" w:rsidR="00714E8E" w:rsidRDefault="00714E8E" w:rsidP="00714E8E">
      <w:pPr>
        <w:jc w:val="center"/>
        <w:rPr>
          <w:rFonts w:ascii="Times New Roman" w:hAnsi="Times New Roman" w:cs="Times New Roman"/>
        </w:rPr>
      </w:pPr>
      <w:r w:rsidRPr="00714E8E">
        <w:rPr>
          <w:noProof/>
        </w:rPr>
        <w:lastRenderedPageBreak/>
        <w:drawing>
          <wp:inline distT="0" distB="0" distL="0" distR="0" wp14:anchorId="3FF73402" wp14:editId="069DC6AD">
            <wp:extent cx="5731510" cy="5353390"/>
            <wp:effectExtent l="0" t="0" r="254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5353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6D1127" w14:textId="77777777" w:rsidR="004B5531" w:rsidRPr="00A1312A" w:rsidRDefault="004B5531" w:rsidP="004B5531">
      <w:pPr>
        <w:rPr>
          <w:rFonts w:ascii="Times New Roman" w:hAnsi="Times New Roman" w:cs="Times New Roman"/>
          <w:sz w:val="16"/>
        </w:rPr>
      </w:pPr>
      <w:r w:rsidRPr="00A1312A">
        <w:rPr>
          <w:rFonts w:ascii="Times New Roman" w:hAnsi="Times New Roman" w:cs="Times New Roman"/>
          <w:sz w:val="16"/>
        </w:rPr>
        <w:t>Fuente: Elaboración propia con información presupuestal recibida del MUPA</w:t>
      </w:r>
    </w:p>
    <w:p w14:paraId="24F5988D" w14:textId="6D900BC5" w:rsidR="00001C0F" w:rsidRDefault="00427A0D" w:rsidP="00233BD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En los dos siguientes gráficos, se detallan las inversiones especiales previstas por la MUPA para los ejercicios 2018 y 2019 vinculadas a la aplicación del Régimen de Descentralización de Panamá</w:t>
      </w:r>
      <w:r w:rsidR="009272C2">
        <w:rPr>
          <w:rStyle w:val="FootnoteReference"/>
          <w:rFonts w:ascii="Times New Roman" w:hAnsi="Times New Roman" w:cs="Times New Roman"/>
        </w:rPr>
        <w:footnoteReference w:id="1"/>
      </w:r>
      <w:r w:rsidR="00F2637F">
        <w:rPr>
          <w:rFonts w:ascii="Times New Roman" w:hAnsi="Times New Roman" w:cs="Times New Roman"/>
        </w:rPr>
        <w:t>, donde se incluye</w:t>
      </w:r>
      <w:r w:rsidR="00DF1478">
        <w:rPr>
          <w:rFonts w:ascii="Times New Roman" w:hAnsi="Times New Roman" w:cs="Times New Roman"/>
        </w:rPr>
        <w:t>n</w:t>
      </w:r>
      <w:r w:rsidR="00F2637F">
        <w:rPr>
          <w:rFonts w:ascii="Times New Roman" w:hAnsi="Times New Roman" w:cs="Times New Roman"/>
        </w:rPr>
        <w:t xml:space="preserve"> inversiones en turismo y cultura, en deporte y recreación, inversiones en desarrollo económico y social, e inversiones en servicios públicos, entre otros.</w:t>
      </w:r>
    </w:p>
    <w:p w14:paraId="4A20848B" w14:textId="2A703AB8" w:rsidR="004B5531" w:rsidRDefault="004B5531" w:rsidP="00233BDA">
      <w:pPr>
        <w:jc w:val="both"/>
        <w:rPr>
          <w:rFonts w:ascii="Times New Roman" w:hAnsi="Times New Roman" w:cs="Times New Roman"/>
        </w:rPr>
      </w:pPr>
    </w:p>
    <w:p w14:paraId="2E89758B" w14:textId="6A6F2106" w:rsidR="004B5531" w:rsidRDefault="004B5531" w:rsidP="00233BDA">
      <w:pPr>
        <w:jc w:val="both"/>
        <w:rPr>
          <w:rFonts w:ascii="Times New Roman" w:hAnsi="Times New Roman" w:cs="Times New Roman"/>
        </w:rPr>
      </w:pPr>
    </w:p>
    <w:p w14:paraId="4452C09E" w14:textId="35B43448" w:rsidR="004B5531" w:rsidRDefault="004B5531" w:rsidP="00233BDA">
      <w:pPr>
        <w:jc w:val="both"/>
        <w:rPr>
          <w:rFonts w:ascii="Times New Roman" w:hAnsi="Times New Roman" w:cs="Times New Roman"/>
        </w:rPr>
      </w:pPr>
    </w:p>
    <w:p w14:paraId="5D46818D" w14:textId="74E4DE6D" w:rsidR="004B5531" w:rsidRDefault="004B5531" w:rsidP="00233BDA">
      <w:pPr>
        <w:jc w:val="both"/>
        <w:rPr>
          <w:rFonts w:ascii="Times New Roman" w:hAnsi="Times New Roman" w:cs="Times New Roman"/>
        </w:rPr>
      </w:pPr>
    </w:p>
    <w:p w14:paraId="0B36047F" w14:textId="32572A38" w:rsidR="004B5531" w:rsidRDefault="004B5531" w:rsidP="00233BDA">
      <w:pPr>
        <w:jc w:val="both"/>
        <w:rPr>
          <w:rFonts w:ascii="Times New Roman" w:hAnsi="Times New Roman" w:cs="Times New Roman"/>
        </w:rPr>
      </w:pPr>
    </w:p>
    <w:p w14:paraId="54FB7504" w14:textId="77777777" w:rsidR="004B5531" w:rsidRDefault="004B5531" w:rsidP="00233BDA">
      <w:pPr>
        <w:jc w:val="both"/>
        <w:rPr>
          <w:rFonts w:ascii="Times New Roman" w:hAnsi="Times New Roman" w:cs="Times New Roman"/>
        </w:rPr>
      </w:pPr>
    </w:p>
    <w:p w14:paraId="1A715D84" w14:textId="26D3CB62" w:rsidR="00714E8E" w:rsidRPr="00B51D2D" w:rsidRDefault="00714E8E" w:rsidP="00714E8E">
      <w:pPr>
        <w:jc w:val="center"/>
        <w:rPr>
          <w:rFonts w:ascii="Times New Roman" w:hAnsi="Times New Roman" w:cs="Times New Roman"/>
          <w:b/>
          <w:u w:val="single"/>
        </w:rPr>
      </w:pPr>
      <w:r w:rsidRPr="00B51D2D">
        <w:rPr>
          <w:rFonts w:ascii="Times New Roman" w:hAnsi="Times New Roman" w:cs="Times New Roman"/>
          <w:b/>
          <w:u w:val="single"/>
        </w:rPr>
        <w:lastRenderedPageBreak/>
        <w:t>Gr</w:t>
      </w:r>
      <w:r>
        <w:rPr>
          <w:rFonts w:ascii="Times New Roman" w:hAnsi="Times New Roman" w:cs="Times New Roman"/>
          <w:b/>
          <w:u w:val="single"/>
        </w:rPr>
        <w:t>á</w:t>
      </w:r>
      <w:r w:rsidRPr="00B51D2D">
        <w:rPr>
          <w:rFonts w:ascii="Times New Roman" w:hAnsi="Times New Roman" w:cs="Times New Roman"/>
          <w:b/>
          <w:u w:val="single"/>
        </w:rPr>
        <w:t xml:space="preserve">fico </w:t>
      </w:r>
      <w:r w:rsidR="007710B0">
        <w:rPr>
          <w:rFonts w:ascii="Times New Roman" w:hAnsi="Times New Roman" w:cs="Times New Roman"/>
          <w:b/>
          <w:u w:val="single"/>
        </w:rPr>
        <w:t>9</w:t>
      </w:r>
      <w:r w:rsidRPr="00B51D2D">
        <w:rPr>
          <w:rFonts w:ascii="Times New Roman" w:hAnsi="Times New Roman" w:cs="Times New Roman"/>
          <w:b/>
          <w:u w:val="single"/>
        </w:rPr>
        <w:t xml:space="preserve">. </w:t>
      </w:r>
      <w:r>
        <w:rPr>
          <w:rFonts w:ascii="Times New Roman" w:hAnsi="Times New Roman" w:cs="Times New Roman"/>
          <w:b/>
          <w:u w:val="single"/>
        </w:rPr>
        <w:t xml:space="preserve">Detalle Inversiones Especiales </w:t>
      </w:r>
      <w:r w:rsidR="00001C0F">
        <w:rPr>
          <w:rFonts w:ascii="Times New Roman" w:hAnsi="Times New Roman" w:cs="Times New Roman"/>
          <w:b/>
          <w:u w:val="single"/>
        </w:rPr>
        <w:t xml:space="preserve">estimadas </w:t>
      </w:r>
      <w:r>
        <w:rPr>
          <w:rFonts w:ascii="Times New Roman" w:hAnsi="Times New Roman" w:cs="Times New Roman"/>
          <w:b/>
          <w:u w:val="single"/>
        </w:rPr>
        <w:t xml:space="preserve">Descentralización </w:t>
      </w:r>
      <w:r w:rsidRPr="00B51D2D">
        <w:rPr>
          <w:rFonts w:ascii="Times New Roman" w:hAnsi="Times New Roman" w:cs="Times New Roman"/>
          <w:b/>
          <w:u w:val="single"/>
        </w:rPr>
        <w:t>201</w:t>
      </w:r>
      <w:r>
        <w:rPr>
          <w:rFonts w:ascii="Times New Roman" w:hAnsi="Times New Roman" w:cs="Times New Roman"/>
          <w:b/>
          <w:u w:val="single"/>
        </w:rPr>
        <w:t>8</w:t>
      </w:r>
      <w:r w:rsidR="00001C0F">
        <w:rPr>
          <w:rFonts w:ascii="Times New Roman" w:hAnsi="Times New Roman" w:cs="Times New Roman"/>
          <w:b/>
          <w:u w:val="single"/>
        </w:rPr>
        <w:t xml:space="preserve"> </w:t>
      </w:r>
      <w:r>
        <w:rPr>
          <w:rFonts w:ascii="Times New Roman" w:hAnsi="Times New Roman" w:cs="Times New Roman"/>
          <w:b/>
          <w:u w:val="single"/>
        </w:rPr>
        <w:t>MUPA</w:t>
      </w:r>
      <w:r w:rsidR="00421F43">
        <w:rPr>
          <w:rFonts w:ascii="Times New Roman" w:hAnsi="Times New Roman" w:cs="Times New Roman"/>
          <w:b/>
          <w:u w:val="single"/>
        </w:rPr>
        <w:t xml:space="preserve"> (importes en US</w:t>
      </w:r>
      <w:r w:rsidR="006E4A99">
        <w:rPr>
          <w:rFonts w:ascii="Times New Roman" w:hAnsi="Times New Roman" w:cs="Times New Roman"/>
          <w:b/>
          <w:u w:val="single"/>
        </w:rPr>
        <w:t>$</w:t>
      </w:r>
      <w:r w:rsidR="00421F43">
        <w:rPr>
          <w:rFonts w:ascii="Times New Roman" w:hAnsi="Times New Roman" w:cs="Times New Roman"/>
          <w:b/>
          <w:u w:val="single"/>
        </w:rPr>
        <w:t>)</w:t>
      </w:r>
    </w:p>
    <w:p w14:paraId="663682F7" w14:textId="6430BE0A" w:rsidR="00714E8E" w:rsidRDefault="00001C0F" w:rsidP="00001C0F">
      <w:pPr>
        <w:jc w:val="center"/>
        <w:rPr>
          <w:rFonts w:ascii="Times New Roman" w:hAnsi="Times New Roman" w:cs="Times New Roman"/>
        </w:rPr>
      </w:pPr>
      <w:r w:rsidRPr="00001C0F">
        <w:rPr>
          <w:noProof/>
        </w:rPr>
        <w:drawing>
          <wp:inline distT="0" distB="0" distL="0" distR="0" wp14:anchorId="03368B3B" wp14:editId="7F20874A">
            <wp:extent cx="4685244" cy="7380684"/>
            <wp:effectExtent l="0" t="0" r="127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1112" cy="73899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C51004" w14:textId="77777777" w:rsidR="004B5531" w:rsidRPr="00A1312A" w:rsidRDefault="004B5531" w:rsidP="004B5531">
      <w:pPr>
        <w:rPr>
          <w:rFonts w:ascii="Times New Roman" w:hAnsi="Times New Roman" w:cs="Times New Roman"/>
          <w:sz w:val="16"/>
        </w:rPr>
      </w:pPr>
      <w:r w:rsidRPr="00A1312A">
        <w:rPr>
          <w:rFonts w:ascii="Times New Roman" w:hAnsi="Times New Roman" w:cs="Times New Roman"/>
          <w:sz w:val="16"/>
        </w:rPr>
        <w:t>Fuente: Elaboración propia con información presupuestal recibida del MUPA</w:t>
      </w:r>
    </w:p>
    <w:p w14:paraId="61BCB7B9" w14:textId="1FE129EC" w:rsidR="00714E8E" w:rsidRDefault="00714E8E" w:rsidP="00233BDA">
      <w:pPr>
        <w:jc w:val="both"/>
        <w:rPr>
          <w:rFonts w:ascii="Times New Roman" w:hAnsi="Times New Roman" w:cs="Times New Roman"/>
        </w:rPr>
      </w:pPr>
    </w:p>
    <w:p w14:paraId="1C1203ED" w14:textId="7EB3DDDF" w:rsidR="00714E8E" w:rsidRDefault="00714E8E" w:rsidP="00233BDA">
      <w:pPr>
        <w:jc w:val="both"/>
        <w:rPr>
          <w:rFonts w:ascii="Times New Roman" w:hAnsi="Times New Roman" w:cs="Times New Roman"/>
        </w:rPr>
      </w:pPr>
    </w:p>
    <w:p w14:paraId="5553B26A" w14:textId="77777777" w:rsidR="00B07B9D" w:rsidRDefault="00B07B9D" w:rsidP="00233BDA">
      <w:pPr>
        <w:jc w:val="both"/>
        <w:rPr>
          <w:rFonts w:ascii="Times New Roman" w:hAnsi="Times New Roman" w:cs="Times New Roman"/>
        </w:rPr>
      </w:pPr>
    </w:p>
    <w:p w14:paraId="37546D44" w14:textId="3CF08FC3" w:rsidR="00714E8E" w:rsidRDefault="00714E8E" w:rsidP="00233BDA">
      <w:pPr>
        <w:jc w:val="both"/>
        <w:rPr>
          <w:rFonts w:ascii="Times New Roman" w:hAnsi="Times New Roman" w:cs="Times New Roman"/>
        </w:rPr>
      </w:pPr>
    </w:p>
    <w:p w14:paraId="1F7594C9" w14:textId="77777777" w:rsidR="00577E58" w:rsidRDefault="00001C0F" w:rsidP="00001C0F">
      <w:pPr>
        <w:jc w:val="center"/>
        <w:rPr>
          <w:rFonts w:ascii="Times New Roman" w:hAnsi="Times New Roman" w:cs="Times New Roman"/>
          <w:b/>
          <w:u w:val="single"/>
        </w:rPr>
      </w:pPr>
      <w:r w:rsidRPr="00B51D2D">
        <w:rPr>
          <w:rFonts w:ascii="Times New Roman" w:hAnsi="Times New Roman" w:cs="Times New Roman"/>
          <w:b/>
          <w:u w:val="single"/>
        </w:rPr>
        <w:t>Gr</w:t>
      </w:r>
      <w:r>
        <w:rPr>
          <w:rFonts w:ascii="Times New Roman" w:hAnsi="Times New Roman" w:cs="Times New Roman"/>
          <w:b/>
          <w:u w:val="single"/>
        </w:rPr>
        <w:t>á</w:t>
      </w:r>
      <w:r w:rsidRPr="00B51D2D">
        <w:rPr>
          <w:rFonts w:ascii="Times New Roman" w:hAnsi="Times New Roman" w:cs="Times New Roman"/>
          <w:b/>
          <w:u w:val="single"/>
        </w:rPr>
        <w:t xml:space="preserve">fico </w:t>
      </w:r>
      <w:r w:rsidR="007710B0">
        <w:rPr>
          <w:rFonts w:ascii="Times New Roman" w:hAnsi="Times New Roman" w:cs="Times New Roman"/>
          <w:b/>
          <w:u w:val="single"/>
        </w:rPr>
        <w:t>10</w:t>
      </w:r>
      <w:r w:rsidRPr="00B51D2D">
        <w:rPr>
          <w:rFonts w:ascii="Times New Roman" w:hAnsi="Times New Roman" w:cs="Times New Roman"/>
          <w:b/>
          <w:u w:val="single"/>
        </w:rPr>
        <w:t xml:space="preserve">. </w:t>
      </w:r>
      <w:r>
        <w:rPr>
          <w:rFonts w:ascii="Times New Roman" w:hAnsi="Times New Roman" w:cs="Times New Roman"/>
          <w:b/>
          <w:u w:val="single"/>
        </w:rPr>
        <w:t xml:space="preserve">Detalle Inversiones Especiales estimadas Descentralización </w:t>
      </w:r>
      <w:r w:rsidRPr="00B51D2D">
        <w:rPr>
          <w:rFonts w:ascii="Times New Roman" w:hAnsi="Times New Roman" w:cs="Times New Roman"/>
          <w:b/>
          <w:u w:val="single"/>
        </w:rPr>
        <w:t>201</w:t>
      </w:r>
      <w:r>
        <w:rPr>
          <w:rFonts w:ascii="Times New Roman" w:hAnsi="Times New Roman" w:cs="Times New Roman"/>
          <w:b/>
          <w:u w:val="single"/>
        </w:rPr>
        <w:t>9 MUPA</w:t>
      </w:r>
      <w:r w:rsidR="00421F43">
        <w:rPr>
          <w:rFonts w:ascii="Times New Roman" w:hAnsi="Times New Roman" w:cs="Times New Roman"/>
          <w:b/>
          <w:u w:val="single"/>
        </w:rPr>
        <w:t xml:space="preserve"> </w:t>
      </w:r>
    </w:p>
    <w:p w14:paraId="73C7FF4F" w14:textId="58646B4F" w:rsidR="00714E8E" w:rsidRDefault="00421F43" w:rsidP="00001C0F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u w:val="single"/>
        </w:rPr>
        <w:t>(importes en US$)</w:t>
      </w:r>
    </w:p>
    <w:p w14:paraId="431C007A" w14:textId="027AEC84" w:rsidR="00714E8E" w:rsidRDefault="00246AC4" w:rsidP="00233BDA">
      <w:pPr>
        <w:jc w:val="both"/>
        <w:rPr>
          <w:rFonts w:ascii="Times New Roman" w:hAnsi="Times New Roman" w:cs="Times New Roman"/>
        </w:rPr>
      </w:pPr>
      <w:r w:rsidRPr="00246AC4">
        <w:rPr>
          <w:noProof/>
        </w:rPr>
        <w:drawing>
          <wp:inline distT="0" distB="0" distL="0" distR="0" wp14:anchorId="444FAA5B" wp14:editId="228960C5">
            <wp:extent cx="5731510" cy="5003775"/>
            <wp:effectExtent l="0" t="0" r="2540" b="6985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5003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044312" w14:textId="77777777" w:rsidR="004B5531" w:rsidRPr="00A1312A" w:rsidRDefault="004B5531" w:rsidP="004B5531">
      <w:pPr>
        <w:rPr>
          <w:rFonts w:ascii="Times New Roman" w:hAnsi="Times New Roman" w:cs="Times New Roman"/>
          <w:sz w:val="16"/>
        </w:rPr>
      </w:pPr>
      <w:r w:rsidRPr="00A1312A">
        <w:rPr>
          <w:rFonts w:ascii="Times New Roman" w:hAnsi="Times New Roman" w:cs="Times New Roman"/>
          <w:sz w:val="16"/>
        </w:rPr>
        <w:t>Fuente: Elaboración propia con información presupuestal recibida del MUPA</w:t>
      </w:r>
    </w:p>
    <w:p w14:paraId="735E7A10" w14:textId="0A7D9D0B" w:rsidR="00714E8E" w:rsidRDefault="00714E8E" w:rsidP="00233BDA">
      <w:pPr>
        <w:jc w:val="both"/>
        <w:rPr>
          <w:rFonts w:ascii="Times New Roman" w:hAnsi="Times New Roman" w:cs="Times New Roman"/>
        </w:rPr>
      </w:pPr>
    </w:p>
    <w:p w14:paraId="0FFE71C3" w14:textId="2F5EF33F" w:rsidR="00714E8E" w:rsidRDefault="00714E8E" w:rsidP="00233BDA">
      <w:pPr>
        <w:jc w:val="both"/>
        <w:rPr>
          <w:rFonts w:ascii="Times New Roman" w:hAnsi="Times New Roman" w:cs="Times New Roman"/>
        </w:rPr>
      </w:pPr>
    </w:p>
    <w:p w14:paraId="68A69492" w14:textId="599E9954" w:rsidR="00714E8E" w:rsidRDefault="00714E8E" w:rsidP="00233BDA">
      <w:pPr>
        <w:jc w:val="both"/>
        <w:rPr>
          <w:rFonts w:ascii="Times New Roman" w:hAnsi="Times New Roman" w:cs="Times New Roman"/>
        </w:rPr>
      </w:pPr>
    </w:p>
    <w:p w14:paraId="346D01C2" w14:textId="54E94BF0" w:rsidR="00714E8E" w:rsidRDefault="00714E8E" w:rsidP="00233BDA">
      <w:pPr>
        <w:jc w:val="both"/>
        <w:rPr>
          <w:rFonts w:ascii="Times New Roman" w:hAnsi="Times New Roman" w:cs="Times New Roman"/>
        </w:rPr>
      </w:pPr>
    </w:p>
    <w:p w14:paraId="15131593" w14:textId="182F64A6" w:rsidR="00714E8E" w:rsidRDefault="00714E8E" w:rsidP="00233BDA">
      <w:pPr>
        <w:jc w:val="both"/>
        <w:rPr>
          <w:rFonts w:ascii="Times New Roman" w:hAnsi="Times New Roman" w:cs="Times New Roman"/>
        </w:rPr>
      </w:pPr>
    </w:p>
    <w:p w14:paraId="6D34E947" w14:textId="21E632BE" w:rsidR="00714E8E" w:rsidRDefault="00714E8E" w:rsidP="00233BDA">
      <w:pPr>
        <w:jc w:val="both"/>
        <w:rPr>
          <w:rFonts w:ascii="Times New Roman" w:hAnsi="Times New Roman" w:cs="Times New Roman"/>
        </w:rPr>
      </w:pPr>
    </w:p>
    <w:p w14:paraId="173576DF" w14:textId="791E064D" w:rsidR="00714E8E" w:rsidRDefault="00714E8E" w:rsidP="00233BDA">
      <w:pPr>
        <w:jc w:val="both"/>
        <w:rPr>
          <w:rFonts w:ascii="Times New Roman" w:hAnsi="Times New Roman" w:cs="Times New Roman"/>
        </w:rPr>
      </w:pPr>
    </w:p>
    <w:p w14:paraId="45342F5C" w14:textId="5A26E7E7" w:rsidR="00714E8E" w:rsidRPr="008C6EF6" w:rsidRDefault="008C6EF6" w:rsidP="008C6EF6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b/>
          <w:u w:val="single"/>
        </w:rPr>
      </w:pPr>
      <w:r w:rsidRPr="008C6EF6">
        <w:rPr>
          <w:rFonts w:ascii="Times New Roman" w:hAnsi="Times New Roman" w:cs="Times New Roman"/>
          <w:b/>
          <w:u w:val="single"/>
        </w:rPr>
        <w:lastRenderedPageBreak/>
        <w:t>ESTADOS FINANCIERO</w:t>
      </w:r>
      <w:r w:rsidR="00536445">
        <w:rPr>
          <w:rFonts w:ascii="Times New Roman" w:hAnsi="Times New Roman" w:cs="Times New Roman"/>
          <w:b/>
          <w:u w:val="single"/>
        </w:rPr>
        <w:t>S</w:t>
      </w:r>
      <w:r w:rsidRPr="008C6EF6">
        <w:rPr>
          <w:rFonts w:ascii="Times New Roman" w:hAnsi="Times New Roman" w:cs="Times New Roman"/>
          <w:b/>
          <w:u w:val="single"/>
        </w:rPr>
        <w:t xml:space="preserve"> HISTORICOS MUPA</w:t>
      </w:r>
    </w:p>
    <w:p w14:paraId="7E90A8F6" w14:textId="1E6F9455" w:rsidR="00012C87" w:rsidRDefault="003C5667" w:rsidP="00233BDA">
      <w:pPr>
        <w:jc w:val="both"/>
        <w:rPr>
          <w:rFonts w:ascii="Times New Roman" w:hAnsi="Times New Roman" w:cs="Times New Roman"/>
        </w:rPr>
      </w:pPr>
      <w:r w:rsidRPr="003C5667">
        <w:rPr>
          <w:rFonts w:ascii="Times New Roman" w:hAnsi="Times New Roman" w:cs="Times New Roman"/>
        </w:rPr>
        <w:t xml:space="preserve">La </w:t>
      </w:r>
      <w:r w:rsidR="0088779D">
        <w:rPr>
          <w:rFonts w:ascii="Times New Roman" w:hAnsi="Times New Roman" w:cs="Times New Roman"/>
        </w:rPr>
        <w:t>contabilidad de las operaciones</w:t>
      </w:r>
      <w:r w:rsidR="00DF1478">
        <w:rPr>
          <w:rFonts w:ascii="Times New Roman" w:hAnsi="Times New Roman" w:cs="Times New Roman"/>
        </w:rPr>
        <w:t xml:space="preserve"> del MUPA</w:t>
      </w:r>
      <w:r w:rsidR="0088779D">
        <w:rPr>
          <w:rFonts w:ascii="Times New Roman" w:hAnsi="Times New Roman" w:cs="Times New Roman"/>
        </w:rPr>
        <w:t xml:space="preserve"> se ha efectuado de acuerdo con la metodología y el plan contable gubernamental comprendidos en el citado manual de la Contralia General de la República. Los Estados Financieros del MUPA son elaborados</w:t>
      </w:r>
      <w:r w:rsidR="0087356D">
        <w:rPr>
          <w:rFonts w:ascii="Times New Roman" w:hAnsi="Times New Roman" w:cs="Times New Roman"/>
        </w:rPr>
        <w:t xml:space="preserve"> anualmente</w:t>
      </w:r>
      <w:r w:rsidR="0088779D">
        <w:rPr>
          <w:rFonts w:ascii="Times New Roman" w:hAnsi="Times New Roman" w:cs="Times New Roman"/>
        </w:rPr>
        <w:t xml:space="preserve"> en base a las disposiciones contenidas en el Reglamento para la preparación de la Información Financiera, aprobado mediante el Decreto No.4 del 8 de enero de 1993, el mismo que forma parte sustancial del Manual General de Contabilidad Gubernamental, adoptado mediante Decreto No. 113 de 21 d junio de 1993. </w:t>
      </w:r>
    </w:p>
    <w:p w14:paraId="2B703738" w14:textId="3AD8E0DA" w:rsidR="00226624" w:rsidRDefault="0063427C" w:rsidP="00233BD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El estado</w:t>
      </w:r>
      <w:r w:rsidR="009271BF">
        <w:rPr>
          <w:rFonts w:ascii="Times New Roman" w:hAnsi="Times New Roman" w:cs="Times New Roman"/>
        </w:rPr>
        <w:t xml:space="preserve"> de resultados </w:t>
      </w:r>
      <w:r w:rsidR="00F121E7">
        <w:rPr>
          <w:rFonts w:ascii="Times New Roman" w:hAnsi="Times New Roman" w:cs="Times New Roman"/>
        </w:rPr>
        <w:t xml:space="preserve">2015-2017 </w:t>
      </w:r>
      <w:r w:rsidR="009271BF">
        <w:rPr>
          <w:rFonts w:ascii="Times New Roman" w:hAnsi="Times New Roman" w:cs="Times New Roman"/>
        </w:rPr>
        <w:t>del MUPA re</w:t>
      </w:r>
      <w:r w:rsidR="006A7F92">
        <w:rPr>
          <w:rFonts w:ascii="Times New Roman" w:hAnsi="Times New Roman" w:cs="Times New Roman"/>
        </w:rPr>
        <w:t xml:space="preserve">fleja que el MUPA, con ingresos tributarios y no tributarios </w:t>
      </w:r>
      <w:r w:rsidR="00F121E7">
        <w:rPr>
          <w:rFonts w:ascii="Times New Roman" w:hAnsi="Times New Roman" w:cs="Times New Roman"/>
        </w:rPr>
        <w:t>procedentes de las actividades</w:t>
      </w:r>
      <w:r w:rsidR="004927E3">
        <w:rPr>
          <w:rFonts w:ascii="Times New Roman" w:hAnsi="Times New Roman" w:cs="Times New Roman"/>
        </w:rPr>
        <w:t xml:space="preserve"> ordinarias</w:t>
      </w:r>
      <w:r w:rsidR="00F121E7">
        <w:rPr>
          <w:rFonts w:ascii="Times New Roman" w:hAnsi="Times New Roman" w:cs="Times New Roman"/>
        </w:rPr>
        <w:t xml:space="preserve"> de la municipalidad, ha sido capaz de cubrir sus gastos operativos</w:t>
      </w:r>
      <w:r w:rsidR="00F77AEC">
        <w:rPr>
          <w:rFonts w:ascii="Times New Roman" w:hAnsi="Times New Roman" w:cs="Times New Roman"/>
        </w:rPr>
        <w:t xml:space="preserve"> de forma adecuada</w:t>
      </w:r>
      <w:r w:rsidR="00F121E7">
        <w:rPr>
          <w:rFonts w:ascii="Times New Roman" w:hAnsi="Times New Roman" w:cs="Times New Roman"/>
        </w:rPr>
        <w:t>, mostrando un margen operativo positivo del 20.9% para el 2017, y un 21.9% y 29% respectivamente</w:t>
      </w:r>
      <w:r w:rsidR="000817D6">
        <w:rPr>
          <w:rFonts w:ascii="Times New Roman" w:hAnsi="Times New Roman" w:cs="Times New Roman"/>
        </w:rPr>
        <w:t xml:space="preserve">. </w:t>
      </w:r>
      <w:r w:rsidR="009C189D">
        <w:rPr>
          <w:rFonts w:ascii="Times New Roman" w:hAnsi="Times New Roman" w:cs="Times New Roman"/>
        </w:rPr>
        <w:t>Los ingresos de la MUPA tuvieron un crecimiento medio del 7.7% anual en el periodo 2015-2017, y los gastos operativos un crecimiento medio del 13.8% en el mismo periodo.</w:t>
      </w:r>
      <w:r w:rsidR="004B5531">
        <w:rPr>
          <w:rFonts w:ascii="Times New Roman" w:hAnsi="Times New Roman" w:cs="Times New Roman"/>
        </w:rPr>
        <w:t xml:space="preserve"> </w:t>
      </w:r>
      <w:r w:rsidR="004927E3">
        <w:rPr>
          <w:rFonts w:ascii="Times New Roman" w:hAnsi="Times New Roman" w:cs="Times New Roman"/>
        </w:rPr>
        <w:t>L</w:t>
      </w:r>
      <w:r w:rsidR="000817D6">
        <w:rPr>
          <w:rFonts w:ascii="Times New Roman" w:hAnsi="Times New Roman" w:cs="Times New Roman"/>
        </w:rPr>
        <w:t>a entidad ha obtenido resultados</w:t>
      </w:r>
      <w:r w:rsidR="00302966">
        <w:rPr>
          <w:rFonts w:ascii="Times New Roman" w:hAnsi="Times New Roman" w:cs="Times New Roman"/>
        </w:rPr>
        <w:t xml:space="preserve"> positivos</w:t>
      </w:r>
      <w:r w:rsidR="000817D6">
        <w:rPr>
          <w:rFonts w:ascii="Times New Roman" w:hAnsi="Times New Roman" w:cs="Times New Roman"/>
        </w:rPr>
        <w:t xml:space="preserve"> antes de aportes fiscales</w:t>
      </w:r>
      <w:r w:rsidR="00302966">
        <w:rPr>
          <w:rFonts w:ascii="Times New Roman" w:hAnsi="Times New Roman" w:cs="Times New Roman"/>
        </w:rPr>
        <w:t xml:space="preserve">. Las transferencias corrientes recibidas del Gobierno Nacional han sido superiores a las transferencias corrientes realizadas y subsidios otorgados por la MUPA en los ejercicios 2016 y 2017, vinculado a la aplicación del régimen de descentralización de Panamá a partir del ejercicio 2016 mediante la transferencia de la recaudación del Impuesto </w:t>
      </w:r>
      <w:r w:rsidR="005B0F05">
        <w:rPr>
          <w:rFonts w:ascii="Times New Roman" w:hAnsi="Times New Roman" w:cs="Times New Roman"/>
        </w:rPr>
        <w:t>de</w:t>
      </w:r>
      <w:r w:rsidR="00302966">
        <w:rPr>
          <w:rFonts w:ascii="Times New Roman" w:hAnsi="Times New Roman" w:cs="Times New Roman"/>
        </w:rPr>
        <w:t xml:space="preserve"> Inmuebles realizada por el MEF, al MUPA. En todo el periodo analizado, el MUPA ha obtenido resultados netos positivos en su estado de resultados, </w:t>
      </w:r>
      <w:r w:rsidR="005B0F05">
        <w:rPr>
          <w:rFonts w:ascii="Times New Roman" w:hAnsi="Times New Roman" w:cs="Times New Roman"/>
        </w:rPr>
        <w:t>con unos márgenes sobre ingresos del 35.7%, 50.9% y 0,4% en los ejercicios 2017,2016 y 2015 respectivamente.</w:t>
      </w:r>
      <w:r w:rsidR="004B5531">
        <w:rPr>
          <w:rFonts w:ascii="Times New Roman" w:hAnsi="Times New Roman" w:cs="Times New Roman"/>
        </w:rPr>
        <w:t xml:space="preserve"> </w:t>
      </w:r>
      <w:r w:rsidR="003E059F">
        <w:rPr>
          <w:rFonts w:ascii="Times New Roman" w:hAnsi="Times New Roman" w:cs="Times New Roman"/>
        </w:rPr>
        <w:t>A continuación se pres</w:t>
      </w:r>
      <w:r w:rsidR="000C2BDE">
        <w:rPr>
          <w:rFonts w:ascii="Times New Roman" w:hAnsi="Times New Roman" w:cs="Times New Roman"/>
        </w:rPr>
        <w:t>enta el estado de resultados histórico de la MUPA de los tres últimos ejercicios cerrados (201</w:t>
      </w:r>
      <w:r w:rsidR="0088779D">
        <w:rPr>
          <w:rFonts w:ascii="Times New Roman" w:hAnsi="Times New Roman" w:cs="Times New Roman"/>
        </w:rPr>
        <w:t>5</w:t>
      </w:r>
      <w:r w:rsidR="000C2BDE">
        <w:rPr>
          <w:rFonts w:ascii="Times New Roman" w:hAnsi="Times New Roman" w:cs="Times New Roman"/>
        </w:rPr>
        <w:t>,</w:t>
      </w:r>
      <w:r w:rsidR="0088779D">
        <w:rPr>
          <w:rFonts w:ascii="Times New Roman" w:hAnsi="Times New Roman" w:cs="Times New Roman"/>
        </w:rPr>
        <w:t xml:space="preserve"> </w:t>
      </w:r>
      <w:r w:rsidR="000C2BDE">
        <w:rPr>
          <w:rFonts w:ascii="Times New Roman" w:hAnsi="Times New Roman" w:cs="Times New Roman"/>
        </w:rPr>
        <w:t>2016 y 2017).</w:t>
      </w:r>
    </w:p>
    <w:p w14:paraId="6C26134D" w14:textId="2AC4294B" w:rsidR="0021273F" w:rsidRPr="0021273F" w:rsidRDefault="0021273F" w:rsidP="0021273F">
      <w:pPr>
        <w:jc w:val="center"/>
        <w:rPr>
          <w:rFonts w:ascii="Times New Roman" w:hAnsi="Times New Roman" w:cs="Times New Roman"/>
          <w:lang w:val="pt-BR"/>
        </w:rPr>
      </w:pPr>
      <w:r w:rsidRPr="0021273F">
        <w:rPr>
          <w:rFonts w:ascii="Times New Roman" w:hAnsi="Times New Roman" w:cs="Times New Roman"/>
          <w:b/>
          <w:u w:val="single"/>
          <w:lang w:val="pt-BR"/>
        </w:rPr>
        <w:t xml:space="preserve">Gráfico </w:t>
      </w:r>
      <w:r w:rsidR="007710B0">
        <w:rPr>
          <w:rFonts w:ascii="Times New Roman" w:hAnsi="Times New Roman" w:cs="Times New Roman"/>
          <w:b/>
          <w:u w:val="single"/>
          <w:lang w:val="pt-BR"/>
        </w:rPr>
        <w:t>11</w:t>
      </w:r>
      <w:r w:rsidRPr="0021273F">
        <w:rPr>
          <w:rFonts w:ascii="Times New Roman" w:hAnsi="Times New Roman" w:cs="Times New Roman"/>
          <w:b/>
          <w:u w:val="single"/>
          <w:lang w:val="pt-BR"/>
        </w:rPr>
        <w:t>. Estado</w:t>
      </w:r>
      <w:r>
        <w:rPr>
          <w:rFonts w:ascii="Times New Roman" w:hAnsi="Times New Roman" w:cs="Times New Roman"/>
          <w:b/>
          <w:u w:val="single"/>
          <w:lang w:val="pt-BR"/>
        </w:rPr>
        <w:t xml:space="preserve"> de Resultados histórico MUPA (importes </w:t>
      </w:r>
      <w:r w:rsidRPr="00F7189E">
        <w:rPr>
          <w:rFonts w:ascii="Times New Roman" w:hAnsi="Times New Roman" w:cs="Times New Roman"/>
          <w:b/>
          <w:u w:val="single"/>
          <w:lang w:val="es-ES"/>
        </w:rPr>
        <w:t>en</w:t>
      </w:r>
      <w:r>
        <w:rPr>
          <w:rFonts w:ascii="Times New Roman" w:hAnsi="Times New Roman" w:cs="Times New Roman"/>
          <w:b/>
          <w:u w:val="single"/>
          <w:lang w:val="pt-BR"/>
        </w:rPr>
        <w:t xml:space="preserve"> US$)</w:t>
      </w:r>
    </w:p>
    <w:p w14:paraId="0584A4F0" w14:textId="2D36DAD8" w:rsidR="00D75D7C" w:rsidRDefault="00A06BE1" w:rsidP="00490F73">
      <w:pPr>
        <w:jc w:val="center"/>
        <w:rPr>
          <w:rFonts w:ascii="Times New Roman" w:hAnsi="Times New Roman" w:cs="Times New Roman"/>
        </w:rPr>
      </w:pPr>
      <w:r w:rsidRPr="00A06BE1">
        <w:rPr>
          <w:noProof/>
        </w:rPr>
        <w:drawing>
          <wp:inline distT="0" distB="0" distL="0" distR="0" wp14:anchorId="59FF22D2" wp14:editId="0C332E28">
            <wp:extent cx="4792980" cy="3586260"/>
            <wp:effectExtent l="0" t="0" r="762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4492" cy="35873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7E7E1D" w14:textId="2075D136" w:rsidR="004B5531" w:rsidRPr="00A1312A" w:rsidRDefault="004B5531" w:rsidP="004B5531">
      <w:pPr>
        <w:ind w:firstLine="708"/>
        <w:rPr>
          <w:rFonts w:ascii="Times New Roman" w:hAnsi="Times New Roman" w:cs="Times New Roman"/>
          <w:sz w:val="16"/>
        </w:rPr>
      </w:pPr>
      <w:r w:rsidRPr="00A1312A">
        <w:rPr>
          <w:rFonts w:ascii="Times New Roman" w:hAnsi="Times New Roman" w:cs="Times New Roman"/>
          <w:sz w:val="16"/>
        </w:rPr>
        <w:t xml:space="preserve">Fuente: Elaboración propia con información </w:t>
      </w:r>
      <w:r>
        <w:rPr>
          <w:rFonts w:ascii="Times New Roman" w:hAnsi="Times New Roman" w:cs="Times New Roman"/>
          <w:sz w:val="16"/>
        </w:rPr>
        <w:t>contable</w:t>
      </w:r>
      <w:r w:rsidRPr="00A1312A">
        <w:rPr>
          <w:rFonts w:ascii="Times New Roman" w:hAnsi="Times New Roman" w:cs="Times New Roman"/>
          <w:sz w:val="16"/>
        </w:rPr>
        <w:t xml:space="preserve"> recibida del MUPA</w:t>
      </w:r>
    </w:p>
    <w:p w14:paraId="2C766D88" w14:textId="77777777" w:rsidR="004B5531" w:rsidRDefault="004B5531" w:rsidP="00490F73">
      <w:pPr>
        <w:jc w:val="center"/>
        <w:rPr>
          <w:rFonts w:ascii="Times New Roman" w:hAnsi="Times New Roman" w:cs="Times New Roman"/>
        </w:rPr>
      </w:pPr>
    </w:p>
    <w:p w14:paraId="5300F4A9" w14:textId="22FF95CA" w:rsidR="00D75D7C" w:rsidRDefault="006D5666" w:rsidP="0088779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Por otro lado, como se observa en el estado de flujo de efectivo, la entidad ha obtenido incremento de efectivo en las actividades de operación en los ejercicios 2016 y 2017, que en 2016 le permitieron financiar sus actividades de inversión y pagar la amortización de los préstamos obtenidos. En 2015 y 2017, la entidad acometió sus actividades de inversión y las obligaciones de sus actividades de financiamiento </w:t>
      </w:r>
      <w:r w:rsidR="00544D98">
        <w:rPr>
          <w:rFonts w:ascii="Times New Roman" w:hAnsi="Times New Roman" w:cs="Times New Roman"/>
        </w:rPr>
        <w:t>con recursos de efectivo provenientes de saldos positivos de ejercicios anteriores.</w:t>
      </w:r>
    </w:p>
    <w:p w14:paraId="56963B8E" w14:textId="4CB83CCA" w:rsidR="0088779D" w:rsidRDefault="0088779D" w:rsidP="0088779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continuación se presenta el estado de flujo de efectivo histórico de la MUPA de los tres últimos ejercicios cerrados (2015, 2016 y 2017).</w:t>
      </w:r>
    </w:p>
    <w:p w14:paraId="3981762E" w14:textId="6ED98CC0" w:rsidR="00A018FF" w:rsidRPr="0021273F" w:rsidRDefault="00A018FF" w:rsidP="00176D4A">
      <w:pPr>
        <w:spacing w:line="240" w:lineRule="auto"/>
        <w:jc w:val="center"/>
        <w:rPr>
          <w:rFonts w:ascii="Times New Roman" w:hAnsi="Times New Roman" w:cs="Times New Roman"/>
          <w:lang w:val="pt-BR"/>
        </w:rPr>
      </w:pPr>
      <w:r w:rsidRPr="0021273F">
        <w:rPr>
          <w:rFonts w:ascii="Times New Roman" w:hAnsi="Times New Roman" w:cs="Times New Roman"/>
          <w:b/>
          <w:u w:val="single"/>
          <w:lang w:val="pt-BR"/>
        </w:rPr>
        <w:t xml:space="preserve">Gráfico </w:t>
      </w:r>
      <w:r w:rsidR="007710B0">
        <w:rPr>
          <w:rFonts w:ascii="Times New Roman" w:hAnsi="Times New Roman" w:cs="Times New Roman"/>
          <w:b/>
          <w:u w:val="single"/>
          <w:lang w:val="pt-BR"/>
        </w:rPr>
        <w:t>12</w:t>
      </w:r>
      <w:r w:rsidRPr="0021273F">
        <w:rPr>
          <w:rFonts w:ascii="Times New Roman" w:hAnsi="Times New Roman" w:cs="Times New Roman"/>
          <w:b/>
          <w:u w:val="single"/>
          <w:lang w:val="pt-BR"/>
        </w:rPr>
        <w:t>. Estado</w:t>
      </w:r>
      <w:r>
        <w:rPr>
          <w:rFonts w:ascii="Times New Roman" w:hAnsi="Times New Roman" w:cs="Times New Roman"/>
          <w:b/>
          <w:u w:val="single"/>
          <w:lang w:val="pt-BR"/>
        </w:rPr>
        <w:t xml:space="preserve"> de </w:t>
      </w:r>
      <w:r w:rsidRPr="00542719">
        <w:rPr>
          <w:rFonts w:ascii="Times New Roman" w:hAnsi="Times New Roman" w:cs="Times New Roman"/>
          <w:b/>
          <w:u w:val="single"/>
          <w:lang w:val="es-ES"/>
        </w:rPr>
        <w:t>Flujo</w:t>
      </w:r>
      <w:r>
        <w:rPr>
          <w:rFonts w:ascii="Times New Roman" w:hAnsi="Times New Roman" w:cs="Times New Roman"/>
          <w:b/>
          <w:u w:val="single"/>
          <w:lang w:val="pt-BR"/>
        </w:rPr>
        <w:t xml:space="preserve"> de </w:t>
      </w:r>
      <w:r w:rsidR="00542719" w:rsidRPr="00542719">
        <w:rPr>
          <w:rFonts w:ascii="Times New Roman" w:hAnsi="Times New Roman" w:cs="Times New Roman"/>
          <w:b/>
          <w:u w:val="single"/>
          <w:lang w:val="es-ES"/>
        </w:rPr>
        <w:t>Efectivo</w:t>
      </w:r>
      <w:r>
        <w:rPr>
          <w:rFonts w:ascii="Times New Roman" w:hAnsi="Times New Roman" w:cs="Times New Roman"/>
          <w:b/>
          <w:u w:val="single"/>
          <w:lang w:val="pt-BR"/>
        </w:rPr>
        <w:t xml:space="preserve"> histórico MUPA (importes </w:t>
      </w:r>
      <w:r w:rsidRPr="00F7189E">
        <w:rPr>
          <w:rFonts w:ascii="Times New Roman" w:hAnsi="Times New Roman" w:cs="Times New Roman"/>
          <w:b/>
          <w:u w:val="single"/>
          <w:lang w:val="es-ES"/>
        </w:rPr>
        <w:t>en</w:t>
      </w:r>
      <w:r>
        <w:rPr>
          <w:rFonts w:ascii="Times New Roman" w:hAnsi="Times New Roman" w:cs="Times New Roman"/>
          <w:b/>
          <w:u w:val="single"/>
          <w:lang w:val="pt-BR"/>
        </w:rPr>
        <w:t xml:space="preserve"> US$)</w:t>
      </w:r>
    </w:p>
    <w:p w14:paraId="5C30C7CB" w14:textId="26A3C4F0" w:rsidR="00226624" w:rsidRDefault="00542719" w:rsidP="00A319CF">
      <w:pPr>
        <w:jc w:val="center"/>
        <w:rPr>
          <w:rFonts w:ascii="Times New Roman" w:hAnsi="Times New Roman" w:cs="Times New Roman"/>
          <w:lang w:val="pt-BR"/>
        </w:rPr>
      </w:pPr>
      <w:r w:rsidRPr="00542719">
        <w:rPr>
          <w:noProof/>
        </w:rPr>
        <w:drawing>
          <wp:inline distT="0" distB="0" distL="0" distR="0" wp14:anchorId="7DDDC45A" wp14:editId="468D5BDF">
            <wp:extent cx="5731510" cy="3189754"/>
            <wp:effectExtent l="0" t="0" r="254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1897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8BA9FF" w14:textId="0671040D" w:rsidR="004B5531" w:rsidRPr="00A1312A" w:rsidRDefault="004B5531" w:rsidP="004B5531">
      <w:pPr>
        <w:rPr>
          <w:rFonts w:ascii="Times New Roman" w:hAnsi="Times New Roman" w:cs="Times New Roman"/>
          <w:sz w:val="16"/>
        </w:rPr>
      </w:pPr>
      <w:r w:rsidRPr="00A1312A">
        <w:rPr>
          <w:rFonts w:ascii="Times New Roman" w:hAnsi="Times New Roman" w:cs="Times New Roman"/>
          <w:sz w:val="16"/>
        </w:rPr>
        <w:t xml:space="preserve">Fuente: Elaboración propia con información </w:t>
      </w:r>
      <w:r>
        <w:rPr>
          <w:rFonts w:ascii="Times New Roman" w:hAnsi="Times New Roman" w:cs="Times New Roman"/>
          <w:sz w:val="16"/>
        </w:rPr>
        <w:t>contable</w:t>
      </w:r>
      <w:r w:rsidRPr="00A1312A">
        <w:rPr>
          <w:rFonts w:ascii="Times New Roman" w:hAnsi="Times New Roman" w:cs="Times New Roman"/>
          <w:sz w:val="16"/>
        </w:rPr>
        <w:t xml:space="preserve"> recibida del MUPA</w:t>
      </w:r>
    </w:p>
    <w:p w14:paraId="05F847E0" w14:textId="3182C3C3" w:rsidR="005B20DC" w:rsidRPr="00C453B3" w:rsidRDefault="009F325F" w:rsidP="005B20DC">
      <w:pPr>
        <w:spacing w:line="240" w:lineRule="auto"/>
        <w:jc w:val="both"/>
        <w:rPr>
          <w:rFonts w:ascii="Times New Roman" w:hAnsi="Times New Roman" w:cs="Times New Roman"/>
        </w:rPr>
      </w:pPr>
      <w:r w:rsidRPr="005F5DF0">
        <w:rPr>
          <w:rFonts w:ascii="Times New Roman" w:hAnsi="Times New Roman" w:cs="Times New Roman"/>
        </w:rPr>
        <w:t>Con relación al</w:t>
      </w:r>
      <w:r w:rsidR="005F5DF0">
        <w:rPr>
          <w:rFonts w:ascii="Times New Roman" w:hAnsi="Times New Roman" w:cs="Times New Roman"/>
        </w:rPr>
        <w:t xml:space="preserve"> Balance de Situación del MUPA, </w:t>
      </w:r>
      <w:r w:rsidR="005B20DC">
        <w:rPr>
          <w:rFonts w:ascii="Times New Roman" w:hAnsi="Times New Roman" w:cs="Times New Roman"/>
        </w:rPr>
        <w:t>l</w:t>
      </w:r>
      <w:r w:rsidR="005B20DC" w:rsidRPr="00C453B3">
        <w:rPr>
          <w:rFonts w:ascii="Times New Roman" w:hAnsi="Times New Roman" w:cs="Times New Roman"/>
        </w:rPr>
        <w:t>os estados financieros correspondientes a diciembre de 201</w:t>
      </w:r>
      <w:r w:rsidR="005B20DC">
        <w:rPr>
          <w:rFonts w:ascii="Times New Roman" w:hAnsi="Times New Roman" w:cs="Times New Roman"/>
        </w:rPr>
        <w:t>7</w:t>
      </w:r>
      <w:r w:rsidR="005B20DC" w:rsidRPr="00C453B3">
        <w:rPr>
          <w:rFonts w:ascii="Times New Roman" w:hAnsi="Times New Roman" w:cs="Times New Roman"/>
        </w:rPr>
        <w:t xml:space="preserve"> indican que los activos de la</w:t>
      </w:r>
      <w:r w:rsidR="005B20DC">
        <w:rPr>
          <w:rFonts w:ascii="Times New Roman" w:hAnsi="Times New Roman" w:cs="Times New Roman"/>
        </w:rPr>
        <w:t xml:space="preserve"> entidad municipal ascienden a más de US$234.6</w:t>
      </w:r>
      <w:r w:rsidR="005B20DC" w:rsidRPr="00C453B3">
        <w:rPr>
          <w:rFonts w:ascii="Times New Roman" w:hAnsi="Times New Roman" w:cs="Times New Roman"/>
        </w:rPr>
        <w:t>millones</w:t>
      </w:r>
      <w:r w:rsidR="005B20DC">
        <w:rPr>
          <w:rFonts w:ascii="Times New Roman" w:hAnsi="Times New Roman" w:cs="Times New Roman"/>
        </w:rPr>
        <w:t>. La estructura de activos (2017</w:t>
      </w:r>
      <w:r w:rsidR="005B20DC" w:rsidRPr="00C453B3">
        <w:rPr>
          <w:rFonts w:ascii="Times New Roman" w:hAnsi="Times New Roman" w:cs="Times New Roman"/>
        </w:rPr>
        <w:t xml:space="preserve">) se encuentra respaldada con una </w:t>
      </w:r>
      <w:r w:rsidR="005B20DC">
        <w:rPr>
          <w:rFonts w:ascii="Times New Roman" w:hAnsi="Times New Roman" w:cs="Times New Roman"/>
        </w:rPr>
        <w:t xml:space="preserve">elevada </w:t>
      </w:r>
      <w:r w:rsidR="005B20DC" w:rsidRPr="00C453B3">
        <w:rPr>
          <w:rFonts w:ascii="Times New Roman" w:hAnsi="Times New Roman" w:cs="Times New Roman"/>
        </w:rPr>
        <w:t>relación de pat</w:t>
      </w:r>
      <w:r w:rsidR="005B20DC">
        <w:rPr>
          <w:rFonts w:ascii="Times New Roman" w:hAnsi="Times New Roman" w:cs="Times New Roman"/>
        </w:rPr>
        <w:t>rimonio a pasivos totales de: 83% con patrimonio y un 17</w:t>
      </w:r>
      <w:r w:rsidR="005B20DC" w:rsidRPr="00C453B3">
        <w:rPr>
          <w:rFonts w:ascii="Times New Roman" w:hAnsi="Times New Roman" w:cs="Times New Roman"/>
        </w:rPr>
        <w:t xml:space="preserve">% con capital de terceros. </w:t>
      </w:r>
    </w:p>
    <w:p w14:paraId="20EA0596" w14:textId="3EF55C48" w:rsidR="005B20DC" w:rsidRPr="00E134A7" w:rsidRDefault="00DC027C" w:rsidP="005B20DC">
      <w:pPr>
        <w:spacing w:line="240" w:lineRule="auto"/>
        <w:jc w:val="both"/>
        <w:rPr>
          <w:rFonts w:ascii="Times New Roman" w:hAnsi="Times New Roman" w:cs="Times New Roman"/>
          <w:highlight w:val="yellow"/>
        </w:rPr>
      </w:pPr>
      <w:r w:rsidRPr="00DC027C">
        <w:rPr>
          <w:rFonts w:ascii="Times New Roman" w:hAnsi="Times New Roman" w:cs="Times New Roman"/>
          <w:i/>
        </w:rPr>
        <w:t>Activo.</w:t>
      </w:r>
      <w:r>
        <w:rPr>
          <w:rFonts w:ascii="Times New Roman" w:hAnsi="Times New Roman" w:cs="Times New Roman"/>
        </w:rPr>
        <w:t xml:space="preserve"> </w:t>
      </w:r>
      <w:r w:rsidR="005B20DC">
        <w:rPr>
          <w:rFonts w:ascii="Times New Roman" w:hAnsi="Times New Roman" w:cs="Times New Roman"/>
        </w:rPr>
        <w:t xml:space="preserve">El activo no corriente (2017) representa </w:t>
      </w:r>
      <w:r w:rsidR="005B20DC" w:rsidRPr="009B1FDC">
        <w:rPr>
          <w:rFonts w:ascii="Times New Roman" w:hAnsi="Times New Roman" w:cs="Times New Roman"/>
        </w:rPr>
        <w:t xml:space="preserve">el </w:t>
      </w:r>
      <w:r w:rsidR="005B20DC">
        <w:rPr>
          <w:rFonts w:ascii="Times New Roman" w:hAnsi="Times New Roman" w:cs="Times New Roman"/>
        </w:rPr>
        <w:t>79</w:t>
      </w:r>
      <w:r w:rsidR="005B20DC" w:rsidRPr="009B1FDC">
        <w:rPr>
          <w:rFonts w:ascii="Times New Roman" w:hAnsi="Times New Roman" w:cs="Times New Roman"/>
        </w:rPr>
        <w:t>% del total de activo, y está constituido por los activos fijos netos de depreciación, que incluyen</w:t>
      </w:r>
      <w:r w:rsidR="005B20DC">
        <w:rPr>
          <w:rFonts w:ascii="Times New Roman" w:hAnsi="Times New Roman" w:cs="Times New Roman"/>
        </w:rPr>
        <w:t xml:space="preserve"> el rubro de</w:t>
      </w:r>
      <w:r w:rsidR="005B20DC" w:rsidRPr="009B1FDC">
        <w:rPr>
          <w:rFonts w:ascii="Times New Roman" w:hAnsi="Times New Roman" w:cs="Times New Roman"/>
        </w:rPr>
        <w:t xml:space="preserve"> </w:t>
      </w:r>
      <w:r w:rsidR="005B20DC">
        <w:rPr>
          <w:rFonts w:ascii="Times New Roman" w:hAnsi="Times New Roman" w:cs="Times New Roman"/>
        </w:rPr>
        <w:t>Inmuebles</w:t>
      </w:r>
      <w:r w:rsidR="005B20DC" w:rsidRPr="009B1FDC">
        <w:rPr>
          <w:rFonts w:ascii="Times New Roman" w:hAnsi="Times New Roman" w:cs="Times New Roman"/>
        </w:rPr>
        <w:t>, Maq</w:t>
      </w:r>
      <w:r w:rsidR="005B20DC">
        <w:rPr>
          <w:rFonts w:ascii="Times New Roman" w:hAnsi="Times New Roman" w:cs="Times New Roman"/>
        </w:rPr>
        <w:t xml:space="preserve">uinaria y Equipos que se utilizan en las actividades de la institución y que se presentan netos de depreciación acumulada, y el rubro de Otros activos, que comprende las cuentas que representan los bienes </w:t>
      </w:r>
      <w:r w:rsidR="00E13054">
        <w:rPr>
          <w:rFonts w:ascii="Times New Roman" w:hAnsi="Times New Roman" w:cs="Times New Roman"/>
        </w:rPr>
        <w:t>intangibles, los bienes agropecuarios, bienes culturales conformados por obras de arte y otros elementos culturales de bibliotecas y museos</w:t>
      </w:r>
      <w:r w:rsidR="009868CC">
        <w:rPr>
          <w:rFonts w:ascii="Times New Roman" w:hAnsi="Times New Roman" w:cs="Times New Roman"/>
        </w:rPr>
        <w:t xml:space="preserve">; la partida de Otros Activos </w:t>
      </w:r>
      <w:r w:rsidR="009868CC" w:rsidRPr="00647C4F">
        <w:rPr>
          <w:rFonts w:ascii="Times New Roman" w:hAnsi="Times New Roman" w:cs="Times New Roman"/>
        </w:rPr>
        <w:t>se expresa a su valor nominal ajustado por previsiones correspondientes a la irrecuperabilidad estimad</w:t>
      </w:r>
      <w:r w:rsidR="009868CC">
        <w:rPr>
          <w:rFonts w:ascii="Times New Roman" w:hAnsi="Times New Roman" w:cs="Times New Roman"/>
        </w:rPr>
        <w:t>a</w:t>
      </w:r>
      <w:r w:rsidR="005B20DC" w:rsidRPr="00647C4F">
        <w:rPr>
          <w:rFonts w:ascii="Times New Roman" w:hAnsi="Times New Roman" w:cs="Times New Roman"/>
        </w:rPr>
        <w:t>. Por el lado del activo corriente, el mismo tiene capacidad de cubrir 1.</w:t>
      </w:r>
      <w:r w:rsidR="00E13054">
        <w:rPr>
          <w:rFonts w:ascii="Times New Roman" w:hAnsi="Times New Roman" w:cs="Times New Roman"/>
        </w:rPr>
        <w:t>25</w:t>
      </w:r>
      <w:r w:rsidR="005B20DC" w:rsidRPr="00647C4F">
        <w:rPr>
          <w:rFonts w:ascii="Times New Roman" w:hAnsi="Times New Roman" w:cs="Times New Roman"/>
        </w:rPr>
        <w:t xml:space="preserve"> veces el pasivo corriente</w:t>
      </w:r>
      <w:r w:rsidR="00E13054">
        <w:rPr>
          <w:rFonts w:ascii="Times New Roman" w:hAnsi="Times New Roman" w:cs="Times New Roman"/>
        </w:rPr>
        <w:t xml:space="preserve"> (2017)</w:t>
      </w:r>
      <w:r w:rsidR="005B20DC" w:rsidRPr="00647C4F">
        <w:rPr>
          <w:rFonts w:ascii="Times New Roman" w:hAnsi="Times New Roman" w:cs="Times New Roman"/>
        </w:rPr>
        <w:t xml:space="preserve">. Dicho activo corriente está representado en un </w:t>
      </w:r>
      <w:r w:rsidR="00E13054">
        <w:rPr>
          <w:rFonts w:ascii="Times New Roman" w:hAnsi="Times New Roman" w:cs="Times New Roman"/>
        </w:rPr>
        <w:t>57</w:t>
      </w:r>
      <w:r w:rsidR="005B20DC" w:rsidRPr="00647C4F">
        <w:rPr>
          <w:rFonts w:ascii="Times New Roman" w:hAnsi="Times New Roman" w:cs="Times New Roman"/>
        </w:rPr>
        <w:t>% por el rubro de</w:t>
      </w:r>
      <w:r w:rsidR="00E13054">
        <w:rPr>
          <w:rFonts w:ascii="Times New Roman" w:hAnsi="Times New Roman" w:cs="Times New Roman"/>
        </w:rPr>
        <w:t xml:space="preserve"> caja y Banco. Dentro del activo corriente, también se incluye el rubro de Cuenta por Cobrar, que incluye cuentas provenientes de la renta de locales de alquiler por cobrar, tasas y derechos, el rubro de Otras Cuentas por cobrar, que incluye montos de estacionamientos, el 2% por manejos de préstamos de funcionarios y otros, el  rubro de Inventarios, el cual es registrado al costo de adquisición y presentan el valor actual en almacenes de la institución, y el rubro de Gastos pagados por adelantado, los cuales representan las compras al contado, en donde se emite el cheque y posteriormente se realiza la compr</w:t>
      </w:r>
      <w:r w:rsidR="009868CC">
        <w:rPr>
          <w:rFonts w:ascii="Times New Roman" w:hAnsi="Times New Roman" w:cs="Times New Roman"/>
        </w:rPr>
        <w:t>a</w:t>
      </w:r>
      <w:r w:rsidR="005B20DC" w:rsidRPr="00647C4F">
        <w:rPr>
          <w:rFonts w:ascii="Times New Roman" w:hAnsi="Times New Roman" w:cs="Times New Roman"/>
        </w:rPr>
        <w:t>.</w:t>
      </w:r>
    </w:p>
    <w:p w14:paraId="4CE52196" w14:textId="11BCAC83" w:rsidR="005B20DC" w:rsidRPr="00C453B3" w:rsidRDefault="005B20DC" w:rsidP="005B20DC">
      <w:pPr>
        <w:spacing w:line="240" w:lineRule="auto"/>
        <w:jc w:val="both"/>
        <w:rPr>
          <w:rFonts w:ascii="Times New Roman" w:hAnsi="Times New Roman" w:cs="Times New Roman"/>
        </w:rPr>
      </w:pPr>
      <w:r w:rsidRPr="00E97AA0">
        <w:rPr>
          <w:rFonts w:ascii="Times New Roman" w:hAnsi="Times New Roman" w:cs="Times New Roman"/>
          <w:i/>
        </w:rPr>
        <w:lastRenderedPageBreak/>
        <w:t>Pasivo.</w:t>
      </w:r>
      <w:r w:rsidRPr="00E97AA0">
        <w:rPr>
          <w:rFonts w:ascii="Times New Roman" w:hAnsi="Times New Roman" w:cs="Times New Roman"/>
        </w:rPr>
        <w:t xml:space="preserve"> El nivel de apalancamiento, medido por la relación Deuda Financiera/Patrimonio Neto, se ubicó en el </w:t>
      </w:r>
      <w:r w:rsidR="00A47421">
        <w:rPr>
          <w:rFonts w:ascii="Times New Roman" w:hAnsi="Times New Roman" w:cs="Times New Roman"/>
        </w:rPr>
        <w:t>0.6</w:t>
      </w:r>
      <w:r w:rsidRPr="00E97AA0">
        <w:rPr>
          <w:rFonts w:ascii="Times New Roman" w:hAnsi="Times New Roman" w:cs="Times New Roman"/>
        </w:rPr>
        <w:t>% en el último ejercicio cerrado</w:t>
      </w:r>
      <w:r>
        <w:rPr>
          <w:rFonts w:ascii="Times New Roman" w:hAnsi="Times New Roman" w:cs="Times New Roman"/>
        </w:rPr>
        <w:t>, indicado un nivel de endeudamiento bancario muy reducido</w:t>
      </w:r>
      <w:r w:rsidRPr="00E97AA0">
        <w:rPr>
          <w:rFonts w:ascii="Times New Roman" w:hAnsi="Times New Roman" w:cs="Times New Roman"/>
        </w:rPr>
        <w:t xml:space="preserve">. </w:t>
      </w:r>
      <w:r w:rsidR="00A47421">
        <w:rPr>
          <w:rFonts w:ascii="Times New Roman" w:hAnsi="Times New Roman" w:cs="Times New Roman"/>
        </w:rPr>
        <w:t xml:space="preserve">La Deuda a Largo Plazo incluye un préstamo otorgado al MUPA por </w:t>
      </w:r>
      <w:r w:rsidR="0077501A">
        <w:rPr>
          <w:rFonts w:ascii="Times New Roman" w:hAnsi="Times New Roman" w:cs="Times New Roman"/>
        </w:rPr>
        <w:t xml:space="preserve">la entidad financiera </w:t>
      </w:r>
      <w:r w:rsidR="0077501A" w:rsidRPr="00B07B9D">
        <w:rPr>
          <w:rFonts w:ascii="Times New Roman" w:hAnsi="Times New Roman" w:cs="Times New Roman"/>
          <w:i/>
        </w:rPr>
        <w:t>Banistmo Securities Inc.</w:t>
      </w:r>
      <w:r w:rsidR="0077501A">
        <w:rPr>
          <w:rFonts w:ascii="Times New Roman" w:hAnsi="Times New Roman" w:cs="Times New Roman"/>
        </w:rPr>
        <w:t xml:space="preserve"> para la compra y remodelación de un edifico municipal</w:t>
      </w:r>
      <w:r w:rsidR="00EB00F4">
        <w:rPr>
          <w:rFonts w:ascii="Times New Roman" w:hAnsi="Times New Roman" w:cs="Times New Roman"/>
        </w:rPr>
        <w:t>,</w:t>
      </w:r>
      <w:r w:rsidR="0077501A">
        <w:rPr>
          <w:rFonts w:ascii="Times New Roman" w:hAnsi="Times New Roman" w:cs="Times New Roman"/>
        </w:rPr>
        <w:t xml:space="preserve"> así como para la adquisición de </w:t>
      </w:r>
      <w:r w:rsidR="00EB00F4">
        <w:rPr>
          <w:rFonts w:ascii="Times New Roman" w:hAnsi="Times New Roman" w:cs="Times New Roman"/>
        </w:rPr>
        <w:t xml:space="preserve">diverso </w:t>
      </w:r>
      <w:r w:rsidR="0077501A">
        <w:rPr>
          <w:rFonts w:ascii="Times New Roman" w:hAnsi="Times New Roman" w:cs="Times New Roman"/>
        </w:rPr>
        <w:t xml:space="preserve">mobiliario y equipo, </w:t>
      </w:r>
      <w:r w:rsidR="00EB00F4">
        <w:rPr>
          <w:rFonts w:ascii="Times New Roman" w:hAnsi="Times New Roman" w:cs="Times New Roman"/>
        </w:rPr>
        <w:t xml:space="preserve">y </w:t>
      </w:r>
      <w:r w:rsidR="0077501A">
        <w:rPr>
          <w:rFonts w:ascii="Times New Roman" w:hAnsi="Times New Roman" w:cs="Times New Roman"/>
        </w:rPr>
        <w:t xml:space="preserve">para la adquisición de una nueva flota de camiones para la recolección de desechos sólidos y adquisición de repuestos y accesorios. </w:t>
      </w:r>
      <w:r w:rsidR="001E7D62">
        <w:rPr>
          <w:rFonts w:ascii="Times New Roman" w:hAnsi="Times New Roman" w:cs="Times New Roman"/>
        </w:rPr>
        <w:t>Dentro del pasivo corriente</w:t>
      </w:r>
      <w:r w:rsidR="004D298A">
        <w:rPr>
          <w:rFonts w:ascii="Times New Roman" w:hAnsi="Times New Roman" w:cs="Times New Roman"/>
        </w:rPr>
        <w:t>, las Cuentas por Pagar representan en el último ejercicio el 83% del pasivo corriente, y comprenden las obligaciones adquiridas por la Institución a través de la compra de bienes y servicios.</w:t>
      </w:r>
      <w:r w:rsidR="00404A85">
        <w:rPr>
          <w:rFonts w:ascii="Times New Roman" w:hAnsi="Times New Roman" w:cs="Times New Roman"/>
        </w:rPr>
        <w:t xml:space="preserve"> La partida de Otras Cuentas por Pagar del pasivo corriente comprende los tributos a pagar, remuneraciones y pensiones por lagar, retenciones a favores de terceros así como otras cuentas por pagar diversas.</w:t>
      </w:r>
      <w:r w:rsidR="00DC027C">
        <w:rPr>
          <w:rFonts w:ascii="Times New Roman" w:hAnsi="Times New Roman" w:cs="Times New Roman"/>
        </w:rPr>
        <w:t xml:space="preserve"> Por otro lado, la partida de Ingresos diferidos del pasivo no corriente incluye </w:t>
      </w:r>
      <w:r w:rsidR="00B76CC5">
        <w:rPr>
          <w:rFonts w:ascii="Times New Roman" w:hAnsi="Times New Roman" w:cs="Times New Roman"/>
        </w:rPr>
        <w:t>las notas de crédito a favor del contribuyente y pagos adelantados de los arrendatarios.</w:t>
      </w:r>
    </w:p>
    <w:p w14:paraId="472BDE6C" w14:textId="470AC521" w:rsidR="0088779D" w:rsidRDefault="0088779D" w:rsidP="0088779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continuación se presenta el balance de situación histórico de la MUPA de los tres últimos ejercicios cerrados (2015, 2016 y 2017).</w:t>
      </w:r>
    </w:p>
    <w:p w14:paraId="2DAA5677" w14:textId="2AF9851B" w:rsidR="00542719" w:rsidRPr="00542719" w:rsidRDefault="00542719" w:rsidP="00542719">
      <w:pPr>
        <w:jc w:val="center"/>
        <w:rPr>
          <w:rFonts w:ascii="Times New Roman" w:hAnsi="Times New Roman" w:cs="Times New Roman"/>
        </w:rPr>
      </w:pPr>
      <w:r w:rsidRPr="00542719">
        <w:rPr>
          <w:rFonts w:ascii="Times New Roman" w:hAnsi="Times New Roman" w:cs="Times New Roman"/>
          <w:b/>
          <w:u w:val="single"/>
        </w:rPr>
        <w:t xml:space="preserve">Gráfico </w:t>
      </w:r>
      <w:r w:rsidR="007710B0">
        <w:rPr>
          <w:rFonts w:ascii="Times New Roman" w:hAnsi="Times New Roman" w:cs="Times New Roman"/>
          <w:b/>
          <w:u w:val="single"/>
        </w:rPr>
        <w:t>13</w:t>
      </w:r>
      <w:r w:rsidRPr="00542719">
        <w:rPr>
          <w:rFonts w:ascii="Times New Roman" w:hAnsi="Times New Roman" w:cs="Times New Roman"/>
          <w:b/>
          <w:u w:val="single"/>
        </w:rPr>
        <w:t>. Balance de situación histórico MUPA (importes en US$)</w:t>
      </w:r>
    </w:p>
    <w:p w14:paraId="26D5D2C1" w14:textId="17BABCB1" w:rsidR="00542719" w:rsidRDefault="00A319CF" w:rsidP="00A81DCD">
      <w:pPr>
        <w:jc w:val="center"/>
        <w:rPr>
          <w:rFonts w:ascii="Times New Roman" w:hAnsi="Times New Roman" w:cs="Times New Roman"/>
        </w:rPr>
      </w:pPr>
      <w:r w:rsidRPr="00A319CF">
        <w:rPr>
          <w:noProof/>
        </w:rPr>
        <w:drawing>
          <wp:inline distT="0" distB="0" distL="0" distR="0" wp14:anchorId="699FA48F" wp14:editId="6DE14E24">
            <wp:extent cx="4800600" cy="4946650"/>
            <wp:effectExtent l="0" t="0" r="0" b="635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4946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BF78A5" w14:textId="77777777" w:rsidR="004B5531" w:rsidRPr="00A1312A" w:rsidRDefault="004B5531" w:rsidP="004B5531">
      <w:pPr>
        <w:ind w:firstLine="708"/>
        <w:rPr>
          <w:rFonts w:ascii="Times New Roman" w:hAnsi="Times New Roman" w:cs="Times New Roman"/>
          <w:sz w:val="16"/>
        </w:rPr>
      </w:pPr>
      <w:bookmarkStart w:id="0" w:name="_GoBack"/>
      <w:bookmarkEnd w:id="0"/>
      <w:r w:rsidRPr="00A1312A">
        <w:rPr>
          <w:rFonts w:ascii="Times New Roman" w:hAnsi="Times New Roman" w:cs="Times New Roman"/>
          <w:sz w:val="16"/>
        </w:rPr>
        <w:t xml:space="preserve">Fuente: Elaboración propia con información </w:t>
      </w:r>
      <w:r>
        <w:rPr>
          <w:rFonts w:ascii="Times New Roman" w:hAnsi="Times New Roman" w:cs="Times New Roman"/>
          <w:sz w:val="16"/>
        </w:rPr>
        <w:t>contable</w:t>
      </w:r>
      <w:r w:rsidRPr="00A1312A">
        <w:rPr>
          <w:rFonts w:ascii="Times New Roman" w:hAnsi="Times New Roman" w:cs="Times New Roman"/>
          <w:sz w:val="16"/>
        </w:rPr>
        <w:t xml:space="preserve"> recibida del MUPA</w:t>
      </w:r>
    </w:p>
    <w:p w14:paraId="71E5962F" w14:textId="77777777" w:rsidR="004B5531" w:rsidRPr="00542719" w:rsidRDefault="004B5531" w:rsidP="00A81DCD">
      <w:pPr>
        <w:jc w:val="center"/>
        <w:rPr>
          <w:rFonts w:ascii="Times New Roman" w:hAnsi="Times New Roman" w:cs="Times New Roman"/>
        </w:rPr>
      </w:pPr>
    </w:p>
    <w:sectPr w:rsidR="004B5531" w:rsidRPr="00542719">
      <w:footerReference w:type="default" r:id="rId3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AF342F" w14:textId="77777777" w:rsidR="00376CB7" w:rsidRDefault="00376CB7" w:rsidP="00C138C4">
      <w:pPr>
        <w:spacing w:after="0" w:line="240" w:lineRule="auto"/>
      </w:pPr>
      <w:r>
        <w:separator/>
      </w:r>
    </w:p>
  </w:endnote>
  <w:endnote w:type="continuationSeparator" w:id="0">
    <w:p w14:paraId="410DA383" w14:textId="77777777" w:rsidR="00376CB7" w:rsidRDefault="00376CB7" w:rsidP="00C138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4159393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D78594A" w14:textId="359F1117" w:rsidR="00C138C4" w:rsidRDefault="00C138C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43D0C48" w14:textId="77777777" w:rsidR="00C138C4" w:rsidRDefault="00C138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83FA96" w14:textId="77777777" w:rsidR="00376CB7" w:rsidRDefault="00376CB7" w:rsidP="00C138C4">
      <w:pPr>
        <w:spacing w:after="0" w:line="240" w:lineRule="auto"/>
      </w:pPr>
      <w:r>
        <w:separator/>
      </w:r>
    </w:p>
  </w:footnote>
  <w:footnote w:type="continuationSeparator" w:id="0">
    <w:p w14:paraId="77AAF7DA" w14:textId="77777777" w:rsidR="00376CB7" w:rsidRDefault="00376CB7" w:rsidP="00C138C4">
      <w:pPr>
        <w:spacing w:after="0" w:line="240" w:lineRule="auto"/>
      </w:pPr>
      <w:r>
        <w:continuationSeparator/>
      </w:r>
    </w:p>
  </w:footnote>
  <w:footnote w:id="1">
    <w:p w14:paraId="7ECB8B91" w14:textId="113CB666" w:rsidR="009272C2" w:rsidRPr="009272C2" w:rsidRDefault="009272C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9272C2">
        <w:rPr>
          <w:rFonts w:ascii="Times New Roman" w:hAnsi="Times New Roman" w:cs="Times New Roman"/>
          <w:sz w:val="18"/>
        </w:rPr>
        <w:t>Ley 37 de 29 de junio 2009, con las modificaciones de la Ley 66 de 29 de octubre de 2015.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B611A"/>
    <w:multiLevelType w:val="hybridMultilevel"/>
    <w:tmpl w:val="C2885DE2"/>
    <w:lvl w:ilvl="0" w:tplc="853826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C60C5C"/>
    <w:multiLevelType w:val="hybridMultilevel"/>
    <w:tmpl w:val="51C0B058"/>
    <w:lvl w:ilvl="0" w:tplc="9BA6DE36">
      <w:start w:val="1"/>
      <w:numFmt w:val="upperRoman"/>
      <w:lvlText w:val="%1."/>
      <w:lvlJc w:val="left"/>
      <w:pPr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13696B"/>
    <w:multiLevelType w:val="hybridMultilevel"/>
    <w:tmpl w:val="4D7270BC"/>
    <w:lvl w:ilvl="0" w:tplc="5AE67E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0F6DAD"/>
    <w:multiLevelType w:val="hybridMultilevel"/>
    <w:tmpl w:val="A9BAE0AE"/>
    <w:lvl w:ilvl="0" w:tplc="8402B2EC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9C2F1B"/>
    <w:rsid w:val="00001C0F"/>
    <w:rsid w:val="000034BB"/>
    <w:rsid w:val="00012C87"/>
    <w:rsid w:val="000239FE"/>
    <w:rsid w:val="00040C11"/>
    <w:rsid w:val="000679CA"/>
    <w:rsid w:val="000727EA"/>
    <w:rsid w:val="00075FCE"/>
    <w:rsid w:val="000817D6"/>
    <w:rsid w:val="00084259"/>
    <w:rsid w:val="000941EF"/>
    <w:rsid w:val="000A4474"/>
    <w:rsid w:val="000B4A26"/>
    <w:rsid w:val="000C2BDE"/>
    <w:rsid w:val="000D7677"/>
    <w:rsid w:val="000F4C9F"/>
    <w:rsid w:val="00111E6A"/>
    <w:rsid w:val="001141A4"/>
    <w:rsid w:val="001349BE"/>
    <w:rsid w:val="00141854"/>
    <w:rsid w:val="00142DAB"/>
    <w:rsid w:val="00176D4A"/>
    <w:rsid w:val="0018065B"/>
    <w:rsid w:val="001E167F"/>
    <w:rsid w:val="001E7D62"/>
    <w:rsid w:val="001F7CCA"/>
    <w:rsid w:val="00202EE6"/>
    <w:rsid w:val="0021273F"/>
    <w:rsid w:val="00226624"/>
    <w:rsid w:val="0022692B"/>
    <w:rsid w:val="00233BDA"/>
    <w:rsid w:val="00233E51"/>
    <w:rsid w:val="00246931"/>
    <w:rsid w:val="00246AC4"/>
    <w:rsid w:val="002519C5"/>
    <w:rsid w:val="002A585C"/>
    <w:rsid w:val="002B2506"/>
    <w:rsid w:val="002B4558"/>
    <w:rsid w:val="002E56C2"/>
    <w:rsid w:val="002F0EBC"/>
    <w:rsid w:val="002F76D5"/>
    <w:rsid w:val="00302305"/>
    <w:rsid w:val="00302966"/>
    <w:rsid w:val="00306FDE"/>
    <w:rsid w:val="003239CE"/>
    <w:rsid w:val="00336907"/>
    <w:rsid w:val="00346A93"/>
    <w:rsid w:val="00374E63"/>
    <w:rsid w:val="00376CB7"/>
    <w:rsid w:val="003A4990"/>
    <w:rsid w:val="003A6C59"/>
    <w:rsid w:val="003B7D1F"/>
    <w:rsid w:val="003C09C7"/>
    <w:rsid w:val="003C5667"/>
    <w:rsid w:val="003C61F0"/>
    <w:rsid w:val="003D0507"/>
    <w:rsid w:val="003D25BE"/>
    <w:rsid w:val="003D266E"/>
    <w:rsid w:val="003E059F"/>
    <w:rsid w:val="003E6170"/>
    <w:rsid w:val="003F0965"/>
    <w:rsid w:val="003F349D"/>
    <w:rsid w:val="003F7088"/>
    <w:rsid w:val="00401A9B"/>
    <w:rsid w:val="00404A85"/>
    <w:rsid w:val="00421F43"/>
    <w:rsid w:val="00426B92"/>
    <w:rsid w:val="00427A0D"/>
    <w:rsid w:val="00427CFB"/>
    <w:rsid w:val="00435131"/>
    <w:rsid w:val="0044024A"/>
    <w:rsid w:val="00445657"/>
    <w:rsid w:val="00473FEE"/>
    <w:rsid w:val="00482429"/>
    <w:rsid w:val="00487909"/>
    <w:rsid w:val="00490F73"/>
    <w:rsid w:val="004927E3"/>
    <w:rsid w:val="004A0E31"/>
    <w:rsid w:val="004B5531"/>
    <w:rsid w:val="004C2C87"/>
    <w:rsid w:val="004C77F0"/>
    <w:rsid w:val="004D298A"/>
    <w:rsid w:val="004E273C"/>
    <w:rsid w:val="00500EF9"/>
    <w:rsid w:val="00512BA5"/>
    <w:rsid w:val="00513F5C"/>
    <w:rsid w:val="00527851"/>
    <w:rsid w:val="00536445"/>
    <w:rsid w:val="00537BFB"/>
    <w:rsid w:val="00542719"/>
    <w:rsid w:val="00544D98"/>
    <w:rsid w:val="00550256"/>
    <w:rsid w:val="005617C8"/>
    <w:rsid w:val="00562DB0"/>
    <w:rsid w:val="005643FB"/>
    <w:rsid w:val="00566544"/>
    <w:rsid w:val="00577E58"/>
    <w:rsid w:val="00582A56"/>
    <w:rsid w:val="0058360E"/>
    <w:rsid w:val="005852F6"/>
    <w:rsid w:val="0059047D"/>
    <w:rsid w:val="00593E15"/>
    <w:rsid w:val="005A7433"/>
    <w:rsid w:val="005B0F05"/>
    <w:rsid w:val="005B20DC"/>
    <w:rsid w:val="005B4EBE"/>
    <w:rsid w:val="005C0CC3"/>
    <w:rsid w:val="005D288E"/>
    <w:rsid w:val="005E12F1"/>
    <w:rsid w:val="005F5DF0"/>
    <w:rsid w:val="00605A8C"/>
    <w:rsid w:val="00606F0A"/>
    <w:rsid w:val="0063427C"/>
    <w:rsid w:val="00640DBD"/>
    <w:rsid w:val="00667BF3"/>
    <w:rsid w:val="00672535"/>
    <w:rsid w:val="00676392"/>
    <w:rsid w:val="00684BF8"/>
    <w:rsid w:val="0068645D"/>
    <w:rsid w:val="00686D88"/>
    <w:rsid w:val="00697742"/>
    <w:rsid w:val="006A7F92"/>
    <w:rsid w:val="006C1921"/>
    <w:rsid w:val="006D5666"/>
    <w:rsid w:val="006E4A99"/>
    <w:rsid w:val="00700B68"/>
    <w:rsid w:val="00712DCA"/>
    <w:rsid w:val="00714E8E"/>
    <w:rsid w:val="00727D64"/>
    <w:rsid w:val="00732982"/>
    <w:rsid w:val="00745EA7"/>
    <w:rsid w:val="00750CE8"/>
    <w:rsid w:val="00757B26"/>
    <w:rsid w:val="00767CFF"/>
    <w:rsid w:val="007710B0"/>
    <w:rsid w:val="0077501A"/>
    <w:rsid w:val="00783C2E"/>
    <w:rsid w:val="007A55D8"/>
    <w:rsid w:val="007B24A1"/>
    <w:rsid w:val="007B4B9D"/>
    <w:rsid w:val="007C54DE"/>
    <w:rsid w:val="007E2860"/>
    <w:rsid w:val="007E2E96"/>
    <w:rsid w:val="007F30B7"/>
    <w:rsid w:val="0080336D"/>
    <w:rsid w:val="00813451"/>
    <w:rsid w:val="0081450D"/>
    <w:rsid w:val="00827290"/>
    <w:rsid w:val="0083417B"/>
    <w:rsid w:val="00837865"/>
    <w:rsid w:val="00852C3D"/>
    <w:rsid w:val="008559E4"/>
    <w:rsid w:val="00856C36"/>
    <w:rsid w:val="00862BB5"/>
    <w:rsid w:val="0087356D"/>
    <w:rsid w:val="00874400"/>
    <w:rsid w:val="00876650"/>
    <w:rsid w:val="0088779D"/>
    <w:rsid w:val="00896BE0"/>
    <w:rsid w:val="008A49C4"/>
    <w:rsid w:val="008B74B8"/>
    <w:rsid w:val="008C37BF"/>
    <w:rsid w:val="008C6EF6"/>
    <w:rsid w:val="009038AE"/>
    <w:rsid w:val="0090518B"/>
    <w:rsid w:val="00907EF3"/>
    <w:rsid w:val="009271BF"/>
    <w:rsid w:val="009272C2"/>
    <w:rsid w:val="00932688"/>
    <w:rsid w:val="0093743A"/>
    <w:rsid w:val="00954FE1"/>
    <w:rsid w:val="009552C7"/>
    <w:rsid w:val="009661E5"/>
    <w:rsid w:val="009661F3"/>
    <w:rsid w:val="009820F2"/>
    <w:rsid w:val="009868CC"/>
    <w:rsid w:val="00992357"/>
    <w:rsid w:val="009C189D"/>
    <w:rsid w:val="009C2F1B"/>
    <w:rsid w:val="009F0C77"/>
    <w:rsid w:val="009F325F"/>
    <w:rsid w:val="009F4362"/>
    <w:rsid w:val="00A018FF"/>
    <w:rsid w:val="00A06BE1"/>
    <w:rsid w:val="00A11040"/>
    <w:rsid w:val="00A1193D"/>
    <w:rsid w:val="00A11FCE"/>
    <w:rsid w:val="00A1312A"/>
    <w:rsid w:val="00A213E9"/>
    <w:rsid w:val="00A319CF"/>
    <w:rsid w:val="00A42FD7"/>
    <w:rsid w:val="00A47421"/>
    <w:rsid w:val="00A7085B"/>
    <w:rsid w:val="00A8086A"/>
    <w:rsid w:val="00A81DCD"/>
    <w:rsid w:val="00A85931"/>
    <w:rsid w:val="00AB2779"/>
    <w:rsid w:val="00AD0D2D"/>
    <w:rsid w:val="00AD448A"/>
    <w:rsid w:val="00AD5DFD"/>
    <w:rsid w:val="00AE485C"/>
    <w:rsid w:val="00AE5C3B"/>
    <w:rsid w:val="00AF5013"/>
    <w:rsid w:val="00AF6620"/>
    <w:rsid w:val="00B07B9D"/>
    <w:rsid w:val="00B10EFC"/>
    <w:rsid w:val="00B27C96"/>
    <w:rsid w:val="00B51D2D"/>
    <w:rsid w:val="00B76CC5"/>
    <w:rsid w:val="00B91A14"/>
    <w:rsid w:val="00B9582F"/>
    <w:rsid w:val="00BA37EB"/>
    <w:rsid w:val="00BA591B"/>
    <w:rsid w:val="00BB43CA"/>
    <w:rsid w:val="00BD66DC"/>
    <w:rsid w:val="00BF6C2E"/>
    <w:rsid w:val="00C12CA1"/>
    <w:rsid w:val="00C138C4"/>
    <w:rsid w:val="00C20D00"/>
    <w:rsid w:val="00C2498E"/>
    <w:rsid w:val="00C33474"/>
    <w:rsid w:val="00C54B74"/>
    <w:rsid w:val="00C55FC9"/>
    <w:rsid w:val="00C619DE"/>
    <w:rsid w:val="00C943EB"/>
    <w:rsid w:val="00C96B49"/>
    <w:rsid w:val="00CA719D"/>
    <w:rsid w:val="00CC07D8"/>
    <w:rsid w:val="00CC4FBA"/>
    <w:rsid w:val="00CF2A85"/>
    <w:rsid w:val="00CF375B"/>
    <w:rsid w:val="00D05A13"/>
    <w:rsid w:val="00D14679"/>
    <w:rsid w:val="00D174DF"/>
    <w:rsid w:val="00D308BB"/>
    <w:rsid w:val="00D346B7"/>
    <w:rsid w:val="00D358C3"/>
    <w:rsid w:val="00D51E6D"/>
    <w:rsid w:val="00D533A4"/>
    <w:rsid w:val="00D56755"/>
    <w:rsid w:val="00D75763"/>
    <w:rsid w:val="00D75D7C"/>
    <w:rsid w:val="00D97A5D"/>
    <w:rsid w:val="00DB0993"/>
    <w:rsid w:val="00DC027C"/>
    <w:rsid w:val="00DE37C8"/>
    <w:rsid w:val="00DE5F81"/>
    <w:rsid w:val="00DF0725"/>
    <w:rsid w:val="00DF1478"/>
    <w:rsid w:val="00DF1F0F"/>
    <w:rsid w:val="00E049FE"/>
    <w:rsid w:val="00E128FB"/>
    <w:rsid w:val="00E13054"/>
    <w:rsid w:val="00E1428E"/>
    <w:rsid w:val="00E146BA"/>
    <w:rsid w:val="00E25BD0"/>
    <w:rsid w:val="00E27089"/>
    <w:rsid w:val="00E444D4"/>
    <w:rsid w:val="00E52C7C"/>
    <w:rsid w:val="00E73FBD"/>
    <w:rsid w:val="00E7430A"/>
    <w:rsid w:val="00E7499A"/>
    <w:rsid w:val="00E753C3"/>
    <w:rsid w:val="00E768C7"/>
    <w:rsid w:val="00E81945"/>
    <w:rsid w:val="00E81E07"/>
    <w:rsid w:val="00EB00F4"/>
    <w:rsid w:val="00EB5E39"/>
    <w:rsid w:val="00EC5479"/>
    <w:rsid w:val="00EE2246"/>
    <w:rsid w:val="00EE4856"/>
    <w:rsid w:val="00EF67F1"/>
    <w:rsid w:val="00F121E7"/>
    <w:rsid w:val="00F21165"/>
    <w:rsid w:val="00F2637F"/>
    <w:rsid w:val="00F37E93"/>
    <w:rsid w:val="00F40EF1"/>
    <w:rsid w:val="00F51BE9"/>
    <w:rsid w:val="00F7189E"/>
    <w:rsid w:val="00F77AEC"/>
    <w:rsid w:val="00FA64D0"/>
    <w:rsid w:val="00FB17EA"/>
    <w:rsid w:val="00FC7C67"/>
    <w:rsid w:val="00FD6316"/>
    <w:rsid w:val="00FE21FE"/>
    <w:rsid w:val="00FE32E6"/>
    <w:rsid w:val="00FF0A78"/>
    <w:rsid w:val="00FF5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F0B539"/>
  <w15:chartTrackingRefBased/>
  <w15:docId w15:val="{82CF85F5-65DD-4D4A-BADA-7D76245C7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1FC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138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38C4"/>
  </w:style>
  <w:style w:type="paragraph" w:styleId="Footer">
    <w:name w:val="footer"/>
    <w:basedOn w:val="Normal"/>
    <w:link w:val="FooterChar"/>
    <w:uiPriority w:val="99"/>
    <w:unhideWhenUsed/>
    <w:rsid w:val="00C138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38C4"/>
  </w:style>
  <w:style w:type="paragraph" w:styleId="FootnoteText">
    <w:name w:val="footnote text"/>
    <w:basedOn w:val="Normal"/>
    <w:link w:val="FootnoteTextChar"/>
    <w:uiPriority w:val="99"/>
    <w:semiHidden/>
    <w:unhideWhenUsed/>
    <w:rsid w:val="009272C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272C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272C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image" Target="media/image5.emf"/><Relationship Id="rId26" Type="http://schemas.openxmlformats.org/officeDocument/2006/relationships/image" Target="media/image13.emf"/><Relationship Id="rId39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image" Target="media/image8.emf"/><Relationship Id="rId34" Type="http://schemas.openxmlformats.org/officeDocument/2006/relationships/image" Target="media/image21.emf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image" Target="media/image4.emf"/><Relationship Id="rId25" Type="http://schemas.openxmlformats.org/officeDocument/2006/relationships/image" Target="media/image12.emf"/><Relationship Id="rId33" Type="http://schemas.openxmlformats.org/officeDocument/2006/relationships/image" Target="media/image20.emf"/><Relationship Id="rId38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3.emf"/><Relationship Id="rId20" Type="http://schemas.openxmlformats.org/officeDocument/2006/relationships/image" Target="media/image7.emf"/><Relationship Id="rId29" Type="http://schemas.openxmlformats.org/officeDocument/2006/relationships/image" Target="media/image16.emf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24" Type="http://schemas.openxmlformats.org/officeDocument/2006/relationships/image" Target="media/image11.emf"/><Relationship Id="rId32" Type="http://schemas.openxmlformats.org/officeDocument/2006/relationships/image" Target="media/image19.emf"/><Relationship Id="rId37" Type="http://schemas.openxmlformats.org/officeDocument/2006/relationships/footer" Target="footer1.xml"/><Relationship Id="rId5" Type="http://schemas.openxmlformats.org/officeDocument/2006/relationships/customXml" Target="../customXml/item5.xml"/><Relationship Id="rId15" Type="http://schemas.openxmlformats.org/officeDocument/2006/relationships/image" Target="media/image2.emf"/><Relationship Id="rId23" Type="http://schemas.openxmlformats.org/officeDocument/2006/relationships/image" Target="media/image10.emf"/><Relationship Id="rId28" Type="http://schemas.openxmlformats.org/officeDocument/2006/relationships/image" Target="media/image15.emf"/><Relationship Id="rId36" Type="http://schemas.openxmlformats.org/officeDocument/2006/relationships/image" Target="media/image23.emf"/><Relationship Id="rId10" Type="http://schemas.openxmlformats.org/officeDocument/2006/relationships/settings" Target="settings.xml"/><Relationship Id="rId19" Type="http://schemas.openxmlformats.org/officeDocument/2006/relationships/image" Target="media/image6.emf"/><Relationship Id="rId31" Type="http://schemas.openxmlformats.org/officeDocument/2006/relationships/image" Target="media/image18.emf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image" Target="media/image1.png"/><Relationship Id="rId22" Type="http://schemas.openxmlformats.org/officeDocument/2006/relationships/image" Target="media/image9.emf"/><Relationship Id="rId27" Type="http://schemas.openxmlformats.org/officeDocument/2006/relationships/image" Target="media/image14.emf"/><Relationship Id="rId30" Type="http://schemas.openxmlformats.org/officeDocument/2006/relationships/image" Target="media/image17.emf"/><Relationship Id="rId35" Type="http://schemas.openxmlformats.org/officeDocument/2006/relationships/image" Target="media/image2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4ED5CB6972B47B458A3B5BA0CA3C71DE" ma:contentTypeVersion="481" ma:contentTypeDescription="A content type to manage public (operations) IDB documents" ma:contentTypeScope="" ma:versionID="d1fbd635a00fc648912f3e54c2f49200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cad8fe7ea5333d3c4d64385230af5a62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PN-L1150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default="Loan Operation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Panama</TermName>
          <TermId xmlns="http://schemas.microsoft.com/office/infopath/2007/PartnerControls">7af43a84-776d-43d1-b0f2-8a1f2a8ffc7b</TermId>
        </TermInfo>
      </Terms>
    </ic46d7e087fd4a108fb86518ca413cc6>
    <IDBDocs_x0020_Number xmlns="cdc7663a-08f0-4737-9e8c-148ce897a09c" xsi:nil="true"/>
    <Division_x0020_or_x0020_Unit xmlns="cdc7663a-08f0-4737-9e8c-148ce897a09c">INE/WSA</Division_x0020_or_x0020_Unit>
    <Fiscal_x0020_Year_x0020_IDB xmlns="cdc7663a-08f0-4737-9e8c-148ce897a09c">2018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 xsi:nil="true"/>
    <Phase xmlns="cdc7663a-08f0-4737-9e8c-148ce897a09c" xsi:nil="true"/>
    <Document_x0020_Author xmlns="cdc7663a-08f0-4737-9e8c-148ce897a09c">Garcia Merino, Lucio Javier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URBAN DRAINAGE</TermName>
          <TermId xmlns="http://schemas.microsoft.com/office/infopath/2007/PartnerControls">964c1b90-5458-4183-9107-4c24aba140dd</TermId>
        </TermInfo>
      </Terms>
    </b2ec7cfb18674cb8803df6b262e8b107>
    <Business_x0020_Area xmlns="cdc7663a-08f0-4737-9e8c-148ce897a09c" xsi:nil="true"/>
    <Key_x0020_Document xmlns="cdc7663a-08f0-4737-9e8c-148ce897a09c">false</Key_x0020_Document>
    <Document_x0020_Language_x0020_IDB xmlns="cdc7663a-08f0-4737-9e8c-148ce897a09c">Spanish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/>
    </g511464f9e53401d84b16fa9b379a574>
    <Related_x0020_SisCor_x0020_Number xmlns="cdc7663a-08f0-4737-9e8c-148ce897a09c" xsi:nil="true"/>
    <TaxCatchAll xmlns="cdc7663a-08f0-4737-9e8c-148ce897a09c">
      <Value>188</Value>
      <Value>22</Value>
      <Value>71</Value>
      <Value>1</Value>
    </TaxCatchAll>
    <Operation_x0020_Type xmlns="cdc7663a-08f0-4737-9e8c-148ce897a09c">Loan Operation</Operation_x0020_Type>
    <Package_x0020_Code xmlns="cdc7663a-08f0-4737-9e8c-148ce897a09c" xsi:nil="true"/>
    <Identifier xmlns="cdc7663a-08f0-4737-9e8c-148ce897a09c">EEO-5 </Identifier>
    <Project_x0020_Number xmlns="cdc7663a-08f0-4737-9e8c-148ce897a09c">PN-L1150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WATER AND SANITATION</TermName>
          <TermId xmlns="http://schemas.microsoft.com/office/infopath/2007/PartnerControls">ba6b63cd-e402-47cb-9357-08149f7ce046</TermId>
        </TermInfo>
      </Terms>
    </nddeef1749674d76abdbe4b239a70bc6>
    <Record_x0020_Number xmlns="cdc7663a-08f0-4737-9e8c-148ce897a09c">R0002887272</Record_x0020_Number>
    <_dlc_DocId xmlns="cdc7663a-08f0-4737-9e8c-148ce897a09c">EZSHARE-1372768338-19</_dlc_DocId>
    <_dlc_DocIdUrl xmlns="cdc7663a-08f0-4737-9e8c-148ce897a09c">
      <Url>https://idbg.sharepoint.com/teams/EZ-PN-LON/PN-L1150/_layouts/15/DocIdRedir.aspx?ID=EZSHARE-1372768338-19</Url>
      <Description>EZSHARE-1372768338-19</Description>
    </_dlc_DocIdUrl>
    <Disclosure_x0020_Activity xmlns="cdc7663a-08f0-4737-9e8c-148ce897a09c">Loan Proposal</Disclosure_x0020_Activity>
    <Issue_x0020_Date xmlns="cdc7663a-08f0-4737-9e8c-148ce897a09c" xsi:nil="true"/>
    <KP_x0020_Topics xmlns="cdc7663a-08f0-4737-9e8c-148ce897a09c" xsi:nil="true"/>
    <Disclosed xmlns="cdc7663a-08f0-4737-9e8c-148ce897a09c">true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4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7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03F4BC-3A2D-4D70-AEF0-BCCA0002DFF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547C8A-29F3-43D9-AEA4-0D019CA2515D}"/>
</file>

<file path=customXml/itemProps3.xml><?xml version="1.0" encoding="utf-8"?>
<ds:datastoreItem xmlns:ds="http://schemas.openxmlformats.org/officeDocument/2006/customXml" ds:itemID="{DD232A43-4B2E-459F-B592-996BFDE9DBEF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cdc7663a-08f0-4737-9e8c-148ce897a09c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301C35A-1F55-44C9-8928-B9F93D096CF5}"/>
</file>

<file path=customXml/itemProps5.xml><?xml version="1.0" encoding="utf-8"?>
<ds:datastoreItem xmlns:ds="http://schemas.openxmlformats.org/officeDocument/2006/customXml" ds:itemID="{5D02E6CF-4050-4C79-B2B8-153EE7325622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5EAC7B6E-FE9E-4FB9-B196-6B2E69CD0AB5}"/>
</file>

<file path=customXml/itemProps7.xml><?xml version="1.0" encoding="utf-8"?>
<ds:datastoreItem xmlns:ds="http://schemas.openxmlformats.org/officeDocument/2006/customXml" ds:itemID="{9527E407-0B82-453A-B698-20AB521E0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387</TotalTime>
  <Pages>25</Pages>
  <Words>3024</Words>
  <Characters>17238</Characters>
  <Application>Microsoft Office Word</Application>
  <DocSecurity>0</DocSecurity>
  <Lines>143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Garcia Merino, Lucio Javier</dc:creator>
  <cp:keywords/>
  <dc:description/>
  <cp:lastModifiedBy>Garcia Merino, Lucio Javier</cp:lastModifiedBy>
  <cp:revision>294</cp:revision>
  <dcterms:created xsi:type="dcterms:W3CDTF">2018-09-10T20:23:00Z</dcterms:created>
  <dcterms:modified xsi:type="dcterms:W3CDTF">2018-10-16T20:49:00Z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TaxKeywordTaxHTField">
    <vt:lpwstr/>
  </property>
  <property fmtid="{D5CDD505-2E9C-101B-9397-08002B2CF9AE}" pid="5" name="Series Operations IDB">
    <vt:lpwstr/>
  </property>
  <property fmtid="{D5CDD505-2E9C-101B-9397-08002B2CF9AE}" pid="6" name="Sub-Sector">
    <vt:lpwstr>188;#URBAN DRAINAGE|964c1b90-5458-4183-9107-4c24aba140dd</vt:lpwstr>
  </property>
  <property fmtid="{D5CDD505-2E9C-101B-9397-08002B2CF9AE}" pid="7" name="Fund IDB">
    <vt:lpwstr/>
  </property>
  <property fmtid="{D5CDD505-2E9C-101B-9397-08002B2CF9AE}" pid="8" name="Country">
    <vt:lpwstr>22;#Panama|7af43a84-776d-43d1-b0f2-8a1f2a8ffc7b</vt:lpwstr>
  </property>
  <property fmtid="{D5CDD505-2E9C-101B-9397-08002B2CF9AE}" pid="9" name="Sector IDB">
    <vt:lpwstr>71;#WATER AND SANITATION|ba6b63cd-e402-47cb-9357-08149f7ce046</vt:lpwstr>
  </property>
  <property fmtid="{D5CDD505-2E9C-101B-9397-08002B2CF9AE}" pid="10" name="Function Operations IDB">
    <vt:lpwstr>1;#Project Preparation, Planning and Design|29ca0c72-1fc4-435f-a09c-28585cb5eac9</vt:lpwstr>
  </property>
  <property fmtid="{D5CDD505-2E9C-101B-9397-08002B2CF9AE}" pid="11" name="_dlc_DocIdItemGuid">
    <vt:lpwstr>2ed6027a-a74e-4a48-bca5-ac3aa6a8c064</vt:lpwstr>
  </property>
  <property fmtid="{D5CDD505-2E9C-101B-9397-08002B2CF9AE}" pid="12" name="ContentTypeId">
    <vt:lpwstr>0x0101001A458A224826124E8B45B1D613300CFC004ED5CB6972B47B458A3B5BA0CA3C71DE</vt:lpwstr>
  </property>
</Properties>
</file>