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C88" w:rsidRPr="00FC442E" w:rsidRDefault="00E94C88" w:rsidP="003977ED">
      <w:pPr>
        <w:tabs>
          <w:tab w:val="left" w:pos="1440"/>
          <w:tab w:val="left" w:pos="3060"/>
        </w:tabs>
        <w:jc w:val="center"/>
        <w:rPr>
          <w:b/>
          <w:smallCaps/>
          <w:sz w:val="36"/>
          <w:szCs w:val="36"/>
        </w:rPr>
      </w:pPr>
      <w:bookmarkStart w:id="0" w:name="_GoBack"/>
      <w:bookmarkEnd w:id="0"/>
    </w:p>
    <w:p w:rsidR="00E94C88" w:rsidRPr="00FC442E" w:rsidRDefault="00E94C88" w:rsidP="003977ED">
      <w:pPr>
        <w:tabs>
          <w:tab w:val="left" w:pos="1440"/>
          <w:tab w:val="left" w:pos="3060"/>
        </w:tabs>
        <w:jc w:val="center"/>
        <w:rPr>
          <w:b/>
          <w:smallCaps/>
          <w:sz w:val="36"/>
          <w:szCs w:val="36"/>
        </w:rPr>
      </w:pPr>
    </w:p>
    <w:p w:rsidR="00E94C88" w:rsidRPr="00FC442E" w:rsidRDefault="00E94C88" w:rsidP="003977ED">
      <w:pPr>
        <w:tabs>
          <w:tab w:val="left" w:pos="1440"/>
          <w:tab w:val="left" w:pos="3060"/>
        </w:tabs>
        <w:jc w:val="center"/>
        <w:rPr>
          <w:b/>
          <w:smallCaps/>
          <w:sz w:val="36"/>
          <w:szCs w:val="36"/>
        </w:rPr>
      </w:pPr>
    </w:p>
    <w:p w:rsidR="00E94C88" w:rsidRPr="00FC442E" w:rsidRDefault="00E94C88" w:rsidP="003977ED">
      <w:pPr>
        <w:tabs>
          <w:tab w:val="left" w:pos="1440"/>
          <w:tab w:val="left" w:pos="3060"/>
        </w:tabs>
        <w:jc w:val="center"/>
        <w:rPr>
          <w:b/>
          <w:smallCaps/>
          <w:sz w:val="36"/>
          <w:szCs w:val="36"/>
        </w:rPr>
      </w:pPr>
    </w:p>
    <w:p w:rsidR="003977ED" w:rsidRPr="00FC442E" w:rsidRDefault="00E424C9" w:rsidP="003977ED">
      <w:pPr>
        <w:tabs>
          <w:tab w:val="left" w:pos="1440"/>
          <w:tab w:val="left" w:pos="3060"/>
        </w:tabs>
        <w:jc w:val="center"/>
        <w:rPr>
          <w:b/>
          <w:smallCaps/>
          <w:sz w:val="40"/>
          <w:szCs w:val="40"/>
        </w:rPr>
      </w:pPr>
      <w:r w:rsidRPr="00FC442E">
        <w:rPr>
          <w:b/>
          <w:smallCaps/>
          <w:sz w:val="40"/>
          <w:szCs w:val="40"/>
        </w:rPr>
        <w:t>Water Supply Infrastructure Rehabilitation</w:t>
      </w:r>
      <w:r w:rsidR="003977ED" w:rsidRPr="00FC442E">
        <w:rPr>
          <w:b/>
          <w:smallCaps/>
          <w:sz w:val="40"/>
          <w:szCs w:val="40"/>
        </w:rPr>
        <w:t xml:space="preserve"> </w:t>
      </w:r>
    </w:p>
    <w:p w:rsidR="003977ED" w:rsidRPr="00FC442E" w:rsidRDefault="003977ED" w:rsidP="003977ED">
      <w:pPr>
        <w:tabs>
          <w:tab w:val="left" w:pos="1440"/>
          <w:tab w:val="left" w:pos="3060"/>
        </w:tabs>
        <w:jc w:val="center"/>
        <w:rPr>
          <w:b/>
          <w:smallCaps/>
          <w:sz w:val="40"/>
          <w:szCs w:val="40"/>
        </w:rPr>
      </w:pPr>
    </w:p>
    <w:p w:rsidR="00E94C88" w:rsidRPr="00FC442E" w:rsidRDefault="00E94C88" w:rsidP="003977ED">
      <w:pPr>
        <w:tabs>
          <w:tab w:val="left" w:pos="1440"/>
          <w:tab w:val="left" w:pos="3060"/>
        </w:tabs>
        <w:jc w:val="center"/>
        <w:rPr>
          <w:b/>
          <w:smallCaps/>
          <w:sz w:val="40"/>
          <w:szCs w:val="40"/>
        </w:rPr>
      </w:pPr>
    </w:p>
    <w:p w:rsidR="00E94C88" w:rsidRPr="00FC442E" w:rsidRDefault="00E94C88" w:rsidP="003977ED">
      <w:pPr>
        <w:tabs>
          <w:tab w:val="left" w:pos="1440"/>
          <w:tab w:val="left" w:pos="3060"/>
        </w:tabs>
        <w:jc w:val="center"/>
        <w:rPr>
          <w:b/>
          <w:smallCaps/>
          <w:sz w:val="40"/>
          <w:szCs w:val="40"/>
        </w:rPr>
      </w:pPr>
    </w:p>
    <w:p w:rsidR="00E94C88" w:rsidRPr="00FC442E" w:rsidRDefault="00E94C88" w:rsidP="003977ED">
      <w:pPr>
        <w:tabs>
          <w:tab w:val="left" w:pos="1440"/>
          <w:tab w:val="left" w:pos="3060"/>
        </w:tabs>
        <w:jc w:val="center"/>
        <w:rPr>
          <w:b/>
          <w:smallCaps/>
          <w:sz w:val="40"/>
          <w:szCs w:val="40"/>
        </w:rPr>
      </w:pPr>
    </w:p>
    <w:p w:rsidR="00E94C88" w:rsidRPr="00FC442E" w:rsidRDefault="00E94C88" w:rsidP="003977ED">
      <w:pPr>
        <w:tabs>
          <w:tab w:val="left" w:pos="1440"/>
          <w:tab w:val="left" w:pos="3060"/>
        </w:tabs>
        <w:jc w:val="center"/>
        <w:rPr>
          <w:b/>
          <w:smallCaps/>
          <w:sz w:val="40"/>
          <w:szCs w:val="40"/>
        </w:rPr>
      </w:pPr>
    </w:p>
    <w:p w:rsidR="003977ED" w:rsidRPr="00FC442E" w:rsidRDefault="003977ED" w:rsidP="003977ED">
      <w:pPr>
        <w:tabs>
          <w:tab w:val="left" w:pos="1440"/>
          <w:tab w:val="left" w:pos="3060"/>
        </w:tabs>
        <w:jc w:val="center"/>
        <w:rPr>
          <w:b/>
          <w:smallCaps/>
          <w:sz w:val="40"/>
          <w:szCs w:val="40"/>
        </w:rPr>
      </w:pPr>
      <w:r w:rsidRPr="00FC442E">
        <w:rPr>
          <w:b/>
          <w:smallCaps/>
          <w:sz w:val="40"/>
          <w:szCs w:val="40"/>
        </w:rPr>
        <w:t>(</w:t>
      </w:r>
      <w:r w:rsidR="00E424C9" w:rsidRPr="00FC442E">
        <w:rPr>
          <w:b/>
          <w:smallCaps/>
          <w:sz w:val="40"/>
          <w:szCs w:val="40"/>
        </w:rPr>
        <w:t>SU</w:t>
      </w:r>
      <w:r w:rsidRPr="00FC442E">
        <w:rPr>
          <w:b/>
          <w:smallCaps/>
          <w:sz w:val="40"/>
          <w:szCs w:val="40"/>
        </w:rPr>
        <w:t>-L10</w:t>
      </w:r>
      <w:r w:rsidR="00E424C9" w:rsidRPr="00FC442E">
        <w:rPr>
          <w:b/>
          <w:smallCaps/>
          <w:sz w:val="40"/>
          <w:szCs w:val="40"/>
        </w:rPr>
        <w:t>18</w:t>
      </w:r>
      <w:r w:rsidRPr="00FC442E">
        <w:rPr>
          <w:b/>
          <w:smallCaps/>
          <w:sz w:val="40"/>
          <w:szCs w:val="40"/>
        </w:rPr>
        <w:t>)</w:t>
      </w:r>
    </w:p>
    <w:p w:rsidR="003977ED" w:rsidRPr="00FC442E" w:rsidRDefault="003977ED" w:rsidP="003977ED">
      <w:pPr>
        <w:tabs>
          <w:tab w:val="left" w:pos="1440"/>
          <w:tab w:val="left" w:pos="3060"/>
        </w:tabs>
        <w:jc w:val="center"/>
        <w:rPr>
          <w:b/>
          <w:smallCaps/>
          <w:sz w:val="40"/>
          <w:szCs w:val="40"/>
        </w:rPr>
      </w:pPr>
    </w:p>
    <w:p w:rsidR="00E94C88" w:rsidRPr="00FC442E" w:rsidRDefault="00E94C88" w:rsidP="003977ED">
      <w:pPr>
        <w:tabs>
          <w:tab w:val="left" w:pos="1440"/>
          <w:tab w:val="left" w:pos="3060"/>
        </w:tabs>
        <w:jc w:val="center"/>
        <w:rPr>
          <w:b/>
          <w:smallCaps/>
          <w:sz w:val="40"/>
          <w:szCs w:val="40"/>
        </w:rPr>
      </w:pPr>
    </w:p>
    <w:p w:rsidR="00E94C88" w:rsidRPr="00FC442E" w:rsidRDefault="00E94C88" w:rsidP="003977ED">
      <w:pPr>
        <w:tabs>
          <w:tab w:val="left" w:pos="1440"/>
          <w:tab w:val="left" w:pos="3060"/>
        </w:tabs>
        <w:jc w:val="center"/>
        <w:rPr>
          <w:b/>
          <w:smallCaps/>
          <w:sz w:val="40"/>
          <w:szCs w:val="40"/>
        </w:rPr>
      </w:pPr>
    </w:p>
    <w:p w:rsidR="00E94C88" w:rsidRPr="00FC442E" w:rsidRDefault="00E94C88" w:rsidP="003977ED">
      <w:pPr>
        <w:tabs>
          <w:tab w:val="left" w:pos="1440"/>
          <w:tab w:val="left" w:pos="3060"/>
        </w:tabs>
        <w:jc w:val="center"/>
        <w:rPr>
          <w:b/>
          <w:smallCaps/>
          <w:sz w:val="40"/>
          <w:szCs w:val="40"/>
        </w:rPr>
      </w:pPr>
    </w:p>
    <w:p w:rsidR="00E94C88" w:rsidRPr="00FC442E" w:rsidRDefault="00E94C88" w:rsidP="003977ED">
      <w:pPr>
        <w:tabs>
          <w:tab w:val="left" w:pos="1440"/>
          <w:tab w:val="left" w:pos="3060"/>
        </w:tabs>
        <w:jc w:val="center"/>
        <w:rPr>
          <w:b/>
          <w:smallCaps/>
          <w:sz w:val="40"/>
          <w:szCs w:val="40"/>
        </w:rPr>
      </w:pPr>
    </w:p>
    <w:p w:rsidR="003977ED" w:rsidRPr="00FC442E" w:rsidRDefault="00FF21FE" w:rsidP="003977ED">
      <w:pPr>
        <w:tabs>
          <w:tab w:val="left" w:pos="1440"/>
          <w:tab w:val="left" w:pos="3060"/>
        </w:tabs>
        <w:jc w:val="center"/>
        <w:rPr>
          <w:b/>
          <w:smallCaps/>
          <w:sz w:val="40"/>
          <w:szCs w:val="40"/>
        </w:rPr>
      </w:pPr>
      <w:r w:rsidRPr="00FC442E">
        <w:rPr>
          <w:b/>
          <w:smallCaps/>
          <w:sz w:val="40"/>
          <w:szCs w:val="40"/>
        </w:rPr>
        <w:t>Ex</w:t>
      </w:r>
      <w:r w:rsidR="004D3F24" w:rsidRPr="00FC442E">
        <w:rPr>
          <w:b/>
          <w:smallCaps/>
          <w:sz w:val="40"/>
          <w:szCs w:val="40"/>
        </w:rPr>
        <w:t>-</w:t>
      </w:r>
      <w:r w:rsidRPr="00FC442E">
        <w:rPr>
          <w:b/>
          <w:smallCaps/>
          <w:sz w:val="40"/>
          <w:szCs w:val="40"/>
        </w:rPr>
        <w:t xml:space="preserve">post </w:t>
      </w:r>
      <w:r w:rsidR="003977ED" w:rsidRPr="00FC442E">
        <w:rPr>
          <w:b/>
          <w:smallCaps/>
          <w:sz w:val="40"/>
          <w:szCs w:val="40"/>
        </w:rPr>
        <w:t>Socio-economic Annex</w:t>
      </w:r>
    </w:p>
    <w:p w:rsidR="003977ED" w:rsidRPr="00FC442E" w:rsidRDefault="003977ED" w:rsidP="003977ED">
      <w:pPr>
        <w:tabs>
          <w:tab w:val="left" w:pos="1440"/>
          <w:tab w:val="left" w:pos="3060"/>
        </w:tabs>
        <w:jc w:val="center"/>
        <w:rPr>
          <w:b/>
          <w:smallCaps/>
          <w:sz w:val="36"/>
          <w:szCs w:val="36"/>
        </w:rPr>
      </w:pPr>
    </w:p>
    <w:p w:rsidR="006753EF" w:rsidRPr="00FC442E" w:rsidRDefault="006753EF" w:rsidP="003977ED">
      <w:pPr>
        <w:tabs>
          <w:tab w:val="left" w:pos="1440"/>
          <w:tab w:val="left" w:pos="3060"/>
        </w:tabs>
        <w:jc w:val="center"/>
        <w:rPr>
          <w:b/>
          <w:smallCaps/>
          <w:sz w:val="36"/>
          <w:szCs w:val="36"/>
        </w:rPr>
      </w:pPr>
    </w:p>
    <w:p w:rsidR="003977ED" w:rsidRPr="00FC442E" w:rsidRDefault="003977ED" w:rsidP="003977ED">
      <w:pPr>
        <w:tabs>
          <w:tab w:val="left" w:pos="1440"/>
          <w:tab w:val="left" w:pos="3060"/>
        </w:tabs>
        <w:jc w:val="center"/>
        <w:rPr>
          <w:b/>
          <w:smallCaps/>
        </w:rPr>
      </w:pPr>
    </w:p>
    <w:p w:rsidR="00E94C88" w:rsidRPr="00FC442E" w:rsidRDefault="00E94C88" w:rsidP="00EF3575">
      <w:pPr>
        <w:pStyle w:val="Footer"/>
        <w:tabs>
          <w:tab w:val="clear" w:pos="4819"/>
          <w:tab w:val="clear" w:pos="9638"/>
        </w:tabs>
        <w:jc w:val="center"/>
        <w:rPr>
          <w:b/>
          <w:smallCaps/>
          <w:sz w:val="28"/>
          <w:szCs w:val="28"/>
          <w:lang w:val="en-US" w:eastAsia="en-US"/>
        </w:rPr>
        <w:sectPr w:rsidR="00E94C88" w:rsidRPr="00FC442E" w:rsidSect="00E94C88">
          <w:pgSz w:w="11906" w:h="16838"/>
          <w:pgMar w:top="1440" w:right="1440" w:bottom="1162" w:left="1440" w:header="561" w:footer="1440" w:gutter="0"/>
          <w:pgNumType w:start="1"/>
          <w:cols w:space="708"/>
          <w:docGrid w:linePitch="360"/>
        </w:sectPr>
      </w:pPr>
    </w:p>
    <w:p w:rsidR="00EF3575" w:rsidRPr="00FC442E" w:rsidRDefault="00EF3575" w:rsidP="00EF3575">
      <w:pPr>
        <w:pStyle w:val="Footer"/>
        <w:tabs>
          <w:tab w:val="clear" w:pos="4819"/>
          <w:tab w:val="clear" w:pos="9638"/>
        </w:tabs>
        <w:jc w:val="center"/>
        <w:rPr>
          <w:b/>
          <w:smallCaps/>
          <w:sz w:val="32"/>
          <w:szCs w:val="32"/>
          <w:lang w:val="en-US" w:eastAsia="en-US"/>
        </w:rPr>
      </w:pPr>
      <w:r w:rsidRPr="00FC442E">
        <w:rPr>
          <w:b/>
          <w:smallCaps/>
          <w:sz w:val="32"/>
          <w:szCs w:val="32"/>
          <w:lang w:val="en-US" w:eastAsia="en-US"/>
        </w:rPr>
        <w:lastRenderedPageBreak/>
        <w:t>Index</w:t>
      </w:r>
    </w:p>
    <w:p w:rsidR="00EF3575" w:rsidRPr="00FC442E" w:rsidRDefault="00EF3575" w:rsidP="00EF3575">
      <w:pPr>
        <w:pStyle w:val="Footer"/>
        <w:tabs>
          <w:tab w:val="clear" w:pos="4819"/>
          <w:tab w:val="clear" w:pos="9638"/>
        </w:tabs>
        <w:rPr>
          <w:b/>
          <w:smallCaps/>
          <w:lang w:val="en-US" w:eastAsia="en-US"/>
        </w:rPr>
      </w:pPr>
    </w:p>
    <w:p w:rsidR="00E94C88" w:rsidRPr="00FC442E" w:rsidRDefault="00E94C88" w:rsidP="00EF3575">
      <w:pPr>
        <w:pStyle w:val="Footer"/>
        <w:tabs>
          <w:tab w:val="clear" w:pos="4819"/>
          <w:tab w:val="clear" w:pos="9638"/>
        </w:tabs>
        <w:rPr>
          <w:b/>
          <w:smallCaps/>
          <w:lang w:val="en-US" w:eastAsia="en-US"/>
        </w:rPr>
      </w:pPr>
    </w:p>
    <w:p w:rsidR="00EF3575" w:rsidRPr="00FC442E" w:rsidRDefault="00EF3575" w:rsidP="00EF3575">
      <w:pPr>
        <w:pStyle w:val="Footer"/>
        <w:tabs>
          <w:tab w:val="clear" w:pos="4819"/>
          <w:tab w:val="clear" w:pos="9638"/>
        </w:tabs>
        <w:rPr>
          <w:b/>
          <w:smallCaps/>
          <w:lang w:val="en-US" w:eastAsia="en-US"/>
        </w:rPr>
      </w:pPr>
    </w:p>
    <w:p w:rsidR="00EF3575" w:rsidRPr="00FC442E" w:rsidRDefault="00EF3575" w:rsidP="00EF3575">
      <w:pPr>
        <w:pStyle w:val="Footer"/>
        <w:numPr>
          <w:ilvl w:val="0"/>
          <w:numId w:val="1"/>
        </w:numPr>
        <w:tabs>
          <w:tab w:val="clear" w:pos="4819"/>
          <w:tab w:val="clear" w:pos="9638"/>
          <w:tab w:val="left" w:pos="705"/>
        </w:tabs>
        <w:rPr>
          <w:b/>
          <w:smallCaps/>
          <w:lang w:val="en-US" w:eastAsia="en-US"/>
        </w:rPr>
      </w:pPr>
      <w:r w:rsidRPr="00FC442E">
        <w:rPr>
          <w:b/>
          <w:smallCaps/>
          <w:lang w:val="en-US" w:eastAsia="en-US"/>
        </w:rPr>
        <w:t>Introduction</w:t>
      </w:r>
    </w:p>
    <w:p w:rsidR="00EF3575" w:rsidRPr="00FC442E" w:rsidRDefault="00EF3575" w:rsidP="00EF3575">
      <w:pPr>
        <w:pStyle w:val="Footer"/>
        <w:tabs>
          <w:tab w:val="clear" w:pos="4819"/>
          <w:tab w:val="clear" w:pos="9638"/>
          <w:tab w:val="left" w:pos="705"/>
        </w:tabs>
        <w:rPr>
          <w:b/>
          <w:smallCaps/>
          <w:lang w:val="en-US" w:eastAsia="en-US"/>
        </w:rPr>
      </w:pPr>
    </w:p>
    <w:p w:rsidR="00EF3575" w:rsidRPr="00FC442E" w:rsidRDefault="006753EF" w:rsidP="00EF3575">
      <w:pPr>
        <w:pStyle w:val="Footer"/>
        <w:numPr>
          <w:ilvl w:val="0"/>
          <w:numId w:val="1"/>
        </w:numPr>
        <w:tabs>
          <w:tab w:val="clear" w:pos="4819"/>
          <w:tab w:val="clear" w:pos="9638"/>
          <w:tab w:val="left" w:pos="705"/>
        </w:tabs>
        <w:rPr>
          <w:b/>
          <w:smallCaps/>
          <w:lang w:val="en-US" w:eastAsia="en-US"/>
        </w:rPr>
      </w:pPr>
      <w:r w:rsidRPr="00FC442E">
        <w:rPr>
          <w:b/>
          <w:smallCaps/>
          <w:lang w:val="en-US" w:eastAsia="en-US"/>
        </w:rPr>
        <w:t xml:space="preserve">Rehabilitation of </w:t>
      </w:r>
      <w:r w:rsidR="00E424C9" w:rsidRPr="00FC442E">
        <w:rPr>
          <w:b/>
          <w:smallCaps/>
          <w:lang w:val="en-US" w:eastAsia="en-US"/>
        </w:rPr>
        <w:t>Water</w:t>
      </w:r>
      <w:r w:rsidR="00B71B05" w:rsidRPr="00FC442E">
        <w:rPr>
          <w:b/>
          <w:smallCaps/>
          <w:lang w:val="en-US" w:eastAsia="en-US"/>
        </w:rPr>
        <w:t xml:space="preserve"> </w:t>
      </w:r>
      <w:r w:rsidRPr="00FC442E">
        <w:rPr>
          <w:b/>
          <w:smallCaps/>
          <w:lang w:val="en-US" w:eastAsia="en-US"/>
        </w:rPr>
        <w:t xml:space="preserve">System </w:t>
      </w:r>
    </w:p>
    <w:p w:rsidR="00B71B05" w:rsidRPr="00FC442E" w:rsidRDefault="00B71B05" w:rsidP="00B71B05">
      <w:pPr>
        <w:pStyle w:val="ListParagraph"/>
        <w:rPr>
          <w:b/>
          <w:smallCaps/>
          <w:lang w:val="en-US" w:eastAsia="en-US"/>
        </w:rPr>
      </w:pPr>
    </w:p>
    <w:p w:rsidR="00B71B05" w:rsidRPr="00FC442E" w:rsidRDefault="00B71B05" w:rsidP="00B71B05">
      <w:pPr>
        <w:pStyle w:val="Footer"/>
        <w:numPr>
          <w:ilvl w:val="1"/>
          <w:numId w:val="1"/>
        </w:numPr>
        <w:tabs>
          <w:tab w:val="clear" w:pos="4819"/>
          <w:tab w:val="clear" w:pos="9638"/>
          <w:tab w:val="left" w:pos="705"/>
        </w:tabs>
        <w:rPr>
          <w:i/>
          <w:smallCaps/>
          <w:lang w:val="en-US" w:eastAsia="en-US"/>
        </w:rPr>
      </w:pPr>
      <w:r w:rsidRPr="00FC442E">
        <w:rPr>
          <w:i/>
          <w:smallCaps/>
          <w:lang w:val="en-US" w:eastAsia="en-US"/>
        </w:rPr>
        <w:t>The Pro</w:t>
      </w:r>
      <w:r w:rsidR="008F6A67" w:rsidRPr="00FC442E">
        <w:rPr>
          <w:i/>
          <w:smallCaps/>
          <w:lang w:val="en-US" w:eastAsia="en-US"/>
        </w:rPr>
        <w:t>ject</w:t>
      </w:r>
    </w:p>
    <w:p w:rsidR="00B71B05" w:rsidRPr="00FC442E" w:rsidRDefault="00B71B05" w:rsidP="00B71B05">
      <w:pPr>
        <w:pStyle w:val="ListParagraph"/>
        <w:numPr>
          <w:ilvl w:val="2"/>
          <w:numId w:val="1"/>
        </w:numPr>
        <w:ind w:left="1710" w:hanging="630"/>
        <w:rPr>
          <w:smallCaps/>
          <w:lang w:val="en-US" w:eastAsia="en-US"/>
        </w:rPr>
      </w:pPr>
      <w:r w:rsidRPr="00FC442E">
        <w:rPr>
          <w:smallCaps/>
          <w:lang w:val="en-US" w:eastAsia="en-US"/>
        </w:rPr>
        <w:t>Background</w:t>
      </w:r>
    </w:p>
    <w:p w:rsidR="00B71B05" w:rsidRPr="00FC442E" w:rsidRDefault="00B71B05" w:rsidP="00B71B05">
      <w:pPr>
        <w:pStyle w:val="ListParagraph"/>
        <w:numPr>
          <w:ilvl w:val="2"/>
          <w:numId w:val="1"/>
        </w:numPr>
        <w:ind w:left="1710" w:hanging="630"/>
        <w:rPr>
          <w:smallCaps/>
          <w:lang w:val="en-US" w:eastAsia="en-US"/>
        </w:rPr>
      </w:pPr>
      <w:r w:rsidRPr="00FC442E">
        <w:rPr>
          <w:smallCaps/>
          <w:lang w:val="en-US" w:eastAsia="en-US"/>
        </w:rPr>
        <w:t xml:space="preserve">Project Description  </w:t>
      </w:r>
    </w:p>
    <w:p w:rsidR="00B71B05" w:rsidRPr="00FC442E" w:rsidRDefault="00B71B05" w:rsidP="00B71B05">
      <w:pPr>
        <w:pStyle w:val="ListParagraph"/>
        <w:numPr>
          <w:ilvl w:val="2"/>
          <w:numId w:val="1"/>
        </w:numPr>
        <w:ind w:left="1710" w:hanging="630"/>
        <w:rPr>
          <w:smallCaps/>
          <w:lang w:val="en-US" w:eastAsia="en-US"/>
        </w:rPr>
      </w:pPr>
      <w:r w:rsidRPr="00FC442E">
        <w:rPr>
          <w:smallCaps/>
          <w:lang w:val="en-US" w:eastAsia="en-US"/>
        </w:rPr>
        <w:t xml:space="preserve">Investment Costs </w:t>
      </w:r>
    </w:p>
    <w:p w:rsidR="00B71B05" w:rsidRPr="00FC442E" w:rsidRDefault="00B71B05" w:rsidP="00B71B05">
      <w:pPr>
        <w:pStyle w:val="ListParagraph"/>
        <w:numPr>
          <w:ilvl w:val="2"/>
          <w:numId w:val="1"/>
        </w:numPr>
        <w:ind w:left="1710" w:hanging="630"/>
        <w:rPr>
          <w:smallCaps/>
          <w:lang w:val="en-US" w:eastAsia="en-US"/>
        </w:rPr>
      </w:pPr>
      <w:r w:rsidRPr="00FC442E">
        <w:rPr>
          <w:smallCaps/>
          <w:lang w:val="en-US" w:eastAsia="en-US"/>
        </w:rPr>
        <w:t>Operating and Maintenance Costs</w:t>
      </w:r>
    </w:p>
    <w:p w:rsidR="00B71B05" w:rsidRPr="00FC442E" w:rsidRDefault="00B71B05" w:rsidP="00B71B05">
      <w:pPr>
        <w:pStyle w:val="Footer"/>
        <w:tabs>
          <w:tab w:val="clear" w:pos="4819"/>
          <w:tab w:val="clear" w:pos="9638"/>
          <w:tab w:val="left" w:pos="705"/>
        </w:tabs>
        <w:ind w:left="1065"/>
        <w:rPr>
          <w:i/>
          <w:smallCaps/>
          <w:lang w:val="en-US" w:eastAsia="en-US"/>
        </w:rPr>
      </w:pPr>
    </w:p>
    <w:p w:rsidR="00B71B05" w:rsidRPr="00FC442E" w:rsidRDefault="00B71B05" w:rsidP="00B71B05">
      <w:pPr>
        <w:pStyle w:val="Footer"/>
        <w:numPr>
          <w:ilvl w:val="1"/>
          <w:numId w:val="1"/>
        </w:numPr>
        <w:tabs>
          <w:tab w:val="clear" w:pos="4819"/>
          <w:tab w:val="clear" w:pos="9638"/>
          <w:tab w:val="left" w:pos="705"/>
        </w:tabs>
        <w:rPr>
          <w:i/>
          <w:smallCaps/>
          <w:lang w:val="en-US" w:eastAsia="en-US"/>
        </w:rPr>
      </w:pPr>
      <w:r w:rsidRPr="00FC442E">
        <w:rPr>
          <w:i/>
          <w:smallCaps/>
          <w:lang w:val="en-US" w:eastAsia="en-US"/>
        </w:rPr>
        <w:t>The Economic Benefits</w:t>
      </w:r>
    </w:p>
    <w:p w:rsidR="00B71B05" w:rsidRPr="00FC442E" w:rsidRDefault="00B71B05" w:rsidP="00B71B05">
      <w:pPr>
        <w:pStyle w:val="ListParagraph"/>
        <w:numPr>
          <w:ilvl w:val="2"/>
          <w:numId w:val="1"/>
        </w:numPr>
        <w:ind w:left="1710" w:hanging="630"/>
        <w:rPr>
          <w:smallCaps/>
          <w:lang w:val="en-US" w:eastAsia="en-US"/>
        </w:rPr>
      </w:pPr>
      <w:r w:rsidRPr="00FC442E">
        <w:rPr>
          <w:smallCaps/>
          <w:lang w:val="en-US" w:eastAsia="en-US"/>
        </w:rPr>
        <w:t>Project Beneficiaries</w:t>
      </w:r>
    </w:p>
    <w:p w:rsidR="00B71B05" w:rsidRPr="00FC442E" w:rsidRDefault="00B71B05" w:rsidP="00B71B05">
      <w:pPr>
        <w:pStyle w:val="ListParagraph"/>
        <w:numPr>
          <w:ilvl w:val="2"/>
          <w:numId w:val="1"/>
        </w:numPr>
        <w:ind w:left="1710" w:hanging="630"/>
        <w:rPr>
          <w:smallCaps/>
          <w:lang w:val="en-US" w:eastAsia="en-US"/>
        </w:rPr>
      </w:pPr>
      <w:r w:rsidRPr="00FC442E">
        <w:rPr>
          <w:smallCaps/>
          <w:lang w:val="en-US" w:eastAsia="en-US"/>
        </w:rPr>
        <w:t xml:space="preserve"> Project Benefits </w:t>
      </w:r>
    </w:p>
    <w:p w:rsidR="00B71B05" w:rsidRPr="00FC442E" w:rsidRDefault="00B71B05" w:rsidP="00B71B05">
      <w:pPr>
        <w:pStyle w:val="Footer"/>
        <w:tabs>
          <w:tab w:val="clear" w:pos="4819"/>
          <w:tab w:val="clear" w:pos="9638"/>
          <w:tab w:val="left" w:pos="705"/>
        </w:tabs>
        <w:ind w:left="1065"/>
        <w:rPr>
          <w:i/>
          <w:smallCaps/>
          <w:lang w:val="en-US" w:eastAsia="en-US"/>
        </w:rPr>
      </w:pPr>
    </w:p>
    <w:p w:rsidR="00B71B05" w:rsidRPr="00FC442E" w:rsidRDefault="00B71B05" w:rsidP="00B71B05">
      <w:pPr>
        <w:pStyle w:val="Footer"/>
        <w:numPr>
          <w:ilvl w:val="1"/>
          <w:numId w:val="1"/>
        </w:numPr>
        <w:tabs>
          <w:tab w:val="clear" w:pos="4819"/>
          <w:tab w:val="clear" w:pos="9638"/>
          <w:tab w:val="left" w:pos="705"/>
        </w:tabs>
        <w:rPr>
          <w:smallCaps/>
          <w:lang w:val="en-US" w:eastAsia="en-US"/>
        </w:rPr>
      </w:pPr>
      <w:r w:rsidRPr="00FC442E">
        <w:rPr>
          <w:i/>
          <w:smallCaps/>
          <w:lang w:val="en-US" w:eastAsia="en-US"/>
        </w:rPr>
        <w:t>The Results</w:t>
      </w:r>
    </w:p>
    <w:p w:rsidR="006753EF" w:rsidRPr="00FC442E" w:rsidRDefault="006753EF" w:rsidP="006753EF">
      <w:pPr>
        <w:pStyle w:val="Footer"/>
        <w:numPr>
          <w:ilvl w:val="2"/>
          <w:numId w:val="1"/>
        </w:numPr>
        <w:tabs>
          <w:tab w:val="clear" w:pos="4819"/>
          <w:tab w:val="clear" w:pos="9638"/>
          <w:tab w:val="left" w:pos="705"/>
        </w:tabs>
        <w:ind w:left="1710" w:hanging="630"/>
        <w:rPr>
          <w:smallCaps/>
          <w:lang w:val="en-US" w:eastAsia="en-US"/>
        </w:rPr>
      </w:pPr>
      <w:r w:rsidRPr="00FC442E">
        <w:rPr>
          <w:smallCaps/>
          <w:lang w:val="en-US" w:eastAsia="en-US"/>
        </w:rPr>
        <w:t xml:space="preserve">  </w:t>
      </w:r>
      <w:r w:rsidR="006256F7" w:rsidRPr="00FC442E">
        <w:rPr>
          <w:smallCaps/>
          <w:lang w:val="en-US" w:eastAsia="en-US"/>
        </w:rPr>
        <w:t xml:space="preserve">Cost-Benefit Analysis </w:t>
      </w:r>
      <w:r w:rsidRPr="00FC442E">
        <w:rPr>
          <w:smallCaps/>
          <w:lang w:val="en-US" w:eastAsia="en-US"/>
        </w:rPr>
        <w:t>Results</w:t>
      </w:r>
    </w:p>
    <w:p w:rsidR="006753EF" w:rsidRPr="00FC442E" w:rsidRDefault="006753EF" w:rsidP="006753EF">
      <w:pPr>
        <w:pStyle w:val="Footer"/>
        <w:numPr>
          <w:ilvl w:val="2"/>
          <w:numId w:val="1"/>
        </w:numPr>
        <w:tabs>
          <w:tab w:val="clear" w:pos="4819"/>
          <w:tab w:val="clear" w:pos="9638"/>
          <w:tab w:val="left" w:pos="705"/>
        </w:tabs>
        <w:ind w:left="1710" w:hanging="630"/>
        <w:rPr>
          <w:smallCaps/>
          <w:lang w:val="en-US" w:eastAsia="en-US"/>
        </w:rPr>
      </w:pPr>
      <w:r w:rsidRPr="00FC442E">
        <w:rPr>
          <w:smallCaps/>
          <w:lang w:val="en-US" w:eastAsia="en-US"/>
        </w:rPr>
        <w:t xml:space="preserve"> Sensitivity and Risk Analysis </w:t>
      </w:r>
    </w:p>
    <w:p w:rsidR="006753EF" w:rsidRPr="00FC442E" w:rsidRDefault="006753EF" w:rsidP="006753EF">
      <w:pPr>
        <w:pStyle w:val="Footer"/>
        <w:tabs>
          <w:tab w:val="clear" w:pos="4819"/>
          <w:tab w:val="clear" w:pos="9638"/>
          <w:tab w:val="left" w:pos="705"/>
        </w:tabs>
        <w:rPr>
          <w:smallCaps/>
          <w:lang w:val="en-US" w:eastAsia="en-US"/>
        </w:rPr>
      </w:pPr>
    </w:p>
    <w:p w:rsidR="00B71B05" w:rsidRPr="00FC442E" w:rsidRDefault="00B71B05" w:rsidP="00B71B05">
      <w:pPr>
        <w:pStyle w:val="ListParagraph"/>
        <w:rPr>
          <w:b/>
          <w:smallCaps/>
          <w:lang w:val="en-US" w:eastAsia="en-US"/>
        </w:rPr>
      </w:pPr>
    </w:p>
    <w:p w:rsidR="00B71B05" w:rsidRPr="00FC442E" w:rsidRDefault="00E0546E" w:rsidP="00EF3575">
      <w:pPr>
        <w:pStyle w:val="Footer"/>
        <w:numPr>
          <w:ilvl w:val="0"/>
          <w:numId w:val="1"/>
        </w:numPr>
        <w:tabs>
          <w:tab w:val="clear" w:pos="4819"/>
          <w:tab w:val="clear" w:pos="9638"/>
          <w:tab w:val="left" w:pos="705"/>
        </w:tabs>
        <w:rPr>
          <w:b/>
          <w:smallCaps/>
          <w:lang w:val="en-US" w:eastAsia="en-US"/>
        </w:rPr>
      </w:pPr>
      <w:r w:rsidRPr="00FC442E">
        <w:rPr>
          <w:b/>
          <w:smallCaps/>
          <w:lang w:val="en-US" w:eastAsia="en-US"/>
        </w:rPr>
        <w:t xml:space="preserve">Micro Metering Project </w:t>
      </w:r>
    </w:p>
    <w:p w:rsidR="00E0546E" w:rsidRPr="00FC442E" w:rsidRDefault="00E0546E" w:rsidP="00E0546E">
      <w:pPr>
        <w:pStyle w:val="Footer"/>
        <w:tabs>
          <w:tab w:val="clear" w:pos="4819"/>
          <w:tab w:val="clear" w:pos="9638"/>
          <w:tab w:val="left" w:pos="705"/>
        </w:tabs>
        <w:ind w:left="847"/>
        <w:rPr>
          <w:b/>
          <w:smallCaps/>
          <w:lang w:val="en-US" w:eastAsia="en-US"/>
        </w:rPr>
      </w:pPr>
    </w:p>
    <w:p w:rsidR="00E0546E" w:rsidRDefault="00E0546E" w:rsidP="00EF3575">
      <w:pPr>
        <w:pStyle w:val="Footer"/>
        <w:numPr>
          <w:ilvl w:val="0"/>
          <w:numId w:val="1"/>
        </w:numPr>
        <w:tabs>
          <w:tab w:val="clear" w:pos="4819"/>
          <w:tab w:val="clear" w:pos="9638"/>
          <w:tab w:val="left" w:pos="705"/>
        </w:tabs>
        <w:rPr>
          <w:b/>
          <w:smallCaps/>
          <w:lang w:val="en-US" w:eastAsia="en-US"/>
        </w:rPr>
      </w:pPr>
      <w:r w:rsidRPr="00FC442E">
        <w:rPr>
          <w:b/>
          <w:smallCaps/>
          <w:lang w:val="en-US" w:eastAsia="en-US"/>
        </w:rPr>
        <w:t>Energy Efficiency</w:t>
      </w:r>
    </w:p>
    <w:p w:rsidR="00AF67E2" w:rsidRDefault="00AF67E2" w:rsidP="00AF67E2">
      <w:pPr>
        <w:pStyle w:val="ListParagraph"/>
        <w:rPr>
          <w:b/>
          <w:smallCaps/>
          <w:lang w:val="en-US" w:eastAsia="en-US"/>
        </w:rPr>
      </w:pPr>
    </w:p>
    <w:p w:rsidR="00AF67E2" w:rsidRPr="00FC442E" w:rsidRDefault="00AF67E2" w:rsidP="00EF3575">
      <w:pPr>
        <w:pStyle w:val="Footer"/>
        <w:numPr>
          <w:ilvl w:val="0"/>
          <w:numId w:val="1"/>
        </w:numPr>
        <w:tabs>
          <w:tab w:val="clear" w:pos="4819"/>
          <w:tab w:val="clear" w:pos="9638"/>
          <w:tab w:val="left" w:pos="705"/>
        </w:tabs>
        <w:rPr>
          <w:b/>
          <w:smallCaps/>
          <w:lang w:val="en-US" w:eastAsia="en-US"/>
        </w:rPr>
      </w:pPr>
      <w:r>
        <w:rPr>
          <w:b/>
          <w:smallCaps/>
          <w:lang w:val="en-US" w:eastAsia="en-US"/>
        </w:rPr>
        <w:t>Aggregated CBA of the Project</w:t>
      </w:r>
    </w:p>
    <w:p w:rsidR="00E91467" w:rsidRPr="00FC442E" w:rsidRDefault="00E91467" w:rsidP="00E91467">
      <w:pPr>
        <w:pStyle w:val="ListParagraph"/>
        <w:rPr>
          <w:b/>
          <w:smallCaps/>
          <w:lang w:val="en-US" w:eastAsia="en-US"/>
        </w:rPr>
      </w:pPr>
    </w:p>
    <w:p w:rsidR="00EF3575" w:rsidRPr="00FC442E" w:rsidRDefault="00EF3575" w:rsidP="00EF3575">
      <w:pPr>
        <w:pStyle w:val="ListParagraph"/>
        <w:rPr>
          <w:b/>
          <w:smallCaps/>
          <w:lang w:val="en-US" w:eastAsia="en-US"/>
        </w:rPr>
      </w:pPr>
    </w:p>
    <w:p w:rsidR="00EF3575" w:rsidRPr="00FC442E" w:rsidRDefault="00EF3575" w:rsidP="00EF3575">
      <w:pPr>
        <w:jc w:val="center"/>
        <w:rPr>
          <w:b/>
          <w:smallCaps/>
        </w:rPr>
      </w:pPr>
    </w:p>
    <w:p w:rsidR="00EF3575" w:rsidRPr="00FC442E" w:rsidRDefault="00EF3575" w:rsidP="00EF3575">
      <w:pPr>
        <w:pStyle w:val="Footer"/>
        <w:tabs>
          <w:tab w:val="clear" w:pos="4819"/>
          <w:tab w:val="clear" w:pos="9638"/>
        </w:tabs>
        <w:rPr>
          <w:b/>
          <w:smallCaps/>
          <w:lang w:val="en-US" w:eastAsia="en-US"/>
        </w:rPr>
      </w:pPr>
    </w:p>
    <w:p w:rsidR="00EF3575" w:rsidRPr="00FC442E" w:rsidRDefault="00EF3575" w:rsidP="00EF3575">
      <w:pPr>
        <w:pStyle w:val="Footer"/>
        <w:tabs>
          <w:tab w:val="clear" w:pos="4819"/>
          <w:tab w:val="clear" w:pos="9638"/>
        </w:tabs>
        <w:rPr>
          <w:b/>
          <w:smallCaps/>
          <w:lang w:val="en-US" w:eastAsia="en-US"/>
        </w:rPr>
      </w:pPr>
      <w:r w:rsidRPr="00FC442E">
        <w:rPr>
          <w:b/>
          <w:smallCaps/>
          <w:lang w:val="en-US" w:eastAsia="en-US"/>
        </w:rPr>
        <w:t>A</w:t>
      </w:r>
      <w:r w:rsidR="008041D5" w:rsidRPr="00FC442E">
        <w:rPr>
          <w:b/>
          <w:smallCaps/>
          <w:lang w:val="en-US" w:eastAsia="en-US"/>
        </w:rPr>
        <w:t>PP</w:t>
      </w:r>
      <w:r w:rsidRPr="00FC442E">
        <w:rPr>
          <w:b/>
          <w:smallCaps/>
          <w:lang w:val="en-US" w:eastAsia="en-US"/>
        </w:rPr>
        <w:t>E</w:t>
      </w:r>
      <w:r w:rsidR="008041D5" w:rsidRPr="00FC442E">
        <w:rPr>
          <w:b/>
          <w:smallCaps/>
          <w:lang w:val="en-US" w:eastAsia="en-US"/>
        </w:rPr>
        <w:t>NDICE</w:t>
      </w:r>
      <w:r w:rsidRPr="00FC442E">
        <w:rPr>
          <w:b/>
          <w:smallCaps/>
          <w:lang w:val="en-US" w:eastAsia="en-US"/>
        </w:rPr>
        <w:t xml:space="preserve">S  </w:t>
      </w:r>
    </w:p>
    <w:p w:rsidR="00EF3575" w:rsidRPr="00FC442E" w:rsidRDefault="00EF3575" w:rsidP="00EF3575">
      <w:pPr>
        <w:pStyle w:val="Footer"/>
        <w:tabs>
          <w:tab w:val="clear" w:pos="4819"/>
          <w:tab w:val="clear" w:pos="9638"/>
        </w:tabs>
        <w:rPr>
          <w:b/>
          <w:smallCaps/>
          <w:lang w:val="en-US" w:eastAsia="en-US"/>
        </w:rPr>
      </w:pPr>
    </w:p>
    <w:p w:rsidR="00EF3575" w:rsidRPr="00FC442E" w:rsidRDefault="008041D5" w:rsidP="00EF3575">
      <w:pPr>
        <w:pStyle w:val="Footer"/>
        <w:tabs>
          <w:tab w:val="clear" w:pos="4819"/>
          <w:tab w:val="clear" w:pos="9638"/>
        </w:tabs>
        <w:rPr>
          <w:smallCaps/>
          <w:lang w:val="en-US" w:eastAsia="en-US"/>
        </w:rPr>
      </w:pPr>
      <w:r w:rsidRPr="00FC442E">
        <w:rPr>
          <w:smallCaps/>
          <w:lang w:val="en-US" w:eastAsia="en-US"/>
        </w:rPr>
        <w:t>APPENDI</w:t>
      </w:r>
      <w:r w:rsidR="00EF3575" w:rsidRPr="00FC442E">
        <w:rPr>
          <w:smallCaps/>
          <w:lang w:val="en-US" w:eastAsia="en-US"/>
        </w:rPr>
        <w:t xml:space="preserve">X 1: </w:t>
      </w:r>
      <w:r w:rsidR="00AB469D" w:rsidRPr="00FC442E">
        <w:rPr>
          <w:smallCaps/>
          <w:lang w:val="en-US" w:eastAsia="en-US"/>
        </w:rPr>
        <w:t>Cash flow –Rehabilitation of Water System and NRW Program</w:t>
      </w:r>
      <w:r w:rsidR="00EF3575" w:rsidRPr="00FC442E">
        <w:rPr>
          <w:smallCaps/>
          <w:lang w:val="en-US" w:eastAsia="en-US"/>
        </w:rPr>
        <w:t xml:space="preserve"> </w:t>
      </w:r>
    </w:p>
    <w:p w:rsidR="00EF3575" w:rsidRPr="00FC442E" w:rsidRDefault="00EF3575" w:rsidP="00EF3575">
      <w:pPr>
        <w:pStyle w:val="Footer"/>
        <w:tabs>
          <w:tab w:val="clear" w:pos="4819"/>
          <w:tab w:val="clear" w:pos="9638"/>
        </w:tabs>
        <w:rPr>
          <w:smallCaps/>
          <w:lang w:val="en-US" w:eastAsia="en-US"/>
        </w:rPr>
      </w:pPr>
    </w:p>
    <w:p w:rsidR="00EF3575" w:rsidRPr="00FC442E" w:rsidRDefault="008041D5" w:rsidP="00EF3575">
      <w:pPr>
        <w:pStyle w:val="Footer"/>
        <w:tabs>
          <w:tab w:val="clear" w:pos="4819"/>
          <w:tab w:val="clear" w:pos="9638"/>
        </w:tabs>
        <w:rPr>
          <w:smallCaps/>
          <w:lang w:val="en-US" w:eastAsia="en-US"/>
        </w:rPr>
      </w:pPr>
      <w:r w:rsidRPr="00FC442E">
        <w:rPr>
          <w:smallCaps/>
          <w:lang w:val="en-US" w:eastAsia="en-US"/>
        </w:rPr>
        <w:t>APPENDI</w:t>
      </w:r>
      <w:r w:rsidR="00EF3575" w:rsidRPr="00FC442E">
        <w:rPr>
          <w:smallCaps/>
          <w:lang w:val="en-US" w:eastAsia="en-US"/>
        </w:rPr>
        <w:t>X 2:</w:t>
      </w:r>
      <w:r w:rsidR="00EF3575" w:rsidRPr="00FC442E">
        <w:rPr>
          <w:smallCaps/>
          <w:lang w:val="en-US" w:eastAsia="en-US"/>
        </w:rPr>
        <w:tab/>
      </w:r>
      <w:r w:rsidR="00E424C9" w:rsidRPr="00FC442E">
        <w:rPr>
          <w:smallCaps/>
          <w:lang w:val="en-US" w:eastAsia="en-US"/>
        </w:rPr>
        <w:t xml:space="preserve"> </w:t>
      </w:r>
      <w:r w:rsidR="00AB469D" w:rsidRPr="00FC442E">
        <w:rPr>
          <w:smallCaps/>
          <w:lang w:val="en-US" w:eastAsia="en-US"/>
        </w:rPr>
        <w:t>Cash flow – Micro Metering Project</w:t>
      </w:r>
    </w:p>
    <w:p w:rsidR="00EF3575" w:rsidRPr="00FC442E" w:rsidRDefault="00EF3575" w:rsidP="00EF3575">
      <w:pPr>
        <w:pStyle w:val="Footer"/>
        <w:tabs>
          <w:tab w:val="clear" w:pos="4819"/>
          <w:tab w:val="clear" w:pos="9638"/>
        </w:tabs>
        <w:rPr>
          <w:smallCaps/>
          <w:lang w:val="en-US" w:eastAsia="en-US"/>
        </w:rPr>
      </w:pPr>
    </w:p>
    <w:p w:rsidR="00EF3575" w:rsidRPr="00FC442E" w:rsidRDefault="00EF3575" w:rsidP="00EF3575">
      <w:pPr>
        <w:pStyle w:val="Footer"/>
        <w:tabs>
          <w:tab w:val="clear" w:pos="4819"/>
          <w:tab w:val="clear" w:pos="9638"/>
        </w:tabs>
        <w:rPr>
          <w:b/>
          <w:smallCaps/>
          <w:lang w:val="en-US" w:eastAsia="en-US"/>
        </w:rPr>
      </w:pPr>
    </w:p>
    <w:p w:rsidR="0001633F" w:rsidRPr="00FC442E" w:rsidRDefault="0001633F">
      <w:pPr>
        <w:spacing w:after="200" w:line="276" w:lineRule="auto"/>
      </w:pPr>
      <w:r w:rsidRPr="00FC442E">
        <w:br w:type="page"/>
      </w:r>
    </w:p>
    <w:tbl>
      <w:tblPr>
        <w:tblW w:w="0" w:type="auto"/>
        <w:tblLook w:val="00A0" w:firstRow="1" w:lastRow="0" w:firstColumn="1" w:lastColumn="0" w:noHBand="0" w:noVBand="0"/>
      </w:tblPr>
      <w:tblGrid>
        <w:gridCol w:w="1512"/>
        <w:gridCol w:w="7514"/>
      </w:tblGrid>
      <w:tr w:rsidR="0001633F" w:rsidRPr="00FC442E" w:rsidTr="00357FA8">
        <w:tc>
          <w:tcPr>
            <w:tcW w:w="1526" w:type="dxa"/>
          </w:tcPr>
          <w:p w:rsidR="0001633F" w:rsidRPr="00FC442E" w:rsidRDefault="0001633F" w:rsidP="00357FA8">
            <w:pPr>
              <w:pStyle w:val="Footer"/>
              <w:tabs>
                <w:tab w:val="clear" w:pos="4819"/>
                <w:tab w:val="clear" w:pos="9638"/>
              </w:tabs>
              <w:rPr>
                <w:b/>
                <w:szCs w:val="24"/>
                <w:lang w:val="en-US"/>
              </w:rPr>
            </w:pPr>
            <w:r w:rsidRPr="00FC442E">
              <w:rPr>
                <w:b/>
                <w:sz w:val="28"/>
                <w:szCs w:val="28"/>
                <w:lang w:val="en-US"/>
              </w:rPr>
              <w:br w:type="page"/>
            </w:r>
          </w:p>
        </w:tc>
        <w:tc>
          <w:tcPr>
            <w:tcW w:w="7643" w:type="dxa"/>
          </w:tcPr>
          <w:p w:rsidR="0001633F" w:rsidRPr="00FC442E" w:rsidRDefault="0001633F" w:rsidP="00357FA8">
            <w:pPr>
              <w:pStyle w:val="Footer"/>
              <w:tabs>
                <w:tab w:val="clear" w:pos="4819"/>
                <w:tab w:val="clear" w:pos="9638"/>
              </w:tabs>
              <w:rPr>
                <w:b/>
                <w:szCs w:val="24"/>
                <w:lang w:val="en-US"/>
              </w:rPr>
            </w:pPr>
            <w:r w:rsidRPr="00FC442E">
              <w:rPr>
                <w:b/>
                <w:szCs w:val="24"/>
                <w:lang w:val="en-US"/>
              </w:rPr>
              <w:t>LIST OF ACRONYMS</w:t>
            </w:r>
          </w:p>
          <w:p w:rsidR="0001633F" w:rsidRPr="00FC442E" w:rsidRDefault="0001633F" w:rsidP="00357FA8">
            <w:pPr>
              <w:pStyle w:val="Footer"/>
              <w:tabs>
                <w:tab w:val="clear" w:pos="4819"/>
                <w:tab w:val="clear" w:pos="9638"/>
              </w:tabs>
              <w:rPr>
                <w:b/>
                <w:szCs w:val="24"/>
                <w:highlight w:val="yellow"/>
                <w:lang w:val="en-US"/>
              </w:rPr>
            </w:pPr>
          </w:p>
          <w:p w:rsidR="0001633F" w:rsidRPr="00FC442E" w:rsidRDefault="0001633F" w:rsidP="00357FA8">
            <w:pPr>
              <w:pStyle w:val="Footer"/>
              <w:tabs>
                <w:tab w:val="clear" w:pos="4819"/>
                <w:tab w:val="clear" w:pos="9638"/>
              </w:tabs>
              <w:rPr>
                <w:b/>
                <w:szCs w:val="24"/>
                <w:highlight w:val="yellow"/>
                <w:lang w:val="en-US"/>
              </w:rPr>
            </w:pPr>
          </w:p>
        </w:tc>
      </w:tr>
      <w:tr w:rsidR="0001633F" w:rsidRPr="00FC442E" w:rsidTr="00357FA8">
        <w:tc>
          <w:tcPr>
            <w:tcW w:w="1526" w:type="dxa"/>
          </w:tcPr>
          <w:p w:rsidR="0001633F" w:rsidRPr="00FC442E" w:rsidRDefault="0001633F" w:rsidP="00357FA8">
            <w:pPr>
              <w:pStyle w:val="Footer"/>
              <w:tabs>
                <w:tab w:val="clear" w:pos="4819"/>
                <w:tab w:val="clear" w:pos="9638"/>
              </w:tabs>
              <w:rPr>
                <w:b/>
                <w:szCs w:val="24"/>
                <w:lang w:val="en-US"/>
              </w:rPr>
            </w:pPr>
            <w:r w:rsidRPr="00FC442E">
              <w:rPr>
                <w:b/>
                <w:szCs w:val="24"/>
                <w:lang w:val="en-US"/>
              </w:rPr>
              <w:t>CBA</w:t>
            </w:r>
          </w:p>
          <w:p w:rsidR="0001633F" w:rsidRPr="00FC442E" w:rsidRDefault="0001633F" w:rsidP="00357FA8">
            <w:pPr>
              <w:pStyle w:val="Footer"/>
              <w:tabs>
                <w:tab w:val="clear" w:pos="4819"/>
                <w:tab w:val="clear" w:pos="9638"/>
              </w:tabs>
              <w:rPr>
                <w:b/>
                <w:szCs w:val="24"/>
                <w:lang w:val="en-US"/>
              </w:rPr>
            </w:pPr>
          </w:p>
        </w:tc>
        <w:tc>
          <w:tcPr>
            <w:tcW w:w="7643" w:type="dxa"/>
          </w:tcPr>
          <w:p w:rsidR="0001633F" w:rsidRPr="00FC442E" w:rsidRDefault="0001633F" w:rsidP="00357FA8">
            <w:pPr>
              <w:pStyle w:val="Footer"/>
              <w:tabs>
                <w:tab w:val="clear" w:pos="4819"/>
                <w:tab w:val="clear" w:pos="9638"/>
              </w:tabs>
              <w:rPr>
                <w:szCs w:val="24"/>
                <w:lang w:val="en-US"/>
              </w:rPr>
            </w:pPr>
            <w:r w:rsidRPr="00FC442E">
              <w:rPr>
                <w:szCs w:val="24"/>
                <w:lang w:val="en-US"/>
              </w:rPr>
              <w:t>Cost-Benefit Analysis</w:t>
            </w:r>
          </w:p>
        </w:tc>
      </w:tr>
      <w:tr w:rsidR="0001633F" w:rsidRPr="00FC442E" w:rsidTr="00357FA8">
        <w:tc>
          <w:tcPr>
            <w:tcW w:w="1526" w:type="dxa"/>
          </w:tcPr>
          <w:p w:rsidR="0001633F" w:rsidRPr="00FC442E" w:rsidRDefault="0001633F" w:rsidP="00357FA8">
            <w:pPr>
              <w:pStyle w:val="Footer"/>
              <w:tabs>
                <w:tab w:val="clear" w:pos="4819"/>
                <w:tab w:val="clear" w:pos="9638"/>
              </w:tabs>
              <w:rPr>
                <w:b/>
                <w:szCs w:val="24"/>
                <w:lang w:val="en-US"/>
              </w:rPr>
            </w:pPr>
            <w:r w:rsidRPr="00FC442E">
              <w:rPr>
                <w:b/>
                <w:szCs w:val="24"/>
                <w:lang w:val="en-US"/>
              </w:rPr>
              <w:t>ENPV</w:t>
            </w:r>
          </w:p>
          <w:p w:rsidR="0001633F" w:rsidRPr="00FC442E" w:rsidRDefault="0001633F" w:rsidP="00357FA8">
            <w:pPr>
              <w:pStyle w:val="Footer"/>
              <w:tabs>
                <w:tab w:val="clear" w:pos="4819"/>
                <w:tab w:val="clear" w:pos="9638"/>
              </w:tabs>
              <w:rPr>
                <w:b/>
                <w:szCs w:val="24"/>
                <w:lang w:val="en-US"/>
              </w:rPr>
            </w:pPr>
          </w:p>
        </w:tc>
        <w:tc>
          <w:tcPr>
            <w:tcW w:w="7643" w:type="dxa"/>
          </w:tcPr>
          <w:p w:rsidR="0001633F" w:rsidRPr="00FC442E" w:rsidRDefault="0001633F" w:rsidP="00357FA8">
            <w:pPr>
              <w:pStyle w:val="Footer"/>
              <w:tabs>
                <w:tab w:val="clear" w:pos="4819"/>
                <w:tab w:val="clear" w:pos="9638"/>
              </w:tabs>
              <w:rPr>
                <w:szCs w:val="24"/>
                <w:lang w:val="en-US"/>
              </w:rPr>
            </w:pPr>
            <w:r w:rsidRPr="00FC442E">
              <w:rPr>
                <w:szCs w:val="24"/>
                <w:lang w:val="en-US"/>
              </w:rPr>
              <w:t xml:space="preserve">Economic Net Present Value </w:t>
            </w:r>
          </w:p>
        </w:tc>
      </w:tr>
      <w:tr w:rsidR="0001633F" w:rsidRPr="00FC442E" w:rsidTr="00357FA8">
        <w:tc>
          <w:tcPr>
            <w:tcW w:w="1526" w:type="dxa"/>
          </w:tcPr>
          <w:p w:rsidR="0001633F" w:rsidRPr="00FC442E" w:rsidRDefault="0001633F" w:rsidP="00357FA8">
            <w:pPr>
              <w:pStyle w:val="Footer"/>
              <w:tabs>
                <w:tab w:val="clear" w:pos="4819"/>
                <w:tab w:val="clear" w:pos="9638"/>
              </w:tabs>
              <w:rPr>
                <w:b/>
                <w:szCs w:val="24"/>
                <w:lang w:val="en-US"/>
              </w:rPr>
            </w:pPr>
            <w:r w:rsidRPr="00FC442E">
              <w:rPr>
                <w:b/>
                <w:szCs w:val="24"/>
                <w:lang w:val="en-US"/>
              </w:rPr>
              <w:t>ERR</w:t>
            </w:r>
          </w:p>
          <w:p w:rsidR="0001633F" w:rsidRPr="00FC442E" w:rsidRDefault="0001633F" w:rsidP="00357FA8">
            <w:pPr>
              <w:pStyle w:val="Footer"/>
              <w:tabs>
                <w:tab w:val="clear" w:pos="4819"/>
                <w:tab w:val="clear" w:pos="9638"/>
              </w:tabs>
              <w:rPr>
                <w:b/>
                <w:szCs w:val="24"/>
                <w:lang w:val="en-US"/>
              </w:rPr>
            </w:pPr>
          </w:p>
        </w:tc>
        <w:tc>
          <w:tcPr>
            <w:tcW w:w="7643" w:type="dxa"/>
          </w:tcPr>
          <w:p w:rsidR="0001633F" w:rsidRPr="00FC442E" w:rsidRDefault="0001633F" w:rsidP="00357FA8">
            <w:pPr>
              <w:pStyle w:val="Footer"/>
              <w:tabs>
                <w:tab w:val="clear" w:pos="4819"/>
                <w:tab w:val="clear" w:pos="9638"/>
              </w:tabs>
              <w:rPr>
                <w:szCs w:val="24"/>
                <w:lang w:val="en-US"/>
              </w:rPr>
            </w:pPr>
            <w:r w:rsidRPr="00FC442E">
              <w:rPr>
                <w:szCs w:val="24"/>
                <w:lang w:val="en-US"/>
              </w:rPr>
              <w:t>Economic Rate of Return</w:t>
            </w:r>
          </w:p>
        </w:tc>
      </w:tr>
      <w:tr w:rsidR="00F52850" w:rsidRPr="00FC442E" w:rsidTr="00FD09CE">
        <w:tc>
          <w:tcPr>
            <w:tcW w:w="1526" w:type="dxa"/>
          </w:tcPr>
          <w:p w:rsidR="00F52850" w:rsidRPr="00FC442E" w:rsidRDefault="00F52850" w:rsidP="00FD09CE">
            <w:pPr>
              <w:pStyle w:val="Footer"/>
              <w:tabs>
                <w:tab w:val="clear" w:pos="4819"/>
                <w:tab w:val="clear" w:pos="9638"/>
              </w:tabs>
              <w:rPr>
                <w:b/>
                <w:szCs w:val="24"/>
                <w:lang w:val="en-US"/>
              </w:rPr>
            </w:pPr>
            <w:r w:rsidRPr="00FC442E">
              <w:rPr>
                <w:b/>
                <w:szCs w:val="24"/>
                <w:lang w:val="en-US"/>
              </w:rPr>
              <w:t>IDB</w:t>
            </w:r>
          </w:p>
          <w:p w:rsidR="00F52850" w:rsidRPr="00FC442E" w:rsidRDefault="00F52850" w:rsidP="00FD09CE">
            <w:pPr>
              <w:pStyle w:val="Footer"/>
              <w:tabs>
                <w:tab w:val="clear" w:pos="4819"/>
                <w:tab w:val="clear" w:pos="9638"/>
              </w:tabs>
              <w:rPr>
                <w:b/>
                <w:szCs w:val="24"/>
                <w:lang w:val="en-US"/>
              </w:rPr>
            </w:pPr>
          </w:p>
        </w:tc>
        <w:tc>
          <w:tcPr>
            <w:tcW w:w="7643" w:type="dxa"/>
          </w:tcPr>
          <w:p w:rsidR="00F52850" w:rsidRPr="00FC442E" w:rsidRDefault="00F52850" w:rsidP="00FD09CE">
            <w:pPr>
              <w:pStyle w:val="Footer"/>
              <w:tabs>
                <w:tab w:val="clear" w:pos="4819"/>
                <w:tab w:val="clear" w:pos="9638"/>
              </w:tabs>
              <w:rPr>
                <w:szCs w:val="24"/>
                <w:lang w:val="en-US"/>
              </w:rPr>
            </w:pPr>
            <w:r w:rsidRPr="00FC442E">
              <w:rPr>
                <w:szCs w:val="24"/>
                <w:lang w:val="en-US"/>
              </w:rPr>
              <w:t xml:space="preserve">Inter-American Development Bank </w:t>
            </w:r>
          </w:p>
        </w:tc>
      </w:tr>
      <w:tr w:rsidR="0001633F" w:rsidRPr="00FC442E" w:rsidTr="00357FA8">
        <w:tc>
          <w:tcPr>
            <w:tcW w:w="1526" w:type="dxa"/>
          </w:tcPr>
          <w:p w:rsidR="0001633F" w:rsidRPr="00FC442E" w:rsidRDefault="0001633F" w:rsidP="00357FA8">
            <w:pPr>
              <w:pStyle w:val="Footer"/>
              <w:tabs>
                <w:tab w:val="clear" w:pos="4819"/>
                <w:tab w:val="clear" w:pos="9638"/>
              </w:tabs>
              <w:rPr>
                <w:b/>
                <w:szCs w:val="24"/>
                <w:lang w:val="en-US"/>
              </w:rPr>
            </w:pPr>
            <w:r w:rsidRPr="00FC442E">
              <w:rPr>
                <w:b/>
                <w:szCs w:val="24"/>
                <w:lang w:val="en-US"/>
              </w:rPr>
              <w:t>I</w:t>
            </w:r>
            <w:r w:rsidR="00F52850" w:rsidRPr="00FC442E">
              <w:rPr>
                <w:b/>
                <w:szCs w:val="24"/>
                <w:lang w:val="en-US"/>
              </w:rPr>
              <w:t>RR</w:t>
            </w:r>
          </w:p>
          <w:p w:rsidR="0001633F" w:rsidRPr="00FC442E" w:rsidRDefault="0001633F" w:rsidP="00357FA8">
            <w:pPr>
              <w:pStyle w:val="Footer"/>
              <w:tabs>
                <w:tab w:val="clear" w:pos="4819"/>
                <w:tab w:val="clear" w:pos="9638"/>
              </w:tabs>
              <w:rPr>
                <w:b/>
                <w:szCs w:val="24"/>
                <w:lang w:val="en-US"/>
              </w:rPr>
            </w:pPr>
          </w:p>
        </w:tc>
        <w:tc>
          <w:tcPr>
            <w:tcW w:w="7643" w:type="dxa"/>
          </w:tcPr>
          <w:p w:rsidR="0001633F" w:rsidRPr="00FC442E" w:rsidRDefault="0001633F" w:rsidP="00F52850">
            <w:pPr>
              <w:pStyle w:val="Footer"/>
              <w:tabs>
                <w:tab w:val="clear" w:pos="4819"/>
                <w:tab w:val="clear" w:pos="9638"/>
              </w:tabs>
              <w:rPr>
                <w:szCs w:val="24"/>
                <w:lang w:val="en-US"/>
              </w:rPr>
            </w:pPr>
            <w:r w:rsidRPr="00FC442E">
              <w:rPr>
                <w:szCs w:val="24"/>
                <w:lang w:val="en-US"/>
              </w:rPr>
              <w:t>Inter</w:t>
            </w:r>
            <w:r w:rsidR="00F52850" w:rsidRPr="00FC442E">
              <w:rPr>
                <w:szCs w:val="24"/>
                <w:lang w:val="en-US"/>
              </w:rPr>
              <w:t>nal Rate of Return</w:t>
            </w:r>
          </w:p>
        </w:tc>
      </w:tr>
      <w:tr w:rsidR="0001633F" w:rsidRPr="00FC442E" w:rsidTr="00357FA8">
        <w:tc>
          <w:tcPr>
            <w:tcW w:w="1526" w:type="dxa"/>
          </w:tcPr>
          <w:p w:rsidR="0001633F" w:rsidRPr="00FC442E" w:rsidRDefault="0001633F" w:rsidP="00357FA8">
            <w:pPr>
              <w:pStyle w:val="Footer"/>
              <w:tabs>
                <w:tab w:val="clear" w:pos="4819"/>
                <w:tab w:val="clear" w:pos="9638"/>
              </w:tabs>
              <w:rPr>
                <w:b/>
                <w:szCs w:val="24"/>
                <w:lang w:val="en-US"/>
              </w:rPr>
            </w:pPr>
            <w:r w:rsidRPr="00FC442E">
              <w:rPr>
                <w:b/>
                <w:szCs w:val="24"/>
                <w:lang w:val="en-US"/>
              </w:rPr>
              <w:t>O&amp;M</w:t>
            </w:r>
          </w:p>
          <w:p w:rsidR="0001633F" w:rsidRPr="00FC442E" w:rsidRDefault="0001633F" w:rsidP="00357FA8">
            <w:pPr>
              <w:pStyle w:val="Footer"/>
              <w:tabs>
                <w:tab w:val="clear" w:pos="4819"/>
                <w:tab w:val="clear" w:pos="9638"/>
              </w:tabs>
              <w:rPr>
                <w:b/>
                <w:szCs w:val="24"/>
                <w:lang w:val="en-US"/>
              </w:rPr>
            </w:pPr>
          </w:p>
        </w:tc>
        <w:tc>
          <w:tcPr>
            <w:tcW w:w="7643" w:type="dxa"/>
          </w:tcPr>
          <w:p w:rsidR="0001633F" w:rsidRPr="00FC442E" w:rsidRDefault="0001633F" w:rsidP="00357FA8">
            <w:pPr>
              <w:pStyle w:val="Footer"/>
              <w:tabs>
                <w:tab w:val="clear" w:pos="4819"/>
                <w:tab w:val="clear" w:pos="9638"/>
              </w:tabs>
              <w:rPr>
                <w:szCs w:val="24"/>
                <w:lang w:val="en-US"/>
              </w:rPr>
            </w:pPr>
            <w:r w:rsidRPr="00FC442E">
              <w:rPr>
                <w:szCs w:val="24"/>
                <w:lang w:val="en-US"/>
              </w:rPr>
              <w:t>Operating &amp; Maintenance</w:t>
            </w:r>
          </w:p>
          <w:p w:rsidR="00F52850" w:rsidRPr="00FC442E" w:rsidRDefault="00F52850" w:rsidP="00357FA8">
            <w:pPr>
              <w:pStyle w:val="Footer"/>
              <w:tabs>
                <w:tab w:val="clear" w:pos="4819"/>
                <w:tab w:val="clear" w:pos="9638"/>
              </w:tabs>
              <w:rPr>
                <w:szCs w:val="24"/>
                <w:lang w:val="en-US"/>
              </w:rPr>
            </w:pPr>
          </w:p>
        </w:tc>
      </w:tr>
      <w:tr w:rsidR="00F52850" w:rsidRPr="00FC442E" w:rsidTr="00FD09CE">
        <w:tc>
          <w:tcPr>
            <w:tcW w:w="1526" w:type="dxa"/>
          </w:tcPr>
          <w:p w:rsidR="00F52850" w:rsidRPr="00FC442E" w:rsidRDefault="00F52850" w:rsidP="00FD09CE">
            <w:pPr>
              <w:pStyle w:val="Footer"/>
              <w:tabs>
                <w:tab w:val="clear" w:pos="4819"/>
                <w:tab w:val="clear" w:pos="9638"/>
              </w:tabs>
              <w:rPr>
                <w:b/>
                <w:szCs w:val="24"/>
                <w:lang w:val="en-US"/>
              </w:rPr>
            </w:pPr>
            <w:r w:rsidRPr="00FC442E">
              <w:rPr>
                <w:b/>
                <w:szCs w:val="24"/>
                <w:lang w:val="en-US"/>
              </w:rPr>
              <w:t>NPV</w:t>
            </w:r>
          </w:p>
          <w:p w:rsidR="00F52850" w:rsidRPr="00FC442E" w:rsidRDefault="00F52850" w:rsidP="00FD09CE">
            <w:pPr>
              <w:pStyle w:val="Footer"/>
              <w:tabs>
                <w:tab w:val="clear" w:pos="4819"/>
                <w:tab w:val="clear" w:pos="9638"/>
              </w:tabs>
              <w:rPr>
                <w:b/>
                <w:szCs w:val="24"/>
                <w:lang w:val="en-US"/>
              </w:rPr>
            </w:pPr>
          </w:p>
        </w:tc>
        <w:tc>
          <w:tcPr>
            <w:tcW w:w="7643" w:type="dxa"/>
          </w:tcPr>
          <w:p w:rsidR="00F52850" w:rsidRPr="00FC442E" w:rsidRDefault="00F52850" w:rsidP="00FD09CE">
            <w:pPr>
              <w:pStyle w:val="Footer"/>
              <w:tabs>
                <w:tab w:val="clear" w:pos="4819"/>
                <w:tab w:val="clear" w:pos="9638"/>
              </w:tabs>
              <w:rPr>
                <w:szCs w:val="24"/>
                <w:lang w:val="en-US"/>
              </w:rPr>
            </w:pPr>
            <w:r w:rsidRPr="00FC442E">
              <w:rPr>
                <w:szCs w:val="24"/>
                <w:lang w:val="en-US"/>
              </w:rPr>
              <w:t>Net Present Value</w:t>
            </w:r>
          </w:p>
          <w:p w:rsidR="00F52850" w:rsidRPr="00FC442E" w:rsidRDefault="00F52850" w:rsidP="00FD09CE">
            <w:pPr>
              <w:pStyle w:val="Footer"/>
              <w:tabs>
                <w:tab w:val="clear" w:pos="4819"/>
                <w:tab w:val="clear" w:pos="9638"/>
              </w:tabs>
              <w:rPr>
                <w:szCs w:val="24"/>
                <w:lang w:val="en-US"/>
              </w:rPr>
            </w:pPr>
          </w:p>
        </w:tc>
      </w:tr>
      <w:tr w:rsidR="00E424C9" w:rsidRPr="00FC442E" w:rsidTr="00E424C9">
        <w:tc>
          <w:tcPr>
            <w:tcW w:w="1526" w:type="dxa"/>
          </w:tcPr>
          <w:p w:rsidR="00E424C9" w:rsidRPr="00FC442E" w:rsidRDefault="00E424C9" w:rsidP="00E424C9">
            <w:pPr>
              <w:pStyle w:val="Footer"/>
              <w:tabs>
                <w:tab w:val="clear" w:pos="4819"/>
                <w:tab w:val="clear" w:pos="9638"/>
              </w:tabs>
              <w:rPr>
                <w:b/>
                <w:szCs w:val="24"/>
                <w:lang w:val="en-US"/>
              </w:rPr>
            </w:pPr>
            <w:r w:rsidRPr="00FC442E">
              <w:rPr>
                <w:b/>
                <w:szCs w:val="24"/>
                <w:lang w:val="en-US"/>
              </w:rPr>
              <w:t>SWM</w:t>
            </w:r>
          </w:p>
          <w:p w:rsidR="00E424C9" w:rsidRPr="00FC442E" w:rsidRDefault="00E424C9" w:rsidP="00E424C9">
            <w:pPr>
              <w:pStyle w:val="Footer"/>
              <w:tabs>
                <w:tab w:val="clear" w:pos="4819"/>
                <w:tab w:val="clear" w:pos="9638"/>
              </w:tabs>
              <w:rPr>
                <w:b/>
                <w:szCs w:val="24"/>
                <w:lang w:val="en-US"/>
              </w:rPr>
            </w:pPr>
          </w:p>
        </w:tc>
        <w:tc>
          <w:tcPr>
            <w:tcW w:w="7643" w:type="dxa"/>
          </w:tcPr>
          <w:p w:rsidR="00E424C9" w:rsidRPr="00FC442E" w:rsidRDefault="00E424C9" w:rsidP="00E424C9">
            <w:pPr>
              <w:pStyle w:val="Footer"/>
              <w:tabs>
                <w:tab w:val="clear" w:pos="4819"/>
                <w:tab w:val="clear" w:pos="9638"/>
              </w:tabs>
              <w:rPr>
                <w:szCs w:val="24"/>
                <w:lang w:val="en-US"/>
              </w:rPr>
            </w:pPr>
            <w:r w:rsidRPr="00FC442E">
              <w:rPr>
                <w:szCs w:val="24"/>
                <w:lang w:val="en-US"/>
              </w:rPr>
              <w:t xml:space="preserve">N.V. </w:t>
            </w:r>
            <w:proofErr w:type="spellStart"/>
            <w:r w:rsidRPr="00FC442E">
              <w:rPr>
                <w:szCs w:val="24"/>
                <w:lang w:val="en-US"/>
              </w:rPr>
              <w:t>Surinaamsche</w:t>
            </w:r>
            <w:proofErr w:type="spellEnd"/>
            <w:r w:rsidRPr="00FC442E">
              <w:rPr>
                <w:szCs w:val="24"/>
                <w:lang w:val="en-US"/>
              </w:rPr>
              <w:t xml:space="preserve"> </w:t>
            </w:r>
            <w:proofErr w:type="spellStart"/>
            <w:r w:rsidRPr="00FC442E">
              <w:rPr>
                <w:szCs w:val="24"/>
                <w:lang w:val="en-US"/>
              </w:rPr>
              <w:t>Waterleiding</w:t>
            </w:r>
            <w:proofErr w:type="spellEnd"/>
            <w:r w:rsidRPr="00FC442E">
              <w:rPr>
                <w:szCs w:val="24"/>
                <w:lang w:val="en-US"/>
              </w:rPr>
              <w:t xml:space="preserve"> </w:t>
            </w:r>
            <w:proofErr w:type="spellStart"/>
            <w:r w:rsidRPr="00FC442E">
              <w:rPr>
                <w:szCs w:val="24"/>
                <w:lang w:val="en-US"/>
              </w:rPr>
              <w:t>Maatschapij</w:t>
            </w:r>
            <w:proofErr w:type="spellEnd"/>
            <w:r w:rsidRPr="00FC442E">
              <w:rPr>
                <w:szCs w:val="24"/>
                <w:lang w:val="en-US"/>
              </w:rPr>
              <w:t xml:space="preserve"> </w:t>
            </w:r>
          </w:p>
        </w:tc>
      </w:tr>
    </w:tbl>
    <w:p w:rsidR="0001633F" w:rsidRPr="00FC442E" w:rsidRDefault="0001633F">
      <w:pPr>
        <w:spacing w:after="200" w:line="276" w:lineRule="auto"/>
      </w:pPr>
      <w:r w:rsidRPr="00FC442E">
        <w:br w:type="page"/>
      </w:r>
    </w:p>
    <w:p w:rsidR="00B71B05" w:rsidRPr="00FC442E" w:rsidRDefault="00B71B05" w:rsidP="00E32E25">
      <w:pPr>
        <w:pStyle w:val="Footer"/>
        <w:numPr>
          <w:ilvl w:val="0"/>
          <w:numId w:val="2"/>
        </w:numPr>
        <w:tabs>
          <w:tab w:val="clear" w:pos="4819"/>
          <w:tab w:val="clear" w:pos="9638"/>
        </w:tabs>
        <w:rPr>
          <w:b/>
          <w:szCs w:val="24"/>
          <w:lang w:val="en-US"/>
        </w:rPr>
      </w:pPr>
      <w:r w:rsidRPr="00FC442E">
        <w:rPr>
          <w:b/>
          <w:szCs w:val="24"/>
          <w:lang w:val="en-US"/>
        </w:rPr>
        <w:t>INTRODUCTION</w:t>
      </w:r>
    </w:p>
    <w:p w:rsidR="00B71B05" w:rsidRPr="00FC442E" w:rsidRDefault="00B71B05" w:rsidP="00B71B05">
      <w:pPr>
        <w:autoSpaceDE w:val="0"/>
        <w:autoSpaceDN w:val="0"/>
        <w:adjustRightInd w:val="0"/>
        <w:jc w:val="both"/>
        <w:rPr>
          <w:b/>
          <w:color w:val="800000"/>
        </w:rPr>
      </w:pPr>
    </w:p>
    <w:p w:rsidR="00472A7A" w:rsidRPr="00FC442E" w:rsidRDefault="00E424C9" w:rsidP="008041D5">
      <w:pPr>
        <w:pStyle w:val="Paragraph"/>
        <w:numPr>
          <w:ilvl w:val="0"/>
          <w:numId w:val="0"/>
        </w:numPr>
      </w:pPr>
      <w:r w:rsidRPr="00FC442E">
        <w:t>The general objective of the program “Water Supply Infrastructure Rehabilitation” (the “program”)</w:t>
      </w:r>
      <w:r w:rsidRPr="00FC442E">
        <w:rPr>
          <w:szCs w:val="24"/>
        </w:rPr>
        <w:t xml:space="preserve"> </w:t>
      </w:r>
      <w:r w:rsidR="00FF21FE" w:rsidRPr="00FC442E">
        <w:t>was</w:t>
      </w:r>
      <w:r w:rsidRPr="00FC442E">
        <w:t xml:space="preserve"> to improve efficiency</w:t>
      </w:r>
      <w:r w:rsidR="001C4EA1" w:rsidRPr="00FC442E">
        <w:t xml:space="preserve"> and</w:t>
      </w:r>
      <w:r w:rsidRPr="00FC442E">
        <w:t xml:space="preserve"> quality of the potable water services provided in Greater Paramaribo. The specific objectives</w:t>
      </w:r>
      <w:r w:rsidR="002531EC" w:rsidRPr="00FC442E">
        <w:t xml:space="preserve"> were</w:t>
      </w:r>
      <w:r w:rsidRPr="00FC442E">
        <w:t xml:space="preserve">: (i) improve the operational performance of the water supply distribution system in the Greater Paramaribo area through rehabilitation works; (ii) decrease the level of </w:t>
      </w:r>
      <w:proofErr w:type="spellStart"/>
      <w:r w:rsidRPr="00FC442E">
        <w:t>N</w:t>
      </w:r>
      <w:r w:rsidR="00A66FB0" w:rsidRPr="00FC442E">
        <w:t>on Revenue</w:t>
      </w:r>
      <w:proofErr w:type="spellEnd"/>
      <w:r w:rsidR="00A66FB0" w:rsidRPr="00FC442E">
        <w:t xml:space="preserve"> Water (N</w:t>
      </w:r>
      <w:r w:rsidRPr="00FC442E">
        <w:t>RW</w:t>
      </w:r>
      <w:r w:rsidR="00A66FB0" w:rsidRPr="00FC442E">
        <w:t>)</w:t>
      </w:r>
      <w:r w:rsidRPr="00FC442E">
        <w:t xml:space="preserve"> through the improvement of operational and maintenance processes and practices; (iii) </w:t>
      </w:r>
      <w:r w:rsidRPr="00FC442E">
        <w:rPr>
          <w:szCs w:val="24"/>
        </w:rPr>
        <w:t xml:space="preserve">strengthen </w:t>
      </w:r>
      <w:r w:rsidR="003540D4" w:rsidRPr="00FC442E">
        <w:rPr>
          <w:szCs w:val="24"/>
        </w:rPr>
        <w:t xml:space="preserve">N.V. </w:t>
      </w:r>
      <w:proofErr w:type="spellStart"/>
      <w:r w:rsidR="003540D4" w:rsidRPr="00FC442E">
        <w:rPr>
          <w:szCs w:val="24"/>
        </w:rPr>
        <w:t>Surinaamsche</w:t>
      </w:r>
      <w:proofErr w:type="spellEnd"/>
      <w:r w:rsidR="003540D4" w:rsidRPr="00FC442E">
        <w:rPr>
          <w:szCs w:val="24"/>
        </w:rPr>
        <w:t xml:space="preserve"> </w:t>
      </w:r>
      <w:proofErr w:type="spellStart"/>
      <w:r w:rsidR="003540D4" w:rsidRPr="00FC442E">
        <w:rPr>
          <w:szCs w:val="24"/>
        </w:rPr>
        <w:t>Waterleiding</w:t>
      </w:r>
      <w:proofErr w:type="spellEnd"/>
      <w:r w:rsidR="003540D4" w:rsidRPr="00FC442E">
        <w:rPr>
          <w:szCs w:val="24"/>
        </w:rPr>
        <w:t xml:space="preserve"> </w:t>
      </w:r>
      <w:proofErr w:type="spellStart"/>
      <w:r w:rsidR="003540D4" w:rsidRPr="00FC442E">
        <w:rPr>
          <w:szCs w:val="24"/>
        </w:rPr>
        <w:t>Maatschapij</w:t>
      </w:r>
      <w:proofErr w:type="spellEnd"/>
      <w:r w:rsidR="003540D4" w:rsidRPr="00FC442E">
        <w:rPr>
          <w:szCs w:val="24"/>
        </w:rPr>
        <w:t xml:space="preserve"> (</w:t>
      </w:r>
      <w:r w:rsidRPr="00FC442E">
        <w:rPr>
          <w:szCs w:val="24"/>
        </w:rPr>
        <w:t>SWM</w:t>
      </w:r>
      <w:r w:rsidR="003540D4" w:rsidRPr="00FC442E">
        <w:rPr>
          <w:szCs w:val="24"/>
        </w:rPr>
        <w:t>)</w:t>
      </w:r>
      <w:r w:rsidRPr="00FC442E">
        <w:rPr>
          <w:szCs w:val="24"/>
        </w:rPr>
        <w:t xml:space="preserve"> performance by improving </w:t>
      </w:r>
      <w:r w:rsidR="001C4EA1" w:rsidRPr="00FC442E">
        <w:t>operations and maintenance, incorporating a management information system and decreasing energy consumption</w:t>
      </w:r>
      <w:r w:rsidRPr="00FC442E">
        <w:rPr>
          <w:szCs w:val="24"/>
        </w:rPr>
        <w:t>.</w:t>
      </w:r>
      <w:r w:rsidR="00472A7A" w:rsidRPr="00FC442E">
        <w:rPr>
          <w:szCs w:val="24"/>
        </w:rPr>
        <w:t xml:space="preserve"> To attain its objectives, the program </w:t>
      </w:r>
      <w:r w:rsidR="002531EC" w:rsidRPr="00FC442E">
        <w:rPr>
          <w:szCs w:val="24"/>
        </w:rPr>
        <w:t>was</w:t>
      </w:r>
      <w:r w:rsidR="00472A7A" w:rsidRPr="00FC442E">
        <w:rPr>
          <w:szCs w:val="24"/>
        </w:rPr>
        <w:t xml:space="preserve"> comprised of four components: </w:t>
      </w:r>
      <w:r w:rsidR="008041D5" w:rsidRPr="00FC442E">
        <w:t xml:space="preserve">1) </w:t>
      </w:r>
      <w:r w:rsidRPr="00FC442E">
        <w:t>NRW program</w:t>
      </w:r>
      <w:r w:rsidR="008041D5" w:rsidRPr="00FC442E">
        <w:rPr>
          <w:bCs/>
        </w:rPr>
        <w:t>; 2)</w:t>
      </w:r>
      <w:r w:rsidR="008041D5" w:rsidRPr="00FC442E">
        <w:t xml:space="preserve"> </w:t>
      </w:r>
      <w:r w:rsidRPr="00FC442E">
        <w:t>water supply system rehabilitation</w:t>
      </w:r>
      <w:r w:rsidR="008041D5" w:rsidRPr="00FC442E">
        <w:t>; 3) energy efficiency pilot project; and 4)</w:t>
      </w:r>
      <w:r w:rsidR="008041D5" w:rsidRPr="00FC442E">
        <w:rPr>
          <w:b/>
        </w:rPr>
        <w:t xml:space="preserve"> </w:t>
      </w:r>
      <w:r w:rsidRPr="00FC442E">
        <w:t>institutional strengthening</w:t>
      </w:r>
      <w:r w:rsidR="008041D5" w:rsidRPr="00FC442E">
        <w:t>.</w:t>
      </w:r>
    </w:p>
    <w:p w:rsidR="00472A7A" w:rsidRPr="00FC442E" w:rsidRDefault="00472A7A" w:rsidP="00B71B05">
      <w:pPr>
        <w:pStyle w:val="Footer"/>
        <w:tabs>
          <w:tab w:val="clear" w:pos="4819"/>
          <w:tab w:val="clear" w:pos="9638"/>
        </w:tabs>
        <w:jc w:val="both"/>
        <w:rPr>
          <w:lang w:val="en-US"/>
        </w:rPr>
      </w:pPr>
    </w:p>
    <w:p w:rsidR="00B71B05" w:rsidRPr="00FC442E" w:rsidRDefault="00B71B05" w:rsidP="008041D5">
      <w:pPr>
        <w:pStyle w:val="Footer"/>
        <w:tabs>
          <w:tab w:val="clear" w:pos="4819"/>
          <w:tab w:val="clear" w:pos="9638"/>
        </w:tabs>
        <w:jc w:val="both"/>
        <w:rPr>
          <w:lang w:val="en-US"/>
        </w:rPr>
      </w:pPr>
      <w:r w:rsidRPr="00FC442E">
        <w:rPr>
          <w:lang w:val="en-US"/>
        </w:rPr>
        <w:t xml:space="preserve">This Annex presents the </w:t>
      </w:r>
      <w:r w:rsidR="002531EC" w:rsidRPr="00FC442E">
        <w:rPr>
          <w:lang w:val="en-US"/>
        </w:rPr>
        <w:t>Ex</w:t>
      </w:r>
      <w:r w:rsidR="00667F2E" w:rsidRPr="00FC442E">
        <w:rPr>
          <w:lang w:val="en-US"/>
        </w:rPr>
        <w:t>-</w:t>
      </w:r>
      <w:r w:rsidR="002531EC" w:rsidRPr="00FC442E">
        <w:rPr>
          <w:lang w:val="en-US"/>
        </w:rPr>
        <w:t xml:space="preserve">post </w:t>
      </w:r>
      <w:r w:rsidRPr="00FC442E">
        <w:rPr>
          <w:lang w:val="en-US"/>
        </w:rPr>
        <w:t>Cost-Benefit Analysis</w:t>
      </w:r>
      <w:r w:rsidRPr="00FC442E">
        <w:rPr>
          <w:b/>
          <w:lang w:val="en-US"/>
        </w:rPr>
        <w:t xml:space="preserve"> </w:t>
      </w:r>
      <w:r w:rsidRPr="00FC442E">
        <w:rPr>
          <w:lang w:val="en-US"/>
        </w:rPr>
        <w:t>(CBA) for t</w:t>
      </w:r>
      <w:r w:rsidR="00AD4208" w:rsidRPr="00FC442E">
        <w:rPr>
          <w:lang w:val="en-US"/>
        </w:rPr>
        <w:t>hree</w:t>
      </w:r>
      <w:r w:rsidRPr="00FC442E">
        <w:rPr>
          <w:lang w:val="en-US"/>
        </w:rPr>
        <w:t xml:space="preserve"> components of the program</w:t>
      </w:r>
      <w:r w:rsidR="00E424C9" w:rsidRPr="00FC442E">
        <w:rPr>
          <w:lang w:val="en-US"/>
        </w:rPr>
        <w:t>:</w:t>
      </w:r>
      <w:r w:rsidR="006753EF" w:rsidRPr="00FC442E">
        <w:rPr>
          <w:lang w:val="en-US"/>
        </w:rPr>
        <w:t xml:space="preserve"> </w:t>
      </w:r>
      <w:r w:rsidR="00A66FB0" w:rsidRPr="00FC442E">
        <w:rPr>
          <w:lang w:val="en-US"/>
        </w:rPr>
        <w:t xml:space="preserve">the </w:t>
      </w:r>
      <w:r w:rsidR="00BD2B12" w:rsidRPr="00FC442E">
        <w:rPr>
          <w:lang w:val="en-US"/>
        </w:rPr>
        <w:t xml:space="preserve">rehabilitation of the water system (most of component 2) and the </w:t>
      </w:r>
      <w:r w:rsidR="00A66FB0" w:rsidRPr="00FC442E">
        <w:rPr>
          <w:lang w:val="en-US"/>
        </w:rPr>
        <w:t>non-revenue water pro</w:t>
      </w:r>
      <w:r w:rsidR="00BD2B12" w:rsidRPr="00FC442E">
        <w:rPr>
          <w:lang w:val="en-US"/>
        </w:rPr>
        <w:t>gram (</w:t>
      </w:r>
      <w:r w:rsidR="00A66FB0" w:rsidRPr="00FC442E">
        <w:rPr>
          <w:lang w:val="en-US"/>
        </w:rPr>
        <w:t>component 1</w:t>
      </w:r>
      <w:r w:rsidR="00BD2B12" w:rsidRPr="00FC442E">
        <w:rPr>
          <w:lang w:val="en-US"/>
        </w:rPr>
        <w:t xml:space="preserve">), that </w:t>
      </w:r>
      <w:r w:rsidR="002531EC" w:rsidRPr="00FC442E">
        <w:rPr>
          <w:lang w:val="en-US"/>
        </w:rPr>
        <w:t>were</w:t>
      </w:r>
      <w:r w:rsidR="00BD2B12" w:rsidRPr="00FC442E">
        <w:rPr>
          <w:lang w:val="en-US"/>
        </w:rPr>
        <w:t xml:space="preserve"> consider</w:t>
      </w:r>
      <w:r w:rsidR="00C270F3" w:rsidRPr="00FC442E">
        <w:rPr>
          <w:lang w:val="en-US"/>
        </w:rPr>
        <w:t>ed</w:t>
      </w:r>
      <w:r w:rsidR="00BD2B12" w:rsidRPr="00FC442E">
        <w:rPr>
          <w:lang w:val="en-US"/>
        </w:rPr>
        <w:t xml:space="preserve"> as a single project</w:t>
      </w:r>
      <w:r w:rsidR="00A66FB0" w:rsidRPr="00FC442E">
        <w:rPr>
          <w:lang w:val="en-US"/>
        </w:rPr>
        <w:t xml:space="preserve">; the micro metering project </w:t>
      </w:r>
      <w:r w:rsidR="00BD2B12" w:rsidRPr="00FC442E">
        <w:rPr>
          <w:lang w:val="en-US"/>
        </w:rPr>
        <w:t>(that</w:t>
      </w:r>
      <w:r w:rsidR="00A66FB0" w:rsidRPr="00FC442E">
        <w:rPr>
          <w:lang w:val="en-US"/>
        </w:rPr>
        <w:t xml:space="preserve"> includes part of component 2</w:t>
      </w:r>
      <w:r w:rsidR="00BD2B12" w:rsidRPr="00FC442E">
        <w:rPr>
          <w:lang w:val="en-US"/>
        </w:rPr>
        <w:t>)</w:t>
      </w:r>
      <w:r w:rsidR="00A66FB0" w:rsidRPr="00FC442E">
        <w:rPr>
          <w:lang w:val="en-US"/>
        </w:rPr>
        <w:t xml:space="preserve">; and the </w:t>
      </w:r>
      <w:r w:rsidR="008041D5" w:rsidRPr="00FC442E">
        <w:rPr>
          <w:lang w:val="en-US"/>
        </w:rPr>
        <w:t>en</w:t>
      </w:r>
      <w:r w:rsidR="006753EF" w:rsidRPr="00FC442E">
        <w:rPr>
          <w:lang w:val="en-US"/>
        </w:rPr>
        <w:t xml:space="preserve">ergy </w:t>
      </w:r>
      <w:r w:rsidR="008041D5" w:rsidRPr="00FC442E">
        <w:rPr>
          <w:lang w:val="en-US"/>
        </w:rPr>
        <w:t>e</w:t>
      </w:r>
      <w:r w:rsidR="006753EF" w:rsidRPr="00FC442E">
        <w:rPr>
          <w:lang w:val="en-US"/>
        </w:rPr>
        <w:t xml:space="preserve">fficiency </w:t>
      </w:r>
      <w:r w:rsidR="008041D5" w:rsidRPr="00FC442E">
        <w:rPr>
          <w:lang w:val="en-US"/>
        </w:rPr>
        <w:t>p</w:t>
      </w:r>
      <w:r w:rsidR="006753EF" w:rsidRPr="00FC442E">
        <w:rPr>
          <w:lang w:val="en-US"/>
        </w:rPr>
        <w:t xml:space="preserve">ilot </w:t>
      </w:r>
      <w:r w:rsidR="008041D5" w:rsidRPr="00FC442E">
        <w:rPr>
          <w:lang w:val="en-US"/>
        </w:rPr>
        <w:t>p</w:t>
      </w:r>
      <w:r w:rsidR="00A66FB0" w:rsidRPr="00FC442E">
        <w:rPr>
          <w:lang w:val="en-US"/>
        </w:rPr>
        <w:t>roject (component 3)</w:t>
      </w:r>
      <w:r w:rsidR="006753EF" w:rsidRPr="00FC442E">
        <w:rPr>
          <w:lang w:val="en-US"/>
        </w:rPr>
        <w:t>.</w:t>
      </w:r>
      <w:r w:rsidRPr="00FC442E">
        <w:rPr>
          <w:lang w:val="en-US"/>
        </w:rPr>
        <w:t xml:space="preserve"> </w:t>
      </w:r>
      <w:r w:rsidR="008041D5" w:rsidRPr="00FC442E">
        <w:rPr>
          <w:lang w:val="en-US"/>
        </w:rPr>
        <w:t>The Annex is structured as follows: Section 2.1 b</w:t>
      </w:r>
      <w:r w:rsidRPr="00FC442E">
        <w:rPr>
          <w:szCs w:val="24"/>
          <w:lang w:val="en-US"/>
        </w:rPr>
        <w:t xml:space="preserve">riefly describes the </w:t>
      </w:r>
      <w:r w:rsidR="00224EA0" w:rsidRPr="00FC442E">
        <w:rPr>
          <w:szCs w:val="24"/>
          <w:lang w:val="en-US"/>
        </w:rPr>
        <w:t>water rehabilitation</w:t>
      </w:r>
      <w:r w:rsidRPr="00FC442E">
        <w:rPr>
          <w:szCs w:val="24"/>
          <w:lang w:val="en-US"/>
        </w:rPr>
        <w:t xml:space="preserve"> project and</w:t>
      </w:r>
      <w:r w:rsidR="00C270F3" w:rsidRPr="00FC442E">
        <w:rPr>
          <w:szCs w:val="24"/>
          <w:lang w:val="en-US"/>
        </w:rPr>
        <w:t xml:space="preserve"> the NRW program and</w:t>
      </w:r>
      <w:r w:rsidRPr="00FC442E">
        <w:rPr>
          <w:szCs w:val="24"/>
          <w:lang w:val="en-US"/>
        </w:rPr>
        <w:t xml:space="preserve"> its costs</w:t>
      </w:r>
      <w:r w:rsidR="008041D5" w:rsidRPr="00FC442E">
        <w:rPr>
          <w:szCs w:val="24"/>
          <w:lang w:val="en-US"/>
        </w:rPr>
        <w:t>;</w:t>
      </w:r>
      <w:r w:rsidRPr="00FC442E">
        <w:rPr>
          <w:szCs w:val="24"/>
          <w:lang w:val="en-US"/>
        </w:rPr>
        <w:t xml:space="preserve"> </w:t>
      </w:r>
      <w:r w:rsidRPr="00FC442E">
        <w:rPr>
          <w:lang w:val="en-US"/>
        </w:rPr>
        <w:t xml:space="preserve">Section </w:t>
      </w:r>
      <w:r w:rsidR="008041D5" w:rsidRPr="00FC442E">
        <w:rPr>
          <w:lang w:val="en-US"/>
        </w:rPr>
        <w:t>2.2</w:t>
      </w:r>
      <w:r w:rsidRPr="00FC442E">
        <w:rPr>
          <w:lang w:val="en-US"/>
        </w:rPr>
        <w:t xml:space="preserve"> presents the methodology adopted to estimate the economic be</w:t>
      </w:r>
      <w:r w:rsidR="008041D5" w:rsidRPr="00FC442E">
        <w:rPr>
          <w:lang w:val="en-US"/>
        </w:rPr>
        <w:t>nefits;</w:t>
      </w:r>
      <w:r w:rsidRPr="00FC442E">
        <w:rPr>
          <w:lang w:val="en-US"/>
        </w:rPr>
        <w:t xml:space="preserve"> Section </w:t>
      </w:r>
      <w:r w:rsidR="008041D5" w:rsidRPr="00FC442E">
        <w:rPr>
          <w:lang w:val="en-US"/>
        </w:rPr>
        <w:t>2.3</w:t>
      </w:r>
      <w:r w:rsidRPr="00FC442E">
        <w:rPr>
          <w:lang w:val="en-US"/>
        </w:rPr>
        <w:t xml:space="preserve"> illustrates the results of </w:t>
      </w:r>
      <w:r w:rsidR="002531EC" w:rsidRPr="00FC442E">
        <w:rPr>
          <w:lang w:val="en-US"/>
        </w:rPr>
        <w:t>the ex</w:t>
      </w:r>
      <w:r w:rsidR="00667F2E" w:rsidRPr="00FC442E">
        <w:rPr>
          <w:lang w:val="en-US"/>
        </w:rPr>
        <w:t>-</w:t>
      </w:r>
      <w:r w:rsidR="002531EC" w:rsidRPr="00FC442E">
        <w:rPr>
          <w:lang w:val="en-US"/>
        </w:rPr>
        <w:t xml:space="preserve">post </w:t>
      </w:r>
      <w:r w:rsidRPr="00FC442E">
        <w:rPr>
          <w:lang w:val="en-US"/>
        </w:rPr>
        <w:t>cost-benefit analysis</w:t>
      </w:r>
      <w:r w:rsidR="008041D5" w:rsidRPr="00FC442E">
        <w:rPr>
          <w:lang w:val="en-US"/>
        </w:rPr>
        <w:t xml:space="preserve">; </w:t>
      </w:r>
      <w:r w:rsidR="00C270F3" w:rsidRPr="00FC442E">
        <w:rPr>
          <w:lang w:val="en-US"/>
        </w:rPr>
        <w:t xml:space="preserve">Section 3 presents the information regarding the </w:t>
      </w:r>
      <w:r w:rsidR="002531EC" w:rsidRPr="00FC442E">
        <w:rPr>
          <w:lang w:val="en-US"/>
        </w:rPr>
        <w:t>ex</w:t>
      </w:r>
      <w:r w:rsidR="00667F2E" w:rsidRPr="00FC442E">
        <w:rPr>
          <w:lang w:val="en-US"/>
        </w:rPr>
        <w:t>-</w:t>
      </w:r>
      <w:r w:rsidR="002531EC" w:rsidRPr="00FC442E">
        <w:rPr>
          <w:lang w:val="en-US"/>
        </w:rPr>
        <w:t xml:space="preserve">post </w:t>
      </w:r>
      <w:r w:rsidR="00C270F3" w:rsidRPr="00FC442E">
        <w:rPr>
          <w:lang w:val="en-US"/>
        </w:rPr>
        <w:t xml:space="preserve">CBA for the </w:t>
      </w:r>
      <w:r w:rsidR="00576D0C" w:rsidRPr="00FC442E">
        <w:rPr>
          <w:lang w:val="en-US"/>
        </w:rPr>
        <w:t>micro metering project</w:t>
      </w:r>
      <w:r w:rsidR="00C270F3" w:rsidRPr="00FC442E">
        <w:rPr>
          <w:lang w:val="en-US"/>
        </w:rPr>
        <w:t xml:space="preserve">; </w:t>
      </w:r>
      <w:r w:rsidR="002531EC" w:rsidRPr="00FC442E">
        <w:rPr>
          <w:lang w:val="en-US"/>
        </w:rPr>
        <w:t xml:space="preserve">and </w:t>
      </w:r>
      <w:r w:rsidR="008041D5" w:rsidRPr="00FC442E">
        <w:rPr>
          <w:lang w:val="en-US"/>
        </w:rPr>
        <w:t xml:space="preserve">Section </w:t>
      </w:r>
      <w:r w:rsidR="00C270F3" w:rsidRPr="00FC442E">
        <w:rPr>
          <w:lang w:val="en-US"/>
        </w:rPr>
        <w:t>4</w:t>
      </w:r>
      <w:r w:rsidR="008041D5" w:rsidRPr="00FC442E">
        <w:rPr>
          <w:lang w:val="en-US"/>
        </w:rPr>
        <w:t xml:space="preserve"> presents the information regarding the </w:t>
      </w:r>
      <w:r w:rsidR="002531EC" w:rsidRPr="00FC442E">
        <w:rPr>
          <w:lang w:val="en-US"/>
        </w:rPr>
        <w:t>ex</w:t>
      </w:r>
      <w:r w:rsidR="00667F2E" w:rsidRPr="00FC442E">
        <w:rPr>
          <w:lang w:val="en-US"/>
        </w:rPr>
        <w:t>-</w:t>
      </w:r>
      <w:r w:rsidR="002531EC" w:rsidRPr="00FC442E">
        <w:rPr>
          <w:lang w:val="en-US"/>
        </w:rPr>
        <w:t xml:space="preserve">post </w:t>
      </w:r>
      <w:r w:rsidR="008041D5" w:rsidRPr="00FC442E">
        <w:rPr>
          <w:lang w:val="en-US"/>
        </w:rPr>
        <w:t xml:space="preserve">CBA for the energy efficiency component. </w:t>
      </w:r>
      <w:r w:rsidRPr="00FC442E">
        <w:rPr>
          <w:lang w:val="en-US"/>
        </w:rPr>
        <w:t xml:space="preserve">The Report also includes a series of </w:t>
      </w:r>
      <w:r w:rsidR="008041D5" w:rsidRPr="00FC442E">
        <w:rPr>
          <w:lang w:val="en-US"/>
        </w:rPr>
        <w:t>Appendices</w:t>
      </w:r>
      <w:r w:rsidRPr="00FC442E">
        <w:rPr>
          <w:lang w:val="en-US"/>
        </w:rPr>
        <w:t>, namely:</w:t>
      </w:r>
      <w:r w:rsidR="008041D5" w:rsidRPr="00FC442E">
        <w:rPr>
          <w:lang w:val="en-US"/>
        </w:rPr>
        <w:t xml:space="preserve"> </w:t>
      </w:r>
      <w:r w:rsidRPr="00FC442E">
        <w:rPr>
          <w:lang w:val="en-US"/>
        </w:rPr>
        <w:t>A</w:t>
      </w:r>
      <w:r w:rsidR="008041D5" w:rsidRPr="00FC442E">
        <w:rPr>
          <w:lang w:val="en-US"/>
        </w:rPr>
        <w:t>ppendix</w:t>
      </w:r>
      <w:r w:rsidRPr="00FC442E">
        <w:rPr>
          <w:lang w:val="en-US"/>
        </w:rPr>
        <w:t xml:space="preserve"> 1, including a table showing </w:t>
      </w:r>
      <w:r w:rsidR="00AB469D" w:rsidRPr="00FC442E">
        <w:rPr>
          <w:lang w:val="en-US"/>
        </w:rPr>
        <w:t xml:space="preserve">the </w:t>
      </w:r>
      <w:r w:rsidRPr="00FC442E">
        <w:rPr>
          <w:lang w:val="en-US"/>
        </w:rPr>
        <w:t xml:space="preserve">detailed cash flow of the </w:t>
      </w:r>
      <w:r w:rsidR="00224EA0" w:rsidRPr="00FC442E">
        <w:rPr>
          <w:lang w:val="en-US"/>
        </w:rPr>
        <w:t>rehabilitation project and</w:t>
      </w:r>
      <w:r w:rsidR="008041D5" w:rsidRPr="00FC442E">
        <w:rPr>
          <w:lang w:val="en-US"/>
        </w:rPr>
        <w:t xml:space="preserve"> </w:t>
      </w:r>
      <w:r w:rsidRPr="00FC442E">
        <w:rPr>
          <w:lang w:val="en-US"/>
        </w:rPr>
        <w:t>A</w:t>
      </w:r>
      <w:r w:rsidR="008041D5" w:rsidRPr="00FC442E">
        <w:rPr>
          <w:lang w:val="en-US"/>
        </w:rPr>
        <w:t>ppendi</w:t>
      </w:r>
      <w:r w:rsidRPr="00FC442E">
        <w:rPr>
          <w:lang w:val="en-US"/>
        </w:rPr>
        <w:t>x 2, reproducing the</w:t>
      </w:r>
      <w:r w:rsidR="00224EA0" w:rsidRPr="00FC442E">
        <w:rPr>
          <w:lang w:val="en-US"/>
        </w:rPr>
        <w:t xml:space="preserve"> detailed </w:t>
      </w:r>
      <w:r w:rsidR="00AB469D" w:rsidRPr="00FC442E">
        <w:rPr>
          <w:lang w:val="en-US"/>
        </w:rPr>
        <w:t>cash flow of the micro metering project</w:t>
      </w:r>
      <w:r w:rsidRPr="00FC442E">
        <w:rPr>
          <w:lang w:val="en-US"/>
        </w:rPr>
        <w:t xml:space="preserve">. </w:t>
      </w:r>
    </w:p>
    <w:p w:rsidR="00B71B05" w:rsidRPr="00FC442E" w:rsidRDefault="00B71B05" w:rsidP="00B71B05">
      <w:pPr>
        <w:jc w:val="both"/>
        <w:rPr>
          <w:color w:val="800000"/>
        </w:rPr>
      </w:pPr>
    </w:p>
    <w:p w:rsidR="008F6A67" w:rsidRPr="00FC442E" w:rsidRDefault="008F6A67" w:rsidP="00B71B05">
      <w:pPr>
        <w:rPr>
          <w:color w:val="800000"/>
        </w:rPr>
      </w:pPr>
    </w:p>
    <w:p w:rsidR="008F6A67" w:rsidRPr="00FC442E" w:rsidRDefault="008F6A67" w:rsidP="00B71B05">
      <w:pPr>
        <w:rPr>
          <w:color w:val="800000"/>
        </w:rPr>
      </w:pPr>
    </w:p>
    <w:p w:rsidR="008F6A67" w:rsidRPr="00FC442E" w:rsidRDefault="008F6A67" w:rsidP="00E32E25">
      <w:pPr>
        <w:pStyle w:val="Footer"/>
        <w:numPr>
          <w:ilvl w:val="0"/>
          <w:numId w:val="2"/>
        </w:numPr>
        <w:tabs>
          <w:tab w:val="clear" w:pos="4819"/>
          <w:tab w:val="clear" w:pos="9638"/>
        </w:tabs>
        <w:rPr>
          <w:b/>
          <w:szCs w:val="24"/>
          <w:lang w:val="en-US"/>
        </w:rPr>
      </w:pPr>
      <w:r w:rsidRPr="00FC442E">
        <w:rPr>
          <w:b/>
          <w:szCs w:val="24"/>
          <w:lang w:val="en-US"/>
        </w:rPr>
        <w:t xml:space="preserve">REHABILITATION OF </w:t>
      </w:r>
      <w:r w:rsidR="00224EA0" w:rsidRPr="00FC442E">
        <w:rPr>
          <w:b/>
          <w:szCs w:val="24"/>
          <w:lang w:val="en-US"/>
        </w:rPr>
        <w:t>WATER</w:t>
      </w:r>
      <w:r w:rsidRPr="00FC442E">
        <w:rPr>
          <w:b/>
          <w:szCs w:val="24"/>
          <w:lang w:val="en-US"/>
        </w:rPr>
        <w:t xml:space="preserve"> SYSTEM</w:t>
      </w:r>
      <w:r w:rsidR="00576D0C" w:rsidRPr="00FC442E">
        <w:rPr>
          <w:b/>
          <w:szCs w:val="24"/>
          <w:lang w:val="en-US"/>
        </w:rPr>
        <w:t xml:space="preserve"> AND NRW PROGRAM</w:t>
      </w:r>
    </w:p>
    <w:p w:rsidR="008F6A67" w:rsidRPr="00FC442E" w:rsidRDefault="008F6A67" w:rsidP="008F6A67">
      <w:pPr>
        <w:pStyle w:val="Footer"/>
        <w:tabs>
          <w:tab w:val="clear" w:pos="4819"/>
          <w:tab w:val="clear" w:pos="9638"/>
        </w:tabs>
        <w:ind w:left="360"/>
        <w:rPr>
          <w:b/>
          <w:szCs w:val="24"/>
          <w:lang w:val="en-US"/>
        </w:rPr>
      </w:pPr>
    </w:p>
    <w:p w:rsidR="008F6A67" w:rsidRPr="00FC442E" w:rsidRDefault="008F6A67" w:rsidP="00E32E25">
      <w:pPr>
        <w:pStyle w:val="Footer"/>
        <w:numPr>
          <w:ilvl w:val="1"/>
          <w:numId w:val="2"/>
        </w:numPr>
        <w:tabs>
          <w:tab w:val="clear" w:pos="4819"/>
          <w:tab w:val="clear" w:pos="9638"/>
        </w:tabs>
        <w:rPr>
          <w:b/>
          <w:szCs w:val="24"/>
          <w:lang w:val="en-US"/>
        </w:rPr>
      </w:pPr>
      <w:r w:rsidRPr="00FC442E">
        <w:rPr>
          <w:b/>
          <w:szCs w:val="24"/>
          <w:lang w:val="en-US"/>
        </w:rPr>
        <w:t xml:space="preserve">The Project </w:t>
      </w:r>
    </w:p>
    <w:p w:rsidR="008F6A67" w:rsidRPr="00FC442E" w:rsidRDefault="008F6A67" w:rsidP="008F6A67">
      <w:pPr>
        <w:pStyle w:val="Footer"/>
        <w:tabs>
          <w:tab w:val="clear" w:pos="4819"/>
          <w:tab w:val="clear" w:pos="9638"/>
        </w:tabs>
        <w:ind w:left="1068"/>
        <w:rPr>
          <w:b/>
          <w:szCs w:val="24"/>
          <w:lang w:val="en-US"/>
        </w:rPr>
      </w:pPr>
    </w:p>
    <w:p w:rsidR="008F6A67" w:rsidRPr="00FC442E" w:rsidRDefault="008F6A67" w:rsidP="00E32E25">
      <w:pPr>
        <w:pStyle w:val="Footer"/>
        <w:numPr>
          <w:ilvl w:val="2"/>
          <w:numId w:val="2"/>
        </w:numPr>
        <w:tabs>
          <w:tab w:val="clear" w:pos="4819"/>
          <w:tab w:val="clear" w:pos="9638"/>
        </w:tabs>
        <w:rPr>
          <w:b/>
          <w:i/>
          <w:szCs w:val="24"/>
          <w:lang w:val="en-US"/>
        </w:rPr>
      </w:pPr>
      <w:r w:rsidRPr="00FC442E">
        <w:rPr>
          <w:b/>
          <w:i/>
          <w:szCs w:val="24"/>
          <w:lang w:val="en-US"/>
        </w:rPr>
        <w:t xml:space="preserve">  Background </w:t>
      </w:r>
    </w:p>
    <w:p w:rsidR="008F6A67" w:rsidRPr="00FC442E" w:rsidRDefault="008F6A67" w:rsidP="008F6A67">
      <w:pPr>
        <w:autoSpaceDE w:val="0"/>
        <w:autoSpaceDN w:val="0"/>
        <w:adjustRightInd w:val="0"/>
        <w:jc w:val="both"/>
        <w:rPr>
          <w:b/>
          <w:color w:val="800000"/>
        </w:rPr>
      </w:pPr>
    </w:p>
    <w:p w:rsidR="00F95CF7" w:rsidRPr="00FC442E" w:rsidRDefault="00F95CF7" w:rsidP="00F95CF7">
      <w:pPr>
        <w:pStyle w:val="texte"/>
        <w:spacing w:before="0" w:line="240" w:lineRule="auto"/>
        <w:rPr>
          <w:rFonts w:ascii="Times New Roman" w:hAnsi="Times New Roman"/>
          <w:bCs/>
          <w:sz w:val="24"/>
          <w:szCs w:val="20"/>
          <w:lang w:val="en-US" w:eastAsia="en-US"/>
        </w:rPr>
      </w:pPr>
      <w:r w:rsidRPr="00FC442E">
        <w:rPr>
          <w:rFonts w:ascii="Times New Roman" w:hAnsi="Times New Roman"/>
          <w:bCs/>
          <w:sz w:val="24"/>
          <w:szCs w:val="20"/>
          <w:lang w:val="en-US" w:eastAsia="en-US"/>
        </w:rPr>
        <w:t>SWM, which was founded in 1930 and is a state-owned company,</w:t>
      </w:r>
      <w:r w:rsidRPr="00FC442E">
        <w:rPr>
          <w:rFonts w:cs="Arial"/>
          <w:lang w:val="en-US"/>
        </w:rPr>
        <w:t xml:space="preserve"> </w:t>
      </w:r>
      <w:r w:rsidRPr="00FC442E">
        <w:rPr>
          <w:rFonts w:ascii="Times New Roman" w:hAnsi="Times New Roman"/>
          <w:bCs/>
          <w:sz w:val="24"/>
          <w:szCs w:val="20"/>
          <w:lang w:val="en-US" w:eastAsia="en-US"/>
        </w:rPr>
        <w:t>provides water supply services to</w:t>
      </w:r>
      <w:r w:rsidR="007621C3" w:rsidRPr="00FC442E">
        <w:rPr>
          <w:rFonts w:ascii="Times New Roman" w:hAnsi="Times New Roman"/>
          <w:bCs/>
          <w:sz w:val="24"/>
          <w:szCs w:val="20"/>
          <w:lang w:val="en-US" w:eastAsia="en-US"/>
        </w:rPr>
        <w:t xml:space="preserve"> the urban areas, including</w:t>
      </w:r>
      <w:r w:rsidRPr="00FC442E">
        <w:rPr>
          <w:rFonts w:ascii="Times New Roman" w:hAnsi="Times New Roman"/>
          <w:bCs/>
          <w:sz w:val="24"/>
          <w:szCs w:val="20"/>
          <w:lang w:val="en-US" w:eastAsia="en-US"/>
        </w:rPr>
        <w:t xml:space="preserve"> Paramaribo and parts of </w:t>
      </w:r>
      <w:proofErr w:type="spellStart"/>
      <w:r w:rsidRPr="00FC442E">
        <w:rPr>
          <w:rFonts w:ascii="Times New Roman" w:hAnsi="Times New Roman"/>
          <w:bCs/>
          <w:sz w:val="24"/>
          <w:szCs w:val="20"/>
          <w:lang w:val="en-US" w:eastAsia="en-US"/>
        </w:rPr>
        <w:t>Wanica</w:t>
      </w:r>
      <w:proofErr w:type="spellEnd"/>
      <w:r w:rsidRPr="00FC442E">
        <w:rPr>
          <w:rFonts w:ascii="Times New Roman" w:hAnsi="Times New Roman"/>
          <w:bCs/>
          <w:sz w:val="24"/>
          <w:szCs w:val="20"/>
          <w:lang w:val="en-US" w:eastAsia="en-US"/>
        </w:rPr>
        <w:t xml:space="preserve">, </w:t>
      </w:r>
      <w:proofErr w:type="spellStart"/>
      <w:r w:rsidRPr="00FC442E">
        <w:rPr>
          <w:rFonts w:ascii="Times New Roman" w:hAnsi="Times New Roman"/>
          <w:bCs/>
          <w:sz w:val="24"/>
          <w:szCs w:val="20"/>
          <w:lang w:val="en-US" w:eastAsia="en-US"/>
        </w:rPr>
        <w:t>Nieuw</w:t>
      </w:r>
      <w:proofErr w:type="spellEnd"/>
      <w:r w:rsidRPr="00FC442E">
        <w:rPr>
          <w:rFonts w:ascii="Times New Roman" w:hAnsi="Times New Roman"/>
          <w:bCs/>
          <w:sz w:val="24"/>
          <w:szCs w:val="20"/>
          <w:lang w:val="en-US" w:eastAsia="en-US"/>
        </w:rPr>
        <w:t xml:space="preserve"> </w:t>
      </w:r>
      <w:proofErr w:type="spellStart"/>
      <w:r w:rsidRPr="00FC442E">
        <w:rPr>
          <w:rFonts w:ascii="Times New Roman" w:hAnsi="Times New Roman"/>
          <w:bCs/>
          <w:sz w:val="24"/>
          <w:szCs w:val="20"/>
          <w:lang w:val="en-US" w:eastAsia="en-US"/>
        </w:rPr>
        <w:t>Nickerie</w:t>
      </w:r>
      <w:proofErr w:type="spellEnd"/>
      <w:r w:rsidRPr="00FC442E">
        <w:rPr>
          <w:rFonts w:ascii="Times New Roman" w:hAnsi="Times New Roman"/>
          <w:bCs/>
          <w:sz w:val="24"/>
          <w:szCs w:val="20"/>
          <w:lang w:val="en-US" w:eastAsia="en-US"/>
        </w:rPr>
        <w:t>, and Albina</w:t>
      </w:r>
      <w:r w:rsidR="001A299D" w:rsidRPr="00FC442E">
        <w:rPr>
          <w:rFonts w:ascii="Times New Roman" w:hAnsi="Times New Roman"/>
          <w:bCs/>
          <w:sz w:val="24"/>
          <w:szCs w:val="20"/>
          <w:lang w:val="en-US" w:eastAsia="en-US"/>
        </w:rPr>
        <w:t xml:space="preserve"> (all in the Coastal Zone)</w:t>
      </w:r>
      <w:r w:rsidRPr="00FC442E">
        <w:rPr>
          <w:rFonts w:ascii="Times New Roman" w:hAnsi="Times New Roman"/>
          <w:bCs/>
          <w:sz w:val="24"/>
          <w:szCs w:val="20"/>
          <w:lang w:val="en-US" w:eastAsia="en-US"/>
        </w:rPr>
        <w:t xml:space="preserve">. </w:t>
      </w:r>
      <w:r w:rsidR="007621C3" w:rsidRPr="00FC442E">
        <w:rPr>
          <w:rFonts w:ascii="Times New Roman" w:hAnsi="Times New Roman"/>
          <w:bCs/>
          <w:sz w:val="24"/>
          <w:szCs w:val="20"/>
          <w:lang w:val="en-US" w:eastAsia="en-US"/>
        </w:rPr>
        <w:t xml:space="preserve">SWM </w:t>
      </w:r>
      <w:r w:rsidRPr="00FC442E">
        <w:rPr>
          <w:rFonts w:ascii="Times New Roman" w:hAnsi="Times New Roman"/>
          <w:bCs/>
          <w:sz w:val="24"/>
          <w:szCs w:val="20"/>
          <w:lang w:val="en-US" w:eastAsia="en-US"/>
        </w:rPr>
        <w:t>has approximately 76,000 of connections</w:t>
      </w:r>
      <w:r w:rsidR="007621C3" w:rsidRPr="00FC442E">
        <w:rPr>
          <w:rFonts w:ascii="Times New Roman" w:hAnsi="Times New Roman"/>
          <w:bCs/>
          <w:sz w:val="24"/>
          <w:szCs w:val="20"/>
          <w:lang w:val="en-US" w:eastAsia="en-US"/>
        </w:rPr>
        <w:t>.</w:t>
      </w:r>
      <w:r w:rsidRPr="00FC442E">
        <w:rPr>
          <w:rFonts w:ascii="Times New Roman" w:hAnsi="Times New Roman"/>
          <w:bCs/>
          <w:sz w:val="24"/>
          <w:szCs w:val="20"/>
          <w:lang w:val="en-US" w:eastAsia="en-US"/>
        </w:rPr>
        <w:t xml:space="preserve"> </w:t>
      </w:r>
      <w:r w:rsidR="007621C3" w:rsidRPr="00FC442E">
        <w:rPr>
          <w:rFonts w:ascii="Times New Roman" w:hAnsi="Times New Roman"/>
          <w:bCs/>
          <w:sz w:val="24"/>
          <w:szCs w:val="20"/>
          <w:lang w:val="en-US" w:eastAsia="en-US"/>
        </w:rPr>
        <w:t>All the water production and distribution processes for the Paramaribo area come from ground water, which enters a production plant, and then is pumped to the final points of distribution for the population.</w:t>
      </w:r>
      <w:r w:rsidR="001A299D" w:rsidRPr="00FC442E">
        <w:rPr>
          <w:rFonts w:ascii="Times New Roman" w:hAnsi="Times New Roman"/>
          <w:bCs/>
          <w:sz w:val="24"/>
          <w:szCs w:val="20"/>
          <w:lang w:val="en-US" w:eastAsia="en-US"/>
        </w:rPr>
        <w:t xml:space="preserve"> SWM</w:t>
      </w:r>
      <w:r w:rsidRPr="00FC442E">
        <w:rPr>
          <w:rFonts w:ascii="Times New Roman" w:hAnsi="Times New Roman"/>
          <w:bCs/>
          <w:sz w:val="24"/>
          <w:szCs w:val="20"/>
          <w:lang w:val="en-US" w:eastAsia="en-US"/>
        </w:rPr>
        <w:t xml:space="preserve"> supplies water with 15 production stations supplied by 85 water wells, with a total capacity of about 31 million m3 per year</w:t>
      </w:r>
      <w:r w:rsidR="007621C3" w:rsidRPr="00FC442E">
        <w:rPr>
          <w:rFonts w:ascii="Times New Roman" w:hAnsi="Times New Roman"/>
          <w:bCs/>
          <w:sz w:val="24"/>
          <w:szCs w:val="20"/>
          <w:lang w:val="en-US" w:eastAsia="en-US"/>
        </w:rPr>
        <w:t xml:space="preserve">, which is predominantly abstracted from three aquifers: the </w:t>
      </w:r>
      <w:proofErr w:type="spellStart"/>
      <w:r w:rsidR="007621C3" w:rsidRPr="00FC442E">
        <w:rPr>
          <w:rFonts w:ascii="Times New Roman" w:hAnsi="Times New Roman"/>
          <w:bCs/>
          <w:sz w:val="24"/>
          <w:szCs w:val="20"/>
          <w:lang w:val="en-US" w:eastAsia="en-US"/>
        </w:rPr>
        <w:t>Zanderij</w:t>
      </w:r>
      <w:proofErr w:type="spellEnd"/>
      <w:r w:rsidR="007621C3" w:rsidRPr="00FC442E">
        <w:rPr>
          <w:rFonts w:ascii="Times New Roman" w:hAnsi="Times New Roman"/>
          <w:bCs/>
          <w:sz w:val="24"/>
          <w:szCs w:val="20"/>
          <w:lang w:val="en-US" w:eastAsia="en-US"/>
        </w:rPr>
        <w:t xml:space="preserve">, the </w:t>
      </w:r>
      <w:proofErr w:type="spellStart"/>
      <w:r w:rsidR="007621C3" w:rsidRPr="00FC442E">
        <w:rPr>
          <w:rFonts w:ascii="Times New Roman" w:hAnsi="Times New Roman"/>
          <w:bCs/>
          <w:sz w:val="24"/>
          <w:szCs w:val="20"/>
          <w:lang w:val="en-US" w:eastAsia="en-US"/>
        </w:rPr>
        <w:t>Coesewijne</w:t>
      </w:r>
      <w:proofErr w:type="spellEnd"/>
      <w:r w:rsidR="007621C3" w:rsidRPr="00FC442E">
        <w:rPr>
          <w:rFonts w:ascii="Times New Roman" w:hAnsi="Times New Roman"/>
          <w:bCs/>
          <w:sz w:val="24"/>
          <w:szCs w:val="20"/>
          <w:lang w:val="en-US" w:eastAsia="en-US"/>
        </w:rPr>
        <w:t xml:space="preserve">, and the A-sand aquifer, with the </w:t>
      </w:r>
      <w:proofErr w:type="spellStart"/>
      <w:r w:rsidR="007621C3" w:rsidRPr="00FC442E">
        <w:rPr>
          <w:rFonts w:ascii="Times New Roman" w:hAnsi="Times New Roman"/>
          <w:bCs/>
          <w:sz w:val="24"/>
          <w:szCs w:val="20"/>
          <w:lang w:val="en-US" w:eastAsia="en-US"/>
        </w:rPr>
        <w:t>Zanderij</w:t>
      </w:r>
      <w:proofErr w:type="spellEnd"/>
      <w:r w:rsidR="007621C3" w:rsidRPr="00FC442E">
        <w:rPr>
          <w:rFonts w:ascii="Times New Roman" w:hAnsi="Times New Roman"/>
          <w:bCs/>
          <w:sz w:val="24"/>
          <w:szCs w:val="20"/>
          <w:lang w:val="en-US" w:eastAsia="en-US"/>
        </w:rPr>
        <w:t xml:space="preserve"> being the largest source of water.</w:t>
      </w:r>
    </w:p>
    <w:p w:rsidR="00F95CF7" w:rsidRPr="00FC442E" w:rsidRDefault="00F95CF7" w:rsidP="00F95CF7">
      <w:pPr>
        <w:jc w:val="both"/>
        <w:rPr>
          <w:bCs/>
        </w:rPr>
      </w:pPr>
    </w:p>
    <w:p w:rsidR="00FE2950" w:rsidRPr="00FC442E" w:rsidRDefault="00FE2950" w:rsidP="00FE2950">
      <w:pPr>
        <w:jc w:val="both"/>
      </w:pPr>
      <w:r w:rsidRPr="00FC442E">
        <w:t xml:space="preserve">In general, the water supply in the Coastal Zone </w:t>
      </w:r>
      <w:r w:rsidR="005B12AB" w:rsidRPr="00FC442E">
        <w:t>was</w:t>
      </w:r>
      <w:r w:rsidRPr="00FC442E">
        <w:t xml:space="preserve"> relatively poor and inadequate. </w:t>
      </w:r>
      <w:r w:rsidRPr="00FC442E">
        <w:rPr>
          <w:bCs/>
        </w:rPr>
        <w:t xml:space="preserve">Unaccounted-for water, or non-revenue water, </w:t>
      </w:r>
      <w:r w:rsidR="005B12AB" w:rsidRPr="00FC442E">
        <w:rPr>
          <w:bCs/>
        </w:rPr>
        <w:t>was</w:t>
      </w:r>
      <w:r w:rsidRPr="00FC442E">
        <w:rPr>
          <w:bCs/>
        </w:rPr>
        <w:t xml:space="preserve"> estimated to be 45%. </w:t>
      </w:r>
      <w:r w:rsidRPr="00FC442E">
        <w:t>Consumers experience</w:t>
      </w:r>
      <w:r w:rsidR="005B12AB" w:rsidRPr="00FC442E">
        <w:t>d</w:t>
      </w:r>
      <w:r w:rsidRPr="00FC442E">
        <w:t xml:space="preserve"> low / no water pressure and poor water quality. The main reasons for this </w:t>
      </w:r>
      <w:r w:rsidR="005B12AB" w:rsidRPr="00FC442E">
        <w:t>were</w:t>
      </w:r>
      <w:r w:rsidRPr="00FC442E">
        <w:t xml:space="preserve">: the condition of the facilities </w:t>
      </w:r>
      <w:r w:rsidR="005B12AB" w:rsidRPr="00FC442E">
        <w:t>was</w:t>
      </w:r>
      <w:r w:rsidRPr="00FC442E">
        <w:t xml:space="preserve"> generally old and dilapidated, there </w:t>
      </w:r>
      <w:r w:rsidR="005B12AB" w:rsidRPr="00FC442E">
        <w:t>was</w:t>
      </w:r>
      <w:r w:rsidRPr="00FC442E">
        <w:t xml:space="preserve"> a high percentage of leakage in the system, the pumping stations and booster stations </w:t>
      </w:r>
      <w:r w:rsidR="005B12AB" w:rsidRPr="00FC442E">
        <w:t>were</w:t>
      </w:r>
      <w:r w:rsidRPr="00FC442E">
        <w:t xml:space="preserve"> under capacity, and there </w:t>
      </w:r>
      <w:r w:rsidR="005B12AB" w:rsidRPr="00FC442E">
        <w:t>was</w:t>
      </w:r>
      <w:r w:rsidRPr="00FC442E">
        <w:t xml:space="preserve"> not enough water in the system. </w:t>
      </w:r>
    </w:p>
    <w:p w:rsidR="00FE2950" w:rsidRPr="00FC442E" w:rsidRDefault="00FE2950" w:rsidP="00F95CF7">
      <w:pPr>
        <w:autoSpaceDE w:val="0"/>
        <w:autoSpaceDN w:val="0"/>
        <w:adjustRightInd w:val="0"/>
        <w:ind w:right="26"/>
        <w:contextualSpacing/>
        <w:jc w:val="both"/>
        <w:rPr>
          <w:bCs/>
        </w:rPr>
      </w:pPr>
    </w:p>
    <w:p w:rsidR="008F6A67" w:rsidRPr="00FC442E" w:rsidRDefault="008F6A67" w:rsidP="008F6A67">
      <w:pPr>
        <w:jc w:val="both"/>
        <w:rPr>
          <w:bCs/>
        </w:rPr>
      </w:pPr>
    </w:p>
    <w:p w:rsidR="008F6A67" w:rsidRPr="00FC442E" w:rsidRDefault="008F6A67" w:rsidP="00E32E25">
      <w:pPr>
        <w:pStyle w:val="Footer"/>
        <w:numPr>
          <w:ilvl w:val="2"/>
          <w:numId w:val="2"/>
        </w:numPr>
        <w:tabs>
          <w:tab w:val="clear" w:pos="4819"/>
          <w:tab w:val="clear" w:pos="9638"/>
        </w:tabs>
        <w:rPr>
          <w:b/>
          <w:i/>
          <w:szCs w:val="24"/>
          <w:lang w:val="en-US"/>
        </w:rPr>
      </w:pPr>
      <w:r w:rsidRPr="00FC442E">
        <w:rPr>
          <w:b/>
          <w:i/>
          <w:szCs w:val="24"/>
          <w:lang w:val="en-US"/>
        </w:rPr>
        <w:t xml:space="preserve">  Project Description   </w:t>
      </w:r>
    </w:p>
    <w:p w:rsidR="001A299D" w:rsidRPr="00FC442E" w:rsidRDefault="001A299D" w:rsidP="001A299D">
      <w:pPr>
        <w:pStyle w:val="Paragraph"/>
        <w:numPr>
          <w:ilvl w:val="0"/>
          <w:numId w:val="0"/>
        </w:numPr>
        <w:tabs>
          <w:tab w:val="left" w:pos="720"/>
        </w:tabs>
        <w:autoSpaceDE w:val="0"/>
        <w:autoSpaceDN w:val="0"/>
        <w:adjustRightInd w:val="0"/>
      </w:pPr>
      <w:r w:rsidRPr="00FC442E">
        <w:t xml:space="preserve">The main problems detected on the network infrastructure side </w:t>
      </w:r>
      <w:r w:rsidR="000A7B6A" w:rsidRPr="00FC442E">
        <w:t>were</w:t>
      </w:r>
      <w:r w:rsidRPr="00FC442E">
        <w:t>:</w:t>
      </w:r>
    </w:p>
    <w:p w:rsidR="001A299D" w:rsidRPr="00FC442E" w:rsidRDefault="001A299D" w:rsidP="00E32E25">
      <w:pPr>
        <w:pStyle w:val="ListParagraph"/>
        <w:numPr>
          <w:ilvl w:val="0"/>
          <w:numId w:val="9"/>
        </w:numPr>
        <w:spacing w:after="120"/>
        <w:jc w:val="both"/>
        <w:rPr>
          <w:lang w:val="en-US"/>
        </w:rPr>
      </w:pPr>
      <w:bookmarkStart w:id="1" w:name="_Toc272167248"/>
      <w:r w:rsidRPr="00FC442E">
        <w:rPr>
          <w:lang w:val="en-US"/>
        </w:rPr>
        <w:t xml:space="preserve">Pipes in the distribution system </w:t>
      </w:r>
      <w:r w:rsidR="000A7B6A" w:rsidRPr="00FC442E">
        <w:rPr>
          <w:lang w:val="en-US"/>
        </w:rPr>
        <w:t>were</w:t>
      </w:r>
      <w:r w:rsidRPr="00FC442E">
        <w:rPr>
          <w:lang w:val="en-US"/>
        </w:rPr>
        <w:t xml:space="preserve"> in bad condition (breakages, sulphate deposits)</w:t>
      </w:r>
      <w:bookmarkEnd w:id="1"/>
      <w:r w:rsidRPr="00FC442E">
        <w:rPr>
          <w:lang w:val="en-US"/>
        </w:rPr>
        <w:t>.</w:t>
      </w:r>
    </w:p>
    <w:p w:rsidR="001A299D" w:rsidRPr="00FC442E" w:rsidRDefault="001A299D" w:rsidP="00E32E25">
      <w:pPr>
        <w:pStyle w:val="ListParagraph"/>
        <w:numPr>
          <w:ilvl w:val="0"/>
          <w:numId w:val="9"/>
        </w:numPr>
        <w:spacing w:after="120"/>
        <w:jc w:val="both"/>
        <w:rPr>
          <w:lang w:val="en-US"/>
        </w:rPr>
      </w:pPr>
      <w:bookmarkStart w:id="2" w:name="_Toc272167250"/>
      <w:r w:rsidRPr="00FC442E">
        <w:rPr>
          <w:lang w:val="en-US"/>
        </w:rPr>
        <w:t>Low water pressure due to the risk of pipes bursting or a lack of water in the system</w:t>
      </w:r>
      <w:bookmarkEnd w:id="2"/>
      <w:r w:rsidRPr="00FC442E">
        <w:rPr>
          <w:lang w:val="en-US"/>
        </w:rPr>
        <w:t>.</w:t>
      </w:r>
    </w:p>
    <w:p w:rsidR="001A299D" w:rsidRPr="00FC442E" w:rsidRDefault="001A299D" w:rsidP="00E32E25">
      <w:pPr>
        <w:pStyle w:val="ListParagraph"/>
        <w:numPr>
          <w:ilvl w:val="0"/>
          <w:numId w:val="9"/>
        </w:numPr>
        <w:spacing w:after="120"/>
        <w:jc w:val="both"/>
        <w:rPr>
          <w:lang w:val="en-US"/>
        </w:rPr>
      </w:pPr>
      <w:bookmarkStart w:id="3" w:name="_Toc272167251"/>
      <w:r w:rsidRPr="00FC442E">
        <w:rPr>
          <w:lang w:val="en-US"/>
        </w:rPr>
        <w:t>Shallow trenches for existing pipes, which increase</w:t>
      </w:r>
      <w:r w:rsidR="000A7B6A" w:rsidRPr="00FC442E">
        <w:rPr>
          <w:lang w:val="en-US"/>
        </w:rPr>
        <w:t>d</w:t>
      </w:r>
      <w:r w:rsidRPr="00FC442E">
        <w:rPr>
          <w:lang w:val="en-US"/>
        </w:rPr>
        <w:t xml:space="preserve"> </w:t>
      </w:r>
      <w:r w:rsidR="000A7B6A" w:rsidRPr="00FC442E">
        <w:rPr>
          <w:lang w:val="en-US"/>
        </w:rPr>
        <w:t xml:space="preserve">the </w:t>
      </w:r>
      <w:r w:rsidRPr="00FC442E">
        <w:rPr>
          <w:lang w:val="en-US"/>
        </w:rPr>
        <w:t>risk of collapse</w:t>
      </w:r>
      <w:bookmarkEnd w:id="3"/>
      <w:r w:rsidRPr="00FC442E">
        <w:rPr>
          <w:lang w:val="en-US"/>
        </w:rPr>
        <w:t>.</w:t>
      </w:r>
    </w:p>
    <w:p w:rsidR="001A299D" w:rsidRPr="00FC442E" w:rsidRDefault="001A299D" w:rsidP="00E32E25">
      <w:pPr>
        <w:pStyle w:val="ListParagraph"/>
        <w:numPr>
          <w:ilvl w:val="0"/>
          <w:numId w:val="9"/>
        </w:numPr>
        <w:spacing w:after="120"/>
        <w:jc w:val="both"/>
        <w:rPr>
          <w:lang w:val="en-US"/>
        </w:rPr>
      </w:pPr>
      <w:bookmarkStart w:id="4" w:name="_Toc272167252"/>
      <w:r w:rsidRPr="00FC442E">
        <w:rPr>
          <w:lang w:val="en-US"/>
        </w:rPr>
        <w:t>Water meters in bad condition.</w:t>
      </w:r>
      <w:bookmarkEnd w:id="4"/>
    </w:p>
    <w:p w:rsidR="001A299D" w:rsidRPr="00FC442E" w:rsidRDefault="001A299D" w:rsidP="00E32E25">
      <w:pPr>
        <w:pStyle w:val="ListParagraph"/>
        <w:numPr>
          <w:ilvl w:val="0"/>
          <w:numId w:val="9"/>
        </w:numPr>
        <w:spacing w:after="120"/>
        <w:jc w:val="both"/>
        <w:rPr>
          <w:lang w:val="en-US"/>
        </w:rPr>
      </w:pPr>
      <w:bookmarkStart w:id="5" w:name="_Toc272167253"/>
      <w:r w:rsidRPr="00FC442E">
        <w:rPr>
          <w:lang w:val="en-US"/>
        </w:rPr>
        <w:t xml:space="preserve">Low efficiency rates for electromechanical equipment in pumping stations. </w:t>
      </w:r>
      <w:bookmarkStart w:id="6" w:name="_Toc272167254"/>
      <w:bookmarkEnd w:id="5"/>
      <w:r w:rsidRPr="00FC442E">
        <w:rPr>
          <w:lang w:val="en-US"/>
        </w:rPr>
        <w:t>Network valves in poor condition</w:t>
      </w:r>
      <w:bookmarkEnd w:id="6"/>
      <w:r w:rsidRPr="00FC442E">
        <w:rPr>
          <w:lang w:val="en-US"/>
        </w:rPr>
        <w:t>.</w:t>
      </w:r>
    </w:p>
    <w:p w:rsidR="001A299D" w:rsidRPr="00FC442E" w:rsidRDefault="001A299D" w:rsidP="00E32E25">
      <w:pPr>
        <w:pStyle w:val="ListParagraph"/>
        <w:numPr>
          <w:ilvl w:val="0"/>
          <w:numId w:val="9"/>
        </w:numPr>
        <w:spacing w:after="120"/>
        <w:jc w:val="both"/>
        <w:rPr>
          <w:lang w:val="en-US"/>
        </w:rPr>
      </w:pPr>
      <w:bookmarkStart w:id="7" w:name="_Toc272167255"/>
      <w:r w:rsidRPr="00FC442E">
        <w:rPr>
          <w:lang w:val="en-US"/>
        </w:rPr>
        <w:t>Deficit in service reservoir volume for district regulation</w:t>
      </w:r>
      <w:bookmarkEnd w:id="7"/>
      <w:r w:rsidRPr="00FC442E">
        <w:rPr>
          <w:lang w:val="en-US"/>
        </w:rPr>
        <w:t>.</w:t>
      </w:r>
    </w:p>
    <w:p w:rsidR="001A299D" w:rsidRPr="00FC442E" w:rsidRDefault="001A299D" w:rsidP="001A299D">
      <w:pPr>
        <w:pStyle w:val="Paragraph"/>
        <w:numPr>
          <w:ilvl w:val="0"/>
          <w:numId w:val="0"/>
        </w:numPr>
        <w:tabs>
          <w:tab w:val="left" w:pos="720"/>
        </w:tabs>
        <w:autoSpaceDE w:val="0"/>
        <w:autoSpaceDN w:val="0"/>
        <w:adjustRightInd w:val="0"/>
        <w:rPr>
          <w:szCs w:val="24"/>
        </w:rPr>
      </w:pPr>
    </w:p>
    <w:p w:rsidR="001A299D" w:rsidRPr="00FC442E" w:rsidRDefault="001A299D" w:rsidP="001A299D">
      <w:pPr>
        <w:pStyle w:val="Paragraph"/>
        <w:numPr>
          <w:ilvl w:val="0"/>
          <w:numId w:val="0"/>
        </w:numPr>
        <w:tabs>
          <w:tab w:val="left" w:pos="720"/>
        </w:tabs>
        <w:autoSpaceDE w:val="0"/>
        <w:autoSpaceDN w:val="0"/>
        <w:adjustRightInd w:val="0"/>
        <w:rPr>
          <w:szCs w:val="24"/>
        </w:rPr>
      </w:pPr>
      <w:bookmarkStart w:id="8" w:name="_Toc272167256"/>
      <w:r w:rsidRPr="00FC442E">
        <w:rPr>
          <w:szCs w:val="24"/>
        </w:rPr>
        <w:t>From the operational point of view the main issues to be address</w:t>
      </w:r>
      <w:r w:rsidR="00504514" w:rsidRPr="00FC442E">
        <w:rPr>
          <w:szCs w:val="24"/>
        </w:rPr>
        <w:t>ed</w:t>
      </w:r>
      <w:r w:rsidRPr="00FC442E">
        <w:rPr>
          <w:szCs w:val="24"/>
        </w:rPr>
        <w:t xml:space="preserve"> </w:t>
      </w:r>
      <w:r w:rsidR="000A7B6A" w:rsidRPr="00FC442E">
        <w:rPr>
          <w:szCs w:val="24"/>
        </w:rPr>
        <w:t>were</w:t>
      </w:r>
      <w:r w:rsidRPr="00FC442E">
        <w:rPr>
          <w:szCs w:val="24"/>
        </w:rPr>
        <w:t>:</w:t>
      </w:r>
      <w:bookmarkEnd w:id="8"/>
    </w:p>
    <w:p w:rsidR="001A299D" w:rsidRPr="00FC442E" w:rsidRDefault="001A299D" w:rsidP="00E32E25">
      <w:pPr>
        <w:pStyle w:val="ListParagraph"/>
        <w:numPr>
          <w:ilvl w:val="0"/>
          <w:numId w:val="10"/>
        </w:numPr>
        <w:spacing w:after="120"/>
        <w:jc w:val="both"/>
        <w:rPr>
          <w:lang w:val="en-US"/>
        </w:rPr>
      </w:pPr>
      <w:bookmarkStart w:id="9" w:name="_Toc272167257"/>
      <w:r w:rsidRPr="00FC442E">
        <w:rPr>
          <w:lang w:val="en-US"/>
        </w:rPr>
        <w:t>Lack of a maintenance program oriented to the sustainability of the infrastructure</w:t>
      </w:r>
      <w:bookmarkEnd w:id="9"/>
      <w:r w:rsidRPr="00FC442E">
        <w:rPr>
          <w:lang w:val="en-US"/>
        </w:rPr>
        <w:t>;</w:t>
      </w:r>
    </w:p>
    <w:p w:rsidR="001A299D" w:rsidRPr="00FC442E" w:rsidRDefault="001A299D" w:rsidP="00E32E25">
      <w:pPr>
        <w:pStyle w:val="ListParagraph"/>
        <w:numPr>
          <w:ilvl w:val="0"/>
          <w:numId w:val="10"/>
        </w:numPr>
        <w:spacing w:after="120"/>
        <w:jc w:val="both"/>
        <w:rPr>
          <w:lang w:val="en-US"/>
        </w:rPr>
      </w:pPr>
      <w:bookmarkStart w:id="10" w:name="_Toc272167258"/>
      <w:r w:rsidRPr="00FC442E">
        <w:rPr>
          <w:lang w:val="en-US"/>
        </w:rPr>
        <w:t>Lack of a</w:t>
      </w:r>
      <w:r w:rsidR="000A7B6A" w:rsidRPr="00FC442E">
        <w:rPr>
          <w:lang w:val="en-US"/>
        </w:rPr>
        <w:t>n</w:t>
      </w:r>
      <w:r w:rsidRPr="00FC442E">
        <w:rPr>
          <w:lang w:val="en-US"/>
        </w:rPr>
        <w:t xml:space="preserve"> integrated management and information system, including network information, customer data and operational information</w:t>
      </w:r>
      <w:bookmarkEnd w:id="10"/>
      <w:r w:rsidRPr="00FC442E">
        <w:rPr>
          <w:lang w:val="en-US"/>
        </w:rPr>
        <w:t>;</w:t>
      </w:r>
    </w:p>
    <w:p w:rsidR="001A299D" w:rsidRPr="00FC442E" w:rsidRDefault="001A299D" w:rsidP="00E32E25">
      <w:pPr>
        <w:pStyle w:val="ListParagraph"/>
        <w:numPr>
          <w:ilvl w:val="0"/>
          <w:numId w:val="10"/>
        </w:numPr>
        <w:spacing w:after="120"/>
        <w:jc w:val="both"/>
        <w:rPr>
          <w:lang w:val="en-US"/>
        </w:rPr>
      </w:pPr>
      <w:bookmarkStart w:id="11" w:name="_Toc272167259"/>
      <w:r w:rsidRPr="00FC442E">
        <w:rPr>
          <w:lang w:val="en-US"/>
        </w:rPr>
        <w:t>No definition of district metering areas for network operation</w:t>
      </w:r>
      <w:bookmarkEnd w:id="11"/>
      <w:r w:rsidRPr="00FC442E">
        <w:rPr>
          <w:lang w:val="en-US"/>
        </w:rPr>
        <w:t>;</w:t>
      </w:r>
    </w:p>
    <w:p w:rsidR="001A299D" w:rsidRPr="00FC442E" w:rsidRDefault="001A299D" w:rsidP="00E32E25">
      <w:pPr>
        <w:pStyle w:val="ListParagraph"/>
        <w:numPr>
          <w:ilvl w:val="0"/>
          <w:numId w:val="10"/>
        </w:numPr>
        <w:spacing w:after="120"/>
        <w:jc w:val="both"/>
        <w:rPr>
          <w:lang w:val="en-US"/>
        </w:rPr>
      </w:pPr>
      <w:bookmarkStart w:id="12" w:name="_Toc272167260"/>
      <w:r w:rsidRPr="00FC442E">
        <w:rPr>
          <w:lang w:val="en-US"/>
        </w:rPr>
        <w:t>No measuring system for energy consumption monitoring</w:t>
      </w:r>
      <w:bookmarkEnd w:id="12"/>
      <w:r w:rsidRPr="00FC442E">
        <w:rPr>
          <w:lang w:val="en-US"/>
        </w:rPr>
        <w:t>;</w:t>
      </w:r>
    </w:p>
    <w:p w:rsidR="001A299D" w:rsidRPr="00FC442E" w:rsidRDefault="001A299D" w:rsidP="00E32E25">
      <w:pPr>
        <w:pStyle w:val="ListParagraph"/>
        <w:numPr>
          <w:ilvl w:val="0"/>
          <w:numId w:val="10"/>
        </w:numPr>
        <w:spacing w:after="120"/>
        <w:jc w:val="both"/>
        <w:rPr>
          <w:lang w:val="en-US"/>
        </w:rPr>
      </w:pPr>
      <w:r w:rsidRPr="00FC442E">
        <w:rPr>
          <w:lang w:val="en-US"/>
        </w:rPr>
        <w:t>High percentage of non-revenue water for the system.</w:t>
      </w:r>
    </w:p>
    <w:p w:rsidR="001A299D" w:rsidRPr="00FC442E" w:rsidRDefault="001A299D" w:rsidP="00E32E25">
      <w:pPr>
        <w:pStyle w:val="ListParagraph"/>
        <w:numPr>
          <w:ilvl w:val="0"/>
          <w:numId w:val="10"/>
        </w:numPr>
        <w:spacing w:after="120"/>
        <w:jc w:val="both"/>
        <w:rPr>
          <w:lang w:val="en-US"/>
        </w:rPr>
      </w:pPr>
      <w:bookmarkStart w:id="13" w:name="_Toc272167261"/>
      <w:r w:rsidRPr="00FC442E">
        <w:rPr>
          <w:lang w:val="en-US"/>
        </w:rPr>
        <w:t>Lack of a standard system for operating the network and plans for its expansion and/or replacement.</w:t>
      </w:r>
      <w:bookmarkEnd w:id="13"/>
    </w:p>
    <w:p w:rsidR="00335896" w:rsidRPr="00FC442E" w:rsidRDefault="001A299D" w:rsidP="005B673A">
      <w:pPr>
        <w:jc w:val="both"/>
      </w:pPr>
      <w:bookmarkStart w:id="14" w:name="_Toc272167262"/>
      <w:r w:rsidRPr="00FC442E">
        <w:t xml:space="preserve">The interventions were chosen based on the above issues </w:t>
      </w:r>
      <w:r w:rsidR="005B673A" w:rsidRPr="00FC442E">
        <w:t>to</w:t>
      </w:r>
      <w:r w:rsidRPr="00FC442E">
        <w:t xml:space="preserve"> find a program that w</w:t>
      </w:r>
      <w:r w:rsidR="005B673A" w:rsidRPr="00FC442E">
        <w:t>ould</w:t>
      </w:r>
      <w:r w:rsidRPr="00FC442E">
        <w:t xml:space="preserve"> addresses these issues in a short-medium term impact and bring sustainability to the system in terms of operability and sustainability of their assets.</w:t>
      </w:r>
      <w:bookmarkEnd w:id="14"/>
      <w:r w:rsidR="00335896" w:rsidRPr="00FC442E">
        <w:t xml:space="preserve"> </w:t>
      </w:r>
      <w:r w:rsidR="00853FB4" w:rsidRPr="00FC442E">
        <w:t>Therefore,</w:t>
      </w:r>
      <w:r w:rsidR="00332E25" w:rsidRPr="00FC442E">
        <w:t xml:space="preserve"> </w:t>
      </w:r>
      <w:r w:rsidR="00853FB4" w:rsidRPr="00FC442E">
        <w:t xml:space="preserve">the following works were </w:t>
      </w:r>
      <w:r w:rsidR="00332E25" w:rsidRPr="00FC442E">
        <w:t>develop</w:t>
      </w:r>
      <w:r w:rsidR="00853FB4" w:rsidRPr="00FC442E">
        <w:t>ed</w:t>
      </w:r>
      <w:r w:rsidR="00335896" w:rsidRPr="00FC442E">
        <w:t>:</w:t>
      </w:r>
    </w:p>
    <w:p w:rsidR="00335896" w:rsidRPr="00FC442E" w:rsidRDefault="00335896" w:rsidP="00335896"/>
    <w:p w:rsidR="00332E25" w:rsidRPr="00FC442E" w:rsidRDefault="00335896" w:rsidP="00E32E25">
      <w:pPr>
        <w:pStyle w:val="ListParagraph"/>
        <w:numPr>
          <w:ilvl w:val="0"/>
          <w:numId w:val="12"/>
        </w:numPr>
        <w:spacing w:after="120"/>
        <w:jc w:val="both"/>
        <w:rPr>
          <w:lang w:val="en-US"/>
        </w:rPr>
      </w:pPr>
      <w:r w:rsidRPr="00FC442E">
        <w:rPr>
          <w:lang w:val="en-US"/>
        </w:rPr>
        <w:t>Replacement of the most critical areas of Paramaribo’s asbestos network from which high portion of the non</w:t>
      </w:r>
      <w:r w:rsidR="005B673A" w:rsidRPr="00FC442E">
        <w:rPr>
          <w:lang w:val="en-US"/>
        </w:rPr>
        <w:t>-</w:t>
      </w:r>
      <w:r w:rsidRPr="00FC442E">
        <w:rPr>
          <w:lang w:val="en-US"/>
        </w:rPr>
        <w:t xml:space="preserve">revenue water </w:t>
      </w:r>
      <w:r w:rsidR="005B673A" w:rsidRPr="00FC442E">
        <w:rPr>
          <w:lang w:val="en-US"/>
        </w:rPr>
        <w:t>wa</w:t>
      </w:r>
      <w:r w:rsidRPr="00FC442E">
        <w:rPr>
          <w:lang w:val="en-US"/>
        </w:rPr>
        <w:t>s being generated.</w:t>
      </w:r>
      <w:r w:rsidR="00332E25" w:rsidRPr="00FC442E">
        <w:rPr>
          <w:lang w:val="en-US"/>
        </w:rPr>
        <w:t xml:space="preserve"> </w:t>
      </w:r>
      <w:r w:rsidR="005B673A" w:rsidRPr="00FC442E">
        <w:rPr>
          <w:lang w:val="en-US"/>
        </w:rPr>
        <w:t>Specifically,</w:t>
      </w:r>
      <w:r w:rsidR="00332E25" w:rsidRPr="00FC442E">
        <w:rPr>
          <w:lang w:val="en-US"/>
        </w:rPr>
        <w:t xml:space="preserve"> it include</w:t>
      </w:r>
      <w:r w:rsidR="005B673A" w:rsidRPr="00FC442E">
        <w:rPr>
          <w:lang w:val="en-US"/>
        </w:rPr>
        <w:t>d</w:t>
      </w:r>
      <w:r w:rsidR="00332E25" w:rsidRPr="00FC442E">
        <w:rPr>
          <w:lang w:val="en-US"/>
        </w:rPr>
        <w:t>:</w:t>
      </w:r>
    </w:p>
    <w:p w:rsidR="00332E25" w:rsidRPr="00FC442E" w:rsidRDefault="00332E25" w:rsidP="00E32E25">
      <w:pPr>
        <w:pStyle w:val="ListParagraph"/>
        <w:numPr>
          <w:ilvl w:val="1"/>
          <w:numId w:val="12"/>
        </w:numPr>
        <w:spacing w:after="120"/>
        <w:jc w:val="both"/>
        <w:rPr>
          <w:lang w:val="en-US"/>
        </w:rPr>
      </w:pPr>
      <w:r w:rsidRPr="00FC442E">
        <w:rPr>
          <w:lang w:val="en-US"/>
        </w:rPr>
        <w:t xml:space="preserve">replacement program of </w:t>
      </w:r>
      <w:r w:rsidR="005B673A" w:rsidRPr="00FC442E">
        <w:rPr>
          <w:lang w:val="en-US"/>
        </w:rPr>
        <w:t>21.8</w:t>
      </w:r>
      <w:r w:rsidRPr="00FC442E">
        <w:rPr>
          <w:lang w:val="en-US"/>
        </w:rPr>
        <w:t xml:space="preserve"> km of asbestos pipes, </w:t>
      </w:r>
    </w:p>
    <w:p w:rsidR="00332E25" w:rsidRPr="00FC442E" w:rsidRDefault="00332E25" w:rsidP="00E32E25">
      <w:pPr>
        <w:pStyle w:val="ListParagraph"/>
        <w:numPr>
          <w:ilvl w:val="1"/>
          <w:numId w:val="12"/>
        </w:numPr>
        <w:spacing w:after="120"/>
        <w:jc w:val="both"/>
        <w:rPr>
          <w:lang w:val="en-US"/>
        </w:rPr>
      </w:pPr>
      <w:r w:rsidRPr="00FC442E">
        <w:rPr>
          <w:lang w:val="en-US"/>
        </w:rPr>
        <w:t xml:space="preserve">disposal plan of the asbestos pipes that </w:t>
      </w:r>
      <w:r w:rsidR="005B673A" w:rsidRPr="00FC442E">
        <w:rPr>
          <w:lang w:val="en-US"/>
        </w:rPr>
        <w:t>were</w:t>
      </w:r>
      <w:r w:rsidRPr="00FC442E">
        <w:rPr>
          <w:lang w:val="en-US"/>
        </w:rPr>
        <w:t xml:space="preserve"> going to be removed for the site, </w:t>
      </w:r>
    </w:p>
    <w:p w:rsidR="00332E25" w:rsidRPr="00FC442E" w:rsidRDefault="00332E25" w:rsidP="00E32E25">
      <w:pPr>
        <w:pStyle w:val="ListParagraph"/>
        <w:numPr>
          <w:ilvl w:val="1"/>
          <w:numId w:val="12"/>
        </w:numPr>
        <w:spacing w:after="120"/>
        <w:jc w:val="both"/>
        <w:rPr>
          <w:lang w:val="en-US"/>
        </w:rPr>
      </w:pPr>
      <w:r w:rsidRPr="00FC442E">
        <w:rPr>
          <w:lang w:val="en-US"/>
        </w:rPr>
        <w:t xml:space="preserve">replacement and/or refurbishment of valves and special fittings in the area, </w:t>
      </w:r>
    </w:p>
    <w:p w:rsidR="00335896" w:rsidRPr="00FC442E" w:rsidRDefault="00332E25" w:rsidP="00E32E25">
      <w:pPr>
        <w:pStyle w:val="ListParagraph"/>
        <w:numPr>
          <w:ilvl w:val="1"/>
          <w:numId w:val="12"/>
        </w:numPr>
        <w:spacing w:after="120"/>
        <w:jc w:val="both"/>
        <w:rPr>
          <w:lang w:val="en-US"/>
        </w:rPr>
      </w:pPr>
      <w:r w:rsidRPr="00FC442E">
        <w:rPr>
          <w:lang w:val="en-US"/>
        </w:rPr>
        <w:t>and definition of a district metered area in the intervened sectors.</w:t>
      </w:r>
    </w:p>
    <w:p w:rsidR="00335896" w:rsidRPr="00FC442E" w:rsidRDefault="00335896" w:rsidP="00E32E25">
      <w:pPr>
        <w:pStyle w:val="ListParagraph"/>
        <w:numPr>
          <w:ilvl w:val="0"/>
          <w:numId w:val="11"/>
        </w:numPr>
        <w:spacing w:after="120"/>
        <w:jc w:val="both"/>
        <w:rPr>
          <w:lang w:val="en-US"/>
        </w:rPr>
      </w:pPr>
      <w:r w:rsidRPr="00FC442E">
        <w:rPr>
          <w:lang w:val="en-US"/>
        </w:rPr>
        <w:t xml:space="preserve">Replacement of secondary networks from </w:t>
      </w:r>
      <w:proofErr w:type="spellStart"/>
      <w:r w:rsidRPr="00FC442E">
        <w:rPr>
          <w:lang w:val="en-US"/>
        </w:rPr>
        <w:t>Wanica</w:t>
      </w:r>
      <w:proofErr w:type="spellEnd"/>
      <w:r w:rsidRPr="00FC442E">
        <w:rPr>
          <w:lang w:val="en-US"/>
        </w:rPr>
        <w:t xml:space="preserve"> and Para districts that </w:t>
      </w:r>
      <w:r w:rsidR="005B673A" w:rsidRPr="00FC442E">
        <w:rPr>
          <w:lang w:val="en-US"/>
        </w:rPr>
        <w:t>were</w:t>
      </w:r>
      <w:r w:rsidRPr="00FC442E">
        <w:rPr>
          <w:lang w:val="en-US"/>
        </w:rPr>
        <w:t xml:space="preserve"> under dimensioned for the demand.</w:t>
      </w:r>
      <w:r w:rsidR="00332E25" w:rsidRPr="00FC442E">
        <w:rPr>
          <w:lang w:val="en-US"/>
        </w:rPr>
        <w:t xml:space="preserve"> Specifically</w:t>
      </w:r>
      <w:r w:rsidR="005B673A" w:rsidRPr="00FC442E">
        <w:rPr>
          <w:lang w:val="en-US"/>
        </w:rPr>
        <w:t>,</w:t>
      </w:r>
      <w:r w:rsidR="00332E25" w:rsidRPr="00FC442E">
        <w:rPr>
          <w:lang w:val="en-US"/>
        </w:rPr>
        <w:t xml:space="preserve"> it include</w:t>
      </w:r>
      <w:r w:rsidR="005B673A" w:rsidRPr="00FC442E">
        <w:rPr>
          <w:lang w:val="en-US"/>
        </w:rPr>
        <w:t>d</w:t>
      </w:r>
      <w:r w:rsidR="00332E25" w:rsidRPr="00FC442E">
        <w:rPr>
          <w:lang w:val="en-US"/>
        </w:rPr>
        <w:t>:</w:t>
      </w:r>
    </w:p>
    <w:p w:rsidR="00332E25" w:rsidRPr="00FC442E" w:rsidRDefault="00332E25" w:rsidP="00E32E25">
      <w:pPr>
        <w:pStyle w:val="ListParagraph"/>
        <w:numPr>
          <w:ilvl w:val="1"/>
          <w:numId w:val="11"/>
        </w:numPr>
        <w:spacing w:after="120"/>
        <w:jc w:val="both"/>
        <w:rPr>
          <w:lang w:val="en-US"/>
        </w:rPr>
      </w:pPr>
      <w:r w:rsidRPr="00FC442E">
        <w:rPr>
          <w:lang w:val="en-US"/>
        </w:rPr>
        <w:t xml:space="preserve">replacement program of </w:t>
      </w:r>
      <w:r w:rsidR="005B673A" w:rsidRPr="00FC442E">
        <w:rPr>
          <w:lang w:val="en-US"/>
        </w:rPr>
        <w:t>1</w:t>
      </w:r>
      <w:r w:rsidR="006F5327" w:rsidRPr="00FC442E">
        <w:rPr>
          <w:lang w:val="en-US"/>
        </w:rPr>
        <w:t>2</w:t>
      </w:r>
      <w:r w:rsidR="005B673A" w:rsidRPr="00FC442E">
        <w:rPr>
          <w:lang w:val="en-US"/>
        </w:rPr>
        <w:t>.5</w:t>
      </w:r>
      <w:r w:rsidRPr="00FC442E">
        <w:rPr>
          <w:lang w:val="en-US"/>
        </w:rPr>
        <w:t xml:space="preserve"> km of secondary PVC pipes </w:t>
      </w:r>
    </w:p>
    <w:p w:rsidR="00332E25" w:rsidRPr="00FC442E" w:rsidRDefault="00332E25" w:rsidP="00E32E25">
      <w:pPr>
        <w:pStyle w:val="ListParagraph"/>
        <w:numPr>
          <w:ilvl w:val="1"/>
          <w:numId w:val="11"/>
        </w:numPr>
        <w:spacing w:after="120"/>
        <w:jc w:val="both"/>
        <w:rPr>
          <w:lang w:val="en-US"/>
        </w:rPr>
      </w:pPr>
      <w:r w:rsidRPr="00FC442E">
        <w:rPr>
          <w:lang w:val="en-US"/>
        </w:rPr>
        <w:t>installation of 5,000 house</w:t>
      </w:r>
      <w:r w:rsidR="004C5776" w:rsidRPr="00FC442E">
        <w:rPr>
          <w:lang w:val="en-US"/>
        </w:rPr>
        <w:t>hold</w:t>
      </w:r>
      <w:r w:rsidRPr="00FC442E">
        <w:rPr>
          <w:lang w:val="en-US"/>
        </w:rPr>
        <w:t xml:space="preserve"> connections in </w:t>
      </w:r>
      <w:proofErr w:type="spellStart"/>
      <w:r w:rsidRPr="00FC442E">
        <w:rPr>
          <w:lang w:val="en-US"/>
        </w:rPr>
        <w:t>Leidingen</w:t>
      </w:r>
      <w:proofErr w:type="spellEnd"/>
      <w:r w:rsidRPr="00FC442E">
        <w:rPr>
          <w:lang w:val="en-US"/>
        </w:rPr>
        <w:t xml:space="preserve"> </w:t>
      </w:r>
    </w:p>
    <w:p w:rsidR="004F08DF" w:rsidRPr="00FC442E" w:rsidRDefault="005D4204" w:rsidP="00E32E25">
      <w:pPr>
        <w:pStyle w:val="ListParagraph"/>
        <w:numPr>
          <w:ilvl w:val="1"/>
          <w:numId w:val="11"/>
        </w:numPr>
        <w:spacing w:after="120"/>
        <w:jc w:val="both"/>
        <w:rPr>
          <w:lang w:val="en-US"/>
        </w:rPr>
      </w:pPr>
      <w:r w:rsidRPr="00FC442E">
        <w:rPr>
          <w:lang w:val="en-US"/>
        </w:rPr>
        <w:t>r</w:t>
      </w:r>
      <w:r w:rsidR="004F08DF" w:rsidRPr="00FC442E">
        <w:rPr>
          <w:lang w:val="en-US"/>
        </w:rPr>
        <w:t xml:space="preserve">eplacement program of </w:t>
      </w:r>
      <w:r w:rsidR="00AA6491" w:rsidRPr="00FC442E">
        <w:rPr>
          <w:lang w:val="en-US"/>
        </w:rPr>
        <w:t>7</w:t>
      </w:r>
      <w:r w:rsidR="004F08DF" w:rsidRPr="00FC442E">
        <w:rPr>
          <w:lang w:val="en-US"/>
        </w:rPr>
        <w:t xml:space="preserve"> km of secondary PVC pipes </w:t>
      </w:r>
    </w:p>
    <w:p w:rsidR="00335896" w:rsidRPr="00FC442E" w:rsidRDefault="00335896" w:rsidP="00E32E25">
      <w:pPr>
        <w:pStyle w:val="ListParagraph"/>
        <w:numPr>
          <w:ilvl w:val="0"/>
          <w:numId w:val="11"/>
        </w:numPr>
        <w:spacing w:after="120"/>
        <w:jc w:val="both"/>
        <w:rPr>
          <w:lang w:val="en-US"/>
        </w:rPr>
      </w:pPr>
      <w:r w:rsidRPr="00FC442E">
        <w:rPr>
          <w:lang w:val="en-US"/>
        </w:rPr>
        <w:t xml:space="preserve">Re-laying of some secondary distribution networks which </w:t>
      </w:r>
      <w:r w:rsidR="00F01FD1" w:rsidRPr="00FC442E">
        <w:rPr>
          <w:lang w:val="en-US"/>
        </w:rPr>
        <w:t>were</w:t>
      </w:r>
      <w:r w:rsidRPr="00FC442E">
        <w:rPr>
          <w:lang w:val="en-US"/>
        </w:rPr>
        <w:t xml:space="preserve"> under permanent risk of collapse due to traffic.</w:t>
      </w:r>
    </w:p>
    <w:p w:rsidR="00335896" w:rsidRPr="00FC442E" w:rsidRDefault="00335896" w:rsidP="00E32E25">
      <w:pPr>
        <w:pStyle w:val="ListParagraph"/>
        <w:numPr>
          <w:ilvl w:val="0"/>
          <w:numId w:val="11"/>
        </w:numPr>
        <w:spacing w:after="120"/>
        <w:jc w:val="both"/>
        <w:rPr>
          <w:lang w:val="en-US"/>
        </w:rPr>
      </w:pPr>
      <w:r w:rsidRPr="00FC442E">
        <w:rPr>
          <w:lang w:val="en-US"/>
        </w:rPr>
        <w:t xml:space="preserve">Installation of household connections in areas formerly operated by NH/DWV which </w:t>
      </w:r>
      <w:r w:rsidR="00F01FD1" w:rsidRPr="00FC442E">
        <w:rPr>
          <w:lang w:val="en-US"/>
        </w:rPr>
        <w:t>were</w:t>
      </w:r>
      <w:r w:rsidRPr="00FC442E">
        <w:rPr>
          <w:lang w:val="en-US"/>
        </w:rPr>
        <w:t xml:space="preserve"> not metered and d</w:t>
      </w:r>
      <w:r w:rsidR="00783332" w:rsidRPr="00FC442E">
        <w:rPr>
          <w:lang w:val="en-US"/>
        </w:rPr>
        <w:t>id</w:t>
      </w:r>
      <w:r w:rsidRPr="00FC442E">
        <w:rPr>
          <w:lang w:val="en-US"/>
        </w:rPr>
        <w:t xml:space="preserve"> not have a proper service (</w:t>
      </w:r>
      <w:r w:rsidRPr="00FC442E">
        <w:rPr>
          <w:u w:val="single"/>
          <w:lang w:val="en-US"/>
        </w:rPr>
        <w:t>see section 3 for CBA of this specific intervention</w:t>
      </w:r>
      <w:r w:rsidRPr="00FC442E">
        <w:rPr>
          <w:lang w:val="en-US"/>
        </w:rPr>
        <w:t>).</w:t>
      </w:r>
    </w:p>
    <w:p w:rsidR="004F08DF" w:rsidRPr="00FC442E" w:rsidRDefault="00335896" w:rsidP="00E32E25">
      <w:pPr>
        <w:pStyle w:val="ListParagraph"/>
        <w:numPr>
          <w:ilvl w:val="0"/>
          <w:numId w:val="11"/>
        </w:numPr>
        <w:spacing w:after="120"/>
        <w:jc w:val="both"/>
        <w:rPr>
          <w:lang w:val="en-US"/>
        </w:rPr>
      </w:pPr>
      <w:r w:rsidRPr="00FC442E">
        <w:rPr>
          <w:lang w:val="en-US"/>
        </w:rPr>
        <w:t>Replacement of critical pumping equipment in key pumping station facilities with an energy efficiency and maintenance plan (</w:t>
      </w:r>
      <w:r w:rsidRPr="00FC442E">
        <w:rPr>
          <w:u w:val="single"/>
          <w:lang w:val="en-US"/>
        </w:rPr>
        <w:t>see section 4 for CBA of this specific intervention</w:t>
      </w:r>
      <w:r w:rsidRPr="00FC442E">
        <w:rPr>
          <w:lang w:val="en-US"/>
        </w:rPr>
        <w:t>).</w:t>
      </w:r>
    </w:p>
    <w:p w:rsidR="004F08DF" w:rsidRPr="00FC442E" w:rsidRDefault="00335896" w:rsidP="00E32E25">
      <w:pPr>
        <w:pStyle w:val="ListParagraph"/>
        <w:numPr>
          <w:ilvl w:val="0"/>
          <w:numId w:val="11"/>
        </w:numPr>
        <w:spacing w:after="120"/>
        <w:jc w:val="both"/>
        <w:rPr>
          <w:lang w:val="en-US"/>
        </w:rPr>
      </w:pPr>
      <w:r w:rsidRPr="00FC442E">
        <w:rPr>
          <w:lang w:val="en-US"/>
        </w:rPr>
        <w:t xml:space="preserve">Development of a </w:t>
      </w:r>
      <w:proofErr w:type="gramStart"/>
      <w:r w:rsidRPr="00FC442E">
        <w:rPr>
          <w:lang w:val="en-US"/>
        </w:rPr>
        <w:t>long term</w:t>
      </w:r>
      <w:proofErr w:type="gramEnd"/>
      <w:r w:rsidRPr="00FC442E">
        <w:rPr>
          <w:lang w:val="en-US"/>
        </w:rPr>
        <w:t xml:space="preserve"> non</w:t>
      </w:r>
      <w:r w:rsidR="005F2584" w:rsidRPr="00FC442E">
        <w:rPr>
          <w:lang w:val="en-US"/>
        </w:rPr>
        <w:t>-</w:t>
      </w:r>
      <w:r w:rsidRPr="00FC442E">
        <w:rPr>
          <w:lang w:val="en-US"/>
        </w:rPr>
        <w:t>revenue water program with a pilot study.</w:t>
      </w:r>
      <w:r w:rsidR="004F08DF" w:rsidRPr="00FC442E">
        <w:rPr>
          <w:lang w:val="en-US"/>
        </w:rPr>
        <w:t xml:space="preserve"> The activities included in this program </w:t>
      </w:r>
      <w:r w:rsidR="005F2584" w:rsidRPr="00FC442E">
        <w:rPr>
          <w:lang w:val="en-US"/>
        </w:rPr>
        <w:t>were</w:t>
      </w:r>
      <w:r w:rsidR="004F08DF" w:rsidRPr="00FC442E">
        <w:rPr>
          <w:lang w:val="en-US"/>
        </w:rPr>
        <w:t>:</w:t>
      </w:r>
    </w:p>
    <w:p w:rsidR="004F08DF" w:rsidRPr="00FC442E" w:rsidRDefault="005835F2" w:rsidP="00E32E25">
      <w:pPr>
        <w:pStyle w:val="ListParagraph"/>
        <w:numPr>
          <w:ilvl w:val="1"/>
          <w:numId w:val="11"/>
        </w:numPr>
        <w:rPr>
          <w:lang w:val="en-US"/>
        </w:rPr>
      </w:pPr>
      <w:r w:rsidRPr="00FC442E">
        <w:rPr>
          <w:rFonts w:cs="Arial"/>
          <w:lang w:val="en-US"/>
        </w:rPr>
        <w:t>Development of a network modelling and integration with the existing information system</w:t>
      </w:r>
    </w:p>
    <w:p w:rsidR="00D13EEE" w:rsidRPr="00FC442E" w:rsidRDefault="005835F2" w:rsidP="00E32E25">
      <w:pPr>
        <w:pStyle w:val="ListParagraph"/>
        <w:numPr>
          <w:ilvl w:val="1"/>
          <w:numId w:val="11"/>
        </w:numPr>
        <w:rPr>
          <w:lang w:val="en-US"/>
        </w:rPr>
      </w:pPr>
      <w:r w:rsidRPr="00FC442E">
        <w:rPr>
          <w:rFonts w:cs="Arial"/>
          <w:lang w:val="en-US"/>
        </w:rPr>
        <w:t>Implementation of a network simulation model</w:t>
      </w:r>
      <w:r w:rsidRPr="00FC442E">
        <w:rPr>
          <w:lang w:val="en-US"/>
        </w:rPr>
        <w:t xml:space="preserve"> </w:t>
      </w:r>
      <w:r w:rsidR="00D13EEE" w:rsidRPr="00FC442E">
        <w:rPr>
          <w:lang w:val="en-US"/>
        </w:rPr>
        <w:t>NRW Action Plan completed</w:t>
      </w:r>
    </w:p>
    <w:p w:rsidR="00D13EEE" w:rsidRPr="00FC442E" w:rsidRDefault="005835F2" w:rsidP="00E32E25">
      <w:pPr>
        <w:pStyle w:val="ListParagraph"/>
        <w:numPr>
          <w:ilvl w:val="1"/>
          <w:numId w:val="11"/>
        </w:numPr>
        <w:rPr>
          <w:lang w:val="en-US"/>
        </w:rPr>
      </w:pPr>
      <w:r w:rsidRPr="00FC442E">
        <w:rPr>
          <w:rFonts w:cs="Arial"/>
          <w:lang w:val="en-US"/>
        </w:rPr>
        <w:t>Installation of 80 flow and pressure meters in the network</w:t>
      </w:r>
    </w:p>
    <w:p w:rsidR="005835F2" w:rsidRPr="00FC442E" w:rsidRDefault="005835F2" w:rsidP="00E32E25">
      <w:pPr>
        <w:pStyle w:val="ListParagraph"/>
        <w:numPr>
          <w:ilvl w:val="1"/>
          <w:numId w:val="11"/>
        </w:numPr>
        <w:rPr>
          <w:lang w:val="en-US"/>
        </w:rPr>
      </w:pPr>
      <w:r w:rsidRPr="00FC442E">
        <w:rPr>
          <w:rFonts w:cs="Arial"/>
          <w:lang w:val="en-US"/>
        </w:rPr>
        <w:t>Training of SWM staff on NRW</w:t>
      </w:r>
    </w:p>
    <w:p w:rsidR="00335896" w:rsidRPr="00FC442E" w:rsidRDefault="00335896" w:rsidP="00335896">
      <w:pPr>
        <w:pStyle w:val="Footer"/>
        <w:tabs>
          <w:tab w:val="left" w:pos="90"/>
        </w:tabs>
        <w:rPr>
          <w:lang w:val="en-US"/>
        </w:rPr>
      </w:pPr>
    </w:p>
    <w:p w:rsidR="00335896" w:rsidRPr="00FC442E" w:rsidRDefault="00335896" w:rsidP="00335896">
      <w:pPr>
        <w:pStyle w:val="Footer"/>
        <w:tabs>
          <w:tab w:val="left" w:pos="90"/>
        </w:tabs>
        <w:jc w:val="both"/>
        <w:rPr>
          <w:lang w:val="en-US"/>
        </w:rPr>
      </w:pPr>
      <w:r w:rsidRPr="00FC442E">
        <w:rPr>
          <w:lang w:val="en-US"/>
        </w:rPr>
        <w:t xml:space="preserve">The defined areas of intervention were chosen in conjunction with SWM’s technical specialists and </w:t>
      </w:r>
      <w:proofErr w:type="spellStart"/>
      <w:r w:rsidRPr="00FC442E">
        <w:rPr>
          <w:lang w:val="en-US"/>
        </w:rPr>
        <w:t>Genivar</w:t>
      </w:r>
      <w:proofErr w:type="spellEnd"/>
      <w:r w:rsidRPr="00FC442E">
        <w:rPr>
          <w:lang w:val="en-US"/>
        </w:rPr>
        <w:t xml:space="preserve"> Consultants, who </w:t>
      </w:r>
      <w:r w:rsidR="00C72DD5" w:rsidRPr="00FC442E">
        <w:rPr>
          <w:lang w:val="en-US"/>
        </w:rPr>
        <w:t>were</w:t>
      </w:r>
      <w:r w:rsidRPr="00FC442E">
        <w:rPr>
          <w:lang w:val="en-US"/>
        </w:rPr>
        <w:t xml:space="preserve"> carrying out a condition assessment of the infrastructure. The areas of intervention were chosen with the above criteria and </w:t>
      </w:r>
      <w:r w:rsidR="00C72DD5" w:rsidRPr="00FC442E">
        <w:rPr>
          <w:lang w:val="en-US"/>
        </w:rPr>
        <w:t>w</w:t>
      </w:r>
      <w:r w:rsidRPr="00FC442E">
        <w:rPr>
          <w:lang w:val="en-US"/>
        </w:rPr>
        <w:t>e</w:t>
      </w:r>
      <w:r w:rsidR="00C72DD5" w:rsidRPr="00FC442E">
        <w:rPr>
          <w:lang w:val="en-US"/>
        </w:rPr>
        <w:t>re</w:t>
      </w:r>
      <w:r w:rsidRPr="00FC442E">
        <w:rPr>
          <w:lang w:val="en-US"/>
        </w:rPr>
        <w:t xml:space="preserve"> thought to give the highest positive impact to the performance of the infrastructure.</w:t>
      </w:r>
      <w:r w:rsidR="00C11F74" w:rsidRPr="00FC442E">
        <w:rPr>
          <w:lang w:val="en-US"/>
        </w:rPr>
        <w:t xml:space="preserve"> Since the main impact of both interventions, the NRW program and the rehabilitation of the water system, </w:t>
      </w:r>
      <w:r w:rsidR="00C72DD5" w:rsidRPr="00FC442E">
        <w:rPr>
          <w:lang w:val="en-US"/>
        </w:rPr>
        <w:t>wa</w:t>
      </w:r>
      <w:r w:rsidR="00C11F74" w:rsidRPr="00FC442E">
        <w:rPr>
          <w:lang w:val="en-US"/>
        </w:rPr>
        <w:t xml:space="preserve">s to reduce the amount of water loss from the system, both </w:t>
      </w:r>
      <w:r w:rsidR="00C72DD5" w:rsidRPr="00FC442E">
        <w:rPr>
          <w:lang w:val="en-US"/>
        </w:rPr>
        <w:t>were</w:t>
      </w:r>
      <w:r w:rsidR="00C11F74" w:rsidRPr="00FC442E">
        <w:rPr>
          <w:lang w:val="en-US"/>
        </w:rPr>
        <w:t xml:space="preserve"> evaluated as an integral, single project.</w:t>
      </w:r>
    </w:p>
    <w:p w:rsidR="001A299D" w:rsidRPr="00FC442E" w:rsidRDefault="001A299D" w:rsidP="008F6A67">
      <w:pPr>
        <w:jc w:val="both"/>
        <w:rPr>
          <w:bCs/>
          <w:highlight w:val="yellow"/>
        </w:rPr>
      </w:pPr>
    </w:p>
    <w:p w:rsidR="00CF54A5" w:rsidRPr="00FC442E" w:rsidRDefault="00CF54A5" w:rsidP="008F6A67">
      <w:pPr>
        <w:jc w:val="both"/>
        <w:rPr>
          <w:bCs/>
          <w:highlight w:val="yellow"/>
        </w:rPr>
      </w:pPr>
    </w:p>
    <w:p w:rsidR="00BB1322" w:rsidRPr="00FC442E" w:rsidRDefault="00BB1322" w:rsidP="00E32E25">
      <w:pPr>
        <w:pStyle w:val="Footer"/>
        <w:numPr>
          <w:ilvl w:val="2"/>
          <w:numId w:val="2"/>
        </w:numPr>
        <w:tabs>
          <w:tab w:val="clear" w:pos="4819"/>
          <w:tab w:val="clear" w:pos="9638"/>
        </w:tabs>
        <w:rPr>
          <w:b/>
          <w:i/>
          <w:lang w:val="en-US"/>
        </w:rPr>
      </w:pPr>
      <w:r w:rsidRPr="00FC442E">
        <w:rPr>
          <w:b/>
          <w:i/>
          <w:lang w:val="en-US"/>
        </w:rPr>
        <w:t>Investment Costs</w:t>
      </w:r>
    </w:p>
    <w:p w:rsidR="00BB1322" w:rsidRPr="00FC442E" w:rsidRDefault="00BB1322" w:rsidP="00BB1322">
      <w:pPr>
        <w:jc w:val="both"/>
      </w:pPr>
    </w:p>
    <w:p w:rsidR="00BB1322" w:rsidRPr="00FC442E" w:rsidRDefault="00BB1322" w:rsidP="00BB1322">
      <w:pPr>
        <w:pStyle w:val="Footer"/>
        <w:tabs>
          <w:tab w:val="clear" w:pos="4819"/>
          <w:tab w:val="clear" w:pos="9638"/>
        </w:tabs>
        <w:jc w:val="both"/>
        <w:rPr>
          <w:szCs w:val="24"/>
          <w:highlight w:val="yellow"/>
          <w:lang w:val="en-US"/>
        </w:rPr>
      </w:pPr>
      <w:r w:rsidRPr="00FC442E">
        <w:rPr>
          <w:lang w:val="en-US"/>
        </w:rPr>
        <w:t xml:space="preserve">Investment costs include the cost of the works and the indirect cost of investment, such as the cost of administration, </w:t>
      </w:r>
      <w:r w:rsidR="006F4E61" w:rsidRPr="00FC442E">
        <w:rPr>
          <w:lang w:val="en-US"/>
        </w:rPr>
        <w:t>design</w:t>
      </w:r>
      <w:r w:rsidR="00A11B36" w:rsidRPr="00FC442E">
        <w:rPr>
          <w:lang w:val="en-US"/>
        </w:rPr>
        <w:t xml:space="preserve"> and</w:t>
      </w:r>
      <w:r w:rsidR="006F4E61" w:rsidRPr="00FC442E">
        <w:rPr>
          <w:lang w:val="en-US"/>
        </w:rPr>
        <w:t xml:space="preserve"> </w:t>
      </w:r>
      <w:r w:rsidRPr="00FC442E">
        <w:rPr>
          <w:lang w:val="en-US"/>
        </w:rPr>
        <w:t>work supervision</w:t>
      </w:r>
      <w:r w:rsidR="00A11B36" w:rsidRPr="00FC442E">
        <w:rPr>
          <w:lang w:val="en-US"/>
        </w:rPr>
        <w:t>.</w:t>
      </w:r>
      <w:r w:rsidRPr="00FC442E">
        <w:rPr>
          <w:lang w:val="en-US"/>
        </w:rPr>
        <w:t xml:space="preserve"> </w:t>
      </w:r>
    </w:p>
    <w:p w:rsidR="00BB1322" w:rsidRPr="00FC442E" w:rsidRDefault="00BB1322" w:rsidP="00BB1322">
      <w:pPr>
        <w:autoSpaceDE w:val="0"/>
        <w:autoSpaceDN w:val="0"/>
        <w:adjustRightInd w:val="0"/>
        <w:jc w:val="both"/>
        <w:rPr>
          <w:highlight w:val="yellow"/>
        </w:rPr>
      </w:pPr>
    </w:p>
    <w:p w:rsidR="00BB1322" w:rsidRPr="00FC442E" w:rsidRDefault="00BB1322" w:rsidP="00BB1322">
      <w:pPr>
        <w:autoSpaceDE w:val="0"/>
        <w:autoSpaceDN w:val="0"/>
        <w:adjustRightInd w:val="0"/>
        <w:jc w:val="both"/>
        <w:rPr>
          <w:b/>
          <w:sz w:val="22"/>
          <w:szCs w:val="22"/>
          <w:highlight w:val="yellow"/>
        </w:rPr>
      </w:pPr>
      <w:r w:rsidRPr="00FC442E">
        <w:t xml:space="preserve">The total value of </w:t>
      </w:r>
      <w:r w:rsidR="008E4D91" w:rsidRPr="00FC442E">
        <w:t>the</w:t>
      </w:r>
      <w:r w:rsidRPr="00FC442E">
        <w:t xml:space="preserve"> investments, at market prices reached about </w:t>
      </w:r>
      <w:r w:rsidR="009478EF" w:rsidRPr="00FC442E">
        <w:t>US</w:t>
      </w:r>
      <w:r w:rsidRPr="00FC442E">
        <w:t>$</w:t>
      </w:r>
      <w:r w:rsidR="00C11F74" w:rsidRPr="00FC442E">
        <w:t xml:space="preserve"> </w:t>
      </w:r>
      <w:r w:rsidR="00D42857" w:rsidRPr="00FC442E">
        <w:t>9.</w:t>
      </w:r>
      <w:r w:rsidR="00C252BA" w:rsidRPr="00FC442E">
        <w:t>7</w:t>
      </w:r>
      <w:r w:rsidRPr="00FC442E">
        <w:t xml:space="preserve"> million. </w:t>
      </w:r>
    </w:p>
    <w:p w:rsidR="00BB1322" w:rsidRPr="00FC442E" w:rsidRDefault="00BB1322" w:rsidP="00BB1322">
      <w:pPr>
        <w:autoSpaceDE w:val="0"/>
        <w:autoSpaceDN w:val="0"/>
        <w:adjustRightInd w:val="0"/>
        <w:jc w:val="both"/>
        <w:rPr>
          <w:b/>
          <w:sz w:val="22"/>
          <w:szCs w:val="22"/>
          <w:highlight w:val="yellow"/>
        </w:rPr>
      </w:pPr>
    </w:p>
    <w:p w:rsidR="00BB1322" w:rsidRPr="00FC442E" w:rsidRDefault="00BB1322" w:rsidP="00BB1322">
      <w:pPr>
        <w:autoSpaceDE w:val="0"/>
        <w:autoSpaceDN w:val="0"/>
        <w:adjustRightInd w:val="0"/>
        <w:jc w:val="center"/>
        <w:rPr>
          <w:b/>
          <w:bCs/>
          <w:color w:val="800000"/>
          <w:sz w:val="22"/>
          <w:szCs w:val="22"/>
        </w:rPr>
      </w:pPr>
      <w:r w:rsidRPr="00FC442E">
        <w:rPr>
          <w:b/>
          <w:sz w:val="22"/>
          <w:szCs w:val="22"/>
        </w:rPr>
        <w:t>Table 2.</w:t>
      </w:r>
      <w:r w:rsidR="009478EF" w:rsidRPr="00FC442E">
        <w:rPr>
          <w:b/>
          <w:sz w:val="22"/>
          <w:szCs w:val="22"/>
        </w:rPr>
        <w:t>1</w:t>
      </w:r>
      <w:r w:rsidRPr="00FC442E">
        <w:rPr>
          <w:b/>
          <w:sz w:val="22"/>
          <w:szCs w:val="22"/>
        </w:rPr>
        <w:t xml:space="preserve"> - Investment Costs</w:t>
      </w:r>
      <w:r w:rsidR="007D2C91" w:rsidRPr="00FC442E">
        <w:rPr>
          <w:b/>
          <w:sz w:val="22"/>
          <w:szCs w:val="22"/>
        </w:rPr>
        <w:t xml:space="preserve"> – per cost item</w:t>
      </w:r>
    </w:p>
    <w:p w:rsidR="00BB1322" w:rsidRPr="00FC442E" w:rsidRDefault="00BB1322" w:rsidP="00BB1322">
      <w:pPr>
        <w:autoSpaceDE w:val="0"/>
        <w:autoSpaceDN w:val="0"/>
        <w:adjustRightInd w:val="0"/>
        <w:rPr>
          <w:sz w:val="22"/>
          <w:szCs w:val="22"/>
          <w:highlight w:val="yellow"/>
        </w:rPr>
      </w:pPr>
    </w:p>
    <w:tbl>
      <w:tblPr>
        <w:tblW w:w="64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228"/>
        <w:gridCol w:w="1253"/>
      </w:tblGrid>
      <w:tr w:rsidR="00C11F74" w:rsidRPr="00FC442E" w:rsidTr="00C11F74">
        <w:trPr>
          <w:trHeight w:val="20"/>
          <w:jc w:val="center"/>
        </w:trPr>
        <w:tc>
          <w:tcPr>
            <w:tcW w:w="5228" w:type="dxa"/>
            <w:tcBorders>
              <w:top w:val="single" w:sz="12" w:space="0" w:color="auto"/>
            </w:tcBorders>
            <w:shd w:val="clear" w:color="000000" w:fill="BFBFBF"/>
            <w:vAlign w:val="center"/>
          </w:tcPr>
          <w:p w:rsidR="00C11F74" w:rsidRPr="00FC442E" w:rsidRDefault="00C11F74" w:rsidP="00357FA8">
            <w:pPr>
              <w:rPr>
                <w:b/>
                <w:bCs/>
                <w:sz w:val="22"/>
                <w:szCs w:val="22"/>
              </w:rPr>
            </w:pPr>
            <w:r w:rsidRPr="00FC442E">
              <w:rPr>
                <w:b/>
                <w:bCs/>
                <w:sz w:val="22"/>
                <w:szCs w:val="22"/>
              </w:rPr>
              <w:t xml:space="preserve">Cost Item </w:t>
            </w:r>
          </w:p>
        </w:tc>
        <w:tc>
          <w:tcPr>
            <w:tcW w:w="1253" w:type="dxa"/>
            <w:tcBorders>
              <w:top w:val="single" w:sz="12" w:space="0" w:color="auto"/>
            </w:tcBorders>
            <w:shd w:val="clear" w:color="000000" w:fill="BFBFBF"/>
            <w:vAlign w:val="center"/>
          </w:tcPr>
          <w:p w:rsidR="00C11F74" w:rsidRPr="00FC442E" w:rsidRDefault="00C11F74" w:rsidP="00357FA8">
            <w:pPr>
              <w:jc w:val="center"/>
              <w:rPr>
                <w:b/>
                <w:bCs/>
                <w:sz w:val="22"/>
                <w:szCs w:val="22"/>
              </w:rPr>
            </w:pPr>
            <w:r w:rsidRPr="00FC442E">
              <w:rPr>
                <w:b/>
                <w:bCs/>
                <w:sz w:val="22"/>
                <w:szCs w:val="22"/>
              </w:rPr>
              <w:t xml:space="preserve">US$ </w:t>
            </w:r>
          </w:p>
          <w:p w:rsidR="00C11F74" w:rsidRPr="00FC442E" w:rsidRDefault="00C11F74" w:rsidP="00357FA8">
            <w:pPr>
              <w:jc w:val="center"/>
              <w:rPr>
                <w:b/>
                <w:bCs/>
                <w:sz w:val="22"/>
                <w:szCs w:val="22"/>
              </w:rPr>
            </w:pPr>
            <w:r w:rsidRPr="00FC442E">
              <w:rPr>
                <w:b/>
                <w:bCs/>
                <w:sz w:val="22"/>
                <w:szCs w:val="22"/>
              </w:rPr>
              <w:t>(‘000)</w:t>
            </w:r>
          </w:p>
        </w:tc>
      </w:tr>
      <w:tr w:rsidR="00C252BA" w:rsidRPr="00FC442E" w:rsidTr="00630E0B">
        <w:trPr>
          <w:trHeight w:val="229"/>
          <w:jc w:val="center"/>
        </w:trPr>
        <w:tc>
          <w:tcPr>
            <w:tcW w:w="5228" w:type="dxa"/>
            <w:noWrap/>
            <w:vAlign w:val="bottom"/>
          </w:tcPr>
          <w:p w:rsidR="00C252BA" w:rsidRPr="00FC442E" w:rsidRDefault="00C252BA" w:rsidP="00C252BA">
            <w:pPr>
              <w:rPr>
                <w:b/>
                <w:iCs/>
                <w:sz w:val="22"/>
                <w:szCs w:val="22"/>
              </w:rPr>
            </w:pPr>
            <w:r w:rsidRPr="00FC442E">
              <w:rPr>
                <w:b/>
                <w:iCs/>
                <w:sz w:val="22"/>
                <w:szCs w:val="22"/>
              </w:rPr>
              <w:t>Non-Revenue Water Program</w:t>
            </w:r>
          </w:p>
        </w:tc>
        <w:tc>
          <w:tcPr>
            <w:tcW w:w="1253" w:type="dxa"/>
            <w:vAlign w:val="center"/>
          </w:tcPr>
          <w:p w:rsidR="00C252BA" w:rsidRPr="00FC442E" w:rsidRDefault="00C252BA" w:rsidP="00C252BA">
            <w:pPr>
              <w:jc w:val="center"/>
              <w:rPr>
                <w:b/>
                <w:sz w:val="22"/>
                <w:szCs w:val="22"/>
              </w:rPr>
            </w:pPr>
            <w:r w:rsidRPr="00FC442E">
              <w:rPr>
                <w:b/>
                <w:sz w:val="22"/>
                <w:szCs w:val="22"/>
              </w:rPr>
              <w:t>2,211</w:t>
            </w:r>
          </w:p>
        </w:tc>
      </w:tr>
      <w:tr w:rsidR="00C252BA" w:rsidRPr="00FC442E" w:rsidTr="00630E0B">
        <w:trPr>
          <w:trHeight w:val="229"/>
          <w:jc w:val="center"/>
        </w:trPr>
        <w:tc>
          <w:tcPr>
            <w:tcW w:w="5228" w:type="dxa"/>
            <w:noWrap/>
            <w:vAlign w:val="bottom"/>
          </w:tcPr>
          <w:p w:rsidR="00C252BA" w:rsidRPr="00FC442E" w:rsidRDefault="00C252BA" w:rsidP="00C252BA">
            <w:pPr>
              <w:rPr>
                <w:sz w:val="22"/>
                <w:szCs w:val="22"/>
              </w:rPr>
            </w:pPr>
            <w:r w:rsidRPr="00FC442E">
              <w:rPr>
                <w:sz w:val="22"/>
                <w:szCs w:val="22"/>
              </w:rPr>
              <w:t xml:space="preserve">   NRW Program implementation</w:t>
            </w:r>
          </w:p>
        </w:tc>
        <w:tc>
          <w:tcPr>
            <w:tcW w:w="1253" w:type="dxa"/>
            <w:vAlign w:val="center"/>
          </w:tcPr>
          <w:p w:rsidR="00C252BA" w:rsidRPr="00FC442E" w:rsidRDefault="00C252BA" w:rsidP="00C252BA">
            <w:pPr>
              <w:jc w:val="center"/>
              <w:rPr>
                <w:sz w:val="22"/>
                <w:szCs w:val="22"/>
              </w:rPr>
            </w:pPr>
            <w:r w:rsidRPr="00FC442E">
              <w:rPr>
                <w:sz w:val="22"/>
                <w:szCs w:val="22"/>
              </w:rPr>
              <w:t>1,304</w:t>
            </w:r>
          </w:p>
        </w:tc>
      </w:tr>
      <w:tr w:rsidR="00C252BA" w:rsidRPr="00FC442E" w:rsidTr="00630E0B">
        <w:trPr>
          <w:trHeight w:val="229"/>
          <w:jc w:val="center"/>
        </w:trPr>
        <w:tc>
          <w:tcPr>
            <w:tcW w:w="5228" w:type="dxa"/>
            <w:noWrap/>
            <w:vAlign w:val="bottom"/>
          </w:tcPr>
          <w:p w:rsidR="00C252BA" w:rsidRPr="00FC442E" w:rsidRDefault="00C252BA" w:rsidP="00C252BA">
            <w:pPr>
              <w:rPr>
                <w:sz w:val="22"/>
                <w:szCs w:val="22"/>
              </w:rPr>
            </w:pPr>
            <w:r w:rsidRPr="00FC442E">
              <w:rPr>
                <w:sz w:val="22"/>
                <w:szCs w:val="22"/>
              </w:rPr>
              <w:t xml:space="preserve">   Purchase of measuring devices</w:t>
            </w:r>
          </w:p>
        </w:tc>
        <w:tc>
          <w:tcPr>
            <w:tcW w:w="1253" w:type="dxa"/>
            <w:vAlign w:val="center"/>
          </w:tcPr>
          <w:p w:rsidR="00C252BA" w:rsidRPr="00FC442E" w:rsidRDefault="00C252BA" w:rsidP="00C252BA">
            <w:pPr>
              <w:jc w:val="center"/>
              <w:rPr>
                <w:sz w:val="22"/>
                <w:szCs w:val="22"/>
              </w:rPr>
            </w:pPr>
            <w:r w:rsidRPr="00FC442E">
              <w:rPr>
                <w:sz w:val="22"/>
                <w:szCs w:val="22"/>
              </w:rPr>
              <w:t>575</w:t>
            </w:r>
          </w:p>
        </w:tc>
      </w:tr>
      <w:tr w:rsidR="00C11F74" w:rsidRPr="00FC442E" w:rsidTr="00C11F74">
        <w:trPr>
          <w:trHeight w:val="20"/>
          <w:jc w:val="center"/>
        </w:trPr>
        <w:tc>
          <w:tcPr>
            <w:tcW w:w="5228" w:type="dxa"/>
            <w:noWrap/>
            <w:vAlign w:val="bottom"/>
          </w:tcPr>
          <w:p w:rsidR="00C11F74" w:rsidRPr="00FC442E" w:rsidRDefault="00C11F74" w:rsidP="00C11F74">
            <w:pPr>
              <w:rPr>
                <w:sz w:val="22"/>
                <w:szCs w:val="22"/>
              </w:rPr>
            </w:pPr>
            <w:r w:rsidRPr="00FC442E">
              <w:rPr>
                <w:sz w:val="22"/>
                <w:szCs w:val="22"/>
              </w:rPr>
              <w:t xml:space="preserve">   Designs and EA</w:t>
            </w:r>
          </w:p>
        </w:tc>
        <w:tc>
          <w:tcPr>
            <w:tcW w:w="1253" w:type="dxa"/>
            <w:vAlign w:val="bottom"/>
          </w:tcPr>
          <w:p w:rsidR="00C11F74" w:rsidRPr="00FC442E" w:rsidRDefault="00C252BA" w:rsidP="00C252BA">
            <w:pPr>
              <w:jc w:val="center"/>
              <w:rPr>
                <w:sz w:val="22"/>
                <w:szCs w:val="22"/>
              </w:rPr>
            </w:pPr>
            <w:r w:rsidRPr="00FC442E">
              <w:rPr>
                <w:sz w:val="22"/>
                <w:szCs w:val="22"/>
              </w:rPr>
              <w:t>332</w:t>
            </w:r>
          </w:p>
        </w:tc>
      </w:tr>
      <w:tr w:rsidR="00C252BA" w:rsidRPr="00FC442E" w:rsidTr="00630E0B">
        <w:trPr>
          <w:trHeight w:val="20"/>
          <w:jc w:val="center"/>
        </w:trPr>
        <w:tc>
          <w:tcPr>
            <w:tcW w:w="5228" w:type="dxa"/>
            <w:noWrap/>
            <w:vAlign w:val="bottom"/>
          </w:tcPr>
          <w:p w:rsidR="00C252BA" w:rsidRPr="00FC442E" w:rsidRDefault="00C252BA" w:rsidP="00C252BA">
            <w:pPr>
              <w:rPr>
                <w:b/>
                <w:iCs/>
                <w:sz w:val="22"/>
                <w:szCs w:val="22"/>
              </w:rPr>
            </w:pPr>
            <w:r w:rsidRPr="00FC442E">
              <w:rPr>
                <w:b/>
                <w:iCs/>
                <w:sz w:val="22"/>
                <w:szCs w:val="22"/>
              </w:rPr>
              <w:t>Water Supply System Rehabilitation</w:t>
            </w:r>
          </w:p>
        </w:tc>
        <w:tc>
          <w:tcPr>
            <w:tcW w:w="1253" w:type="dxa"/>
            <w:vAlign w:val="center"/>
          </w:tcPr>
          <w:p w:rsidR="00C252BA" w:rsidRPr="00FC442E" w:rsidRDefault="00C252BA" w:rsidP="00C252BA">
            <w:pPr>
              <w:jc w:val="center"/>
              <w:rPr>
                <w:b/>
                <w:sz w:val="22"/>
                <w:szCs w:val="22"/>
              </w:rPr>
            </w:pPr>
            <w:r w:rsidRPr="00FC442E">
              <w:rPr>
                <w:b/>
                <w:sz w:val="22"/>
                <w:szCs w:val="22"/>
              </w:rPr>
              <w:t>6,457</w:t>
            </w:r>
          </w:p>
        </w:tc>
      </w:tr>
      <w:tr w:rsidR="00C252BA" w:rsidRPr="00FC442E" w:rsidTr="00630E0B">
        <w:trPr>
          <w:trHeight w:val="20"/>
          <w:jc w:val="center"/>
        </w:trPr>
        <w:tc>
          <w:tcPr>
            <w:tcW w:w="5228" w:type="dxa"/>
            <w:noWrap/>
            <w:vAlign w:val="bottom"/>
          </w:tcPr>
          <w:p w:rsidR="00C252BA" w:rsidRPr="00FC442E" w:rsidRDefault="00C252BA" w:rsidP="00C252BA">
            <w:pPr>
              <w:rPr>
                <w:sz w:val="22"/>
                <w:szCs w:val="22"/>
              </w:rPr>
            </w:pPr>
            <w:r w:rsidRPr="00FC442E">
              <w:rPr>
                <w:sz w:val="22"/>
                <w:szCs w:val="22"/>
              </w:rPr>
              <w:t xml:space="preserve">   Replacement of asbestos pipes</w:t>
            </w:r>
          </w:p>
        </w:tc>
        <w:tc>
          <w:tcPr>
            <w:tcW w:w="1253" w:type="dxa"/>
            <w:vAlign w:val="center"/>
          </w:tcPr>
          <w:p w:rsidR="00C252BA" w:rsidRPr="00FC442E" w:rsidRDefault="00C252BA" w:rsidP="00C252BA">
            <w:pPr>
              <w:jc w:val="center"/>
              <w:rPr>
                <w:sz w:val="22"/>
                <w:szCs w:val="22"/>
              </w:rPr>
            </w:pPr>
            <w:r w:rsidRPr="00FC442E">
              <w:rPr>
                <w:sz w:val="22"/>
                <w:szCs w:val="22"/>
              </w:rPr>
              <w:t>3,896</w:t>
            </w:r>
          </w:p>
        </w:tc>
      </w:tr>
      <w:tr w:rsidR="00C252BA" w:rsidRPr="00FC442E" w:rsidTr="00630E0B">
        <w:trPr>
          <w:trHeight w:val="20"/>
          <w:jc w:val="center"/>
        </w:trPr>
        <w:tc>
          <w:tcPr>
            <w:tcW w:w="5228" w:type="dxa"/>
            <w:noWrap/>
            <w:vAlign w:val="bottom"/>
          </w:tcPr>
          <w:p w:rsidR="00C252BA" w:rsidRPr="00FC442E" w:rsidRDefault="00C252BA" w:rsidP="00C252BA">
            <w:pPr>
              <w:rPr>
                <w:sz w:val="22"/>
                <w:szCs w:val="22"/>
              </w:rPr>
            </w:pPr>
            <w:r w:rsidRPr="00FC442E">
              <w:rPr>
                <w:sz w:val="22"/>
                <w:szCs w:val="22"/>
              </w:rPr>
              <w:t xml:space="preserve">   Replacement of secondary pipes (</w:t>
            </w:r>
            <w:proofErr w:type="spellStart"/>
            <w:r w:rsidRPr="00FC442E">
              <w:rPr>
                <w:sz w:val="22"/>
                <w:szCs w:val="22"/>
              </w:rPr>
              <w:t>Wanika</w:t>
            </w:r>
            <w:proofErr w:type="spellEnd"/>
            <w:r w:rsidRPr="00FC442E">
              <w:rPr>
                <w:sz w:val="22"/>
                <w:szCs w:val="22"/>
              </w:rPr>
              <w:t xml:space="preserve"> and Para)</w:t>
            </w:r>
          </w:p>
        </w:tc>
        <w:tc>
          <w:tcPr>
            <w:tcW w:w="1253" w:type="dxa"/>
            <w:vAlign w:val="center"/>
          </w:tcPr>
          <w:p w:rsidR="00C252BA" w:rsidRPr="00FC442E" w:rsidRDefault="00C252BA" w:rsidP="00C252BA">
            <w:pPr>
              <w:jc w:val="center"/>
              <w:rPr>
                <w:sz w:val="22"/>
                <w:szCs w:val="22"/>
              </w:rPr>
            </w:pPr>
            <w:r w:rsidRPr="00FC442E">
              <w:rPr>
                <w:sz w:val="22"/>
                <w:szCs w:val="22"/>
              </w:rPr>
              <w:t>1,105</w:t>
            </w:r>
          </w:p>
        </w:tc>
      </w:tr>
      <w:tr w:rsidR="00C252BA" w:rsidRPr="00FC442E" w:rsidTr="00630E0B">
        <w:trPr>
          <w:trHeight w:val="20"/>
          <w:jc w:val="center"/>
        </w:trPr>
        <w:tc>
          <w:tcPr>
            <w:tcW w:w="5228" w:type="dxa"/>
            <w:noWrap/>
            <w:vAlign w:val="bottom"/>
          </w:tcPr>
          <w:p w:rsidR="00C252BA" w:rsidRPr="00FC442E" w:rsidRDefault="00C252BA" w:rsidP="00C252BA">
            <w:pPr>
              <w:rPr>
                <w:sz w:val="22"/>
                <w:szCs w:val="22"/>
              </w:rPr>
            </w:pPr>
            <w:r w:rsidRPr="00FC442E">
              <w:rPr>
                <w:sz w:val="22"/>
                <w:szCs w:val="22"/>
              </w:rPr>
              <w:t xml:space="preserve">   Re-laying of secondary pipes</w:t>
            </w:r>
          </w:p>
        </w:tc>
        <w:tc>
          <w:tcPr>
            <w:tcW w:w="1253" w:type="dxa"/>
            <w:vAlign w:val="center"/>
          </w:tcPr>
          <w:p w:rsidR="00C252BA" w:rsidRPr="00FC442E" w:rsidRDefault="00C252BA" w:rsidP="00C252BA">
            <w:pPr>
              <w:jc w:val="center"/>
              <w:rPr>
                <w:sz w:val="22"/>
                <w:szCs w:val="22"/>
              </w:rPr>
            </w:pPr>
            <w:r w:rsidRPr="00FC442E">
              <w:rPr>
                <w:sz w:val="22"/>
                <w:szCs w:val="22"/>
              </w:rPr>
              <w:t>270</w:t>
            </w:r>
          </w:p>
        </w:tc>
      </w:tr>
      <w:tr w:rsidR="00C11F74" w:rsidRPr="00FC442E" w:rsidTr="00C11F74">
        <w:trPr>
          <w:trHeight w:val="20"/>
          <w:jc w:val="center"/>
        </w:trPr>
        <w:tc>
          <w:tcPr>
            <w:tcW w:w="5228" w:type="dxa"/>
            <w:noWrap/>
            <w:vAlign w:val="bottom"/>
          </w:tcPr>
          <w:p w:rsidR="00C11F74" w:rsidRPr="00FC442E" w:rsidRDefault="00C11F74" w:rsidP="00357FA8">
            <w:pPr>
              <w:rPr>
                <w:sz w:val="22"/>
                <w:szCs w:val="22"/>
              </w:rPr>
            </w:pPr>
            <w:r w:rsidRPr="00FC442E">
              <w:rPr>
                <w:sz w:val="22"/>
                <w:szCs w:val="22"/>
              </w:rPr>
              <w:t xml:space="preserve">   Replacement </w:t>
            </w:r>
            <w:r w:rsidR="00BD2429" w:rsidRPr="00FC442E">
              <w:rPr>
                <w:sz w:val="22"/>
                <w:szCs w:val="22"/>
              </w:rPr>
              <w:t>of old cast-iron pipeline</w:t>
            </w:r>
          </w:p>
        </w:tc>
        <w:tc>
          <w:tcPr>
            <w:tcW w:w="1253" w:type="dxa"/>
            <w:vAlign w:val="bottom"/>
          </w:tcPr>
          <w:p w:rsidR="00C11F74" w:rsidRPr="00FC442E" w:rsidRDefault="00C252BA" w:rsidP="00C252BA">
            <w:pPr>
              <w:jc w:val="center"/>
              <w:rPr>
                <w:sz w:val="22"/>
                <w:szCs w:val="22"/>
              </w:rPr>
            </w:pPr>
            <w:r w:rsidRPr="00FC442E">
              <w:rPr>
                <w:sz w:val="22"/>
                <w:szCs w:val="22"/>
              </w:rPr>
              <w:t>1,186</w:t>
            </w:r>
          </w:p>
        </w:tc>
      </w:tr>
      <w:tr w:rsidR="00C11F74" w:rsidRPr="00FC442E" w:rsidTr="00C11F74">
        <w:trPr>
          <w:trHeight w:val="20"/>
          <w:jc w:val="center"/>
        </w:trPr>
        <w:tc>
          <w:tcPr>
            <w:tcW w:w="5228" w:type="dxa"/>
            <w:noWrap/>
            <w:vAlign w:val="bottom"/>
          </w:tcPr>
          <w:p w:rsidR="00C11F74" w:rsidRPr="00FC442E" w:rsidRDefault="00BD2429" w:rsidP="00357FA8">
            <w:pPr>
              <w:rPr>
                <w:b/>
                <w:iCs/>
                <w:sz w:val="22"/>
                <w:szCs w:val="22"/>
              </w:rPr>
            </w:pPr>
            <w:r w:rsidRPr="00FC442E">
              <w:rPr>
                <w:b/>
                <w:iCs/>
                <w:sz w:val="22"/>
                <w:szCs w:val="22"/>
              </w:rPr>
              <w:t>Project Administration</w:t>
            </w:r>
          </w:p>
        </w:tc>
        <w:tc>
          <w:tcPr>
            <w:tcW w:w="1253" w:type="dxa"/>
            <w:vAlign w:val="bottom"/>
          </w:tcPr>
          <w:p w:rsidR="00C11F74" w:rsidRPr="00FC442E" w:rsidRDefault="00C252BA" w:rsidP="00C252BA">
            <w:pPr>
              <w:jc w:val="center"/>
              <w:rPr>
                <w:b/>
                <w:sz w:val="22"/>
                <w:szCs w:val="22"/>
              </w:rPr>
            </w:pPr>
            <w:r w:rsidRPr="00FC442E">
              <w:rPr>
                <w:b/>
                <w:sz w:val="22"/>
                <w:szCs w:val="22"/>
              </w:rPr>
              <w:t>1,075</w:t>
            </w:r>
          </w:p>
        </w:tc>
      </w:tr>
      <w:tr w:rsidR="00C11F74" w:rsidRPr="00FC442E" w:rsidTr="00C11F74">
        <w:trPr>
          <w:trHeight w:val="20"/>
          <w:jc w:val="center"/>
        </w:trPr>
        <w:tc>
          <w:tcPr>
            <w:tcW w:w="5228" w:type="dxa"/>
            <w:noWrap/>
            <w:vAlign w:val="bottom"/>
          </w:tcPr>
          <w:p w:rsidR="00C11F74" w:rsidRPr="00FC442E" w:rsidRDefault="00C11F74" w:rsidP="00357FA8">
            <w:pPr>
              <w:rPr>
                <w:b/>
                <w:bCs/>
                <w:sz w:val="22"/>
                <w:szCs w:val="22"/>
              </w:rPr>
            </w:pPr>
            <w:r w:rsidRPr="00FC442E">
              <w:rPr>
                <w:b/>
                <w:bCs/>
                <w:sz w:val="22"/>
                <w:szCs w:val="22"/>
              </w:rPr>
              <w:t>TOTAL</w:t>
            </w:r>
          </w:p>
        </w:tc>
        <w:tc>
          <w:tcPr>
            <w:tcW w:w="1253" w:type="dxa"/>
            <w:vAlign w:val="bottom"/>
          </w:tcPr>
          <w:p w:rsidR="00C11F74" w:rsidRPr="00FC442E" w:rsidRDefault="001C76AC" w:rsidP="00C252BA">
            <w:pPr>
              <w:jc w:val="center"/>
              <w:rPr>
                <w:b/>
                <w:sz w:val="22"/>
                <w:szCs w:val="22"/>
              </w:rPr>
            </w:pPr>
            <w:r w:rsidRPr="00FC442E">
              <w:rPr>
                <w:b/>
                <w:sz w:val="22"/>
                <w:szCs w:val="22"/>
              </w:rPr>
              <w:t>9,</w:t>
            </w:r>
            <w:r w:rsidR="00C252BA" w:rsidRPr="00FC442E">
              <w:rPr>
                <w:b/>
                <w:sz w:val="22"/>
                <w:szCs w:val="22"/>
              </w:rPr>
              <w:t>743</w:t>
            </w:r>
          </w:p>
        </w:tc>
      </w:tr>
    </w:tbl>
    <w:p w:rsidR="007D2C91" w:rsidRPr="00FC442E" w:rsidRDefault="007D2C91" w:rsidP="007D2C91">
      <w:pPr>
        <w:autoSpaceDE w:val="0"/>
        <w:autoSpaceDN w:val="0"/>
        <w:adjustRightInd w:val="0"/>
        <w:jc w:val="center"/>
        <w:rPr>
          <w:b/>
          <w:highlight w:val="yellow"/>
        </w:rPr>
      </w:pPr>
    </w:p>
    <w:p w:rsidR="007D2C91" w:rsidRPr="00FC442E" w:rsidRDefault="007D2C91" w:rsidP="007D2C91">
      <w:pPr>
        <w:autoSpaceDE w:val="0"/>
        <w:autoSpaceDN w:val="0"/>
        <w:adjustRightInd w:val="0"/>
        <w:jc w:val="center"/>
        <w:rPr>
          <w:b/>
        </w:rPr>
      </w:pPr>
    </w:p>
    <w:p w:rsidR="007D2C91" w:rsidRPr="00FC442E" w:rsidRDefault="007D2C91" w:rsidP="007D2C91">
      <w:pPr>
        <w:autoSpaceDE w:val="0"/>
        <w:autoSpaceDN w:val="0"/>
        <w:adjustRightInd w:val="0"/>
        <w:jc w:val="center"/>
        <w:rPr>
          <w:b/>
          <w:bCs/>
          <w:color w:val="800000"/>
        </w:rPr>
      </w:pPr>
      <w:r w:rsidRPr="00FC442E">
        <w:rPr>
          <w:b/>
        </w:rPr>
        <w:t>Table 2.2 - Investment Costs - per year</w:t>
      </w:r>
    </w:p>
    <w:p w:rsidR="007D2C91" w:rsidRPr="00FC442E" w:rsidRDefault="007D2C91" w:rsidP="007D2C91">
      <w:pPr>
        <w:autoSpaceDE w:val="0"/>
        <w:autoSpaceDN w:val="0"/>
        <w:adjustRightInd w:val="0"/>
        <w:rPr>
          <w:sz w:val="22"/>
          <w:szCs w:val="22"/>
          <w:highlight w:val="yellow"/>
        </w:rPr>
      </w:pPr>
    </w:p>
    <w:tbl>
      <w:tblPr>
        <w:tblW w:w="88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1800"/>
        <w:gridCol w:w="1005"/>
        <w:gridCol w:w="1006"/>
        <w:gridCol w:w="1006"/>
        <w:gridCol w:w="1005"/>
        <w:gridCol w:w="1006"/>
        <w:gridCol w:w="1006"/>
        <w:gridCol w:w="1006"/>
      </w:tblGrid>
      <w:tr w:rsidR="00DC3A54" w:rsidRPr="00FC442E" w:rsidTr="00DC3A54">
        <w:trPr>
          <w:trHeight w:val="20"/>
          <w:jc w:val="center"/>
        </w:trPr>
        <w:tc>
          <w:tcPr>
            <w:tcW w:w="1800" w:type="dxa"/>
            <w:tcBorders>
              <w:top w:val="single" w:sz="12" w:space="0" w:color="auto"/>
            </w:tcBorders>
            <w:shd w:val="clear" w:color="000000" w:fill="BFBFBF"/>
            <w:vAlign w:val="center"/>
          </w:tcPr>
          <w:p w:rsidR="00DC3A54" w:rsidRPr="00FC442E" w:rsidRDefault="00DC3A54" w:rsidP="00357FA8">
            <w:pPr>
              <w:jc w:val="center"/>
              <w:rPr>
                <w:b/>
                <w:bCs/>
                <w:sz w:val="22"/>
                <w:szCs w:val="22"/>
                <w:highlight w:val="yellow"/>
              </w:rPr>
            </w:pPr>
          </w:p>
        </w:tc>
        <w:tc>
          <w:tcPr>
            <w:tcW w:w="1005" w:type="dxa"/>
            <w:tcBorders>
              <w:top w:val="single" w:sz="12" w:space="0" w:color="auto"/>
            </w:tcBorders>
            <w:shd w:val="clear" w:color="000000" w:fill="BFBFBF"/>
            <w:vAlign w:val="center"/>
          </w:tcPr>
          <w:p w:rsidR="00DC3A54" w:rsidRPr="00FC442E" w:rsidRDefault="00DC3A54" w:rsidP="00357FA8">
            <w:pPr>
              <w:jc w:val="center"/>
              <w:rPr>
                <w:b/>
                <w:bCs/>
                <w:sz w:val="22"/>
                <w:szCs w:val="22"/>
              </w:rPr>
            </w:pPr>
            <w:r w:rsidRPr="00FC442E">
              <w:rPr>
                <w:b/>
                <w:bCs/>
                <w:sz w:val="22"/>
                <w:szCs w:val="22"/>
              </w:rPr>
              <w:t xml:space="preserve">2012 </w:t>
            </w:r>
          </w:p>
          <w:p w:rsidR="00DC3A54" w:rsidRPr="00FC442E" w:rsidRDefault="00DC3A54" w:rsidP="00357FA8">
            <w:pPr>
              <w:jc w:val="center"/>
              <w:rPr>
                <w:b/>
                <w:bCs/>
                <w:sz w:val="22"/>
                <w:szCs w:val="22"/>
              </w:rPr>
            </w:pPr>
            <w:r w:rsidRPr="00FC442E">
              <w:rPr>
                <w:b/>
                <w:bCs/>
                <w:sz w:val="22"/>
                <w:szCs w:val="22"/>
              </w:rPr>
              <w:t>(in US$ ‘000)</w:t>
            </w:r>
          </w:p>
        </w:tc>
        <w:tc>
          <w:tcPr>
            <w:tcW w:w="1006" w:type="dxa"/>
            <w:tcBorders>
              <w:top w:val="single" w:sz="12" w:space="0" w:color="auto"/>
            </w:tcBorders>
            <w:shd w:val="clear" w:color="000000" w:fill="BFBFBF"/>
          </w:tcPr>
          <w:p w:rsidR="00DC3A54" w:rsidRPr="00FC442E" w:rsidRDefault="00DC3A54" w:rsidP="00357FA8">
            <w:pPr>
              <w:jc w:val="center"/>
              <w:rPr>
                <w:b/>
                <w:bCs/>
                <w:sz w:val="22"/>
                <w:szCs w:val="22"/>
              </w:rPr>
            </w:pPr>
            <w:r w:rsidRPr="00FC442E">
              <w:rPr>
                <w:b/>
                <w:bCs/>
                <w:sz w:val="22"/>
                <w:szCs w:val="22"/>
              </w:rPr>
              <w:t>2013</w:t>
            </w:r>
          </w:p>
          <w:p w:rsidR="00DC3A54" w:rsidRPr="00FC442E" w:rsidRDefault="00DC3A54" w:rsidP="00357FA8">
            <w:pPr>
              <w:jc w:val="center"/>
              <w:rPr>
                <w:b/>
                <w:bCs/>
                <w:sz w:val="22"/>
                <w:szCs w:val="22"/>
              </w:rPr>
            </w:pPr>
            <w:r w:rsidRPr="00FC442E">
              <w:rPr>
                <w:b/>
                <w:bCs/>
                <w:sz w:val="22"/>
                <w:szCs w:val="22"/>
              </w:rPr>
              <w:t>(in US$ ‘000)</w:t>
            </w:r>
          </w:p>
        </w:tc>
        <w:tc>
          <w:tcPr>
            <w:tcW w:w="1006" w:type="dxa"/>
            <w:tcBorders>
              <w:top w:val="single" w:sz="12" w:space="0" w:color="auto"/>
            </w:tcBorders>
            <w:shd w:val="clear" w:color="000000" w:fill="BFBFBF"/>
          </w:tcPr>
          <w:p w:rsidR="00DC3A54" w:rsidRPr="00FC442E" w:rsidRDefault="00DC3A54" w:rsidP="00357FA8">
            <w:pPr>
              <w:jc w:val="center"/>
              <w:rPr>
                <w:b/>
                <w:bCs/>
                <w:sz w:val="22"/>
                <w:szCs w:val="22"/>
              </w:rPr>
            </w:pPr>
            <w:r w:rsidRPr="00FC442E">
              <w:rPr>
                <w:b/>
                <w:bCs/>
                <w:sz w:val="22"/>
                <w:szCs w:val="22"/>
              </w:rPr>
              <w:t>2014</w:t>
            </w:r>
          </w:p>
          <w:p w:rsidR="00DC3A54" w:rsidRPr="00FC442E" w:rsidRDefault="00DC3A54" w:rsidP="00357FA8">
            <w:pPr>
              <w:jc w:val="center"/>
              <w:rPr>
                <w:b/>
                <w:bCs/>
                <w:sz w:val="22"/>
                <w:szCs w:val="22"/>
              </w:rPr>
            </w:pPr>
            <w:r w:rsidRPr="00FC442E">
              <w:rPr>
                <w:b/>
                <w:bCs/>
                <w:sz w:val="22"/>
                <w:szCs w:val="22"/>
              </w:rPr>
              <w:t>(in US$ ‘000)</w:t>
            </w:r>
          </w:p>
        </w:tc>
        <w:tc>
          <w:tcPr>
            <w:tcW w:w="1005" w:type="dxa"/>
            <w:tcBorders>
              <w:top w:val="single" w:sz="12" w:space="0" w:color="auto"/>
            </w:tcBorders>
            <w:shd w:val="clear" w:color="000000" w:fill="BFBFBF"/>
          </w:tcPr>
          <w:p w:rsidR="00DC3A54" w:rsidRPr="00FC442E" w:rsidRDefault="00DC3A54" w:rsidP="00967877">
            <w:pPr>
              <w:jc w:val="center"/>
              <w:rPr>
                <w:b/>
                <w:bCs/>
                <w:sz w:val="22"/>
                <w:szCs w:val="22"/>
              </w:rPr>
            </w:pPr>
            <w:r w:rsidRPr="00FC442E">
              <w:rPr>
                <w:b/>
                <w:bCs/>
                <w:sz w:val="22"/>
                <w:szCs w:val="22"/>
              </w:rPr>
              <w:t>2015</w:t>
            </w:r>
          </w:p>
          <w:p w:rsidR="00DC3A54" w:rsidRPr="00FC442E" w:rsidRDefault="00DC3A54" w:rsidP="00967877">
            <w:pPr>
              <w:jc w:val="center"/>
              <w:rPr>
                <w:b/>
                <w:bCs/>
                <w:sz w:val="22"/>
                <w:szCs w:val="22"/>
              </w:rPr>
            </w:pPr>
            <w:r w:rsidRPr="00FC442E">
              <w:rPr>
                <w:b/>
                <w:bCs/>
                <w:sz w:val="22"/>
                <w:szCs w:val="22"/>
              </w:rPr>
              <w:t>(in US$ ‘000)</w:t>
            </w:r>
          </w:p>
        </w:tc>
        <w:tc>
          <w:tcPr>
            <w:tcW w:w="1006" w:type="dxa"/>
            <w:tcBorders>
              <w:top w:val="single" w:sz="12" w:space="0" w:color="auto"/>
            </w:tcBorders>
            <w:shd w:val="clear" w:color="000000" w:fill="BFBFBF"/>
          </w:tcPr>
          <w:p w:rsidR="00DC3A54" w:rsidRPr="00FC442E" w:rsidRDefault="00DC3A54" w:rsidP="00967877">
            <w:pPr>
              <w:jc w:val="center"/>
              <w:rPr>
                <w:b/>
                <w:bCs/>
                <w:sz w:val="22"/>
                <w:szCs w:val="22"/>
              </w:rPr>
            </w:pPr>
            <w:r w:rsidRPr="00FC442E">
              <w:rPr>
                <w:b/>
                <w:bCs/>
                <w:sz w:val="22"/>
                <w:szCs w:val="22"/>
              </w:rPr>
              <w:t>2016</w:t>
            </w:r>
          </w:p>
          <w:p w:rsidR="00DC3A54" w:rsidRPr="00FC442E" w:rsidRDefault="00DC3A54" w:rsidP="00967877">
            <w:pPr>
              <w:jc w:val="center"/>
              <w:rPr>
                <w:b/>
                <w:bCs/>
                <w:sz w:val="22"/>
                <w:szCs w:val="22"/>
              </w:rPr>
            </w:pPr>
            <w:r w:rsidRPr="00FC442E">
              <w:rPr>
                <w:b/>
                <w:bCs/>
                <w:sz w:val="22"/>
                <w:szCs w:val="22"/>
              </w:rPr>
              <w:t>(in US$ ‘000)</w:t>
            </w:r>
          </w:p>
        </w:tc>
        <w:tc>
          <w:tcPr>
            <w:tcW w:w="1006" w:type="dxa"/>
            <w:tcBorders>
              <w:top w:val="single" w:sz="12" w:space="0" w:color="auto"/>
            </w:tcBorders>
            <w:shd w:val="clear" w:color="000000" w:fill="BFBFBF"/>
          </w:tcPr>
          <w:p w:rsidR="00DC3A54" w:rsidRPr="00FC442E" w:rsidRDefault="00DC3A54" w:rsidP="00DC3A54">
            <w:pPr>
              <w:jc w:val="center"/>
              <w:rPr>
                <w:b/>
                <w:bCs/>
                <w:sz w:val="22"/>
                <w:szCs w:val="22"/>
              </w:rPr>
            </w:pPr>
            <w:r w:rsidRPr="00FC442E">
              <w:rPr>
                <w:b/>
                <w:bCs/>
                <w:sz w:val="22"/>
                <w:szCs w:val="22"/>
              </w:rPr>
              <w:t>2017</w:t>
            </w:r>
          </w:p>
          <w:p w:rsidR="00DC3A54" w:rsidRPr="00FC442E" w:rsidRDefault="00DC3A54" w:rsidP="00DC3A54">
            <w:pPr>
              <w:jc w:val="center"/>
              <w:rPr>
                <w:b/>
                <w:bCs/>
                <w:sz w:val="22"/>
                <w:szCs w:val="22"/>
              </w:rPr>
            </w:pPr>
            <w:r w:rsidRPr="00FC442E">
              <w:rPr>
                <w:b/>
                <w:bCs/>
                <w:sz w:val="22"/>
                <w:szCs w:val="22"/>
              </w:rPr>
              <w:t>(in US$ ‘000)</w:t>
            </w:r>
          </w:p>
        </w:tc>
        <w:tc>
          <w:tcPr>
            <w:tcW w:w="1006" w:type="dxa"/>
            <w:tcBorders>
              <w:top w:val="single" w:sz="12" w:space="0" w:color="auto"/>
            </w:tcBorders>
            <w:shd w:val="clear" w:color="000000" w:fill="BFBFBF"/>
            <w:vAlign w:val="center"/>
          </w:tcPr>
          <w:p w:rsidR="00DC3A54" w:rsidRPr="00FC442E" w:rsidRDefault="00DC3A54" w:rsidP="00357FA8">
            <w:pPr>
              <w:jc w:val="center"/>
              <w:rPr>
                <w:b/>
                <w:bCs/>
                <w:sz w:val="22"/>
                <w:szCs w:val="22"/>
              </w:rPr>
            </w:pPr>
            <w:r w:rsidRPr="00FC442E">
              <w:rPr>
                <w:b/>
                <w:bCs/>
                <w:sz w:val="22"/>
                <w:szCs w:val="22"/>
              </w:rPr>
              <w:t>Total</w:t>
            </w:r>
          </w:p>
          <w:p w:rsidR="00DC3A54" w:rsidRPr="00FC442E" w:rsidRDefault="00DC3A54" w:rsidP="00357FA8">
            <w:pPr>
              <w:jc w:val="center"/>
              <w:rPr>
                <w:b/>
                <w:bCs/>
                <w:sz w:val="22"/>
                <w:szCs w:val="22"/>
              </w:rPr>
            </w:pPr>
            <w:r w:rsidRPr="00FC442E">
              <w:rPr>
                <w:b/>
                <w:bCs/>
                <w:sz w:val="22"/>
                <w:szCs w:val="22"/>
              </w:rPr>
              <w:t>(in US$ ‘000)</w:t>
            </w:r>
          </w:p>
        </w:tc>
      </w:tr>
      <w:tr w:rsidR="00DC3A54" w:rsidRPr="00FC442E" w:rsidTr="009C7912">
        <w:trPr>
          <w:trHeight w:val="229"/>
          <w:jc w:val="center"/>
        </w:trPr>
        <w:tc>
          <w:tcPr>
            <w:tcW w:w="1800" w:type="dxa"/>
            <w:noWrap/>
            <w:vAlign w:val="bottom"/>
          </w:tcPr>
          <w:p w:rsidR="00DC3A54" w:rsidRPr="00FC442E" w:rsidRDefault="00DC3A54" w:rsidP="00DC3A54">
            <w:pPr>
              <w:rPr>
                <w:sz w:val="22"/>
                <w:szCs w:val="22"/>
              </w:rPr>
            </w:pPr>
            <w:r w:rsidRPr="00FC442E">
              <w:rPr>
                <w:sz w:val="22"/>
                <w:szCs w:val="22"/>
              </w:rPr>
              <w:t>NRW</w:t>
            </w:r>
          </w:p>
        </w:tc>
        <w:tc>
          <w:tcPr>
            <w:tcW w:w="1005" w:type="dxa"/>
            <w:vAlign w:val="center"/>
          </w:tcPr>
          <w:p w:rsidR="00DC3A54" w:rsidRPr="00FC442E" w:rsidRDefault="00DC3A54" w:rsidP="00076ADD">
            <w:pPr>
              <w:jc w:val="right"/>
              <w:rPr>
                <w:sz w:val="22"/>
                <w:szCs w:val="22"/>
              </w:rPr>
            </w:pPr>
            <w:r w:rsidRPr="00FC442E">
              <w:rPr>
                <w:sz w:val="22"/>
                <w:szCs w:val="22"/>
              </w:rPr>
              <w:t>0</w:t>
            </w:r>
          </w:p>
        </w:tc>
        <w:tc>
          <w:tcPr>
            <w:tcW w:w="1006" w:type="dxa"/>
            <w:vAlign w:val="center"/>
          </w:tcPr>
          <w:p w:rsidR="00DC3A54" w:rsidRPr="00FC442E" w:rsidRDefault="00DC3A54" w:rsidP="00076ADD">
            <w:pPr>
              <w:jc w:val="right"/>
              <w:rPr>
                <w:sz w:val="22"/>
                <w:szCs w:val="22"/>
              </w:rPr>
            </w:pPr>
            <w:r w:rsidRPr="00FC442E">
              <w:rPr>
                <w:sz w:val="22"/>
                <w:szCs w:val="22"/>
              </w:rPr>
              <w:t>0</w:t>
            </w:r>
          </w:p>
        </w:tc>
        <w:tc>
          <w:tcPr>
            <w:tcW w:w="1006" w:type="dxa"/>
            <w:vAlign w:val="center"/>
          </w:tcPr>
          <w:p w:rsidR="00DC3A54" w:rsidRPr="00FC442E" w:rsidRDefault="00DC3A54" w:rsidP="00076ADD">
            <w:pPr>
              <w:jc w:val="right"/>
              <w:rPr>
                <w:sz w:val="22"/>
                <w:szCs w:val="22"/>
              </w:rPr>
            </w:pPr>
            <w:r w:rsidRPr="00FC442E">
              <w:rPr>
                <w:sz w:val="22"/>
                <w:szCs w:val="22"/>
              </w:rPr>
              <w:t>293</w:t>
            </w:r>
          </w:p>
        </w:tc>
        <w:tc>
          <w:tcPr>
            <w:tcW w:w="1005" w:type="dxa"/>
            <w:vAlign w:val="center"/>
          </w:tcPr>
          <w:p w:rsidR="00DC3A54" w:rsidRPr="00FC442E" w:rsidRDefault="00DC3A54" w:rsidP="00076ADD">
            <w:pPr>
              <w:jc w:val="right"/>
              <w:rPr>
                <w:sz w:val="22"/>
                <w:szCs w:val="22"/>
              </w:rPr>
            </w:pPr>
            <w:r w:rsidRPr="00FC442E">
              <w:rPr>
                <w:sz w:val="22"/>
                <w:szCs w:val="22"/>
              </w:rPr>
              <w:t>356</w:t>
            </w:r>
          </w:p>
        </w:tc>
        <w:tc>
          <w:tcPr>
            <w:tcW w:w="1006" w:type="dxa"/>
            <w:vAlign w:val="center"/>
          </w:tcPr>
          <w:p w:rsidR="00DC3A54" w:rsidRPr="00FC442E" w:rsidRDefault="00DC3A54" w:rsidP="00076ADD">
            <w:pPr>
              <w:jc w:val="right"/>
              <w:rPr>
                <w:sz w:val="22"/>
                <w:szCs w:val="22"/>
              </w:rPr>
            </w:pPr>
            <w:r w:rsidRPr="00FC442E">
              <w:rPr>
                <w:sz w:val="22"/>
                <w:szCs w:val="22"/>
              </w:rPr>
              <w:t>954.85</w:t>
            </w:r>
          </w:p>
        </w:tc>
        <w:tc>
          <w:tcPr>
            <w:tcW w:w="1006" w:type="dxa"/>
            <w:vAlign w:val="center"/>
          </w:tcPr>
          <w:p w:rsidR="00DC3A54" w:rsidRPr="00FC442E" w:rsidRDefault="00CD23FF" w:rsidP="00076ADD">
            <w:pPr>
              <w:jc w:val="right"/>
              <w:rPr>
                <w:sz w:val="22"/>
                <w:szCs w:val="22"/>
              </w:rPr>
            </w:pPr>
            <w:r w:rsidRPr="00FC442E">
              <w:rPr>
                <w:sz w:val="22"/>
                <w:szCs w:val="22"/>
              </w:rPr>
              <w:t>607</w:t>
            </w:r>
          </w:p>
        </w:tc>
        <w:tc>
          <w:tcPr>
            <w:tcW w:w="1006" w:type="dxa"/>
            <w:vAlign w:val="center"/>
          </w:tcPr>
          <w:p w:rsidR="00DC3A54" w:rsidRPr="00FC442E" w:rsidRDefault="00CD23FF" w:rsidP="00076ADD">
            <w:pPr>
              <w:jc w:val="right"/>
              <w:rPr>
                <w:b/>
                <w:sz w:val="22"/>
                <w:szCs w:val="22"/>
              </w:rPr>
            </w:pPr>
            <w:r w:rsidRPr="00FC442E">
              <w:rPr>
                <w:b/>
                <w:sz w:val="22"/>
                <w:szCs w:val="22"/>
              </w:rPr>
              <w:t>2,211</w:t>
            </w:r>
          </w:p>
        </w:tc>
      </w:tr>
      <w:tr w:rsidR="00DC3A54" w:rsidRPr="00FC442E" w:rsidTr="009C7912">
        <w:trPr>
          <w:trHeight w:val="229"/>
          <w:jc w:val="center"/>
        </w:trPr>
        <w:tc>
          <w:tcPr>
            <w:tcW w:w="1800" w:type="dxa"/>
            <w:noWrap/>
            <w:vAlign w:val="bottom"/>
          </w:tcPr>
          <w:p w:rsidR="00DC3A54" w:rsidRPr="00FC442E" w:rsidRDefault="00DC3A54" w:rsidP="00DC3A54">
            <w:pPr>
              <w:rPr>
                <w:sz w:val="22"/>
                <w:szCs w:val="22"/>
              </w:rPr>
            </w:pPr>
            <w:r w:rsidRPr="00FC442E">
              <w:rPr>
                <w:sz w:val="22"/>
                <w:szCs w:val="22"/>
              </w:rPr>
              <w:t>Water System Rehabilitation</w:t>
            </w:r>
          </w:p>
        </w:tc>
        <w:tc>
          <w:tcPr>
            <w:tcW w:w="1005" w:type="dxa"/>
            <w:vAlign w:val="center"/>
          </w:tcPr>
          <w:p w:rsidR="00DC3A54" w:rsidRPr="00FC442E" w:rsidRDefault="00DC3A54" w:rsidP="00076ADD">
            <w:pPr>
              <w:jc w:val="right"/>
              <w:rPr>
                <w:sz w:val="22"/>
                <w:szCs w:val="22"/>
              </w:rPr>
            </w:pPr>
            <w:r w:rsidRPr="00FC442E">
              <w:rPr>
                <w:sz w:val="22"/>
                <w:szCs w:val="22"/>
              </w:rPr>
              <w:t>24</w:t>
            </w:r>
          </w:p>
        </w:tc>
        <w:tc>
          <w:tcPr>
            <w:tcW w:w="1006" w:type="dxa"/>
            <w:vAlign w:val="center"/>
          </w:tcPr>
          <w:p w:rsidR="00DC3A54" w:rsidRPr="00FC442E" w:rsidRDefault="00DC3A54" w:rsidP="00076ADD">
            <w:pPr>
              <w:jc w:val="right"/>
              <w:rPr>
                <w:sz w:val="22"/>
                <w:szCs w:val="22"/>
              </w:rPr>
            </w:pPr>
            <w:r w:rsidRPr="00FC442E">
              <w:rPr>
                <w:sz w:val="22"/>
                <w:szCs w:val="22"/>
              </w:rPr>
              <w:t>8</w:t>
            </w:r>
          </w:p>
        </w:tc>
        <w:tc>
          <w:tcPr>
            <w:tcW w:w="1006" w:type="dxa"/>
            <w:vAlign w:val="center"/>
          </w:tcPr>
          <w:p w:rsidR="00DC3A54" w:rsidRPr="00FC442E" w:rsidRDefault="00DC3A54" w:rsidP="00076ADD">
            <w:pPr>
              <w:jc w:val="right"/>
              <w:rPr>
                <w:sz w:val="22"/>
                <w:szCs w:val="22"/>
              </w:rPr>
            </w:pPr>
            <w:r w:rsidRPr="00FC442E">
              <w:rPr>
                <w:sz w:val="22"/>
                <w:szCs w:val="22"/>
              </w:rPr>
              <w:t>1,693</w:t>
            </w:r>
          </w:p>
        </w:tc>
        <w:tc>
          <w:tcPr>
            <w:tcW w:w="1005" w:type="dxa"/>
            <w:vAlign w:val="center"/>
          </w:tcPr>
          <w:p w:rsidR="00DC3A54" w:rsidRPr="00FC442E" w:rsidRDefault="00DC3A54" w:rsidP="00076ADD">
            <w:pPr>
              <w:jc w:val="right"/>
              <w:rPr>
                <w:sz w:val="22"/>
                <w:szCs w:val="22"/>
              </w:rPr>
            </w:pPr>
            <w:r w:rsidRPr="00FC442E">
              <w:rPr>
                <w:sz w:val="22"/>
                <w:szCs w:val="22"/>
              </w:rPr>
              <w:t>801</w:t>
            </w:r>
          </w:p>
        </w:tc>
        <w:tc>
          <w:tcPr>
            <w:tcW w:w="1006" w:type="dxa"/>
            <w:vAlign w:val="center"/>
          </w:tcPr>
          <w:p w:rsidR="00DC3A54" w:rsidRPr="00FC442E" w:rsidRDefault="00DC3A54" w:rsidP="00076ADD">
            <w:pPr>
              <w:jc w:val="right"/>
              <w:rPr>
                <w:sz w:val="22"/>
                <w:szCs w:val="22"/>
              </w:rPr>
            </w:pPr>
            <w:r w:rsidRPr="00FC442E">
              <w:rPr>
                <w:sz w:val="22"/>
                <w:szCs w:val="22"/>
              </w:rPr>
              <w:t>1,418.05</w:t>
            </w:r>
          </w:p>
        </w:tc>
        <w:tc>
          <w:tcPr>
            <w:tcW w:w="1006" w:type="dxa"/>
            <w:vAlign w:val="center"/>
          </w:tcPr>
          <w:p w:rsidR="00DC3A54" w:rsidRPr="00FC442E" w:rsidRDefault="00CD23FF" w:rsidP="00076ADD">
            <w:pPr>
              <w:jc w:val="right"/>
              <w:rPr>
                <w:sz w:val="22"/>
                <w:szCs w:val="22"/>
              </w:rPr>
            </w:pPr>
            <w:r w:rsidRPr="00FC442E">
              <w:rPr>
                <w:sz w:val="22"/>
                <w:szCs w:val="22"/>
              </w:rPr>
              <w:t>2,512</w:t>
            </w:r>
          </w:p>
        </w:tc>
        <w:tc>
          <w:tcPr>
            <w:tcW w:w="1006" w:type="dxa"/>
            <w:vAlign w:val="center"/>
          </w:tcPr>
          <w:p w:rsidR="00DC3A54" w:rsidRPr="00FC442E" w:rsidRDefault="00CD23FF" w:rsidP="00076ADD">
            <w:pPr>
              <w:jc w:val="right"/>
              <w:rPr>
                <w:b/>
                <w:sz w:val="22"/>
                <w:szCs w:val="22"/>
              </w:rPr>
            </w:pPr>
            <w:r w:rsidRPr="00FC442E">
              <w:rPr>
                <w:b/>
                <w:sz w:val="22"/>
                <w:szCs w:val="22"/>
              </w:rPr>
              <w:t>6,457</w:t>
            </w:r>
          </w:p>
        </w:tc>
      </w:tr>
      <w:tr w:rsidR="00DC3A54" w:rsidRPr="00FC442E" w:rsidTr="009C7912">
        <w:trPr>
          <w:trHeight w:val="20"/>
          <w:jc w:val="center"/>
        </w:trPr>
        <w:tc>
          <w:tcPr>
            <w:tcW w:w="1800" w:type="dxa"/>
            <w:noWrap/>
            <w:vAlign w:val="bottom"/>
          </w:tcPr>
          <w:p w:rsidR="00DC3A54" w:rsidRPr="00FC442E" w:rsidRDefault="00DC3A54" w:rsidP="00DC3A54">
            <w:pPr>
              <w:rPr>
                <w:sz w:val="22"/>
                <w:szCs w:val="22"/>
              </w:rPr>
            </w:pPr>
            <w:r w:rsidRPr="00FC442E">
              <w:rPr>
                <w:sz w:val="22"/>
                <w:szCs w:val="22"/>
              </w:rPr>
              <w:t>Project Administration</w:t>
            </w:r>
          </w:p>
        </w:tc>
        <w:tc>
          <w:tcPr>
            <w:tcW w:w="1005" w:type="dxa"/>
            <w:vAlign w:val="center"/>
          </w:tcPr>
          <w:p w:rsidR="00DC3A54" w:rsidRPr="00FC442E" w:rsidRDefault="00DC3A54" w:rsidP="00076ADD">
            <w:pPr>
              <w:jc w:val="right"/>
              <w:rPr>
                <w:sz w:val="22"/>
                <w:szCs w:val="22"/>
              </w:rPr>
            </w:pPr>
            <w:r w:rsidRPr="00FC442E">
              <w:rPr>
                <w:sz w:val="22"/>
                <w:szCs w:val="22"/>
              </w:rPr>
              <w:t>90.39</w:t>
            </w:r>
          </w:p>
        </w:tc>
        <w:tc>
          <w:tcPr>
            <w:tcW w:w="1006" w:type="dxa"/>
            <w:vAlign w:val="center"/>
          </w:tcPr>
          <w:p w:rsidR="00DC3A54" w:rsidRPr="00FC442E" w:rsidRDefault="00DC3A54" w:rsidP="00076ADD">
            <w:pPr>
              <w:jc w:val="right"/>
              <w:rPr>
                <w:sz w:val="22"/>
                <w:szCs w:val="22"/>
              </w:rPr>
            </w:pPr>
            <w:r w:rsidRPr="00FC442E">
              <w:rPr>
                <w:sz w:val="22"/>
                <w:szCs w:val="22"/>
              </w:rPr>
              <w:t>125</w:t>
            </w:r>
          </w:p>
        </w:tc>
        <w:tc>
          <w:tcPr>
            <w:tcW w:w="1006" w:type="dxa"/>
            <w:vAlign w:val="center"/>
          </w:tcPr>
          <w:p w:rsidR="00DC3A54" w:rsidRPr="00FC442E" w:rsidRDefault="00DC3A54" w:rsidP="00076ADD">
            <w:pPr>
              <w:jc w:val="right"/>
              <w:rPr>
                <w:sz w:val="22"/>
                <w:szCs w:val="22"/>
              </w:rPr>
            </w:pPr>
            <w:r w:rsidRPr="00FC442E">
              <w:rPr>
                <w:sz w:val="22"/>
                <w:szCs w:val="22"/>
              </w:rPr>
              <w:t>113</w:t>
            </w:r>
          </w:p>
        </w:tc>
        <w:tc>
          <w:tcPr>
            <w:tcW w:w="1005" w:type="dxa"/>
            <w:vAlign w:val="center"/>
          </w:tcPr>
          <w:p w:rsidR="00DC3A54" w:rsidRPr="00FC442E" w:rsidRDefault="00DC3A54" w:rsidP="00076ADD">
            <w:pPr>
              <w:jc w:val="right"/>
              <w:rPr>
                <w:sz w:val="22"/>
                <w:szCs w:val="22"/>
              </w:rPr>
            </w:pPr>
            <w:r w:rsidRPr="00FC442E">
              <w:rPr>
                <w:sz w:val="22"/>
                <w:szCs w:val="22"/>
              </w:rPr>
              <w:t>207</w:t>
            </w:r>
          </w:p>
        </w:tc>
        <w:tc>
          <w:tcPr>
            <w:tcW w:w="1006" w:type="dxa"/>
            <w:vAlign w:val="center"/>
          </w:tcPr>
          <w:p w:rsidR="00DC3A54" w:rsidRPr="00FC442E" w:rsidRDefault="00DC3A54" w:rsidP="00076ADD">
            <w:pPr>
              <w:jc w:val="right"/>
              <w:rPr>
                <w:sz w:val="22"/>
                <w:szCs w:val="22"/>
              </w:rPr>
            </w:pPr>
            <w:r w:rsidRPr="00FC442E">
              <w:rPr>
                <w:sz w:val="22"/>
                <w:szCs w:val="22"/>
              </w:rPr>
              <w:t>111.49</w:t>
            </w:r>
          </w:p>
        </w:tc>
        <w:tc>
          <w:tcPr>
            <w:tcW w:w="1006" w:type="dxa"/>
            <w:vAlign w:val="center"/>
          </w:tcPr>
          <w:p w:rsidR="00DC3A54" w:rsidRPr="00FC442E" w:rsidRDefault="00DC3A54" w:rsidP="00076ADD">
            <w:pPr>
              <w:jc w:val="right"/>
              <w:rPr>
                <w:sz w:val="22"/>
                <w:szCs w:val="22"/>
              </w:rPr>
            </w:pPr>
            <w:r w:rsidRPr="00FC442E">
              <w:rPr>
                <w:sz w:val="22"/>
                <w:szCs w:val="22"/>
              </w:rPr>
              <w:t>4</w:t>
            </w:r>
            <w:r w:rsidR="00CD23FF" w:rsidRPr="00FC442E">
              <w:rPr>
                <w:sz w:val="22"/>
                <w:szCs w:val="22"/>
              </w:rPr>
              <w:t>29</w:t>
            </w:r>
          </w:p>
        </w:tc>
        <w:tc>
          <w:tcPr>
            <w:tcW w:w="1006" w:type="dxa"/>
            <w:vAlign w:val="center"/>
          </w:tcPr>
          <w:p w:rsidR="00DC3A54" w:rsidRPr="00FC442E" w:rsidRDefault="00CD23FF" w:rsidP="00076ADD">
            <w:pPr>
              <w:jc w:val="right"/>
              <w:rPr>
                <w:b/>
                <w:sz w:val="22"/>
                <w:szCs w:val="22"/>
              </w:rPr>
            </w:pPr>
            <w:r w:rsidRPr="00FC442E">
              <w:rPr>
                <w:b/>
                <w:sz w:val="22"/>
                <w:szCs w:val="22"/>
              </w:rPr>
              <w:t>1,075</w:t>
            </w:r>
          </w:p>
        </w:tc>
      </w:tr>
      <w:tr w:rsidR="00DC3A54" w:rsidRPr="00FC442E" w:rsidTr="009C7912">
        <w:trPr>
          <w:trHeight w:val="20"/>
          <w:jc w:val="center"/>
        </w:trPr>
        <w:tc>
          <w:tcPr>
            <w:tcW w:w="1800" w:type="dxa"/>
            <w:noWrap/>
            <w:vAlign w:val="bottom"/>
          </w:tcPr>
          <w:p w:rsidR="00DC3A54" w:rsidRPr="00FC442E" w:rsidRDefault="00DC3A54" w:rsidP="00DC3A54">
            <w:pPr>
              <w:rPr>
                <w:b/>
                <w:bCs/>
                <w:sz w:val="22"/>
                <w:szCs w:val="22"/>
              </w:rPr>
            </w:pPr>
            <w:r w:rsidRPr="00FC442E">
              <w:rPr>
                <w:b/>
                <w:bCs/>
                <w:sz w:val="22"/>
                <w:szCs w:val="22"/>
              </w:rPr>
              <w:t>Total</w:t>
            </w:r>
          </w:p>
        </w:tc>
        <w:tc>
          <w:tcPr>
            <w:tcW w:w="1005" w:type="dxa"/>
            <w:vAlign w:val="center"/>
          </w:tcPr>
          <w:p w:rsidR="00DC3A54" w:rsidRPr="00FC442E" w:rsidRDefault="00DC3A54" w:rsidP="00076ADD">
            <w:pPr>
              <w:jc w:val="right"/>
              <w:rPr>
                <w:b/>
                <w:sz w:val="22"/>
                <w:szCs w:val="22"/>
              </w:rPr>
            </w:pPr>
            <w:r w:rsidRPr="00FC442E">
              <w:rPr>
                <w:b/>
                <w:sz w:val="22"/>
                <w:szCs w:val="22"/>
              </w:rPr>
              <w:t>115</w:t>
            </w:r>
          </w:p>
        </w:tc>
        <w:tc>
          <w:tcPr>
            <w:tcW w:w="1006" w:type="dxa"/>
            <w:vAlign w:val="center"/>
          </w:tcPr>
          <w:p w:rsidR="00DC3A54" w:rsidRPr="00FC442E" w:rsidRDefault="00DC3A54" w:rsidP="00076ADD">
            <w:pPr>
              <w:jc w:val="right"/>
              <w:rPr>
                <w:b/>
                <w:sz w:val="22"/>
                <w:szCs w:val="22"/>
              </w:rPr>
            </w:pPr>
            <w:r w:rsidRPr="00FC442E">
              <w:rPr>
                <w:b/>
                <w:sz w:val="22"/>
                <w:szCs w:val="22"/>
              </w:rPr>
              <w:t>133</w:t>
            </w:r>
          </w:p>
        </w:tc>
        <w:tc>
          <w:tcPr>
            <w:tcW w:w="1006" w:type="dxa"/>
            <w:vAlign w:val="center"/>
          </w:tcPr>
          <w:p w:rsidR="00DC3A54" w:rsidRPr="00FC442E" w:rsidRDefault="00DC3A54" w:rsidP="00076ADD">
            <w:pPr>
              <w:jc w:val="right"/>
              <w:rPr>
                <w:b/>
                <w:sz w:val="22"/>
                <w:szCs w:val="22"/>
              </w:rPr>
            </w:pPr>
            <w:r w:rsidRPr="00FC442E">
              <w:rPr>
                <w:b/>
                <w:sz w:val="22"/>
                <w:szCs w:val="22"/>
              </w:rPr>
              <w:t>2,100</w:t>
            </w:r>
          </w:p>
        </w:tc>
        <w:tc>
          <w:tcPr>
            <w:tcW w:w="1005" w:type="dxa"/>
            <w:vAlign w:val="center"/>
          </w:tcPr>
          <w:p w:rsidR="00DC3A54" w:rsidRPr="00FC442E" w:rsidRDefault="00DC3A54" w:rsidP="00076ADD">
            <w:pPr>
              <w:jc w:val="right"/>
              <w:rPr>
                <w:b/>
                <w:sz w:val="22"/>
                <w:szCs w:val="22"/>
              </w:rPr>
            </w:pPr>
            <w:r w:rsidRPr="00FC442E">
              <w:rPr>
                <w:b/>
                <w:sz w:val="22"/>
                <w:szCs w:val="22"/>
              </w:rPr>
              <w:t>1,364</w:t>
            </w:r>
          </w:p>
        </w:tc>
        <w:tc>
          <w:tcPr>
            <w:tcW w:w="1006" w:type="dxa"/>
            <w:vAlign w:val="center"/>
          </w:tcPr>
          <w:p w:rsidR="00DC3A54" w:rsidRPr="00FC442E" w:rsidRDefault="00DC3A54" w:rsidP="00076ADD">
            <w:pPr>
              <w:jc w:val="right"/>
              <w:rPr>
                <w:b/>
                <w:sz w:val="22"/>
                <w:szCs w:val="22"/>
              </w:rPr>
            </w:pPr>
            <w:r w:rsidRPr="00FC442E">
              <w:rPr>
                <w:b/>
                <w:sz w:val="22"/>
                <w:szCs w:val="22"/>
              </w:rPr>
              <w:t>2,484</w:t>
            </w:r>
          </w:p>
        </w:tc>
        <w:tc>
          <w:tcPr>
            <w:tcW w:w="1006" w:type="dxa"/>
            <w:vAlign w:val="center"/>
          </w:tcPr>
          <w:p w:rsidR="00DC3A54" w:rsidRPr="00FC442E" w:rsidRDefault="00DC3A54" w:rsidP="00076ADD">
            <w:pPr>
              <w:jc w:val="right"/>
              <w:rPr>
                <w:b/>
                <w:sz w:val="22"/>
                <w:szCs w:val="22"/>
              </w:rPr>
            </w:pPr>
            <w:r w:rsidRPr="00FC442E">
              <w:rPr>
                <w:b/>
                <w:sz w:val="22"/>
                <w:szCs w:val="22"/>
              </w:rPr>
              <w:t>3,</w:t>
            </w:r>
            <w:r w:rsidR="00655BAA" w:rsidRPr="00FC442E">
              <w:rPr>
                <w:b/>
                <w:sz w:val="22"/>
                <w:szCs w:val="22"/>
              </w:rPr>
              <w:t>548</w:t>
            </w:r>
          </w:p>
        </w:tc>
        <w:tc>
          <w:tcPr>
            <w:tcW w:w="1006" w:type="dxa"/>
            <w:vAlign w:val="center"/>
          </w:tcPr>
          <w:p w:rsidR="00DC3A54" w:rsidRPr="00FC442E" w:rsidRDefault="00DC3A54" w:rsidP="00076ADD">
            <w:pPr>
              <w:jc w:val="right"/>
              <w:rPr>
                <w:b/>
                <w:sz w:val="22"/>
                <w:szCs w:val="22"/>
              </w:rPr>
            </w:pPr>
            <w:r w:rsidRPr="00FC442E">
              <w:rPr>
                <w:b/>
                <w:sz w:val="22"/>
                <w:szCs w:val="22"/>
              </w:rPr>
              <w:t>9,</w:t>
            </w:r>
            <w:r w:rsidR="00CD23FF" w:rsidRPr="00FC442E">
              <w:rPr>
                <w:b/>
                <w:sz w:val="22"/>
                <w:szCs w:val="22"/>
              </w:rPr>
              <w:t>74</w:t>
            </w:r>
            <w:r w:rsidR="00B37C68" w:rsidRPr="00FC442E">
              <w:rPr>
                <w:b/>
                <w:sz w:val="22"/>
                <w:szCs w:val="22"/>
              </w:rPr>
              <w:t>3</w:t>
            </w:r>
          </w:p>
        </w:tc>
      </w:tr>
    </w:tbl>
    <w:p w:rsidR="007D2C91" w:rsidRPr="00FC442E" w:rsidRDefault="007D2C91" w:rsidP="007D2C91">
      <w:pPr>
        <w:autoSpaceDE w:val="0"/>
        <w:autoSpaceDN w:val="0"/>
        <w:adjustRightInd w:val="0"/>
        <w:jc w:val="both"/>
        <w:rPr>
          <w:highlight w:val="yellow"/>
        </w:rPr>
      </w:pPr>
    </w:p>
    <w:p w:rsidR="00BB1322" w:rsidRPr="00FC442E" w:rsidRDefault="00BB1322" w:rsidP="00BB1322">
      <w:pPr>
        <w:autoSpaceDE w:val="0"/>
        <w:autoSpaceDN w:val="0"/>
        <w:adjustRightInd w:val="0"/>
        <w:jc w:val="both"/>
        <w:rPr>
          <w:highlight w:val="yellow"/>
        </w:rPr>
      </w:pPr>
    </w:p>
    <w:p w:rsidR="00BB1322" w:rsidRPr="00FC442E" w:rsidRDefault="0011772A" w:rsidP="0011772A">
      <w:pPr>
        <w:autoSpaceDE w:val="0"/>
        <w:autoSpaceDN w:val="0"/>
        <w:adjustRightInd w:val="0"/>
        <w:jc w:val="both"/>
      </w:pPr>
      <w:r w:rsidRPr="00FC442E">
        <w:t>To transform t</w:t>
      </w:r>
      <w:r w:rsidR="00BB1322" w:rsidRPr="00FC442E">
        <w:t>he above financial (investment) costs in economic costs</w:t>
      </w:r>
      <w:r w:rsidR="009478EF" w:rsidRPr="00FC442E">
        <w:t>,</w:t>
      </w:r>
      <w:r w:rsidR="00BB1322" w:rsidRPr="00FC442E">
        <w:t xml:space="preserve"> conversion factors should be applied. </w:t>
      </w:r>
      <w:r w:rsidRPr="00FC442E">
        <w:t xml:space="preserve">However, given the impossibility to obtain the information in a timely manner, the financial costs </w:t>
      </w:r>
      <w:r w:rsidR="00C252BA" w:rsidRPr="00FC442E">
        <w:t>were</w:t>
      </w:r>
      <w:r w:rsidRPr="00FC442E">
        <w:t xml:space="preserve"> assumed to be equal to the economic costs. This is a conservative assumption, and therefore it will be a robustness check of the project </w:t>
      </w:r>
      <w:r w:rsidR="00C252BA" w:rsidRPr="00FC442E">
        <w:t xml:space="preserve">ex-post </w:t>
      </w:r>
      <w:r w:rsidRPr="00FC442E">
        <w:t>economic feasibility.</w:t>
      </w:r>
    </w:p>
    <w:p w:rsidR="00BB1322" w:rsidRPr="00FC442E" w:rsidRDefault="00BB1322" w:rsidP="00BB1322">
      <w:pPr>
        <w:autoSpaceDE w:val="0"/>
        <w:autoSpaceDN w:val="0"/>
        <w:adjustRightInd w:val="0"/>
        <w:jc w:val="both"/>
      </w:pPr>
    </w:p>
    <w:p w:rsidR="00BB1322" w:rsidRPr="00FC442E" w:rsidRDefault="00BB1322" w:rsidP="00BB1322">
      <w:pPr>
        <w:autoSpaceDE w:val="0"/>
        <w:autoSpaceDN w:val="0"/>
        <w:adjustRightInd w:val="0"/>
        <w:jc w:val="both"/>
        <w:rPr>
          <w:b/>
        </w:rPr>
      </w:pPr>
    </w:p>
    <w:p w:rsidR="00A16E3F" w:rsidRPr="00FC442E" w:rsidRDefault="00A16E3F" w:rsidP="00E32E25">
      <w:pPr>
        <w:pStyle w:val="Footer"/>
        <w:numPr>
          <w:ilvl w:val="2"/>
          <w:numId w:val="2"/>
        </w:numPr>
        <w:tabs>
          <w:tab w:val="clear" w:pos="4819"/>
          <w:tab w:val="clear" w:pos="9638"/>
        </w:tabs>
        <w:rPr>
          <w:b/>
          <w:i/>
          <w:lang w:val="en-US"/>
        </w:rPr>
      </w:pPr>
      <w:r w:rsidRPr="00FC442E">
        <w:rPr>
          <w:b/>
          <w:i/>
          <w:lang w:val="en-US"/>
        </w:rPr>
        <w:t>Operating and Maintenance Costs</w:t>
      </w:r>
    </w:p>
    <w:p w:rsidR="00A16E3F" w:rsidRPr="00FC442E" w:rsidRDefault="00A16E3F" w:rsidP="00A16E3F">
      <w:pPr>
        <w:pStyle w:val="Footer"/>
        <w:tabs>
          <w:tab w:val="clear" w:pos="4819"/>
          <w:tab w:val="clear" w:pos="9638"/>
          <w:tab w:val="left" w:pos="9356"/>
        </w:tabs>
        <w:jc w:val="both"/>
        <w:rPr>
          <w:szCs w:val="24"/>
          <w:lang w:val="en-US"/>
        </w:rPr>
      </w:pPr>
    </w:p>
    <w:p w:rsidR="00A16E3F" w:rsidRPr="00FC442E" w:rsidRDefault="00440480" w:rsidP="00350E75">
      <w:pPr>
        <w:pStyle w:val="Footer"/>
        <w:tabs>
          <w:tab w:val="clear" w:pos="4819"/>
          <w:tab w:val="clear" w:pos="9638"/>
        </w:tabs>
        <w:jc w:val="both"/>
        <w:rPr>
          <w:szCs w:val="24"/>
          <w:lang w:val="en-US"/>
        </w:rPr>
      </w:pPr>
      <w:r w:rsidRPr="00FC442E">
        <w:rPr>
          <w:szCs w:val="24"/>
          <w:lang w:val="en-US"/>
        </w:rPr>
        <w:t xml:space="preserve">Considering that this is mainly a rehabilitation project, </w:t>
      </w:r>
      <w:r w:rsidR="006D4BB6" w:rsidRPr="00FC442E">
        <w:rPr>
          <w:szCs w:val="24"/>
          <w:lang w:val="en-US"/>
        </w:rPr>
        <w:t>t</w:t>
      </w:r>
      <w:r w:rsidRPr="00FC442E">
        <w:rPr>
          <w:szCs w:val="24"/>
          <w:lang w:val="en-US"/>
        </w:rPr>
        <w:t xml:space="preserve">he operating and maintenance costs (O&amp;M) </w:t>
      </w:r>
      <w:r w:rsidR="006D4BB6" w:rsidRPr="00FC442E">
        <w:rPr>
          <w:szCs w:val="24"/>
          <w:lang w:val="en-US"/>
        </w:rPr>
        <w:t>were</w:t>
      </w:r>
      <w:r w:rsidRPr="00FC442E">
        <w:rPr>
          <w:szCs w:val="24"/>
          <w:lang w:val="en-US"/>
        </w:rPr>
        <w:t xml:space="preserve"> the same as in the situation</w:t>
      </w:r>
      <w:r w:rsidR="006D4BB6" w:rsidRPr="00FC442E">
        <w:rPr>
          <w:szCs w:val="24"/>
          <w:lang w:val="en-US"/>
        </w:rPr>
        <w:t xml:space="preserve"> without project</w:t>
      </w:r>
      <w:r w:rsidRPr="00FC442E">
        <w:rPr>
          <w:szCs w:val="24"/>
          <w:lang w:val="en-US"/>
        </w:rPr>
        <w:t xml:space="preserve">. </w:t>
      </w:r>
    </w:p>
    <w:p w:rsidR="00440480" w:rsidRPr="00FC442E" w:rsidRDefault="00440480" w:rsidP="00A16E3F">
      <w:pPr>
        <w:pStyle w:val="Footer"/>
        <w:tabs>
          <w:tab w:val="clear" w:pos="4819"/>
          <w:tab w:val="clear" w:pos="9638"/>
          <w:tab w:val="left" w:pos="9356"/>
        </w:tabs>
        <w:jc w:val="both"/>
        <w:rPr>
          <w:szCs w:val="24"/>
          <w:lang w:val="en-US"/>
        </w:rPr>
      </w:pPr>
    </w:p>
    <w:p w:rsidR="00440480" w:rsidRPr="00FC442E" w:rsidRDefault="00440480" w:rsidP="00A16E3F">
      <w:pPr>
        <w:pStyle w:val="Footer"/>
        <w:tabs>
          <w:tab w:val="clear" w:pos="4819"/>
          <w:tab w:val="clear" w:pos="9638"/>
          <w:tab w:val="left" w:pos="9356"/>
        </w:tabs>
        <w:jc w:val="both"/>
        <w:rPr>
          <w:szCs w:val="24"/>
          <w:lang w:val="en-US"/>
        </w:rPr>
      </w:pPr>
    </w:p>
    <w:p w:rsidR="005E0521" w:rsidRPr="00FC442E" w:rsidRDefault="005E0521" w:rsidP="00E32E25">
      <w:pPr>
        <w:pStyle w:val="Footer"/>
        <w:numPr>
          <w:ilvl w:val="1"/>
          <w:numId w:val="2"/>
        </w:numPr>
        <w:tabs>
          <w:tab w:val="clear" w:pos="4819"/>
          <w:tab w:val="clear" w:pos="9638"/>
        </w:tabs>
        <w:rPr>
          <w:b/>
          <w:szCs w:val="24"/>
          <w:lang w:val="en-US"/>
        </w:rPr>
      </w:pPr>
      <w:r w:rsidRPr="00FC442E">
        <w:rPr>
          <w:b/>
          <w:szCs w:val="24"/>
          <w:lang w:val="en-US"/>
        </w:rPr>
        <w:t>The economic benefits</w:t>
      </w:r>
    </w:p>
    <w:p w:rsidR="005E0521" w:rsidRPr="00FC442E" w:rsidRDefault="005E0521" w:rsidP="005E0521">
      <w:pPr>
        <w:autoSpaceDE w:val="0"/>
        <w:autoSpaceDN w:val="0"/>
        <w:adjustRightInd w:val="0"/>
        <w:rPr>
          <w:color w:val="800000"/>
          <w:sz w:val="22"/>
          <w:szCs w:val="22"/>
        </w:rPr>
      </w:pPr>
    </w:p>
    <w:p w:rsidR="005E0521" w:rsidRPr="00FC442E" w:rsidRDefault="005E0521" w:rsidP="00E32E25">
      <w:pPr>
        <w:pStyle w:val="Footer"/>
        <w:numPr>
          <w:ilvl w:val="2"/>
          <w:numId w:val="2"/>
        </w:numPr>
        <w:tabs>
          <w:tab w:val="clear" w:pos="4819"/>
          <w:tab w:val="clear" w:pos="9638"/>
        </w:tabs>
        <w:rPr>
          <w:b/>
          <w:i/>
          <w:lang w:val="en-US"/>
        </w:rPr>
      </w:pPr>
      <w:r w:rsidRPr="00FC442E">
        <w:rPr>
          <w:b/>
          <w:i/>
          <w:lang w:val="en-US"/>
        </w:rPr>
        <w:t xml:space="preserve"> Project Beneficiaries </w:t>
      </w:r>
    </w:p>
    <w:p w:rsidR="005E0521" w:rsidRPr="00FC442E" w:rsidRDefault="005E0521" w:rsidP="005E0521">
      <w:pPr>
        <w:autoSpaceDE w:val="0"/>
        <w:autoSpaceDN w:val="0"/>
        <w:adjustRightInd w:val="0"/>
        <w:jc w:val="both"/>
        <w:rPr>
          <w:b/>
          <w:i/>
        </w:rPr>
      </w:pPr>
    </w:p>
    <w:p w:rsidR="005E0521" w:rsidRPr="00FC442E" w:rsidRDefault="00F456D7" w:rsidP="00F456D7">
      <w:pPr>
        <w:pStyle w:val="NoSpacing"/>
        <w:jc w:val="both"/>
        <w:rPr>
          <w:rFonts w:ascii="Times New Roman" w:hAnsi="Times New Roman"/>
          <w:sz w:val="24"/>
          <w:lang w:val="en-US" w:eastAsia="it-IT"/>
        </w:rPr>
      </w:pPr>
      <w:r w:rsidRPr="00FC442E">
        <w:rPr>
          <w:rFonts w:ascii="Times New Roman" w:hAnsi="Times New Roman"/>
          <w:sz w:val="24"/>
          <w:lang w:val="en-US" w:eastAsia="it-IT"/>
        </w:rPr>
        <w:t>The number of connections served within this component was estimated at 16,650 households</w:t>
      </w:r>
      <w:r w:rsidR="00CE7991" w:rsidRPr="00FC442E">
        <w:rPr>
          <w:rFonts w:ascii="Times New Roman" w:hAnsi="Times New Roman"/>
          <w:sz w:val="24"/>
          <w:lang w:val="en-US" w:eastAsia="it-IT"/>
        </w:rPr>
        <w:t>, that were already connected to the service</w:t>
      </w:r>
      <w:r w:rsidRPr="00FC442E">
        <w:rPr>
          <w:rFonts w:ascii="Times New Roman" w:hAnsi="Times New Roman"/>
          <w:sz w:val="24"/>
          <w:lang w:val="en-US" w:eastAsia="it-IT"/>
        </w:rPr>
        <w:t xml:space="preserve">. </w:t>
      </w:r>
      <w:r w:rsidR="0016167A" w:rsidRPr="00FC442E">
        <w:rPr>
          <w:rFonts w:ascii="Times New Roman" w:hAnsi="Times New Roman"/>
          <w:sz w:val="24"/>
          <w:lang w:val="en-US" w:eastAsia="it-IT"/>
        </w:rPr>
        <w:t>Table 2.3 below shows the type of intervention</w:t>
      </w:r>
      <w:r w:rsidRPr="00FC442E">
        <w:rPr>
          <w:rFonts w:ascii="Times New Roman" w:hAnsi="Times New Roman"/>
          <w:sz w:val="24"/>
          <w:lang w:val="en-US" w:eastAsia="it-IT"/>
        </w:rPr>
        <w:t xml:space="preserve"> and</w:t>
      </w:r>
      <w:r w:rsidR="00417EFF" w:rsidRPr="00FC442E">
        <w:rPr>
          <w:rFonts w:ascii="Times New Roman" w:hAnsi="Times New Roman"/>
          <w:sz w:val="24"/>
          <w:lang w:val="en-US" w:eastAsia="it-IT"/>
        </w:rPr>
        <w:t xml:space="preserve"> number of beneficiaries</w:t>
      </w:r>
      <w:r w:rsidRPr="00FC442E">
        <w:rPr>
          <w:rFonts w:ascii="Times New Roman" w:hAnsi="Times New Roman"/>
          <w:sz w:val="24"/>
          <w:lang w:val="en-US" w:eastAsia="it-IT"/>
        </w:rPr>
        <w:t>.</w:t>
      </w:r>
      <w:r w:rsidR="00417EFF" w:rsidRPr="00FC442E">
        <w:rPr>
          <w:lang w:val="en-US"/>
        </w:rPr>
        <w:t xml:space="preserve"> </w:t>
      </w:r>
    </w:p>
    <w:p w:rsidR="005E0521" w:rsidRPr="00FC442E" w:rsidRDefault="005E0521" w:rsidP="005E0521">
      <w:pPr>
        <w:pStyle w:val="Footer"/>
        <w:tabs>
          <w:tab w:val="clear" w:pos="4819"/>
          <w:tab w:val="clear" w:pos="9638"/>
        </w:tabs>
        <w:jc w:val="both"/>
        <w:rPr>
          <w:szCs w:val="24"/>
          <w:highlight w:val="yellow"/>
          <w:lang w:val="en-US"/>
        </w:rPr>
      </w:pPr>
    </w:p>
    <w:p w:rsidR="005E0521" w:rsidRPr="00FC442E" w:rsidRDefault="005E0521" w:rsidP="005E0521">
      <w:pPr>
        <w:pStyle w:val="Footer"/>
        <w:tabs>
          <w:tab w:val="clear" w:pos="4819"/>
          <w:tab w:val="clear" w:pos="9638"/>
        </w:tabs>
        <w:jc w:val="both"/>
        <w:rPr>
          <w:szCs w:val="24"/>
          <w:highlight w:val="yellow"/>
          <w:lang w:val="en-US"/>
        </w:rPr>
      </w:pPr>
    </w:p>
    <w:p w:rsidR="005E0521" w:rsidRPr="00FC442E" w:rsidRDefault="005E0521" w:rsidP="005E0521">
      <w:pPr>
        <w:autoSpaceDE w:val="0"/>
        <w:autoSpaceDN w:val="0"/>
        <w:adjustRightInd w:val="0"/>
        <w:jc w:val="center"/>
        <w:rPr>
          <w:b/>
          <w:sz w:val="22"/>
          <w:szCs w:val="22"/>
        </w:rPr>
      </w:pPr>
      <w:r w:rsidRPr="00FC442E">
        <w:rPr>
          <w:b/>
          <w:sz w:val="22"/>
          <w:szCs w:val="22"/>
        </w:rPr>
        <w:t xml:space="preserve">Table 2.3 – </w:t>
      </w:r>
      <w:r w:rsidR="00417EFF" w:rsidRPr="00FC442E">
        <w:rPr>
          <w:b/>
          <w:sz w:val="22"/>
          <w:szCs w:val="22"/>
        </w:rPr>
        <w:t>Interventions and Beneficiaries</w:t>
      </w:r>
    </w:p>
    <w:p w:rsidR="001751FD" w:rsidRPr="00FC442E" w:rsidRDefault="001751FD" w:rsidP="00FC5AA0">
      <w:pPr>
        <w:pStyle w:val="NoSpacing"/>
        <w:jc w:val="center"/>
        <w:rPr>
          <w:i/>
          <w:iCs/>
          <w:color w:val="000000"/>
          <w:lang w:val="en-US"/>
        </w:rPr>
      </w:pPr>
      <w:r w:rsidRPr="00FC442E">
        <w:rPr>
          <w:i/>
          <w:iCs/>
          <w:noProof/>
          <w:color w:val="000000"/>
          <w:lang w:val="en-US"/>
        </w:rPr>
        <w:drawing>
          <wp:inline distT="0" distB="0" distL="0" distR="0" wp14:anchorId="07BF2D78" wp14:editId="4C401089">
            <wp:extent cx="5244751" cy="26322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250217" cy="2635016"/>
                    </a:xfrm>
                    <a:prstGeom prst="rect">
                      <a:avLst/>
                    </a:prstGeom>
                    <a:noFill/>
                    <a:ln w="9525">
                      <a:noFill/>
                      <a:miter lim="800000"/>
                      <a:headEnd/>
                      <a:tailEnd/>
                    </a:ln>
                  </pic:spPr>
                </pic:pic>
              </a:graphicData>
            </a:graphic>
          </wp:inline>
        </w:drawing>
      </w:r>
    </w:p>
    <w:p w:rsidR="001751FD" w:rsidRPr="00FC442E" w:rsidRDefault="001751FD" w:rsidP="001751FD">
      <w:pPr>
        <w:pStyle w:val="NoSpacing"/>
        <w:rPr>
          <w:i/>
          <w:iCs/>
          <w:color w:val="000000"/>
          <w:lang w:val="en-US"/>
        </w:rPr>
      </w:pPr>
    </w:p>
    <w:p w:rsidR="005E0521" w:rsidRPr="00FC442E" w:rsidRDefault="005E0521" w:rsidP="005E0521">
      <w:pPr>
        <w:autoSpaceDE w:val="0"/>
        <w:autoSpaceDN w:val="0"/>
        <w:adjustRightInd w:val="0"/>
        <w:jc w:val="both"/>
      </w:pPr>
    </w:p>
    <w:p w:rsidR="005E0521" w:rsidRPr="00FC442E" w:rsidRDefault="005E0521" w:rsidP="00E32E25">
      <w:pPr>
        <w:pStyle w:val="Footer"/>
        <w:numPr>
          <w:ilvl w:val="2"/>
          <w:numId w:val="2"/>
        </w:numPr>
        <w:tabs>
          <w:tab w:val="clear" w:pos="4819"/>
          <w:tab w:val="clear" w:pos="9638"/>
        </w:tabs>
        <w:rPr>
          <w:b/>
          <w:i/>
          <w:lang w:val="en-US"/>
        </w:rPr>
      </w:pPr>
      <w:r w:rsidRPr="00FC442E">
        <w:rPr>
          <w:b/>
          <w:i/>
          <w:lang w:val="en-US"/>
        </w:rPr>
        <w:t xml:space="preserve">Project Benefits </w:t>
      </w:r>
    </w:p>
    <w:p w:rsidR="005E0521" w:rsidRPr="00FC442E" w:rsidRDefault="005E0521" w:rsidP="005E0521">
      <w:pPr>
        <w:autoSpaceDE w:val="0"/>
        <w:autoSpaceDN w:val="0"/>
        <w:adjustRightInd w:val="0"/>
        <w:jc w:val="both"/>
        <w:rPr>
          <w:b/>
        </w:rPr>
      </w:pPr>
    </w:p>
    <w:p w:rsidR="00FB5CF0" w:rsidRPr="00FC442E" w:rsidRDefault="00FB5CF0" w:rsidP="005E0521">
      <w:pPr>
        <w:autoSpaceDE w:val="0"/>
        <w:autoSpaceDN w:val="0"/>
        <w:adjustRightInd w:val="0"/>
        <w:jc w:val="both"/>
      </w:pPr>
      <w:r w:rsidRPr="00FC442E">
        <w:t xml:space="preserve">The main impact of the project </w:t>
      </w:r>
      <w:r w:rsidR="00CE7991" w:rsidRPr="00FC442E">
        <w:t>wa</w:t>
      </w:r>
      <w:r w:rsidRPr="00FC442E">
        <w:t>s to decrease the NRW level</w:t>
      </w:r>
      <w:r w:rsidR="009554C5" w:rsidRPr="00FC442E">
        <w:t xml:space="preserve"> and hence improve the quality of the system</w:t>
      </w:r>
      <w:r w:rsidRPr="00FC442E">
        <w:t xml:space="preserve">. </w:t>
      </w:r>
      <w:r w:rsidR="009554C5" w:rsidRPr="00FC442E">
        <w:t>W</w:t>
      </w:r>
      <w:r w:rsidRPr="00FC442E">
        <w:t xml:space="preserve">ater losses </w:t>
      </w:r>
      <w:r w:rsidR="00491B12" w:rsidRPr="00FC442E">
        <w:t>were</w:t>
      </w:r>
      <w:r w:rsidRPr="00FC442E">
        <w:t xml:space="preserve"> product of a deficient infrastructure and poor O&amp;M</w:t>
      </w:r>
      <w:r w:rsidR="009554C5" w:rsidRPr="00FC442E">
        <w:t xml:space="preserve">. </w:t>
      </w:r>
      <w:proofErr w:type="gramStart"/>
      <w:r w:rsidR="009554C5" w:rsidRPr="00FC442E">
        <w:t>As a consequence</w:t>
      </w:r>
      <w:proofErr w:type="gramEnd"/>
      <w:r w:rsidR="009554C5" w:rsidRPr="00FC442E">
        <w:t>, users face</w:t>
      </w:r>
      <w:r w:rsidR="00491B12" w:rsidRPr="00FC442E">
        <w:t>d</w:t>
      </w:r>
      <w:r w:rsidR="009554C5" w:rsidRPr="00FC442E">
        <w:t xml:space="preserve"> discontinuities in the service and low water pressure</w:t>
      </w:r>
      <w:r w:rsidRPr="00FC442E">
        <w:t xml:space="preserve">. With the system rehabilitation and the NRW program, approximately </w:t>
      </w:r>
      <w:r w:rsidR="00FC5AA0" w:rsidRPr="00FC442E">
        <w:t>8</w:t>
      </w:r>
      <w:r w:rsidRPr="00FC442E">
        <w:t>% of the water production, a significant part of which is lost (estimated at 45%</w:t>
      </w:r>
      <w:r w:rsidR="00491B12" w:rsidRPr="00FC442E">
        <w:t xml:space="preserve"> before the project</w:t>
      </w:r>
      <w:r w:rsidRPr="00FC442E">
        <w:t xml:space="preserve">), </w:t>
      </w:r>
      <w:r w:rsidR="00491B12" w:rsidRPr="00FC442E">
        <w:t>was</w:t>
      </w:r>
      <w:r w:rsidRPr="00FC442E">
        <w:t xml:space="preserve"> recovered and distributed to users. </w:t>
      </w:r>
    </w:p>
    <w:p w:rsidR="00FB5CF0" w:rsidRPr="00FC442E" w:rsidRDefault="00FB5CF0" w:rsidP="005E0521">
      <w:pPr>
        <w:autoSpaceDE w:val="0"/>
        <w:autoSpaceDN w:val="0"/>
        <w:adjustRightInd w:val="0"/>
        <w:jc w:val="both"/>
      </w:pPr>
    </w:p>
    <w:p w:rsidR="009554C5" w:rsidRPr="00FC442E" w:rsidRDefault="005E0521" w:rsidP="00CF5D2A">
      <w:pPr>
        <w:autoSpaceDE w:val="0"/>
        <w:autoSpaceDN w:val="0"/>
        <w:adjustRightInd w:val="0"/>
        <w:jc w:val="both"/>
      </w:pPr>
      <w:r w:rsidRPr="00FC442E">
        <w:t xml:space="preserve">The importance of the </w:t>
      </w:r>
      <w:r w:rsidR="007D2C91" w:rsidRPr="00FC442E">
        <w:t>p</w:t>
      </w:r>
      <w:r w:rsidRPr="00FC442E">
        <w:t xml:space="preserve">roject </w:t>
      </w:r>
      <w:r w:rsidR="000124CA" w:rsidRPr="00FC442E">
        <w:t>was</w:t>
      </w:r>
      <w:r w:rsidRPr="00FC442E">
        <w:t xml:space="preserve"> largely confirmed by </w:t>
      </w:r>
      <w:r w:rsidR="000124CA" w:rsidRPr="00FC442E">
        <w:t>a</w:t>
      </w:r>
      <w:r w:rsidRPr="00FC442E">
        <w:t xml:space="preserve"> household survey </w:t>
      </w:r>
      <w:r w:rsidR="000F1AA5" w:rsidRPr="00FC442E">
        <w:t>done in 2009</w:t>
      </w:r>
      <w:r w:rsidR="000F1AA5" w:rsidRPr="00FC442E">
        <w:rPr>
          <w:rStyle w:val="FootnoteReference"/>
        </w:rPr>
        <w:footnoteReference w:id="1"/>
      </w:r>
      <w:r w:rsidR="00FB5CF0" w:rsidRPr="00FC442E">
        <w:t xml:space="preserve">. </w:t>
      </w:r>
      <w:r w:rsidR="00FC5AA0" w:rsidRPr="00FC442E">
        <w:t>Because of</w:t>
      </w:r>
      <w:r w:rsidR="005D3E7F" w:rsidRPr="00FC442E">
        <w:t xml:space="preserve"> the poor quality of the service</w:t>
      </w:r>
      <w:r w:rsidR="004765D4" w:rsidRPr="00FC442E">
        <w:t>, between 27% and 50% of the households</w:t>
      </w:r>
      <w:r w:rsidR="005D3E7F" w:rsidRPr="00FC442E">
        <w:t xml:space="preserve"> connected to the water system</w:t>
      </w:r>
      <w:r w:rsidR="004765D4" w:rsidRPr="00FC442E">
        <w:t xml:space="preserve"> own</w:t>
      </w:r>
      <w:r w:rsidR="00E47073" w:rsidRPr="00FC442E">
        <w:t>ed</w:t>
      </w:r>
      <w:r w:rsidR="004765D4" w:rsidRPr="00FC442E">
        <w:t xml:space="preserve"> a water pump</w:t>
      </w:r>
      <w:r w:rsidR="005D3E7F" w:rsidRPr="00FC442E">
        <w:t>. Moreover, 88% of the SWM customers own</w:t>
      </w:r>
      <w:r w:rsidR="00E47073" w:rsidRPr="00FC442E">
        <w:t>ed</w:t>
      </w:r>
      <w:r w:rsidR="005D3E7F" w:rsidRPr="00FC442E">
        <w:t xml:space="preserve"> a water tank.</w:t>
      </w:r>
    </w:p>
    <w:p w:rsidR="00CF5D2A" w:rsidRPr="00FC442E" w:rsidRDefault="00CF5D2A" w:rsidP="00CF5D2A">
      <w:pPr>
        <w:autoSpaceDE w:val="0"/>
        <w:autoSpaceDN w:val="0"/>
        <w:adjustRightInd w:val="0"/>
        <w:jc w:val="both"/>
      </w:pPr>
    </w:p>
    <w:p w:rsidR="00CF5D2A" w:rsidRPr="00FC442E" w:rsidRDefault="00CF5D2A" w:rsidP="00CF5D2A">
      <w:pPr>
        <w:autoSpaceDE w:val="0"/>
        <w:autoSpaceDN w:val="0"/>
        <w:adjustRightInd w:val="0"/>
        <w:jc w:val="both"/>
      </w:pPr>
      <w:r w:rsidRPr="00FC442E">
        <w:t xml:space="preserve">For NRW interventions, the benefit of the reduction of physical losses is </w:t>
      </w:r>
      <w:r w:rsidR="00A62B78" w:rsidRPr="00FC442E">
        <w:t>determined by</w:t>
      </w:r>
      <w:r w:rsidR="009D5B3D" w:rsidRPr="00FC442E">
        <w:t xml:space="preserve"> </w:t>
      </w:r>
      <w:r w:rsidRPr="00FC442E">
        <w:t xml:space="preserve">the savings in production cost. </w:t>
      </w:r>
      <w:r w:rsidR="00A62B78" w:rsidRPr="00FC442E">
        <w:t>Therefore, the benefit was calculated using</w:t>
      </w:r>
      <w:r w:rsidR="009D5B3D" w:rsidRPr="00FC442E">
        <w:t xml:space="preserve">: 1) </w:t>
      </w:r>
      <w:r w:rsidR="00A62B78" w:rsidRPr="00FC442E">
        <w:t>t</w:t>
      </w:r>
      <w:r w:rsidR="009D5B3D" w:rsidRPr="00FC442E">
        <w:t>he amount and timing of the reduction of physical losses</w:t>
      </w:r>
      <w:r w:rsidR="00A62B78" w:rsidRPr="00FC442E">
        <w:t>;</w:t>
      </w:r>
      <w:r w:rsidR="009D5B3D" w:rsidRPr="00FC442E">
        <w:t xml:space="preserve"> and 2) the economic cost of producing water. </w:t>
      </w:r>
    </w:p>
    <w:p w:rsidR="005E0521" w:rsidRPr="00FC442E" w:rsidRDefault="005E0521" w:rsidP="005E0521">
      <w:pPr>
        <w:autoSpaceDE w:val="0"/>
        <w:autoSpaceDN w:val="0"/>
        <w:adjustRightInd w:val="0"/>
        <w:jc w:val="both"/>
        <w:rPr>
          <w:highlight w:val="yellow"/>
        </w:rPr>
      </w:pPr>
    </w:p>
    <w:p w:rsidR="005E0521" w:rsidRPr="00FC442E" w:rsidRDefault="00FC01A6" w:rsidP="005E0521">
      <w:pPr>
        <w:autoSpaceDE w:val="0"/>
        <w:autoSpaceDN w:val="0"/>
        <w:adjustRightInd w:val="0"/>
        <w:jc w:val="both"/>
      </w:pPr>
      <w:r w:rsidRPr="00FC442E">
        <w:t xml:space="preserve">Table 2.4 below illustrates the amount and timing of the reduction of physical losses </w:t>
      </w:r>
      <w:r w:rsidR="00A22883" w:rsidRPr="00FC442E">
        <w:t>because of</w:t>
      </w:r>
      <w:r w:rsidRPr="00FC442E">
        <w:t xml:space="preserve"> the interventions. </w:t>
      </w:r>
      <w:r w:rsidR="00E068E9" w:rsidRPr="00FC442E">
        <w:t>At the time this evaluation was performed, reduction data was available until 2016, since more interventions were carried out in 2017, it is expected to have more reductions in physical losses. Up to December 2016,</w:t>
      </w:r>
      <w:r w:rsidRPr="00FC442E">
        <w:t xml:space="preserve"> the water losses </w:t>
      </w:r>
      <w:r w:rsidR="00CE5D8D" w:rsidRPr="00FC442E">
        <w:t>were</w:t>
      </w:r>
      <w:r w:rsidRPr="00FC442E">
        <w:t xml:space="preserve"> reduced by 3</w:t>
      </w:r>
      <w:r w:rsidR="00FC5AA0" w:rsidRPr="00FC442E">
        <w:t>.4</w:t>
      </w:r>
      <w:r w:rsidRPr="00FC442E">
        <w:t xml:space="preserve"> million m</w:t>
      </w:r>
      <w:r w:rsidR="007A47CF" w:rsidRPr="00FC442E">
        <w:rPr>
          <w:vertAlign w:val="superscript"/>
        </w:rPr>
        <w:t>3</w:t>
      </w:r>
      <w:r w:rsidRPr="00FC442E">
        <w:t xml:space="preserve"> per year. </w:t>
      </w:r>
    </w:p>
    <w:p w:rsidR="0036564E" w:rsidRPr="00FC442E" w:rsidRDefault="0036564E" w:rsidP="005E0521">
      <w:pPr>
        <w:autoSpaceDE w:val="0"/>
        <w:autoSpaceDN w:val="0"/>
        <w:adjustRightInd w:val="0"/>
        <w:jc w:val="both"/>
      </w:pPr>
    </w:p>
    <w:p w:rsidR="0036564E" w:rsidRPr="00FC442E" w:rsidRDefault="0036564E" w:rsidP="005E0521">
      <w:pPr>
        <w:autoSpaceDE w:val="0"/>
        <w:autoSpaceDN w:val="0"/>
        <w:adjustRightInd w:val="0"/>
        <w:jc w:val="both"/>
      </w:pPr>
    </w:p>
    <w:p w:rsidR="0036564E" w:rsidRPr="00FC442E" w:rsidRDefault="0036564E" w:rsidP="005E0521">
      <w:pPr>
        <w:autoSpaceDE w:val="0"/>
        <w:autoSpaceDN w:val="0"/>
        <w:adjustRightInd w:val="0"/>
        <w:jc w:val="both"/>
      </w:pPr>
    </w:p>
    <w:p w:rsidR="0036564E" w:rsidRPr="00FC442E" w:rsidRDefault="0036564E" w:rsidP="005E0521">
      <w:pPr>
        <w:autoSpaceDE w:val="0"/>
        <w:autoSpaceDN w:val="0"/>
        <w:adjustRightInd w:val="0"/>
        <w:jc w:val="both"/>
      </w:pPr>
    </w:p>
    <w:p w:rsidR="0036564E" w:rsidRPr="00FC442E" w:rsidRDefault="0036564E" w:rsidP="005E0521">
      <w:pPr>
        <w:autoSpaceDE w:val="0"/>
        <w:autoSpaceDN w:val="0"/>
        <w:adjustRightInd w:val="0"/>
        <w:jc w:val="both"/>
      </w:pPr>
    </w:p>
    <w:p w:rsidR="007A47CF" w:rsidRPr="00FC442E" w:rsidRDefault="007A47CF" w:rsidP="005E0521">
      <w:pPr>
        <w:autoSpaceDE w:val="0"/>
        <w:autoSpaceDN w:val="0"/>
        <w:adjustRightInd w:val="0"/>
        <w:jc w:val="both"/>
      </w:pPr>
    </w:p>
    <w:p w:rsidR="007A47CF" w:rsidRPr="00FC442E" w:rsidRDefault="007A47CF" w:rsidP="007A47CF">
      <w:pPr>
        <w:autoSpaceDE w:val="0"/>
        <w:autoSpaceDN w:val="0"/>
        <w:adjustRightInd w:val="0"/>
        <w:jc w:val="center"/>
        <w:rPr>
          <w:b/>
          <w:sz w:val="22"/>
          <w:szCs w:val="22"/>
        </w:rPr>
      </w:pPr>
      <w:r w:rsidRPr="00FC442E">
        <w:rPr>
          <w:b/>
          <w:sz w:val="22"/>
          <w:szCs w:val="22"/>
        </w:rPr>
        <w:t>Table 2.4 – Reduction of physical losses</w:t>
      </w:r>
    </w:p>
    <w:p w:rsidR="007A47CF" w:rsidRPr="00FC442E" w:rsidRDefault="007A47CF" w:rsidP="005E0521">
      <w:pPr>
        <w:autoSpaceDE w:val="0"/>
        <w:autoSpaceDN w:val="0"/>
        <w:adjustRightInd w:val="0"/>
        <w:jc w:val="both"/>
      </w:pPr>
    </w:p>
    <w:tbl>
      <w:tblPr>
        <w:tblW w:w="48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1800"/>
        <w:gridCol w:w="1005"/>
        <w:gridCol w:w="1006"/>
        <w:gridCol w:w="1006"/>
      </w:tblGrid>
      <w:tr w:rsidR="00FC5AA0" w:rsidRPr="00FC442E" w:rsidTr="00FC5AA0">
        <w:trPr>
          <w:trHeight w:val="20"/>
          <w:jc w:val="center"/>
        </w:trPr>
        <w:tc>
          <w:tcPr>
            <w:tcW w:w="1800" w:type="dxa"/>
            <w:tcBorders>
              <w:top w:val="single" w:sz="12" w:space="0" w:color="auto"/>
            </w:tcBorders>
            <w:shd w:val="clear" w:color="000000" w:fill="BFBFBF"/>
            <w:vAlign w:val="center"/>
          </w:tcPr>
          <w:p w:rsidR="00FC5AA0" w:rsidRPr="00FC442E" w:rsidRDefault="00FC5AA0" w:rsidP="00F6154F">
            <w:pPr>
              <w:jc w:val="center"/>
              <w:rPr>
                <w:b/>
                <w:bCs/>
                <w:szCs w:val="22"/>
                <w:highlight w:val="yellow"/>
              </w:rPr>
            </w:pPr>
          </w:p>
        </w:tc>
        <w:tc>
          <w:tcPr>
            <w:tcW w:w="1005" w:type="dxa"/>
            <w:tcBorders>
              <w:top w:val="single" w:sz="12" w:space="0" w:color="auto"/>
            </w:tcBorders>
            <w:shd w:val="clear" w:color="000000" w:fill="BFBFBF"/>
          </w:tcPr>
          <w:p w:rsidR="00FC5AA0" w:rsidRPr="00FC442E" w:rsidRDefault="00FC5AA0" w:rsidP="00F6154F">
            <w:pPr>
              <w:jc w:val="center"/>
              <w:rPr>
                <w:b/>
                <w:bCs/>
                <w:szCs w:val="22"/>
              </w:rPr>
            </w:pPr>
            <w:r w:rsidRPr="00FC442E">
              <w:rPr>
                <w:b/>
                <w:bCs/>
                <w:sz w:val="22"/>
                <w:szCs w:val="22"/>
              </w:rPr>
              <w:t>2014</w:t>
            </w:r>
          </w:p>
          <w:p w:rsidR="00FC5AA0" w:rsidRPr="00FC442E" w:rsidRDefault="00FC5AA0" w:rsidP="007A47CF">
            <w:pPr>
              <w:jc w:val="center"/>
              <w:rPr>
                <w:b/>
                <w:bCs/>
                <w:szCs w:val="22"/>
              </w:rPr>
            </w:pPr>
            <w:r w:rsidRPr="00FC442E">
              <w:rPr>
                <w:b/>
                <w:bCs/>
                <w:sz w:val="22"/>
                <w:szCs w:val="22"/>
              </w:rPr>
              <w:t>(in ‘000 m</w:t>
            </w:r>
            <w:r w:rsidRPr="00FC442E">
              <w:rPr>
                <w:b/>
                <w:bCs/>
                <w:sz w:val="22"/>
                <w:szCs w:val="22"/>
                <w:vertAlign w:val="superscript"/>
              </w:rPr>
              <w:t>3</w:t>
            </w:r>
            <w:r w:rsidRPr="00FC442E">
              <w:rPr>
                <w:b/>
                <w:bCs/>
                <w:sz w:val="22"/>
                <w:szCs w:val="22"/>
              </w:rPr>
              <w:t>)</w:t>
            </w:r>
          </w:p>
        </w:tc>
        <w:tc>
          <w:tcPr>
            <w:tcW w:w="1006" w:type="dxa"/>
            <w:tcBorders>
              <w:top w:val="single" w:sz="12" w:space="0" w:color="auto"/>
            </w:tcBorders>
            <w:shd w:val="clear" w:color="000000" w:fill="BFBFBF"/>
          </w:tcPr>
          <w:p w:rsidR="00FC5AA0" w:rsidRPr="00FC442E" w:rsidRDefault="00FC5AA0" w:rsidP="00F6154F">
            <w:pPr>
              <w:jc w:val="center"/>
              <w:rPr>
                <w:b/>
                <w:bCs/>
                <w:szCs w:val="22"/>
              </w:rPr>
            </w:pPr>
            <w:r w:rsidRPr="00FC442E">
              <w:rPr>
                <w:b/>
                <w:bCs/>
                <w:sz w:val="22"/>
                <w:szCs w:val="22"/>
              </w:rPr>
              <w:t xml:space="preserve">2015 </w:t>
            </w:r>
          </w:p>
          <w:p w:rsidR="00FC5AA0" w:rsidRPr="00FC442E" w:rsidRDefault="00FC5AA0" w:rsidP="007A47CF">
            <w:pPr>
              <w:jc w:val="center"/>
              <w:rPr>
                <w:b/>
                <w:bCs/>
                <w:szCs w:val="22"/>
              </w:rPr>
            </w:pPr>
            <w:r w:rsidRPr="00FC442E">
              <w:rPr>
                <w:b/>
                <w:bCs/>
                <w:sz w:val="22"/>
                <w:szCs w:val="22"/>
              </w:rPr>
              <w:t>(in ‘000 m</w:t>
            </w:r>
            <w:r w:rsidRPr="00FC442E">
              <w:rPr>
                <w:b/>
                <w:bCs/>
                <w:sz w:val="22"/>
                <w:szCs w:val="22"/>
                <w:vertAlign w:val="superscript"/>
              </w:rPr>
              <w:t>3</w:t>
            </w:r>
            <w:r w:rsidRPr="00FC442E">
              <w:rPr>
                <w:b/>
                <w:bCs/>
                <w:sz w:val="22"/>
                <w:szCs w:val="22"/>
              </w:rPr>
              <w:t>)</w:t>
            </w:r>
          </w:p>
        </w:tc>
        <w:tc>
          <w:tcPr>
            <w:tcW w:w="1006" w:type="dxa"/>
            <w:tcBorders>
              <w:top w:val="single" w:sz="12" w:space="0" w:color="auto"/>
            </w:tcBorders>
            <w:shd w:val="clear" w:color="000000" w:fill="BFBFBF"/>
            <w:vAlign w:val="center"/>
          </w:tcPr>
          <w:p w:rsidR="00FC5AA0" w:rsidRPr="00FC442E" w:rsidRDefault="00FC5AA0" w:rsidP="00F6154F">
            <w:pPr>
              <w:jc w:val="center"/>
              <w:rPr>
                <w:b/>
                <w:bCs/>
                <w:szCs w:val="22"/>
              </w:rPr>
            </w:pPr>
            <w:r w:rsidRPr="00FC442E">
              <w:rPr>
                <w:b/>
                <w:bCs/>
                <w:sz w:val="22"/>
                <w:szCs w:val="22"/>
              </w:rPr>
              <w:t xml:space="preserve">2016 </w:t>
            </w:r>
          </w:p>
          <w:p w:rsidR="00FC5AA0" w:rsidRPr="00FC442E" w:rsidRDefault="00FC5AA0" w:rsidP="007A47CF">
            <w:pPr>
              <w:jc w:val="center"/>
              <w:rPr>
                <w:b/>
                <w:bCs/>
                <w:szCs w:val="22"/>
              </w:rPr>
            </w:pPr>
            <w:r w:rsidRPr="00FC442E">
              <w:rPr>
                <w:b/>
                <w:bCs/>
                <w:sz w:val="22"/>
                <w:szCs w:val="22"/>
              </w:rPr>
              <w:t>(in ‘000 m</w:t>
            </w:r>
            <w:r w:rsidRPr="00FC442E">
              <w:rPr>
                <w:b/>
                <w:bCs/>
                <w:sz w:val="22"/>
                <w:szCs w:val="22"/>
                <w:vertAlign w:val="superscript"/>
              </w:rPr>
              <w:t>3</w:t>
            </w:r>
            <w:r w:rsidRPr="00FC442E">
              <w:rPr>
                <w:b/>
                <w:bCs/>
                <w:sz w:val="22"/>
                <w:szCs w:val="22"/>
              </w:rPr>
              <w:t>)</w:t>
            </w:r>
          </w:p>
        </w:tc>
      </w:tr>
      <w:tr w:rsidR="00FC5AA0" w:rsidRPr="00FC442E" w:rsidTr="00FC5AA0">
        <w:trPr>
          <w:trHeight w:val="229"/>
          <w:jc w:val="center"/>
        </w:trPr>
        <w:tc>
          <w:tcPr>
            <w:tcW w:w="1800" w:type="dxa"/>
            <w:noWrap/>
            <w:vAlign w:val="bottom"/>
          </w:tcPr>
          <w:p w:rsidR="00FC5AA0" w:rsidRPr="00FC442E" w:rsidRDefault="00FC5AA0" w:rsidP="00F6154F">
            <w:pPr>
              <w:rPr>
                <w:szCs w:val="22"/>
              </w:rPr>
            </w:pPr>
            <w:r w:rsidRPr="00FC442E">
              <w:rPr>
                <w:sz w:val="22"/>
                <w:szCs w:val="22"/>
              </w:rPr>
              <w:t>Reduction in Water Losses</w:t>
            </w:r>
          </w:p>
        </w:tc>
        <w:tc>
          <w:tcPr>
            <w:tcW w:w="1005" w:type="dxa"/>
            <w:vAlign w:val="center"/>
          </w:tcPr>
          <w:p w:rsidR="00FC5AA0" w:rsidRPr="00FC442E" w:rsidRDefault="00FC5AA0" w:rsidP="00B51BBC">
            <w:pPr>
              <w:jc w:val="center"/>
              <w:rPr>
                <w:bCs/>
                <w:szCs w:val="22"/>
              </w:rPr>
            </w:pPr>
            <w:r w:rsidRPr="00FC442E">
              <w:rPr>
                <w:bCs/>
                <w:szCs w:val="22"/>
              </w:rPr>
              <w:t>-</w:t>
            </w:r>
          </w:p>
        </w:tc>
        <w:tc>
          <w:tcPr>
            <w:tcW w:w="1006" w:type="dxa"/>
            <w:vAlign w:val="center"/>
          </w:tcPr>
          <w:p w:rsidR="00FC5AA0" w:rsidRPr="00FC442E" w:rsidRDefault="00FC5AA0" w:rsidP="00B51BBC">
            <w:pPr>
              <w:jc w:val="center"/>
              <w:rPr>
                <w:bCs/>
                <w:szCs w:val="22"/>
              </w:rPr>
            </w:pPr>
            <w:r w:rsidRPr="00FC442E">
              <w:rPr>
                <w:bCs/>
                <w:szCs w:val="22"/>
              </w:rPr>
              <w:t>3,116</w:t>
            </w:r>
          </w:p>
        </w:tc>
        <w:tc>
          <w:tcPr>
            <w:tcW w:w="1006" w:type="dxa"/>
            <w:vAlign w:val="center"/>
          </w:tcPr>
          <w:p w:rsidR="00FC5AA0" w:rsidRPr="00FC442E" w:rsidRDefault="00FC5AA0" w:rsidP="00B51BBC">
            <w:pPr>
              <w:jc w:val="center"/>
              <w:rPr>
                <w:bCs/>
                <w:szCs w:val="22"/>
              </w:rPr>
            </w:pPr>
            <w:r w:rsidRPr="00FC442E">
              <w:rPr>
                <w:bCs/>
                <w:szCs w:val="22"/>
              </w:rPr>
              <w:t>3,370</w:t>
            </w:r>
          </w:p>
        </w:tc>
      </w:tr>
    </w:tbl>
    <w:p w:rsidR="0036564E" w:rsidRPr="00FC442E" w:rsidRDefault="0036564E" w:rsidP="00391F19">
      <w:pPr>
        <w:jc w:val="both"/>
      </w:pPr>
    </w:p>
    <w:p w:rsidR="00391F19" w:rsidRPr="00FC442E" w:rsidRDefault="00801388" w:rsidP="00391F19">
      <w:pPr>
        <w:jc w:val="both"/>
      </w:pPr>
      <w:r w:rsidRPr="00FC442E">
        <w:t xml:space="preserve">The cost of producing water was estimated using data on administration, operation and maintenance costs provided by SWM. This cost is not including capital expenditures, therefore is underestimating the value of </w:t>
      </w:r>
      <w:r w:rsidR="0071560E" w:rsidRPr="00FC442E">
        <w:t>water. Additionally, since most of the water supply is pumped from the ground, the cost of electric energy should be adjusted to reflect economic costs. As it will be mentioned in section 4, the tariff paid by SWM</w:t>
      </w:r>
      <w:r w:rsidR="00391F19" w:rsidRPr="00FC442E">
        <w:t xml:space="preserve"> for electricity is well below the economic cost of energy. The </w:t>
      </w:r>
      <w:r w:rsidR="00521EE4" w:rsidRPr="00FC442E">
        <w:t>production cost calculated as explained above, is equal to US$0.</w:t>
      </w:r>
      <w:r w:rsidR="0024644D" w:rsidRPr="00FC442E">
        <w:t>4148</w:t>
      </w:r>
      <w:r w:rsidR="00521EE4" w:rsidRPr="00FC442E">
        <w:t>/m</w:t>
      </w:r>
      <w:r w:rsidR="00521EE4" w:rsidRPr="00FC442E">
        <w:rPr>
          <w:vertAlign w:val="superscript"/>
        </w:rPr>
        <w:t>3</w:t>
      </w:r>
      <w:r w:rsidR="00521EE4" w:rsidRPr="00FC442E">
        <w:t>, and this is the value used to obtain the cost savings due to the project. Table 2.5 illustrates the production cost savings.</w:t>
      </w:r>
    </w:p>
    <w:p w:rsidR="0071560E" w:rsidRPr="00FC442E" w:rsidRDefault="0071560E" w:rsidP="0071560E"/>
    <w:p w:rsidR="00521EE4" w:rsidRPr="00FC442E" w:rsidRDefault="00521EE4" w:rsidP="0071560E"/>
    <w:p w:rsidR="00521EE4" w:rsidRPr="00FC442E" w:rsidRDefault="00521EE4" w:rsidP="00521EE4">
      <w:pPr>
        <w:autoSpaceDE w:val="0"/>
        <w:autoSpaceDN w:val="0"/>
        <w:adjustRightInd w:val="0"/>
        <w:jc w:val="center"/>
        <w:rPr>
          <w:b/>
          <w:sz w:val="22"/>
          <w:szCs w:val="22"/>
        </w:rPr>
      </w:pPr>
      <w:r w:rsidRPr="00FC442E">
        <w:rPr>
          <w:b/>
          <w:sz w:val="22"/>
          <w:szCs w:val="22"/>
        </w:rPr>
        <w:t>Table 2.5 – Cost savings</w:t>
      </w:r>
    </w:p>
    <w:p w:rsidR="00521EE4" w:rsidRPr="00FC442E" w:rsidRDefault="00521EE4" w:rsidP="00521EE4">
      <w:pPr>
        <w:autoSpaceDE w:val="0"/>
        <w:autoSpaceDN w:val="0"/>
        <w:adjustRightInd w:val="0"/>
        <w:jc w:val="both"/>
      </w:pPr>
    </w:p>
    <w:tbl>
      <w:tblPr>
        <w:tblW w:w="48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1800"/>
        <w:gridCol w:w="1005"/>
        <w:gridCol w:w="1006"/>
        <w:gridCol w:w="1006"/>
      </w:tblGrid>
      <w:tr w:rsidR="009B6C60" w:rsidRPr="00FC442E" w:rsidTr="009B6C60">
        <w:trPr>
          <w:trHeight w:val="20"/>
          <w:jc w:val="center"/>
        </w:trPr>
        <w:tc>
          <w:tcPr>
            <w:tcW w:w="1800" w:type="dxa"/>
            <w:tcBorders>
              <w:top w:val="single" w:sz="12" w:space="0" w:color="auto"/>
            </w:tcBorders>
            <w:shd w:val="clear" w:color="000000" w:fill="BFBFBF"/>
            <w:vAlign w:val="center"/>
          </w:tcPr>
          <w:p w:rsidR="009B6C60" w:rsidRPr="00FC442E" w:rsidRDefault="009B6C60" w:rsidP="00F6154F">
            <w:pPr>
              <w:jc w:val="center"/>
              <w:rPr>
                <w:b/>
                <w:bCs/>
                <w:szCs w:val="22"/>
                <w:highlight w:val="yellow"/>
              </w:rPr>
            </w:pPr>
          </w:p>
        </w:tc>
        <w:tc>
          <w:tcPr>
            <w:tcW w:w="1005" w:type="dxa"/>
            <w:tcBorders>
              <w:top w:val="single" w:sz="12" w:space="0" w:color="auto"/>
            </w:tcBorders>
            <w:shd w:val="clear" w:color="000000" w:fill="BFBFBF"/>
          </w:tcPr>
          <w:p w:rsidR="009B6C60" w:rsidRPr="00FC442E" w:rsidRDefault="009B6C60" w:rsidP="00F6154F">
            <w:pPr>
              <w:jc w:val="center"/>
              <w:rPr>
                <w:b/>
                <w:bCs/>
                <w:szCs w:val="22"/>
              </w:rPr>
            </w:pPr>
            <w:r w:rsidRPr="00FC442E">
              <w:rPr>
                <w:b/>
                <w:bCs/>
                <w:sz w:val="22"/>
                <w:szCs w:val="22"/>
              </w:rPr>
              <w:t>2014</w:t>
            </w:r>
          </w:p>
          <w:p w:rsidR="009B6C60" w:rsidRPr="00FC442E" w:rsidRDefault="009B6C60" w:rsidP="00F6154F">
            <w:pPr>
              <w:jc w:val="center"/>
              <w:rPr>
                <w:b/>
                <w:bCs/>
                <w:szCs w:val="22"/>
              </w:rPr>
            </w:pPr>
            <w:r w:rsidRPr="00FC442E">
              <w:rPr>
                <w:b/>
                <w:bCs/>
                <w:sz w:val="22"/>
                <w:szCs w:val="22"/>
              </w:rPr>
              <w:t>(in ‘000 US$)</w:t>
            </w:r>
          </w:p>
        </w:tc>
        <w:tc>
          <w:tcPr>
            <w:tcW w:w="1006" w:type="dxa"/>
            <w:tcBorders>
              <w:top w:val="single" w:sz="12" w:space="0" w:color="auto"/>
            </w:tcBorders>
            <w:shd w:val="clear" w:color="000000" w:fill="BFBFBF"/>
          </w:tcPr>
          <w:p w:rsidR="009B6C60" w:rsidRPr="00FC442E" w:rsidRDefault="009B6C60" w:rsidP="00F6154F">
            <w:pPr>
              <w:jc w:val="center"/>
              <w:rPr>
                <w:b/>
                <w:bCs/>
                <w:szCs w:val="22"/>
              </w:rPr>
            </w:pPr>
            <w:r w:rsidRPr="00FC442E">
              <w:rPr>
                <w:b/>
                <w:bCs/>
                <w:sz w:val="22"/>
                <w:szCs w:val="22"/>
              </w:rPr>
              <w:t xml:space="preserve">2015 </w:t>
            </w:r>
          </w:p>
          <w:p w:rsidR="009B6C60" w:rsidRPr="00FC442E" w:rsidRDefault="009B6C60" w:rsidP="00F6154F">
            <w:pPr>
              <w:jc w:val="center"/>
              <w:rPr>
                <w:b/>
                <w:bCs/>
                <w:szCs w:val="22"/>
              </w:rPr>
            </w:pPr>
            <w:r w:rsidRPr="00FC442E">
              <w:rPr>
                <w:b/>
                <w:bCs/>
                <w:sz w:val="22"/>
                <w:szCs w:val="22"/>
              </w:rPr>
              <w:t>(in ‘000 US$)</w:t>
            </w:r>
          </w:p>
        </w:tc>
        <w:tc>
          <w:tcPr>
            <w:tcW w:w="1006" w:type="dxa"/>
            <w:tcBorders>
              <w:top w:val="single" w:sz="12" w:space="0" w:color="auto"/>
            </w:tcBorders>
            <w:shd w:val="clear" w:color="000000" w:fill="BFBFBF"/>
            <w:vAlign w:val="center"/>
          </w:tcPr>
          <w:p w:rsidR="009B6C60" w:rsidRPr="00FC442E" w:rsidRDefault="009B6C60" w:rsidP="00F6154F">
            <w:pPr>
              <w:jc w:val="center"/>
              <w:rPr>
                <w:b/>
                <w:bCs/>
                <w:szCs w:val="22"/>
              </w:rPr>
            </w:pPr>
            <w:r w:rsidRPr="00FC442E">
              <w:rPr>
                <w:b/>
                <w:bCs/>
                <w:sz w:val="22"/>
                <w:szCs w:val="22"/>
              </w:rPr>
              <w:t xml:space="preserve">2016 </w:t>
            </w:r>
          </w:p>
          <w:p w:rsidR="009B6C60" w:rsidRPr="00FC442E" w:rsidRDefault="009B6C60" w:rsidP="00F6154F">
            <w:pPr>
              <w:jc w:val="center"/>
              <w:rPr>
                <w:b/>
                <w:bCs/>
                <w:szCs w:val="22"/>
              </w:rPr>
            </w:pPr>
            <w:r w:rsidRPr="00FC442E">
              <w:rPr>
                <w:b/>
                <w:bCs/>
                <w:sz w:val="22"/>
                <w:szCs w:val="22"/>
              </w:rPr>
              <w:t>(in ‘000 US$)</w:t>
            </w:r>
          </w:p>
        </w:tc>
      </w:tr>
      <w:tr w:rsidR="009B6C60" w:rsidRPr="00FC442E" w:rsidTr="009B6C60">
        <w:trPr>
          <w:trHeight w:val="229"/>
          <w:jc w:val="center"/>
        </w:trPr>
        <w:tc>
          <w:tcPr>
            <w:tcW w:w="1800" w:type="dxa"/>
            <w:noWrap/>
            <w:vAlign w:val="bottom"/>
          </w:tcPr>
          <w:p w:rsidR="009B6C60" w:rsidRPr="00FC442E" w:rsidRDefault="009B6C60" w:rsidP="00F6154F">
            <w:pPr>
              <w:rPr>
                <w:szCs w:val="22"/>
              </w:rPr>
            </w:pPr>
            <w:r w:rsidRPr="00FC442E">
              <w:rPr>
                <w:sz w:val="22"/>
                <w:szCs w:val="22"/>
              </w:rPr>
              <w:t>Production cost savings</w:t>
            </w:r>
          </w:p>
        </w:tc>
        <w:tc>
          <w:tcPr>
            <w:tcW w:w="1005" w:type="dxa"/>
            <w:vAlign w:val="center"/>
          </w:tcPr>
          <w:p w:rsidR="009B6C60" w:rsidRPr="00FC442E" w:rsidRDefault="009B6C60" w:rsidP="00F6154F">
            <w:pPr>
              <w:jc w:val="center"/>
              <w:rPr>
                <w:bCs/>
                <w:szCs w:val="22"/>
              </w:rPr>
            </w:pPr>
            <w:r w:rsidRPr="00FC442E">
              <w:rPr>
                <w:bCs/>
                <w:szCs w:val="22"/>
              </w:rPr>
              <w:t>-</w:t>
            </w:r>
          </w:p>
        </w:tc>
        <w:tc>
          <w:tcPr>
            <w:tcW w:w="1006" w:type="dxa"/>
            <w:vAlign w:val="center"/>
          </w:tcPr>
          <w:p w:rsidR="009B6C60" w:rsidRPr="00FC442E" w:rsidRDefault="009B6C60" w:rsidP="00F6154F">
            <w:pPr>
              <w:jc w:val="center"/>
              <w:rPr>
                <w:bCs/>
                <w:szCs w:val="22"/>
              </w:rPr>
            </w:pPr>
            <w:r w:rsidRPr="00FC442E">
              <w:rPr>
                <w:bCs/>
                <w:szCs w:val="22"/>
              </w:rPr>
              <w:t>1,292</w:t>
            </w:r>
          </w:p>
        </w:tc>
        <w:tc>
          <w:tcPr>
            <w:tcW w:w="1006" w:type="dxa"/>
            <w:vAlign w:val="center"/>
          </w:tcPr>
          <w:p w:rsidR="009B6C60" w:rsidRPr="00FC442E" w:rsidRDefault="009B6C60" w:rsidP="00F6154F">
            <w:pPr>
              <w:jc w:val="center"/>
              <w:rPr>
                <w:bCs/>
                <w:szCs w:val="22"/>
              </w:rPr>
            </w:pPr>
            <w:r w:rsidRPr="00FC442E">
              <w:rPr>
                <w:bCs/>
                <w:szCs w:val="22"/>
              </w:rPr>
              <w:t>1,398</w:t>
            </w:r>
          </w:p>
        </w:tc>
      </w:tr>
    </w:tbl>
    <w:p w:rsidR="00521EE4" w:rsidRPr="00FC442E" w:rsidRDefault="00521EE4" w:rsidP="00521EE4">
      <w:pPr>
        <w:autoSpaceDE w:val="0"/>
        <w:autoSpaceDN w:val="0"/>
        <w:adjustRightInd w:val="0"/>
        <w:jc w:val="both"/>
      </w:pPr>
    </w:p>
    <w:p w:rsidR="00B51BBC" w:rsidRPr="00FC442E" w:rsidRDefault="00B51BBC" w:rsidP="005E0521">
      <w:pPr>
        <w:autoSpaceDE w:val="0"/>
        <w:autoSpaceDN w:val="0"/>
        <w:adjustRightInd w:val="0"/>
        <w:rPr>
          <w:rFonts w:ascii="Arial" w:hAnsi="Arial" w:cs="Arial"/>
          <w:iCs/>
          <w:sz w:val="22"/>
          <w:szCs w:val="22"/>
        </w:rPr>
      </w:pPr>
    </w:p>
    <w:p w:rsidR="00B51BBC" w:rsidRPr="00FC442E" w:rsidRDefault="00B51BBC" w:rsidP="005E0521">
      <w:pPr>
        <w:autoSpaceDE w:val="0"/>
        <w:autoSpaceDN w:val="0"/>
        <w:adjustRightInd w:val="0"/>
        <w:rPr>
          <w:rFonts w:ascii="Arial" w:hAnsi="Arial" w:cs="Arial"/>
          <w:iCs/>
          <w:sz w:val="22"/>
          <w:szCs w:val="22"/>
        </w:rPr>
      </w:pPr>
    </w:p>
    <w:p w:rsidR="006256F7" w:rsidRPr="00FC442E" w:rsidRDefault="00357FA8" w:rsidP="00E32E25">
      <w:pPr>
        <w:pStyle w:val="Footer"/>
        <w:numPr>
          <w:ilvl w:val="1"/>
          <w:numId w:val="2"/>
        </w:numPr>
        <w:tabs>
          <w:tab w:val="clear" w:pos="4819"/>
          <w:tab w:val="clear" w:pos="9638"/>
        </w:tabs>
        <w:rPr>
          <w:b/>
          <w:szCs w:val="24"/>
          <w:lang w:val="en-US"/>
        </w:rPr>
      </w:pPr>
      <w:r w:rsidRPr="00FC442E">
        <w:rPr>
          <w:b/>
          <w:szCs w:val="24"/>
          <w:lang w:val="en-US"/>
        </w:rPr>
        <w:t xml:space="preserve">The results </w:t>
      </w:r>
    </w:p>
    <w:p w:rsidR="006256F7" w:rsidRPr="00FC442E" w:rsidRDefault="006256F7" w:rsidP="006256F7">
      <w:pPr>
        <w:pStyle w:val="Footer"/>
        <w:tabs>
          <w:tab w:val="clear" w:pos="4819"/>
          <w:tab w:val="clear" w:pos="9638"/>
        </w:tabs>
        <w:ind w:left="720"/>
        <w:rPr>
          <w:b/>
          <w:szCs w:val="24"/>
          <w:lang w:val="en-US"/>
        </w:rPr>
      </w:pPr>
    </w:p>
    <w:p w:rsidR="00357FA8" w:rsidRPr="00FC442E" w:rsidRDefault="006256F7" w:rsidP="00E32E25">
      <w:pPr>
        <w:pStyle w:val="Footer"/>
        <w:numPr>
          <w:ilvl w:val="2"/>
          <w:numId w:val="2"/>
        </w:numPr>
        <w:tabs>
          <w:tab w:val="clear" w:pos="4819"/>
          <w:tab w:val="clear" w:pos="9638"/>
        </w:tabs>
        <w:rPr>
          <w:b/>
          <w:i/>
          <w:szCs w:val="24"/>
          <w:lang w:val="en-US"/>
        </w:rPr>
      </w:pPr>
      <w:r w:rsidRPr="00FC442E">
        <w:rPr>
          <w:b/>
          <w:i/>
          <w:lang w:val="en-US"/>
        </w:rPr>
        <w:t xml:space="preserve">Cost-Benefit Analysis </w:t>
      </w:r>
      <w:r w:rsidR="00357FA8" w:rsidRPr="00FC442E">
        <w:rPr>
          <w:b/>
          <w:i/>
          <w:lang w:val="en-US"/>
        </w:rPr>
        <w:t xml:space="preserve">Results </w:t>
      </w:r>
    </w:p>
    <w:p w:rsidR="00357FA8" w:rsidRPr="00FC442E" w:rsidRDefault="00357FA8" w:rsidP="00357FA8">
      <w:pPr>
        <w:autoSpaceDE w:val="0"/>
        <w:autoSpaceDN w:val="0"/>
        <w:adjustRightInd w:val="0"/>
        <w:jc w:val="both"/>
      </w:pPr>
    </w:p>
    <w:p w:rsidR="00357FA8" w:rsidRPr="00FC442E" w:rsidRDefault="005F5157" w:rsidP="00357FA8">
      <w:pPr>
        <w:autoSpaceDE w:val="0"/>
        <w:autoSpaceDN w:val="0"/>
        <w:adjustRightInd w:val="0"/>
        <w:jc w:val="both"/>
      </w:pPr>
      <w:r w:rsidRPr="00FC442E">
        <w:t xml:space="preserve">Using an economic life of 20 years, an evaluation horizon of 20 years, and a discount rate of 12%, the present value of the costs of investment was estimated to be US$ </w:t>
      </w:r>
      <w:r w:rsidR="007200F6" w:rsidRPr="00FC442E">
        <w:t>5.8</w:t>
      </w:r>
      <w:r w:rsidRPr="00FC442E">
        <w:t xml:space="preserve"> million which is lower than the present value of the </w:t>
      </w:r>
      <w:r w:rsidR="007200F6" w:rsidRPr="00FC442E">
        <w:t>benefits (</w:t>
      </w:r>
      <w:r w:rsidRPr="00FC442E">
        <w:t xml:space="preserve">US$ </w:t>
      </w:r>
      <w:r w:rsidR="007200F6" w:rsidRPr="00FC442E">
        <w:t>7</w:t>
      </w:r>
      <w:r w:rsidRPr="00FC442E">
        <w:t>.</w:t>
      </w:r>
      <w:r w:rsidR="007200F6" w:rsidRPr="00FC442E">
        <w:t>02</w:t>
      </w:r>
      <w:r w:rsidRPr="00FC442E">
        <w:t xml:space="preserve"> million</w:t>
      </w:r>
      <w:r w:rsidR="007200F6" w:rsidRPr="00FC442E">
        <w:t>)</w:t>
      </w:r>
      <w:r w:rsidRPr="00FC442E">
        <w:t xml:space="preserve">. </w:t>
      </w:r>
      <w:r w:rsidR="00503C3F" w:rsidRPr="00FC442E">
        <w:t xml:space="preserve">As illustrated in </w:t>
      </w:r>
      <w:r w:rsidR="007200F6" w:rsidRPr="00FC442E">
        <w:t>T</w:t>
      </w:r>
      <w:r w:rsidR="00503C3F" w:rsidRPr="00FC442E">
        <w:t>able 2.6</w:t>
      </w:r>
      <w:r w:rsidR="00357FA8" w:rsidRPr="00FC442E">
        <w:t xml:space="preserve"> below, the </w:t>
      </w:r>
      <w:r w:rsidR="006256F7" w:rsidRPr="00FC442E">
        <w:t>p</w:t>
      </w:r>
      <w:r w:rsidR="00357FA8" w:rsidRPr="00FC442E">
        <w:t xml:space="preserve">roject is economically viable, showing an Economic Rate of Return (ERR) of </w:t>
      </w:r>
      <w:r w:rsidR="00A648CB" w:rsidRPr="00FC442E">
        <w:t>16</w:t>
      </w:r>
      <w:r w:rsidR="00503C3F" w:rsidRPr="00FC442E">
        <w:t>.</w:t>
      </w:r>
      <w:r w:rsidR="00A648CB" w:rsidRPr="00FC442E">
        <w:t>8</w:t>
      </w:r>
      <w:r w:rsidR="00503C3F" w:rsidRPr="00FC442E">
        <w:t xml:space="preserve"> percent and a</w:t>
      </w:r>
      <w:r w:rsidR="00357FA8" w:rsidRPr="00FC442E">
        <w:t xml:space="preserve"> Net Present Value (NPV) of </w:t>
      </w:r>
      <w:r w:rsidR="00503C3F" w:rsidRPr="00FC442E">
        <w:t xml:space="preserve">US$ </w:t>
      </w:r>
      <w:r w:rsidR="00A648CB" w:rsidRPr="00FC442E">
        <w:t>1,240,317</w:t>
      </w:r>
      <w:r w:rsidR="0036564E" w:rsidRPr="00FC442E">
        <w:t xml:space="preserve">. </w:t>
      </w:r>
    </w:p>
    <w:p w:rsidR="00357FA8" w:rsidRPr="00FC442E" w:rsidRDefault="00357FA8" w:rsidP="00357FA8">
      <w:pPr>
        <w:autoSpaceDE w:val="0"/>
        <w:autoSpaceDN w:val="0"/>
        <w:adjustRightInd w:val="0"/>
      </w:pPr>
    </w:p>
    <w:p w:rsidR="00357FA8" w:rsidRPr="00FC442E" w:rsidRDefault="00503C3F" w:rsidP="006256F7">
      <w:pPr>
        <w:autoSpaceDE w:val="0"/>
        <w:autoSpaceDN w:val="0"/>
        <w:adjustRightInd w:val="0"/>
        <w:jc w:val="center"/>
        <w:rPr>
          <w:b/>
          <w:bCs/>
        </w:rPr>
      </w:pPr>
      <w:r w:rsidRPr="00FC442E">
        <w:rPr>
          <w:b/>
          <w:bCs/>
        </w:rPr>
        <w:t>Table 2.6</w:t>
      </w:r>
      <w:r w:rsidR="00357FA8" w:rsidRPr="00FC442E">
        <w:rPr>
          <w:b/>
          <w:bCs/>
        </w:rPr>
        <w:t xml:space="preserve"> Results of the Economic Analysis</w:t>
      </w:r>
    </w:p>
    <w:p w:rsidR="00357FA8" w:rsidRPr="00FC442E" w:rsidRDefault="00357FA8" w:rsidP="00357FA8">
      <w:pPr>
        <w:autoSpaceDE w:val="0"/>
        <w:autoSpaceDN w:val="0"/>
        <w:adjustRightInd w:val="0"/>
        <w:rPr>
          <w:sz w:val="22"/>
          <w:szCs w:val="22"/>
        </w:rPr>
      </w:pPr>
    </w:p>
    <w:tbl>
      <w:tblPr>
        <w:tblW w:w="50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978"/>
        <w:gridCol w:w="2062"/>
      </w:tblGrid>
      <w:tr w:rsidR="00357FA8" w:rsidRPr="00FC442E" w:rsidTr="006256F7">
        <w:trPr>
          <w:jc w:val="center"/>
        </w:trPr>
        <w:tc>
          <w:tcPr>
            <w:tcW w:w="2978" w:type="dxa"/>
            <w:shd w:val="clear" w:color="auto" w:fill="CCCCCC"/>
            <w:vAlign w:val="center"/>
          </w:tcPr>
          <w:p w:rsidR="00357FA8" w:rsidRPr="00FC442E" w:rsidRDefault="00357FA8" w:rsidP="00357FA8">
            <w:pPr>
              <w:autoSpaceDE w:val="0"/>
              <w:autoSpaceDN w:val="0"/>
              <w:adjustRightInd w:val="0"/>
              <w:jc w:val="center"/>
              <w:rPr>
                <w:b/>
              </w:rPr>
            </w:pPr>
            <w:r w:rsidRPr="00FC442E">
              <w:rPr>
                <w:b/>
                <w:sz w:val="22"/>
                <w:szCs w:val="22"/>
              </w:rPr>
              <w:t>ENPV</w:t>
            </w:r>
          </w:p>
        </w:tc>
        <w:tc>
          <w:tcPr>
            <w:tcW w:w="2062" w:type="dxa"/>
            <w:shd w:val="clear" w:color="auto" w:fill="CCCCCC"/>
            <w:vAlign w:val="center"/>
          </w:tcPr>
          <w:p w:rsidR="00357FA8" w:rsidRPr="00FC442E" w:rsidRDefault="00357FA8" w:rsidP="00357FA8">
            <w:pPr>
              <w:autoSpaceDE w:val="0"/>
              <w:autoSpaceDN w:val="0"/>
              <w:adjustRightInd w:val="0"/>
              <w:jc w:val="center"/>
              <w:rPr>
                <w:b/>
              </w:rPr>
            </w:pPr>
            <w:r w:rsidRPr="00FC442E">
              <w:rPr>
                <w:b/>
                <w:sz w:val="22"/>
                <w:szCs w:val="22"/>
              </w:rPr>
              <w:t>ERR</w:t>
            </w:r>
          </w:p>
        </w:tc>
      </w:tr>
      <w:tr w:rsidR="00357FA8" w:rsidRPr="00FC442E" w:rsidTr="006256F7">
        <w:trPr>
          <w:jc w:val="center"/>
        </w:trPr>
        <w:tc>
          <w:tcPr>
            <w:tcW w:w="2978" w:type="dxa"/>
            <w:vAlign w:val="center"/>
          </w:tcPr>
          <w:p w:rsidR="00357FA8" w:rsidRPr="00FC442E" w:rsidRDefault="00357FA8" w:rsidP="00503C3F">
            <w:pPr>
              <w:autoSpaceDE w:val="0"/>
              <w:autoSpaceDN w:val="0"/>
              <w:adjustRightInd w:val="0"/>
              <w:jc w:val="center"/>
            </w:pPr>
            <w:r w:rsidRPr="00FC442E">
              <w:t xml:space="preserve">US$ </w:t>
            </w:r>
            <w:r w:rsidR="00A648CB" w:rsidRPr="00FC442E">
              <w:t>1,240,317</w:t>
            </w:r>
          </w:p>
        </w:tc>
        <w:tc>
          <w:tcPr>
            <w:tcW w:w="2062" w:type="dxa"/>
            <w:vAlign w:val="center"/>
          </w:tcPr>
          <w:p w:rsidR="00357FA8" w:rsidRPr="00FC442E" w:rsidRDefault="00A648CB" w:rsidP="00503C3F">
            <w:pPr>
              <w:autoSpaceDE w:val="0"/>
              <w:autoSpaceDN w:val="0"/>
              <w:adjustRightInd w:val="0"/>
              <w:jc w:val="center"/>
            </w:pPr>
            <w:r w:rsidRPr="00FC442E">
              <w:t>16.8</w:t>
            </w:r>
            <w:r w:rsidR="00357FA8" w:rsidRPr="00FC442E">
              <w:t>%</w:t>
            </w:r>
          </w:p>
        </w:tc>
      </w:tr>
    </w:tbl>
    <w:p w:rsidR="00357FA8" w:rsidRPr="00FC442E" w:rsidRDefault="00357FA8" w:rsidP="00357FA8">
      <w:pPr>
        <w:autoSpaceDE w:val="0"/>
        <w:autoSpaceDN w:val="0"/>
        <w:adjustRightInd w:val="0"/>
      </w:pPr>
    </w:p>
    <w:p w:rsidR="00357FA8" w:rsidRPr="00FC442E" w:rsidRDefault="00357FA8" w:rsidP="00357FA8">
      <w:pPr>
        <w:autoSpaceDE w:val="0"/>
        <w:autoSpaceDN w:val="0"/>
        <w:adjustRightInd w:val="0"/>
        <w:jc w:val="both"/>
      </w:pPr>
      <w:r w:rsidRPr="00FC442E">
        <w:t>The cash flow of th</w:t>
      </w:r>
      <w:r w:rsidR="00780BD9" w:rsidRPr="00FC442E">
        <w:t>e p</w:t>
      </w:r>
      <w:r w:rsidRPr="00FC442E">
        <w:t xml:space="preserve">roject </w:t>
      </w:r>
      <w:r w:rsidR="00503C3F" w:rsidRPr="00FC442E">
        <w:t>is</w:t>
      </w:r>
      <w:r w:rsidRPr="00FC442E">
        <w:t xml:space="preserve"> </w:t>
      </w:r>
      <w:r w:rsidR="00780BD9" w:rsidRPr="00FC442E">
        <w:t>presented</w:t>
      </w:r>
      <w:r w:rsidRPr="00FC442E">
        <w:t xml:space="preserve"> in A</w:t>
      </w:r>
      <w:r w:rsidR="006256F7" w:rsidRPr="00FC442E">
        <w:t>ppendix</w:t>
      </w:r>
      <w:r w:rsidRPr="00FC442E">
        <w:t xml:space="preserve"> 1.</w:t>
      </w:r>
    </w:p>
    <w:p w:rsidR="005E0521" w:rsidRPr="00FC442E" w:rsidRDefault="005E0521" w:rsidP="005E0521">
      <w:pPr>
        <w:autoSpaceDE w:val="0"/>
        <w:autoSpaceDN w:val="0"/>
        <w:adjustRightInd w:val="0"/>
        <w:rPr>
          <w:rFonts w:ascii="Arial" w:hAnsi="Arial" w:cs="Arial"/>
          <w:sz w:val="22"/>
          <w:szCs w:val="22"/>
        </w:rPr>
      </w:pPr>
    </w:p>
    <w:p w:rsidR="00711E13" w:rsidRPr="00FC442E" w:rsidRDefault="00711E13" w:rsidP="00711E13">
      <w:pPr>
        <w:pStyle w:val="Footer"/>
        <w:tabs>
          <w:tab w:val="clear" w:pos="4819"/>
          <w:tab w:val="clear" w:pos="9638"/>
        </w:tabs>
        <w:ind w:left="720"/>
        <w:rPr>
          <w:b/>
          <w:szCs w:val="24"/>
          <w:lang w:val="en-US"/>
        </w:rPr>
      </w:pPr>
    </w:p>
    <w:p w:rsidR="00711E13" w:rsidRPr="00FC442E" w:rsidRDefault="00711E13" w:rsidP="00E32E25">
      <w:pPr>
        <w:pStyle w:val="Footer"/>
        <w:numPr>
          <w:ilvl w:val="2"/>
          <w:numId w:val="2"/>
        </w:numPr>
        <w:tabs>
          <w:tab w:val="clear" w:pos="4819"/>
          <w:tab w:val="clear" w:pos="9638"/>
        </w:tabs>
        <w:autoSpaceDE w:val="0"/>
        <w:autoSpaceDN w:val="0"/>
        <w:adjustRightInd w:val="0"/>
        <w:jc w:val="both"/>
        <w:rPr>
          <w:b/>
          <w:i/>
          <w:lang w:val="en-US"/>
        </w:rPr>
      </w:pPr>
      <w:r w:rsidRPr="00FC442E">
        <w:rPr>
          <w:b/>
          <w:i/>
          <w:lang w:val="en-US"/>
        </w:rPr>
        <w:t xml:space="preserve">Sensitivity Analysis </w:t>
      </w:r>
    </w:p>
    <w:p w:rsidR="00711E13" w:rsidRPr="00FC442E" w:rsidRDefault="00711E13" w:rsidP="00711E13">
      <w:pPr>
        <w:autoSpaceDE w:val="0"/>
        <w:autoSpaceDN w:val="0"/>
        <w:adjustRightInd w:val="0"/>
        <w:rPr>
          <w:sz w:val="22"/>
          <w:szCs w:val="22"/>
        </w:rPr>
      </w:pPr>
    </w:p>
    <w:p w:rsidR="00711E13" w:rsidRPr="00FC442E" w:rsidRDefault="00F6154F" w:rsidP="00711E13">
      <w:pPr>
        <w:autoSpaceDE w:val="0"/>
        <w:autoSpaceDN w:val="0"/>
        <w:adjustRightInd w:val="0"/>
        <w:jc w:val="both"/>
      </w:pPr>
      <w:r w:rsidRPr="00FC442E">
        <w:t>For t</w:t>
      </w:r>
      <w:r w:rsidR="00711E13" w:rsidRPr="00FC442E">
        <w:t>he sensitivity analysis</w:t>
      </w:r>
      <w:r w:rsidRPr="00FC442E">
        <w:t>,</w:t>
      </w:r>
      <w:r w:rsidR="00711E13" w:rsidRPr="00FC442E">
        <w:t xml:space="preserve"> </w:t>
      </w:r>
      <w:r w:rsidR="00F80AA4" w:rsidRPr="00FC442E">
        <w:t xml:space="preserve">the production cost of the water was analyzed. </w:t>
      </w:r>
    </w:p>
    <w:p w:rsidR="00711E13" w:rsidRPr="00FC442E" w:rsidRDefault="00711E13" w:rsidP="00711E13">
      <w:pPr>
        <w:autoSpaceDE w:val="0"/>
        <w:autoSpaceDN w:val="0"/>
        <w:adjustRightInd w:val="0"/>
        <w:rPr>
          <w:b/>
          <w:bCs/>
          <w:sz w:val="22"/>
          <w:szCs w:val="22"/>
        </w:rPr>
      </w:pPr>
    </w:p>
    <w:p w:rsidR="00711E13" w:rsidRPr="00FC442E" w:rsidRDefault="00711E13" w:rsidP="00711E13">
      <w:pPr>
        <w:autoSpaceDE w:val="0"/>
        <w:autoSpaceDN w:val="0"/>
        <w:adjustRightInd w:val="0"/>
        <w:jc w:val="center"/>
        <w:rPr>
          <w:b/>
          <w:bCs/>
        </w:rPr>
      </w:pPr>
      <w:r w:rsidRPr="00FC442E">
        <w:rPr>
          <w:b/>
          <w:bCs/>
        </w:rPr>
        <w:t>Table 2.</w:t>
      </w:r>
      <w:r w:rsidR="00F6154F" w:rsidRPr="00FC442E">
        <w:rPr>
          <w:b/>
          <w:bCs/>
        </w:rPr>
        <w:t>7</w:t>
      </w:r>
      <w:r w:rsidRPr="00FC442E">
        <w:rPr>
          <w:b/>
          <w:bCs/>
        </w:rPr>
        <w:t xml:space="preserve"> Results of Sensitivity Analysis</w:t>
      </w:r>
    </w:p>
    <w:p w:rsidR="00711E13" w:rsidRPr="00FC442E" w:rsidRDefault="00711E13" w:rsidP="00711E13">
      <w:pPr>
        <w:autoSpaceDE w:val="0"/>
        <w:autoSpaceDN w:val="0"/>
        <w:adjustRightInd w:val="0"/>
        <w:rPr>
          <w:sz w:val="22"/>
          <w:szCs w:val="22"/>
          <w:highlight w:val="yellow"/>
        </w:rPr>
      </w:pPr>
    </w:p>
    <w:tbl>
      <w:tblPr>
        <w:tblW w:w="681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340"/>
        <w:gridCol w:w="2470"/>
      </w:tblGrid>
      <w:tr w:rsidR="00C6753A" w:rsidRPr="00FC442E" w:rsidTr="00C6753A">
        <w:trPr>
          <w:jc w:val="center"/>
        </w:trPr>
        <w:tc>
          <w:tcPr>
            <w:tcW w:w="4340" w:type="dxa"/>
            <w:tcBorders>
              <w:top w:val="single" w:sz="12" w:space="0" w:color="auto"/>
              <w:bottom w:val="single" w:sz="6" w:space="0" w:color="auto"/>
            </w:tcBorders>
            <w:shd w:val="clear" w:color="auto" w:fill="CCCCCC"/>
            <w:vAlign w:val="center"/>
          </w:tcPr>
          <w:p w:rsidR="00C6753A" w:rsidRPr="00FC442E" w:rsidRDefault="00C6753A" w:rsidP="00C6753A">
            <w:pPr>
              <w:autoSpaceDE w:val="0"/>
              <w:autoSpaceDN w:val="0"/>
              <w:adjustRightInd w:val="0"/>
              <w:jc w:val="center"/>
              <w:rPr>
                <w:b/>
              </w:rPr>
            </w:pPr>
            <w:r w:rsidRPr="00FC442E">
              <w:rPr>
                <w:b/>
                <w:bCs/>
                <w:sz w:val="22"/>
                <w:szCs w:val="22"/>
              </w:rPr>
              <w:t>Variables</w:t>
            </w:r>
          </w:p>
        </w:tc>
        <w:tc>
          <w:tcPr>
            <w:tcW w:w="2470" w:type="dxa"/>
            <w:tcBorders>
              <w:top w:val="single" w:sz="12" w:space="0" w:color="auto"/>
              <w:bottom w:val="single" w:sz="6" w:space="0" w:color="auto"/>
            </w:tcBorders>
            <w:shd w:val="clear" w:color="auto" w:fill="CCCCCC"/>
            <w:vAlign w:val="center"/>
          </w:tcPr>
          <w:p w:rsidR="00C6753A" w:rsidRPr="00FC442E" w:rsidRDefault="00A96ABC" w:rsidP="00185427">
            <w:pPr>
              <w:autoSpaceDE w:val="0"/>
              <w:autoSpaceDN w:val="0"/>
              <w:adjustRightInd w:val="0"/>
              <w:jc w:val="center"/>
              <w:rPr>
                <w:b/>
                <w:bCs/>
              </w:rPr>
            </w:pPr>
            <w:r w:rsidRPr="00FC442E">
              <w:rPr>
                <w:b/>
                <w:bCs/>
              </w:rPr>
              <w:t>Critical value</w:t>
            </w:r>
            <w:r w:rsidR="00185427" w:rsidRPr="00FC442E">
              <w:rPr>
                <w:rStyle w:val="FootnoteReference"/>
                <w:b/>
                <w:bCs/>
              </w:rPr>
              <w:footnoteReference w:id="2"/>
            </w:r>
            <w:r w:rsidR="00185427" w:rsidRPr="00FC442E">
              <w:rPr>
                <w:b/>
                <w:bCs/>
              </w:rPr>
              <w:t xml:space="preserve"> </w:t>
            </w:r>
            <w:r w:rsidR="00C6753A" w:rsidRPr="00FC442E">
              <w:rPr>
                <w:b/>
                <w:bCs/>
              </w:rPr>
              <w:t>(%)</w:t>
            </w:r>
          </w:p>
        </w:tc>
      </w:tr>
      <w:tr w:rsidR="00C6753A" w:rsidRPr="00FC442E" w:rsidTr="00C6753A">
        <w:trPr>
          <w:jc w:val="center"/>
        </w:trPr>
        <w:tc>
          <w:tcPr>
            <w:tcW w:w="4340" w:type="dxa"/>
            <w:tcBorders>
              <w:top w:val="single" w:sz="6" w:space="0" w:color="auto"/>
            </w:tcBorders>
          </w:tcPr>
          <w:p w:rsidR="00C6753A" w:rsidRPr="00FC442E" w:rsidRDefault="00F80AA4" w:rsidP="003760B8">
            <w:pPr>
              <w:autoSpaceDE w:val="0"/>
              <w:autoSpaceDN w:val="0"/>
              <w:adjustRightInd w:val="0"/>
            </w:pPr>
            <w:r w:rsidRPr="00FC442E">
              <w:t>Production cost of the water</w:t>
            </w:r>
          </w:p>
        </w:tc>
        <w:tc>
          <w:tcPr>
            <w:tcW w:w="2470" w:type="dxa"/>
            <w:tcBorders>
              <w:top w:val="single" w:sz="6" w:space="0" w:color="auto"/>
            </w:tcBorders>
            <w:vAlign w:val="center"/>
          </w:tcPr>
          <w:p w:rsidR="00C6753A" w:rsidRPr="00FC442E" w:rsidRDefault="00F80AA4" w:rsidP="003760B8">
            <w:pPr>
              <w:autoSpaceDE w:val="0"/>
              <w:autoSpaceDN w:val="0"/>
              <w:adjustRightInd w:val="0"/>
              <w:jc w:val="center"/>
            </w:pPr>
            <w:r w:rsidRPr="00FC442E">
              <w:t>-18</w:t>
            </w:r>
            <w:r w:rsidR="00C6753A" w:rsidRPr="00FC442E">
              <w:t>%</w:t>
            </w:r>
          </w:p>
        </w:tc>
      </w:tr>
    </w:tbl>
    <w:p w:rsidR="00711E13" w:rsidRPr="00FC442E" w:rsidRDefault="00711E13" w:rsidP="00711E13">
      <w:pPr>
        <w:autoSpaceDE w:val="0"/>
        <w:autoSpaceDN w:val="0"/>
        <w:adjustRightInd w:val="0"/>
        <w:rPr>
          <w:b/>
          <w:bCs/>
          <w:sz w:val="22"/>
          <w:szCs w:val="22"/>
          <w:highlight w:val="yellow"/>
        </w:rPr>
      </w:pPr>
    </w:p>
    <w:p w:rsidR="00711E13" w:rsidRPr="00FC442E" w:rsidRDefault="00F80AA4" w:rsidP="00711E13">
      <w:pPr>
        <w:autoSpaceDE w:val="0"/>
        <w:autoSpaceDN w:val="0"/>
        <w:adjustRightInd w:val="0"/>
        <w:jc w:val="both"/>
      </w:pPr>
      <w:r w:rsidRPr="00FC442E">
        <w:t>This analysis demonstrates the robustness of the project.</w:t>
      </w:r>
      <w:r w:rsidR="001808E8" w:rsidRPr="00FC442E">
        <w:t xml:space="preserve"> The production cost should decrease 18% so the project is not economically feasible. </w:t>
      </w:r>
      <w:r w:rsidRPr="00FC442E">
        <w:t>As explained in Section 2.2.2, the production cost used underestimates the value of water, therefor</w:t>
      </w:r>
      <w:r w:rsidR="00FC442E" w:rsidRPr="00FC442E">
        <w:t>e</w:t>
      </w:r>
      <w:r w:rsidRPr="00FC442E">
        <w:t xml:space="preserve"> i</w:t>
      </w:r>
      <w:r w:rsidR="00FC442E">
        <w:t>t’</w:t>
      </w:r>
      <w:r w:rsidRPr="00FC442E">
        <w:t xml:space="preserve">s very unlikely </w:t>
      </w:r>
      <w:r w:rsidR="001808E8" w:rsidRPr="00FC442E">
        <w:t xml:space="preserve">that this value would decrease 18%. </w:t>
      </w:r>
      <w:r w:rsidR="00FC442E">
        <w:t xml:space="preserve"> </w:t>
      </w:r>
    </w:p>
    <w:p w:rsidR="00187731" w:rsidRPr="00FC442E" w:rsidRDefault="00187731" w:rsidP="00711E13">
      <w:pPr>
        <w:autoSpaceDE w:val="0"/>
        <w:autoSpaceDN w:val="0"/>
        <w:adjustRightInd w:val="0"/>
        <w:jc w:val="both"/>
      </w:pPr>
    </w:p>
    <w:p w:rsidR="00E0546E" w:rsidRPr="00FC442E" w:rsidRDefault="00E0546E" w:rsidP="00711E13">
      <w:pPr>
        <w:autoSpaceDE w:val="0"/>
        <w:autoSpaceDN w:val="0"/>
        <w:adjustRightInd w:val="0"/>
        <w:rPr>
          <w:b/>
          <w:bCs/>
          <w:sz w:val="22"/>
          <w:szCs w:val="22"/>
        </w:rPr>
      </w:pPr>
    </w:p>
    <w:p w:rsidR="00E0546E" w:rsidRPr="00FC442E" w:rsidRDefault="00E0546E" w:rsidP="00E32E25">
      <w:pPr>
        <w:pStyle w:val="Footer"/>
        <w:numPr>
          <w:ilvl w:val="0"/>
          <w:numId w:val="2"/>
        </w:numPr>
        <w:tabs>
          <w:tab w:val="clear" w:pos="4819"/>
          <w:tab w:val="clear" w:pos="9638"/>
        </w:tabs>
        <w:rPr>
          <w:b/>
          <w:szCs w:val="24"/>
          <w:lang w:val="en-US"/>
        </w:rPr>
      </w:pPr>
      <w:r w:rsidRPr="00FC442E">
        <w:rPr>
          <w:b/>
          <w:szCs w:val="24"/>
          <w:lang w:val="en-US"/>
        </w:rPr>
        <w:t>MICRO METERING PROJECT</w:t>
      </w:r>
    </w:p>
    <w:p w:rsidR="00711E13" w:rsidRPr="00FC442E" w:rsidRDefault="00711E13" w:rsidP="00711E13">
      <w:pPr>
        <w:autoSpaceDE w:val="0"/>
        <w:autoSpaceDN w:val="0"/>
        <w:adjustRightInd w:val="0"/>
        <w:rPr>
          <w:b/>
          <w:bCs/>
          <w:sz w:val="22"/>
          <w:szCs w:val="22"/>
        </w:rPr>
      </w:pPr>
    </w:p>
    <w:p w:rsidR="009E1555" w:rsidRPr="00FC442E" w:rsidRDefault="00185427" w:rsidP="00C6753A">
      <w:pPr>
        <w:jc w:val="both"/>
      </w:pPr>
      <w:r w:rsidRPr="00FC442E">
        <w:t>The program include</w:t>
      </w:r>
      <w:r w:rsidR="00833FA8" w:rsidRPr="00FC442E">
        <w:t>d</w:t>
      </w:r>
      <w:r w:rsidRPr="00FC442E">
        <w:t xml:space="preserve"> </w:t>
      </w:r>
      <w:r w:rsidR="00316EAF" w:rsidRPr="00FC442E">
        <w:t>US$ 6</w:t>
      </w:r>
      <w:r w:rsidR="00833FA8" w:rsidRPr="00FC442E">
        <w:t>05</w:t>
      </w:r>
      <w:r w:rsidR="00316EAF" w:rsidRPr="00FC442E">
        <w:t>,</w:t>
      </w:r>
      <w:r w:rsidR="00833FA8" w:rsidRPr="00FC442E">
        <w:t>631</w:t>
      </w:r>
      <w:r w:rsidR="00316EAF" w:rsidRPr="00FC442E">
        <w:t xml:space="preserve"> for </w:t>
      </w:r>
      <w:r w:rsidRPr="00FC442E">
        <w:t xml:space="preserve">the purchase and installation of 8,000 water meters. 5,000 water meters </w:t>
      </w:r>
      <w:r w:rsidR="00833FA8" w:rsidRPr="00FC442E">
        <w:t>were</w:t>
      </w:r>
      <w:r w:rsidRPr="00FC442E">
        <w:t xml:space="preserve"> installed in the </w:t>
      </w:r>
      <w:proofErr w:type="spellStart"/>
      <w:r w:rsidRPr="00FC442E">
        <w:t>Leidingen</w:t>
      </w:r>
      <w:proofErr w:type="spellEnd"/>
      <w:r w:rsidRPr="00FC442E">
        <w:t xml:space="preserve"> area (</w:t>
      </w:r>
      <w:proofErr w:type="spellStart"/>
      <w:r w:rsidRPr="00FC442E">
        <w:t>Wanika</w:t>
      </w:r>
      <w:proofErr w:type="spellEnd"/>
      <w:r w:rsidRPr="00FC442E">
        <w:t>)</w:t>
      </w:r>
      <w:r w:rsidR="00E029B9" w:rsidRPr="00FC442E">
        <w:t xml:space="preserve"> in 2015</w:t>
      </w:r>
      <w:r w:rsidRPr="00FC442E">
        <w:t xml:space="preserve"> and 3,000 </w:t>
      </w:r>
      <w:r w:rsidR="00742AE1" w:rsidRPr="00FC442E">
        <w:t xml:space="preserve">were </w:t>
      </w:r>
      <w:r w:rsidRPr="00FC442E">
        <w:t xml:space="preserve">distributed among </w:t>
      </w:r>
      <w:proofErr w:type="spellStart"/>
      <w:r w:rsidRPr="00FC442E">
        <w:t>Ressort</w:t>
      </w:r>
      <w:proofErr w:type="spellEnd"/>
      <w:r w:rsidRPr="00FC442E">
        <w:t xml:space="preserve"> </w:t>
      </w:r>
      <w:proofErr w:type="spellStart"/>
      <w:r w:rsidRPr="00FC442E">
        <w:t>Domburg</w:t>
      </w:r>
      <w:proofErr w:type="spellEnd"/>
      <w:r w:rsidRPr="00FC442E">
        <w:t xml:space="preserve"> (</w:t>
      </w:r>
      <w:proofErr w:type="spellStart"/>
      <w:r w:rsidRPr="00FC442E">
        <w:t>Wanika</w:t>
      </w:r>
      <w:proofErr w:type="spellEnd"/>
      <w:r w:rsidRPr="00FC442E">
        <w:t xml:space="preserve">), </w:t>
      </w:r>
      <w:proofErr w:type="spellStart"/>
      <w:r w:rsidRPr="00FC442E">
        <w:t>Ressort</w:t>
      </w:r>
      <w:proofErr w:type="spellEnd"/>
      <w:r w:rsidRPr="00FC442E">
        <w:t xml:space="preserve"> </w:t>
      </w:r>
      <w:proofErr w:type="spellStart"/>
      <w:r w:rsidRPr="00FC442E">
        <w:t>Houttuin</w:t>
      </w:r>
      <w:proofErr w:type="spellEnd"/>
      <w:r w:rsidRPr="00FC442E">
        <w:t xml:space="preserve"> (</w:t>
      </w:r>
      <w:proofErr w:type="spellStart"/>
      <w:r w:rsidRPr="00FC442E">
        <w:t>Wanika</w:t>
      </w:r>
      <w:proofErr w:type="spellEnd"/>
      <w:r w:rsidRPr="00FC442E">
        <w:t>) and Para</w:t>
      </w:r>
      <w:r w:rsidR="00E029B9" w:rsidRPr="00FC442E">
        <w:t xml:space="preserve"> in 2017</w:t>
      </w:r>
      <w:r w:rsidRPr="00FC442E">
        <w:t xml:space="preserve">. </w:t>
      </w:r>
      <w:r w:rsidR="00316EAF" w:rsidRPr="00FC442E">
        <w:t xml:space="preserve">The </w:t>
      </w:r>
      <w:r w:rsidR="009E1555" w:rsidRPr="00FC442E">
        <w:t>installation, maintenance, and operation of these meters provide</w:t>
      </w:r>
      <w:r w:rsidR="00742AE1" w:rsidRPr="00FC442E">
        <w:t>d</w:t>
      </w:r>
      <w:r w:rsidR="009E1555" w:rsidRPr="00FC442E">
        <w:t xml:space="preserve"> additional revenues for SWM, which improve</w:t>
      </w:r>
      <w:r w:rsidR="00742AE1" w:rsidRPr="00FC442E">
        <w:t>d</w:t>
      </w:r>
      <w:r w:rsidR="009E1555" w:rsidRPr="00FC442E">
        <w:t xml:space="preserve"> the entity’s financial condition. The economic benefits of water metering, however, derive from the allocative efficiencies which result from charging the customers the opportunity cost of providing water.</w:t>
      </w:r>
    </w:p>
    <w:p w:rsidR="00185427" w:rsidRPr="00FC442E" w:rsidRDefault="00185427" w:rsidP="00C6753A">
      <w:pPr>
        <w:jc w:val="both"/>
      </w:pPr>
    </w:p>
    <w:p w:rsidR="00A85B66" w:rsidRPr="00FC442E" w:rsidRDefault="009E1555" w:rsidP="00A85B66">
      <w:pPr>
        <w:jc w:val="both"/>
      </w:pPr>
      <w:r w:rsidRPr="00FC442E">
        <w:t xml:space="preserve">Since after the project </w:t>
      </w:r>
      <w:r w:rsidR="00742AE1" w:rsidRPr="00FC442E">
        <w:t xml:space="preserve">was </w:t>
      </w:r>
      <w:r w:rsidRPr="00FC442E">
        <w:t xml:space="preserve">completed consumers </w:t>
      </w:r>
      <w:r w:rsidR="00742AE1" w:rsidRPr="00FC442E">
        <w:t xml:space="preserve">haven’t </w:t>
      </w:r>
      <w:r w:rsidRPr="00FC442E">
        <w:t>face significant water supply problems, the opportunity cost of water is assumed to be equal to the operation and maintenance costs of providing water</w:t>
      </w:r>
      <w:r w:rsidR="00FB62E4" w:rsidRPr="00FC442E">
        <w:rPr>
          <w:rStyle w:val="FootnoteReference"/>
        </w:rPr>
        <w:footnoteReference w:id="3"/>
      </w:r>
      <w:r w:rsidRPr="00FC442E">
        <w:t>. The</w:t>
      </w:r>
      <w:r w:rsidR="00FB62E4" w:rsidRPr="00FC442E">
        <w:t>refore</w:t>
      </w:r>
      <w:r w:rsidRPr="00FC442E">
        <w:t>,</w:t>
      </w:r>
      <w:r w:rsidR="00C6753A" w:rsidRPr="00FC442E">
        <w:t xml:space="preserve"> the gross economic benefit results from the decrease in production costs</w:t>
      </w:r>
      <w:r w:rsidRPr="00FC442E">
        <w:t xml:space="preserve"> </w:t>
      </w:r>
      <w:r w:rsidR="00C6753A" w:rsidRPr="00FC442E">
        <w:t xml:space="preserve">as consumers cut back their consumption in response to being charged a price for water. This gross benefit is partially offset by the reduction in consumer surplus as consumers cut back. The loss of consumer surplus depends on the elasticity of consumer demand and the price charged. </w:t>
      </w:r>
      <w:r w:rsidR="00A85B66" w:rsidRPr="00FC442E">
        <w:t>T</w:t>
      </w:r>
      <w:r w:rsidR="00F2769A" w:rsidRPr="00FC442E">
        <w:t xml:space="preserve">he computation necessary to calculate the decrease in consumer surplus is the integral of the demand curve between a price of zero and the tariff level. </w:t>
      </w:r>
    </w:p>
    <w:p w:rsidR="00A85B66" w:rsidRPr="00FC442E" w:rsidRDefault="00A85B66" w:rsidP="00A85B66">
      <w:pPr>
        <w:jc w:val="both"/>
      </w:pPr>
    </w:p>
    <w:p w:rsidR="00FB7EDD" w:rsidRPr="00FC442E" w:rsidRDefault="00FB62E4" w:rsidP="00A85B66">
      <w:pPr>
        <w:jc w:val="both"/>
      </w:pPr>
      <w:r w:rsidRPr="00FC442E">
        <w:t>Hence</w:t>
      </w:r>
      <w:r w:rsidR="00A85B66" w:rsidRPr="00FC442E">
        <w:t xml:space="preserve"> the steps for CBA are the following: 1) estimate the elasticity of demand for water; 2) obtain the average household water consumption; 3) calculate the operation and maintenance costs of the system</w:t>
      </w:r>
      <w:r w:rsidR="00FB7EDD" w:rsidRPr="00FC442E">
        <w:t xml:space="preserve">. Steps 1) to 3) allow the estimation of the gross benefit and the consumer surplus loss. Finally, the cost of investment and operation of the water meters need to be subtracted to obtain the net benefit. </w:t>
      </w:r>
    </w:p>
    <w:p w:rsidR="00FB7EDD" w:rsidRPr="00FC442E" w:rsidRDefault="00FB7EDD" w:rsidP="00A85B66">
      <w:pPr>
        <w:jc w:val="both"/>
      </w:pPr>
    </w:p>
    <w:p w:rsidR="00F2769A" w:rsidRPr="00FC442E" w:rsidRDefault="002F49AB" w:rsidP="00A85B66">
      <w:pPr>
        <w:jc w:val="both"/>
      </w:pPr>
      <w:r w:rsidRPr="00FC442E">
        <w:t xml:space="preserve">For this ex-post CBA, </w:t>
      </w:r>
      <w:r w:rsidR="00990A83" w:rsidRPr="00FC442E">
        <w:t xml:space="preserve">it is used the same </w:t>
      </w:r>
      <w:r w:rsidR="00F2769A" w:rsidRPr="00FC442E">
        <w:t xml:space="preserve">elasticity of demand for water </w:t>
      </w:r>
      <w:r w:rsidR="00990A83" w:rsidRPr="00FC442E">
        <w:t xml:space="preserve">that was used for the ex-ante analysis, </w:t>
      </w:r>
      <w:r w:rsidR="00185427" w:rsidRPr="00FC442E">
        <w:t>equal to -0.45</w:t>
      </w:r>
      <w:r w:rsidR="00F2769A" w:rsidRPr="00FC442E">
        <w:t>.</w:t>
      </w:r>
      <w:r w:rsidR="00185427" w:rsidRPr="00FC442E">
        <w:t xml:space="preserve"> Regarding water consumption, </w:t>
      </w:r>
      <w:r w:rsidR="00FB62E4" w:rsidRPr="00FC442E">
        <w:t>according to data provided by SWM, the average consumption for users is 1</w:t>
      </w:r>
      <w:r w:rsidR="00990A83" w:rsidRPr="00FC442E">
        <w:t>8</w:t>
      </w:r>
      <w:r w:rsidR="00FB62E4" w:rsidRPr="00FC442E">
        <w:t xml:space="preserve"> m</w:t>
      </w:r>
      <w:r w:rsidR="00FB62E4" w:rsidRPr="00FC442E">
        <w:rPr>
          <w:vertAlign w:val="superscript"/>
        </w:rPr>
        <w:t>3</w:t>
      </w:r>
      <w:r w:rsidR="00FB62E4" w:rsidRPr="00FC442E">
        <w:t xml:space="preserve">/month. </w:t>
      </w:r>
      <w:r w:rsidR="005000C6" w:rsidRPr="00FC442E">
        <w:t>The operation and maintenance cost are equal to US$ 0.</w:t>
      </w:r>
      <w:r w:rsidR="00990A83" w:rsidRPr="00FC442E">
        <w:t>4148</w:t>
      </w:r>
      <w:r w:rsidR="005000C6" w:rsidRPr="00FC442E">
        <w:t>/m</w:t>
      </w:r>
      <w:r w:rsidR="005000C6" w:rsidRPr="00FC442E">
        <w:rPr>
          <w:vertAlign w:val="superscript"/>
        </w:rPr>
        <w:t>3</w:t>
      </w:r>
      <w:r w:rsidR="00327A5A" w:rsidRPr="00FC442E">
        <w:t>, and the tariff charged by SWM for a consumption of 1</w:t>
      </w:r>
      <w:r w:rsidR="00990A83" w:rsidRPr="00FC442E">
        <w:t>8</w:t>
      </w:r>
      <w:r w:rsidR="00327A5A" w:rsidRPr="00FC442E">
        <w:t xml:space="preserve"> m</w:t>
      </w:r>
      <w:r w:rsidR="00327A5A" w:rsidRPr="00FC442E">
        <w:rPr>
          <w:vertAlign w:val="superscript"/>
        </w:rPr>
        <w:t>3</w:t>
      </w:r>
      <w:r w:rsidR="00327A5A" w:rsidRPr="00FC442E">
        <w:t xml:space="preserve"> is US$ 0.</w:t>
      </w:r>
      <w:r w:rsidR="00990A83" w:rsidRPr="00FC442E">
        <w:t>36</w:t>
      </w:r>
      <w:r w:rsidR="00327A5A" w:rsidRPr="00FC442E">
        <w:t>/m</w:t>
      </w:r>
      <w:r w:rsidR="00327A5A" w:rsidRPr="00FC442E">
        <w:rPr>
          <w:vertAlign w:val="superscript"/>
        </w:rPr>
        <w:t>3</w:t>
      </w:r>
      <w:r w:rsidR="00327A5A" w:rsidRPr="00FC442E">
        <w:t>.</w:t>
      </w:r>
      <w:r w:rsidR="00327A5A" w:rsidRPr="00FC442E">
        <w:rPr>
          <w:rStyle w:val="FootnoteReference"/>
        </w:rPr>
        <w:footnoteReference w:id="4"/>
      </w:r>
      <w:r w:rsidR="00FD691E" w:rsidRPr="00FC442E">
        <w:t xml:space="preserve"> </w:t>
      </w:r>
      <w:r w:rsidR="00990A83" w:rsidRPr="00FC442E">
        <w:t>Additionally, the</w:t>
      </w:r>
      <w:r w:rsidR="00D40CE6" w:rsidRPr="00FC442E">
        <w:t xml:space="preserve"> incurred</w:t>
      </w:r>
      <w:r w:rsidR="004A3B0F" w:rsidRPr="00FC442E">
        <w:t xml:space="preserve"> incremental O&amp;M costs could not be obtained, </w:t>
      </w:r>
      <w:r w:rsidR="00D40CE6" w:rsidRPr="00FC442E">
        <w:t>then</w:t>
      </w:r>
      <w:r w:rsidR="00990A83" w:rsidRPr="00FC442E">
        <w:t xml:space="preserve"> </w:t>
      </w:r>
      <w:r w:rsidR="00D40CE6" w:rsidRPr="00FC442E">
        <w:t>i</w:t>
      </w:r>
      <w:r w:rsidR="00336892" w:rsidRPr="00FC442E">
        <w:t xml:space="preserve">t is assumed that the O&amp;M cost of the water meters is equal to 5% of the investment cost. </w:t>
      </w:r>
      <w:r w:rsidR="00D40CE6" w:rsidRPr="00FC442E">
        <w:t xml:space="preserve">The </w:t>
      </w:r>
      <w:r w:rsidR="00FD691E" w:rsidRPr="00FC442E">
        <w:t>Table 3.1 below summarizes the key parameters of the analysis.</w:t>
      </w:r>
    </w:p>
    <w:p w:rsidR="00FD691E" w:rsidRPr="00FC442E" w:rsidRDefault="00FD691E" w:rsidP="00A85B66">
      <w:pPr>
        <w:jc w:val="both"/>
      </w:pPr>
    </w:p>
    <w:p w:rsidR="00FD691E" w:rsidRPr="00FC442E" w:rsidRDefault="00FD691E" w:rsidP="00FD691E">
      <w:pPr>
        <w:autoSpaceDE w:val="0"/>
        <w:autoSpaceDN w:val="0"/>
        <w:adjustRightInd w:val="0"/>
        <w:jc w:val="center"/>
        <w:rPr>
          <w:b/>
          <w:bCs/>
        </w:rPr>
      </w:pPr>
      <w:r w:rsidRPr="00FC442E">
        <w:rPr>
          <w:b/>
          <w:bCs/>
        </w:rPr>
        <w:t>Table 3.1 CBA Parameters</w:t>
      </w:r>
    </w:p>
    <w:p w:rsidR="00FD691E" w:rsidRPr="00FC442E" w:rsidRDefault="00FD691E" w:rsidP="00FD691E">
      <w:pPr>
        <w:autoSpaceDE w:val="0"/>
        <w:autoSpaceDN w:val="0"/>
        <w:adjustRightInd w:val="0"/>
        <w:rPr>
          <w:sz w:val="22"/>
          <w:szCs w:val="22"/>
        </w:rPr>
      </w:pPr>
    </w:p>
    <w:tbl>
      <w:tblPr>
        <w:tblW w:w="654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82"/>
        <w:gridCol w:w="2062"/>
      </w:tblGrid>
      <w:tr w:rsidR="00FD691E" w:rsidRPr="00FC442E" w:rsidTr="00A251CE">
        <w:trPr>
          <w:jc w:val="center"/>
        </w:trPr>
        <w:tc>
          <w:tcPr>
            <w:tcW w:w="4482" w:type="dxa"/>
            <w:shd w:val="clear" w:color="auto" w:fill="CCCCCC"/>
            <w:vAlign w:val="center"/>
          </w:tcPr>
          <w:p w:rsidR="00FD691E" w:rsidRPr="00FC442E" w:rsidRDefault="00FD691E" w:rsidP="00A251CE">
            <w:pPr>
              <w:autoSpaceDE w:val="0"/>
              <w:autoSpaceDN w:val="0"/>
              <w:adjustRightInd w:val="0"/>
              <w:jc w:val="center"/>
              <w:rPr>
                <w:b/>
              </w:rPr>
            </w:pPr>
            <w:r w:rsidRPr="00FC442E">
              <w:rPr>
                <w:b/>
                <w:sz w:val="22"/>
                <w:szCs w:val="22"/>
              </w:rPr>
              <w:t>Parameter</w:t>
            </w:r>
          </w:p>
        </w:tc>
        <w:tc>
          <w:tcPr>
            <w:tcW w:w="2062" w:type="dxa"/>
            <w:shd w:val="clear" w:color="auto" w:fill="CCCCCC"/>
            <w:vAlign w:val="center"/>
          </w:tcPr>
          <w:p w:rsidR="00FD691E" w:rsidRPr="00FC442E" w:rsidRDefault="00FD691E" w:rsidP="00A251CE">
            <w:pPr>
              <w:autoSpaceDE w:val="0"/>
              <w:autoSpaceDN w:val="0"/>
              <w:adjustRightInd w:val="0"/>
              <w:jc w:val="center"/>
              <w:rPr>
                <w:b/>
              </w:rPr>
            </w:pPr>
            <w:r w:rsidRPr="00FC442E">
              <w:rPr>
                <w:b/>
              </w:rPr>
              <w:t>Value</w:t>
            </w:r>
          </w:p>
        </w:tc>
      </w:tr>
      <w:tr w:rsidR="00FD691E" w:rsidRPr="00FC442E" w:rsidTr="00A251CE">
        <w:trPr>
          <w:jc w:val="center"/>
        </w:trPr>
        <w:tc>
          <w:tcPr>
            <w:tcW w:w="4482" w:type="dxa"/>
            <w:vAlign w:val="center"/>
          </w:tcPr>
          <w:p w:rsidR="00FD691E" w:rsidRPr="00FC442E" w:rsidRDefault="00A251CE" w:rsidP="00336892">
            <w:pPr>
              <w:autoSpaceDE w:val="0"/>
              <w:autoSpaceDN w:val="0"/>
              <w:adjustRightInd w:val="0"/>
            </w:pPr>
            <w:r w:rsidRPr="00FC442E">
              <w:t>Water demand elasticity</w:t>
            </w:r>
          </w:p>
        </w:tc>
        <w:tc>
          <w:tcPr>
            <w:tcW w:w="2062" w:type="dxa"/>
            <w:vAlign w:val="center"/>
          </w:tcPr>
          <w:p w:rsidR="00FD691E" w:rsidRPr="00FC442E" w:rsidRDefault="00336892" w:rsidP="00A251CE">
            <w:pPr>
              <w:autoSpaceDE w:val="0"/>
              <w:autoSpaceDN w:val="0"/>
              <w:adjustRightInd w:val="0"/>
              <w:jc w:val="center"/>
            </w:pPr>
            <w:r w:rsidRPr="00FC442E">
              <w:t>-0.45</w:t>
            </w:r>
          </w:p>
        </w:tc>
      </w:tr>
      <w:tr w:rsidR="00FD691E" w:rsidRPr="00FC442E" w:rsidTr="00A251CE">
        <w:trPr>
          <w:jc w:val="center"/>
        </w:trPr>
        <w:tc>
          <w:tcPr>
            <w:tcW w:w="4482" w:type="dxa"/>
            <w:vAlign w:val="center"/>
          </w:tcPr>
          <w:p w:rsidR="00FD691E" w:rsidRPr="00FC442E" w:rsidRDefault="00336892" w:rsidP="00336892">
            <w:pPr>
              <w:autoSpaceDE w:val="0"/>
              <w:autoSpaceDN w:val="0"/>
              <w:adjustRightInd w:val="0"/>
            </w:pPr>
            <w:r w:rsidRPr="00FC442E">
              <w:t>Household average monthly consumption</w:t>
            </w:r>
          </w:p>
        </w:tc>
        <w:tc>
          <w:tcPr>
            <w:tcW w:w="2062" w:type="dxa"/>
            <w:vAlign w:val="center"/>
          </w:tcPr>
          <w:p w:rsidR="00FD691E" w:rsidRPr="00FC442E" w:rsidRDefault="00336892" w:rsidP="00A251CE">
            <w:pPr>
              <w:autoSpaceDE w:val="0"/>
              <w:autoSpaceDN w:val="0"/>
              <w:adjustRightInd w:val="0"/>
              <w:jc w:val="center"/>
            </w:pPr>
            <w:r w:rsidRPr="00FC442E">
              <w:t>1</w:t>
            </w:r>
            <w:r w:rsidR="00D40CE6" w:rsidRPr="00FC442E">
              <w:t>8</w:t>
            </w:r>
            <w:r w:rsidRPr="00FC442E">
              <w:t xml:space="preserve"> m</w:t>
            </w:r>
            <w:r w:rsidRPr="00FC442E">
              <w:rPr>
                <w:vertAlign w:val="superscript"/>
              </w:rPr>
              <w:t>3</w:t>
            </w:r>
          </w:p>
        </w:tc>
      </w:tr>
      <w:tr w:rsidR="00FD691E" w:rsidRPr="00FC442E" w:rsidTr="00A251CE">
        <w:trPr>
          <w:jc w:val="center"/>
        </w:trPr>
        <w:tc>
          <w:tcPr>
            <w:tcW w:w="4482" w:type="dxa"/>
            <w:vAlign w:val="center"/>
          </w:tcPr>
          <w:p w:rsidR="00FD691E" w:rsidRPr="00FC442E" w:rsidRDefault="00336892" w:rsidP="00336892">
            <w:pPr>
              <w:autoSpaceDE w:val="0"/>
              <w:autoSpaceDN w:val="0"/>
              <w:adjustRightInd w:val="0"/>
            </w:pPr>
            <w:r w:rsidRPr="00FC442E">
              <w:t>Tariff</w:t>
            </w:r>
          </w:p>
        </w:tc>
        <w:tc>
          <w:tcPr>
            <w:tcW w:w="2062" w:type="dxa"/>
            <w:vAlign w:val="center"/>
          </w:tcPr>
          <w:p w:rsidR="00FD691E" w:rsidRPr="00FC442E" w:rsidRDefault="00336892" w:rsidP="00A251CE">
            <w:pPr>
              <w:autoSpaceDE w:val="0"/>
              <w:autoSpaceDN w:val="0"/>
              <w:adjustRightInd w:val="0"/>
              <w:jc w:val="center"/>
            </w:pPr>
            <w:r w:rsidRPr="00FC442E">
              <w:t xml:space="preserve"> US$ 0.</w:t>
            </w:r>
            <w:r w:rsidR="00D40CE6" w:rsidRPr="00FC442E">
              <w:t>36</w:t>
            </w:r>
            <w:r w:rsidRPr="00FC442E">
              <w:t>/m</w:t>
            </w:r>
            <w:r w:rsidRPr="00FC442E">
              <w:rPr>
                <w:vertAlign w:val="superscript"/>
              </w:rPr>
              <w:t>3</w:t>
            </w:r>
          </w:p>
        </w:tc>
      </w:tr>
      <w:tr w:rsidR="00336892" w:rsidRPr="00FC442E" w:rsidTr="00A251CE">
        <w:trPr>
          <w:jc w:val="center"/>
        </w:trPr>
        <w:tc>
          <w:tcPr>
            <w:tcW w:w="4482" w:type="dxa"/>
            <w:vAlign w:val="center"/>
          </w:tcPr>
          <w:p w:rsidR="00336892" w:rsidRPr="00FC442E" w:rsidRDefault="00336892" w:rsidP="00336892">
            <w:pPr>
              <w:autoSpaceDE w:val="0"/>
              <w:autoSpaceDN w:val="0"/>
              <w:adjustRightInd w:val="0"/>
            </w:pPr>
            <w:r w:rsidRPr="00FC442E">
              <w:t>Opportunity cost</w:t>
            </w:r>
          </w:p>
        </w:tc>
        <w:tc>
          <w:tcPr>
            <w:tcW w:w="2062" w:type="dxa"/>
            <w:vAlign w:val="center"/>
          </w:tcPr>
          <w:p w:rsidR="00336892" w:rsidRPr="00FC442E" w:rsidRDefault="00336892" w:rsidP="00336892">
            <w:pPr>
              <w:autoSpaceDE w:val="0"/>
              <w:autoSpaceDN w:val="0"/>
              <w:adjustRightInd w:val="0"/>
              <w:jc w:val="center"/>
            </w:pPr>
            <w:r w:rsidRPr="00FC442E">
              <w:t>US$ 0.</w:t>
            </w:r>
            <w:r w:rsidR="00D40CE6" w:rsidRPr="00FC442E">
              <w:t>4148</w:t>
            </w:r>
            <w:r w:rsidRPr="00FC442E">
              <w:t>/m</w:t>
            </w:r>
            <w:r w:rsidRPr="00FC442E">
              <w:rPr>
                <w:vertAlign w:val="superscript"/>
              </w:rPr>
              <w:t>3</w:t>
            </w:r>
          </w:p>
        </w:tc>
      </w:tr>
      <w:tr w:rsidR="00FD691E" w:rsidRPr="00FC442E" w:rsidTr="00A251CE">
        <w:trPr>
          <w:jc w:val="center"/>
        </w:trPr>
        <w:tc>
          <w:tcPr>
            <w:tcW w:w="4482" w:type="dxa"/>
            <w:vAlign w:val="center"/>
          </w:tcPr>
          <w:p w:rsidR="00FD691E" w:rsidRPr="00FC442E" w:rsidRDefault="00336892" w:rsidP="00336892">
            <w:pPr>
              <w:autoSpaceDE w:val="0"/>
              <w:autoSpaceDN w:val="0"/>
              <w:adjustRightInd w:val="0"/>
            </w:pPr>
            <w:r w:rsidRPr="00FC442E">
              <w:t>Annual O&amp;M cost (as a % of investment)</w:t>
            </w:r>
          </w:p>
        </w:tc>
        <w:tc>
          <w:tcPr>
            <w:tcW w:w="2062" w:type="dxa"/>
            <w:vAlign w:val="center"/>
          </w:tcPr>
          <w:p w:rsidR="00FD691E" w:rsidRPr="00FC442E" w:rsidRDefault="00336892" w:rsidP="00336892">
            <w:pPr>
              <w:autoSpaceDE w:val="0"/>
              <w:autoSpaceDN w:val="0"/>
              <w:adjustRightInd w:val="0"/>
              <w:jc w:val="center"/>
            </w:pPr>
            <w:r w:rsidRPr="00FC442E">
              <w:t>5%</w:t>
            </w:r>
          </w:p>
        </w:tc>
      </w:tr>
    </w:tbl>
    <w:p w:rsidR="00336892" w:rsidRPr="00FC442E" w:rsidRDefault="00336892" w:rsidP="00F2769A">
      <w:pPr>
        <w:ind w:firstLine="720"/>
      </w:pPr>
    </w:p>
    <w:p w:rsidR="00336892" w:rsidRPr="00FC442E" w:rsidRDefault="00336892" w:rsidP="00336892">
      <w:pPr>
        <w:jc w:val="both"/>
      </w:pPr>
    </w:p>
    <w:p w:rsidR="00780BD9" w:rsidRPr="00FC442E" w:rsidRDefault="00336892" w:rsidP="00780BD9">
      <w:pPr>
        <w:autoSpaceDE w:val="0"/>
        <w:autoSpaceDN w:val="0"/>
        <w:adjustRightInd w:val="0"/>
        <w:jc w:val="both"/>
      </w:pPr>
      <w:r w:rsidRPr="00FC442E">
        <w:t xml:space="preserve">Using an economic life of </w:t>
      </w:r>
      <w:r w:rsidR="00031EAA" w:rsidRPr="00FC442E">
        <w:t>2</w:t>
      </w:r>
      <w:r w:rsidRPr="00FC442E">
        <w:t>0 years</w:t>
      </w:r>
      <w:r w:rsidR="00780BD9" w:rsidRPr="00FC442E">
        <w:t>, an evaluation horizon of 20 years,</w:t>
      </w:r>
      <w:r w:rsidRPr="00FC442E">
        <w:t xml:space="preserve"> and a discount rate of 12%, the present value of the costs of investment, combined with</w:t>
      </w:r>
      <w:r w:rsidR="00780BD9" w:rsidRPr="00FC442E">
        <w:t xml:space="preserve"> annual O&amp;M costs, was estimated to be US$ </w:t>
      </w:r>
      <w:r w:rsidR="00031EAA" w:rsidRPr="00FC442E">
        <w:t>0.74</w:t>
      </w:r>
      <w:r w:rsidR="00780BD9" w:rsidRPr="00FC442E">
        <w:t xml:space="preserve"> million which is lower than the present value of the resource savings US$ </w:t>
      </w:r>
      <w:r w:rsidR="00031EAA" w:rsidRPr="00FC442E">
        <w:t>1</w:t>
      </w:r>
      <w:r w:rsidR="00780BD9" w:rsidRPr="00FC442E">
        <w:t>.</w:t>
      </w:r>
      <w:r w:rsidR="00031EAA" w:rsidRPr="00FC442E">
        <w:t>28</w:t>
      </w:r>
      <w:r w:rsidR="00780BD9" w:rsidRPr="00FC442E">
        <w:t xml:space="preserve"> million. Therefore, the project is viable, with </w:t>
      </w:r>
      <w:r w:rsidR="00B909A7" w:rsidRPr="00FC442E">
        <w:t>an</w:t>
      </w:r>
      <w:r w:rsidR="00780BD9" w:rsidRPr="00FC442E">
        <w:t xml:space="preserve"> NPV of US$ </w:t>
      </w:r>
      <w:r w:rsidR="00031EAA" w:rsidRPr="00FC442E">
        <w:t>544,171</w:t>
      </w:r>
      <w:r w:rsidR="00780BD9" w:rsidRPr="00FC442E">
        <w:t xml:space="preserve"> and an I</w:t>
      </w:r>
      <w:r w:rsidRPr="00FC442E">
        <w:t xml:space="preserve">RR </w:t>
      </w:r>
      <w:r w:rsidR="00780BD9" w:rsidRPr="00FC442E">
        <w:t xml:space="preserve">of </w:t>
      </w:r>
      <w:r w:rsidR="00031EAA" w:rsidRPr="00FC442E">
        <w:t>29</w:t>
      </w:r>
      <w:r w:rsidR="00780BD9" w:rsidRPr="00FC442E">
        <w:t>.</w:t>
      </w:r>
      <w:r w:rsidR="00031EAA" w:rsidRPr="00FC442E">
        <w:t>9</w:t>
      </w:r>
      <w:r w:rsidR="00780BD9" w:rsidRPr="00FC442E">
        <w:t xml:space="preserve">% (see </w:t>
      </w:r>
      <w:r w:rsidR="00031EAA" w:rsidRPr="00FC442E">
        <w:t>T</w:t>
      </w:r>
      <w:r w:rsidRPr="00FC442E">
        <w:t xml:space="preserve">able </w:t>
      </w:r>
      <w:r w:rsidR="00696F40" w:rsidRPr="00FC442E">
        <w:t>3</w:t>
      </w:r>
      <w:r w:rsidRPr="00FC442E">
        <w:t>.</w:t>
      </w:r>
      <w:r w:rsidR="00696F40" w:rsidRPr="00FC442E">
        <w:t>2</w:t>
      </w:r>
      <w:r w:rsidRPr="00FC442E">
        <w:t xml:space="preserve"> below</w:t>
      </w:r>
      <w:r w:rsidR="00780BD9" w:rsidRPr="00FC442E">
        <w:t>)</w:t>
      </w:r>
      <w:r w:rsidRPr="00FC442E">
        <w:t>.</w:t>
      </w:r>
      <w:r w:rsidR="00780BD9" w:rsidRPr="00FC442E">
        <w:t xml:space="preserve"> The cash flow of the project is presented in Appendix 2.</w:t>
      </w:r>
    </w:p>
    <w:p w:rsidR="00336892" w:rsidRPr="00FC442E" w:rsidRDefault="00336892" w:rsidP="00336892">
      <w:pPr>
        <w:jc w:val="both"/>
      </w:pPr>
    </w:p>
    <w:p w:rsidR="00780BD9" w:rsidRPr="00FC442E" w:rsidRDefault="00780BD9" w:rsidP="00780BD9">
      <w:pPr>
        <w:autoSpaceDE w:val="0"/>
        <w:autoSpaceDN w:val="0"/>
        <w:adjustRightInd w:val="0"/>
        <w:jc w:val="center"/>
        <w:rPr>
          <w:b/>
          <w:bCs/>
        </w:rPr>
      </w:pPr>
      <w:r w:rsidRPr="00FC442E">
        <w:rPr>
          <w:b/>
          <w:bCs/>
        </w:rPr>
        <w:t>Table 3.2 Results of the Economic Analysis</w:t>
      </w:r>
    </w:p>
    <w:p w:rsidR="00780BD9" w:rsidRPr="00FC442E" w:rsidRDefault="00780BD9" w:rsidP="00780BD9">
      <w:pPr>
        <w:autoSpaceDE w:val="0"/>
        <w:autoSpaceDN w:val="0"/>
        <w:adjustRightInd w:val="0"/>
        <w:rPr>
          <w:sz w:val="22"/>
          <w:szCs w:val="22"/>
        </w:rPr>
      </w:pPr>
    </w:p>
    <w:tbl>
      <w:tblPr>
        <w:tblW w:w="50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978"/>
        <w:gridCol w:w="2062"/>
      </w:tblGrid>
      <w:tr w:rsidR="00780BD9" w:rsidRPr="00FC442E" w:rsidTr="00A96ABC">
        <w:trPr>
          <w:jc w:val="center"/>
        </w:trPr>
        <w:tc>
          <w:tcPr>
            <w:tcW w:w="2978" w:type="dxa"/>
            <w:shd w:val="clear" w:color="auto" w:fill="CCCCCC"/>
            <w:vAlign w:val="center"/>
          </w:tcPr>
          <w:p w:rsidR="00780BD9" w:rsidRPr="00FC442E" w:rsidRDefault="00780BD9" w:rsidP="00A96ABC">
            <w:pPr>
              <w:autoSpaceDE w:val="0"/>
              <w:autoSpaceDN w:val="0"/>
              <w:adjustRightInd w:val="0"/>
              <w:jc w:val="center"/>
              <w:rPr>
                <w:b/>
              </w:rPr>
            </w:pPr>
            <w:r w:rsidRPr="00FC442E">
              <w:rPr>
                <w:b/>
                <w:sz w:val="22"/>
                <w:szCs w:val="22"/>
              </w:rPr>
              <w:t>NPV</w:t>
            </w:r>
          </w:p>
        </w:tc>
        <w:tc>
          <w:tcPr>
            <w:tcW w:w="2062" w:type="dxa"/>
            <w:shd w:val="clear" w:color="auto" w:fill="CCCCCC"/>
            <w:vAlign w:val="center"/>
          </w:tcPr>
          <w:p w:rsidR="00780BD9" w:rsidRPr="00FC442E" w:rsidRDefault="00780BD9" w:rsidP="00A96ABC">
            <w:pPr>
              <w:autoSpaceDE w:val="0"/>
              <w:autoSpaceDN w:val="0"/>
              <w:adjustRightInd w:val="0"/>
              <w:jc w:val="center"/>
              <w:rPr>
                <w:b/>
              </w:rPr>
            </w:pPr>
            <w:r w:rsidRPr="00FC442E">
              <w:rPr>
                <w:b/>
                <w:sz w:val="22"/>
                <w:szCs w:val="22"/>
              </w:rPr>
              <w:t>IRR</w:t>
            </w:r>
          </w:p>
        </w:tc>
      </w:tr>
      <w:tr w:rsidR="00780BD9" w:rsidRPr="00FC442E" w:rsidTr="00A96ABC">
        <w:trPr>
          <w:jc w:val="center"/>
        </w:trPr>
        <w:tc>
          <w:tcPr>
            <w:tcW w:w="2978" w:type="dxa"/>
            <w:vAlign w:val="center"/>
          </w:tcPr>
          <w:p w:rsidR="00780BD9" w:rsidRPr="00FC442E" w:rsidRDefault="00780BD9" w:rsidP="00780BD9">
            <w:pPr>
              <w:autoSpaceDE w:val="0"/>
              <w:autoSpaceDN w:val="0"/>
              <w:adjustRightInd w:val="0"/>
              <w:jc w:val="center"/>
            </w:pPr>
            <w:r w:rsidRPr="00FC442E">
              <w:t xml:space="preserve"> US$ </w:t>
            </w:r>
            <w:r w:rsidR="00031EAA" w:rsidRPr="00FC442E">
              <w:t>544,171</w:t>
            </w:r>
          </w:p>
        </w:tc>
        <w:tc>
          <w:tcPr>
            <w:tcW w:w="2062" w:type="dxa"/>
            <w:vAlign w:val="center"/>
          </w:tcPr>
          <w:p w:rsidR="00780BD9" w:rsidRPr="00FC442E" w:rsidRDefault="00031EAA" w:rsidP="00A96ABC">
            <w:pPr>
              <w:autoSpaceDE w:val="0"/>
              <w:autoSpaceDN w:val="0"/>
              <w:adjustRightInd w:val="0"/>
              <w:jc w:val="center"/>
            </w:pPr>
            <w:r w:rsidRPr="00FC442E">
              <w:t>29.9</w:t>
            </w:r>
            <w:r w:rsidR="00780BD9" w:rsidRPr="00FC442E">
              <w:t>%</w:t>
            </w:r>
          </w:p>
        </w:tc>
      </w:tr>
    </w:tbl>
    <w:p w:rsidR="00780BD9" w:rsidRPr="00FC442E" w:rsidRDefault="00780BD9" w:rsidP="00780BD9">
      <w:pPr>
        <w:pStyle w:val="texte"/>
        <w:rPr>
          <w:rFonts w:ascii="Times New Roman" w:hAnsi="Times New Roman"/>
          <w:lang w:val="en-US"/>
        </w:rPr>
      </w:pPr>
    </w:p>
    <w:p w:rsidR="00F40480" w:rsidRPr="00FC442E" w:rsidRDefault="00F40480" w:rsidP="00F40480">
      <w:pPr>
        <w:jc w:val="both"/>
      </w:pPr>
      <w:r w:rsidRPr="00FC442E">
        <w:t>Given the uncertainty regarding the elasticity of demand value, a sensitivity analysis was conducted i</w:t>
      </w:r>
      <w:r w:rsidR="00AD1D01" w:rsidRPr="00FC442E">
        <w:t>ncorporating</w:t>
      </w:r>
      <w:r w:rsidRPr="00FC442E">
        <w:t xml:space="preserve"> the assumption that the elasticity is between -0.6 and -0.3 to see if the conclusion on feasibility changes. It also calculate</w:t>
      </w:r>
      <w:r w:rsidR="00AD1D01" w:rsidRPr="00FC442E">
        <w:t>d</w:t>
      </w:r>
      <w:r w:rsidRPr="00FC442E">
        <w:t xml:space="preserve"> the value of the elasticity that would change the conclusion (the switching point).</w:t>
      </w:r>
      <w:r w:rsidRPr="00FC442E">
        <w:tab/>
      </w:r>
      <w:r w:rsidR="00696F40" w:rsidRPr="00FC442E">
        <w:t xml:space="preserve">Additionally, </w:t>
      </w:r>
      <w:r w:rsidR="00364562" w:rsidRPr="00FC442E">
        <w:t>considering</w:t>
      </w:r>
      <w:r w:rsidR="00696F40" w:rsidRPr="00FC442E">
        <w:t xml:space="preserve"> that the actual incremental O&amp;M costs could not be obtained, also a sensitivity analysis was conducted and presented in the Table 3.3 below. </w:t>
      </w:r>
    </w:p>
    <w:p w:rsidR="00336892" w:rsidRPr="00FC442E" w:rsidRDefault="00336892" w:rsidP="00336892"/>
    <w:p w:rsidR="00F40480" w:rsidRPr="00FC442E" w:rsidRDefault="00F40480" w:rsidP="00F40480">
      <w:pPr>
        <w:autoSpaceDE w:val="0"/>
        <w:autoSpaceDN w:val="0"/>
        <w:adjustRightInd w:val="0"/>
        <w:jc w:val="center"/>
        <w:rPr>
          <w:b/>
          <w:bCs/>
        </w:rPr>
      </w:pPr>
      <w:r w:rsidRPr="00FC442E">
        <w:rPr>
          <w:b/>
          <w:bCs/>
        </w:rPr>
        <w:t xml:space="preserve">Table </w:t>
      </w:r>
      <w:r w:rsidR="00696F40" w:rsidRPr="00FC442E">
        <w:rPr>
          <w:b/>
          <w:bCs/>
        </w:rPr>
        <w:t>3</w:t>
      </w:r>
      <w:r w:rsidRPr="00FC442E">
        <w:rPr>
          <w:b/>
          <w:bCs/>
        </w:rPr>
        <w:t>.</w:t>
      </w:r>
      <w:r w:rsidR="00696F40" w:rsidRPr="00FC442E">
        <w:rPr>
          <w:b/>
          <w:bCs/>
        </w:rPr>
        <w:t>3</w:t>
      </w:r>
      <w:r w:rsidRPr="00FC442E">
        <w:rPr>
          <w:b/>
          <w:bCs/>
        </w:rPr>
        <w:t xml:space="preserve"> Results of Sensitivity Analysis</w:t>
      </w:r>
    </w:p>
    <w:p w:rsidR="00F40480" w:rsidRPr="00FC442E" w:rsidRDefault="00F40480" w:rsidP="00F40480">
      <w:pPr>
        <w:autoSpaceDE w:val="0"/>
        <w:autoSpaceDN w:val="0"/>
        <w:adjustRightInd w:val="0"/>
        <w:rPr>
          <w:sz w:val="22"/>
          <w:szCs w:val="22"/>
          <w:highlight w:val="yellow"/>
        </w:rPr>
      </w:pPr>
    </w:p>
    <w:tbl>
      <w:tblPr>
        <w:tblW w:w="899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382"/>
        <w:gridCol w:w="1804"/>
        <w:gridCol w:w="1804"/>
      </w:tblGrid>
      <w:tr w:rsidR="00AD1D01" w:rsidRPr="00FC442E" w:rsidTr="00AD1D01">
        <w:trPr>
          <w:trHeight w:val="276"/>
          <w:jc w:val="center"/>
        </w:trPr>
        <w:tc>
          <w:tcPr>
            <w:tcW w:w="5382" w:type="dxa"/>
            <w:tcBorders>
              <w:top w:val="single" w:sz="12" w:space="0" w:color="auto"/>
              <w:bottom w:val="single" w:sz="6" w:space="0" w:color="auto"/>
            </w:tcBorders>
            <w:shd w:val="clear" w:color="auto" w:fill="CCCCCC"/>
            <w:vAlign w:val="center"/>
          </w:tcPr>
          <w:p w:rsidR="00AD1D01" w:rsidRPr="00FC442E" w:rsidRDefault="00724CEC" w:rsidP="00724CEC">
            <w:pPr>
              <w:autoSpaceDE w:val="0"/>
              <w:autoSpaceDN w:val="0"/>
              <w:adjustRightInd w:val="0"/>
              <w:jc w:val="center"/>
              <w:rPr>
                <w:b/>
              </w:rPr>
            </w:pPr>
            <w:r w:rsidRPr="00FC442E">
              <w:rPr>
                <w:b/>
                <w:bCs/>
                <w:sz w:val="22"/>
                <w:szCs w:val="22"/>
              </w:rPr>
              <w:t xml:space="preserve">Elasticity </w:t>
            </w:r>
            <w:r w:rsidR="00AD1D01" w:rsidRPr="00FC442E">
              <w:rPr>
                <w:b/>
                <w:bCs/>
                <w:sz w:val="22"/>
                <w:szCs w:val="22"/>
              </w:rPr>
              <w:t>Va</w:t>
            </w:r>
            <w:r w:rsidRPr="00FC442E">
              <w:rPr>
                <w:b/>
                <w:bCs/>
                <w:sz w:val="22"/>
                <w:szCs w:val="22"/>
              </w:rPr>
              <w:t>lu</w:t>
            </w:r>
            <w:r w:rsidR="00AD1D01" w:rsidRPr="00FC442E">
              <w:rPr>
                <w:b/>
                <w:bCs/>
                <w:sz w:val="22"/>
                <w:szCs w:val="22"/>
              </w:rPr>
              <w:t>es</w:t>
            </w:r>
          </w:p>
        </w:tc>
        <w:tc>
          <w:tcPr>
            <w:tcW w:w="1804" w:type="dxa"/>
            <w:tcBorders>
              <w:top w:val="single" w:sz="12" w:space="0" w:color="auto"/>
              <w:bottom w:val="single" w:sz="6" w:space="0" w:color="auto"/>
            </w:tcBorders>
            <w:shd w:val="clear" w:color="auto" w:fill="CCCCCC"/>
          </w:tcPr>
          <w:p w:rsidR="00AD1D01" w:rsidRPr="00FC442E" w:rsidRDefault="00AD1D01" w:rsidP="00A96ABC">
            <w:pPr>
              <w:autoSpaceDE w:val="0"/>
              <w:autoSpaceDN w:val="0"/>
              <w:adjustRightInd w:val="0"/>
              <w:jc w:val="center"/>
              <w:rPr>
                <w:b/>
                <w:bCs/>
              </w:rPr>
            </w:pPr>
            <w:r w:rsidRPr="00FC442E">
              <w:rPr>
                <w:b/>
                <w:bCs/>
              </w:rPr>
              <w:t>NPV</w:t>
            </w:r>
          </w:p>
        </w:tc>
        <w:tc>
          <w:tcPr>
            <w:tcW w:w="1804" w:type="dxa"/>
            <w:tcBorders>
              <w:top w:val="single" w:sz="12" w:space="0" w:color="auto"/>
              <w:bottom w:val="single" w:sz="6" w:space="0" w:color="auto"/>
            </w:tcBorders>
            <w:shd w:val="clear" w:color="auto" w:fill="CCCCCC"/>
            <w:vAlign w:val="center"/>
          </w:tcPr>
          <w:p w:rsidR="00AD1D01" w:rsidRPr="00FC442E" w:rsidRDefault="00AD1D01" w:rsidP="00A96ABC">
            <w:pPr>
              <w:autoSpaceDE w:val="0"/>
              <w:autoSpaceDN w:val="0"/>
              <w:adjustRightInd w:val="0"/>
              <w:jc w:val="center"/>
              <w:rPr>
                <w:b/>
                <w:bCs/>
              </w:rPr>
            </w:pPr>
            <w:r w:rsidRPr="00FC442E">
              <w:rPr>
                <w:b/>
                <w:bCs/>
              </w:rPr>
              <w:t>IRR</w:t>
            </w:r>
          </w:p>
        </w:tc>
      </w:tr>
      <w:tr w:rsidR="00AD1D01" w:rsidRPr="00FC442E" w:rsidTr="00AD1D01">
        <w:trPr>
          <w:trHeight w:val="276"/>
          <w:jc w:val="center"/>
        </w:trPr>
        <w:tc>
          <w:tcPr>
            <w:tcW w:w="5382" w:type="dxa"/>
            <w:tcBorders>
              <w:top w:val="single" w:sz="6" w:space="0" w:color="auto"/>
            </w:tcBorders>
          </w:tcPr>
          <w:p w:rsidR="00AD1D01" w:rsidRPr="00FC442E" w:rsidRDefault="00AD1D01" w:rsidP="00AD1D01">
            <w:pPr>
              <w:autoSpaceDE w:val="0"/>
              <w:autoSpaceDN w:val="0"/>
              <w:adjustRightInd w:val="0"/>
            </w:pPr>
            <w:r w:rsidRPr="00FC442E">
              <w:t>elasticity of demand = -0.6</w:t>
            </w:r>
          </w:p>
        </w:tc>
        <w:tc>
          <w:tcPr>
            <w:tcW w:w="1804" w:type="dxa"/>
            <w:tcBorders>
              <w:top w:val="single" w:sz="6" w:space="0" w:color="auto"/>
            </w:tcBorders>
          </w:tcPr>
          <w:p w:rsidR="00AD1D01" w:rsidRPr="00FC442E" w:rsidRDefault="00AD1D01" w:rsidP="00A96ABC">
            <w:pPr>
              <w:autoSpaceDE w:val="0"/>
              <w:autoSpaceDN w:val="0"/>
              <w:adjustRightInd w:val="0"/>
              <w:jc w:val="center"/>
            </w:pPr>
            <w:r w:rsidRPr="00FC442E">
              <w:t>US$</w:t>
            </w:r>
            <w:r w:rsidR="00CB2790" w:rsidRPr="00FC442E">
              <w:t>971,532</w:t>
            </w:r>
          </w:p>
        </w:tc>
        <w:tc>
          <w:tcPr>
            <w:tcW w:w="1804" w:type="dxa"/>
            <w:tcBorders>
              <w:top w:val="single" w:sz="6" w:space="0" w:color="auto"/>
            </w:tcBorders>
            <w:vAlign w:val="center"/>
          </w:tcPr>
          <w:p w:rsidR="00AD1D01" w:rsidRPr="00FC442E" w:rsidRDefault="00CB2790" w:rsidP="00AD1D01">
            <w:pPr>
              <w:autoSpaceDE w:val="0"/>
              <w:autoSpaceDN w:val="0"/>
              <w:adjustRightInd w:val="0"/>
              <w:jc w:val="center"/>
            </w:pPr>
            <w:r w:rsidRPr="00FC442E">
              <w:t>45.9</w:t>
            </w:r>
            <w:r w:rsidR="00AD1D01" w:rsidRPr="00FC442E">
              <w:t>%</w:t>
            </w:r>
          </w:p>
        </w:tc>
      </w:tr>
      <w:tr w:rsidR="00AD1D01" w:rsidRPr="00FC442E" w:rsidTr="00AD1D01">
        <w:trPr>
          <w:trHeight w:val="276"/>
          <w:jc w:val="center"/>
        </w:trPr>
        <w:tc>
          <w:tcPr>
            <w:tcW w:w="5382" w:type="dxa"/>
          </w:tcPr>
          <w:p w:rsidR="00AD1D01" w:rsidRPr="00FC442E" w:rsidRDefault="00AD1D01" w:rsidP="00A96ABC">
            <w:pPr>
              <w:autoSpaceDE w:val="0"/>
              <w:autoSpaceDN w:val="0"/>
              <w:adjustRightInd w:val="0"/>
            </w:pPr>
            <w:r w:rsidRPr="00FC442E">
              <w:t>elasticity of demand = -0.3</w:t>
            </w:r>
          </w:p>
        </w:tc>
        <w:tc>
          <w:tcPr>
            <w:tcW w:w="1804" w:type="dxa"/>
          </w:tcPr>
          <w:p w:rsidR="00AD1D01" w:rsidRPr="00FC442E" w:rsidRDefault="00AD1D01" w:rsidP="00CB2790">
            <w:pPr>
              <w:autoSpaceDE w:val="0"/>
              <w:autoSpaceDN w:val="0"/>
              <w:adjustRightInd w:val="0"/>
              <w:jc w:val="center"/>
              <w:rPr>
                <w:b/>
                <w:bCs/>
                <w:szCs w:val="22"/>
              </w:rPr>
            </w:pPr>
            <w:r w:rsidRPr="00FC442E">
              <w:t>US$</w:t>
            </w:r>
            <w:r w:rsidR="00CB2790" w:rsidRPr="00FC442E">
              <w:t>116,810</w:t>
            </w:r>
          </w:p>
        </w:tc>
        <w:tc>
          <w:tcPr>
            <w:tcW w:w="1804" w:type="dxa"/>
            <w:vAlign w:val="center"/>
          </w:tcPr>
          <w:p w:rsidR="00AD1D01" w:rsidRPr="00FC442E" w:rsidRDefault="00CB2790" w:rsidP="00A96ABC">
            <w:pPr>
              <w:autoSpaceDE w:val="0"/>
              <w:autoSpaceDN w:val="0"/>
              <w:adjustRightInd w:val="0"/>
              <w:jc w:val="center"/>
            </w:pPr>
            <w:r w:rsidRPr="00FC442E">
              <w:t>15.8</w:t>
            </w:r>
            <w:r w:rsidR="00AD1D01" w:rsidRPr="00FC442E">
              <w:t>%</w:t>
            </w:r>
          </w:p>
        </w:tc>
      </w:tr>
      <w:tr w:rsidR="00AD1D01" w:rsidRPr="00FC442E" w:rsidTr="00AD1D01">
        <w:trPr>
          <w:trHeight w:val="276"/>
          <w:jc w:val="center"/>
        </w:trPr>
        <w:tc>
          <w:tcPr>
            <w:tcW w:w="5382" w:type="dxa"/>
          </w:tcPr>
          <w:p w:rsidR="00AD1D01" w:rsidRPr="00FC442E" w:rsidRDefault="00AD1D01" w:rsidP="00A96ABC">
            <w:pPr>
              <w:autoSpaceDE w:val="0"/>
              <w:autoSpaceDN w:val="0"/>
              <w:adjustRightInd w:val="0"/>
            </w:pPr>
            <w:r w:rsidRPr="00FC442E">
              <w:t>elasticity of demand = -0.2</w:t>
            </w:r>
            <w:r w:rsidR="00475D12" w:rsidRPr="00FC442E">
              <w:t>59</w:t>
            </w:r>
            <w:r w:rsidRPr="00FC442E">
              <w:t xml:space="preserve"> (switching point)</w:t>
            </w:r>
          </w:p>
        </w:tc>
        <w:tc>
          <w:tcPr>
            <w:tcW w:w="1804" w:type="dxa"/>
          </w:tcPr>
          <w:p w:rsidR="00AD1D01" w:rsidRPr="00FC442E" w:rsidRDefault="00AD1D01" w:rsidP="00A96ABC">
            <w:pPr>
              <w:autoSpaceDE w:val="0"/>
              <w:autoSpaceDN w:val="0"/>
              <w:adjustRightInd w:val="0"/>
              <w:jc w:val="center"/>
            </w:pPr>
            <w:r w:rsidRPr="00FC442E">
              <w:t>US$</w:t>
            </w:r>
            <w:r w:rsidR="00475D12" w:rsidRPr="00FC442E">
              <w:t>0</w:t>
            </w:r>
          </w:p>
        </w:tc>
        <w:tc>
          <w:tcPr>
            <w:tcW w:w="1804" w:type="dxa"/>
            <w:vAlign w:val="center"/>
          </w:tcPr>
          <w:p w:rsidR="00AD1D01" w:rsidRPr="00FC442E" w:rsidRDefault="00475D12" w:rsidP="00A96ABC">
            <w:pPr>
              <w:autoSpaceDE w:val="0"/>
              <w:autoSpaceDN w:val="0"/>
              <w:adjustRightInd w:val="0"/>
              <w:jc w:val="center"/>
            </w:pPr>
            <w:r w:rsidRPr="00FC442E">
              <w:t>12.0</w:t>
            </w:r>
            <w:r w:rsidR="00AD1D01" w:rsidRPr="00FC442E">
              <w:t>%</w:t>
            </w:r>
          </w:p>
        </w:tc>
      </w:tr>
      <w:tr w:rsidR="00657992" w:rsidRPr="00FC442E" w:rsidTr="00AD1D01">
        <w:trPr>
          <w:trHeight w:val="276"/>
          <w:jc w:val="center"/>
        </w:trPr>
        <w:tc>
          <w:tcPr>
            <w:tcW w:w="5382" w:type="dxa"/>
          </w:tcPr>
          <w:p w:rsidR="00657992" w:rsidRPr="00FC442E" w:rsidRDefault="00657992" w:rsidP="00657992">
            <w:pPr>
              <w:autoSpaceDE w:val="0"/>
              <w:autoSpaceDN w:val="0"/>
              <w:adjustRightInd w:val="0"/>
            </w:pPr>
            <w:r w:rsidRPr="00FC442E">
              <w:t>O&amp;M = 10% of investment costs</w:t>
            </w:r>
          </w:p>
        </w:tc>
        <w:tc>
          <w:tcPr>
            <w:tcW w:w="1804" w:type="dxa"/>
          </w:tcPr>
          <w:p w:rsidR="00657992" w:rsidRPr="00FC442E" w:rsidRDefault="00657992" w:rsidP="00657992">
            <w:pPr>
              <w:autoSpaceDE w:val="0"/>
              <w:autoSpaceDN w:val="0"/>
              <w:adjustRightInd w:val="0"/>
              <w:jc w:val="center"/>
            </w:pPr>
            <w:r w:rsidRPr="00FC442E">
              <w:t>US$325,306</w:t>
            </w:r>
          </w:p>
        </w:tc>
        <w:tc>
          <w:tcPr>
            <w:tcW w:w="1804" w:type="dxa"/>
            <w:vAlign w:val="center"/>
          </w:tcPr>
          <w:p w:rsidR="00657992" w:rsidRPr="00FC442E" w:rsidRDefault="00657992" w:rsidP="00657992">
            <w:pPr>
              <w:autoSpaceDE w:val="0"/>
              <w:autoSpaceDN w:val="0"/>
              <w:adjustRightInd w:val="0"/>
              <w:jc w:val="center"/>
            </w:pPr>
            <w:r w:rsidRPr="00FC442E">
              <w:t>22.4%</w:t>
            </w:r>
          </w:p>
        </w:tc>
      </w:tr>
      <w:tr w:rsidR="00657992" w:rsidRPr="00FC442E" w:rsidTr="00AD1D01">
        <w:trPr>
          <w:trHeight w:val="276"/>
          <w:jc w:val="center"/>
        </w:trPr>
        <w:tc>
          <w:tcPr>
            <w:tcW w:w="5382" w:type="dxa"/>
          </w:tcPr>
          <w:p w:rsidR="00657992" w:rsidRPr="00FC442E" w:rsidRDefault="00657992" w:rsidP="00657992">
            <w:pPr>
              <w:autoSpaceDE w:val="0"/>
              <w:autoSpaceDN w:val="0"/>
              <w:adjustRightInd w:val="0"/>
            </w:pPr>
            <w:r w:rsidRPr="00FC442E">
              <w:t>O&amp;M = 15% of investment costs</w:t>
            </w:r>
          </w:p>
        </w:tc>
        <w:tc>
          <w:tcPr>
            <w:tcW w:w="1804" w:type="dxa"/>
          </w:tcPr>
          <w:p w:rsidR="00657992" w:rsidRPr="00FC442E" w:rsidRDefault="00657992" w:rsidP="00657992">
            <w:pPr>
              <w:autoSpaceDE w:val="0"/>
              <w:autoSpaceDN w:val="0"/>
              <w:adjustRightInd w:val="0"/>
              <w:jc w:val="center"/>
              <w:rPr>
                <w:b/>
                <w:bCs/>
                <w:szCs w:val="22"/>
              </w:rPr>
            </w:pPr>
            <w:r w:rsidRPr="00FC442E">
              <w:t>US$106,441</w:t>
            </w:r>
          </w:p>
        </w:tc>
        <w:tc>
          <w:tcPr>
            <w:tcW w:w="1804" w:type="dxa"/>
            <w:vAlign w:val="center"/>
          </w:tcPr>
          <w:p w:rsidR="00657992" w:rsidRPr="00FC442E" w:rsidRDefault="00657992" w:rsidP="00657992">
            <w:pPr>
              <w:autoSpaceDE w:val="0"/>
              <w:autoSpaceDN w:val="0"/>
              <w:adjustRightInd w:val="0"/>
              <w:jc w:val="center"/>
            </w:pPr>
            <w:r w:rsidRPr="00FC442E">
              <w:t>15.4%</w:t>
            </w:r>
          </w:p>
        </w:tc>
      </w:tr>
      <w:tr w:rsidR="00657992" w:rsidRPr="00FC442E" w:rsidTr="00AD1D01">
        <w:trPr>
          <w:trHeight w:val="276"/>
          <w:jc w:val="center"/>
        </w:trPr>
        <w:tc>
          <w:tcPr>
            <w:tcW w:w="5382" w:type="dxa"/>
          </w:tcPr>
          <w:p w:rsidR="00657992" w:rsidRPr="00FC442E" w:rsidRDefault="00657992" w:rsidP="00657992">
            <w:pPr>
              <w:autoSpaceDE w:val="0"/>
              <w:autoSpaceDN w:val="0"/>
              <w:adjustRightInd w:val="0"/>
            </w:pPr>
            <w:r w:rsidRPr="00FC442E">
              <w:t>O&amp;M = 17.4% of investment costs (switching point)</w:t>
            </w:r>
          </w:p>
        </w:tc>
        <w:tc>
          <w:tcPr>
            <w:tcW w:w="1804" w:type="dxa"/>
          </w:tcPr>
          <w:p w:rsidR="00657992" w:rsidRPr="00FC442E" w:rsidRDefault="00657992" w:rsidP="00657992">
            <w:pPr>
              <w:autoSpaceDE w:val="0"/>
              <w:autoSpaceDN w:val="0"/>
              <w:adjustRightInd w:val="0"/>
              <w:jc w:val="center"/>
            </w:pPr>
            <w:r w:rsidRPr="00FC442E">
              <w:t>US$0</w:t>
            </w:r>
          </w:p>
        </w:tc>
        <w:tc>
          <w:tcPr>
            <w:tcW w:w="1804" w:type="dxa"/>
            <w:vAlign w:val="center"/>
          </w:tcPr>
          <w:p w:rsidR="00657992" w:rsidRPr="00FC442E" w:rsidRDefault="00657992" w:rsidP="00657992">
            <w:pPr>
              <w:autoSpaceDE w:val="0"/>
              <w:autoSpaceDN w:val="0"/>
              <w:adjustRightInd w:val="0"/>
              <w:jc w:val="center"/>
            </w:pPr>
            <w:r w:rsidRPr="00FC442E">
              <w:t>12.0%</w:t>
            </w:r>
          </w:p>
        </w:tc>
      </w:tr>
    </w:tbl>
    <w:p w:rsidR="00336892" w:rsidRPr="00FC442E" w:rsidRDefault="00336892" w:rsidP="00336892"/>
    <w:p w:rsidR="00724CEC" w:rsidRPr="00FC442E" w:rsidRDefault="00724CEC" w:rsidP="005E3C5D">
      <w:pPr>
        <w:jc w:val="both"/>
      </w:pPr>
      <w:r w:rsidRPr="00FC442E">
        <w:t xml:space="preserve">If the real elasticity of demand is included in what is considered a normal range, then the conclusion on feasibility is sustained. </w:t>
      </w:r>
      <w:r w:rsidR="005E3C5D" w:rsidRPr="00FC442E">
        <w:t>An elasticity</w:t>
      </w:r>
      <w:r w:rsidRPr="00FC442E">
        <w:t xml:space="preserve"> value of -0.2</w:t>
      </w:r>
      <w:r w:rsidR="00BB59DB" w:rsidRPr="00FC442E">
        <w:t>59</w:t>
      </w:r>
      <w:r w:rsidRPr="00FC442E">
        <w:t xml:space="preserve"> or lower would make the project non-feasible. </w:t>
      </w:r>
      <w:r w:rsidR="005E3C5D" w:rsidRPr="00FC442E">
        <w:t xml:space="preserve">However, conservative values were used for the rest of the parameters, </w:t>
      </w:r>
      <w:r w:rsidR="00A96ABC" w:rsidRPr="00FC442E">
        <w:t>thus the non-feasibility of the project appears very unlikely</w:t>
      </w:r>
      <w:r w:rsidR="005E3C5D" w:rsidRPr="00FC442E">
        <w:t xml:space="preserve">. </w:t>
      </w:r>
      <w:r w:rsidR="00BB59DB" w:rsidRPr="00FC442E">
        <w:t>Similarly, the project would not be feasib</w:t>
      </w:r>
      <w:r w:rsidR="00EF5155" w:rsidRPr="00FC442E">
        <w:t xml:space="preserve">le if the incremental O&amp;M of the micrometers represents 17.4% or higher of the investment costs, which is very unlikely </w:t>
      </w:r>
      <w:r w:rsidR="00EE3A53" w:rsidRPr="00FC442E">
        <w:t>considering</w:t>
      </w:r>
      <w:r w:rsidR="00EF5155" w:rsidRPr="00FC442E">
        <w:t xml:space="preserve"> the nature of the intervention. </w:t>
      </w:r>
    </w:p>
    <w:p w:rsidR="005E3C5D" w:rsidRPr="00FC442E" w:rsidRDefault="005E3C5D" w:rsidP="00336892"/>
    <w:p w:rsidR="00E0546E" w:rsidRPr="00FC442E" w:rsidRDefault="00E0546E" w:rsidP="00711E13">
      <w:pPr>
        <w:autoSpaceDE w:val="0"/>
        <w:autoSpaceDN w:val="0"/>
        <w:adjustRightInd w:val="0"/>
        <w:rPr>
          <w:b/>
          <w:bCs/>
          <w:sz w:val="22"/>
          <w:szCs w:val="22"/>
        </w:rPr>
      </w:pPr>
    </w:p>
    <w:p w:rsidR="00711E13" w:rsidRPr="00FC442E" w:rsidRDefault="002C44E5" w:rsidP="00E32E25">
      <w:pPr>
        <w:pStyle w:val="Footer"/>
        <w:numPr>
          <w:ilvl w:val="0"/>
          <w:numId w:val="2"/>
        </w:numPr>
        <w:tabs>
          <w:tab w:val="clear" w:pos="4819"/>
          <w:tab w:val="clear" w:pos="9638"/>
        </w:tabs>
        <w:rPr>
          <w:b/>
          <w:szCs w:val="24"/>
          <w:lang w:val="en-US"/>
        </w:rPr>
      </w:pPr>
      <w:r w:rsidRPr="00FC442E">
        <w:rPr>
          <w:b/>
          <w:szCs w:val="24"/>
          <w:lang w:val="en-US"/>
        </w:rPr>
        <w:t>ENERGY EFFICIENCY</w:t>
      </w:r>
    </w:p>
    <w:p w:rsidR="002C44E5" w:rsidRPr="00FC442E" w:rsidRDefault="002C44E5" w:rsidP="002C44E5">
      <w:pPr>
        <w:pStyle w:val="Footer"/>
        <w:tabs>
          <w:tab w:val="clear" w:pos="4819"/>
          <w:tab w:val="clear" w:pos="9638"/>
        </w:tabs>
        <w:rPr>
          <w:b/>
          <w:szCs w:val="24"/>
          <w:lang w:val="en-US"/>
        </w:rPr>
      </w:pPr>
    </w:p>
    <w:p w:rsidR="002D564A" w:rsidRPr="00FC442E" w:rsidRDefault="00532614" w:rsidP="006B4D6E">
      <w:pPr>
        <w:pStyle w:val="texte"/>
        <w:spacing w:line="240" w:lineRule="auto"/>
        <w:rPr>
          <w:rFonts w:ascii="Times New Roman" w:hAnsi="Times New Roman"/>
          <w:sz w:val="24"/>
          <w:szCs w:val="24"/>
          <w:lang w:val="en-US"/>
        </w:rPr>
      </w:pPr>
      <w:r w:rsidRPr="00FC442E">
        <w:rPr>
          <w:rFonts w:ascii="Times New Roman" w:hAnsi="Times New Roman"/>
          <w:sz w:val="24"/>
          <w:szCs w:val="24"/>
          <w:lang w:val="en-US"/>
        </w:rPr>
        <w:t>At the time this operation was prepared t</w:t>
      </w:r>
      <w:r w:rsidR="00D478EA" w:rsidRPr="00FC442E">
        <w:rPr>
          <w:rFonts w:ascii="Times New Roman" w:hAnsi="Times New Roman"/>
          <w:sz w:val="24"/>
          <w:szCs w:val="24"/>
          <w:lang w:val="en-US"/>
        </w:rPr>
        <w:t xml:space="preserve">he annual cost of electricity for SWM </w:t>
      </w:r>
      <w:r w:rsidR="009C7912" w:rsidRPr="00FC442E">
        <w:rPr>
          <w:rFonts w:ascii="Times New Roman" w:hAnsi="Times New Roman"/>
          <w:sz w:val="24"/>
          <w:szCs w:val="24"/>
          <w:lang w:val="en-US"/>
        </w:rPr>
        <w:t>wa</w:t>
      </w:r>
      <w:r w:rsidR="00D478EA" w:rsidRPr="00FC442E">
        <w:rPr>
          <w:rFonts w:ascii="Times New Roman" w:hAnsi="Times New Roman"/>
          <w:sz w:val="24"/>
          <w:szCs w:val="24"/>
          <w:lang w:val="en-US"/>
        </w:rPr>
        <w:t>s approximately USD $1,0</w:t>
      </w:r>
      <w:r w:rsidR="009E0A1C" w:rsidRPr="00FC442E">
        <w:rPr>
          <w:rFonts w:ascii="Times New Roman" w:hAnsi="Times New Roman"/>
          <w:sz w:val="24"/>
          <w:szCs w:val="24"/>
          <w:lang w:val="en-US"/>
        </w:rPr>
        <w:t>00</w:t>
      </w:r>
      <w:r w:rsidR="00D478EA" w:rsidRPr="00FC442E">
        <w:rPr>
          <w:rFonts w:ascii="Times New Roman" w:hAnsi="Times New Roman"/>
          <w:sz w:val="24"/>
          <w:szCs w:val="24"/>
          <w:lang w:val="en-US"/>
        </w:rPr>
        <w:t>,</w:t>
      </w:r>
      <w:r w:rsidR="009E0A1C" w:rsidRPr="00FC442E">
        <w:rPr>
          <w:rFonts w:ascii="Times New Roman" w:hAnsi="Times New Roman"/>
          <w:sz w:val="24"/>
          <w:szCs w:val="24"/>
          <w:lang w:val="en-US"/>
        </w:rPr>
        <w:t>000</w:t>
      </w:r>
      <w:r w:rsidR="00D478EA" w:rsidRPr="00FC442E">
        <w:rPr>
          <w:rFonts w:ascii="Times New Roman" w:hAnsi="Times New Roman"/>
          <w:sz w:val="24"/>
          <w:szCs w:val="24"/>
          <w:lang w:val="en-US"/>
        </w:rPr>
        <w:t xml:space="preserve">, and the annual electricity consumption amounts to </w:t>
      </w:r>
      <w:r w:rsidR="009E0A1C" w:rsidRPr="00FC442E">
        <w:rPr>
          <w:rFonts w:ascii="Times New Roman" w:hAnsi="Times New Roman"/>
          <w:sz w:val="24"/>
          <w:szCs w:val="24"/>
          <w:lang w:val="en-US"/>
        </w:rPr>
        <w:t>15,010,000 kWh</w:t>
      </w:r>
      <w:r w:rsidR="00DE551E" w:rsidRPr="00FC442E">
        <w:rPr>
          <w:rFonts w:ascii="Times New Roman" w:hAnsi="Times New Roman"/>
          <w:sz w:val="24"/>
          <w:szCs w:val="24"/>
          <w:lang w:val="en-US"/>
        </w:rPr>
        <w:t>,</w:t>
      </w:r>
      <w:r w:rsidR="00400FEA" w:rsidRPr="00FC442E">
        <w:rPr>
          <w:rFonts w:ascii="Times New Roman" w:hAnsi="Times New Roman"/>
          <w:sz w:val="24"/>
          <w:szCs w:val="24"/>
          <w:lang w:val="en-US"/>
        </w:rPr>
        <w:t xml:space="preserve"> </w:t>
      </w:r>
      <w:r w:rsidR="00DE551E" w:rsidRPr="00FC442E">
        <w:rPr>
          <w:rFonts w:ascii="Times New Roman" w:hAnsi="Times New Roman"/>
          <w:sz w:val="24"/>
          <w:szCs w:val="24"/>
          <w:lang w:val="en-US"/>
        </w:rPr>
        <w:t xml:space="preserve">which </w:t>
      </w:r>
      <w:r w:rsidRPr="00FC442E">
        <w:rPr>
          <w:rFonts w:ascii="Times New Roman" w:hAnsi="Times New Roman"/>
          <w:sz w:val="24"/>
          <w:szCs w:val="24"/>
          <w:lang w:val="en-US"/>
        </w:rPr>
        <w:t>was</w:t>
      </w:r>
      <w:r w:rsidR="00DE551E" w:rsidRPr="00FC442E">
        <w:rPr>
          <w:rFonts w:ascii="Times New Roman" w:hAnsi="Times New Roman"/>
          <w:sz w:val="24"/>
          <w:szCs w:val="24"/>
          <w:lang w:val="en-US"/>
        </w:rPr>
        <w:t xml:space="preserve"> used to produce a total of 31,000,000 m3 of fresh water to supply the population</w:t>
      </w:r>
      <w:r w:rsidR="00400FEA" w:rsidRPr="00FC442E">
        <w:rPr>
          <w:rFonts w:ascii="Times New Roman" w:hAnsi="Times New Roman"/>
          <w:sz w:val="24"/>
          <w:szCs w:val="24"/>
          <w:lang w:val="en-US"/>
        </w:rPr>
        <w:t>.</w:t>
      </w:r>
      <w:r w:rsidR="002D564A" w:rsidRPr="00FC442E">
        <w:rPr>
          <w:rFonts w:ascii="Times New Roman" w:hAnsi="Times New Roman"/>
          <w:sz w:val="24"/>
          <w:szCs w:val="24"/>
          <w:lang w:val="en-US"/>
        </w:rPr>
        <w:t xml:space="preserve"> The total specific energy consumption, also called the Energy Index, </w:t>
      </w:r>
      <w:r w:rsidRPr="00FC442E">
        <w:rPr>
          <w:rFonts w:ascii="Times New Roman" w:hAnsi="Times New Roman"/>
          <w:sz w:val="24"/>
          <w:szCs w:val="24"/>
          <w:lang w:val="en-US"/>
        </w:rPr>
        <w:t>was</w:t>
      </w:r>
      <w:r w:rsidR="002D564A" w:rsidRPr="00FC442E">
        <w:rPr>
          <w:rFonts w:ascii="Times New Roman" w:hAnsi="Times New Roman"/>
          <w:sz w:val="24"/>
          <w:szCs w:val="24"/>
          <w:lang w:val="en-US"/>
        </w:rPr>
        <w:t xml:space="preserve"> 0.</w:t>
      </w:r>
      <w:r w:rsidR="00400FEA" w:rsidRPr="00FC442E">
        <w:rPr>
          <w:rFonts w:ascii="Times New Roman" w:hAnsi="Times New Roman"/>
          <w:sz w:val="24"/>
          <w:szCs w:val="24"/>
          <w:lang w:val="en-US"/>
        </w:rPr>
        <w:t>45</w:t>
      </w:r>
      <w:r w:rsidR="002D564A" w:rsidRPr="00FC442E">
        <w:rPr>
          <w:rFonts w:ascii="Times New Roman" w:hAnsi="Times New Roman"/>
          <w:sz w:val="24"/>
          <w:szCs w:val="24"/>
          <w:lang w:val="en-US"/>
        </w:rPr>
        <w:t xml:space="preserve"> kWh/m</w:t>
      </w:r>
      <w:r w:rsidR="002D564A" w:rsidRPr="00FC442E">
        <w:rPr>
          <w:rFonts w:ascii="Times New Roman" w:hAnsi="Times New Roman"/>
          <w:sz w:val="24"/>
          <w:szCs w:val="24"/>
          <w:vertAlign w:val="superscript"/>
          <w:lang w:val="en-US"/>
        </w:rPr>
        <w:t>3</w:t>
      </w:r>
      <w:r w:rsidRPr="00FC442E">
        <w:rPr>
          <w:rFonts w:ascii="Times New Roman" w:hAnsi="Times New Roman"/>
          <w:sz w:val="24"/>
          <w:szCs w:val="24"/>
          <w:lang w:val="en-US"/>
        </w:rPr>
        <w:t>,</w:t>
      </w:r>
      <w:r w:rsidR="002D564A" w:rsidRPr="00FC442E">
        <w:rPr>
          <w:rFonts w:ascii="Times New Roman" w:hAnsi="Times New Roman"/>
          <w:sz w:val="24"/>
          <w:szCs w:val="24"/>
          <w:lang w:val="en-US"/>
        </w:rPr>
        <w:t xml:space="preserve"> a relatively low Index due to the predominantly flat topography of the country. </w:t>
      </w:r>
    </w:p>
    <w:p w:rsidR="00D478EA" w:rsidRPr="00FC442E" w:rsidRDefault="002D564A" w:rsidP="006B4D6E">
      <w:pPr>
        <w:pStyle w:val="BodyText"/>
        <w:spacing w:after="240"/>
        <w:jc w:val="both"/>
        <w:rPr>
          <w:szCs w:val="24"/>
          <w:lang w:eastAsia="fr-FR"/>
        </w:rPr>
      </w:pPr>
      <w:r w:rsidRPr="00FC442E">
        <w:rPr>
          <w:szCs w:val="24"/>
          <w:lang w:eastAsia="fr-FR"/>
        </w:rPr>
        <w:t xml:space="preserve">As part of the “Technical Cooperation for Energy Efficiency for Caribbean Water Companies”, supported by the </w:t>
      </w:r>
      <w:r w:rsidR="007006E9" w:rsidRPr="00FC442E">
        <w:rPr>
          <w:szCs w:val="24"/>
          <w:lang w:eastAsia="fr-FR"/>
        </w:rPr>
        <w:t>IDB</w:t>
      </w:r>
      <w:r w:rsidRPr="00FC442E">
        <w:rPr>
          <w:szCs w:val="24"/>
          <w:lang w:eastAsia="fr-FR"/>
        </w:rPr>
        <w:t>, comprehensive Investment Grade Energy Audits (IGEA) were conducted in</w:t>
      </w:r>
      <w:r w:rsidR="006B4D6E" w:rsidRPr="00FC442E">
        <w:rPr>
          <w:szCs w:val="24"/>
          <w:lang w:eastAsia="fr-FR"/>
        </w:rPr>
        <w:t xml:space="preserve"> SWM installations</w:t>
      </w:r>
      <w:r w:rsidRPr="00FC442E">
        <w:rPr>
          <w:szCs w:val="24"/>
          <w:lang w:eastAsia="fr-FR"/>
        </w:rPr>
        <w:t xml:space="preserve">. </w:t>
      </w:r>
      <w:r w:rsidR="00D478EA" w:rsidRPr="00FC442E">
        <w:rPr>
          <w:szCs w:val="24"/>
          <w:lang w:eastAsia="fr-FR"/>
        </w:rPr>
        <w:t>The general objecti</w:t>
      </w:r>
      <w:r w:rsidR="009E0A1C" w:rsidRPr="00FC442E">
        <w:rPr>
          <w:szCs w:val="24"/>
          <w:lang w:eastAsia="fr-FR"/>
        </w:rPr>
        <w:t>ve of the study wa</w:t>
      </w:r>
      <w:r w:rsidR="00D478EA" w:rsidRPr="00FC442E">
        <w:rPr>
          <w:szCs w:val="24"/>
          <w:lang w:eastAsia="fr-FR"/>
        </w:rPr>
        <w:t>s</w:t>
      </w:r>
      <w:r w:rsidR="009E0A1C" w:rsidRPr="00FC442E">
        <w:rPr>
          <w:szCs w:val="24"/>
          <w:lang w:eastAsia="fr-FR"/>
        </w:rPr>
        <w:t xml:space="preserve"> </w:t>
      </w:r>
      <w:r w:rsidR="00D478EA" w:rsidRPr="00FC442E">
        <w:rPr>
          <w:szCs w:val="24"/>
          <w:lang w:eastAsia="fr-FR"/>
        </w:rPr>
        <w:t>to improve supply-side energy efficiency and reduce energy costs within the water and sanitation sector in Suriname</w:t>
      </w:r>
      <w:r w:rsidRPr="00FC442E">
        <w:rPr>
          <w:szCs w:val="24"/>
          <w:lang w:eastAsia="fr-FR"/>
        </w:rPr>
        <w:t xml:space="preserve">. </w:t>
      </w:r>
      <w:r w:rsidR="009E0A1C" w:rsidRPr="00FC442E">
        <w:rPr>
          <w:szCs w:val="24"/>
          <w:lang w:eastAsia="fr-FR"/>
        </w:rPr>
        <w:t>S</w:t>
      </w:r>
      <w:r w:rsidR="00D478EA" w:rsidRPr="00FC442E">
        <w:rPr>
          <w:szCs w:val="24"/>
          <w:lang w:eastAsia="fr-FR"/>
        </w:rPr>
        <w:t>pecific</w:t>
      </w:r>
      <w:r w:rsidR="009E0A1C" w:rsidRPr="00FC442E">
        <w:rPr>
          <w:szCs w:val="24"/>
          <w:lang w:eastAsia="fr-FR"/>
        </w:rPr>
        <w:t xml:space="preserve">ally, the </w:t>
      </w:r>
      <w:r w:rsidR="00D478EA" w:rsidRPr="00FC442E">
        <w:rPr>
          <w:szCs w:val="24"/>
          <w:lang w:eastAsia="fr-FR"/>
        </w:rPr>
        <w:t xml:space="preserve">objectives </w:t>
      </w:r>
      <w:r w:rsidR="009E0A1C" w:rsidRPr="00FC442E">
        <w:rPr>
          <w:szCs w:val="24"/>
          <w:lang w:eastAsia="fr-FR"/>
        </w:rPr>
        <w:t>we</w:t>
      </w:r>
      <w:r w:rsidR="00D478EA" w:rsidRPr="00FC442E">
        <w:rPr>
          <w:szCs w:val="24"/>
          <w:lang w:eastAsia="fr-FR"/>
        </w:rPr>
        <w:t xml:space="preserve">re to provide </w:t>
      </w:r>
      <w:r w:rsidR="006B4D6E" w:rsidRPr="00FC442E">
        <w:rPr>
          <w:szCs w:val="24"/>
          <w:lang w:eastAsia="fr-FR"/>
        </w:rPr>
        <w:t>SWM</w:t>
      </w:r>
      <w:r w:rsidR="00D478EA" w:rsidRPr="00FC442E">
        <w:rPr>
          <w:szCs w:val="24"/>
          <w:lang w:eastAsia="fr-FR"/>
        </w:rPr>
        <w:t xml:space="preserve"> with an action plan to increase energy efficiency for the company, and to develop a general methodology to help </w:t>
      </w:r>
      <w:r w:rsidR="006B4D6E" w:rsidRPr="00FC442E">
        <w:rPr>
          <w:szCs w:val="24"/>
          <w:lang w:eastAsia="fr-FR"/>
        </w:rPr>
        <w:t>SWM</w:t>
      </w:r>
      <w:r w:rsidR="00D478EA" w:rsidRPr="00FC442E">
        <w:rPr>
          <w:szCs w:val="24"/>
          <w:lang w:eastAsia="fr-FR"/>
        </w:rPr>
        <w:t xml:space="preserve"> to self-assess their installations’ efficiency and identify the best available technologies and practices to emulate. </w:t>
      </w:r>
      <w:r w:rsidR="008C265B" w:rsidRPr="00FC442E">
        <w:rPr>
          <w:rFonts w:cs="Arial"/>
          <w:szCs w:val="24"/>
        </w:rPr>
        <w:t>The energy audit was conducted in eight</w:t>
      </w:r>
      <w:r w:rsidR="006B4D6E" w:rsidRPr="00FC442E">
        <w:rPr>
          <w:rFonts w:cs="Arial"/>
          <w:szCs w:val="24"/>
        </w:rPr>
        <w:t xml:space="preserve"> major water pumping systems in Paramaribo</w:t>
      </w:r>
      <w:r w:rsidR="008C265B" w:rsidRPr="00FC442E">
        <w:rPr>
          <w:rFonts w:cs="Arial"/>
          <w:szCs w:val="24"/>
        </w:rPr>
        <w:t xml:space="preserve">. </w:t>
      </w:r>
    </w:p>
    <w:p w:rsidR="008C265B" w:rsidRPr="00FC442E" w:rsidRDefault="00A20C16" w:rsidP="008C265B">
      <w:pPr>
        <w:jc w:val="both"/>
        <w:rPr>
          <w:rFonts w:cs="Arial"/>
          <w:szCs w:val="24"/>
        </w:rPr>
      </w:pPr>
      <w:r w:rsidRPr="00FC442E">
        <w:rPr>
          <w:rFonts w:cs="Arial"/>
          <w:szCs w:val="24"/>
        </w:rPr>
        <w:t>T</w:t>
      </w:r>
      <w:r w:rsidR="008C265B" w:rsidRPr="00FC442E">
        <w:rPr>
          <w:rFonts w:cs="Arial"/>
          <w:szCs w:val="24"/>
        </w:rPr>
        <w:t>he energy audit identified areas of opportunity for energy savings associated with:</w:t>
      </w:r>
    </w:p>
    <w:p w:rsidR="008C265B" w:rsidRPr="00FC442E" w:rsidRDefault="008C265B" w:rsidP="00E32E25">
      <w:pPr>
        <w:pStyle w:val="NoSpacing"/>
        <w:numPr>
          <w:ilvl w:val="0"/>
          <w:numId w:val="6"/>
        </w:numPr>
        <w:ind w:left="567" w:hanging="283"/>
        <w:jc w:val="both"/>
        <w:rPr>
          <w:rFonts w:ascii="Times New Roman" w:hAnsi="Times New Roman" w:cs="Arial"/>
          <w:sz w:val="24"/>
          <w:lang w:val="en-US"/>
        </w:rPr>
      </w:pPr>
      <w:r w:rsidRPr="00FC442E">
        <w:rPr>
          <w:rFonts w:ascii="Times New Roman" w:hAnsi="Times New Roman" w:cs="Arial"/>
          <w:sz w:val="24"/>
          <w:lang w:val="en-US"/>
        </w:rPr>
        <w:t>Replacement of pumps operating with low efficiencies</w:t>
      </w:r>
    </w:p>
    <w:p w:rsidR="008C265B" w:rsidRPr="00FC442E" w:rsidRDefault="008C265B" w:rsidP="00E32E25">
      <w:pPr>
        <w:pStyle w:val="NoSpacing"/>
        <w:numPr>
          <w:ilvl w:val="0"/>
          <w:numId w:val="6"/>
        </w:numPr>
        <w:ind w:left="567" w:hanging="283"/>
        <w:jc w:val="both"/>
        <w:rPr>
          <w:rFonts w:ascii="Times New Roman" w:hAnsi="Times New Roman" w:cs="Arial"/>
          <w:sz w:val="24"/>
          <w:lang w:val="en-US"/>
        </w:rPr>
      </w:pPr>
      <w:r w:rsidRPr="00FC442E">
        <w:rPr>
          <w:rFonts w:ascii="Times New Roman" w:hAnsi="Times New Roman" w:cs="Arial"/>
          <w:sz w:val="24"/>
          <w:lang w:val="en-US"/>
        </w:rPr>
        <w:t>Replacement of motors operating with low efficiencies</w:t>
      </w:r>
    </w:p>
    <w:p w:rsidR="008C265B" w:rsidRPr="00FC442E" w:rsidRDefault="008C265B" w:rsidP="00E32E25">
      <w:pPr>
        <w:pStyle w:val="NoSpacing"/>
        <w:numPr>
          <w:ilvl w:val="0"/>
          <w:numId w:val="6"/>
        </w:numPr>
        <w:ind w:left="567" w:hanging="283"/>
        <w:jc w:val="both"/>
        <w:rPr>
          <w:rFonts w:ascii="Times New Roman" w:hAnsi="Times New Roman" w:cs="Arial"/>
          <w:sz w:val="24"/>
          <w:lang w:val="en-US"/>
        </w:rPr>
      </w:pPr>
      <w:r w:rsidRPr="00FC442E">
        <w:rPr>
          <w:rFonts w:ascii="Times New Roman" w:hAnsi="Times New Roman" w:cs="Arial"/>
          <w:sz w:val="24"/>
          <w:lang w:val="en-US"/>
        </w:rPr>
        <w:t>Installing variable speed drives on distribution pumps</w:t>
      </w:r>
    </w:p>
    <w:p w:rsidR="008C265B" w:rsidRPr="00FC442E" w:rsidRDefault="008C265B" w:rsidP="00E32E25">
      <w:pPr>
        <w:pStyle w:val="NoSpacing"/>
        <w:numPr>
          <w:ilvl w:val="0"/>
          <w:numId w:val="6"/>
        </w:numPr>
        <w:ind w:left="567" w:hanging="283"/>
        <w:jc w:val="both"/>
        <w:rPr>
          <w:rFonts w:ascii="Times New Roman" w:hAnsi="Times New Roman" w:cs="Arial"/>
          <w:sz w:val="24"/>
          <w:lang w:val="en-US"/>
        </w:rPr>
      </w:pPr>
      <w:r w:rsidRPr="00FC442E">
        <w:rPr>
          <w:rFonts w:ascii="Times New Roman" w:hAnsi="Times New Roman" w:cs="Arial"/>
          <w:sz w:val="24"/>
          <w:lang w:val="en-US"/>
        </w:rPr>
        <w:t>Institutional Strengthening</w:t>
      </w:r>
    </w:p>
    <w:p w:rsidR="008C265B" w:rsidRPr="00FC442E" w:rsidRDefault="008C265B" w:rsidP="00056463">
      <w:pPr>
        <w:pStyle w:val="texte"/>
        <w:spacing w:line="240" w:lineRule="auto"/>
        <w:rPr>
          <w:rFonts w:ascii="Times New Roman" w:hAnsi="Times New Roman"/>
          <w:lang w:val="en-US"/>
        </w:rPr>
      </w:pPr>
    </w:p>
    <w:p w:rsidR="00B06AC0" w:rsidRPr="00FC442E" w:rsidRDefault="002D564A" w:rsidP="00056463">
      <w:pPr>
        <w:pStyle w:val="texte"/>
        <w:spacing w:line="240" w:lineRule="auto"/>
        <w:rPr>
          <w:rFonts w:ascii="Times New Roman" w:hAnsi="Times New Roman" w:cs="Arial"/>
          <w:sz w:val="24"/>
          <w:szCs w:val="24"/>
          <w:lang w:val="en-US" w:eastAsia="en-US"/>
        </w:rPr>
      </w:pPr>
      <w:r w:rsidRPr="00FC442E">
        <w:rPr>
          <w:rFonts w:ascii="Times New Roman" w:hAnsi="Times New Roman" w:cs="Arial"/>
          <w:sz w:val="24"/>
          <w:szCs w:val="24"/>
          <w:lang w:val="en-US" w:eastAsia="en-US"/>
        </w:rPr>
        <w:t xml:space="preserve">Based on the diagnosis, IGEA proposed </w:t>
      </w:r>
      <w:r w:rsidR="00F75AC4" w:rsidRPr="00FC442E">
        <w:rPr>
          <w:rFonts w:ascii="Times New Roman" w:hAnsi="Times New Roman" w:cs="Arial"/>
          <w:sz w:val="24"/>
          <w:szCs w:val="24"/>
          <w:lang w:val="en-US" w:eastAsia="en-US"/>
        </w:rPr>
        <w:t>several</w:t>
      </w:r>
      <w:r w:rsidRPr="00FC442E">
        <w:rPr>
          <w:rFonts w:ascii="Times New Roman" w:hAnsi="Times New Roman" w:cs="Arial"/>
          <w:sz w:val="24"/>
          <w:szCs w:val="24"/>
          <w:lang w:val="en-US" w:eastAsia="en-US"/>
        </w:rPr>
        <w:t xml:space="preserve"> pilot projects t</w:t>
      </w:r>
      <w:r w:rsidR="008864EB" w:rsidRPr="00FC442E">
        <w:rPr>
          <w:rFonts w:ascii="Times New Roman" w:hAnsi="Times New Roman" w:cs="Arial"/>
          <w:sz w:val="24"/>
          <w:szCs w:val="24"/>
          <w:lang w:val="en-US" w:eastAsia="en-US"/>
        </w:rPr>
        <w:t>hat</w:t>
      </w:r>
      <w:r w:rsidRPr="00FC442E">
        <w:rPr>
          <w:rFonts w:ascii="Times New Roman" w:hAnsi="Times New Roman" w:cs="Arial"/>
          <w:sz w:val="24"/>
          <w:szCs w:val="24"/>
          <w:lang w:val="en-US" w:eastAsia="en-US"/>
        </w:rPr>
        <w:t xml:space="preserve"> </w:t>
      </w:r>
      <w:r w:rsidR="008864EB" w:rsidRPr="00FC442E">
        <w:rPr>
          <w:rFonts w:ascii="Times New Roman" w:hAnsi="Times New Roman" w:cs="Arial"/>
          <w:sz w:val="24"/>
          <w:szCs w:val="24"/>
          <w:lang w:val="en-US" w:eastAsia="en-US"/>
        </w:rPr>
        <w:t xml:space="preserve">were </w:t>
      </w:r>
      <w:r w:rsidRPr="00FC442E">
        <w:rPr>
          <w:rFonts w:ascii="Times New Roman" w:hAnsi="Times New Roman" w:cs="Arial"/>
          <w:sz w:val="24"/>
          <w:szCs w:val="24"/>
          <w:lang w:val="en-US" w:eastAsia="en-US"/>
        </w:rPr>
        <w:t>implemented as part of this program</w:t>
      </w:r>
      <w:r w:rsidR="00B06AC0" w:rsidRPr="00FC442E">
        <w:rPr>
          <w:rFonts w:ascii="Times New Roman" w:hAnsi="Times New Roman" w:cs="Arial"/>
          <w:sz w:val="24"/>
          <w:szCs w:val="24"/>
          <w:lang w:val="en-US" w:eastAsia="en-US"/>
        </w:rPr>
        <w:t xml:space="preserve">. The list of interventions and the investment costs can be seen in Table </w:t>
      </w:r>
      <w:r w:rsidR="009A1CB6" w:rsidRPr="00FC442E">
        <w:rPr>
          <w:rFonts w:ascii="Times New Roman" w:hAnsi="Times New Roman" w:cs="Arial"/>
          <w:sz w:val="24"/>
          <w:szCs w:val="24"/>
          <w:lang w:val="en-US" w:eastAsia="en-US"/>
        </w:rPr>
        <w:t>4</w:t>
      </w:r>
      <w:r w:rsidR="00B06AC0" w:rsidRPr="00FC442E">
        <w:rPr>
          <w:rFonts w:ascii="Times New Roman" w:hAnsi="Times New Roman" w:cs="Arial"/>
          <w:sz w:val="24"/>
          <w:szCs w:val="24"/>
          <w:lang w:val="en-US" w:eastAsia="en-US"/>
        </w:rPr>
        <w:t>.1 below.</w:t>
      </w:r>
    </w:p>
    <w:p w:rsidR="001D62DE" w:rsidRPr="00FC442E" w:rsidRDefault="001D62DE" w:rsidP="00056463">
      <w:pPr>
        <w:pStyle w:val="texte"/>
        <w:spacing w:line="240" w:lineRule="auto"/>
        <w:rPr>
          <w:rFonts w:ascii="Times New Roman" w:hAnsi="Times New Roman"/>
          <w:lang w:val="en-US"/>
        </w:rPr>
      </w:pPr>
    </w:p>
    <w:p w:rsidR="001D62DE" w:rsidRPr="00FC442E" w:rsidRDefault="001D62DE" w:rsidP="001D62DE">
      <w:pPr>
        <w:autoSpaceDE w:val="0"/>
        <w:autoSpaceDN w:val="0"/>
        <w:adjustRightInd w:val="0"/>
        <w:jc w:val="center"/>
        <w:rPr>
          <w:b/>
          <w:bCs/>
        </w:rPr>
      </w:pPr>
      <w:r w:rsidRPr="00FC442E">
        <w:rPr>
          <w:b/>
          <w:bCs/>
        </w:rPr>
        <w:t xml:space="preserve">Table </w:t>
      </w:r>
      <w:r w:rsidR="009A1CB6" w:rsidRPr="00FC442E">
        <w:rPr>
          <w:b/>
          <w:bCs/>
        </w:rPr>
        <w:t>4</w:t>
      </w:r>
      <w:r w:rsidRPr="00FC442E">
        <w:rPr>
          <w:b/>
          <w:bCs/>
        </w:rPr>
        <w:t xml:space="preserve">.1 </w:t>
      </w:r>
      <w:r w:rsidR="00995C2B" w:rsidRPr="00FC442E">
        <w:rPr>
          <w:b/>
          <w:bCs/>
        </w:rPr>
        <w:t>List of I</w:t>
      </w:r>
      <w:r w:rsidRPr="00FC442E">
        <w:rPr>
          <w:b/>
          <w:bCs/>
        </w:rPr>
        <w:t>nterventions</w:t>
      </w:r>
    </w:p>
    <w:p w:rsidR="0078738A" w:rsidRPr="00FC442E" w:rsidRDefault="0078738A" w:rsidP="001D62DE">
      <w:pPr>
        <w:autoSpaceDE w:val="0"/>
        <w:autoSpaceDN w:val="0"/>
        <w:adjustRightInd w:val="0"/>
        <w:jc w:val="center"/>
        <w:rPr>
          <w:b/>
          <w:bCs/>
        </w:rPr>
      </w:pPr>
    </w:p>
    <w:tbl>
      <w:tblPr>
        <w:tblW w:w="7600" w:type="dxa"/>
        <w:jc w:val="center"/>
        <w:tblLook w:val="04A0" w:firstRow="1" w:lastRow="0" w:firstColumn="1" w:lastColumn="0" w:noHBand="0" w:noVBand="1"/>
      </w:tblPr>
      <w:tblGrid>
        <w:gridCol w:w="6200"/>
        <w:gridCol w:w="1400"/>
      </w:tblGrid>
      <w:tr w:rsidR="001D62DE" w:rsidRPr="00FC442E" w:rsidTr="00056C44">
        <w:trPr>
          <w:trHeight w:val="600"/>
          <w:jc w:val="center"/>
        </w:trPr>
        <w:tc>
          <w:tcPr>
            <w:tcW w:w="6200" w:type="dxa"/>
            <w:tcBorders>
              <w:top w:val="single" w:sz="8" w:space="0" w:color="auto"/>
              <w:left w:val="single" w:sz="8" w:space="0" w:color="auto"/>
              <w:bottom w:val="single" w:sz="8" w:space="0" w:color="auto"/>
              <w:right w:val="single" w:sz="8" w:space="0" w:color="auto"/>
            </w:tcBorders>
            <w:shd w:val="pct20" w:color="auto" w:fill="auto"/>
            <w:noWrap/>
            <w:vAlign w:val="center"/>
            <w:hideMark/>
          </w:tcPr>
          <w:p w:rsidR="001D62DE" w:rsidRPr="00FC442E" w:rsidRDefault="001D62DE" w:rsidP="001D62DE">
            <w:pPr>
              <w:jc w:val="center"/>
              <w:rPr>
                <w:b/>
                <w:bCs/>
                <w:color w:val="000000"/>
                <w:sz w:val="22"/>
                <w:szCs w:val="22"/>
              </w:rPr>
            </w:pPr>
            <w:r w:rsidRPr="00FC442E">
              <w:rPr>
                <w:b/>
                <w:bCs/>
                <w:color w:val="000000"/>
                <w:sz w:val="22"/>
                <w:szCs w:val="22"/>
              </w:rPr>
              <w:t>Measure description</w:t>
            </w:r>
          </w:p>
        </w:tc>
        <w:tc>
          <w:tcPr>
            <w:tcW w:w="1400" w:type="dxa"/>
            <w:tcBorders>
              <w:top w:val="single" w:sz="8" w:space="0" w:color="auto"/>
              <w:left w:val="nil"/>
              <w:bottom w:val="single" w:sz="8" w:space="0" w:color="auto"/>
              <w:right w:val="single" w:sz="8" w:space="0" w:color="auto"/>
            </w:tcBorders>
            <w:shd w:val="pct20" w:color="auto" w:fill="auto"/>
            <w:vAlign w:val="center"/>
            <w:hideMark/>
          </w:tcPr>
          <w:p w:rsidR="001D62DE" w:rsidRPr="00FC442E" w:rsidRDefault="001D62DE" w:rsidP="00056C44">
            <w:pPr>
              <w:jc w:val="center"/>
              <w:rPr>
                <w:b/>
                <w:bCs/>
                <w:color w:val="000000"/>
                <w:sz w:val="22"/>
                <w:szCs w:val="22"/>
              </w:rPr>
            </w:pPr>
            <w:r w:rsidRPr="00FC442E">
              <w:rPr>
                <w:b/>
                <w:bCs/>
                <w:color w:val="000000"/>
                <w:sz w:val="22"/>
                <w:szCs w:val="22"/>
              </w:rPr>
              <w:t>Investment (US$)</w:t>
            </w:r>
          </w:p>
        </w:tc>
      </w:tr>
      <w:tr w:rsidR="00ED1E92" w:rsidRPr="00FC442E" w:rsidTr="001D62DE">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ED1E92" w:rsidRPr="00FC442E" w:rsidRDefault="00ED1E92" w:rsidP="00ED1E92">
            <w:pPr>
              <w:rPr>
                <w:b/>
                <w:color w:val="000000"/>
                <w:sz w:val="22"/>
                <w:szCs w:val="22"/>
              </w:rPr>
            </w:pPr>
            <w:r w:rsidRPr="00FC442E">
              <w:rPr>
                <w:b/>
                <w:color w:val="000000"/>
                <w:sz w:val="22"/>
                <w:szCs w:val="22"/>
              </w:rPr>
              <w:t>Strengthening measures</w:t>
            </w:r>
          </w:p>
        </w:tc>
        <w:tc>
          <w:tcPr>
            <w:tcW w:w="1400" w:type="dxa"/>
            <w:tcBorders>
              <w:top w:val="nil"/>
              <w:left w:val="nil"/>
              <w:bottom w:val="single" w:sz="4" w:space="0" w:color="auto"/>
              <w:right w:val="single" w:sz="8" w:space="0" w:color="auto"/>
            </w:tcBorders>
            <w:shd w:val="clear" w:color="auto" w:fill="auto"/>
            <w:noWrap/>
            <w:vAlign w:val="bottom"/>
            <w:hideMark/>
          </w:tcPr>
          <w:p w:rsidR="00ED1E92" w:rsidRPr="00FC442E" w:rsidRDefault="00ED1E92" w:rsidP="00ED1E92">
            <w:pPr>
              <w:jc w:val="center"/>
              <w:rPr>
                <w:color w:val="000000"/>
                <w:sz w:val="22"/>
                <w:szCs w:val="22"/>
              </w:rPr>
            </w:pPr>
          </w:p>
        </w:tc>
      </w:tr>
      <w:tr w:rsidR="001D62DE" w:rsidRPr="00FC442E" w:rsidTr="00425C38">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D62DE" w:rsidRPr="00FC442E" w:rsidRDefault="001D62DE" w:rsidP="00E32E25">
            <w:pPr>
              <w:pStyle w:val="ListParagraph"/>
              <w:numPr>
                <w:ilvl w:val="0"/>
                <w:numId w:val="4"/>
              </w:numPr>
              <w:rPr>
                <w:color w:val="000000"/>
                <w:sz w:val="22"/>
                <w:szCs w:val="22"/>
                <w:lang w:val="en-US"/>
              </w:rPr>
            </w:pPr>
            <w:r w:rsidRPr="00FC442E">
              <w:rPr>
                <w:color w:val="000000"/>
                <w:sz w:val="22"/>
                <w:szCs w:val="22"/>
                <w:lang w:val="en-US"/>
              </w:rPr>
              <w:t>Energy Management Committee</w:t>
            </w:r>
          </w:p>
        </w:tc>
        <w:tc>
          <w:tcPr>
            <w:tcW w:w="1400" w:type="dxa"/>
            <w:tcBorders>
              <w:top w:val="nil"/>
              <w:left w:val="nil"/>
              <w:bottom w:val="single" w:sz="4" w:space="0" w:color="auto"/>
              <w:right w:val="single" w:sz="8" w:space="0" w:color="auto"/>
            </w:tcBorders>
            <w:shd w:val="clear" w:color="auto" w:fill="auto"/>
            <w:noWrap/>
            <w:vAlign w:val="bottom"/>
          </w:tcPr>
          <w:p w:rsidR="001D62DE" w:rsidRPr="00FC442E" w:rsidRDefault="00425C38" w:rsidP="00ED1E92">
            <w:pPr>
              <w:jc w:val="center"/>
              <w:rPr>
                <w:color w:val="000000"/>
                <w:sz w:val="22"/>
                <w:szCs w:val="22"/>
              </w:rPr>
            </w:pPr>
            <w:r w:rsidRPr="00FC442E">
              <w:rPr>
                <w:color w:val="000000"/>
                <w:sz w:val="22"/>
                <w:szCs w:val="22"/>
              </w:rPr>
              <w:t>58,280</w:t>
            </w:r>
          </w:p>
        </w:tc>
      </w:tr>
      <w:tr w:rsidR="001D62DE" w:rsidRPr="00FC442E" w:rsidTr="00425C38">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D62DE" w:rsidRPr="00FC442E" w:rsidRDefault="001D62DE" w:rsidP="00E32E25">
            <w:pPr>
              <w:pStyle w:val="ListParagraph"/>
              <w:numPr>
                <w:ilvl w:val="0"/>
                <w:numId w:val="4"/>
              </w:numPr>
              <w:rPr>
                <w:color w:val="000000"/>
                <w:sz w:val="22"/>
                <w:szCs w:val="22"/>
                <w:lang w:val="en-US"/>
              </w:rPr>
            </w:pPr>
            <w:r w:rsidRPr="00FC442E">
              <w:rPr>
                <w:color w:val="000000"/>
                <w:sz w:val="22"/>
                <w:szCs w:val="22"/>
                <w:lang w:val="en-US"/>
              </w:rPr>
              <w:t xml:space="preserve">Improve the maintenance </w:t>
            </w:r>
            <w:r w:rsidR="00ED1E92" w:rsidRPr="00FC442E">
              <w:rPr>
                <w:color w:val="000000"/>
                <w:sz w:val="22"/>
                <w:szCs w:val="22"/>
                <w:lang w:val="en-US"/>
              </w:rPr>
              <w:t>program</w:t>
            </w:r>
          </w:p>
        </w:tc>
        <w:tc>
          <w:tcPr>
            <w:tcW w:w="1400" w:type="dxa"/>
            <w:tcBorders>
              <w:top w:val="nil"/>
              <w:left w:val="nil"/>
              <w:bottom w:val="single" w:sz="4" w:space="0" w:color="auto"/>
              <w:right w:val="single" w:sz="8" w:space="0" w:color="auto"/>
            </w:tcBorders>
            <w:shd w:val="clear" w:color="auto" w:fill="auto"/>
            <w:noWrap/>
            <w:vAlign w:val="bottom"/>
          </w:tcPr>
          <w:p w:rsidR="001D62DE" w:rsidRPr="00FC442E" w:rsidRDefault="00425C38" w:rsidP="001D62DE">
            <w:pPr>
              <w:jc w:val="center"/>
              <w:rPr>
                <w:color w:val="000000"/>
                <w:sz w:val="22"/>
                <w:szCs w:val="22"/>
              </w:rPr>
            </w:pPr>
            <w:r w:rsidRPr="00FC442E">
              <w:rPr>
                <w:color w:val="000000"/>
                <w:sz w:val="22"/>
                <w:szCs w:val="22"/>
              </w:rPr>
              <w:t>42,030</w:t>
            </w:r>
          </w:p>
        </w:tc>
      </w:tr>
      <w:tr w:rsidR="001D62DE" w:rsidRPr="00FC442E" w:rsidTr="00425C38">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D62DE" w:rsidRPr="00FC442E" w:rsidRDefault="001D62DE" w:rsidP="00E32E25">
            <w:pPr>
              <w:pStyle w:val="ListParagraph"/>
              <w:numPr>
                <w:ilvl w:val="0"/>
                <w:numId w:val="4"/>
              </w:numPr>
              <w:rPr>
                <w:color w:val="000000"/>
                <w:sz w:val="22"/>
                <w:szCs w:val="22"/>
                <w:lang w:val="en-US"/>
              </w:rPr>
            </w:pPr>
            <w:r w:rsidRPr="00FC442E">
              <w:rPr>
                <w:color w:val="000000"/>
                <w:sz w:val="22"/>
                <w:szCs w:val="22"/>
                <w:lang w:val="en-US"/>
              </w:rPr>
              <w:t xml:space="preserve">Improve the </w:t>
            </w:r>
            <w:r w:rsidR="00ED1E92" w:rsidRPr="00FC442E">
              <w:rPr>
                <w:color w:val="000000"/>
                <w:sz w:val="22"/>
                <w:szCs w:val="22"/>
                <w:lang w:val="en-US"/>
              </w:rPr>
              <w:t>operation program</w:t>
            </w:r>
          </w:p>
        </w:tc>
        <w:tc>
          <w:tcPr>
            <w:tcW w:w="1400" w:type="dxa"/>
            <w:tcBorders>
              <w:top w:val="nil"/>
              <w:left w:val="nil"/>
              <w:bottom w:val="single" w:sz="4" w:space="0" w:color="auto"/>
              <w:right w:val="single" w:sz="8" w:space="0" w:color="auto"/>
            </w:tcBorders>
            <w:shd w:val="clear" w:color="auto" w:fill="auto"/>
            <w:noWrap/>
            <w:vAlign w:val="bottom"/>
          </w:tcPr>
          <w:p w:rsidR="001D62DE" w:rsidRPr="00FC442E" w:rsidRDefault="00425C38" w:rsidP="001D62DE">
            <w:pPr>
              <w:jc w:val="center"/>
              <w:rPr>
                <w:color w:val="000000"/>
                <w:sz w:val="22"/>
                <w:szCs w:val="22"/>
              </w:rPr>
            </w:pPr>
            <w:r w:rsidRPr="00FC442E">
              <w:rPr>
                <w:color w:val="000000"/>
                <w:sz w:val="22"/>
                <w:szCs w:val="22"/>
              </w:rPr>
              <w:t>43,383</w:t>
            </w:r>
          </w:p>
        </w:tc>
      </w:tr>
      <w:tr w:rsidR="00ED1E92" w:rsidRPr="00FC442E" w:rsidTr="001D62DE">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ED1E92" w:rsidRPr="00FC442E" w:rsidRDefault="00ED1E92" w:rsidP="001D62DE">
            <w:pPr>
              <w:rPr>
                <w:b/>
                <w:color w:val="000000"/>
                <w:sz w:val="22"/>
                <w:szCs w:val="22"/>
              </w:rPr>
            </w:pPr>
            <w:r w:rsidRPr="00FC442E">
              <w:rPr>
                <w:b/>
                <w:color w:val="000000"/>
                <w:sz w:val="22"/>
                <w:szCs w:val="22"/>
              </w:rPr>
              <w:t>Measures to improve efficiency</w:t>
            </w:r>
          </w:p>
        </w:tc>
        <w:tc>
          <w:tcPr>
            <w:tcW w:w="1400" w:type="dxa"/>
            <w:tcBorders>
              <w:top w:val="nil"/>
              <w:left w:val="nil"/>
              <w:bottom w:val="single" w:sz="4" w:space="0" w:color="auto"/>
              <w:right w:val="single" w:sz="8" w:space="0" w:color="auto"/>
            </w:tcBorders>
            <w:shd w:val="clear" w:color="auto" w:fill="auto"/>
            <w:noWrap/>
            <w:vAlign w:val="bottom"/>
            <w:hideMark/>
          </w:tcPr>
          <w:p w:rsidR="00ED1E92" w:rsidRPr="00FC442E" w:rsidRDefault="00ED1E92" w:rsidP="001D62DE">
            <w:pPr>
              <w:jc w:val="center"/>
              <w:rPr>
                <w:color w:val="000000"/>
                <w:sz w:val="22"/>
                <w:szCs w:val="22"/>
              </w:rPr>
            </w:pPr>
          </w:p>
        </w:tc>
      </w:tr>
      <w:tr w:rsidR="001D62DE" w:rsidRPr="00FC442E" w:rsidTr="001D62DE">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D62DE" w:rsidRPr="00FC442E" w:rsidRDefault="00ED1E92" w:rsidP="00E32E25">
            <w:pPr>
              <w:pStyle w:val="ListParagraph"/>
              <w:numPr>
                <w:ilvl w:val="0"/>
                <w:numId w:val="4"/>
              </w:numPr>
              <w:rPr>
                <w:color w:val="000000"/>
                <w:sz w:val="22"/>
                <w:szCs w:val="22"/>
                <w:lang w:val="en-US"/>
              </w:rPr>
            </w:pPr>
            <w:r w:rsidRPr="00FC442E">
              <w:rPr>
                <w:color w:val="000000"/>
                <w:sz w:val="22"/>
                <w:szCs w:val="22"/>
                <w:lang w:val="en-US"/>
              </w:rPr>
              <w:t>WK-</w:t>
            </w:r>
            <w:proofErr w:type="spellStart"/>
            <w:r w:rsidRPr="00FC442E">
              <w:rPr>
                <w:color w:val="000000"/>
                <w:sz w:val="22"/>
                <w:szCs w:val="22"/>
                <w:lang w:val="en-US"/>
              </w:rPr>
              <w:t>Plein</w:t>
            </w:r>
            <w:proofErr w:type="spellEnd"/>
          </w:p>
        </w:tc>
        <w:tc>
          <w:tcPr>
            <w:tcW w:w="1400" w:type="dxa"/>
            <w:tcBorders>
              <w:top w:val="nil"/>
              <w:left w:val="nil"/>
              <w:bottom w:val="single" w:sz="4" w:space="0" w:color="auto"/>
              <w:right w:val="single" w:sz="8" w:space="0" w:color="auto"/>
            </w:tcBorders>
            <w:shd w:val="clear" w:color="auto" w:fill="auto"/>
            <w:noWrap/>
            <w:vAlign w:val="bottom"/>
            <w:hideMark/>
          </w:tcPr>
          <w:p w:rsidR="001D62DE" w:rsidRPr="00FC442E" w:rsidRDefault="00425C38" w:rsidP="001D62DE">
            <w:pPr>
              <w:jc w:val="center"/>
              <w:rPr>
                <w:color w:val="000000"/>
                <w:sz w:val="22"/>
                <w:szCs w:val="22"/>
              </w:rPr>
            </w:pPr>
            <w:r w:rsidRPr="00FC442E">
              <w:rPr>
                <w:color w:val="000000"/>
                <w:sz w:val="22"/>
                <w:szCs w:val="22"/>
              </w:rPr>
              <w:t>4,381</w:t>
            </w:r>
          </w:p>
        </w:tc>
      </w:tr>
      <w:tr w:rsidR="00ED1E92" w:rsidRPr="00FC442E" w:rsidTr="0090617E">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ED1E92" w:rsidRPr="00FC442E" w:rsidRDefault="00ED1E92" w:rsidP="00E32E25">
            <w:pPr>
              <w:pStyle w:val="ListParagraph"/>
              <w:numPr>
                <w:ilvl w:val="0"/>
                <w:numId w:val="4"/>
              </w:numPr>
              <w:rPr>
                <w:color w:val="000000"/>
                <w:sz w:val="22"/>
                <w:szCs w:val="22"/>
                <w:lang w:val="en-US"/>
              </w:rPr>
            </w:pPr>
            <w:proofErr w:type="spellStart"/>
            <w:r w:rsidRPr="00FC442E">
              <w:rPr>
                <w:color w:val="000000"/>
                <w:sz w:val="22"/>
                <w:szCs w:val="22"/>
                <w:lang w:val="en-US"/>
              </w:rPr>
              <w:t>Republiek</w:t>
            </w:r>
            <w:proofErr w:type="spellEnd"/>
          </w:p>
        </w:tc>
        <w:tc>
          <w:tcPr>
            <w:tcW w:w="1400" w:type="dxa"/>
            <w:tcBorders>
              <w:top w:val="nil"/>
              <w:left w:val="nil"/>
              <w:bottom w:val="single" w:sz="4" w:space="0" w:color="auto"/>
              <w:right w:val="single" w:sz="8" w:space="0" w:color="auto"/>
            </w:tcBorders>
            <w:shd w:val="clear" w:color="auto" w:fill="auto"/>
            <w:noWrap/>
            <w:vAlign w:val="bottom"/>
            <w:hideMark/>
          </w:tcPr>
          <w:p w:rsidR="00ED1E92" w:rsidRPr="00FC442E" w:rsidRDefault="00ED1E92" w:rsidP="0090617E">
            <w:pPr>
              <w:jc w:val="center"/>
              <w:rPr>
                <w:color w:val="000000"/>
                <w:sz w:val="22"/>
                <w:szCs w:val="22"/>
              </w:rPr>
            </w:pPr>
            <w:r w:rsidRPr="00FC442E">
              <w:rPr>
                <w:color w:val="000000"/>
                <w:sz w:val="22"/>
                <w:szCs w:val="22"/>
              </w:rPr>
              <w:t>35,</w:t>
            </w:r>
            <w:r w:rsidR="00425C38" w:rsidRPr="00FC442E">
              <w:rPr>
                <w:color w:val="000000"/>
                <w:sz w:val="22"/>
                <w:szCs w:val="22"/>
              </w:rPr>
              <w:t>622</w:t>
            </w:r>
          </w:p>
        </w:tc>
      </w:tr>
      <w:tr w:rsidR="00ED1E92" w:rsidRPr="00FC442E" w:rsidTr="0090617E">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ED1E92" w:rsidRPr="00FC442E" w:rsidRDefault="00ED1E92" w:rsidP="00E32E25">
            <w:pPr>
              <w:pStyle w:val="ListParagraph"/>
              <w:numPr>
                <w:ilvl w:val="0"/>
                <w:numId w:val="4"/>
              </w:numPr>
              <w:rPr>
                <w:color w:val="000000"/>
                <w:sz w:val="22"/>
                <w:szCs w:val="22"/>
                <w:lang w:val="en-US"/>
              </w:rPr>
            </w:pPr>
            <w:r w:rsidRPr="00FC442E">
              <w:rPr>
                <w:color w:val="000000"/>
                <w:sz w:val="22"/>
                <w:szCs w:val="22"/>
                <w:lang w:val="en-US"/>
              </w:rPr>
              <w:t xml:space="preserve">Livorno </w:t>
            </w:r>
            <w:proofErr w:type="spellStart"/>
            <w:r w:rsidRPr="00FC442E">
              <w:rPr>
                <w:color w:val="000000"/>
                <w:sz w:val="22"/>
                <w:szCs w:val="22"/>
                <w:lang w:val="en-US"/>
              </w:rPr>
              <w:t>Oversie</w:t>
            </w:r>
            <w:proofErr w:type="spellEnd"/>
          </w:p>
        </w:tc>
        <w:tc>
          <w:tcPr>
            <w:tcW w:w="1400" w:type="dxa"/>
            <w:tcBorders>
              <w:top w:val="nil"/>
              <w:left w:val="nil"/>
              <w:bottom w:val="single" w:sz="4" w:space="0" w:color="auto"/>
              <w:right w:val="single" w:sz="8" w:space="0" w:color="auto"/>
            </w:tcBorders>
            <w:shd w:val="clear" w:color="auto" w:fill="auto"/>
            <w:noWrap/>
            <w:vAlign w:val="bottom"/>
            <w:hideMark/>
          </w:tcPr>
          <w:p w:rsidR="00ED1E92" w:rsidRPr="00FC442E" w:rsidRDefault="00425C38" w:rsidP="0090617E">
            <w:pPr>
              <w:jc w:val="center"/>
              <w:rPr>
                <w:color w:val="000000"/>
                <w:sz w:val="22"/>
                <w:szCs w:val="22"/>
              </w:rPr>
            </w:pPr>
            <w:r w:rsidRPr="00FC442E">
              <w:rPr>
                <w:color w:val="000000"/>
                <w:sz w:val="22"/>
                <w:szCs w:val="22"/>
              </w:rPr>
              <w:t>140,181</w:t>
            </w:r>
          </w:p>
        </w:tc>
      </w:tr>
      <w:tr w:rsidR="00ED1E92" w:rsidRPr="00FC442E" w:rsidTr="0090617E">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ED1E92" w:rsidRPr="00FC442E" w:rsidRDefault="00ED1E92" w:rsidP="00E32E25">
            <w:pPr>
              <w:pStyle w:val="ListParagraph"/>
              <w:numPr>
                <w:ilvl w:val="0"/>
                <w:numId w:val="4"/>
              </w:numPr>
              <w:rPr>
                <w:color w:val="000000"/>
                <w:sz w:val="22"/>
                <w:szCs w:val="22"/>
                <w:lang w:val="en-US"/>
              </w:rPr>
            </w:pPr>
            <w:proofErr w:type="spellStart"/>
            <w:r w:rsidRPr="00FC442E">
              <w:rPr>
                <w:color w:val="000000"/>
                <w:sz w:val="22"/>
                <w:szCs w:val="22"/>
                <w:lang w:val="en-US"/>
              </w:rPr>
              <w:t>Blauwgrond</w:t>
            </w:r>
            <w:proofErr w:type="spellEnd"/>
          </w:p>
        </w:tc>
        <w:tc>
          <w:tcPr>
            <w:tcW w:w="1400" w:type="dxa"/>
            <w:tcBorders>
              <w:top w:val="nil"/>
              <w:left w:val="nil"/>
              <w:bottom w:val="single" w:sz="4" w:space="0" w:color="auto"/>
              <w:right w:val="single" w:sz="8" w:space="0" w:color="auto"/>
            </w:tcBorders>
            <w:shd w:val="clear" w:color="auto" w:fill="auto"/>
            <w:noWrap/>
            <w:vAlign w:val="bottom"/>
            <w:hideMark/>
          </w:tcPr>
          <w:p w:rsidR="00ED1E92" w:rsidRPr="00FC442E" w:rsidRDefault="00425C38" w:rsidP="0090617E">
            <w:pPr>
              <w:jc w:val="center"/>
              <w:rPr>
                <w:color w:val="000000"/>
                <w:sz w:val="22"/>
                <w:szCs w:val="22"/>
              </w:rPr>
            </w:pPr>
            <w:r w:rsidRPr="00FC442E">
              <w:rPr>
                <w:color w:val="000000"/>
                <w:sz w:val="22"/>
                <w:szCs w:val="22"/>
              </w:rPr>
              <w:t>7,513</w:t>
            </w:r>
          </w:p>
        </w:tc>
      </w:tr>
      <w:tr w:rsidR="00ED1E92" w:rsidRPr="00FC442E" w:rsidTr="0090617E">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ED1E92" w:rsidRPr="00FC442E" w:rsidRDefault="00ED1E92" w:rsidP="00E32E25">
            <w:pPr>
              <w:pStyle w:val="ListParagraph"/>
              <w:numPr>
                <w:ilvl w:val="0"/>
                <w:numId w:val="4"/>
              </w:numPr>
              <w:rPr>
                <w:color w:val="000000"/>
                <w:sz w:val="22"/>
                <w:szCs w:val="22"/>
                <w:lang w:val="en-US"/>
              </w:rPr>
            </w:pPr>
            <w:r w:rsidRPr="00FC442E">
              <w:rPr>
                <w:color w:val="000000"/>
                <w:sz w:val="22"/>
                <w:szCs w:val="22"/>
                <w:lang w:val="en-US"/>
              </w:rPr>
              <w:t>Helena Christina</w:t>
            </w:r>
          </w:p>
        </w:tc>
        <w:tc>
          <w:tcPr>
            <w:tcW w:w="1400" w:type="dxa"/>
            <w:tcBorders>
              <w:top w:val="nil"/>
              <w:left w:val="nil"/>
              <w:bottom w:val="single" w:sz="4" w:space="0" w:color="auto"/>
              <w:right w:val="single" w:sz="8" w:space="0" w:color="auto"/>
            </w:tcBorders>
            <w:shd w:val="clear" w:color="auto" w:fill="auto"/>
            <w:noWrap/>
            <w:vAlign w:val="bottom"/>
            <w:hideMark/>
          </w:tcPr>
          <w:p w:rsidR="00ED1E92" w:rsidRPr="00FC442E" w:rsidRDefault="00425C38" w:rsidP="0090617E">
            <w:pPr>
              <w:jc w:val="center"/>
              <w:rPr>
                <w:color w:val="000000"/>
                <w:sz w:val="22"/>
                <w:szCs w:val="22"/>
              </w:rPr>
            </w:pPr>
            <w:r w:rsidRPr="00FC442E">
              <w:rPr>
                <w:color w:val="000000"/>
                <w:sz w:val="22"/>
                <w:szCs w:val="22"/>
              </w:rPr>
              <w:t>86,879</w:t>
            </w:r>
          </w:p>
        </w:tc>
      </w:tr>
      <w:tr w:rsidR="00ED1E92" w:rsidRPr="00FC442E" w:rsidTr="0090617E">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ED1E92" w:rsidRPr="00FC442E" w:rsidRDefault="00ED1E92" w:rsidP="00E32E25">
            <w:pPr>
              <w:pStyle w:val="ListParagraph"/>
              <w:numPr>
                <w:ilvl w:val="0"/>
                <w:numId w:val="4"/>
              </w:numPr>
              <w:rPr>
                <w:color w:val="000000"/>
                <w:sz w:val="22"/>
                <w:szCs w:val="22"/>
                <w:lang w:val="en-US"/>
              </w:rPr>
            </w:pPr>
            <w:proofErr w:type="spellStart"/>
            <w:r w:rsidRPr="00FC442E">
              <w:rPr>
                <w:color w:val="000000"/>
                <w:sz w:val="22"/>
                <w:szCs w:val="22"/>
                <w:lang w:val="en-US"/>
              </w:rPr>
              <w:t>Tourtonne</w:t>
            </w:r>
            <w:proofErr w:type="spellEnd"/>
          </w:p>
        </w:tc>
        <w:tc>
          <w:tcPr>
            <w:tcW w:w="1400" w:type="dxa"/>
            <w:tcBorders>
              <w:top w:val="nil"/>
              <w:left w:val="nil"/>
              <w:bottom w:val="single" w:sz="4" w:space="0" w:color="auto"/>
              <w:right w:val="single" w:sz="8" w:space="0" w:color="auto"/>
            </w:tcBorders>
            <w:shd w:val="clear" w:color="auto" w:fill="auto"/>
            <w:noWrap/>
            <w:vAlign w:val="bottom"/>
            <w:hideMark/>
          </w:tcPr>
          <w:p w:rsidR="00ED1E92" w:rsidRPr="00FC442E" w:rsidRDefault="00425C38" w:rsidP="0090617E">
            <w:pPr>
              <w:jc w:val="center"/>
              <w:rPr>
                <w:color w:val="000000"/>
                <w:sz w:val="22"/>
                <w:szCs w:val="22"/>
              </w:rPr>
            </w:pPr>
            <w:r w:rsidRPr="00FC442E">
              <w:rPr>
                <w:color w:val="000000"/>
                <w:sz w:val="22"/>
                <w:szCs w:val="22"/>
              </w:rPr>
              <w:t>4,429</w:t>
            </w:r>
          </w:p>
        </w:tc>
      </w:tr>
      <w:tr w:rsidR="00ED1E92" w:rsidRPr="00FC442E" w:rsidTr="0090617E">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ED1E92" w:rsidRPr="00FC442E" w:rsidRDefault="007643DF" w:rsidP="00E32E25">
            <w:pPr>
              <w:pStyle w:val="ListParagraph"/>
              <w:numPr>
                <w:ilvl w:val="0"/>
                <w:numId w:val="4"/>
              </w:numPr>
              <w:rPr>
                <w:color w:val="000000"/>
                <w:sz w:val="22"/>
                <w:szCs w:val="22"/>
                <w:lang w:val="en-US"/>
              </w:rPr>
            </w:pPr>
            <w:proofErr w:type="spellStart"/>
            <w:r w:rsidRPr="00FC442E">
              <w:rPr>
                <w:color w:val="000000"/>
                <w:sz w:val="22"/>
                <w:szCs w:val="22"/>
                <w:lang w:val="en-US"/>
              </w:rPr>
              <w:t>Lelydorp</w:t>
            </w:r>
            <w:proofErr w:type="spellEnd"/>
          </w:p>
        </w:tc>
        <w:tc>
          <w:tcPr>
            <w:tcW w:w="1400" w:type="dxa"/>
            <w:tcBorders>
              <w:top w:val="nil"/>
              <w:left w:val="nil"/>
              <w:bottom w:val="single" w:sz="4" w:space="0" w:color="auto"/>
              <w:right w:val="single" w:sz="8" w:space="0" w:color="auto"/>
            </w:tcBorders>
            <w:shd w:val="clear" w:color="auto" w:fill="auto"/>
            <w:noWrap/>
            <w:vAlign w:val="bottom"/>
            <w:hideMark/>
          </w:tcPr>
          <w:p w:rsidR="00ED1E92" w:rsidRPr="00FC442E" w:rsidRDefault="00425C38" w:rsidP="0090617E">
            <w:pPr>
              <w:jc w:val="center"/>
              <w:rPr>
                <w:color w:val="000000"/>
                <w:sz w:val="22"/>
                <w:szCs w:val="22"/>
              </w:rPr>
            </w:pPr>
            <w:r w:rsidRPr="00FC442E">
              <w:rPr>
                <w:color w:val="000000"/>
                <w:sz w:val="22"/>
                <w:szCs w:val="22"/>
              </w:rPr>
              <w:t>34,862</w:t>
            </w:r>
          </w:p>
        </w:tc>
      </w:tr>
      <w:tr w:rsidR="00ED1E92" w:rsidRPr="00FC442E" w:rsidTr="0090617E">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ED1E92" w:rsidRPr="00FC442E" w:rsidRDefault="007643DF" w:rsidP="00E32E25">
            <w:pPr>
              <w:pStyle w:val="ListParagraph"/>
              <w:numPr>
                <w:ilvl w:val="0"/>
                <w:numId w:val="4"/>
              </w:numPr>
              <w:rPr>
                <w:color w:val="000000"/>
                <w:sz w:val="22"/>
                <w:szCs w:val="22"/>
                <w:lang w:val="en-US"/>
              </w:rPr>
            </w:pPr>
            <w:r w:rsidRPr="00FC442E">
              <w:rPr>
                <w:color w:val="000000"/>
                <w:sz w:val="22"/>
                <w:szCs w:val="22"/>
                <w:lang w:val="en-US"/>
              </w:rPr>
              <w:t xml:space="preserve">Van </w:t>
            </w:r>
            <w:proofErr w:type="spellStart"/>
            <w:r w:rsidRPr="00FC442E">
              <w:rPr>
                <w:color w:val="000000"/>
                <w:sz w:val="22"/>
                <w:szCs w:val="22"/>
                <w:lang w:val="en-US"/>
              </w:rPr>
              <w:t>Hattemweg</w:t>
            </w:r>
            <w:proofErr w:type="spellEnd"/>
          </w:p>
        </w:tc>
        <w:tc>
          <w:tcPr>
            <w:tcW w:w="1400" w:type="dxa"/>
            <w:tcBorders>
              <w:top w:val="nil"/>
              <w:left w:val="nil"/>
              <w:bottom w:val="single" w:sz="4" w:space="0" w:color="auto"/>
              <w:right w:val="single" w:sz="8" w:space="0" w:color="auto"/>
            </w:tcBorders>
            <w:shd w:val="clear" w:color="auto" w:fill="auto"/>
            <w:noWrap/>
            <w:vAlign w:val="bottom"/>
            <w:hideMark/>
          </w:tcPr>
          <w:p w:rsidR="00ED1E92" w:rsidRPr="00FC442E" w:rsidRDefault="00425C38" w:rsidP="0090617E">
            <w:pPr>
              <w:jc w:val="center"/>
              <w:rPr>
                <w:color w:val="000000"/>
                <w:sz w:val="22"/>
                <w:szCs w:val="22"/>
              </w:rPr>
            </w:pPr>
            <w:r w:rsidRPr="00FC442E">
              <w:rPr>
                <w:color w:val="000000"/>
                <w:sz w:val="22"/>
                <w:szCs w:val="22"/>
              </w:rPr>
              <w:t>28,584</w:t>
            </w:r>
          </w:p>
        </w:tc>
      </w:tr>
      <w:tr w:rsidR="007643DF" w:rsidRPr="00FC442E" w:rsidTr="001D62DE">
        <w:trPr>
          <w:trHeight w:val="315"/>
          <w:jc w:val="center"/>
        </w:trPr>
        <w:tc>
          <w:tcPr>
            <w:tcW w:w="6200" w:type="dxa"/>
            <w:tcBorders>
              <w:top w:val="nil"/>
              <w:left w:val="single" w:sz="8" w:space="0" w:color="auto"/>
              <w:bottom w:val="single" w:sz="8" w:space="0" w:color="auto"/>
              <w:right w:val="single" w:sz="8" w:space="0" w:color="auto"/>
            </w:tcBorders>
            <w:shd w:val="clear" w:color="auto" w:fill="auto"/>
            <w:noWrap/>
            <w:vAlign w:val="bottom"/>
            <w:hideMark/>
          </w:tcPr>
          <w:p w:rsidR="007643DF" w:rsidRPr="00FC442E" w:rsidRDefault="007643DF" w:rsidP="001D62DE">
            <w:pPr>
              <w:rPr>
                <w:b/>
                <w:bCs/>
                <w:color w:val="000000"/>
                <w:sz w:val="22"/>
                <w:szCs w:val="22"/>
              </w:rPr>
            </w:pPr>
            <w:r w:rsidRPr="00FC442E">
              <w:rPr>
                <w:b/>
                <w:bCs/>
                <w:color w:val="000000"/>
                <w:sz w:val="22"/>
                <w:szCs w:val="22"/>
              </w:rPr>
              <w:t>Total</w:t>
            </w:r>
          </w:p>
        </w:tc>
        <w:tc>
          <w:tcPr>
            <w:tcW w:w="1400" w:type="dxa"/>
            <w:tcBorders>
              <w:top w:val="nil"/>
              <w:left w:val="nil"/>
              <w:bottom w:val="single" w:sz="8" w:space="0" w:color="auto"/>
              <w:right w:val="single" w:sz="8" w:space="0" w:color="auto"/>
            </w:tcBorders>
            <w:shd w:val="clear" w:color="auto" w:fill="auto"/>
            <w:noWrap/>
            <w:vAlign w:val="bottom"/>
            <w:hideMark/>
          </w:tcPr>
          <w:p w:rsidR="007643DF" w:rsidRPr="00FC442E" w:rsidRDefault="00A901CA" w:rsidP="0049022F">
            <w:pPr>
              <w:jc w:val="center"/>
              <w:rPr>
                <w:b/>
                <w:color w:val="000000"/>
                <w:sz w:val="22"/>
                <w:szCs w:val="22"/>
              </w:rPr>
            </w:pPr>
            <w:r w:rsidRPr="00FC442E">
              <w:rPr>
                <w:b/>
                <w:color w:val="000000"/>
                <w:sz w:val="22"/>
                <w:szCs w:val="22"/>
              </w:rPr>
              <w:t>486,145</w:t>
            </w:r>
          </w:p>
        </w:tc>
      </w:tr>
    </w:tbl>
    <w:p w:rsidR="00B06AC0" w:rsidRPr="00FC442E" w:rsidRDefault="00B06AC0" w:rsidP="00056463">
      <w:pPr>
        <w:pStyle w:val="texte"/>
        <w:spacing w:line="240" w:lineRule="auto"/>
        <w:rPr>
          <w:rFonts w:ascii="Times New Roman" w:hAnsi="Times New Roman"/>
          <w:lang w:val="en-US"/>
        </w:rPr>
      </w:pPr>
    </w:p>
    <w:p w:rsidR="0090617E" w:rsidRPr="00FC442E" w:rsidRDefault="002C44E5" w:rsidP="00A901CA">
      <w:pPr>
        <w:pStyle w:val="texte"/>
        <w:spacing w:line="240" w:lineRule="auto"/>
        <w:rPr>
          <w:rFonts w:ascii="Times New Roman" w:hAnsi="Times New Roman" w:cs="Arial"/>
          <w:sz w:val="24"/>
          <w:szCs w:val="24"/>
          <w:lang w:val="en-US" w:eastAsia="en-US"/>
        </w:rPr>
      </w:pPr>
      <w:r w:rsidRPr="00FC442E">
        <w:rPr>
          <w:rFonts w:ascii="Times New Roman" w:hAnsi="Times New Roman" w:cs="Arial"/>
          <w:sz w:val="24"/>
          <w:szCs w:val="24"/>
          <w:lang w:val="en-US" w:eastAsia="en-US"/>
        </w:rPr>
        <w:t xml:space="preserve">The </w:t>
      </w:r>
      <w:r w:rsidR="00532614" w:rsidRPr="00FC442E">
        <w:rPr>
          <w:rFonts w:ascii="Times New Roman" w:hAnsi="Times New Roman" w:cs="Arial"/>
          <w:sz w:val="24"/>
          <w:szCs w:val="24"/>
          <w:lang w:val="en-US" w:eastAsia="en-US"/>
        </w:rPr>
        <w:t xml:space="preserve">ex-post </w:t>
      </w:r>
      <w:r w:rsidRPr="00FC442E">
        <w:rPr>
          <w:rFonts w:ascii="Times New Roman" w:hAnsi="Times New Roman" w:cs="Arial"/>
          <w:sz w:val="24"/>
          <w:szCs w:val="24"/>
          <w:lang w:val="en-US" w:eastAsia="en-US"/>
        </w:rPr>
        <w:t>economic analysis</w:t>
      </w:r>
      <w:r w:rsidR="00056463" w:rsidRPr="00FC442E">
        <w:rPr>
          <w:rFonts w:ascii="Times New Roman" w:hAnsi="Times New Roman" w:cs="Arial"/>
          <w:sz w:val="24"/>
          <w:szCs w:val="24"/>
          <w:lang w:val="en-US" w:eastAsia="en-US"/>
        </w:rPr>
        <w:t xml:space="preserve"> </w:t>
      </w:r>
      <w:r w:rsidRPr="00FC442E">
        <w:rPr>
          <w:rFonts w:ascii="Times New Roman" w:hAnsi="Times New Roman" w:cs="Arial"/>
          <w:sz w:val="24"/>
          <w:szCs w:val="24"/>
          <w:lang w:val="en-US" w:eastAsia="en-US"/>
        </w:rPr>
        <w:t>requires</w:t>
      </w:r>
      <w:r w:rsidR="00056463" w:rsidRPr="00FC442E">
        <w:rPr>
          <w:rFonts w:ascii="Times New Roman" w:hAnsi="Times New Roman" w:cs="Arial"/>
          <w:sz w:val="24"/>
          <w:szCs w:val="24"/>
          <w:lang w:val="en-US" w:eastAsia="en-US"/>
        </w:rPr>
        <w:t>: 1)</w:t>
      </w:r>
      <w:r w:rsidRPr="00FC442E">
        <w:rPr>
          <w:rFonts w:ascii="Times New Roman" w:hAnsi="Times New Roman" w:cs="Arial"/>
          <w:sz w:val="24"/>
          <w:szCs w:val="24"/>
          <w:lang w:val="en-US" w:eastAsia="en-US"/>
        </w:rPr>
        <w:t xml:space="preserve"> the </w:t>
      </w:r>
      <w:r w:rsidR="00A901CA" w:rsidRPr="00FC442E">
        <w:rPr>
          <w:rFonts w:ascii="Times New Roman" w:hAnsi="Times New Roman" w:cs="Arial"/>
          <w:sz w:val="24"/>
          <w:szCs w:val="24"/>
          <w:lang w:val="en-US" w:eastAsia="en-US"/>
        </w:rPr>
        <w:t>savings in energy consumption because of the project</w:t>
      </w:r>
      <w:r w:rsidRPr="00FC442E">
        <w:rPr>
          <w:rFonts w:ascii="Times New Roman" w:hAnsi="Times New Roman" w:cs="Arial"/>
          <w:sz w:val="24"/>
          <w:szCs w:val="24"/>
          <w:lang w:val="en-US" w:eastAsia="en-US"/>
        </w:rPr>
        <w:t>,</w:t>
      </w:r>
      <w:r w:rsidR="005455A4" w:rsidRPr="00FC442E">
        <w:rPr>
          <w:rFonts w:ascii="Times New Roman" w:hAnsi="Times New Roman" w:cs="Arial"/>
          <w:sz w:val="24"/>
          <w:szCs w:val="24"/>
          <w:lang w:val="en-US" w:eastAsia="en-US"/>
        </w:rPr>
        <w:t xml:space="preserve"> 2)</w:t>
      </w:r>
      <w:r w:rsidRPr="00FC442E">
        <w:rPr>
          <w:rFonts w:ascii="Times New Roman" w:hAnsi="Times New Roman" w:cs="Arial"/>
          <w:sz w:val="24"/>
          <w:szCs w:val="24"/>
          <w:lang w:val="en-US" w:eastAsia="en-US"/>
        </w:rPr>
        <w:t xml:space="preserve"> the valuation of the savings at the economic cost of energy, and </w:t>
      </w:r>
      <w:r w:rsidR="005455A4" w:rsidRPr="00FC442E">
        <w:rPr>
          <w:rFonts w:ascii="Times New Roman" w:hAnsi="Times New Roman" w:cs="Arial"/>
          <w:sz w:val="24"/>
          <w:szCs w:val="24"/>
          <w:lang w:val="en-US" w:eastAsia="en-US"/>
        </w:rPr>
        <w:t xml:space="preserve">3) </w:t>
      </w:r>
      <w:r w:rsidRPr="00FC442E">
        <w:rPr>
          <w:rFonts w:ascii="Times New Roman" w:hAnsi="Times New Roman" w:cs="Arial"/>
          <w:sz w:val="24"/>
          <w:szCs w:val="24"/>
          <w:lang w:val="en-US" w:eastAsia="en-US"/>
        </w:rPr>
        <w:t>the calculation o</w:t>
      </w:r>
      <w:r w:rsidR="00B7257F" w:rsidRPr="00FC442E">
        <w:rPr>
          <w:rFonts w:ascii="Times New Roman" w:hAnsi="Times New Roman" w:cs="Arial"/>
          <w:sz w:val="24"/>
          <w:szCs w:val="24"/>
          <w:lang w:val="en-US" w:eastAsia="en-US"/>
        </w:rPr>
        <w:t>f the internal rate of return</w:t>
      </w:r>
      <w:r w:rsidR="00995C2B" w:rsidRPr="00FC442E">
        <w:rPr>
          <w:rFonts w:ascii="Times New Roman" w:hAnsi="Times New Roman" w:cs="Arial"/>
          <w:sz w:val="24"/>
          <w:szCs w:val="24"/>
          <w:lang w:val="en-US" w:eastAsia="en-US"/>
        </w:rPr>
        <w:t xml:space="preserve"> (IRR) and net present value (NPV)</w:t>
      </w:r>
      <w:r w:rsidR="00B7257F" w:rsidRPr="00FC442E">
        <w:rPr>
          <w:rFonts w:ascii="Times New Roman" w:hAnsi="Times New Roman" w:cs="Arial"/>
          <w:sz w:val="24"/>
          <w:szCs w:val="24"/>
          <w:lang w:val="en-US" w:eastAsia="en-US"/>
        </w:rPr>
        <w:t xml:space="preserve">. </w:t>
      </w:r>
    </w:p>
    <w:p w:rsidR="00956E2C" w:rsidRPr="00FC442E" w:rsidRDefault="00705A21" w:rsidP="00A901CA">
      <w:pPr>
        <w:pStyle w:val="texte"/>
        <w:spacing w:line="240" w:lineRule="auto"/>
        <w:rPr>
          <w:rFonts w:ascii="Times New Roman" w:hAnsi="Times New Roman" w:cs="Arial"/>
          <w:sz w:val="24"/>
          <w:szCs w:val="24"/>
          <w:lang w:val="en-US" w:eastAsia="en-US"/>
        </w:rPr>
      </w:pPr>
      <w:r w:rsidRPr="00FC442E">
        <w:rPr>
          <w:rFonts w:ascii="Times New Roman" w:hAnsi="Times New Roman" w:cs="Arial"/>
          <w:sz w:val="24"/>
          <w:szCs w:val="24"/>
          <w:lang w:val="en-US" w:eastAsia="en-US"/>
        </w:rPr>
        <w:t>T</w:t>
      </w:r>
      <w:r w:rsidR="00956E2C" w:rsidRPr="00FC442E">
        <w:rPr>
          <w:rFonts w:ascii="Times New Roman" w:hAnsi="Times New Roman" w:cs="Arial"/>
          <w:sz w:val="24"/>
          <w:szCs w:val="24"/>
          <w:lang w:val="en-US" w:eastAsia="en-US"/>
        </w:rPr>
        <w:t xml:space="preserve">able </w:t>
      </w:r>
      <w:r w:rsidR="009A1CB6" w:rsidRPr="00FC442E">
        <w:rPr>
          <w:rFonts w:ascii="Times New Roman" w:hAnsi="Times New Roman" w:cs="Arial"/>
          <w:sz w:val="24"/>
          <w:szCs w:val="24"/>
          <w:lang w:val="en-US" w:eastAsia="en-US"/>
        </w:rPr>
        <w:t>4</w:t>
      </w:r>
      <w:r w:rsidR="00956E2C" w:rsidRPr="00FC442E">
        <w:rPr>
          <w:rFonts w:ascii="Times New Roman" w:hAnsi="Times New Roman" w:cs="Arial"/>
          <w:sz w:val="24"/>
          <w:szCs w:val="24"/>
          <w:lang w:val="en-US" w:eastAsia="en-US"/>
        </w:rPr>
        <w:t xml:space="preserve">.2 below shows the </w:t>
      </w:r>
      <w:r w:rsidR="0078738A" w:rsidRPr="00FC442E">
        <w:rPr>
          <w:rFonts w:ascii="Times New Roman" w:hAnsi="Times New Roman" w:cs="Arial"/>
          <w:sz w:val="24"/>
          <w:szCs w:val="24"/>
          <w:lang w:val="en-US" w:eastAsia="en-US"/>
        </w:rPr>
        <w:t>energy savings per year in both, kWh and US$, for each of the proposed projects.</w:t>
      </w:r>
    </w:p>
    <w:p w:rsidR="0078738A" w:rsidRPr="00FC442E" w:rsidRDefault="0078738A" w:rsidP="007B3617">
      <w:pPr>
        <w:pStyle w:val="texte"/>
        <w:rPr>
          <w:rFonts w:ascii="Times New Roman" w:hAnsi="Times New Roman"/>
          <w:lang w:val="en-US"/>
        </w:rPr>
      </w:pPr>
    </w:p>
    <w:p w:rsidR="0078738A" w:rsidRPr="00FC442E" w:rsidRDefault="0078738A" w:rsidP="0078738A">
      <w:pPr>
        <w:autoSpaceDE w:val="0"/>
        <w:autoSpaceDN w:val="0"/>
        <w:adjustRightInd w:val="0"/>
        <w:jc w:val="center"/>
        <w:rPr>
          <w:b/>
          <w:bCs/>
        </w:rPr>
      </w:pPr>
      <w:r w:rsidRPr="00FC442E">
        <w:rPr>
          <w:b/>
          <w:bCs/>
        </w:rPr>
        <w:t xml:space="preserve">Table </w:t>
      </w:r>
      <w:r w:rsidR="009A1CB6" w:rsidRPr="00FC442E">
        <w:rPr>
          <w:b/>
          <w:bCs/>
        </w:rPr>
        <w:t>4</w:t>
      </w:r>
      <w:r w:rsidRPr="00FC442E">
        <w:rPr>
          <w:b/>
          <w:bCs/>
        </w:rPr>
        <w:t xml:space="preserve">.2 Energy </w:t>
      </w:r>
      <w:r w:rsidR="00995C2B" w:rsidRPr="00FC442E">
        <w:rPr>
          <w:b/>
          <w:bCs/>
        </w:rPr>
        <w:t>S</w:t>
      </w:r>
      <w:r w:rsidRPr="00FC442E">
        <w:rPr>
          <w:b/>
          <w:bCs/>
        </w:rPr>
        <w:t xml:space="preserve">avings per </w:t>
      </w:r>
      <w:r w:rsidR="00995C2B" w:rsidRPr="00FC442E">
        <w:rPr>
          <w:b/>
          <w:bCs/>
        </w:rPr>
        <w:t>P</w:t>
      </w:r>
      <w:r w:rsidRPr="00FC442E">
        <w:rPr>
          <w:b/>
          <w:bCs/>
        </w:rPr>
        <w:t>roject</w:t>
      </w:r>
    </w:p>
    <w:p w:rsidR="0078738A" w:rsidRPr="00FC442E" w:rsidRDefault="0078738A" w:rsidP="0078738A">
      <w:pPr>
        <w:autoSpaceDE w:val="0"/>
        <w:autoSpaceDN w:val="0"/>
        <w:adjustRightInd w:val="0"/>
        <w:jc w:val="center"/>
        <w:rPr>
          <w:b/>
          <w:bCs/>
        </w:rPr>
      </w:pPr>
    </w:p>
    <w:tbl>
      <w:tblPr>
        <w:tblW w:w="7280" w:type="dxa"/>
        <w:jc w:val="center"/>
        <w:tblLook w:val="04A0" w:firstRow="1" w:lastRow="0" w:firstColumn="1" w:lastColumn="0" w:noHBand="0" w:noVBand="1"/>
      </w:tblPr>
      <w:tblGrid>
        <w:gridCol w:w="4310"/>
        <w:gridCol w:w="1440"/>
        <w:gridCol w:w="1530"/>
      </w:tblGrid>
      <w:tr w:rsidR="0078738A" w:rsidRPr="00FC442E" w:rsidTr="00A541B6">
        <w:trPr>
          <w:trHeight w:val="315"/>
          <w:jc w:val="center"/>
        </w:trPr>
        <w:tc>
          <w:tcPr>
            <w:tcW w:w="4310" w:type="dxa"/>
            <w:vMerge w:val="restart"/>
            <w:tcBorders>
              <w:top w:val="single" w:sz="8" w:space="0" w:color="auto"/>
              <w:left w:val="single" w:sz="8" w:space="0" w:color="auto"/>
              <w:bottom w:val="single" w:sz="8" w:space="0" w:color="000000"/>
              <w:right w:val="single" w:sz="8" w:space="0" w:color="auto"/>
            </w:tcBorders>
            <w:shd w:val="pct20" w:color="auto" w:fill="auto"/>
            <w:noWrap/>
            <w:vAlign w:val="center"/>
            <w:hideMark/>
          </w:tcPr>
          <w:p w:rsidR="0078738A" w:rsidRPr="00FC442E" w:rsidRDefault="0078738A" w:rsidP="0078738A">
            <w:pPr>
              <w:jc w:val="center"/>
              <w:rPr>
                <w:b/>
                <w:bCs/>
                <w:color w:val="000000"/>
                <w:sz w:val="22"/>
                <w:szCs w:val="22"/>
              </w:rPr>
            </w:pPr>
            <w:r w:rsidRPr="00FC442E">
              <w:rPr>
                <w:b/>
                <w:bCs/>
                <w:color w:val="000000"/>
                <w:sz w:val="22"/>
                <w:szCs w:val="22"/>
              </w:rPr>
              <w:t>Project</w:t>
            </w:r>
          </w:p>
        </w:tc>
        <w:tc>
          <w:tcPr>
            <w:tcW w:w="2970" w:type="dxa"/>
            <w:gridSpan w:val="2"/>
            <w:tcBorders>
              <w:top w:val="single" w:sz="8" w:space="0" w:color="auto"/>
              <w:left w:val="nil"/>
              <w:bottom w:val="single" w:sz="8" w:space="0" w:color="auto"/>
              <w:right w:val="single" w:sz="8" w:space="0" w:color="000000"/>
            </w:tcBorders>
            <w:shd w:val="pct20" w:color="auto" w:fill="auto"/>
            <w:noWrap/>
            <w:vAlign w:val="center"/>
            <w:hideMark/>
          </w:tcPr>
          <w:p w:rsidR="0078738A" w:rsidRPr="00FC442E" w:rsidRDefault="0078738A" w:rsidP="0078738A">
            <w:pPr>
              <w:jc w:val="center"/>
              <w:rPr>
                <w:b/>
                <w:bCs/>
                <w:color w:val="000000"/>
                <w:sz w:val="22"/>
                <w:szCs w:val="22"/>
              </w:rPr>
            </w:pPr>
            <w:r w:rsidRPr="00FC442E">
              <w:rPr>
                <w:b/>
                <w:bCs/>
                <w:color w:val="000000"/>
                <w:sz w:val="22"/>
                <w:szCs w:val="22"/>
              </w:rPr>
              <w:t>Savings</w:t>
            </w:r>
          </w:p>
        </w:tc>
      </w:tr>
      <w:tr w:rsidR="0078738A" w:rsidRPr="00FC442E" w:rsidTr="00A541B6">
        <w:trPr>
          <w:trHeight w:val="315"/>
          <w:jc w:val="center"/>
        </w:trPr>
        <w:tc>
          <w:tcPr>
            <w:tcW w:w="4310" w:type="dxa"/>
            <w:vMerge/>
            <w:tcBorders>
              <w:top w:val="single" w:sz="8" w:space="0" w:color="auto"/>
              <w:left w:val="single" w:sz="8" w:space="0" w:color="auto"/>
              <w:bottom w:val="single" w:sz="8" w:space="0" w:color="000000"/>
              <w:right w:val="single" w:sz="8" w:space="0" w:color="auto"/>
            </w:tcBorders>
            <w:shd w:val="pct20" w:color="auto" w:fill="auto"/>
            <w:vAlign w:val="center"/>
            <w:hideMark/>
          </w:tcPr>
          <w:p w:rsidR="0078738A" w:rsidRPr="00FC442E" w:rsidRDefault="0078738A" w:rsidP="0078738A">
            <w:pPr>
              <w:rPr>
                <w:b/>
                <w:bCs/>
                <w:color w:val="000000"/>
                <w:sz w:val="22"/>
                <w:szCs w:val="22"/>
              </w:rPr>
            </w:pPr>
          </w:p>
        </w:tc>
        <w:tc>
          <w:tcPr>
            <w:tcW w:w="1440" w:type="dxa"/>
            <w:tcBorders>
              <w:top w:val="nil"/>
              <w:left w:val="nil"/>
              <w:bottom w:val="single" w:sz="8" w:space="0" w:color="auto"/>
              <w:right w:val="single" w:sz="8" w:space="0" w:color="auto"/>
            </w:tcBorders>
            <w:shd w:val="pct20" w:color="auto" w:fill="auto"/>
            <w:noWrap/>
            <w:vAlign w:val="bottom"/>
            <w:hideMark/>
          </w:tcPr>
          <w:p w:rsidR="0078738A" w:rsidRPr="00FC442E" w:rsidRDefault="0078738A" w:rsidP="0078738A">
            <w:pPr>
              <w:jc w:val="center"/>
              <w:rPr>
                <w:b/>
                <w:bCs/>
                <w:color w:val="000000"/>
                <w:sz w:val="22"/>
                <w:szCs w:val="22"/>
              </w:rPr>
            </w:pPr>
            <w:r w:rsidRPr="00FC442E">
              <w:rPr>
                <w:b/>
                <w:bCs/>
                <w:color w:val="000000"/>
                <w:sz w:val="22"/>
                <w:szCs w:val="22"/>
              </w:rPr>
              <w:t>kWh/year</w:t>
            </w:r>
          </w:p>
        </w:tc>
        <w:tc>
          <w:tcPr>
            <w:tcW w:w="1530" w:type="dxa"/>
            <w:tcBorders>
              <w:top w:val="nil"/>
              <w:left w:val="nil"/>
              <w:bottom w:val="single" w:sz="8" w:space="0" w:color="auto"/>
              <w:right w:val="single" w:sz="8" w:space="0" w:color="auto"/>
            </w:tcBorders>
            <w:shd w:val="pct20" w:color="auto" w:fill="auto"/>
            <w:noWrap/>
            <w:vAlign w:val="bottom"/>
            <w:hideMark/>
          </w:tcPr>
          <w:p w:rsidR="0078738A" w:rsidRPr="00FC442E" w:rsidRDefault="0078738A" w:rsidP="0078738A">
            <w:pPr>
              <w:jc w:val="center"/>
              <w:rPr>
                <w:b/>
                <w:bCs/>
                <w:color w:val="000000"/>
                <w:sz w:val="22"/>
                <w:szCs w:val="22"/>
              </w:rPr>
            </w:pPr>
            <w:r w:rsidRPr="00FC442E">
              <w:rPr>
                <w:b/>
                <w:bCs/>
                <w:color w:val="000000"/>
                <w:sz w:val="22"/>
                <w:szCs w:val="22"/>
              </w:rPr>
              <w:t>US$/year</w:t>
            </w:r>
          </w:p>
        </w:tc>
      </w:tr>
      <w:tr w:rsidR="00A541B6" w:rsidRPr="00FC442E" w:rsidTr="00A541B6">
        <w:trPr>
          <w:trHeight w:val="300"/>
          <w:jc w:val="center"/>
        </w:trPr>
        <w:tc>
          <w:tcPr>
            <w:tcW w:w="4310" w:type="dxa"/>
            <w:tcBorders>
              <w:top w:val="nil"/>
              <w:left w:val="single" w:sz="8" w:space="0" w:color="auto"/>
              <w:bottom w:val="single" w:sz="4" w:space="0" w:color="auto"/>
              <w:right w:val="single" w:sz="8" w:space="0" w:color="auto"/>
            </w:tcBorders>
            <w:shd w:val="clear" w:color="auto" w:fill="auto"/>
            <w:noWrap/>
            <w:vAlign w:val="bottom"/>
            <w:hideMark/>
          </w:tcPr>
          <w:p w:rsidR="00A541B6" w:rsidRPr="00FC442E" w:rsidRDefault="00A541B6" w:rsidP="00E32E25">
            <w:pPr>
              <w:pStyle w:val="ListParagraph"/>
              <w:numPr>
                <w:ilvl w:val="0"/>
                <w:numId w:val="7"/>
              </w:numPr>
              <w:ind w:left="409"/>
              <w:rPr>
                <w:color w:val="000000"/>
                <w:sz w:val="22"/>
                <w:szCs w:val="22"/>
                <w:lang w:val="en-US"/>
              </w:rPr>
            </w:pPr>
            <w:r w:rsidRPr="00FC442E">
              <w:rPr>
                <w:color w:val="000000"/>
                <w:sz w:val="22"/>
                <w:szCs w:val="22"/>
                <w:lang w:val="en-US"/>
              </w:rPr>
              <w:t>WK-</w:t>
            </w:r>
            <w:proofErr w:type="spellStart"/>
            <w:r w:rsidRPr="00FC442E">
              <w:rPr>
                <w:color w:val="000000"/>
                <w:sz w:val="22"/>
                <w:szCs w:val="22"/>
                <w:lang w:val="en-US"/>
              </w:rPr>
              <w:t>Plein</w:t>
            </w:r>
            <w:proofErr w:type="spellEnd"/>
          </w:p>
        </w:tc>
        <w:tc>
          <w:tcPr>
            <w:tcW w:w="144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41,541</w:t>
            </w:r>
          </w:p>
        </w:tc>
        <w:tc>
          <w:tcPr>
            <w:tcW w:w="153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3,132</w:t>
            </w:r>
          </w:p>
        </w:tc>
      </w:tr>
      <w:tr w:rsidR="00A541B6" w:rsidRPr="00FC442E" w:rsidTr="00A541B6">
        <w:trPr>
          <w:trHeight w:val="300"/>
          <w:jc w:val="center"/>
        </w:trPr>
        <w:tc>
          <w:tcPr>
            <w:tcW w:w="4310" w:type="dxa"/>
            <w:tcBorders>
              <w:top w:val="nil"/>
              <w:left w:val="single" w:sz="8" w:space="0" w:color="auto"/>
              <w:bottom w:val="single" w:sz="4" w:space="0" w:color="auto"/>
              <w:right w:val="single" w:sz="8" w:space="0" w:color="auto"/>
            </w:tcBorders>
            <w:shd w:val="clear" w:color="auto" w:fill="auto"/>
            <w:noWrap/>
            <w:vAlign w:val="bottom"/>
            <w:hideMark/>
          </w:tcPr>
          <w:p w:rsidR="00A541B6" w:rsidRPr="00FC442E" w:rsidRDefault="00A541B6" w:rsidP="00E32E25">
            <w:pPr>
              <w:pStyle w:val="ListParagraph"/>
              <w:numPr>
                <w:ilvl w:val="0"/>
                <w:numId w:val="7"/>
              </w:numPr>
              <w:ind w:left="409"/>
              <w:rPr>
                <w:color w:val="000000"/>
                <w:sz w:val="22"/>
                <w:szCs w:val="22"/>
                <w:lang w:val="en-US"/>
              </w:rPr>
            </w:pPr>
            <w:proofErr w:type="spellStart"/>
            <w:r w:rsidRPr="00FC442E">
              <w:rPr>
                <w:color w:val="000000"/>
                <w:sz w:val="22"/>
                <w:szCs w:val="22"/>
                <w:lang w:val="en-US"/>
              </w:rPr>
              <w:t>Republiek</w:t>
            </w:r>
            <w:proofErr w:type="spellEnd"/>
          </w:p>
        </w:tc>
        <w:tc>
          <w:tcPr>
            <w:tcW w:w="144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214,143</w:t>
            </w:r>
          </w:p>
        </w:tc>
        <w:tc>
          <w:tcPr>
            <w:tcW w:w="153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16,146</w:t>
            </w:r>
          </w:p>
        </w:tc>
      </w:tr>
      <w:tr w:rsidR="00A541B6" w:rsidRPr="00FC442E" w:rsidTr="00A541B6">
        <w:trPr>
          <w:trHeight w:val="300"/>
          <w:jc w:val="center"/>
        </w:trPr>
        <w:tc>
          <w:tcPr>
            <w:tcW w:w="4310" w:type="dxa"/>
            <w:tcBorders>
              <w:top w:val="nil"/>
              <w:left w:val="single" w:sz="8" w:space="0" w:color="auto"/>
              <w:bottom w:val="single" w:sz="4" w:space="0" w:color="auto"/>
              <w:right w:val="single" w:sz="8" w:space="0" w:color="auto"/>
            </w:tcBorders>
            <w:shd w:val="clear" w:color="auto" w:fill="auto"/>
            <w:noWrap/>
            <w:vAlign w:val="bottom"/>
            <w:hideMark/>
          </w:tcPr>
          <w:p w:rsidR="00A541B6" w:rsidRPr="00FC442E" w:rsidRDefault="00A541B6" w:rsidP="00E32E25">
            <w:pPr>
              <w:pStyle w:val="ListParagraph"/>
              <w:numPr>
                <w:ilvl w:val="0"/>
                <w:numId w:val="7"/>
              </w:numPr>
              <w:ind w:left="409"/>
              <w:rPr>
                <w:color w:val="000000"/>
                <w:sz w:val="22"/>
                <w:szCs w:val="22"/>
                <w:lang w:val="en-US"/>
              </w:rPr>
            </w:pPr>
            <w:r w:rsidRPr="00FC442E">
              <w:rPr>
                <w:color w:val="000000"/>
                <w:sz w:val="22"/>
                <w:szCs w:val="22"/>
                <w:lang w:val="en-US"/>
              </w:rPr>
              <w:t xml:space="preserve">Livorno </w:t>
            </w:r>
            <w:proofErr w:type="spellStart"/>
            <w:r w:rsidRPr="00FC442E">
              <w:rPr>
                <w:color w:val="000000"/>
                <w:sz w:val="22"/>
                <w:szCs w:val="22"/>
                <w:lang w:val="en-US"/>
              </w:rPr>
              <w:t>Oversie</w:t>
            </w:r>
            <w:proofErr w:type="spellEnd"/>
          </w:p>
        </w:tc>
        <w:tc>
          <w:tcPr>
            <w:tcW w:w="144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351,994</w:t>
            </w:r>
          </w:p>
        </w:tc>
        <w:tc>
          <w:tcPr>
            <w:tcW w:w="153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26,540</w:t>
            </w:r>
          </w:p>
        </w:tc>
      </w:tr>
      <w:tr w:rsidR="00A541B6" w:rsidRPr="00FC442E" w:rsidTr="00A541B6">
        <w:trPr>
          <w:trHeight w:val="300"/>
          <w:jc w:val="center"/>
        </w:trPr>
        <w:tc>
          <w:tcPr>
            <w:tcW w:w="4310" w:type="dxa"/>
            <w:tcBorders>
              <w:top w:val="nil"/>
              <w:left w:val="single" w:sz="8" w:space="0" w:color="auto"/>
              <w:bottom w:val="single" w:sz="4" w:space="0" w:color="auto"/>
              <w:right w:val="single" w:sz="8" w:space="0" w:color="auto"/>
            </w:tcBorders>
            <w:shd w:val="clear" w:color="auto" w:fill="auto"/>
            <w:noWrap/>
            <w:vAlign w:val="bottom"/>
            <w:hideMark/>
          </w:tcPr>
          <w:p w:rsidR="00A541B6" w:rsidRPr="00FC442E" w:rsidRDefault="00A541B6" w:rsidP="00E32E25">
            <w:pPr>
              <w:pStyle w:val="ListParagraph"/>
              <w:numPr>
                <w:ilvl w:val="0"/>
                <w:numId w:val="7"/>
              </w:numPr>
              <w:ind w:left="409"/>
              <w:rPr>
                <w:color w:val="000000"/>
                <w:sz w:val="22"/>
                <w:szCs w:val="22"/>
                <w:lang w:val="en-US"/>
              </w:rPr>
            </w:pPr>
            <w:proofErr w:type="spellStart"/>
            <w:r w:rsidRPr="00FC442E">
              <w:rPr>
                <w:color w:val="000000"/>
                <w:sz w:val="22"/>
                <w:szCs w:val="22"/>
                <w:lang w:val="en-US"/>
              </w:rPr>
              <w:t>Blauwgrond</w:t>
            </w:r>
            <w:proofErr w:type="spellEnd"/>
          </w:p>
        </w:tc>
        <w:tc>
          <w:tcPr>
            <w:tcW w:w="144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9,211</w:t>
            </w:r>
          </w:p>
        </w:tc>
        <w:tc>
          <w:tcPr>
            <w:tcW w:w="153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694</w:t>
            </w:r>
          </w:p>
        </w:tc>
      </w:tr>
      <w:tr w:rsidR="00A541B6" w:rsidRPr="00FC442E" w:rsidTr="00A541B6">
        <w:trPr>
          <w:trHeight w:val="300"/>
          <w:jc w:val="center"/>
        </w:trPr>
        <w:tc>
          <w:tcPr>
            <w:tcW w:w="4310" w:type="dxa"/>
            <w:tcBorders>
              <w:top w:val="nil"/>
              <w:left w:val="single" w:sz="8" w:space="0" w:color="auto"/>
              <w:bottom w:val="single" w:sz="4" w:space="0" w:color="auto"/>
              <w:right w:val="single" w:sz="8" w:space="0" w:color="auto"/>
            </w:tcBorders>
            <w:shd w:val="clear" w:color="auto" w:fill="auto"/>
            <w:noWrap/>
            <w:vAlign w:val="bottom"/>
            <w:hideMark/>
          </w:tcPr>
          <w:p w:rsidR="00A541B6" w:rsidRPr="00FC442E" w:rsidRDefault="00A541B6" w:rsidP="00E32E25">
            <w:pPr>
              <w:pStyle w:val="ListParagraph"/>
              <w:numPr>
                <w:ilvl w:val="0"/>
                <w:numId w:val="7"/>
              </w:numPr>
              <w:ind w:left="409"/>
              <w:rPr>
                <w:color w:val="000000"/>
                <w:sz w:val="22"/>
                <w:szCs w:val="22"/>
                <w:lang w:val="en-US"/>
              </w:rPr>
            </w:pPr>
            <w:r w:rsidRPr="00FC442E">
              <w:rPr>
                <w:color w:val="000000"/>
                <w:sz w:val="22"/>
                <w:szCs w:val="22"/>
                <w:lang w:val="en-US"/>
              </w:rPr>
              <w:t>Helena Christina</w:t>
            </w:r>
          </w:p>
        </w:tc>
        <w:tc>
          <w:tcPr>
            <w:tcW w:w="144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39,767</w:t>
            </w:r>
          </w:p>
        </w:tc>
        <w:tc>
          <w:tcPr>
            <w:tcW w:w="153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2,998</w:t>
            </w:r>
          </w:p>
        </w:tc>
      </w:tr>
      <w:tr w:rsidR="00A541B6" w:rsidRPr="00FC442E" w:rsidTr="00A541B6">
        <w:trPr>
          <w:trHeight w:val="300"/>
          <w:jc w:val="center"/>
        </w:trPr>
        <w:tc>
          <w:tcPr>
            <w:tcW w:w="4310" w:type="dxa"/>
            <w:tcBorders>
              <w:top w:val="nil"/>
              <w:left w:val="single" w:sz="8" w:space="0" w:color="auto"/>
              <w:bottom w:val="single" w:sz="4" w:space="0" w:color="auto"/>
              <w:right w:val="single" w:sz="8" w:space="0" w:color="auto"/>
            </w:tcBorders>
            <w:shd w:val="clear" w:color="auto" w:fill="auto"/>
            <w:noWrap/>
            <w:vAlign w:val="bottom"/>
            <w:hideMark/>
          </w:tcPr>
          <w:p w:rsidR="00A541B6" w:rsidRPr="00FC442E" w:rsidRDefault="00A541B6" w:rsidP="00E32E25">
            <w:pPr>
              <w:pStyle w:val="ListParagraph"/>
              <w:numPr>
                <w:ilvl w:val="0"/>
                <w:numId w:val="7"/>
              </w:numPr>
              <w:ind w:left="409"/>
              <w:rPr>
                <w:color w:val="000000"/>
                <w:sz w:val="22"/>
                <w:szCs w:val="22"/>
                <w:lang w:val="en-US"/>
              </w:rPr>
            </w:pPr>
            <w:proofErr w:type="spellStart"/>
            <w:r w:rsidRPr="00FC442E">
              <w:rPr>
                <w:color w:val="000000"/>
                <w:sz w:val="22"/>
                <w:szCs w:val="22"/>
                <w:lang w:val="en-US"/>
              </w:rPr>
              <w:t>Tourtonne</w:t>
            </w:r>
            <w:proofErr w:type="spellEnd"/>
          </w:p>
        </w:tc>
        <w:tc>
          <w:tcPr>
            <w:tcW w:w="144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0</w:t>
            </w:r>
          </w:p>
        </w:tc>
        <w:tc>
          <w:tcPr>
            <w:tcW w:w="153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0</w:t>
            </w:r>
          </w:p>
        </w:tc>
      </w:tr>
      <w:tr w:rsidR="00A541B6" w:rsidRPr="00FC442E" w:rsidTr="00A541B6">
        <w:trPr>
          <w:trHeight w:val="300"/>
          <w:jc w:val="center"/>
        </w:trPr>
        <w:tc>
          <w:tcPr>
            <w:tcW w:w="4310" w:type="dxa"/>
            <w:tcBorders>
              <w:top w:val="nil"/>
              <w:left w:val="single" w:sz="8" w:space="0" w:color="auto"/>
              <w:bottom w:val="single" w:sz="4" w:space="0" w:color="auto"/>
              <w:right w:val="single" w:sz="8" w:space="0" w:color="auto"/>
            </w:tcBorders>
            <w:shd w:val="clear" w:color="auto" w:fill="auto"/>
            <w:noWrap/>
            <w:vAlign w:val="bottom"/>
            <w:hideMark/>
          </w:tcPr>
          <w:p w:rsidR="00A541B6" w:rsidRPr="00FC442E" w:rsidRDefault="00A541B6" w:rsidP="00E32E25">
            <w:pPr>
              <w:pStyle w:val="ListParagraph"/>
              <w:numPr>
                <w:ilvl w:val="0"/>
                <w:numId w:val="7"/>
              </w:numPr>
              <w:ind w:left="409"/>
              <w:rPr>
                <w:color w:val="000000"/>
                <w:sz w:val="22"/>
                <w:szCs w:val="22"/>
                <w:lang w:val="en-US"/>
              </w:rPr>
            </w:pPr>
            <w:proofErr w:type="spellStart"/>
            <w:r w:rsidRPr="00FC442E">
              <w:rPr>
                <w:color w:val="000000"/>
                <w:sz w:val="22"/>
                <w:szCs w:val="22"/>
                <w:lang w:val="en-US"/>
              </w:rPr>
              <w:t>Lelydorp</w:t>
            </w:r>
            <w:proofErr w:type="spellEnd"/>
          </w:p>
        </w:tc>
        <w:tc>
          <w:tcPr>
            <w:tcW w:w="144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157,834</w:t>
            </w:r>
          </w:p>
        </w:tc>
        <w:tc>
          <w:tcPr>
            <w:tcW w:w="153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11,901</w:t>
            </w:r>
          </w:p>
        </w:tc>
      </w:tr>
      <w:tr w:rsidR="00A541B6" w:rsidRPr="00FC442E" w:rsidTr="00A541B6">
        <w:trPr>
          <w:trHeight w:val="300"/>
          <w:jc w:val="center"/>
        </w:trPr>
        <w:tc>
          <w:tcPr>
            <w:tcW w:w="4310" w:type="dxa"/>
            <w:tcBorders>
              <w:top w:val="nil"/>
              <w:left w:val="single" w:sz="8" w:space="0" w:color="auto"/>
              <w:bottom w:val="single" w:sz="4" w:space="0" w:color="auto"/>
              <w:right w:val="single" w:sz="8" w:space="0" w:color="auto"/>
            </w:tcBorders>
            <w:shd w:val="clear" w:color="auto" w:fill="auto"/>
            <w:noWrap/>
            <w:vAlign w:val="bottom"/>
            <w:hideMark/>
          </w:tcPr>
          <w:p w:rsidR="00A541B6" w:rsidRPr="00FC442E" w:rsidRDefault="00A541B6" w:rsidP="00E32E25">
            <w:pPr>
              <w:pStyle w:val="ListParagraph"/>
              <w:numPr>
                <w:ilvl w:val="0"/>
                <w:numId w:val="7"/>
              </w:numPr>
              <w:ind w:left="409"/>
              <w:rPr>
                <w:color w:val="000000"/>
                <w:sz w:val="22"/>
                <w:szCs w:val="22"/>
                <w:lang w:val="en-US"/>
              </w:rPr>
            </w:pPr>
            <w:r w:rsidRPr="00FC442E">
              <w:rPr>
                <w:color w:val="000000"/>
                <w:sz w:val="22"/>
                <w:szCs w:val="22"/>
                <w:lang w:val="en-US"/>
              </w:rPr>
              <w:t xml:space="preserve">Van </w:t>
            </w:r>
            <w:proofErr w:type="spellStart"/>
            <w:r w:rsidRPr="00FC442E">
              <w:rPr>
                <w:color w:val="000000"/>
                <w:sz w:val="22"/>
                <w:szCs w:val="22"/>
                <w:lang w:val="en-US"/>
              </w:rPr>
              <w:t>Hattemweg</w:t>
            </w:r>
            <w:proofErr w:type="spellEnd"/>
          </w:p>
        </w:tc>
        <w:tc>
          <w:tcPr>
            <w:tcW w:w="144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52,441</w:t>
            </w:r>
          </w:p>
        </w:tc>
        <w:tc>
          <w:tcPr>
            <w:tcW w:w="1530" w:type="dxa"/>
            <w:tcBorders>
              <w:top w:val="nil"/>
              <w:left w:val="nil"/>
              <w:bottom w:val="single" w:sz="4" w:space="0" w:color="000000"/>
              <w:right w:val="single" w:sz="8" w:space="0" w:color="auto"/>
            </w:tcBorders>
            <w:shd w:val="clear" w:color="auto" w:fill="auto"/>
            <w:vAlign w:val="center"/>
            <w:hideMark/>
          </w:tcPr>
          <w:p w:rsidR="00A541B6" w:rsidRPr="00FC442E" w:rsidRDefault="00A541B6" w:rsidP="00A541B6">
            <w:pPr>
              <w:jc w:val="center"/>
              <w:rPr>
                <w:color w:val="000000"/>
                <w:sz w:val="22"/>
                <w:szCs w:val="22"/>
              </w:rPr>
            </w:pPr>
            <w:r w:rsidRPr="00FC442E">
              <w:rPr>
                <w:color w:val="000000"/>
                <w:sz w:val="22"/>
                <w:szCs w:val="22"/>
              </w:rPr>
              <w:t>3,954</w:t>
            </w:r>
          </w:p>
        </w:tc>
      </w:tr>
      <w:tr w:rsidR="00A541B6" w:rsidRPr="00FC442E" w:rsidTr="00A541B6">
        <w:trPr>
          <w:trHeight w:val="315"/>
          <w:jc w:val="center"/>
        </w:trPr>
        <w:tc>
          <w:tcPr>
            <w:tcW w:w="431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A541B6" w:rsidRPr="00FC442E" w:rsidRDefault="00A541B6" w:rsidP="00A541B6">
            <w:pPr>
              <w:rPr>
                <w:b/>
                <w:color w:val="000000"/>
                <w:sz w:val="22"/>
                <w:szCs w:val="22"/>
              </w:rPr>
            </w:pPr>
            <w:r w:rsidRPr="00FC442E">
              <w:rPr>
                <w:b/>
                <w:color w:val="000000"/>
                <w:sz w:val="22"/>
                <w:szCs w:val="22"/>
              </w:rPr>
              <w:t>Total</w:t>
            </w:r>
          </w:p>
        </w:tc>
        <w:tc>
          <w:tcPr>
            <w:tcW w:w="1440" w:type="dxa"/>
            <w:tcBorders>
              <w:top w:val="nil"/>
              <w:left w:val="nil"/>
              <w:bottom w:val="single" w:sz="8" w:space="0" w:color="auto"/>
              <w:right w:val="single" w:sz="8" w:space="0" w:color="auto"/>
            </w:tcBorders>
            <w:shd w:val="clear" w:color="auto" w:fill="auto"/>
            <w:vAlign w:val="center"/>
            <w:hideMark/>
          </w:tcPr>
          <w:p w:rsidR="00A541B6" w:rsidRPr="00FC442E" w:rsidRDefault="00A541B6" w:rsidP="00A541B6">
            <w:pPr>
              <w:jc w:val="center"/>
              <w:rPr>
                <w:b/>
                <w:bCs/>
                <w:color w:val="000000"/>
                <w:sz w:val="22"/>
                <w:szCs w:val="22"/>
              </w:rPr>
            </w:pPr>
            <w:r w:rsidRPr="00FC442E">
              <w:rPr>
                <w:b/>
                <w:bCs/>
                <w:color w:val="000000"/>
                <w:sz w:val="22"/>
                <w:szCs w:val="22"/>
              </w:rPr>
              <w:t>866,929</w:t>
            </w:r>
          </w:p>
        </w:tc>
        <w:tc>
          <w:tcPr>
            <w:tcW w:w="1530" w:type="dxa"/>
            <w:tcBorders>
              <w:top w:val="nil"/>
              <w:left w:val="nil"/>
              <w:bottom w:val="single" w:sz="8" w:space="0" w:color="auto"/>
              <w:right w:val="single" w:sz="8" w:space="0" w:color="auto"/>
            </w:tcBorders>
            <w:shd w:val="clear" w:color="auto" w:fill="auto"/>
            <w:vAlign w:val="center"/>
            <w:hideMark/>
          </w:tcPr>
          <w:p w:rsidR="00A541B6" w:rsidRPr="00FC442E" w:rsidRDefault="00A541B6" w:rsidP="00A541B6">
            <w:pPr>
              <w:jc w:val="center"/>
              <w:rPr>
                <w:b/>
                <w:bCs/>
                <w:color w:val="000000"/>
                <w:sz w:val="22"/>
                <w:szCs w:val="22"/>
              </w:rPr>
            </w:pPr>
            <w:r w:rsidRPr="00FC442E">
              <w:rPr>
                <w:b/>
                <w:bCs/>
                <w:color w:val="000000"/>
                <w:sz w:val="22"/>
                <w:szCs w:val="22"/>
              </w:rPr>
              <w:t>65,366</w:t>
            </w:r>
          </w:p>
        </w:tc>
      </w:tr>
    </w:tbl>
    <w:p w:rsidR="002C44E5" w:rsidRPr="00FC442E" w:rsidRDefault="002C44E5" w:rsidP="002C44E5">
      <w:pPr>
        <w:rPr>
          <w:b/>
        </w:rPr>
      </w:pPr>
    </w:p>
    <w:p w:rsidR="006E136D" w:rsidRPr="00FC442E" w:rsidRDefault="006E136D" w:rsidP="004F6E74">
      <w:pPr>
        <w:jc w:val="both"/>
      </w:pPr>
    </w:p>
    <w:p w:rsidR="0090617E" w:rsidRPr="00FC442E" w:rsidRDefault="0090617E" w:rsidP="004F6E74">
      <w:pPr>
        <w:jc w:val="both"/>
      </w:pPr>
      <w:r w:rsidRPr="00FC442E">
        <w:t>The unit savings (savings per kWh of energy) have been calculated using the average energy bill at each facility divided by the kWh consumed, giving the unit financial savings. These savings come to about US$0.0</w:t>
      </w:r>
      <w:r w:rsidR="00BC66EF" w:rsidRPr="00FC442E">
        <w:t>754</w:t>
      </w:r>
      <w:r w:rsidRPr="00FC442E">
        <w:t xml:space="preserve"> per kWh. This is an appropriate financial concept, but it is likely to understate the economic savings. </w:t>
      </w:r>
      <w:r w:rsidR="004F6E74" w:rsidRPr="00FC442E">
        <w:t>In the coastal area of Suriname, electricity is provided by t</w:t>
      </w:r>
      <w:r w:rsidR="004F6E74" w:rsidRPr="00FC442E">
        <w:rPr>
          <w:rFonts w:cs="Arial"/>
        </w:rPr>
        <w:t>he Electricity Utility Company of Suriname, N.V. (EBS), of which the Government is the only shareholder. T</w:t>
      </w:r>
      <w:r w:rsidR="004F6E74" w:rsidRPr="00FC442E">
        <w:t xml:space="preserve">he tariff that EBS charges does not cover EBS’s financial costs. According to an IDB financed study, EBS’s return on assets is -11.6%, operational loss margin -23.6%, and a debt to total assets ratio of 125.4% (data for end of year 2006). To cover operating cost alone, the tariff would have to increase by 31%. To cover capital costs, the tariff would have to increase more. Considering this information, the electric tariffs appear to be well below the economic cost of energy. In that case, projects that </w:t>
      </w:r>
      <w:r w:rsidR="00BC66EF" w:rsidRPr="00FC442E">
        <w:t>were</w:t>
      </w:r>
      <w:r w:rsidR="004F6E74" w:rsidRPr="00FC442E">
        <w:t xml:space="preserve"> financially feasible w</w:t>
      </w:r>
      <w:r w:rsidR="00BC66EF" w:rsidRPr="00FC442E">
        <w:t>ere</w:t>
      </w:r>
      <w:r w:rsidR="004F6E74" w:rsidRPr="00FC442E">
        <w:t xml:space="preserve"> also economically feasible.  </w:t>
      </w:r>
    </w:p>
    <w:p w:rsidR="00AD573A" w:rsidRDefault="00AD573A" w:rsidP="00713AD3">
      <w:pPr>
        <w:jc w:val="both"/>
      </w:pPr>
    </w:p>
    <w:p w:rsidR="0090617E" w:rsidRPr="00FC442E" w:rsidRDefault="0090617E" w:rsidP="00713AD3">
      <w:pPr>
        <w:jc w:val="both"/>
      </w:pPr>
      <w:r w:rsidRPr="00FC442E">
        <w:t xml:space="preserve">This energy efficiency program consists of </w:t>
      </w:r>
      <w:r w:rsidR="00713AD3" w:rsidRPr="00FC442E">
        <w:t>several</w:t>
      </w:r>
      <w:r w:rsidRPr="00FC442E">
        <w:t xml:space="preserve"> activities not specifically related to any individual project (activities 1 to 3 in </w:t>
      </w:r>
      <w:r w:rsidR="00D97B43" w:rsidRPr="00FC442E">
        <w:t>T</w:t>
      </w:r>
      <w:r w:rsidRPr="00FC442E">
        <w:t xml:space="preserve">able </w:t>
      </w:r>
      <w:r w:rsidR="00D97B43" w:rsidRPr="00FC442E">
        <w:t>4</w:t>
      </w:r>
      <w:r w:rsidRPr="00FC442E">
        <w:t xml:space="preserve">.1) that can be referred as “common costs”, and </w:t>
      </w:r>
      <w:r w:rsidR="00D97B43" w:rsidRPr="00FC442E">
        <w:t>8</w:t>
      </w:r>
      <w:r w:rsidRPr="00FC442E">
        <w:t xml:space="preserve"> independent projects, </w:t>
      </w:r>
      <w:r w:rsidR="00532614" w:rsidRPr="00FC442E">
        <w:t>each</w:t>
      </w:r>
      <w:r w:rsidRPr="00FC442E">
        <w:t xml:space="preserve"> one with a “separable cost”. </w:t>
      </w:r>
      <w:r w:rsidR="00532614" w:rsidRPr="00FC442E">
        <w:t>To</w:t>
      </w:r>
      <w:r w:rsidRPr="00FC442E">
        <w:t xml:space="preserve"> conduct the </w:t>
      </w:r>
      <w:r w:rsidR="00D97B43" w:rsidRPr="00FC442E">
        <w:t xml:space="preserve">ex-post </w:t>
      </w:r>
      <w:r w:rsidRPr="00FC442E">
        <w:t xml:space="preserve">economic </w:t>
      </w:r>
      <w:r w:rsidR="00D97B43" w:rsidRPr="00FC442E">
        <w:t>evaluation and</w:t>
      </w:r>
      <w:r w:rsidRPr="00FC442E">
        <w:t xml:space="preserve"> given the impossibility to separate the “common costs” and assign them to the individual projects, the following methodology </w:t>
      </w:r>
      <w:r w:rsidR="00D97B43" w:rsidRPr="00FC442E">
        <w:t>was</w:t>
      </w:r>
      <w:r w:rsidRPr="00FC442E">
        <w:t xml:space="preserve"> used: 1) assign to each project its “separable” cost; 2) use that cost to perform the cost-benefit analysis described above; 3) </w:t>
      </w:r>
      <w:r w:rsidR="00D97B43" w:rsidRPr="00FC442E">
        <w:t xml:space="preserve">calculate an aggregated CBA for the component. </w:t>
      </w:r>
    </w:p>
    <w:p w:rsidR="0090617E" w:rsidRPr="00FC442E" w:rsidRDefault="0090617E" w:rsidP="0090617E"/>
    <w:p w:rsidR="00532614" w:rsidRPr="00FC442E" w:rsidRDefault="0078738A" w:rsidP="00532614">
      <w:pPr>
        <w:jc w:val="both"/>
        <w:rPr>
          <w:iCs/>
          <w:sz w:val="22"/>
        </w:rPr>
      </w:pPr>
      <w:r w:rsidRPr="00FC442E">
        <w:t>Using an economic life of 8 years</w:t>
      </w:r>
      <w:r w:rsidR="00995C2B" w:rsidRPr="00FC442E">
        <w:t xml:space="preserve"> and</w:t>
      </w:r>
      <w:r w:rsidRPr="00FC442E">
        <w:t xml:space="preserve"> a discount rate of 12%</w:t>
      </w:r>
      <w:r w:rsidR="00995C2B" w:rsidRPr="00FC442E">
        <w:t>, the NPV and IRR were ca</w:t>
      </w:r>
      <w:r w:rsidR="009A1CB6" w:rsidRPr="00FC442E">
        <w:t xml:space="preserve">lculated. As illustrated </w:t>
      </w:r>
      <w:r w:rsidR="00532614" w:rsidRPr="00FC442E">
        <w:t xml:space="preserve">in </w:t>
      </w:r>
      <w:r w:rsidR="00D97B43" w:rsidRPr="00FC442E">
        <w:t>T</w:t>
      </w:r>
      <w:r w:rsidR="009A1CB6" w:rsidRPr="00FC442E">
        <w:t>able 4</w:t>
      </w:r>
      <w:r w:rsidR="00995C2B" w:rsidRPr="00FC442E">
        <w:t>.3</w:t>
      </w:r>
      <w:r w:rsidR="00532614" w:rsidRPr="00FC442E">
        <w:t>,</w:t>
      </w:r>
      <w:r w:rsidR="00995C2B" w:rsidRPr="00FC442E">
        <w:t xml:space="preserve"> </w:t>
      </w:r>
      <w:r w:rsidR="00532614" w:rsidRPr="00FC442E">
        <w:t>t</w:t>
      </w:r>
      <w:r w:rsidR="00532614" w:rsidRPr="00FC442E">
        <w:rPr>
          <w:iCs/>
        </w:rPr>
        <w:t xml:space="preserve">he cost-benefit analysis shows that the interventions in 5 of the 8 pump stations were not </w:t>
      </w:r>
      <w:r w:rsidR="00972A06" w:rsidRPr="00FC442E">
        <w:rPr>
          <w:iCs/>
        </w:rPr>
        <w:t>economically</w:t>
      </w:r>
      <w:r w:rsidR="00532614" w:rsidRPr="00FC442E">
        <w:rPr>
          <w:iCs/>
        </w:rPr>
        <w:t xml:space="preserve"> feasible. This is directly related to the extent of energy consumption savings achieved with the interventions implemented by SWM. Several factors play a role in the achievement of lower savings than expected: (i) SWM did not implement fully the consultant’s recommendations, in at least 3 stations this was due to </w:t>
      </w:r>
      <w:proofErr w:type="gramStart"/>
      <w:r w:rsidR="00532614" w:rsidRPr="00FC442E">
        <w:rPr>
          <w:iCs/>
        </w:rPr>
        <w:t>future plans</w:t>
      </w:r>
      <w:proofErr w:type="gramEnd"/>
      <w:r w:rsidR="00532614" w:rsidRPr="00FC442E">
        <w:rPr>
          <w:iCs/>
        </w:rPr>
        <w:t xml:space="preserve"> for the increase of the production capacity</w:t>
      </w:r>
      <w:r w:rsidR="00AD573A">
        <w:rPr>
          <w:iCs/>
        </w:rPr>
        <w:t xml:space="preserve"> (i.e. </w:t>
      </w:r>
      <w:proofErr w:type="spellStart"/>
      <w:r w:rsidR="00AD573A">
        <w:rPr>
          <w:iCs/>
        </w:rPr>
        <w:t>Tourtonne</w:t>
      </w:r>
      <w:proofErr w:type="spellEnd"/>
      <w:r w:rsidR="00AD573A">
        <w:rPr>
          <w:iCs/>
        </w:rPr>
        <w:t xml:space="preserve">, Van </w:t>
      </w:r>
      <w:proofErr w:type="spellStart"/>
      <w:r w:rsidR="00AD573A">
        <w:rPr>
          <w:iCs/>
        </w:rPr>
        <w:t>Hattemweg</w:t>
      </w:r>
      <w:proofErr w:type="spellEnd"/>
      <w:r w:rsidR="00AD573A">
        <w:rPr>
          <w:iCs/>
        </w:rPr>
        <w:t>, Helena Christina)</w:t>
      </w:r>
      <w:r w:rsidR="00532614" w:rsidRPr="00FC442E">
        <w:rPr>
          <w:iCs/>
        </w:rPr>
        <w:t>. The production capacity of the stations is key to adjust the energy and hydraulic models which will then allow SWM to determine the technical specifications for the pumps required; (ii) The energy efficiency of some of  the submersible pumps installed was not as expected</w:t>
      </w:r>
      <w:r w:rsidR="00AD573A">
        <w:rPr>
          <w:iCs/>
        </w:rPr>
        <w:t xml:space="preserve"> (e.g. </w:t>
      </w:r>
      <w:proofErr w:type="spellStart"/>
      <w:r w:rsidR="00AD573A">
        <w:rPr>
          <w:iCs/>
        </w:rPr>
        <w:t>Blauwgrond</w:t>
      </w:r>
      <w:proofErr w:type="spellEnd"/>
      <w:r w:rsidR="00AD573A">
        <w:rPr>
          <w:iCs/>
        </w:rPr>
        <w:t>)</w:t>
      </w:r>
      <w:r w:rsidR="00532614" w:rsidRPr="00FC442E">
        <w:rPr>
          <w:iCs/>
        </w:rPr>
        <w:t xml:space="preserve">, this may point out the need to ensure the energy and hydraulic models are fully updated in order to determine the technical specifications of the required pumps. On the other hand, the savings achieved in the three stations (Livorno, </w:t>
      </w:r>
      <w:proofErr w:type="spellStart"/>
      <w:r w:rsidR="00532614" w:rsidRPr="00FC442E">
        <w:rPr>
          <w:iCs/>
        </w:rPr>
        <w:t>LeLydorp</w:t>
      </w:r>
      <w:proofErr w:type="spellEnd"/>
      <w:r w:rsidR="00532614" w:rsidRPr="00FC442E">
        <w:rPr>
          <w:iCs/>
        </w:rPr>
        <w:t xml:space="preserve">, and </w:t>
      </w:r>
      <w:proofErr w:type="spellStart"/>
      <w:r w:rsidR="00532614" w:rsidRPr="00FC442E">
        <w:rPr>
          <w:iCs/>
        </w:rPr>
        <w:t>Republiek</w:t>
      </w:r>
      <w:proofErr w:type="spellEnd"/>
      <w:r w:rsidR="00532614" w:rsidRPr="00FC442E">
        <w:rPr>
          <w:iCs/>
        </w:rPr>
        <w:t xml:space="preserve">) where the recommendations were fully implemented, were as expected or even higher. These results show that SWM can obtain further energy savings in the other stations by fully implementing the recommendations and by using the energy and hydraulic models to ensure the equipment specifications respond to the needs of the network configuration. </w:t>
      </w:r>
    </w:p>
    <w:p w:rsidR="00995C2B" w:rsidRPr="00FC442E" w:rsidRDefault="00995C2B" w:rsidP="002C44E5"/>
    <w:p w:rsidR="00995C2B" w:rsidRPr="00FC442E" w:rsidRDefault="00995C2B" w:rsidP="00995C2B">
      <w:pPr>
        <w:autoSpaceDE w:val="0"/>
        <w:autoSpaceDN w:val="0"/>
        <w:adjustRightInd w:val="0"/>
        <w:jc w:val="center"/>
        <w:rPr>
          <w:b/>
          <w:bCs/>
        </w:rPr>
      </w:pPr>
      <w:r w:rsidRPr="00FC442E">
        <w:rPr>
          <w:b/>
          <w:bCs/>
        </w:rPr>
        <w:t xml:space="preserve">Table </w:t>
      </w:r>
      <w:r w:rsidR="009A1CB6" w:rsidRPr="00FC442E">
        <w:rPr>
          <w:b/>
          <w:bCs/>
        </w:rPr>
        <w:t>4</w:t>
      </w:r>
      <w:r w:rsidRPr="00FC442E">
        <w:rPr>
          <w:b/>
          <w:bCs/>
        </w:rPr>
        <w:t>.3 Results of Economic Analysis</w:t>
      </w:r>
      <w:r w:rsidR="00056C44" w:rsidRPr="00FC442E">
        <w:rPr>
          <w:b/>
          <w:bCs/>
        </w:rPr>
        <w:t xml:space="preserve"> for Individual Projects</w:t>
      </w:r>
    </w:p>
    <w:p w:rsidR="00995C2B" w:rsidRPr="00FC442E" w:rsidRDefault="00995C2B" w:rsidP="002C44E5"/>
    <w:tbl>
      <w:tblPr>
        <w:tblW w:w="8800" w:type="dxa"/>
        <w:jc w:val="center"/>
        <w:tblLook w:val="04A0" w:firstRow="1" w:lastRow="0" w:firstColumn="1" w:lastColumn="0" w:noHBand="0" w:noVBand="1"/>
      </w:tblPr>
      <w:tblGrid>
        <w:gridCol w:w="6200"/>
        <w:gridCol w:w="1400"/>
        <w:gridCol w:w="1200"/>
      </w:tblGrid>
      <w:tr w:rsidR="00995C2B" w:rsidRPr="00FC442E" w:rsidTr="00056C44">
        <w:trPr>
          <w:trHeight w:val="315"/>
          <w:jc w:val="center"/>
        </w:trPr>
        <w:tc>
          <w:tcPr>
            <w:tcW w:w="6200" w:type="dxa"/>
            <w:vMerge w:val="restart"/>
            <w:tcBorders>
              <w:top w:val="single" w:sz="8" w:space="0" w:color="auto"/>
              <w:left w:val="single" w:sz="8" w:space="0" w:color="auto"/>
              <w:bottom w:val="single" w:sz="8" w:space="0" w:color="000000"/>
              <w:right w:val="single" w:sz="8" w:space="0" w:color="auto"/>
            </w:tcBorders>
            <w:shd w:val="pct20" w:color="auto" w:fill="auto"/>
            <w:noWrap/>
            <w:vAlign w:val="center"/>
            <w:hideMark/>
          </w:tcPr>
          <w:p w:rsidR="00995C2B" w:rsidRPr="00FC442E" w:rsidRDefault="00995C2B" w:rsidP="00995C2B">
            <w:pPr>
              <w:jc w:val="center"/>
              <w:rPr>
                <w:b/>
                <w:bCs/>
                <w:color w:val="000000"/>
                <w:sz w:val="22"/>
                <w:szCs w:val="22"/>
              </w:rPr>
            </w:pPr>
            <w:r w:rsidRPr="00FC442E">
              <w:rPr>
                <w:b/>
                <w:bCs/>
                <w:color w:val="000000"/>
                <w:sz w:val="22"/>
                <w:szCs w:val="22"/>
              </w:rPr>
              <w:t>Project</w:t>
            </w:r>
          </w:p>
        </w:tc>
        <w:tc>
          <w:tcPr>
            <w:tcW w:w="2600" w:type="dxa"/>
            <w:gridSpan w:val="2"/>
            <w:tcBorders>
              <w:top w:val="single" w:sz="8" w:space="0" w:color="auto"/>
              <w:left w:val="nil"/>
              <w:bottom w:val="single" w:sz="8" w:space="0" w:color="auto"/>
              <w:right w:val="single" w:sz="8" w:space="0" w:color="000000"/>
            </w:tcBorders>
            <w:shd w:val="pct20" w:color="auto" w:fill="auto"/>
            <w:noWrap/>
            <w:vAlign w:val="center"/>
            <w:hideMark/>
          </w:tcPr>
          <w:p w:rsidR="00995C2B" w:rsidRPr="00FC442E" w:rsidRDefault="00995C2B" w:rsidP="00995C2B">
            <w:pPr>
              <w:jc w:val="center"/>
              <w:rPr>
                <w:b/>
                <w:bCs/>
                <w:color w:val="000000"/>
                <w:sz w:val="22"/>
                <w:szCs w:val="22"/>
              </w:rPr>
            </w:pPr>
            <w:r w:rsidRPr="00FC442E">
              <w:rPr>
                <w:b/>
                <w:bCs/>
                <w:color w:val="000000"/>
                <w:sz w:val="22"/>
                <w:szCs w:val="22"/>
              </w:rPr>
              <w:t>Indicator</w:t>
            </w:r>
          </w:p>
        </w:tc>
      </w:tr>
      <w:tr w:rsidR="00995C2B" w:rsidRPr="00FC442E" w:rsidTr="00056C44">
        <w:trPr>
          <w:trHeight w:val="315"/>
          <w:jc w:val="center"/>
        </w:trPr>
        <w:tc>
          <w:tcPr>
            <w:tcW w:w="6200" w:type="dxa"/>
            <w:vMerge/>
            <w:tcBorders>
              <w:top w:val="single" w:sz="8" w:space="0" w:color="auto"/>
              <w:left w:val="single" w:sz="8" w:space="0" w:color="auto"/>
              <w:bottom w:val="single" w:sz="8" w:space="0" w:color="000000"/>
              <w:right w:val="single" w:sz="8" w:space="0" w:color="auto"/>
            </w:tcBorders>
            <w:shd w:val="pct20" w:color="auto" w:fill="auto"/>
            <w:vAlign w:val="center"/>
            <w:hideMark/>
          </w:tcPr>
          <w:p w:rsidR="00995C2B" w:rsidRPr="00FC442E" w:rsidRDefault="00995C2B" w:rsidP="00995C2B">
            <w:pPr>
              <w:rPr>
                <w:b/>
                <w:bCs/>
                <w:color w:val="000000"/>
                <w:sz w:val="22"/>
                <w:szCs w:val="22"/>
              </w:rPr>
            </w:pPr>
          </w:p>
        </w:tc>
        <w:tc>
          <w:tcPr>
            <w:tcW w:w="1400" w:type="dxa"/>
            <w:tcBorders>
              <w:top w:val="nil"/>
              <w:left w:val="nil"/>
              <w:bottom w:val="single" w:sz="8" w:space="0" w:color="auto"/>
              <w:right w:val="single" w:sz="8" w:space="0" w:color="auto"/>
            </w:tcBorders>
            <w:shd w:val="pct20" w:color="auto" w:fill="auto"/>
            <w:noWrap/>
            <w:vAlign w:val="bottom"/>
            <w:hideMark/>
          </w:tcPr>
          <w:p w:rsidR="00995C2B" w:rsidRPr="00FC442E" w:rsidRDefault="00995C2B" w:rsidP="00995C2B">
            <w:pPr>
              <w:jc w:val="center"/>
              <w:rPr>
                <w:b/>
                <w:bCs/>
                <w:color w:val="000000"/>
                <w:sz w:val="22"/>
                <w:szCs w:val="22"/>
              </w:rPr>
            </w:pPr>
            <w:r w:rsidRPr="00FC442E">
              <w:rPr>
                <w:b/>
                <w:bCs/>
                <w:color w:val="000000"/>
                <w:sz w:val="22"/>
                <w:szCs w:val="22"/>
              </w:rPr>
              <w:t>NPV</w:t>
            </w:r>
          </w:p>
          <w:p w:rsidR="0051533D" w:rsidRPr="00FC442E" w:rsidRDefault="0051533D" w:rsidP="00995C2B">
            <w:pPr>
              <w:jc w:val="center"/>
              <w:rPr>
                <w:b/>
                <w:bCs/>
                <w:color w:val="000000"/>
                <w:sz w:val="22"/>
                <w:szCs w:val="22"/>
              </w:rPr>
            </w:pPr>
            <w:r w:rsidRPr="00FC442E">
              <w:rPr>
                <w:b/>
                <w:bCs/>
                <w:color w:val="000000"/>
                <w:sz w:val="22"/>
                <w:szCs w:val="22"/>
              </w:rPr>
              <w:t>US$</w:t>
            </w:r>
          </w:p>
        </w:tc>
        <w:tc>
          <w:tcPr>
            <w:tcW w:w="1200" w:type="dxa"/>
            <w:tcBorders>
              <w:top w:val="nil"/>
              <w:left w:val="nil"/>
              <w:bottom w:val="single" w:sz="8" w:space="0" w:color="auto"/>
              <w:right w:val="single" w:sz="8" w:space="0" w:color="auto"/>
            </w:tcBorders>
            <w:shd w:val="pct20" w:color="auto" w:fill="auto"/>
            <w:noWrap/>
            <w:vAlign w:val="bottom"/>
            <w:hideMark/>
          </w:tcPr>
          <w:p w:rsidR="00995C2B" w:rsidRPr="00FC442E" w:rsidRDefault="00995C2B" w:rsidP="00995C2B">
            <w:pPr>
              <w:jc w:val="center"/>
              <w:rPr>
                <w:b/>
                <w:bCs/>
                <w:color w:val="000000"/>
                <w:sz w:val="22"/>
                <w:szCs w:val="22"/>
              </w:rPr>
            </w:pPr>
            <w:r w:rsidRPr="00FC442E">
              <w:rPr>
                <w:b/>
                <w:bCs/>
                <w:color w:val="000000"/>
                <w:sz w:val="22"/>
                <w:szCs w:val="22"/>
              </w:rPr>
              <w:t>IRR</w:t>
            </w:r>
          </w:p>
          <w:p w:rsidR="0051533D" w:rsidRPr="00FC442E" w:rsidRDefault="0051533D" w:rsidP="00995C2B">
            <w:pPr>
              <w:jc w:val="center"/>
              <w:rPr>
                <w:b/>
                <w:bCs/>
                <w:color w:val="000000"/>
                <w:sz w:val="22"/>
                <w:szCs w:val="22"/>
              </w:rPr>
            </w:pPr>
            <w:r w:rsidRPr="00FC442E">
              <w:rPr>
                <w:b/>
                <w:bCs/>
                <w:color w:val="000000"/>
                <w:sz w:val="22"/>
                <w:szCs w:val="22"/>
              </w:rPr>
              <w:t>%</w:t>
            </w:r>
          </w:p>
        </w:tc>
      </w:tr>
      <w:tr w:rsidR="001A38BF" w:rsidRPr="00FC442E" w:rsidTr="00995C2B">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A38BF" w:rsidRPr="00FC442E" w:rsidRDefault="001A38BF" w:rsidP="00E32E25">
            <w:pPr>
              <w:pStyle w:val="ListParagraph"/>
              <w:numPr>
                <w:ilvl w:val="0"/>
                <w:numId w:val="8"/>
              </w:numPr>
              <w:ind w:left="409"/>
              <w:rPr>
                <w:color w:val="000000"/>
                <w:sz w:val="22"/>
                <w:szCs w:val="22"/>
                <w:lang w:val="en-US"/>
              </w:rPr>
            </w:pPr>
            <w:r w:rsidRPr="00FC442E">
              <w:rPr>
                <w:color w:val="000000"/>
                <w:sz w:val="22"/>
                <w:szCs w:val="22"/>
                <w:lang w:val="en-US"/>
              </w:rPr>
              <w:t>WK-</w:t>
            </w:r>
            <w:proofErr w:type="spellStart"/>
            <w:r w:rsidRPr="00FC442E">
              <w:rPr>
                <w:color w:val="000000"/>
                <w:sz w:val="22"/>
                <w:szCs w:val="22"/>
                <w:lang w:val="en-US"/>
              </w:rPr>
              <w:t>Plein</w:t>
            </w:r>
            <w:proofErr w:type="spellEnd"/>
          </w:p>
        </w:tc>
        <w:tc>
          <w:tcPr>
            <w:tcW w:w="14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11,178</w:t>
            </w:r>
          </w:p>
        </w:tc>
        <w:tc>
          <w:tcPr>
            <w:tcW w:w="12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70.5%</w:t>
            </w:r>
          </w:p>
        </w:tc>
      </w:tr>
      <w:tr w:rsidR="001A38BF" w:rsidRPr="00FC442E" w:rsidTr="00995C2B">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A38BF" w:rsidRPr="00FC442E" w:rsidRDefault="001A38BF" w:rsidP="00E32E25">
            <w:pPr>
              <w:pStyle w:val="ListParagraph"/>
              <w:numPr>
                <w:ilvl w:val="0"/>
                <w:numId w:val="8"/>
              </w:numPr>
              <w:ind w:left="409"/>
              <w:rPr>
                <w:color w:val="000000"/>
                <w:sz w:val="22"/>
                <w:szCs w:val="22"/>
                <w:lang w:val="en-US"/>
              </w:rPr>
            </w:pPr>
            <w:proofErr w:type="spellStart"/>
            <w:r w:rsidRPr="00FC442E">
              <w:rPr>
                <w:color w:val="000000"/>
                <w:sz w:val="22"/>
                <w:szCs w:val="22"/>
                <w:lang w:val="en-US"/>
              </w:rPr>
              <w:t>Republiek</w:t>
            </w:r>
            <w:proofErr w:type="spellEnd"/>
          </w:p>
        </w:tc>
        <w:tc>
          <w:tcPr>
            <w:tcW w:w="14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44,587</w:t>
            </w:r>
          </w:p>
        </w:tc>
        <w:tc>
          <w:tcPr>
            <w:tcW w:w="12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42.7%</w:t>
            </w:r>
          </w:p>
        </w:tc>
      </w:tr>
      <w:tr w:rsidR="001A38BF" w:rsidRPr="00FC442E" w:rsidTr="00995C2B">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A38BF" w:rsidRPr="00FC442E" w:rsidRDefault="001A38BF" w:rsidP="00E32E25">
            <w:pPr>
              <w:pStyle w:val="ListParagraph"/>
              <w:numPr>
                <w:ilvl w:val="0"/>
                <w:numId w:val="8"/>
              </w:numPr>
              <w:ind w:left="409"/>
              <w:rPr>
                <w:color w:val="000000"/>
                <w:sz w:val="22"/>
                <w:szCs w:val="22"/>
                <w:lang w:val="en-US"/>
              </w:rPr>
            </w:pPr>
            <w:r w:rsidRPr="00FC442E">
              <w:rPr>
                <w:color w:val="000000"/>
                <w:sz w:val="22"/>
                <w:szCs w:val="22"/>
                <w:lang w:val="en-US"/>
              </w:rPr>
              <w:t xml:space="preserve">Livorno </w:t>
            </w:r>
            <w:proofErr w:type="spellStart"/>
            <w:r w:rsidRPr="00FC442E">
              <w:rPr>
                <w:color w:val="000000"/>
                <w:sz w:val="22"/>
                <w:szCs w:val="22"/>
                <w:lang w:val="en-US"/>
              </w:rPr>
              <w:t>Oversie</w:t>
            </w:r>
            <w:proofErr w:type="spellEnd"/>
          </w:p>
        </w:tc>
        <w:tc>
          <w:tcPr>
            <w:tcW w:w="14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-8,338</w:t>
            </w:r>
          </w:p>
        </w:tc>
        <w:tc>
          <w:tcPr>
            <w:tcW w:w="12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10.3%</w:t>
            </w:r>
          </w:p>
        </w:tc>
      </w:tr>
      <w:tr w:rsidR="001A38BF" w:rsidRPr="00FC442E" w:rsidTr="00995C2B">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A38BF" w:rsidRPr="00FC442E" w:rsidRDefault="001A38BF" w:rsidP="00E32E25">
            <w:pPr>
              <w:pStyle w:val="ListParagraph"/>
              <w:numPr>
                <w:ilvl w:val="0"/>
                <w:numId w:val="8"/>
              </w:numPr>
              <w:ind w:left="409"/>
              <w:rPr>
                <w:color w:val="000000"/>
                <w:sz w:val="22"/>
                <w:szCs w:val="22"/>
                <w:lang w:val="en-US"/>
              </w:rPr>
            </w:pPr>
            <w:proofErr w:type="spellStart"/>
            <w:r w:rsidRPr="00FC442E">
              <w:rPr>
                <w:color w:val="000000"/>
                <w:sz w:val="22"/>
                <w:szCs w:val="22"/>
                <w:lang w:val="en-US"/>
              </w:rPr>
              <w:t>Blauwgrond</w:t>
            </w:r>
            <w:proofErr w:type="spellEnd"/>
          </w:p>
        </w:tc>
        <w:tc>
          <w:tcPr>
            <w:tcW w:w="14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-4,063</w:t>
            </w:r>
          </w:p>
        </w:tc>
        <w:tc>
          <w:tcPr>
            <w:tcW w:w="12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-6.3%</w:t>
            </w:r>
          </w:p>
        </w:tc>
      </w:tr>
      <w:tr w:rsidR="001A38BF" w:rsidRPr="00FC442E" w:rsidTr="00995C2B">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A38BF" w:rsidRPr="00FC442E" w:rsidRDefault="001A38BF" w:rsidP="00E32E25">
            <w:pPr>
              <w:pStyle w:val="ListParagraph"/>
              <w:numPr>
                <w:ilvl w:val="0"/>
                <w:numId w:val="8"/>
              </w:numPr>
              <w:ind w:left="409"/>
              <w:rPr>
                <w:color w:val="000000"/>
                <w:sz w:val="22"/>
                <w:szCs w:val="22"/>
                <w:lang w:val="en-US"/>
              </w:rPr>
            </w:pPr>
            <w:r w:rsidRPr="00FC442E">
              <w:rPr>
                <w:color w:val="000000"/>
                <w:sz w:val="22"/>
                <w:szCs w:val="22"/>
                <w:lang w:val="en-US"/>
              </w:rPr>
              <w:t>Helena Christina</w:t>
            </w:r>
          </w:p>
        </w:tc>
        <w:tc>
          <w:tcPr>
            <w:tcW w:w="14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-71,984</w:t>
            </w:r>
          </w:p>
        </w:tc>
        <w:tc>
          <w:tcPr>
            <w:tcW w:w="12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-22.2%</w:t>
            </w:r>
          </w:p>
        </w:tc>
      </w:tr>
      <w:tr w:rsidR="001A38BF" w:rsidRPr="00FC442E" w:rsidTr="00995C2B">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A38BF" w:rsidRPr="00FC442E" w:rsidRDefault="001A38BF" w:rsidP="00E32E25">
            <w:pPr>
              <w:pStyle w:val="ListParagraph"/>
              <w:numPr>
                <w:ilvl w:val="0"/>
                <w:numId w:val="8"/>
              </w:numPr>
              <w:ind w:left="409"/>
              <w:rPr>
                <w:color w:val="000000"/>
                <w:sz w:val="22"/>
                <w:szCs w:val="22"/>
                <w:lang w:val="en-US"/>
              </w:rPr>
            </w:pPr>
            <w:proofErr w:type="spellStart"/>
            <w:r w:rsidRPr="00FC442E">
              <w:rPr>
                <w:color w:val="000000"/>
                <w:sz w:val="22"/>
                <w:szCs w:val="22"/>
                <w:lang w:val="en-US"/>
              </w:rPr>
              <w:t>Tourtonne</w:t>
            </w:r>
            <w:proofErr w:type="spellEnd"/>
          </w:p>
        </w:tc>
        <w:tc>
          <w:tcPr>
            <w:tcW w:w="14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N/A</w:t>
            </w:r>
          </w:p>
        </w:tc>
        <w:tc>
          <w:tcPr>
            <w:tcW w:w="12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N/A</w:t>
            </w:r>
          </w:p>
        </w:tc>
      </w:tr>
      <w:tr w:rsidR="001A38BF" w:rsidRPr="00FC442E" w:rsidTr="00995C2B">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A38BF" w:rsidRPr="00FC442E" w:rsidRDefault="001A38BF" w:rsidP="00E32E25">
            <w:pPr>
              <w:pStyle w:val="ListParagraph"/>
              <w:numPr>
                <w:ilvl w:val="0"/>
                <w:numId w:val="8"/>
              </w:numPr>
              <w:ind w:left="409"/>
              <w:rPr>
                <w:color w:val="000000"/>
                <w:sz w:val="22"/>
                <w:szCs w:val="22"/>
                <w:lang w:val="en-US"/>
              </w:rPr>
            </w:pPr>
            <w:proofErr w:type="spellStart"/>
            <w:r w:rsidRPr="00FC442E">
              <w:rPr>
                <w:color w:val="000000"/>
                <w:sz w:val="22"/>
                <w:szCs w:val="22"/>
                <w:lang w:val="en-US"/>
              </w:rPr>
              <w:t>Lelydorp</w:t>
            </w:r>
            <w:proofErr w:type="spellEnd"/>
          </w:p>
        </w:tc>
        <w:tc>
          <w:tcPr>
            <w:tcW w:w="14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24,256</w:t>
            </w:r>
          </w:p>
        </w:tc>
        <w:tc>
          <w:tcPr>
            <w:tcW w:w="12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29.9%</w:t>
            </w:r>
          </w:p>
        </w:tc>
      </w:tr>
      <w:tr w:rsidR="001A38BF" w:rsidRPr="00FC442E" w:rsidTr="00995C2B">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A38BF" w:rsidRPr="00FC442E" w:rsidRDefault="001A38BF" w:rsidP="00E32E25">
            <w:pPr>
              <w:pStyle w:val="ListParagraph"/>
              <w:numPr>
                <w:ilvl w:val="0"/>
                <w:numId w:val="8"/>
              </w:numPr>
              <w:ind w:left="409"/>
              <w:rPr>
                <w:color w:val="000000"/>
                <w:sz w:val="22"/>
                <w:szCs w:val="22"/>
                <w:lang w:val="en-US"/>
              </w:rPr>
            </w:pPr>
            <w:r w:rsidRPr="00FC442E">
              <w:rPr>
                <w:color w:val="000000"/>
                <w:sz w:val="22"/>
                <w:szCs w:val="22"/>
                <w:lang w:val="en-US"/>
              </w:rPr>
              <w:t xml:space="preserve">Van </w:t>
            </w:r>
            <w:proofErr w:type="spellStart"/>
            <w:r w:rsidRPr="00FC442E">
              <w:rPr>
                <w:color w:val="000000"/>
                <w:sz w:val="22"/>
                <w:szCs w:val="22"/>
                <w:lang w:val="en-US"/>
              </w:rPr>
              <w:t>Hattemweg</w:t>
            </w:r>
            <w:proofErr w:type="spellEnd"/>
          </w:p>
        </w:tc>
        <w:tc>
          <w:tcPr>
            <w:tcW w:w="14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-8,942</w:t>
            </w:r>
          </w:p>
        </w:tc>
        <w:tc>
          <w:tcPr>
            <w:tcW w:w="12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color w:val="000000"/>
                <w:sz w:val="22"/>
                <w:szCs w:val="22"/>
              </w:rPr>
            </w:pPr>
            <w:r w:rsidRPr="00FC442E">
              <w:rPr>
                <w:color w:val="000000"/>
                <w:sz w:val="22"/>
                <w:szCs w:val="22"/>
              </w:rPr>
              <w:t>2.3%</w:t>
            </w:r>
          </w:p>
        </w:tc>
      </w:tr>
      <w:tr w:rsidR="001A38BF" w:rsidRPr="00FC442E" w:rsidTr="00995C2B">
        <w:trPr>
          <w:trHeight w:val="300"/>
          <w:jc w:val="center"/>
        </w:trPr>
        <w:tc>
          <w:tcPr>
            <w:tcW w:w="6200" w:type="dxa"/>
            <w:tcBorders>
              <w:top w:val="nil"/>
              <w:left w:val="single" w:sz="8" w:space="0" w:color="auto"/>
              <w:bottom w:val="single" w:sz="4" w:space="0" w:color="auto"/>
              <w:right w:val="single" w:sz="8" w:space="0" w:color="auto"/>
            </w:tcBorders>
            <w:shd w:val="clear" w:color="auto" w:fill="auto"/>
            <w:noWrap/>
            <w:vAlign w:val="bottom"/>
            <w:hideMark/>
          </w:tcPr>
          <w:p w:rsidR="001A38BF" w:rsidRPr="00FC442E" w:rsidRDefault="001A38BF" w:rsidP="001A38BF">
            <w:pPr>
              <w:rPr>
                <w:color w:val="000000"/>
                <w:sz w:val="22"/>
                <w:szCs w:val="22"/>
              </w:rPr>
            </w:pPr>
            <w:r w:rsidRPr="00FC442E">
              <w:rPr>
                <w:color w:val="000000"/>
                <w:sz w:val="22"/>
                <w:szCs w:val="22"/>
              </w:rPr>
              <w:t>Aggregated CBA</w:t>
            </w:r>
            <w:r w:rsidR="007009CB">
              <w:rPr>
                <w:color w:val="000000"/>
                <w:sz w:val="22"/>
                <w:szCs w:val="22"/>
              </w:rPr>
              <w:t xml:space="preserve"> for the Energy Efficiency </w:t>
            </w:r>
            <w:proofErr w:type="spellStart"/>
            <w:r w:rsidR="007009CB">
              <w:rPr>
                <w:color w:val="000000"/>
                <w:sz w:val="22"/>
                <w:szCs w:val="22"/>
              </w:rPr>
              <w:t>Componente</w:t>
            </w:r>
            <w:proofErr w:type="spellEnd"/>
          </w:p>
        </w:tc>
        <w:tc>
          <w:tcPr>
            <w:tcW w:w="14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b/>
                <w:bCs/>
                <w:color w:val="000000"/>
                <w:sz w:val="22"/>
                <w:szCs w:val="22"/>
              </w:rPr>
            </w:pPr>
            <w:r w:rsidRPr="00FC442E">
              <w:rPr>
                <w:b/>
                <w:bCs/>
                <w:color w:val="000000"/>
                <w:sz w:val="22"/>
                <w:szCs w:val="22"/>
              </w:rPr>
              <w:t>-161,427</w:t>
            </w:r>
          </w:p>
        </w:tc>
        <w:tc>
          <w:tcPr>
            <w:tcW w:w="1200" w:type="dxa"/>
            <w:tcBorders>
              <w:top w:val="nil"/>
              <w:left w:val="nil"/>
              <w:bottom w:val="single" w:sz="4" w:space="0" w:color="000000"/>
              <w:right w:val="single" w:sz="8" w:space="0" w:color="auto"/>
            </w:tcBorders>
            <w:shd w:val="clear" w:color="auto" w:fill="auto"/>
            <w:vAlign w:val="center"/>
            <w:hideMark/>
          </w:tcPr>
          <w:p w:rsidR="001A38BF" w:rsidRPr="00FC442E" w:rsidRDefault="001A38BF" w:rsidP="001A38BF">
            <w:pPr>
              <w:jc w:val="center"/>
              <w:rPr>
                <w:b/>
                <w:bCs/>
                <w:color w:val="000000"/>
                <w:sz w:val="22"/>
                <w:szCs w:val="22"/>
              </w:rPr>
            </w:pPr>
            <w:r w:rsidRPr="00FC442E">
              <w:rPr>
                <w:b/>
                <w:bCs/>
                <w:color w:val="000000"/>
                <w:sz w:val="22"/>
                <w:szCs w:val="22"/>
              </w:rPr>
              <w:t>1.7%</w:t>
            </w:r>
          </w:p>
        </w:tc>
      </w:tr>
    </w:tbl>
    <w:p w:rsidR="00995C2B" w:rsidRPr="00FC442E" w:rsidRDefault="00995C2B" w:rsidP="002C44E5"/>
    <w:p w:rsidR="00332003" w:rsidRDefault="00332003" w:rsidP="00332003">
      <w:pPr>
        <w:pStyle w:val="Footer"/>
        <w:tabs>
          <w:tab w:val="clear" w:pos="4819"/>
          <w:tab w:val="clear" w:pos="9638"/>
        </w:tabs>
        <w:ind w:left="720"/>
        <w:rPr>
          <w:b/>
          <w:szCs w:val="24"/>
          <w:lang w:val="en-US"/>
        </w:rPr>
      </w:pPr>
    </w:p>
    <w:p w:rsidR="00630E0B" w:rsidRPr="00FC442E" w:rsidRDefault="00332003" w:rsidP="00332003">
      <w:pPr>
        <w:pStyle w:val="Footer"/>
        <w:numPr>
          <w:ilvl w:val="0"/>
          <w:numId w:val="2"/>
        </w:numPr>
        <w:tabs>
          <w:tab w:val="clear" w:pos="4819"/>
          <w:tab w:val="clear" w:pos="9638"/>
        </w:tabs>
        <w:rPr>
          <w:b/>
          <w:szCs w:val="24"/>
          <w:lang w:val="en-US"/>
        </w:rPr>
      </w:pPr>
      <w:r>
        <w:rPr>
          <w:b/>
          <w:szCs w:val="24"/>
          <w:lang w:val="en-US"/>
        </w:rPr>
        <w:t xml:space="preserve">AGGREGATED CBA </w:t>
      </w:r>
      <w:r w:rsidR="00D922A7">
        <w:rPr>
          <w:b/>
          <w:szCs w:val="24"/>
          <w:lang w:val="en-US"/>
        </w:rPr>
        <w:t>OF THE PROGRAM</w:t>
      </w:r>
    </w:p>
    <w:p w:rsidR="00332003" w:rsidRDefault="00332003">
      <w:pPr>
        <w:spacing w:after="200" w:line="276" w:lineRule="auto"/>
      </w:pPr>
    </w:p>
    <w:p w:rsidR="00332003" w:rsidRPr="00FC442E" w:rsidRDefault="00D922A7" w:rsidP="00D922A7">
      <w:pPr>
        <w:spacing w:after="200" w:line="276" w:lineRule="auto"/>
        <w:jc w:val="both"/>
      </w:pPr>
      <w:r>
        <w:t>To</w:t>
      </w:r>
      <w:r w:rsidR="00332003">
        <w:t xml:space="preserve"> analyze the economic feasibility of the </w:t>
      </w:r>
      <w:r>
        <w:t xml:space="preserve">whole </w:t>
      </w:r>
      <w:r w:rsidR="00332003">
        <w:t>Program, all the estimated benefits mentioned above were aggregated</w:t>
      </w:r>
      <w:r>
        <w:t>. Additionally, the costs of the four components were included ((i)</w:t>
      </w:r>
      <w:r w:rsidR="00132208">
        <w:t>W</w:t>
      </w:r>
      <w:r>
        <w:t xml:space="preserve">ater </w:t>
      </w:r>
      <w:r w:rsidR="00132208">
        <w:t>S</w:t>
      </w:r>
      <w:r>
        <w:t xml:space="preserve">upply </w:t>
      </w:r>
      <w:r w:rsidR="00132208">
        <w:t>S</w:t>
      </w:r>
      <w:r>
        <w:t xml:space="preserve">ystem </w:t>
      </w:r>
      <w:r w:rsidR="00132208">
        <w:t>R</w:t>
      </w:r>
      <w:r>
        <w:t xml:space="preserve">ehabilitation; (ii) Non-Revenue Water Program; (iii) </w:t>
      </w:r>
      <w:r w:rsidRPr="00D922A7">
        <w:t>Energy Efficiency Pilot Project;</w:t>
      </w:r>
      <w:r>
        <w:rPr>
          <w:rFonts w:cs="Arial"/>
          <w:b/>
        </w:rPr>
        <w:t xml:space="preserve"> </w:t>
      </w:r>
      <w:r w:rsidRPr="00D922A7">
        <w:rPr>
          <w:rFonts w:cs="Arial"/>
        </w:rPr>
        <w:t>and</w:t>
      </w:r>
      <w:r>
        <w:rPr>
          <w:rFonts w:cs="Arial"/>
          <w:b/>
        </w:rPr>
        <w:t xml:space="preserve"> </w:t>
      </w:r>
      <w:r w:rsidRPr="00D922A7">
        <w:rPr>
          <w:rFonts w:cs="Arial"/>
        </w:rPr>
        <w:t>(iv)</w:t>
      </w:r>
      <w:r>
        <w:rPr>
          <w:rFonts w:cs="Arial"/>
          <w:b/>
        </w:rPr>
        <w:t xml:space="preserve"> </w:t>
      </w:r>
      <w:r w:rsidRPr="00D922A7">
        <w:t xml:space="preserve">Institutional </w:t>
      </w:r>
      <w:r w:rsidR="00132208">
        <w:t>S</w:t>
      </w:r>
      <w:r w:rsidRPr="00D922A7">
        <w:t>trengthening</w:t>
      </w:r>
      <w:r>
        <w:t xml:space="preserve">). </w:t>
      </w:r>
      <w:r w:rsidRPr="00FC442E">
        <w:t>Using a discount rate of 12%, the NPV and IRR were calculated. As illustrated in Table 4.</w:t>
      </w:r>
      <w:r>
        <w:t>4</w:t>
      </w:r>
      <w:r w:rsidRPr="00FC442E">
        <w:t>, t</w:t>
      </w:r>
      <w:r w:rsidRPr="00FC442E">
        <w:rPr>
          <w:iCs/>
        </w:rPr>
        <w:t>he cost-benefit analysis shows that the</w:t>
      </w:r>
      <w:r>
        <w:rPr>
          <w:iCs/>
        </w:rPr>
        <w:t xml:space="preserve"> Program as whole was economically feasible, with a</w:t>
      </w:r>
      <w:r w:rsidR="00132208">
        <w:rPr>
          <w:iCs/>
        </w:rPr>
        <w:t>n</w:t>
      </w:r>
      <w:r>
        <w:rPr>
          <w:iCs/>
        </w:rPr>
        <w:t xml:space="preserve"> NPV of US$ 435,93</w:t>
      </w:r>
      <w:r w:rsidR="00E56F00">
        <w:rPr>
          <w:iCs/>
        </w:rPr>
        <w:t>2</w:t>
      </w:r>
      <w:r>
        <w:rPr>
          <w:iCs/>
        </w:rPr>
        <w:t xml:space="preserve"> and an </w:t>
      </w:r>
      <w:r w:rsidR="00BB08A7">
        <w:rPr>
          <w:iCs/>
        </w:rPr>
        <w:t>E</w:t>
      </w:r>
      <w:r>
        <w:rPr>
          <w:iCs/>
        </w:rPr>
        <w:t>RR of 13%. The detail</w:t>
      </w:r>
      <w:r w:rsidR="00132208">
        <w:rPr>
          <w:iCs/>
        </w:rPr>
        <w:t>s</w:t>
      </w:r>
      <w:r>
        <w:rPr>
          <w:iCs/>
        </w:rPr>
        <w:t xml:space="preserve"> of the cashflow </w:t>
      </w:r>
      <w:r w:rsidR="00132208">
        <w:rPr>
          <w:iCs/>
        </w:rPr>
        <w:t xml:space="preserve">are </w:t>
      </w:r>
      <w:r>
        <w:rPr>
          <w:iCs/>
        </w:rPr>
        <w:t xml:space="preserve">presented below. </w:t>
      </w:r>
    </w:p>
    <w:p w:rsidR="0057546C" w:rsidRPr="00132208" w:rsidRDefault="00132208" w:rsidP="00132208">
      <w:pPr>
        <w:autoSpaceDE w:val="0"/>
        <w:autoSpaceDN w:val="0"/>
        <w:adjustRightInd w:val="0"/>
        <w:jc w:val="center"/>
        <w:rPr>
          <w:b/>
          <w:bCs/>
        </w:rPr>
      </w:pPr>
      <w:r w:rsidRPr="00FC442E">
        <w:rPr>
          <w:b/>
          <w:bCs/>
        </w:rPr>
        <w:t>Table 4.</w:t>
      </w:r>
      <w:r>
        <w:rPr>
          <w:b/>
          <w:bCs/>
        </w:rPr>
        <w:t>4.</w:t>
      </w:r>
      <w:r w:rsidRPr="00FC442E">
        <w:rPr>
          <w:b/>
          <w:bCs/>
        </w:rPr>
        <w:t xml:space="preserve"> Results of Economic Analysis </w:t>
      </w:r>
      <w:r>
        <w:rPr>
          <w:b/>
          <w:bCs/>
        </w:rPr>
        <w:t>for the whole Program</w:t>
      </w:r>
    </w:p>
    <w:tbl>
      <w:tblPr>
        <w:tblW w:w="11682" w:type="dxa"/>
        <w:tblInd w:w="-1355" w:type="dxa"/>
        <w:tblLook w:val="04A0" w:firstRow="1" w:lastRow="0" w:firstColumn="1" w:lastColumn="0" w:noHBand="0" w:noVBand="1"/>
      </w:tblPr>
      <w:tblGrid>
        <w:gridCol w:w="638"/>
        <w:gridCol w:w="1316"/>
        <w:gridCol w:w="905"/>
        <w:gridCol w:w="1016"/>
        <w:gridCol w:w="1144"/>
        <w:gridCol w:w="1316"/>
        <w:gridCol w:w="955"/>
        <w:gridCol w:w="1080"/>
        <w:gridCol w:w="1080"/>
        <w:gridCol w:w="1016"/>
        <w:gridCol w:w="1216"/>
      </w:tblGrid>
      <w:tr w:rsidR="00132208" w:rsidRPr="00132208" w:rsidTr="00132208">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32208" w:rsidRPr="00132208" w:rsidRDefault="00132208" w:rsidP="00132208">
            <w:pPr>
              <w:jc w:val="center"/>
              <w:rPr>
                <w:b/>
                <w:bCs/>
                <w:color w:val="000000"/>
                <w:sz w:val="20"/>
              </w:rPr>
            </w:pPr>
            <w:r w:rsidRPr="00132208">
              <w:rPr>
                <w:b/>
                <w:bCs/>
                <w:color w:val="000000"/>
                <w:sz w:val="20"/>
              </w:rPr>
              <w:t>Year</w:t>
            </w:r>
          </w:p>
        </w:tc>
        <w:tc>
          <w:tcPr>
            <w:tcW w:w="131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32208" w:rsidRPr="00132208" w:rsidRDefault="00132208" w:rsidP="00132208">
            <w:pPr>
              <w:jc w:val="center"/>
              <w:rPr>
                <w:b/>
                <w:bCs/>
                <w:color w:val="000000"/>
                <w:sz w:val="20"/>
              </w:rPr>
            </w:pPr>
            <w:r w:rsidRPr="00132208">
              <w:rPr>
                <w:b/>
                <w:bCs/>
                <w:color w:val="000000"/>
                <w:sz w:val="20"/>
              </w:rPr>
              <w:t>Benefits Micrometers</w:t>
            </w:r>
          </w:p>
        </w:tc>
        <w:tc>
          <w:tcPr>
            <w:tcW w:w="90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32208" w:rsidRPr="00132208" w:rsidRDefault="00132208" w:rsidP="00132208">
            <w:pPr>
              <w:jc w:val="center"/>
              <w:rPr>
                <w:b/>
                <w:bCs/>
                <w:color w:val="000000"/>
                <w:sz w:val="20"/>
              </w:rPr>
            </w:pPr>
            <w:r w:rsidRPr="00132208">
              <w:rPr>
                <w:b/>
                <w:bCs/>
                <w:color w:val="000000"/>
                <w:sz w:val="20"/>
              </w:rPr>
              <w:t>Benefits EE</w:t>
            </w:r>
          </w:p>
        </w:tc>
        <w:tc>
          <w:tcPr>
            <w:tcW w:w="101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32208" w:rsidRPr="00132208" w:rsidRDefault="00132208" w:rsidP="00132208">
            <w:pPr>
              <w:jc w:val="center"/>
              <w:rPr>
                <w:b/>
                <w:bCs/>
                <w:color w:val="000000"/>
                <w:sz w:val="20"/>
              </w:rPr>
            </w:pPr>
            <w:r w:rsidRPr="00132208">
              <w:rPr>
                <w:b/>
                <w:bCs/>
                <w:color w:val="000000"/>
                <w:sz w:val="20"/>
              </w:rPr>
              <w:t>Benefits NRW</w:t>
            </w:r>
          </w:p>
        </w:tc>
        <w:tc>
          <w:tcPr>
            <w:tcW w:w="114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32208" w:rsidRPr="00132208" w:rsidRDefault="00132208" w:rsidP="00132208">
            <w:pPr>
              <w:jc w:val="center"/>
              <w:rPr>
                <w:b/>
                <w:bCs/>
                <w:color w:val="000000"/>
                <w:sz w:val="20"/>
              </w:rPr>
            </w:pPr>
            <w:r w:rsidRPr="00132208">
              <w:rPr>
                <w:b/>
                <w:bCs/>
                <w:color w:val="000000"/>
                <w:sz w:val="20"/>
              </w:rPr>
              <w:t>Total Benefits</w:t>
            </w:r>
          </w:p>
        </w:tc>
        <w:tc>
          <w:tcPr>
            <w:tcW w:w="131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32208" w:rsidRPr="00132208" w:rsidRDefault="00132208" w:rsidP="00132208">
            <w:pPr>
              <w:jc w:val="center"/>
              <w:rPr>
                <w:b/>
                <w:bCs/>
                <w:color w:val="000000"/>
                <w:sz w:val="20"/>
              </w:rPr>
            </w:pPr>
            <w:r w:rsidRPr="00132208">
              <w:rPr>
                <w:b/>
                <w:bCs/>
                <w:color w:val="000000"/>
                <w:sz w:val="20"/>
              </w:rPr>
              <w:t>Micrometers Costs</w:t>
            </w:r>
          </w:p>
        </w:tc>
        <w:tc>
          <w:tcPr>
            <w:tcW w:w="95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32208" w:rsidRPr="00132208" w:rsidRDefault="00132208" w:rsidP="00132208">
            <w:pPr>
              <w:jc w:val="center"/>
              <w:rPr>
                <w:b/>
                <w:bCs/>
                <w:color w:val="000000"/>
                <w:sz w:val="20"/>
              </w:rPr>
            </w:pPr>
            <w:r w:rsidRPr="00132208">
              <w:rPr>
                <w:b/>
                <w:bCs/>
                <w:color w:val="000000"/>
                <w:sz w:val="20"/>
              </w:rPr>
              <w:t>EE Costs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32208" w:rsidRPr="00132208" w:rsidRDefault="00132208" w:rsidP="00132208">
            <w:pPr>
              <w:jc w:val="center"/>
              <w:rPr>
                <w:b/>
                <w:bCs/>
                <w:color w:val="000000"/>
                <w:sz w:val="20"/>
              </w:rPr>
            </w:pPr>
            <w:r w:rsidRPr="00132208">
              <w:rPr>
                <w:b/>
                <w:bCs/>
                <w:color w:val="000000"/>
                <w:sz w:val="20"/>
              </w:rPr>
              <w:t>NRW Costs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32208" w:rsidRPr="00132208" w:rsidRDefault="00132208" w:rsidP="00132208">
            <w:pPr>
              <w:jc w:val="center"/>
              <w:rPr>
                <w:b/>
                <w:bCs/>
                <w:color w:val="000000"/>
                <w:sz w:val="20"/>
              </w:rPr>
            </w:pPr>
            <w:r w:rsidRPr="00132208">
              <w:rPr>
                <w:b/>
                <w:bCs/>
                <w:color w:val="000000"/>
                <w:sz w:val="20"/>
              </w:rPr>
              <w:t>Inst</w:t>
            </w:r>
            <w:r>
              <w:rPr>
                <w:b/>
                <w:bCs/>
                <w:color w:val="000000"/>
                <w:sz w:val="20"/>
              </w:rPr>
              <w:t>.</w:t>
            </w:r>
            <w:r w:rsidRPr="00132208">
              <w:rPr>
                <w:b/>
                <w:bCs/>
                <w:color w:val="000000"/>
                <w:sz w:val="20"/>
              </w:rPr>
              <w:t xml:space="preserve"> </w:t>
            </w:r>
            <w:proofErr w:type="spellStart"/>
            <w:r w:rsidRPr="00132208">
              <w:rPr>
                <w:b/>
                <w:bCs/>
                <w:color w:val="000000"/>
                <w:sz w:val="20"/>
              </w:rPr>
              <w:t>Streng</w:t>
            </w:r>
            <w:proofErr w:type="spellEnd"/>
            <w:r>
              <w:rPr>
                <w:b/>
                <w:bCs/>
                <w:color w:val="000000"/>
                <w:sz w:val="20"/>
              </w:rPr>
              <w:t>.</w:t>
            </w:r>
            <w:r w:rsidRPr="00132208">
              <w:rPr>
                <w:b/>
                <w:bCs/>
                <w:color w:val="000000"/>
                <w:sz w:val="20"/>
              </w:rPr>
              <w:t xml:space="preserve"> Costs</w:t>
            </w:r>
          </w:p>
        </w:tc>
        <w:tc>
          <w:tcPr>
            <w:tcW w:w="101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32208" w:rsidRPr="00132208" w:rsidRDefault="00132208" w:rsidP="00132208">
            <w:pPr>
              <w:jc w:val="center"/>
              <w:rPr>
                <w:b/>
                <w:bCs/>
                <w:color w:val="000000"/>
                <w:sz w:val="20"/>
              </w:rPr>
            </w:pPr>
            <w:r w:rsidRPr="00132208">
              <w:rPr>
                <w:b/>
                <w:bCs/>
                <w:color w:val="000000"/>
                <w:sz w:val="20"/>
              </w:rPr>
              <w:t>Total Costs</w:t>
            </w:r>
          </w:p>
        </w:tc>
        <w:tc>
          <w:tcPr>
            <w:tcW w:w="121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32208" w:rsidRPr="00132208" w:rsidRDefault="00132208" w:rsidP="00132208">
            <w:pPr>
              <w:jc w:val="center"/>
              <w:rPr>
                <w:b/>
                <w:bCs/>
                <w:color w:val="000000"/>
                <w:sz w:val="20"/>
              </w:rPr>
            </w:pPr>
            <w:r w:rsidRPr="00132208">
              <w:rPr>
                <w:b/>
                <w:bCs/>
                <w:color w:val="000000"/>
                <w:sz w:val="20"/>
              </w:rPr>
              <w:t>Net Benefits</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0</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115,657</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115,657</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510,114</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486,145</w:t>
            </w: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114,502</w:t>
            </w: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10,000</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1,120,761</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(1,005,103)</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115,657</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65,366</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181,023</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24,291</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133,296</w:t>
            </w: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157,587</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23,437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2</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65,366</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250,418</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150,090</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2,099,692</w:t>
            </w: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49,793</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2,299,575</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(2,049,157)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65,366</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250,418</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1,364,334</w:t>
            </w: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20,491</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1,415,107</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(1,164,689)</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4</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65,366</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1,292,341</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1,542,759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2,484,385</w:t>
            </w: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778,686</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3,293,353</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(1,750,594)</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5</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65,366</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1,648,475</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3,548,000</w:t>
            </w: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3,578,282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(1,929,807)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6</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65,366</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1,648,475</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1,618,193</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7</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65,366</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1,648,475</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1,618,193</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8</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65,366</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1,648,475</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1,618,193</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10</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11</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12</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14</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16</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17</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20</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185,052</w:t>
            </w:r>
          </w:p>
        </w:tc>
        <w:tc>
          <w:tcPr>
            <w:tcW w:w="90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w:t>
            </w: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1,398,057</w:t>
            </w:r>
          </w:p>
        </w:tc>
        <w:tc>
          <w:tcPr>
            <w:tcW w:w="1144"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1,583,109</w:t>
            </w:r>
          </w:p>
        </w:tc>
        <w:tc>
          <w:tcPr>
            <w:tcW w:w="13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955"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p>
        </w:tc>
        <w:tc>
          <w:tcPr>
            <w:tcW w:w="10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30,282</w:t>
            </w:r>
          </w:p>
        </w:tc>
        <w:tc>
          <w:tcPr>
            <w:tcW w:w="1216" w:type="dxa"/>
            <w:tcBorders>
              <w:top w:val="nil"/>
              <w:left w:val="nil"/>
              <w:bottom w:val="single" w:sz="4" w:space="0" w:color="auto"/>
              <w:right w:val="single" w:sz="4" w:space="0" w:color="auto"/>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1,552,827</w:t>
            </w:r>
          </w:p>
        </w:tc>
      </w:tr>
      <w:tr w:rsidR="00132208" w:rsidRPr="00132208" w:rsidTr="00132208">
        <w:trPr>
          <w:trHeight w:val="300"/>
        </w:trPr>
        <w:tc>
          <w:tcPr>
            <w:tcW w:w="638" w:type="dxa"/>
            <w:tcBorders>
              <w:top w:val="nil"/>
              <w:left w:val="nil"/>
              <w:bottom w:val="nil"/>
              <w:right w:val="nil"/>
            </w:tcBorders>
            <w:shd w:val="clear" w:color="auto" w:fill="auto"/>
            <w:noWrap/>
            <w:vAlign w:val="center"/>
            <w:hideMark/>
          </w:tcPr>
          <w:p w:rsidR="00132208" w:rsidRPr="00132208" w:rsidRDefault="00132208" w:rsidP="00132208">
            <w:pPr>
              <w:jc w:val="center"/>
              <w:rPr>
                <w:color w:val="000000"/>
                <w:sz w:val="20"/>
              </w:rPr>
            </w:pPr>
          </w:p>
        </w:tc>
        <w:tc>
          <w:tcPr>
            <w:tcW w:w="1316"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905"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16"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144"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316"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955"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80"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80"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16"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216"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r>
      <w:tr w:rsidR="00132208" w:rsidRPr="00132208" w:rsidTr="00132208">
        <w:trPr>
          <w:trHeight w:val="300"/>
        </w:trPr>
        <w:tc>
          <w:tcPr>
            <w:tcW w:w="638"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316"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905"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16"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144"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316"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955"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80"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80"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16" w:type="dxa"/>
            <w:tcBorders>
              <w:top w:val="nil"/>
              <w:left w:val="nil"/>
              <w:bottom w:val="nil"/>
              <w:right w:val="nil"/>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NPV</w:t>
            </w:r>
          </w:p>
        </w:tc>
        <w:tc>
          <w:tcPr>
            <w:tcW w:w="1216" w:type="dxa"/>
            <w:tcBorders>
              <w:top w:val="nil"/>
              <w:left w:val="nil"/>
              <w:bottom w:val="nil"/>
              <w:right w:val="nil"/>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$435,932.52</w:t>
            </w:r>
          </w:p>
        </w:tc>
      </w:tr>
      <w:tr w:rsidR="00132208" w:rsidRPr="00132208" w:rsidTr="00132208">
        <w:trPr>
          <w:trHeight w:val="300"/>
        </w:trPr>
        <w:tc>
          <w:tcPr>
            <w:tcW w:w="638" w:type="dxa"/>
            <w:tcBorders>
              <w:top w:val="nil"/>
              <w:left w:val="nil"/>
              <w:bottom w:val="nil"/>
              <w:right w:val="nil"/>
            </w:tcBorders>
            <w:shd w:val="clear" w:color="auto" w:fill="auto"/>
            <w:noWrap/>
            <w:vAlign w:val="center"/>
            <w:hideMark/>
          </w:tcPr>
          <w:p w:rsidR="00132208" w:rsidRPr="00132208" w:rsidRDefault="00132208" w:rsidP="00132208">
            <w:pPr>
              <w:jc w:val="center"/>
              <w:rPr>
                <w:color w:val="000000"/>
                <w:sz w:val="20"/>
              </w:rPr>
            </w:pPr>
          </w:p>
        </w:tc>
        <w:tc>
          <w:tcPr>
            <w:tcW w:w="1316"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905"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16"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144"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316"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955"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80"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80" w:type="dxa"/>
            <w:tcBorders>
              <w:top w:val="nil"/>
              <w:left w:val="nil"/>
              <w:bottom w:val="nil"/>
              <w:right w:val="nil"/>
            </w:tcBorders>
            <w:shd w:val="clear" w:color="auto" w:fill="auto"/>
            <w:noWrap/>
            <w:vAlign w:val="center"/>
            <w:hideMark/>
          </w:tcPr>
          <w:p w:rsidR="00132208" w:rsidRPr="00132208" w:rsidRDefault="00132208" w:rsidP="00132208">
            <w:pPr>
              <w:jc w:val="center"/>
              <w:rPr>
                <w:sz w:val="20"/>
              </w:rPr>
            </w:pPr>
          </w:p>
        </w:tc>
        <w:tc>
          <w:tcPr>
            <w:tcW w:w="1016" w:type="dxa"/>
            <w:tcBorders>
              <w:top w:val="nil"/>
              <w:left w:val="nil"/>
              <w:bottom w:val="nil"/>
              <w:right w:val="nil"/>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IRR</w:t>
            </w:r>
          </w:p>
        </w:tc>
        <w:tc>
          <w:tcPr>
            <w:tcW w:w="1216" w:type="dxa"/>
            <w:tcBorders>
              <w:top w:val="nil"/>
              <w:left w:val="nil"/>
              <w:bottom w:val="nil"/>
              <w:right w:val="nil"/>
            </w:tcBorders>
            <w:shd w:val="clear" w:color="auto" w:fill="auto"/>
            <w:noWrap/>
            <w:vAlign w:val="center"/>
            <w:hideMark/>
          </w:tcPr>
          <w:p w:rsidR="00132208" w:rsidRPr="00132208" w:rsidRDefault="00132208" w:rsidP="00132208">
            <w:pPr>
              <w:jc w:val="center"/>
              <w:rPr>
                <w:color w:val="000000"/>
                <w:sz w:val="20"/>
              </w:rPr>
            </w:pPr>
            <w:r w:rsidRPr="00132208">
              <w:rPr>
                <w:color w:val="000000"/>
                <w:sz w:val="20"/>
              </w:rPr>
              <w:t>13.0%</w:t>
            </w:r>
          </w:p>
        </w:tc>
      </w:tr>
    </w:tbl>
    <w:p w:rsidR="0057546C" w:rsidRPr="00FC442E" w:rsidRDefault="0057546C">
      <w:pPr>
        <w:spacing w:after="200" w:line="276" w:lineRule="auto"/>
        <w:sectPr w:rsidR="0057546C" w:rsidRPr="00FC442E" w:rsidSect="00E94C88">
          <w:footerReference w:type="default" r:id="rId14"/>
          <w:pgSz w:w="11906" w:h="16838"/>
          <w:pgMar w:top="1440" w:right="1440" w:bottom="1162" w:left="1440" w:header="561" w:footer="1440" w:gutter="0"/>
          <w:pgNumType w:start="1"/>
          <w:cols w:space="708"/>
          <w:docGrid w:linePitch="360"/>
        </w:sectPr>
      </w:pPr>
    </w:p>
    <w:p w:rsidR="00FD09CE" w:rsidRPr="00FC442E" w:rsidRDefault="00A96ABC" w:rsidP="006D464B">
      <w:pPr>
        <w:pStyle w:val="Footer"/>
        <w:tabs>
          <w:tab w:val="clear" w:pos="4819"/>
          <w:tab w:val="clear" w:pos="9638"/>
        </w:tabs>
        <w:ind w:left="360"/>
        <w:jc w:val="center"/>
        <w:rPr>
          <w:b/>
          <w:szCs w:val="24"/>
          <w:lang w:val="en-US"/>
        </w:rPr>
      </w:pPr>
      <w:r w:rsidRPr="00FC442E">
        <w:rPr>
          <w:b/>
          <w:szCs w:val="24"/>
          <w:lang w:val="en-US"/>
        </w:rPr>
        <w:t>APPENDIX 1 – CASH FLOW –REHABILITATION</w:t>
      </w:r>
      <w:r w:rsidR="00AB469D" w:rsidRPr="00FC442E">
        <w:rPr>
          <w:b/>
          <w:szCs w:val="24"/>
          <w:lang w:val="en-US"/>
        </w:rPr>
        <w:t xml:space="preserve"> OF WATER SYSTEM AND NRW</w:t>
      </w:r>
      <w:r w:rsidRPr="00FC442E">
        <w:rPr>
          <w:b/>
          <w:szCs w:val="24"/>
          <w:lang w:val="en-US"/>
        </w:rPr>
        <w:t xml:space="preserve"> PROGRAM</w:t>
      </w:r>
    </w:p>
    <w:p w:rsidR="00FD09CE" w:rsidRPr="00FC442E" w:rsidRDefault="00FD09CE" w:rsidP="00FD09CE">
      <w:pPr>
        <w:autoSpaceDE w:val="0"/>
        <w:autoSpaceDN w:val="0"/>
        <w:adjustRightInd w:val="0"/>
        <w:jc w:val="both"/>
        <w:rPr>
          <w:rFonts w:ascii="Arial" w:hAnsi="Arial" w:cs="Arial"/>
          <w:b/>
          <w:color w:val="800000"/>
        </w:rPr>
      </w:pPr>
    </w:p>
    <w:p w:rsidR="00FD09CE" w:rsidRPr="00FC442E" w:rsidRDefault="00FD09CE" w:rsidP="00FD09CE">
      <w:pPr>
        <w:autoSpaceDE w:val="0"/>
        <w:autoSpaceDN w:val="0"/>
        <w:adjustRightInd w:val="0"/>
        <w:jc w:val="both"/>
      </w:pPr>
      <w:r w:rsidRPr="00FC442E" w:rsidDel="00C846E8">
        <w:t xml:space="preserve"> </w:t>
      </w:r>
    </w:p>
    <w:p w:rsidR="006D464B" w:rsidRPr="00FC442E" w:rsidRDefault="00163ACF" w:rsidP="006D464B">
      <w:pPr>
        <w:autoSpaceDE w:val="0"/>
        <w:autoSpaceDN w:val="0"/>
        <w:adjustRightInd w:val="0"/>
        <w:jc w:val="center"/>
        <w:rPr>
          <w:rFonts w:ascii="Arial" w:hAnsi="Arial" w:cs="Arial"/>
          <w:b/>
          <w:color w:val="800000"/>
        </w:rPr>
      </w:pPr>
      <w:r w:rsidRPr="00FC442E">
        <w:rPr>
          <w:noProof/>
        </w:rPr>
        <w:drawing>
          <wp:inline distT="0" distB="0" distL="0" distR="0">
            <wp:extent cx="5731510" cy="4630696"/>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4630696"/>
                    </a:xfrm>
                    <a:prstGeom prst="rect">
                      <a:avLst/>
                    </a:prstGeom>
                    <a:noFill/>
                    <a:ln>
                      <a:noFill/>
                    </a:ln>
                  </pic:spPr>
                </pic:pic>
              </a:graphicData>
            </a:graphic>
          </wp:inline>
        </w:drawing>
      </w:r>
    </w:p>
    <w:p w:rsidR="006D464B" w:rsidRPr="00FC442E" w:rsidRDefault="006D464B" w:rsidP="006D464B">
      <w:pPr>
        <w:rPr>
          <w:rFonts w:ascii="Arial" w:hAnsi="Arial" w:cs="Arial"/>
        </w:rPr>
      </w:pPr>
    </w:p>
    <w:p w:rsidR="006D464B" w:rsidRPr="00FC442E" w:rsidRDefault="006D464B" w:rsidP="006D464B">
      <w:pPr>
        <w:rPr>
          <w:rFonts w:ascii="Arial" w:hAnsi="Arial" w:cs="Arial"/>
        </w:rPr>
      </w:pPr>
    </w:p>
    <w:p w:rsidR="006D464B" w:rsidRPr="00FC442E" w:rsidRDefault="00163ACF" w:rsidP="006D464B">
      <w:pPr>
        <w:tabs>
          <w:tab w:val="left" w:pos="2490"/>
        </w:tabs>
        <w:jc w:val="center"/>
        <w:rPr>
          <w:rFonts w:ascii="Arial" w:hAnsi="Arial" w:cs="Arial"/>
        </w:rPr>
      </w:pPr>
      <w:r w:rsidRPr="00FC442E">
        <w:rPr>
          <w:noProof/>
        </w:rPr>
        <w:drawing>
          <wp:inline distT="0" distB="0" distL="0" distR="0">
            <wp:extent cx="1840865" cy="409575"/>
            <wp:effectExtent l="0" t="0" r="698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0865" cy="409575"/>
                    </a:xfrm>
                    <a:prstGeom prst="rect">
                      <a:avLst/>
                    </a:prstGeom>
                    <a:noFill/>
                    <a:ln>
                      <a:noFill/>
                    </a:ln>
                  </pic:spPr>
                </pic:pic>
              </a:graphicData>
            </a:graphic>
          </wp:inline>
        </w:drawing>
      </w:r>
    </w:p>
    <w:p w:rsidR="006D464B" w:rsidRPr="00FC442E" w:rsidRDefault="006D464B" w:rsidP="006D464B">
      <w:pPr>
        <w:rPr>
          <w:rFonts w:ascii="Arial" w:hAnsi="Arial" w:cs="Arial"/>
        </w:rPr>
      </w:pPr>
    </w:p>
    <w:p w:rsidR="00FD09CE" w:rsidRPr="00FC442E" w:rsidRDefault="00FD09CE" w:rsidP="006D464B">
      <w:pPr>
        <w:rPr>
          <w:rFonts w:ascii="Arial" w:hAnsi="Arial" w:cs="Arial"/>
        </w:rPr>
        <w:sectPr w:rsidR="00FD09CE" w:rsidRPr="00FC442E" w:rsidSect="006D464B">
          <w:footerReference w:type="default" r:id="rId17"/>
          <w:pgSz w:w="11906" w:h="16838"/>
          <w:pgMar w:top="1440" w:right="1440" w:bottom="1162" w:left="1440" w:header="561" w:footer="1440" w:gutter="0"/>
          <w:pgNumType w:start="1"/>
          <w:cols w:space="708"/>
          <w:docGrid w:linePitch="360"/>
        </w:sectPr>
      </w:pPr>
    </w:p>
    <w:p w:rsidR="00FD09CE" w:rsidRPr="00FC442E" w:rsidRDefault="00FD09CE" w:rsidP="006D464B">
      <w:pPr>
        <w:pStyle w:val="Footer"/>
        <w:tabs>
          <w:tab w:val="clear" w:pos="4819"/>
          <w:tab w:val="clear" w:pos="9638"/>
        </w:tabs>
        <w:ind w:left="360"/>
        <w:jc w:val="center"/>
        <w:rPr>
          <w:b/>
          <w:szCs w:val="24"/>
          <w:lang w:val="en-US"/>
        </w:rPr>
      </w:pPr>
      <w:r w:rsidRPr="00FC442E">
        <w:rPr>
          <w:b/>
          <w:szCs w:val="24"/>
          <w:lang w:val="en-US"/>
        </w:rPr>
        <w:t>APPENDIX 2 –</w:t>
      </w:r>
      <w:r w:rsidR="00A96ABC" w:rsidRPr="00FC442E">
        <w:rPr>
          <w:b/>
          <w:szCs w:val="24"/>
          <w:lang w:val="en-US"/>
        </w:rPr>
        <w:t xml:space="preserve"> CASH FLOW – </w:t>
      </w:r>
      <w:r w:rsidR="00AB469D" w:rsidRPr="00FC442E">
        <w:rPr>
          <w:b/>
          <w:szCs w:val="24"/>
          <w:lang w:val="en-US"/>
        </w:rPr>
        <w:t>MICRO</w:t>
      </w:r>
      <w:r w:rsidR="00A96ABC" w:rsidRPr="00FC442E">
        <w:rPr>
          <w:b/>
          <w:szCs w:val="24"/>
          <w:lang w:val="en-US"/>
        </w:rPr>
        <w:t xml:space="preserve"> METERING PROJECT</w:t>
      </w:r>
    </w:p>
    <w:p w:rsidR="00AD7661" w:rsidRPr="00FC442E" w:rsidRDefault="00AD7661" w:rsidP="005E0521">
      <w:pPr>
        <w:autoSpaceDE w:val="0"/>
        <w:autoSpaceDN w:val="0"/>
        <w:adjustRightInd w:val="0"/>
        <w:jc w:val="both"/>
        <w:rPr>
          <w:b/>
        </w:rPr>
      </w:pPr>
    </w:p>
    <w:p w:rsidR="00696F40" w:rsidRPr="00FC442E" w:rsidRDefault="00696F40" w:rsidP="005E0521">
      <w:pPr>
        <w:autoSpaceDE w:val="0"/>
        <w:autoSpaceDN w:val="0"/>
        <w:adjustRightInd w:val="0"/>
        <w:jc w:val="both"/>
        <w:rPr>
          <w:b/>
        </w:rPr>
      </w:pPr>
    </w:p>
    <w:p w:rsidR="006D464B" w:rsidRPr="00FC442E" w:rsidRDefault="00696F40" w:rsidP="006D464B">
      <w:pPr>
        <w:autoSpaceDE w:val="0"/>
        <w:autoSpaceDN w:val="0"/>
        <w:adjustRightInd w:val="0"/>
        <w:jc w:val="center"/>
        <w:rPr>
          <w:b/>
        </w:rPr>
      </w:pPr>
      <w:r w:rsidRPr="00FC442E">
        <w:rPr>
          <w:noProof/>
        </w:rPr>
        <w:drawing>
          <wp:inline distT="0" distB="0" distL="0" distR="0">
            <wp:extent cx="3473450" cy="17608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73450" cy="1760855"/>
                    </a:xfrm>
                    <a:prstGeom prst="rect">
                      <a:avLst/>
                    </a:prstGeom>
                    <a:noFill/>
                    <a:ln>
                      <a:noFill/>
                    </a:ln>
                  </pic:spPr>
                </pic:pic>
              </a:graphicData>
            </a:graphic>
          </wp:inline>
        </w:drawing>
      </w:r>
    </w:p>
    <w:p w:rsidR="006D464B" w:rsidRPr="00FC442E" w:rsidRDefault="006D464B" w:rsidP="006D464B"/>
    <w:p w:rsidR="006D464B" w:rsidRPr="00FC442E" w:rsidRDefault="006D464B" w:rsidP="006D464B"/>
    <w:tbl>
      <w:tblPr>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4"/>
        <w:gridCol w:w="1282"/>
        <w:gridCol w:w="1319"/>
        <w:gridCol w:w="1415"/>
        <w:gridCol w:w="1683"/>
        <w:gridCol w:w="1337"/>
      </w:tblGrid>
      <w:tr w:rsidR="00696F40" w:rsidRPr="00FC442E" w:rsidTr="00696F40">
        <w:trPr>
          <w:trHeight w:val="600"/>
          <w:jc w:val="center"/>
        </w:trPr>
        <w:tc>
          <w:tcPr>
            <w:tcW w:w="1264" w:type="dxa"/>
            <w:shd w:val="clear" w:color="auto" w:fill="auto"/>
            <w:vAlign w:val="center"/>
            <w:hideMark/>
          </w:tcPr>
          <w:p w:rsidR="00696F40" w:rsidRPr="00FC442E" w:rsidRDefault="00696F40" w:rsidP="00696F40">
            <w:pPr>
              <w:jc w:val="center"/>
              <w:rPr>
                <w:rFonts w:ascii="Calibri" w:hAnsi="Calibri" w:cs="Calibri"/>
                <w:b/>
                <w:bCs/>
                <w:color w:val="000000"/>
                <w:sz w:val="22"/>
                <w:szCs w:val="22"/>
              </w:rPr>
            </w:pPr>
            <w:r w:rsidRPr="00FC442E">
              <w:rPr>
                <w:rFonts w:ascii="Calibri" w:hAnsi="Calibri" w:cs="Calibri"/>
                <w:b/>
                <w:bCs/>
                <w:color w:val="000000"/>
                <w:sz w:val="22"/>
                <w:szCs w:val="22"/>
              </w:rPr>
              <w:t xml:space="preserve">Year </w:t>
            </w:r>
          </w:p>
        </w:tc>
        <w:tc>
          <w:tcPr>
            <w:tcW w:w="1282" w:type="dxa"/>
            <w:shd w:val="clear" w:color="auto" w:fill="auto"/>
            <w:vAlign w:val="center"/>
            <w:hideMark/>
          </w:tcPr>
          <w:p w:rsidR="00696F40" w:rsidRPr="00FC442E" w:rsidRDefault="00696F40" w:rsidP="00696F40">
            <w:pPr>
              <w:jc w:val="center"/>
              <w:rPr>
                <w:rFonts w:ascii="Calibri" w:hAnsi="Calibri" w:cs="Calibri"/>
                <w:b/>
                <w:bCs/>
                <w:color w:val="000000"/>
                <w:sz w:val="22"/>
                <w:szCs w:val="22"/>
              </w:rPr>
            </w:pPr>
            <w:r w:rsidRPr="00FC442E">
              <w:rPr>
                <w:rFonts w:ascii="Calibri" w:hAnsi="Calibri" w:cs="Calibri"/>
                <w:b/>
                <w:bCs/>
                <w:color w:val="000000"/>
                <w:sz w:val="22"/>
                <w:szCs w:val="22"/>
              </w:rPr>
              <w:t>Investment</w:t>
            </w:r>
          </w:p>
        </w:tc>
        <w:tc>
          <w:tcPr>
            <w:tcW w:w="1319" w:type="dxa"/>
            <w:shd w:val="clear" w:color="auto" w:fill="auto"/>
            <w:vAlign w:val="center"/>
            <w:hideMark/>
          </w:tcPr>
          <w:p w:rsidR="00696F40" w:rsidRPr="00FC442E" w:rsidRDefault="00696F40" w:rsidP="00696F40">
            <w:pPr>
              <w:jc w:val="center"/>
              <w:rPr>
                <w:rFonts w:ascii="Calibri" w:hAnsi="Calibri" w:cs="Calibri"/>
                <w:b/>
                <w:bCs/>
                <w:color w:val="000000"/>
                <w:sz w:val="22"/>
                <w:szCs w:val="22"/>
              </w:rPr>
            </w:pPr>
            <w:r w:rsidRPr="00FC442E">
              <w:rPr>
                <w:rFonts w:ascii="Calibri" w:hAnsi="Calibri" w:cs="Calibri"/>
                <w:b/>
                <w:bCs/>
                <w:color w:val="000000"/>
                <w:sz w:val="22"/>
                <w:szCs w:val="22"/>
              </w:rPr>
              <w:t>Annual Costs</w:t>
            </w:r>
          </w:p>
        </w:tc>
        <w:tc>
          <w:tcPr>
            <w:tcW w:w="1415" w:type="dxa"/>
            <w:shd w:val="clear" w:color="auto" w:fill="auto"/>
            <w:vAlign w:val="center"/>
            <w:hideMark/>
          </w:tcPr>
          <w:p w:rsidR="00696F40" w:rsidRPr="00FC442E" w:rsidRDefault="00696F40" w:rsidP="00696F40">
            <w:pPr>
              <w:jc w:val="center"/>
              <w:rPr>
                <w:rFonts w:ascii="Calibri" w:hAnsi="Calibri" w:cs="Calibri"/>
                <w:b/>
                <w:bCs/>
                <w:color w:val="000000"/>
                <w:sz w:val="22"/>
                <w:szCs w:val="22"/>
              </w:rPr>
            </w:pPr>
            <w:r w:rsidRPr="00FC442E">
              <w:rPr>
                <w:rFonts w:ascii="Calibri" w:hAnsi="Calibri" w:cs="Calibri"/>
                <w:b/>
                <w:bCs/>
                <w:color w:val="000000"/>
                <w:sz w:val="22"/>
                <w:szCs w:val="22"/>
              </w:rPr>
              <w:t>Total Expenditures</w:t>
            </w:r>
          </w:p>
        </w:tc>
        <w:tc>
          <w:tcPr>
            <w:tcW w:w="1683" w:type="dxa"/>
            <w:shd w:val="clear" w:color="auto" w:fill="auto"/>
            <w:vAlign w:val="center"/>
            <w:hideMark/>
          </w:tcPr>
          <w:p w:rsidR="00696F40" w:rsidRPr="00FC442E" w:rsidRDefault="00696F40" w:rsidP="00696F40">
            <w:pPr>
              <w:jc w:val="center"/>
              <w:rPr>
                <w:rFonts w:ascii="Calibri" w:hAnsi="Calibri" w:cs="Calibri"/>
                <w:b/>
                <w:bCs/>
                <w:color w:val="000000"/>
                <w:sz w:val="22"/>
                <w:szCs w:val="22"/>
              </w:rPr>
            </w:pPr>
            <w:r w:rsidRPr="00FC442E">
              <w:rPr>
                <w:rFonts w:ascii="Calibri" w:hAnsi="Calibri" w:cs="Calibri"/>
                <w:b/>
                <w:bCs/>
                <w:color w:val="000000"/>
                <w:sz w:val="22"/>
                <w:szCs w:val="22"/>
              </w:rPr>
              <w:t>Net Benefits</w:t>
            </w:r>
          </w:p>
        </w:tc>
        <w:tc>
          <w:tcPr>
            <w:tcW w:w="1337" w:type="dxa"/>
            <w:shd w:val="clear" w:color="auto" w:fill="auto"/>
            <w:vAlign w:val="center"/>
            <w:hideMark/>
          </w:tcPr>
          <w:p w:rsidR="00696F40" w:rsidRPr="00FC442E" w:rsidRDefault="00696F40" w:rsidP="00696F40">
            <w:pPr>
              <w:jc w:val="center"/>
              <w:rPr>
                <w:rFonts w:ascii="Calibri" w:hAnsi="Calibri" w:cs="Calibri"/>
                <w:b/>
                <w:bCs/>
                <w:color w:val="000000"/>
                <w:sz w:val="22"/>
                <w:szCs w:val="22"/>
              </w:rPr>
            </w:pPr>
            <w:r w:rsidRPr="00FC442E">
              <w:rPr>
                <w:rFonts w:ascii="Calibri" w:hAnsi="Calibri" w:cs="Calibri"/>
                <w:b/>
                <w:bCs/>
                <w:color w:val="000000"/>
                <w:sz w:val="22"/>
                <w:szCs w:val="22"/>
              </w:rPr>
              <w:t>Balance</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2015</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485,823</w:t>
            </w: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24,291</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510,114</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115,657</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(394,457)</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2016</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24,291</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24,291</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115,657</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91,366</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2017</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119,808</w:t>
            </w: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150,090</w:t>
            </w:r>
          </w:p>
        </w:tc>
        <w:tc>
          <w:tcPr>
            <w:tcW w:w="1683" w:type="dxa"/>
            <w:shd w:val="clear" w:color="auto" w:fill="auto"/>
            <w:noWrap/>
            <w:vAlign w:val="bottom"/>
            <w:hideMark/>
          </w:tcPr>
          <w:p w:rsidR="00696F40" w:rsidRPr="00FC442E" w:rsidRDefault="00696F40" w:rsidP="00696F40">
            <w:pPr>
              <w:rPr>
                <w:rFonts w:ascii="Calibri" w:hAnsi="Calibri" w:cs="Calibri"/>
                <w:color w:val="000000"/>
                <w:sz w:val="22"/>
                <w:szCs w:val="22"/>
              </w:rPr>
            </w:pPr>
            <w:r w:rsidRPr="00FC442E">
              <w:rPr>
                <w:rFonts w:ascii="Calibri" w:hAnsi="Calibri" w:cs="Calibri"/>
                <w:color w:val="000000"/>
                <w:sz w:val="22"/>
                <w:szCs w:val="22"/>
              </w:rPr>
              <w:t xml:space="preserve">        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34,962</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2018</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2019</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2020</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2021</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2022</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2023</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2024</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2025</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2026</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2027</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2028</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2029</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2030</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2031</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2032</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2033</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00"/>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2034</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15"/>
          <w:jc w:val="center"/>
        </w:trPr>
        <w:tc>
          <w:tcPr>
            <w:tcW w:w="1264"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2035</w:t>
            </w:r>
          </w:p>
        </w:tc>
        <w:tc>
          <w:tcPr>
            <w:tcW w:w="1282"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p>
        </w:tc>
        <w:tc>
          <w:tcPr>
            <w:tcW w:w="1319"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415"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30,282</w:t>
            </w:r>
          </w:p>
        </w:tc>
        <w:tc>
          <w:tcPr>
            <w:tcW w:w="1683"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185,052</w:t>
            </w:r>
          </w:p>
        </w:tc>
        <w:tc>
          <w:tcPr>
            <w:tcW w:w="1337" w:type="dxa"/>
            <w:shd w:val="clear" w:color="auto" w:fill="auto"/>
            <w:noWrap/>
            <w:vAlign w:val="bottom"/>
            <w:hideMark/>
          </w:tcPr>
          <w:p w:rsidR="00696F40" w:rsidRPr="00FC442E" w:rsidRDefault="00696F40" w:rsidP="00696F40">
            <w:pPr>
              <w:jc w:val="center"/>
              <w:rPr>
                <w:rFonts w:ascii="Calibri" w:hAnsi="Calibri" w:cs="Calibri"/>
                <w:color w:val="000000"/>
                <w:sz w:val="22"/>
                <w:szCs w:val="22"/>
              </w:rPr>
            </w:pPr>
            <w:r w:rsidRPr="00FC442E">
              <w:rPr>
                <w:rFonts w:ascii="Calibri" w:hAnsi="Calibri" w:cs="Calibri"/>
                <w:color w:val="000000"/>
                <w:sz w:val="22"/>
                <w:szCs w:val="22"/>
              </w:rPr>
              <w:t>154,770</w:t>
            </w:r>
          </w:p>
        </w:tc>
      </w:tr>
      <w:tr w:rsidR="00696F40" w:rsidRPr="00FC442E" w:rsidTr="00696F40">
        <w:trPr>
          <w:trHeight w:val="330"/>
          <w:jc w:val="center"/>
        </w:trPr>
        <w:tc>
          <w:tcPr>
            <w:tcW w:w="2546" w:type="dxa"/>
            <w:gridSpan w:val="2"/>
            <w:shd w:val="clear" w:color="auto" w:fill="auto"/>
            <w:noWrap/>
            <w:vAlign w:val="center"/>
            <w:hideMark/>
          </w:tcPr>
          <w:p w:rsidR="00696F40" w:rsidRPr="00FC442E" w:rsidRDefault="00696F40" w:rsidP="00696F40">
            <w:pPr>
              <w:rPr>
                <w:rFonts w:ascii="Calibri" w:hAnsi="Calibri" w:cs="Calibri"/>
                <w:color w:val="000000"/>
                <w:sz w:val="22"/>
                <w:szCs w:val="22"/>
              </w:rPr>
            </w:pPr>
            <w:r w:rsidRPr="00FC442E">
              <w:rPr>
                <w:rFonts w:ascii="Calibri" w:hAnsi="Calibri" w:cs="Calibri"/>
                <w:color w:val="000000"/>
                <w:sz w:val="22"/>
                <w:szCs w:val="22"/>
              </w:rPr>
              <w:t>Present Value</w:t>
            </w:r>
          </w:p>
        </w:tc>
        <w:tc>
          <w:tcPr>
            <w:tcW w:w="1319" w:type="dxa"/>
            <w:shd w:val="clear" w:color="auto" w:fill="auto"/>
            <w:noWrap/>
            <w:vAlign w:val="center"/>
            <w:hideMark/>
          </w:tcPr>
          <w:p w:rsidR="00696F40" w:rsidRPr="00FC442E" w:rsidRDefault="00696F40" w:rsidP="00696F40">
            <w:pPr>
              <w:rPr>
                <w:rFonts w:ascii="Calibri" w:hAnsi="Calibri" w:cs="Calibri"/>
                <w:color w:val="000000"/>
                <w:sz w:val="22"/>
                <w:szCs w:val="22"/>
              </w:rPr>
            </w:pPr>
          </w:p>
        </w:tc>
        <w:tc>
          <w:tcPr>
            <w:tcW w:w="1415" w:type="dxa"/>
            <w:shd w:val="clear" w:color="auto" w:fill="auto"/>
            <w:noWrap/>
            <w:vAlign w:val="center"/>
            <w:hideMark/>
          </w:tcPr>
          <w:p w:rsidR="00696F40" w:rsidRPr="00FC442E" w:rsidRDefault="00696F40" w:rsidP="00696F40">
            <w:pPr>
              <w:rPr>
                <w:rFonts w:ascii="Calibri" w:hAnsi="Calibri" w:cs="Calibri"/>
                <w:color w:val="000000"/>
                <w:sz w:val="22"/>
                <w:szCs w:val="22"/>
              </w:rPr>
            </w:pPr>
            <w:r w:rsidRPr="00FC442E">
              <w:rPr>
                <w:rFonts w:ascii="Calibri" w:hAnsi="Calibri" w:cs="Calibri"/>
                <w:color w:val="000000"/>
                <w:sz w:val="22"/>
                <w:szCs w:val="22"/>
              </w:rPr>
              <w:t>$737,913</w:t>
            </w:r>
          </w:p>
        </w:tc>
        <w:tc>
          <w:tcPr>
            <w:tcW w:w="1683" w:type="dxa"/>
            <w:shd w:val="clear" w:color="auto" w:fill="auto"/>
            <w:noWrap/>
            <w:vAlign w:val="center"/>
            <w:hideMark/>
          </w:tcPr>
          <w:p w:rsidR="00696F40" w:rsidRPr="00FC442E" w:rsidRDefault="00696F40" w:rsidP="00696F40">
            <w:pPr>
              <w:rPr>
                <w:rFonts w:ascii="Calibri" w:hAnsi="Calibri" w:cs="Calibri"/>
                <w:color w:val="000000"/>
                <w:sz w:val="22"/>
                <w:szCs w:val="22"/>
              </w:rPr>
            </w:pPr>
            <w:r w:rsidRPr="00FC442E">
              <w:rPr>
                <w:rFonts w:ascii="Calibri" w:hAnsi="Calibri" w:cs="Calibri"/>
                <w:color w:val="000000"/>
                <w:sz w:val="22"/>
                <w:szCs w:val="22"/>
              </w:rPr>
              <w:t>$1,282,084</w:t>
            </w:r>
          </w:p>
        </w:tc>
        <w:tc>
          <w:tcPr>
            <w:tcW w:w="1337" w:type="dxa"/>
            <w:shd w:val="clear" w:color="auto" w:fill="auto"/>
            <w:noWrap/>
            <w:vAlign w:val="center"/>
            <w:hideMark/>
          </w:tcPr>
          <w:p w:rsidR="00696F40" w:rsidRPr="00FC442E" w:rsidRDefault="00696F40" w:rsidP="00696F40">
            <w:pPr>
              <w:rPr>
                <w:rFonts w:ascii="Calibri" w:hAnsi="Calibri" w:cs="Calibri"/>
                <w:color w:val="000000"/>
                <w:sz w:val="22"/>
                <w:szCs w:val="22"/>
              </w:rPr>
            </w:pPr>
            <w:r w:rsidRPr="00FC442E">
              <w:rPr>
                <w:rFonts w:ascii="Calibri" w:hAnsi="Calibri" w:cs="Calibri"/>
                <w:color w:val="000000"/>
                <w:sz w:val="22"/>
                <w:szCs w:val="22"/>
              </w:rPr>
              <w:t>$544,171</w:t>
            </w:r>
          </w:p>
        </w:tc>
      </w:tr>
      <w:tr w:rsidR="00696F40" w:rsidRPr="00FC442E" w:rsidTr="00696F40">
        <w:trPr>
          <w:trHeight w:val="330"/>
          <w:jc w:val="center"/>
        </w:trPr>
        <w:tc>
          <w:tcPr>
            <w:tcW w:w="2546" w:type="dxa"/>
            <w:gridSpan w:val="2"/>
            <w:shd w:val="clear" w:color="auto" w:fill="auto"/>
            <w:noWrap/>
            <w:vAlign w:val="center"/>
            <w:hideMark/>
          </w:tcPr>
          <w:p w:rsidR="00696F40" w:rsidRPr="00FC442E" w:rsidRDefault="00696F40" w:rsidP="00696F40">
            <w:pPr>
              <w:rPr>
                <w:rFonts w:ascii="Calibri" w:hAnsi="Calibri" w:cs="Calibri"/>
                <w:color w:val="000000"/>
                <w:sz w:val="22"/>
                <w:szCs w:val="22"/>
              </w:rPr>
            </w:pPr>
            <w:r w:rsidRPr="00FC442E">
              <w:rPr>
                <w:rFonts w:ascii="Calibri" w:hAnsi="Calibri" w:cs="Calibri"/>
                <w:color w:val="000000"/>
                <w:sz w:val="22"/>
                <w:szCs w:val="22"/>
              </w:rPr>
              <w:t>Benefit/Cost Ratio</w:t>
            </w:r>
          </w:p>
        </w:tc>
        <w:tc>
          <w:tcPr>
            <w:tcW w:w="1319" w:type="dxa"/>
            <w:shd w:val="clear" w:color="auto" w:fill="auto"/>
            <w:noWrap/>
            <w:vAlign w:val="center"/>
            <w:hideMark/>
          </w:tcPr>
          <w:p w:rsidR="00696F40" w:rsidRPr="00FC442E" w:rsidRDefault="00696F40" w:rsidP="00696F40">
            <w:pPr>
              <w:rPr>
                <w:rFonts w:ascii="Calibri" w:hAnsi="Calibri" w:cs="Calibri"/>
                <w:color w:val="000000"/>
                <w:sz w:val="22"/>
                <w:szCs w:val="22"/>
              </w:rPr>
            </w:pPr>
          </w:p>
        </w:tc>
        <w:tc>
          <w:tcPr>
            <w:tcW w:w="1415" w:type="dxa"/>
            <w:shd w:val="clear" w:color="auto" w:fill="auto"/>
            <w:noWrap/>
            <w:vAlign w:val="center"/>
            <w:hideMark/>
          </w:tcPr>
          <w:p w:rsidR="00696F40" w:rsidRPr="00FC442E" w:rsidRDefault="00696F40" w:rsidP="00696F40">
            <w:pPr>
              <w:rPr>
                <w:rFonts w:ascii="Calibri" w:hAnsi="Calibri" w:cs="Calibri"/>
                <w:color w:val="000000"/>
                <w:sz w:val="22"/>
                <w:szCs w:val="22"/>
              </w:rPr>
            </w:pPr>
          </w:p>
        </w:tc>
        <w:tc>
          <w:tcPr>
            <w:tcW w:w="1683" w:type="dxa"/>
            <w:shd w:val="clear" w:color="auto" w:fill="auto"/>
            <w:noWrap/>
            <w:vAlign w:val="center"/>
            <w:hideMark/>
          </w:tcPr>
          <w:p w:rsidR="00696F40" w:rsidRPr="00FC442E" w:rsidRDefault="00696F40" w:rsidP="00696F40">
            <w:pPr>
              <w:rPr>
                <w:rFonts w:ascii="Calibri" w:hAnsi="Calibri" w:cs="Calibri"/>
                <w:color w:val="000000"/>
                <w:sz w:val="22"/>
                <w:szCs w:val="22"/>
              </w:rPr>
            </w:pPr>
          </w:p>
        </w:tc>
        <w:tc>
          <w:tcPr>
            <w:tcW w:w="1337" w:type="dxa"/>
            <w:shd w:val="clear" w:color="auto" w:fill="auto"/>
            <w:noWrap/>
            <w:vAlign w:val="center"/>
            <w:hideMark/>
          </w:tcPr>
          <w:p w:rsidR="00696F40" w:rsidRPr="00FC442E" w:rsidRDefault="00696F40" w:rsidP="00696F40">
            <w:pPr>
              <w:rPr>
                <w:rFonts w:ascii="Calibri" w:hAnsi="Calibri" w:cs="Calibri"/>
                <w:color w:val="000000"/>
                <w:sz w:val="22"/>
                <w:szCs w:val="22"/>
              </w:rPr>
            </w:pPr>
            <w:r w:rsidRPr="00FC442E">
              <w:rPr>
                <w:rFonts w:ascii="Calibri" w:hAnsi="Calibri" w:cs="Calibri"/>
                <w:color w:val="000000"/>
                <w:sz w:val="22"/>
                <w:szCs w:val="22"/>
              </w:rPr>
              <w:t>1.74</w:t>
            </w:r>
          </w:p>
        </w:tc>
      </w:tr>
      <w:tr w:rsidR="00696F40" w:rsidRPr="00FC442E" w:rsidTr="00696F40">
        <w:trPr>
          <w:trHeight w:val="330"/>
          <w:jc w:val="center"/>
        </w:trPr>
        <w:tc>
          <w:tcPr>
            <w:tcW w:w="1264" w:type="dxa"/>
            <w:shd w:val="clear" w:color="auto" w:fill="auto"/>
            <w:noWrap/>
            <w:vAlign w:val="center"/>
            <w:hideMark/>
          </w:tcPr>
          <w:p w:rsidR="00696F40" w:rsidRPr="00FC442E" w:rsidRDefault="00696F40" w:rsidP="00696F40">
            <w:pPr>
              <w:rPr>
                <w:rFonts w:ascii="Calibri" w:hAnsi="Calibri" w:cs="Calibri"/>
                <w:color w:val="000000"/>
                <w:sz w:val="22"/>
                <w:szCs w:val="22"/>
              </w:rPr>
            </w:pPr>
            <w:r w:rsidRPr="00FC442E">
              <w:rPr>
                <w:rFonts w:ascii="Calibri" w:hAnsi="Calibri" w:cs="Calibri"/>
                <w:color w:val="000000"/>
                <w:sz w:val="22"/>
                <w:szCs w:val="22"/>
              </w:rPr>
              <w:t>IRR</w:t>
            </w:r>
          </w:p>
        </w:tc>
        <w:tc>
          <w:tcPr>
            <w:tcW w:w="1282" w:type="dxa"/>
            <w:shd w:val="clear" w:color="auto" w:fill="auto"/>
            <w:noWrap/>
            <w:vAlign w:val="center"/>
            <w:hideMark/>
          </w:tcPr>
          <w:p w:rsidR="00696F40" w:rsidRPr="00FC442E" w:rsidRDefault="00696F40" w:rsidP="00696F40">
            <w:pPr>
              <w:rPr>
                <w:rFonts w:ascii="Calibri" w:hAnsi="Calibri" w:cs="Calibri"/>
                <w:color w:val="000000"/>
                <w:sz w:val="22"/>
                <w:szCs w:val="22"/>
              </w:rPr>
            </w:pPr>
          </w:p>
        </w:tc>
        <w:tc>
          <w:tcPr>
            <w:tcW w:w="1319" w:type="dxa"/>
            <w:shd w:val="clear" w:color="auto" w:fill="auto"/>
            <w:noWrap/>
            <w:vAlign w:val="center"/>
            <w:hideMark/>
          </w:tcPr>
          <w:p w:rsidR="00696F40" w:rsidRPr="00FC442E" w:rsidRDefault="00696F40" w:rsidP="00696F40">
            <w:pPr>
              <w:rPr>
                <w:rFonts w:ascii="Calibri" w:hAnsi="Calibri" w:cs="Calibri"/>
                <w:color w:val="000000"/>
                <w:sz w:val="22"/>
                <w:szCs w:val="22"/>
              </w:rPr>
            </w:pPr>
          </w:p>
        </w:tc>
        <w:tc>
          <w:tcPr>
            <w:tcW w:w="1415" w:type="dxa"/>
            <w:shd w:val="clear" w:color="auto" w:fill="auto"/>
            <w:noWrap/>
            <w:vAlign w:val="center"/>
            <w:hideMark/>
          </w:tcPr>
          <w:p w:rsidR="00696F40" w:rsidRPr="00FC442E" w:rsidRDefault="00696F40" w:rsidP="00696F40">
            <w:pPr>
              <w:rPr>
                <w:rFonts w:ascii="Calibri" w:hAnsi="Calibri" w:cs="Calibri"/>
                <w:color w:val="000000"/>
                <w:sz w:val="22"/>
                <w:szCs w:val="22"/>
              </w:rPr>
            </w:pPr>
          </w:p>
        </w:tc>
        <w:tc>
          <w:tcPr>
            <w:tcW w:w="1683" w:type="dxa"/>
            <w:shd w:val="clear" w:color="auto" w:fill="auto"/>
            <w:noWrap/>
            <w:vAlign w:val="center"/>
            <w:hideMark/>
          </w:tcPr>
          <w:p w:rsidR="00696F40" w:rsidRPr="00FC442E" w:rsidRDefault="00696F40" w:rsidP="00696F40">
            <w:pPr>
              <w:rPr>
                <w:rFonts w:ascii="Calibri" w:hAnsi="Calibri" w:cs="Calibri"/>
                <w:color w:val="000000"/>
                <w:sz w:val="22"/>
                <w:szCs w:val="22"/>
              </w:rPr>
            </w:pPr>
          </w:p>
        </w:tc>
        <w:tc>
          <w:tcPr>
            <w:tcW w:w="1337" w:type="dxa"/>
            <w:shd w:val="clear" w:color="auto" w:fill="auto"/>
            <w:noWrap/>
            <w:vAlign w:val="center"/>
            <w:hideMark/>
          </w:tcPr>
          <w:p w:rsidR="00696F40" w:rsidRPr="00FC442E" w:rsidRDefault="00696F40" w:rsidP="00696F40">
            <w:pPr>
              <w:rPr>
                <w:rFonts w:ascii="Calibri" w:hAnsi="Calibri" w:cs="Calibri"/>
                <w:color w:val="000000"/>
                <w:sz w:val="22"/>
                <w:szCs w:val="22"/>
              </w:rPr>
            </w:pPr>
            <w:r w:rsidRPr="00FC442E">
              <w:rPr>
                <w:rFonts w:ascii="Calibri" w:hAnsi="Calibri" w:cs="Calibri"/>
                <w:color w:val="000000"/>
                <w:sz w:val="22"/>
                <w:szCs w:val="22"/>
              </w:rPr>
              <w:t>29.9%</w:t>
            </w:r>
          </w:p>
        </w:tc>
      </w:tr>
    </w:tbl>
    <w:p w:rsidR="00BB1322" w:rsidRPr="00FC442E" w:rsidRDefault="00BB1322" w:rsidP="006D464B">
      <w:pPr>
        <w:jc w:val="center"/>
      </w:pPr>
    </w:p>
    <w:sectPr w:rsidR="00BB1322" w:rsidRPr="00FC442E" w:rsidSect="00AD7661">
      <w:footerReference w:type="default" r:id="rId19"/>
      <w:footnotePr>
        <w:numRestart w:val="eachSect"/>
      </w:foot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0771" w:rsidRDefault="00DB0771" w:rsidP="0001633F">
      <w:r>
        <w:separator/>
      </w:r>
    </w:p>
  </w:endnote>
  <w:endnote w:type="continuationSeparator" w:id="0">
    <w:p w:rsidR="00DB0771" w:rsidRDefault="00DB0771" w:rsidP="00016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dobe Garamond Pro">
    <w:altName w:val="Times New Roman"/>
    <w:panose1 w:val="00000000000000000000"/>
    <w:charset w:val="00"/>
    <w:family w:val="roman"/>
    <w:notTrueType/>
    <w:pitch w:val="variable"/>
    <w:sig w:usb0="00000087" w:usb1="00000000"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53119"/>
      <w:docPartObj>
        <w:docPartGallery w:val="Page Numbers (Bottom of Page)"/>
        <w:docPartUnique/>
      </w:docPartObj>
    </w:sdtPr>
    <w:sdtEndPr/>
    <w:sdtContent>
      <w:p w:rsidR="00630E0B" w:rsidRDefault="00630E0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30E0B" w:rsidRDefault="00630E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628661"/>
      <w:docPartObj>
        <w:docPartGallery w:val="Page Numbers (Bottom of Page)"/>
        <w:docPartUnique/>
      </w:docPartObj>
    </w:sdtPr>
    <w:sdtEndPr/>
    <w:sdtContent>
      <w:p w:rsidR="00630E0B" w:rsidRDefault="00630E0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30E0B" w:rsidRDefault="00630E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286954"/>
      <w:docPartObj>
        <w:docPartGallery w:val="Page Numbers (Bottom of Page)"/>
        <w:docPartUnique/>
      </w:docPartObj>
    </w:sdtPr>
    <w:sdtEndPr/>
    <w:sdtContent>
      <w:p w:rsidR="00630E0B" w:rsidRDefault="00630E0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30E0B" w:rsidRDefault="00630E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0771" w:rsidRDefault="00DB0771" w:rsidP="0001633F">
      <w:r>
        <w:separator/>
      </w:r>
    </w:p>
  </w:footnote>
  <w:footnote w:type="continuationSeparator" w:id="0">
    <w:p w:rsidR="00DB0771" w:rsidRDefault="00DB0771" w:rsidP="0001633F">
      <w:r>
        <w:continuationSeparator/>
      </w:r>
    </w:p>
  </w:footnote>
  <w:footnote w:id="1">
    <w:p w:rsidR="00630E0B" w:rsidRPr="000F1AA5" w:rsidRDefault="00630E0B">
      <w:pPr>
        <w:pStyle w:val="FootnoteText"/>
      </w:pPr>
      <w:r>
        <w:rPr>
          <w:rStyle w:val="FootnoteReference"/>
        </w:rPr>
        <w:footnoteRef/>
      </w:r>
      <w:r>
        <w:t xml:space="preserve"> </w:t>
      </w:r>
      <w:r w:rsidRPr="00250DDA">
        <w:rPr>
          <w:rFonts w:ascii="Times New Roman" w:hAnsi="Times New Roman"/>
        </w:rPr>
        <w:t>Feasibility Stady of the Wanika Water System, Islamic Development Bank, June 2009</w:t>
      </w:r>
    </w:p>
  </w:footnote>
  <w:footnote w:id="2">
    <w:p w:rsidR="00630E0B" w:rsidRPr="00990A83" w:rsidRDefault="00630E0B" w:rsidP="00990A83">
      <w:pPr>
        <w:autoSpaceDE w:val="0"/>
        <w:autoSpaceDN w:val="0"/>
        <w:adjustRightInd w:val="0"/>
        <w:rPr>
          <w:sz w:val="20"/>
          <w:lang w:val="en-GB" w:eastAsia="it-IT"/>
        </w:rPr>
      </w:pPr>
      <w:r>
        <w:rPr>
          <w:rStyle w:val="FootnoteReference"/>
        </w:rPr>
        <w:footnoteRef/>
      </w:r>
      <w:r>
        <w:t xml:space="preserve"> </w:t>
      </w:r>
      <w:r w:rsidRPr="00185427">
        <w:rPr>
          <w:sz w:val="20"/>
          <w:lang w:val="en-GB" w:eastAsia="it-IT"/>
        </w:rPr>
        <w:t xml:space="preserve">Change in variable that </w:t>
      </w:r>
      <w:r>
        <w:rPr>
          <w:sz w:val="20"/>
          <w:lang w:val="en-GB" w:eastAsia="it-IT"/>
        </w:rPr>
        <w:t>reduces the</w:t>
      </w:r>
      <w:r w:rsidRPr="00185427">
        <w:rPr>
          <w:sz w:val="20"/>
          <w:lang w:val="en-GB" w:eastAsia="it-IT"/>
        </w:rPr>
        <w:t xml:space="preserve"> NPV</w:t>
      </w:r>
      <w:r>
        <w:rPr>
          <w:sz w:val="20"/>
          <w:lang w:val="en-GB" w:eastAsia="it-IT"/>
        </w:rPr>
        <w:t xml:space="preserve"> to </w:t>
      </w:r>
      <w:r w:rsidRPr="00185427">
        <w:rPr>
          <w:sz w:val="20"/>
          <w:lang w:val="en-GB" w:eastAsia="it-IT"/>
        </w:rPr>
        <w:t>0</w:t>
      </w:r>
      <w:r>
        <w:rPr>
          <w:sz w:val="20"/>
          <w:lang w:val="en-GB" w:eastAsia="it-IT"/>
        </w:rPr>
        <w:t xml:space="preserve"> or the ERR to12%.</w:t>
      </w:r>
    </w:p>
  </w:footnote>
  <w:footnote w:id="3">
    <w:p w:rsidR="00630E0B" w:rsidRPr="00FB62E4" w:rsidRDefault="00630E0B">
      <w:pPr>
        <w:pStyle w:val="FootnoteText"/>
        <w:rPr>
          <w:rFonts w:ascii="Times New Roman" w:hAnsi="Times New Roman"/>
        </w:rPr>
      </w:pPr>
      <w:r>
        <w:rPr>
          <w:rStyle w:val="FootnoteReference"/>
        </w:rPr>
        <w:footnoteRef/>
      </w:r>
      <w:r>
        <w:t xml:space="preserve"> </w:t>
      </w:r>
      <w:r w:rsidRPr="00FB62E4">
        <w:rPr>
          <w:rFonts w:ascii="Times New Roman" w:hAnsi="Times New Roman"/>
        </w:rPr>
        <w:t>This approach underestimates the economic benefits if the users are actually facing a water shortage.</w:t>
      </w:r>
    </w:p>
  </w:footnote>
  <w:footnote w:id="4">
    <w:p w:rsidR="00630E0B" w:rsidRPr="00327A5A" w:rsidRDefault="00630E0B">
      <w:pPr>
        <w:pStyle w:val="FootnoteText"/>
        <w:rPr>
          <w:rFonts w:ascii="Times New Roman" w:hAnsi="Times New Roman"/>
        </w:rPr>
      </w:pPr>
      <w:r>
        <w:rPr>
          <w:rStyle w:val="FootnoteReference"/>
        </w:rPr>
        <w:footnoteRef/>
      </w:r>
      <w:r>
        <w:t xml:space="preserve"> </w:t>
      </w:r>
      <w:r w:rsidRPr="00327A5A">
        <w:rPr>
          <w:rFonts w:ascii="Times New Roman" w:hAnsi="Times New Roman"/>
        </w:rPr>
        <w:t xml:space="preserve">The first 8 m3 are covered by a fixed charge, </w:t>
      </w:r>
      <w:r>
        <w:rPr>
          <w:rFonts w:ascii="Times New Roman" w:hAnsi="Times New Roman"/>
        </w:rPr>
        <w:t>the additional consumption is charged as follows: between 9 m3 and 15</w:t>
      </w:r>
      <w:r w:rsidRPr="00327A5A">
        <w:rPr>
          <w:rFonts w:ascii="Times New Roman" w:hAnsi="Times New Roman"/>
        </w:rPr>
        <w:t xml:space="preserve"> m3 cost </w:t>
      </w:r>
      <w:r>
        <w:rPr>
          <w:rFonts w:ascii="Times New Roman" w:hAnsi="Times New Roman"/>
        </w:rPr>
        <w:t>US$0.27</w:t>
      </w:r>
      <w:r w:rsidRPr="00327A5A">
        <w:rPr>
          <w:rFonts w:ascii="Times New Roman" w:hAnsi="Times New Roman"/>
        </w:rPr>
        <w:t>/m3</w:t>
      </w:r>
      <w:r>
        <w:rPr>
          <w:rFonts w:ascii="Times New Roman" w:hAnsi="Times New Roman"/>
        </w:rPr>
        <w:t>, between 16 m3 and 22 m3 cost US$0.36/m3, between 23 m3 and 50 m3 cost US$0.72/m3, and above 50 m3 cost</w:t>
      </w:r>
      <w:r w:rsidRPr="00327A5A">
        <w:rPr>
          <w:rFonts w:ascii="Times New Roman" w:hAnsi="Times New Roman"/>
        </w:rPr>
        <w:t xml:space="preserve"> </w:t>
      </w:r>
      <w:r>
        <w:rPr>
          <w:rFonts w:ascii="Times New Roman" w:hAnsi="Times New Roman"/>
        </w:rPr>
        <w:t>US$0.76/m3</w:t>
      </w:r>
      <w:r w:rsidRPr="00327A5A">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43E98"/>
    <w:multiLevelType w:val="hybridMultilevel"/>
    <w:tmpl w:val="0018F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B7FC9"/>
    <w:multiLevelType w:val="multilevel"/>
    <w:tmpl w:val="6A80121E"/>
    <w:lvl w:ilvl="0">
      <w:start w:val="1"/>
      <w:numFmt w:val="upperRoman"/>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42E6854"/>
    <w:multiLevelType w:val="hybridMultilevel"/>
    <w:tmpl w:val="F4AA9F58"/>
    <w:lvl w:ilvl="0" w:tplc="9CDAE8B8">
      <w:start w:val="1"/>
      <w:numFmt w:val="bullet"/>
      <w:pStyle w:val="Bullet"/>
      <w:lvlText w:val=""/>
      <w:lvlJc w:val="left"/>
      <w:pPr>
        <w:tabs>
          <w:tab w:val="num" w:pos="360"/>
        </w:tabs>
        <w:ind w:left="284" w:hanging="284"/>
      </w:pPr>
      <w:rPr>
        <w:rFonts w:ascii="Wingdings 2" w:hAnsi="Wingdings 2" w:hint="default"/>
        <w:sz w:val="16"/>
      </w:rPr>
    </w:lvl>
    <w:lvl w:ilvl="1" w:tplc="04090015">
      <w:start w:val="1"/>
      <w:numFmt w:val="upperLetter"/>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A115D1"/>
    <w:multiLevelType w:val="hybridMultilevel"/>
    <w:tmpl w:val="9B50B9E2"/>
    <w:lvl w:ilvl="0" w:tplc="04090001">
      <w:start w:val="1"/>
      <w:numFmt w:val="bullet"/>
      <w:lvlText w:val=""/>
      <w:lvlJc w:val="left"/>
      <w:pPr>
        <w:ind w:left="720" w:hanging="360"/>
      </w:pPr>
      <w:rPr>
        <w:rFonts w:ascii="Symbol" w:hAnsi="Symbol" w:hint="default"/>
      </w:rPr>
    </w:lvl>
    <w:lvl w:ilvl="1" w:tplc="72C20682">
      <w:start w:val="3"/>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050693"/>
    <w:multiLevelType w:val="hybridMultilevel"/>
    <w:tmpl w:val="F196B7CA"/>
    <w:lvl w:ilvl="0" w:tplc="04090001">
      <w:start w:val="1"/>
      <w:numFmt w:val="bullet"/>
      <w:lvlText w:val=""/>
      <w:lvlJc w:val="left"/>
      <w:pPr>
        <w:ind w:left="720" w:hanging="360"/>
      </w:pPr>
      <w:rPr>
        <w:rFonts w:ascii="Symbol" w:hAnsi="Symbol" w:hint="default"/>
      </w:rPr>
    </w:lvl>
    <w:lvl w:ilvl="1" w:tplc="72C20682">
      <w:start w:val="3"/>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560024"/>
    <w:multiLevelType w:val="hybridMultilevel"/>
    <w:tmpl w:val="0018F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765F0B"/>
    <w:multiLevelType w:val="hybridMultilevel"/>
    <w:tmpl w:val="CBAE7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6E17E2"/>
    <w:multiLevelType w:val="multilevel"/>
    <w:tmpl w:val="C8D4F81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34D0443B"/>
    <w:multiLevelType w:val="multilevel"/>
    <w:tmpl w:val="0E5AEFCA"/>
    <w:lvl w:ilvl="0">
      <w:start w:val="1"/>
      <w:numFmt w:val="decimal"/>
      <w:pStyle w:val="title1"/>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4A526395"/>
    <w:multiLevelType w:val="multilevel"/>
    <w:tmpl w:val="3C12E570"/>
    <w:lvl w:ilvl="0">
      <w:start w:val="1"/>
      <w:numFmt w:val="decimal"/>
      <w:lvlText w:val="%1."/>
      <w:legacy w:legacy="1" w:legacySpace="0" w:legacyIndent="705"/>
      <w:lvlJc w:val="left"/>
      <w:pPr>
        <w:ind w:left="847" w:hanging="705"/>
      </w:pPr>
      <w:rPr>
        <w:rFonts w:cs="Times New Roman"/>
        <w:b/>
      </w:rPr>
    </w:lvl>
    <w:lvl w:ilvl="1">
      <w:start w:val="1"/>
      <w:numFmt w:val="decimal"/>
      <w:isLgl/>
      <w:lvlText w:val="%1.%2"/>
      <w:lvlJc w:val="left"/>
      <w:pPr>
        <w:ind w:left="1065" w:hanging="360"/>
      </w:pPr>
      <w:rPr>
        <w:rFonts w:cs="Times New Roman" w:hint="default"/>
        <w:i w:val="0"/>
      </w:rPr>
    </w:lvl>
    <w:lvl w:ilvl="2">
      <w:start w:val="1"/>
      <w:numFmt w:val="decimal"/>
      <w:isLgl/>
      <w:lvlText w:val="%1.%2.%3"/>
      <w:lvlJc w:val="left"/>
      <w:pPr>
        <w:ind w:left="2280" w:hanging="720"/>
      </w:pPr>
      <w:rPr>
        <w:rFonts w:cs="Times New Roman" w:hint="default"/>
        <w:i/>
      </w:rPr>
    </w:lvl>
    <w:lvl w:ilvl="3">
      <w:start w:val="1"/>
      <w:numFmt w:val="decimal"/>
      <w:isLgl/>
      <w:lvlText w:val="%1.%2.%3.%4"/>
      <w:lvlJc w:val="left"/>
      <w:pPr>
        <w:ind w:left="2835" w:hanging="720"/>
      </w:pPr>
      <w:rPr>
        <w:rFonts w:cs="Times New Roman" w:hint="default"/>
      </w:rPr>
    </w:lvl>
    <w:lvl w:ilvl="4">
      <w:start w:val="1"/>
      <w:numFmt w:val="decimal"/>
      <w:isLgl/>
      <w:lvlText w:val="%1.%2.%3.%4.%5"/>
      <w:lvlJc w:val="left"/>
      <w:pPr>
        <w:ind w:left="3900" w:hanging="1080"/>
      </w:pPr>
      <w:rPr>
        <w:rFonts w:cs="Times New Roman" w:hint="default"/>
      </w:rPr>
    </w:lvl>
    <w:lvl w:ilvl="5">
      <w:start w:val="1"/>
      <w:numFmt w:val="decimal"/>
      <w:isLgl/>
      <w:lvlText w:val="%1.%2.%3.%4.%5.%6"/>
      <w:lvlJc w:val="left"/>
      <w:pPr>
        <w:ind w:left="4605" w:hanging="1080"/>
      </w:pPr>
      <w:rPr>
        <w:rFonts w:cs="Times New Roman" w:hint="default"/>
      </w:rPr>
    </w:lvl>
    <w:lvl w:ilvl="6">
      <w:start w:val="1"/>
      <w:numFmt w:val="decimal"/>
      <w:isLgl/>
      <w:lvlText w:val="%1.%2.%3.%4.%5.%6.%7"/>
      <w:lvlJc w:val="left"/>
      <w:pPr>
        <w:ind w:left="5670" w:hanging="1440"/>
      </w:pPr>
      <w:rPr>
        <w:rFonts w:cs="Times New Roman" w:hint="default"/>
      </w:rPr>
    </w:lvl>
    <w:lvl w:ilvl="7">
      <w:start w:val="1"/>
      <w:numFmt w:val="decimal"/>
      <w:isLgl/>
      <w:lvlText w:val="%1.%2.%3.%4.%5.%6.%7.%8"/>
      <w:lvlJc w:val="left"/>
      <w:pPr>
        <w:ind w:left="6375" w:hanging="1440"/>
      </w:pPr>
      <w:rPr>
        <w:rFonts w:cs="Times New Roman" w:hint="default"/>
      </w:rPr>
    </w:lvl>
    <w:lvl w:ilvl="8">
      <w:start w:val="1"/>
      <w:numFmt w:val="decimal"/>
      <w:isLgl/>
      <w:lvlText w:val="%1.%2.%3.%4.%5.%6.%7.%8.%9"/>
      <w:lvlJc w:val="left"/>
      <w:pPr>
        <w:ind w:left="7440" w:hanging="1800"/>
      </w:pPr>
      <w:rPr>
        <w:rFonts w:cs="Times New Roman" w:hint="default"/>
      </w:rPr>
    </w:lvl>
  </w:abstractNum>
  <w:abstractNum w:abstractNumId="10" w15:restartNumberingAfterBreak="0">
    <w:nsid w:val="5BD71838"/>
    <w:multiLevelType w:val="hybridMultilevel"/>
    <w:tmpl w:val="C5F4C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0A2929"/>
    <w:multiLevelType w:val="hybridMultilevel"/>
    <w:tmpl w:val="0018F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655A84"/>
    <w:multiLevelType w:val="hybridMultilevel"/>
    <w:tmpl w:val="81C86640"/>
    <w:lvl w:ilvl="0" w:tplc="C17415A8">
      <w:start w:val="1"/>
      <w:numFmt w:val="bullet"/>
      <w:lvlText w:val=""/>
      <w:lvlJc w:val="left"/>
      <w:pPr>
        <w:ind w:left="720" w:hanging="360"/>
      </w:pPr>
      <w:rPr>
        <w:rFonts w:ascii="Symbol" w:hAnsi="Symbol" w:hint="default"/>
      </w:rPr>
    </w:lvl>
    <w:lvl w:ilvl="1" w:tplc="0C36B6FA" w:tentative="1">
      <w:start w:val="1"/>
      <w:numFmt w:val="bullet"/>
      <w:lvlText w:val="o"/>
      <w:lvlJc w:val="left"/>
      <w:pPr>
        <w:ind w:left="1440" w:hanging="360"/>
      </w:pPr>
      <w:rPr>
        <w:rFonts w:ascii="Courier New" w:hAnsi="Courier New" w:hint="default"/>
      </w:rPr>
    </w:lvl>
    <w:lvl w:ilvl="2" w:tplc="3ECA4D9A" w:tentative="1">
      <w:start w:val="1"/>
      <w:numFmt w:val="bullet"/>
      <w:lvlText w:val=""/>
      <w:lvlJc w:val="left"/>
      <w:pPr>
        <w:ind w:left="2160" w:hanging="360"/>
      </w:pPr>
      <w:rPr>
        <w:rFonts w:ascii="Wingdings" w:hAnsi="Wingdings" w:hint="default"/>
      </w:rPr>
    </w:lvl>
    <w:lvl w:ilvl="3" w:tplc="A5EE0C54" w:tentative="1">
      <w:start w:val="1"/>
      <w:numFmt w:val="bullet"/>
      <w:lvlText w:val=""/>
      <w:lvlJc w:val="left"/>
      <w:pPr>
        <w:ind w:left="2880" w:hanging="360"/>
      </w:pPr>
      <w:rPr>
        <w:rFonts w:ascii="Symbol" w:hAnsi="Symbol" w:hint="default"/>
      </w:rPr>
    </w:lvl>
    <w:lvl w:ilvl="4" w:tplc="61A0B1C6" w:tentative="1">
      <w:start w:val="1"/>
      <w:numFmt w:val="bullet"/>
      <w:lvlText w:val="o"/>
      <w:lvlJc w:val="left"/>
      <w:pPr>
        <w:ind w:left="3600" w:hanging="360"/>
      </w:pPr>
      <w:rPr>
        <w:rFonts w:ascii="Courier New" w:hAnsi="Courier New" w:hint="default"/>
      </w:rPr>
    </w:lvl>
    <w:lvl w:ilvl="5" w:tplc="AA620426" w:tentative="1">
      <w:start w:val="1"/>
      <w:numFmt w:val="bullet"/>
      <w:lvlText w:val=""/>
      <w:lvlJc w:val="left"/>
      <w:pPr>
        <w:ind w:left="4320" w:hanging="360"/>
      </w:pPr>
      <w:rPr>
        <w:rFonts w:ascii="Wingdings" w:hAnsi="Wingdings" w:hint="default"/>
      </w:rPr>
    </w:lvl>
    <w:lvl w:ilvl="6" w:tplc="8F2AAE70" w:tentative="1">
      <w:start w:val="1"/>
      <w:numFmt w:val="bullet"/>
      <w:lvlText w:val=""/>
      <w:lvlJc w:val="left"/>
      <w:pPr>
        <w:ind w:left="5040" w:hanging="360"/>
      </w:pPr>
      <w:rPr>
        <w:rFonts w:ascii="Symbol" w:hAnsi="Symbol" w:hint="default"/>
      </w:rPr>
    </w:lvl>
    <w:lvl w:ilvl="7" w:tplc="B55C3476" w:tentative="1">
      <w:start w:val="1"/>
      <w:numFmt w:val="bullet"/>
      <w:lvlText w:val="o"/>
      <w:lvlJc w:val="left"/>
      <w:pPr>
        <w:ind w:left="5760" w:hanging="360"/>
      </w:pPr>
      <w:rPr>
        <w:rFonts w:ascii="Courier New" w:hAnsi="Courier New" w:hint="default"/>
      </w:rPr>
    </w:lvl>
    <w:lvl w:ilvl="8" w:tplc="DFF8AC10" w:tentative="1">
      <w:start w:val="1"/>
      <w:numFmt w:val="bullet"/>
      <w:lvlText w:val=""/>
      <w:lvlJc w:val="left"/>
      <w:pPr>
        <w:ind w:left="6480" w:hanging="360"/>
      </w:pPr>
      <w:rPr>
        <w:rFonts w:ascii="Wingdings" w:hAnsi="Wingdings" w:hint="default"/>
      </w:rPr>
    </w:lvl>
  </w:abstractNum>
  <w:abstractNum w:abstractNumId="13" w15:restartNumberingAfterBreak="0">
    <w:nsid w:val="7FAF2483"/>
    <w:multiLevelType w:val="multilevel"/>
    <w:tmpl w:val="C8D4F81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9"/>
  </w:num>
  <w:num w:numId="2">
    <w:abstractNumId w:val="13"/>
  </w:num>
  <w:num w:numId="3">
    <w:abstractNumId w:val="1"/>
  </w:num>
  <w:num w:numId="4">
    <w:abstractNumId w:val="11"/>
  </w:num>
  <w:num w:numId="5">
    <w:abstractNumId w:val="8"/>
  </w:num>
  <w:num w:numId="6">
    <w:abstractNumId w:val="12"/>
  </w:num>
  <w:num w:numId="7">
    <w:abstractNumId w:val="0"/>
  </w:num>
  <w:num w:numId="8">
    <w:abstractNumId w:val="5"/>
  </w:num>
  <w:num w:numId="9">
    <w:abstractNumId w:val="6"/>
  </w:num>
  <w:num w:numId="10">
    <w:abstractNumId w:val="10"/>
  </w:num>
  <w:num w:numId="11">
    <w:abstractNumId w:val="4"/>
  </w:num>
  <w:num w:numId="12">
    <w:abstractNumId w:val="3"/>
  </w:num>
  <w:num w:numId="13">
    <w:abstractNumId w:val="2"/>
  </w:num>
  <w:num w:numId="1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7ED"/>
    <w:rsid w:val="000124CA"/>
    <w:rsid w:val="0001633F"/>
    <w:rsid w:val="00031EAA"/>
    <w:rsid w:val="00056463"/>
    <w:rsid w:val="00056C44"/>
    <w:rsid w:val="00071387"/>
    <w:rsid w:val="00072AEB"/>
    <w:rsid w:val="00076ADD"/>
    <w:rsid w:val="000A61A3"/>
    <w:rsid w:val="000A7B6A"/>
    <w:rsid w:val="000D56C6"/>
    <w:rsid w:val="000E14B0"/>
    <w:rsid w:val="000F1AA5"/>
    <w:rsid w:val="00115782"/>
    <w:rsid w:val="0011772A"/>
    <w:rsid w:val="00132208"/>
    <w:rsid w:val="0016167A"/>
    <w:rsid w:val="00162C9A"/>
    <w:rsid w:val="00163ACF"/>
    <w:rsid w:val="001751FD"/>
    <w:rsid w:val="001808E8"/>
    <w:rsid w:val="00185427"/>
    <w:rsid w:val="00187731"/>
    <w:rsid w:val="001A299D"/>
    <w:rsid w:val="001A38BF"/>
    <w:rsid w:val="001B19EF"/>
    <w:rsid w:val="001B79F0"/>
    <w:rsid w:val="001C4EA1"/>
    <w:rsid w:val="001C76AC"/>
    <w:rsid w:val="001D62DE"/>
    <w:rsid w:val="001E385D"/>
    <w:rsid w:val="00224EA0"/>
    <w:rsid w:val="0024644D"/>
    <w:rsid w:val="00250DDA"/>
    <w:rsid w:val="002531EC"/>
    <w:rsid w:val="00256A98"/>
    <w:rsid w:val="0026033E"/>
    <w:rsid w:val="00266C0E"/>
    <w:rsid w:val="00275FE1"/>
    <w:rsid w:val="00282625"/>
    <w:rsid w:val="002C44E5"/>
    <w:rsid w:val="002D0A16"/>
    <w:rsid w:val="002D369B"/>
    <w:rsid w:val="002D564A"/>
    <w:rsid w:val="002E278C"/>
    <w:rsid w:val="002E2CB0"/>
    <w:rsid w:val="002E6C7C"/>
    <w:rsid w:val="002F01B5"/>
    <w:rsid w:val="002F0DCE"/>
    <w:rsid w:val="002F49AB"/>
    <w:rsid w:val="00316AB1"/>
    <w:rsid w:val="00316EAF"/>
    <w:rsid w:val="00327A5A"/>
    <w:rsid w:val="00332003"/>
    <w:rsid w:val="00332E25"/>
    <w:rsid w:val="00335896"/>
    <w:rsid w:val="00336892"/>
    <w:rsid w:val="00350E75"/>
    <w:rsid w:val="00353FBB"/>
    <w:rsid w:val="003540D4"/>
    <w:rsid w:val="00357FA8"/>
    <w:rsid w:val="00362CA2"/>
    <w:rsid w:val="00364562"/>
    <w:rsid w:val="0036564E"/>
    <w:rsid w:val="003760B8"/>
    <w:rsid w:val="00391F19"/>
    <w:rsid w:val="00393CFD"/>
    <w:rsid w:val="00396161"/>
    <w:rsid w:val="003977ED"/>
    <w:rsid w:val="003A012C"/>
    <w:rsid w:val="003A3522"/>
    <w:rsid w:val="003B5355"/>
    <w:rsid w:val="003C6B62"/>
    <w:rsid w:val="003F4A3D"/>
    <w:rsid w:val="00400FEA"/>
    <w:rsid w:val="00412BC6"/>
    <w:rsid w:val="00417EFF"/>
    <w:rsid w:val="00425C38"/>
    <w:rsid w:val="00440480"/>
    <w:rsid w:val="00463092"/>
    <w:rsid w:val="00464230"/>
    <w:rsid w:val="00464CE9"/>
    <w:rsid w:val="00472A7A"/>
    <w:rsid w:val="00475D12"/>
    <w:rsid w:val="004765D4"/>
    <w:rsid w:val="0049022F"/>
    <w:rsid w:val="00491B12"/>
    <w:rsid w:val="004A3B0F"/>
    <w:rsid w:val="004B5704"/>
    <w:rsid w:val="004C5776"/>
    <w:rsid w:val="004C7800"/>
    <w:rsid w:val="004D3F24"/>
    <w:rsid w:val="004E75A9"/>
    <w:rsid w:val="004F08DF"/>
    <w:rsid w:val="004F6E74"/>
    <w:rsid w:val="005000C6"/>
    <w:rsid w:val="00503C3F"/>
    <w:rsid w:val="00504514"/>
    <w:rsid w:val="005121A6"/>
    <w:rsid w:val="0051533D"/>
    <w:rsid w:val="00521EE4"/>
    <w:rsid w:val="00532614"/>
    <w:rsid w:val="00535D26"/>
    <w:rsid w:val="005455A4"/>
    <w:rsid w:val="00560AB5"/>
    <w:rsid w:val="00564A3E"/>
    <w:rsid w:val="00564E7E"/>
    <w:rsid w:val="0057546C"/>
    <w:rsid w:val="00576D0C"/>
    <w:rsid w:val="005835F2"/>
    <w:rsid w:val="00583ACC"/>
    <w:rsid w:val="00584319"/>
    <w:rsid w:val="005A0CE7"/>
    <w:rsid w:val="005B12AB"/>
    <w:rsid w:val="005B673A"/>
    <w:rsid w:val="005D3E7F"/>
    <w:rsid w:val="005D4204"/>
    <w:rsid w:val="005E0521"/>
    <w:rsid w:val="005E3C5D"/>
    <w:rsid w:val="005F2584"/>
    <w:rsid w:val="005F5157"/>
    <w:rsid w:val="00605FC7"/>
    <w:rsid w:val="006256F7"/>
    <w:rsid w:val="00630E0B"/>
    <w:rsid w:val="00633533"/>
    <w:rsid w:val="00655BAA"/>
    <w:rsid w:val="00657992"/>
    <w:rsid w:val="00666174"/>
    <w:rsid w:val="006678EE"/>
    <w:rsid w:val="00667F2E"/>
    <w:rsid w:val="006753EF"/>
    <w:rsid w:val="00696F40"/>
    <w:rsid w:val="006B4D6E"/>
    <w:rsid w:val="006C3440"/>
    <w:rsid w:val="006C5A7E"/>
    <w:rsid w:val="006D464B"/>
    <w:rsid w:val="006D4BB6"/>
    <w:rsid w:val="006E136D"/>
    <w:rsid w:val="006E3C82"/>
    <w:rsid w:val="006E43BB"/>
    <w:rsid w:val="006E5FBC"/>
    <w:rsid w:val="006F4E61"/>
    <w:rsid w:val="006F5327"/>
    <w:rsid w:val="006F6FC3"/>
    <w:rsid w:val="007006E9"/>
    <w:rsid w:val="007009CB"/>
    <w:rsid w:val="00705A21"/>
    <w:rsid w:val="00711E13"/>
    <w:rsid w:val="00713AD3"/>
    <w:rsid w:val="0071560E"/>
    <w:rsid w:val="007200F6"/>
    <w:rsid w:val="00724CEC"/>
    <w:rsid w:val="0073038C"/>
    <w:rsid w:val="0073685B"/>
    <w:rsid w:val="00742AE1"/>
    <w:rsid w:val="0075327D"/>
    <w:rsid w:val="007621C3"/>
    <w:rsid w:val="007643DF"/>
    <w:rsid w:val="00780BD9"/>
    <w:rsid w:val="00783332"/>
    <w:rsid w:val="0078738A"/>
    <w:rsid w:val="00797459"/>
    <w:rsid w:val="007A460D"/>
    <w:rsid w:val="007A47CF"/>
    <w:rsid w:val="007B3617"/>
    <w:rsid w:val="007C1293"/>
    <w:rsid w:val="007C3D0A"/>
    <w:rsid w:val="007C4C94"/>
    <w:rsid w:val="007C51D6"/>
    <w:rsid w:val="007C7B69"/>
    <w:rsid w:val="007D2C91"/>
    <w:rsid w:val="007D3634"/>
    <w:rsid w:val="007E580A"/>
    <w:rsid w:val="007F2BDE"/>
    <w:rsid w:val="007F3D10"/>
    <w:rsid w:val="00801388"/>
    <w:rsid w:val="008041D5"/>
    <w:rsid w:val="00833FA8"/>
    <w:rsid w:val="0084096F"/>
    <w:rsid w:val="00847957"/>
    <w:rsid w:val="00853FB4"/>
    <w:rsid w:val="008864EB"/>
    <w:rsid w:val="008A05CF"/>
    <w:rsid w:val="008A0C79"/>
    <w:rsid w:val="008C265B"/>
    <w:rsid w:val="008C546B"/>
    <w:rsid w:val="008E4D91"/>
    <w:rsid w:val="008F6A67"/>
    <w:rsid w:val="0090617E"/>
    <w:rsid w:val="00916EAD"/>
    <w:rsid w:val="009478EF"/>
    <w:rsid w:val="009554C5"/>
    <w:rsid w:val="00956E2C"/>
    <w:rsid w:val="00961F72"/>
    <w:rsid w:val="00967877"/>
    <w:rsid w:val="00972A06"/>
    <w:rsid w:val="00990A83"/>
    <w:rsid w:val="00995A25"/>
    <w:rsid w:val="00995C2B"/>
    <w:rsid w:val="009A1CB6"/>
    <w:rsid w:val="009B6C60"/>
    <w:rsid w:val="009C1095"/>
    <w:rsid w:val="009C7912"/>
    <w:rsid w:val="009D035F"/>
    <w:rsid w:val="009D5B3D"/>
    <w:rsid w:val="009E0A1C"/>
    <w:rsid w:val="009E1555"/>
    <w:rsid w:val="00A11B36"/>
    <w:rsid w:val="00A16E3F"/>
    <w:rsid w:val="00A20C16"/>
    <w:rsid w:val="00A22883"/>
    <w:rsid w:val="00A22A83"/>
    <w:rsid w:val="00A251CE"/>
    <w:rsid w:val="00A3282A"/>
    <w:rsid w:val="00A45F97"/>
    <w:rsid w:val="00A47414"/>
    <w:rsid w:val="00A541B6"/>
    <w:rsid w:val="00A62B78"/>
    <w:rsid w:val="00A648CB"/>
    <w:rsid w:val="00A66FB0"/>
    <w:rsid w:val="00A85B66"/>
    <w:rsid w:val="00A901CA"/>
    <w:rsid w:val="00A96ABC"/>
    <w:rsid w:val="00AA6491"/>
    <w:rsid w:val="00AB469D"/>
    <w:rsid w:val="00AC3BB5"/>
    <w:rsid w:val="00AD1D01"/>
    <w:rsid w:val="00AD4208"/>
    <w:rsid w:val="00AD573A"/>
    <w:rsid w:val="00AD7661"/>
    <w:rsid w:val="00AE43B0"/>
    <w:rsid w:val="00AF67E2"/>
    <w:rsid w:val="00B06AC0"/>
    <w:rsid w:val="00B3059B"/>
    <w:rsid w:val="00B31041"/>
    <w:rsid w:val="00B37C68"/>
    <w:rsid w:val="00B4656B"/>
    <w:rsid w:val="00B46B91"/>
    <w:rsid w:val="00B51BBC"/>
    <w:rsid w:val="00B710C9"/>
    <w:rsid w:val="00B71B05"/>
    <w:rsid w:val="00B7257F"/>
    <w:rsid w:val="00B85ABB"/>
    <w:rsid w:val="00B909A7"/>
    <w:rsid w:val="00B96225"/>
    <w:rsid w:val="00BB08A7"/>
    <w:rsid w:val="00BB1322"/>
    <w:rsid w:val="00BB59DB"/>
    <w:rsid w:val="00BC66EF"/>
    <w:rsid w:val="00BD2429"/>
    <w:rsid w:val="00BD2B12"/>
    <w:rsid w:val="00BE45E9"/>
    <w:rsid w:val="00C11F74"/>
    <w:rsid w:val="00C12C5F"/>
    <w:rsid w:val="00C252BA"/>
    <w:rsid w:val="00C270F3"/>
    <w:rsid w:val="00C44095"/>
    <w:rsid w:val="00C6753A"/>
    <w:rsid w:val="00C72DD5"/>
    <w:rsid w:val="00C957EB"/>
    <w:rsid w:val="00CB2790"/>
    <w:rsid w:val="00CD23FF"/>
    <w:rsid w:val="00CD3A48"/>
    <w:rsid w:val="00CE5D8D"/>
    <w:rsid w:val="00CE7991"/>
    <w:rsid w:val="00CF54A5"/>
    <w:rsid w:val="00CF5D2A"/>
    <w:rsid w:val="00D10F8C"/>
    <w:rsid w:val="00D13EEE"/>
    <w:rsid w:val="00D40CE6"/>
    <w:rsid w:val="00D42857"/>
    <w:rsid w:val="00D42B27"/>
    <w:rsid w:val="00D478EA"/>
    <w:rsid w:val="00D525A9"/>
    <w:rsid w:val="00D719AD"/>
    <w:rsid w:val="00D86C22"/>
    <w:rsid w:val="00D90CA9"/>
    <w:rsid w:val="00D922A7"/>
    <w:rsid w:val="00D97B43"/>
    <w:rsid w:val="00DB0771"/>
    <w:rsid w:val="00DB32D3"/>
    <w:rsid w:val="00DC1E78"/>
    <w:rsid w:val="00DC3A54"/>
    <w:rsid w:val="00DE551E"/>
    <w:rsid w:val="00E029B9"/>
    <w:rsid w:val="00E0546E"/>
    <w:rsid w:val="00E068E9"/>
    <w:rsid w:val="00E17F85"/>
    <w:rsid w:val="00E213AE"/>
    <w:rsid w:val="00E32E25"/>
    <w:rsid w:val="00E424C9"/>
    <w:rsid w:val="00E47073"/>
    <w:rsid w:val="00E56F00"/>
    <w:rsid w:val="00E62CB5"/>
    <w:rsid w:val="00E91467"/>
    <w:rsid w:val="00E944D5"/>
    <w:rsid w:val="00E94C88"/>
    <w:rsid w:val="00EB69E2"/>
    <w:rsid w:val="00ED1E92"/>
    <w:rsid w:val="00EE3A53"/>
    <w:rsid w:val="00EF138D"/>
    <w:rsid w:val="00EF3575"/>
    <w:rsid w:val="00EF5155"/>
    <w:rsid w:val="00EF6E94"/>
    <w:rsid w:val="00F01FD1"/>
    <w:rsid w:val="00F10227"/>
    <w:rsid w:val="00F21689"/>
    <w:rsid w:val="00F2769A"/>
    <w:rsid w:val="00F40480"/>
    <w:rsid w:val="00F43A2D"/>
    <w:rsid w:val="00F456D7"/>
    <w:rsid w:val="00F52850"/>
    <w:rsid w:val="00F60DBE"/>
    <w:rsid w:val="00F6154F"/>
    <w:rsid w:val="00F75AC4"/>
    <w:rsid w:val="00F80AA4"/>
    <w:rsid w:val="00F95CF7"/>
    <w:rsid w:val="00FA41EF"/>
    <w:rsid w:val="00FB5CF0"/>
    <w:rsid w:val="00FB62E4"/>
    <w:rsid w:val="00FB7EDD"/>
    <w:rsid w:val="00FC01A6"/>
    <w:rsid w:val="00FC442E"/>
    <w:rsid w:val="00FC5AA0"/>
    <w:rsid w:val="00FD09CE"/>
    <w:rsid w:val="00FD691E"/>
    <w:rsid w:val="00FE2950"/>
    <w:rsid w:val="00FE58BA"/>
    <w:rsid w:val="00FF2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CCFC50-E1A6-4D09-8E98-2C5CA0B2F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7E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F3575"/>
    <w:pPr>
      <w:tabs>
        <w:tab w:val="center" w:pos="4819"/>
        <w:tab w:val="right" w:pos="9638"/>
      </w:tabs>
    </w:pPr>
    <w:rPr>
      <w:lang w:val="en-GB" w:eastAsia="it-IT"/>
    </w:rPr>
  </w:style>
  <w:style w:type="character" w:customStyle="1" w:styleId="FooterChar">
    <w:name w:val="Footer Char"/>
    <w:basedOn w:val="DefaultParagraphFont"/>
    <w:link w:val="Footer"/>
    <w:rsid w:val="00EF3575"/>
    <w:rPr>
      <w:rFonts w:ascii="Times New Roman" w:eastAsia="Times New Roman" w:hAnsi="Times New Roman" w:cs="Times New Roman"/>
      <w:sz w:val="24"/>
      <w:szCs w:val="20"/>
      <w:lang w:val="en-GB" w:eastAsia="it-IT"/>
    </w:rPr>
  </w:style>
  <w:style w:type="paragraph" w:styleId="ListParagraph">
    <w:name w:val="List Paragraph"/>
    <w:basedOn w:val="Normal"/>
    <w:link w:val="ListParagraphChar"/>
    <w:uiPriority w:val="34"/>
    <w:qFormat/>
    <w:rsid w:val="00EF3575"/>
    <w:pPr>
      <w:ind w:left="708"/>
    </w:pPr>
    <w:rPr>
      <w:lang w:val="en-GB" w:eastAsia="it-IT"/>
    </w:rPr>
  </w:style>
  <w:style w:type="character" w:customStyle="1" w:styleId="ListParagraphChar">
    <w:name w:val="List Paragraph Char"/>
    <w:basedOn w:val="DefaultParagraphFont"/>
    <w:link w:val="ListParagraph"/>
    <w:locked/>
    <w:rsid w:val="00EF3575"/>
    <w:rPr>
      <w:rFonts w:ascii="Times New Roman" w:eastAsia="Times New Roman" w:hAnsi="Times New Roman" w:cs="Times New Roman"/>
      <w:sz w:val="24"/>
      <w:szCs w:val="20"/>
      <w:lang w:val="en-GB" w:eastAsia="it-IT"/>
    </w:rPr>
  </w:style>
  <w:style w:type="paragraph" w:styleId="Header">
    <w:name w:val="header"/>
    <w:basedOn w:val="Normal"/>
    <w:link w:val="HeaderChar"/>
    <w:unhideWhenUsed/>
    <w:rsid w:val="0001633F"/>
    <w:pPr>
      <w:tabs>
        <w:tab w:val="center" w:pos="4680"/>
        <w:tab w:val="right" w:pos="9360"/>
      </w:tabs>
    </w:pPr>
  </w:style>
  <w:style w:type="character" w:customStyle="1" w:styleId="HeaderChar">
    <w:name w:val="Header Char"/>
    <w:basedOn w:val="DefaultParagraphFont"/>
    <w:link w:val="Header"/>
    <w:rsid w:val="0001633F"/>
    <w:rPr>
      <w:rFonts w:ascii="Times New Roman" w:eastAsia="Times New Roman" w:hAnsi="Times New Roman" w:cs="Times New Roman"/>
      <w:sz w:val="24"/>
      <w:szCs w:val="20"/>
    </w:rPr>
  </w:style>
  <w:style w:type="paragraph" w:customStyle="1" w:styleId="Paragraph">
    <w:name w:val="Paragraph"/>
    <w:aliases w:val="paragraph,p,PARAGRAPH,PG,pa,at"/>
    <w:basedOn w:val="BodyTextIndent"/>
    <w:link w:val="ParagraphChar"/>
    <w:uiPriority w:val="99"/>
    <w:rsid w:val="008041D5"/>
    <w:pPr>
      <w:numPr>
        <w:ilvl w:val="1"/>
        <w:numId w:val="3"/>
      </w:numPr>
      <w:spacing w:before="120"/>
      <w:jc w:val="both"/>
      <w:outlineLvl w:val="1"/>
    </w:pPr>
  </w:style>
  <w:style w:type="paragraph" w:customStyle="1" w:styleId="subpar">
    <w:name w:val="subpar"/>
    <w:basedOn w:val="BodyTextIndent3"/>
    <w:uiPriority w:val="99"/>
    <w:rsid w:val="008041D5"/>
    <w:pPr>
      <w:numPr>
        <w:ilvl w:val="2"/>
        <w:numId w:val="3"/>
      </w:numPr>
      <w:tabs>
        <w:tab w:val="clear" w:pos="1152"/>
      </w:tabs>
      <w:ind w:left="360" w:firstLine="0"/>
    </w:pPr>
  </w:style>
  <w:style w:type="paragraph" w:customStyle="1" w:styleId="SubSubPar">
    <w:name w:val="SubSubPar"/>
    <w:basedOn w:val="subpar"/>
    <w:uiPriority w:val="99"/>
    <w:rsid w:val="008041D5"/>
    <w:pPr>
      <w:numPr>
        <w:ilvl w:val="3"/>
      </w:numPr>
      <w:tabs>
        <w:tab w:val="left" w:pos="0"/>
      </w:tabs>
      <w:spacing w:before="120"/>
      <w:jc w:val="both"/>
      <w:outlineLvl w:val="2"/>
    </w:pPr>
    <w:rPr>
      <w:sz w:val="24"/>
      <w:szCs w:val="20"/>
    </w:rPr>
  </w:style>
  <w:style w:type="character" w:styleId="FootnoteReference">
    <w:name w:val="footnote reference"/>
    <w:basedOn w:val="DefaultParagraphFont"/>
    <w:rsid w:val="008041D5"/>
    <w:rPr>
      <w:vertAlign w:val="superscript"/>
    </w:rPr>
  </w:style>
  <w:style w:type="character" w:customStyle="1" w:styleId="ParagraphChar">
    <w:name w:val="Paragraph Char"/>
    <w:basedOn w:val="DefaultParagraphFont"/>
    <w:link w:val="Paragraph"/>
    <w:uiPriority w:val="99"/>
    <w:rsid w:val="008041D5"/>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8041D5"/>
    <w:pPr>
      <w:spacing w:after="120"/>
      <w:ind w:left="360"/>
    </w:pPr>
  </w:style>
  <w:style w:type="character" w:customStyle="1" w:styleId="BodyTextIndentChar">
    <w:name w:val="Body Text Indent Char"/>
    <w:basedOn w:val="DefaultParagraphFont"/>
    <w:link w:val="BodyTextIndent"/>
    <w:uiPriority w:val="99"/>
    <w:semiHidden/>
    <w:rsid w:val="008041D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8041D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041D5"/>
    <w:rPr>
      <w:rFonts w:ascii="Times New Roman" w:eastAsia="Times New Roman" w:hAnsi="Times New Roman" w:cs="Times New Roman"/>
      <w:sz w:val="16"/>
      <w:szCs w:val="16"/>
    </w:rPr>
  </w:style>
  <w:style w:type="paragraph" w:styleId="FootnoteText">
    <w:name w:val="footnote text"/>
    <w:basedOn w:val="Normal"/>
    <w:link w:val="FootnoteTextChar"/>
    <w:rsid w:val="00BB1322"/>
    <w:pPr>
      <w:overflowPunct w:val="0"/>
      <w:autoSpaceDE w:val="0"/>
      <w:autoSpaceDN w:val="0"/>
      <w:adjustRightInd w:val="0"/>
      <w:textAlignment w:val="baseline"/>
    </w:pPr>
    <w:rPr>
      <w:rFonts w:ascii="Arial" w:hAnsi="Arial"/>
      <w:sz w:val="20"/>
      <w:lang w:val="en-GB" w:eastAsia="it-IT"/>
    </w:rPr>
  </w:style>
  <w:style w:type="character" w:customStyle="1" w:styleId="FootnoteTextChar">
    <w:name w:val="Footnote Text Char"/>
    <w:basedOn w:val="DefaultParagraphFont"/>
    <w:link w:val="FootnoteText"/>
    <w:rsid w:val="00BB1322"/>
    <w:rPr>
      <w:rFonts w:ascii="Arial" w:eastAsia="Times New Roman" w:hAnsi="Arial" w:cs="Times New Roman"/>
      <w:sz w:val="20"/>
      <w:szCs w:val="20"/>
      <w:lang w:val="en-GB" w:eastAsia="it-IT"/>
    </w:rPr>
  </w:style>
  <w:style w:type="paragraph" w:styleId="NormalWeb">
    <w:name w:val="Normal (Web)"/>
    <w:basedOn w:val="Normal"/>
    <w:rsid w:val="00BB1322"/>
    <w:pPr>
      <w:spacing w:after="324"/>
    </w:pPr>
    <w:rPr>
      <w:szCs w:val="24"/>
      <w:lang w:val="it-IT" w:eastAsia="it-IT"/>
    </w:rPr>
  </w:style>
  <w:style w:type="table" w:styleId="TableSimple1">
    <w:name w:val="Table Simple 1"/>
    <w:basedOn w:val="TableNormal"/>
    <w:rsid w:val="005E0521"/>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FooterChar1">
    <w:name w:val="Footer Char1"/>
    <w:basedOn w:val="DefaultParagraphFont"/>
    <w:locked/>
    <w:rsid w:val="007D2C91"/>
    <w:rPr>
      <w:rFonts w:cs="Times New Roman"/>
      <w:sz w:val="24"/>
      <w:lang w:val="en-GB"/>
    </w:rPr>
  </w:style>
  <w:style w:type="character" w:customStyle="1" w:styleId="Caratteredellanota">
    <w:name w:val="Carattere della nota"/>
    <w:basedOn w:val="DefaultParagraphFont"/>
    <w:rsid w:val="00711E13"/>
    <w:rPr>
      <w:rFonts w:cs="Times New Roman"/>
      <w:vertAlign w:val="superscript"/>
    </w:rPr>
  </w:style>
  <w:style w:type="paragraph" w:styleId="BalloonText">
    <w:name w:val="Balloon Text"/>
    <w:basedOn w:val="Normal"/>
    <w:link w:val="BalloonTextChar"/>
    <w:uiPriority w:val="99"/>
    <w:semiHidden/>
    <w:unhideWhenUsed/>
    <w:rsid w:val="00711E13"/>
    <w:rPr>
      <w:rFonts w:ascii="Tahoma" w:hAnsi="Tahoma" w:cs="Tahoma"/>
      <w:sz w:val="16"/>
      <w:szCs w:val="16"/>
    </w:rPr>
  </w:style>
  <w:style w:type="character" w:customStyle="1" w:styleId="BalloonTextChar">
    <w:name w:val="Balloon Text Char"/>
    <w:basedOn w:val="DefaultParagraphFont"/>
    <w:link w:val="BalloonText"/>
    <w:uiPriority w:val="99"/>
    <w:semiHidden/>
    <w:rsid w:val="00711E13"/>
    <w:rPr>
      <w:rFonts w:ascii="Tahoma" w:eastAsia="Times New Roman" w:hAnsi="Tahoma" w:cs="Tahoma"/>
      <w:sz w:val="16"/>
      <w:szCs w:val="16"/>
    </w:rPr>
  </w:style>
  <w:style w:type="paragraph" w:customStyle="1" w:styleId="texte">
    <w:name w:val="texte"/>
    <w:link w:val="texteCar"/>
    <w:rsid w:val="002D564A"/>
    <w:pPr>
      <w:spacing w:before="120" w:after="120" w:line="288" w:lineRule="auto"/>
      <w:jc w:val="both"/>
    </w:pPr>
    <w:rPr>
      <w:rFonts w:ascii="Arial" w:eastAsia="Times New Roman" w:hAnsi="Arial" w:cs="Times New Roman"/>
      <w:lang w:val="fr-CA" w:eastAsia="fr-FR"/>
    </w:rPr>
  </w:style>
  <w:style w:type="character" w:customStyle="1" w:styleId="texteCar">
    <w:name w:val="texte Car"/>
    <w:basedOn w:val="DefaultParagraphFont"/>
    <w:link w:val="texte"/>
    <w:locked/>
    <w:rsid w:val="002D564A"/>
    <w:rPr>
      <w:rFonts w:ascii="Arial" w:eastAsia="Times New Roman" w:hAnsi="Arial" w:cs="Times New Roman"/>
      <w:lang w:val="fr-CA" w:eastAsia="fr-FR"/>
    </w:rPr>
  </w:style>
  <w:style w:type="paragraph" w:styleId="BodyText">
    <w:name w:val="Body Text"/>
    <w:basedOn w:val="Normal"/>
    <w:link w:val="BodyTextChar"/>
    <w:uiPriority w:val="99"/>
    <w:semiHidden/>
    <w:unhideWhenUsed/>
    <w:rsid w:val="00FD09CE"/>
    <w:pPr>
      <w:spacing w:after="120"/>
    </w:pPr>
  </w:style>
  <w:style w:type="character" w:customStyle="1" w:styleId="BodyTextChar">
    <w:name w:val="Body Text Char"/>
    <w:basedOn w:val="DefaultParagraphFont"/>
    <w:link w:val="BodyText"/>
    <w:uiPriority w:val="99"/>
    <w:semiHidden/>
    <w:rsid w:val="00FD09CE"/>
    <w:rPr>
      <w:rFonts w:ascii="Times New Roman" w:eastAsia="Times New Roman" w:hAnsi="Times New Roman" w:cs="Times New Roman"/>
      <w:sz w:val="24"/>
      <w:szCs w:val="20"/>
    </w:rPr>
  </w:style>
  <w:style w:type="paragraph" w:customStyle="1" w:styleId="title1">
    <w:name w:val="title 1"/>
    <w:basedOn w:val="Footer"/>
    <w:rsid w:val="00FD09CE"/>
    <w:pPr>
      <w:numPr>
        <w:numId w:val="5"/>
      </w:numPr>
      <w:tabs>
        <w:tab w:val="clear" w:pos="4819"/>
        <w:tab w:val="clear" w:pos="9638"/>
      </w:tabs>
    </w:pPr>
    <w:rPr>
      <w:rFonts w:ascii="Arial Black" w:eastAsia="Calibri" w:hAnsi="Arial Black"/>
      <w:b/>
      <w:szCs w:val="24"/>
    </w:rPr>
  </w:style>
  <w:style w:type="character" w:customStyle="1" w:styleId="FootnoteCharacters">
    <w:name w:val="Footnote Characters"/>
    <w:rsid w:val="00FD09CE"/>
    <w:rPr>
      <w:vertAlign w:val="superscript"/>
    </w:rPr>
  </w:style>
  <w:style w:type="paragraph" w:styleId="DocumentMap">
    <w:name w:val="Document Map"/>
    <w:basedOn w:val="Normal"/>
    <w:link w:val="DocumentMapChar"/>
    <w:uiPriority w:val="99"/>
    <w:semiHidden/>
    <w:unhideWhenUsed/>
    <w:rsid w:val="00FD09CE"/>
    <w:rPr>
      <w:rFonts w:ascii="Tahoma" w:hAnsi="Tahoma" w:cs="Tahoma"/>
      <w:sz w:val="16"/>
      <w:szCs w:val="16"/>
    </w:rPr>
  </w:style>
  <w:style w:type="character" w:customStyle="1" w:styleId="DocumentMapChar">
    <w:name w:val="Document Map Char"/>
    <w:basedOn w:val="DefaultParagraphFont"/>
    <w:link w:val="DocumentMap"/>
    <w:uiPriority w:val="99"/>
    <w:semiHidden/>
    <w:rsid w:val="00FD09CE"/>
    <w:rPr>
      <w:rFonts w:ascii="Tahoma" w:eastAsia="Times New Roman" w:hAnsi="Tahoma" w:cs="Tahoma"/>
      <w:sz w:val="16"/>
      <w:szCs w:val="16"/>
    </w:rPr>
  </w:style>
  <w:style w:type="paragraph" w:customStyle="1" w:styleId="TitoloGrande">
    <w:name w:val="Titolo_Grande"/>
    <w:basedOn w:val="Normal"/>
    <w:rsid w:val="00AD7661"/>
    <w:rPr>
      <w:b/>
      <w:bCs/>
      <w:color w:val="990000"/>
      <w:spacing w:val="-2"/>
      <w:sz w:val="40"/>
      <w:szCs w:val="24"/>
      <w:lang w:eastAsia="it-IT"/>
    </w:rPr>
  </w:style>
  <w:style w:type="paragraph" w:customStyle="1" w:styleId="EllipseChoices">
    <w:name w:val="Ellipse Choices"/>
    <w:basedOn w:val="Normal"/>
    <w:rsid w:val="00AD7661"/>
    <w:pPr>
      <w:widowControl w:val="0"/>
      <w:tabs>
        <w:tab w:val="left" w:pos="360"/>
        <w:tab w:val="left" w:pos="720"/>
        <w:tab w:val="left" w:pos="1080"/>
        <w:tab w:val="left" w:leader="dot" w:pos="2880"/>
        <w:tab w:val="left" w:pos="3600"/>
        <w:tab w:val="left" w:pos="4320"/>
        <w:tab w:val="right" w:pos="5040"/>
        <w:tab w:val="left" w:pos="5220"/>
      </w:tabs>
    </w:pPr>
    <w:rPr>
      <w:rFonts w:ascii="Arial" w:hAnsi="Arial"/>
      <w:sz w:val="16"/>
    </w:rPr>
  </w:style>
  <w:style w:type="paragraph" w:styleId="NoSpacing">
    <w:name w:val="No Spacing"/>
    <w:uiPriority w:val="1"/>
    <w:qFormat/>
    <w:rsid w:val="008C265B"/>
    <w:pPr>
      <w:spacing w:after="0" w:line="240" w:lineRule="auto"/>
    </w:pPr>
    <w:rPr>
      <w:rFonts w:ascii="Calibri" w:eastAsia="Times New Roman" w:hAnsi="Calibri" w:cs="Times New Roman"/>
      <w:szCs w:val="24"/>
      <w:lang w:val="es-MX"/>
    </w:rPr>
  </w:style>
  <w:style w:type="paragraph" w:customStyle="1" w:styleId="Chapter">
    <w:name w:val="Chapter"/>
    <w:basedOn w:val="Normal"/>
    <w:next w:val="Normal"/>
    <w:autoRedefine/>
    <w:uiPriority w:val="99"/>
    <w:rsid w:val="001A299D"/>
    <w:pPr>
      <w:tabs>
        <w:tab w:val="num" w:pos="648"/>
        <w:tab w:val="left" w:pos="1440"/>
      </w:tabs>
      <w:spacing w:after="240"/>
      <w:ind w:firstLine="288"/>
      <w:jc w:val="center"/>
    </w:pPr>
    <w:rPr>
      <w:rFonts w:cs="Arial"/>
      <w:b/>
      <w:smallCaps/>
      <w:noProof/>
      <w:sz w:val="22"/>
    </w:rPr>
  </w:style>
  <w:style w:type="paragraph" w:customStyle="1" w:styleId="Bullet">
    <w:name w:val="Bullet"/>
    <w:aliases w:val="b1"/>
    <w:basedOn w:val="Normal"/>
    <w:rsid w:val="004F08DF"/>
    <w:pPr>
      <w:numPr>
        <w:numId w:val="13"/>
      </w:numPr>
      <w:tabs>
        <w:tab w:val="clear" w:pos="360"/>
      </w:tabs>
      <w:spacing w:after="100" w:line="280" w:lineRule="atLeast"/>
      <w:ind w:left="360" w:hanging="360"/>
      <w:jc w:val="both"/>
    </w:pPr>
    <w:rPr>
      <w:rFonts w:ascii="Arial" w:hAnsi="Arial"/>
      <w:sz w:val="20"/>
    </w:rPr>
  </w:style>
  <w:style w:type="paragraph" w:styleId="EndnoteText">
    <w:name w:val="endnote text"/>
    <w:basedOn w:val="Normal"/>
    <w:link w:val="EndnoteTextChar"/>
    <w:uiPriority w:val="99"/>
    <w:semiHidden/>
    <w:unhideWhenUsed/>
    <w:rsid w:val="00250DDA"/>
    <w:rPr>
      <w:sz w:val="20"/>
    </w:rPr>
  </w:style>
  <w:style w:type="character" w:customStyle="1" w:styleId="EndnoteTextChar">
    <w:name w:val="Endnote Text Char"/>
    <w:basedOn w:val="DefaultParagraphFont"/>
    <w:link w:val="EndnoteText"/>
    <w:uiPriority w:val="99"/>
    <w:semiHidden/>
    <w:rsid w:val="00250DD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50DDA"/>
    <w:rPr>
      <w:vertAlign w:val="superscript"/>
    </w:rPr>
  </w:style>
  <w:style w:type="paragraph" w:styleId="Caption">
    <w:name w:val="caption"/>
    <w:aliases w:val="CDM B/Caption,CDM A/Caption"/>
    <w:qFormat/>
    <w:rsid w:val="0057546C"/>
    <w:pPr>
      <w:spacing w:before="120" w:after="240" w:line="240" w:lineRule="auto"/>
      <w:jc w:val="center"/>
    </w:pPr>
    <w:rPr>
      <w:rFonts w:ascii="Arial Narrow" w:eastAsia="Times New Roman" w:hAnsi="Arial Narrow" w:cs="Adobe Garamond Pro"/>
      <w:b/>
      <w:bCs/>
      <w:i/>
      <w:color w:val="000000"/>
      <w:sz w:val="18"/>
      <w:szCs w:val="20"/>
    </w:rPr>
  </w:style>
  <w:style w:type="table" w:styleId="TableGridLight">
    <w:name w:val="Grid Table Light"/>
    <w:basedOn w:val="TableNormal"/>
    <w:uiPriority w:val="40"/>
    <w:rsid w:val="00696F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533405">
      <w:bodyDiv w:val="1"/>
      <w:marLeft w:val="0"/>
      <w:marRight w:val="0"/>
      <w:marTop w:val="0"/>
      <w:marBottom w:val="0"/>
      <w:divBdr>
        <w:top w:val="none" w:sz="0" w:space="0" w:color="auto"/>
        <w:left w:val="none" w:sz="0" w:space="0" w:color="auto"/>
        <w:bottom w:val="none" w:sz="0" w:space="0" w:color="auto"/>
        <w:right w:val="none" w:sz="0" w:space="0" w:color="auto"/>
      </w:divBdr>
    </w:div>
    <w:div w:id="265501440">
      <w:bodyDiv w:val="1"/>
      <w:marLeft w:val="0"/>
      <w:marRight w:val="0"/>
      <w:marTop w:val="0"/>
      <w:marBottom w:val="0"/>
      <w:divBdr>
        <w:top w:val="none" w:sz="0" w:space="0" w:color="auto"/>
        <w:left w:val="none" w:sz="0" w:space="0" w:color="auto"/>
        <w:bottom w:val="none" w:sz="0" w:space="0" w:color="auto"/>
        <w:right w:val="none" w:sz="0" w:space="0" w:color="auto"/>
      </w:divBdr>
    </w:div>
    <w:div w:id="466165844">
      <w:bodyDiv w:val="1"/>
      <w:marLeft w:val="0"/>
      <w:marRight w:val="0"/>
      <w:marTop w:val="0"/>
      <w:marBottom w:val="0"/>
      <w:divBdr>
        <w:top w:val="none" w:sz="0" w:space="0" w:color="auto"/>
        <w:left w:val="none" w:sz="0" w:space="0" w:color="auto"/>
        <w:bottom w:val="none" w:sz="0" w:space="0" w:color="auto"/>
        <w:right w:val="none" w:sz="0" w:space="0" w:color="auto"/>
      </w:divBdr>
    </w:div>
    <w:div w:id="488912135">
      <w:bodyDiv w:val="1"/>
      <w:marLeft w:val="0"/>
      <w:marRight w:val="0"/>
      <w:marTop w:val="0"/>
      <w:marBottom w:val="0"/>
      <w:divBdr>
        <w:top w:val="none" w:sz="0" w:space="0" w:color="auto"/>
        <w:left w:val="none" w:sz="0" w:space="0" w:color="auto"/>
        <w:bottom w:val="none" w:sz="0" w:space="0" w:color="auto"/>
        <w:right w:val="none" w:sz="0" w:space="0" w:color="auto"/>
      </w:divBdr>
    </w:div>
    <w:div w:id="789200855">
      <w:bodyDiv w:val="1"/>
      <w:marLeft w:val="0"/>
      <w:marRight w:val="0"/>
      <w:marTop w:val="0"/>
      <w:marBottom w:val="0"/>
      <w:divBdr>
        <w:top w:val="none" w:sz="0" w:space="0" w:color="auto"/>
        <w:left w:val="none" w:sz="0" w:space="0" w:color="auto"/>
        <w:bottom w:val="none" w:sz="0" w:space="0" w:color="auto"/>
        <w:right w:val="none" w:sz="0" w:space="0" w:color="auto"/>
      </w:divBdr>
    </w:div>
    <w:div w:id="861675229">
      <w:bodyDiv w:val="1"/>
      <w:marLeft w:val="0"/>
      <w:marRight w:val="0"/>
      <w:marTop w:val="0"/>
      <w:marBottom w:val="0"/>
      <w:divBdr>
        <w:top w:val="none" w:sz="0" w:space="0" w:color="auto"/>
        <w:left w:val="none" w:sz="0" w:space="0" w:color="auto"/>
        <w:bottom w:val="none" w:sz="0" w:space="0" w:color="auto"/>
        <w:right w:val="none" w:sz="0" w:space="0" w:color="auto"/>
      </w:divBdr>
    </w:div>
    <w:div w:id="916986769">
      <w:bodyDiv w:val="1"/>
      <w:marLeft w:val="0"/>
      <w:marRight w:val="0"/>
      <w:marTop w:val="0"/>
      <w:marBottom w:val="0"/>
      <w:divBdr>
        <w:top w:val="none" w:sz="0" w:space="0" w:color="auto"/>
        <w:left w:val="none" w:sz="0" w:space="0" w:color="auto"/>
        <w:bottom w:val="none" w:sz="0" w:space="0" w:color="auto"/>
        <w:right w:val="none" w:sz="0" w:space="0" w:color="auto"/>
      </w:divBdr>
    </w:div>
    <w:div w:id="1075591981">
      <w:bodyDiv w:val="1"/>
      <w:marLeft w:val="0"/>
      <w:marRight w:val="0"/>
      <w:marTop w:val="0"/>
      <w:marBottom w:val="0"/>
      <w:divBdr>
        <w:top w:val="none" w:sz="0" w:space="0" w:color="auto"/>
        <w:left w:val="none" w:sz="0" w:space="0" w:color="auto"/>
        <w:bottom w:val="none" w:sz="0" w:space="0" w:color="auto"/>
        <w:right w:val="none" w:sz="0" w:space="0" w:color="auto"/>
      </w:divBdr>
    </w:div>
    <w:div w:id="1187211899">
      <w:bodyDiv w:val="1"/>
      <w:marLeft w:val="0"/>
      <w:marRight w:val="0"/>
      <w:marTop w:val="0"/>
      <w:marBottom w:val="0"/>
      <w:divBdr>
        <w:top w:val="none" w:sz="0" w:space="0" w:color="auto"/>
        <w:left w:val="none" w:sz="0" w:space="0" w:color="auto"/>
        <w:bottom w:val="none" w:sz="0" w:space="0" w:color="auto"/>
        <w:right w:val="none" w:sz="0" w:space="0" w:color="auto"/>
      </w:divBdr>
    </w:div>
    <w:div w:id="1471553459">
      <w:bodyDiv w:val="1"/>
      <w:marLeft w:val="0"/>
      <w:marRight w:val="0"/>
      <w:marTop w:val="0"/>
      <w:marBottom w:val="0"/>
      <w:divBdr>
        <w:top w:val="none" w:sz="0" w:space="0" w:color="auto"/>
        <w:left w:val="none" w:sz="0" w:space="0" w:color="auto"/>
        <w:bottom w:val="none" w:sz="0" w:space="0" w:color="auto"/>
        <w:right w:val="none" w:sz="0" w:space="0" w:color="auto"/>
      </w:divBdr>
    </w:div>
    <w:div w:id="1511872605">
      <w:bodyDiv w:val="1"/>
      <w:marLeft w:val="0"/>
      <w:marRight w:val="0"/>
      <w:marTop w:val="0"/>
      <w:marBottom w:val="0"/>
      <w:divBdr>
        <w:top w:val="none" w:sz="0" w:space="0" w:color="auto"/>
        <w:left w:val="none" w:sz="0" w:space="0" w:color="auto"/>
        <w:bottom w:val="none" w:sz="0" w:space="0" w:color="auto"/>
        <w:right w:val="none" w:sz="0" w:space="0" w:color="auto"/>
      </w:divBdr>
    </w:div>
    <w:div w:id="1602254266">
      <w:bodyDiv w:val="1"/>
      <w:marLeft w:val="0"/>
      <w:marRight w:val="0"/>
      <w:marTop w:val="0"/>
      <w:marBottom w:val="0"/>
      <w:divBdr>
        <w:top w:val="none" w:sz="0" w:space="0" w:color="auto"/>
        <w:left w:val="none" w:sz="0" w:space="0" w:color="auto"/>
        <w:bottom w:val="none" w:sz="0" w:space="0" w:color="auto"/>
        <w:right w:val="none" w:sz="0" w:space="0" w:color="auto"/>
      </w:divBdr>
    </w:div>
    <w:div w:id="1608654447">
      <w:bodyDiv w:val="1"/>
      <w:marLeft w:val="0"/>
      <w:marRight w:val="0"/>
      <w:marTop w:val="0"/>
      <w:marBottom w:val="0"/>
      <w:divBdr>
        <w:top w:val="none" w:sz="0" w:space="0" w:color="auto"/>
        <w:left w:val="none" w:sz="0" w:space="0" w:color="auto"/>
        <w:bottom w:val="none" w:sz="0" w:space="0" w:color="auto"/>
        <w:right w:val="none" w:sz="0" w:space="0" w:color="auto"/>
      </w:divBdr>
    </w:div>
    <w:div w:id="1720205736">
      <w:bodyDiv w:val="1"/>
      <w:marLeft w:val="0"/>
      <w:marRight w:val="0"/>
      <w:marTop w:val="0"/>
      <w:marBottom w:val="0"/>
      <w:divBdr>
        <w:top w:val="none" w:sz="0" w:space="0" w:color="auto"/>
        <w:left w:val="none" w:sz="0" w:space="0" w:color="auto"/>
        <w:bottom w:val="none" w:sz="0" w:space="0" w:color="auto"/>
        <w:right w:val="none" w:sz="0" w:space="0" w:color="auto"/>
      </w:divBdr>
    </w:div>
    <w:div w:id="1793788766">
      <w:bodyDiv w:val="1"/>
      <w:marLeft w:val="0"/>
      <w:marRight w:val="0"/>
      <w:marTop w:val="0"/>
      <w:marBottom w:val="0"/>
      <w:divBdr>
        <w:top w:val="none" w:sz="0" w:space="0" w:color="auto"/>
        <w:left w:val="none" w:sz="0" w:space="0" w:color="auto"/>
        <w:bottom w:val="none" w:sz="0" w:space="0" w:color="auto"/>
        <w:right w:val="none" w:sz="0" w:space="0" w:color="auto"/>
      </w:divBdr>
    </w:div>
    <w:div w:id="203761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97539AEBFB7E6F4387C0787516276B97"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97539AEBFB7E6F4387C0787516276B97008D36D5C10A27EA488FF6D064447EF892" ma:contentTypeVersion="0" ma:contentTypeDescription="The base project type from which other project content types inherit their information" ma:contentTypeScope="" ma:versionID="ee116b2a3e6c634c898f4b97e0d5f78f">
  <xsd:schema xmlns:xsd="http://www.w3.org/2001/XMLSchema" xmlns:xs="http://www.w3.org/2001/XMLSchema" xmlns:p="http://schemas.microsoft.com/office/2006/metadata/properties" xmlns:ns2="9c571b2f-e523-4ab2-ba2e-09e151a03ef4" targetNamespace="http://schemas.microsoft.com/office/2006/metadata/properties" ma:root="true" ma:fieldsID="20ec84c29a0cb232da0c61e5b5ba3b6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minOccurs="0"/>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25577f3-3cc0-44b3-8780-5d651cd1803b}" ma:internalName="TaxCatchAll" ma:showField="CatchAllData" ma:web="4437ee9d-d225-4b3a-9e3a-6e17f391bb6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25577f3-3cc0-44b3-8780-5d651cd1803b}" ma:internalName="TaxCatchAllLabel" ma:readOnly="true" ma:showField="CatchAllDataLabel" ma:web="4437ee9d-d225-4b3a-9e3a-6e17f391bb63">
      <xsd:complexType>
        <xsd:complexContent>
          <xsd:extension base="dms:MultiChoiceLookup">
            <xsd:sequence>
              <xsd:element name="Value" type="dms:Lookup" maxOccurs="unbounded" minOccurs="0" nillable="true"/>
            </xsd:sequence>
          </xsd:extension>
        </xsd:complexContent>
      </xsd:complexType>
    </xsd:element>
    <xsd:element name="Project_x0020_Number" ma:index="15" nillable="true"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35351285</IDBDocs_x0020_Number>
    <TaxCatchAll xmlns="9c571b2f-e523-4ab2-ba2e-09e151a03ef4">
      <Value>3</Value>
      <Value>16</Value>
      <Value>15</Value>
    </TaxCatchAll>
    <Phase xmlns="9c571b2f-e523-4ab2-ba2e-09e151a03ef4" xsi:nil="true"/>
    <SISCOR_x0020_Number xmlns="9c571b2f-e523-4ab2-ba2e-09e151a03ef4" xsi:nil="true"/>
    <Division_x0020_or_x0020_Unit xmlns="9c571b2f-e523-4ab2-ba2e-09e151a03ef4">INE/WSA</Division_x0020_or_x0020_Unit>
    <From_x003a_ xmlns="9c571b2f-e523-4ab2-ba2e-09e151a03ef4" xsi:nil="true"/>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Basani, Marcello</Document_x0020_Author>
    <e559ffcc31d34167856647188be35015 xmlns="9c571b2f-e523-4ab2-ba2e-09e151a03ef4">
      <Terms xmlns="http://schemas.microsoft.com/office/infopath/2007/PartnerControls"/>
    </e559ffcc31d34167856647188be35015>
    <Fiscal_x0020_Year_x0020_IDB xmlns="9c571b2f-e523-4ab2-ba2e-09e151a03ef4">2010</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SU-L1018</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j8b96605ee2f4c4e988849e658583fee>
    <Migration_x0020_Info xmlns="9c571b2f-e523-4ab2-ba2e-09e151a03ef4">&lt;Data&gt;&lt;APPLICATION&gt;MS WORD&lt;/APPLICATION&gt;&lt;PD_OBJ_TYPE&gt;0&lt;/PD_OBJ_TYPE&gt;&lt;MAKERECORD&gt;N&lt;/MAKERECORD&gt;&lt;/Data&gt;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 xsi:nil="true"/>
    <Identifier xmlns="9c571b2f-e523-4ab2-ba2e-09e151a03ef4"> </Identifier>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DC84D-E90B-461A-9FA8-17D548016F5D}">
  <ds:schemaRefs>
    <ds:schemaRef ds:uri="http://schemas.microsoft.com/sharepoint/v3/contenttype/forms"/>
  </ds:schemaRefs>
</ds:datastoreItem>
</file>

<file path=customXml/itemProps2.xml><?xml version="1.0" encoding="utf-8"?>
<ds:datastoreItem xmlns:ds="http://schemas.openxmlformats.org/officeDocument/2006/customXml" ds:itemID="{674D7FE2-C94A-4858-9BAD-1A64D4F42AC0}">
  <ds:schemaRefs>
    <ds:schemaRef ds:uri="http://schemas.microsoft.com/sharepoint/events"/>
  </ds:schemaRefs>
</ds:datastoreItem>
</file>

<file path=customXml/itemProps3.xml><?xml version="1.0" encoding="utf-8"?>
<ds:datastoreItem xmlns:ds="http://schemas.openxmlformats.org/officeDocument/2006/customXml" ds:itemID="{86360649-B3D3-470C-87FC-F91DE5462011}">
  <ds:schemaRefs>
    <ds:schemaRef ds:uri="Microsoft.SharePoint.Taxonomy.ContentTypeSync"/>
  </ds:schemaRefs>
</ds:datastoreItem>
</file>

<file path=customXml/itemProps4.xml><?xml version="1.0" encoding="utf-8"?>
<ds:datastoreItem xmlns:ds="http://schemas.openxmlformats.org/officeDocument/2006/customXml" ds:itemID="{9C373C9F-1515-4BBA-B60D-9C3962294A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ADB5C5E-4F17-41B1-BE6E-6793D2DDF6C3}">
  <ds:schemaRefs>
    <ds:schemaRef ds:uri="http://schemas.microsoft.com/office/2006/metadata/properties"/>
    <ds:schemaRef ds:uri="http://schemas.microsoft.com/office/infopath/2007/PartnerControls"/>
    <ds:schemaRef ds:uri="9c571b2f-e523-4ab2-ba2e-09e151a03ef4"/>
  </ds:schemaRefs>
</ds:datastoreItem>
</file>

<file path=customXml/itemProps6.xml><?xml version="1.0" encoding="utf-8"?>
<ds:datastoreItem xmlns:ds="http://schemas.openxmlformats.org/officeDocument/2006/customXml" ds:itemID="{23380DAB-DC9E-4F84-9B70-2C4FE012B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4105</Words>
  <Characters>23399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Link Socioeconomico</vt:lpstr>
    </vt:vector>
  </TitlesOfParts>
  <Company>Inter-American Development Bank</Company>
  <LinksUpToDate>false</LinksUpToDate>
  <CharactersWithSpaces>27450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Socioeconomico</dc:title>
  <dc:subject/>
  <dc:creator>mariajuliab</dc:creator>
  <cp:keywords/>
  <dc:description/>
  <cp:lastModifiedBy>Cartin, Irene</cp:lastModifiedBy>
  <cp:revision>2</cp:revision>
  <dcterms:created xsi:type="dcterms:W3CDTF">2018-11-06T21:31:00Z</dcterms:created>
  <dcterms:modified xsi:type="dcterms:W3CDTF">2018-11-06T21:31:00Z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0x01010097539AEBFB7E6F4387C0787516276B97008D36D5C10A27EA488FF6D064447EF892</vt:lpwstr>
  </property>
  <property fmtid="{D5CDD505-2E9C-101B-9397-08002B2CF9AE}" pid="3" name="TaxKeyword">
    <vt:lpwstr/>
  </property>
  <property fmtid="{D5CDD505-2E9C-101B-9397-08002B2CF9AE}" pid="4" name="Function Operations IDB">
    <vt:lpwstr>16;#IDBDocs|cca77002-e150-4b2d-ab1f-1d7a7cdcae16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15;#Unclassified|a6dff32e-d477-44cd-a56b-85efe9e0a56c</vt:lpwstr>
  </property>
  <property fmtid="{D5CDD505-2E9C-101B-9397-08002B2CF9AE}" pid="8" name="Country">
    <vt:lpwstr>3;#Suriname|78f391d2-6a9c-4a90-96e5-b3c0fdf8e7da</vt:lpwstr>
  </property>
  <property fmtid="{D5CDD505-2E9C-101B-9397-08002B2CF9AE}" pid="9" name="Fund IDB">
    <vt:lpwstr/>
  </property>
  <property fmtid="{D5CDD505-2E9C-101B-9397-08002B2CF9AE}" pid="10" name="Series_x0020_Operations_x0020_IDB">
    <vt:lpwstr>15;#Unclassified|a6dff32e-d477-44cd-a56b-85efe9e0a56c</vt:lpwstr>
  </property>
  <property fmtid="{D5CDD505-2E9C-101B-9397-08002B2CF9AE}" pid="11" name="Webtopic">
    <vt:lpwstr/>
  </property>
  <property fmtid="{D5CDD505-2E9C-101B-9397-08002B2CF9AE}" pid="12" name="Sector IDB">
    <vt:lpwstr/>
  </property>
  <property fmtid="{D5CDD505-2E9C-101B-9397-08002B2CF9AE}" pid="13" name="Sub-Sector">
    <vt:lpwstr/>
  </property>
</Properties>
</file>