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44E" w:rsidRPr="00EE30DA" w:rsidRDefault="00EF7ADB">
      <w:pPr>
        <w:rPr>
          <w:b/>
        </w:rPr>
      </w:pPr>
      <w:bookmarkStart w:id="0" w:name="_GoBack"/>
      <w:bookmarkEnd w:id="0"/>
      <w:r w:rsidRPr="00EE30DA">
        <w:rPr>
          <w:b/>
        </w:rPr>
        <w:t xml:space="preserve">Electronic link </w:t>
      </w:r>
      <w:r w:rsidR="00D61444" w:rsidRPr="00EE30DA">
        <w:rPr>
          <w:b/>
        </w:rPr>
        <w:t>2. Changes to the Results matrix</w:t>
      </w:r>
    </w:p>
    <w:tbl>
      <w:tblPr>
        <w:tblStyle w:val="TableGrid1"/>
        <w:tblW w:w="13160" w:type="dxa"/>
        <w:tblBorders>
          <w:top w:val="none" w:sz="0" w:space="0" w:color="auto"/>
          <w:left w:val="none" w:sz="0" w:space="0" w:color="auto"/>
          <w:right w:val="none" w:sz="0" w:space="0" w:color="auto"/>
          <w:insideV w:val="dotted" w:sz="4" w:space="0" w:color="auto"/>
        </w:tblBorders>
        <w:tblLook w:val="04A0" w:firstRow="1" w:lastRow="0" w:firstColumn="1" w:lastColumn="0" w:noHBand="0" w:noVBand="1"/>
      </w:tblPr>
      <w:tblGrid>
        <w:gridCol w:w="1169"/>
        <w:gridCol w:w="1606"/>
        <w:gridCol w:w="1150"/>
        <w:gridCol w:w="1197"/>
        <w:gridCol w:w="1190"/>
        <w:gridCol w:w="1397"/>
        <w:gridCol w:w="3090"/>
        <w:gridCol w:w="1158"/>
        <w:gridCol w:w="1203"/>
      </w:tblGrid>
      <w:tr w:rsidR="00D61444" w:rsidRPr="00232ACE" w:rsidTr="004E098C">
        <w:trPr>
          <w:cantSplit/>
          <w:trHeight w:val="962"/>
          <w:tblHeader/>
        </w:trPr>
        <w:tc>
          <w:tcPr>
            <w:tcW w:w="1169" w:type="dxa"/>
            <w:tcBorders>
              <w:top w:val="single" w:sz="4" w:space="0" w:color="auto"/>
              <w:left w:val="nil"/>
              <w:bottom w:val="single" w:sz="4" w:space="0" w:color="auto"/>
              <w:right w:val="dotted" w:sz="4" w:space="0" w:color="auto"/>
            </w:tcBorders>
            <w:shd w:val="clear" w:color="auto" w:fill="D9D9D9" w:themeFill="background1" w:themeFillShade="D9"/>
            <w:vAlign w:val="center"/>
            <w:hideMark/>
          </w:tcPr>
          <w:p w:rsidR="00D61444" w:rsidRPr="00232ACE" w:rsidRDefault="00D61444" w:rsidP="0078756A">
            <w:pPr>
              <w:jc w:val="center"/>
              <w:rPr>
                <w:rFonts w:asciiTheme="minorHAnsi" w:hAnsiTheme="minorHAnsi" w:cstheme="minorHAnsi"/>
                <w:b/>
              </w:rPr>
            </w:pPr>
            <w:r w:rsidRPr="00232ACE">
              <w:rPr>
                <w:rFonts w:asciiTheme="minorHAnsi" w:hAnsiTheme="minorHAnsi" w:cstheme="minorHAnsi"/>
                <w:b/>
              </w:rPr>
              <w:t>Section of the Results Matrix where change took place</w:t>
            </w:r>
          </w:p>
        </w:tc>
        <w:tc>
          <w:tcPr>
            <w:tcW w:w="1606"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rsidR="00D61444" w:rsidRPr="00232ACE" w:rsidRDefault="00D61444" w:rsidP="0078756A">
            <w:pPr>
              <w:jc w:val="center"/>
              <w:rPr>
                <w:rFonts w:asciiTheme="minorHAnsi" w:hAnsiTheme="minorHAnsi" w:cstheme="minorHAnsi"/>
                <w:b/>
              </w:rPr>
            </w:pPr>
            <w:r w:rsidRPr="00232ACE">
              <w:rPr>
                <w:rFonts w:asciiTheme="minorHAnsi" w:hAnsiTheme="minorHAnsi" w:cstheme="minorHAnsi"/>
                <w:b/>
              </w:rPr>
              <w:t>Name of the change</w:t>
            </w:r>
          </w:p>
        </w:tc>
        <w:tc>
          <w:tcPr>
            <w:tcW w:w="1150"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rsidR="00D61444" w:rsidRPr="00232ACE" w:rsidRDefault="00D61444" w:rsidP="0078756A">
            <w:pPr>
              <w:jc w:val="center"/>
              <w:rPr>
                <w:rFonts w:asciiTheme="minorHAnsi" w:hAnsiTheme="minorHAnsi" w:cstheme="minorHAnsi"/>
                <w:b/>
              </w:rPr>
            </w:pPr>
            <w:r w:rsidRPr="00232ACE">
              <w:rPr>
                <w:rFonts w:asciiTheme="minorHAnsi" w:hAnsiTheme="minorHAnsi" w:cstheme="minorHAnsi"/>
                <w:b/>
              </w:rPr>
              <w:t>Type of change</w:t>
            </w:r>
          </w:p>
        </w:tc>
        <w:tc>
          <w:tcPr>
            <w:tcW w:w="1197"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rsidR="00D61444" w:rsidRPr="00232ACE" w:rsidRDefault="00D61444" w:rsidP="0078756A">
            <w:pPr>
              <w:jc w:val="center"/>
              <w:rPr>
                <w:rFonts w:asciiTheme="minorHAnsi" w:hAnsiTheme="minorHAnsi" w:cstheme="minorHAnsi"/>
                <w:b/>
              </w:rPr>
            </w:pPr>
            <w:r w:rsidRPr="00232ACE">
              <w:rPr>
                <w:rFonts w:asciiTheme="minorHAnsi" w:hAnsiTheme="minorHAnsi" w:cstheme="minorHAnsi"/>
                <w:b/>
              </w:rPr>
              <w:t>Baseline Target</w:t>
            </w:r>
          </w:p>
        </w:tc>
        <w:tc>
          <w:tcPr>
            <w:tcW w:w="1190"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rsidR="00D61444" w:rsidRPr="00232ACE" w:rsidRDefault="00D61444" w:rsidP="0078756A">
            <w:pPr>
              <w:jc w:val="center"/>
              <w:rPr>
                <w:rFonts w:asciiTheme="minorHAnsi" w:hAnsiTheme="minorHAnsi" w:cstheme="minorHAnsi"/>
                <w:b/>
              </w:rPr>
            </w:pPr>
            <w:r w:rsidRPr="00232ACE">
              <w:rPr>
                <w:rFonts w:asciiTheme="minorHAnsi" w:hAnsiTheme="minorHAnsi" w:cstheme="minorHAnsi"/>
                <w:b/>
              </w:rPr>
              <w:t>Original Target</w:t>
            </w:r>
          </w:p>
        </w:tc>
        <w:tc>
          <w:tcPr>
            <w:tcW w:w="1397"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rsidR="00D61444" w:rsidRPr="00232ACE" w:rsidRDefault="00D61444" w:rsidP="0078756A">
            <w:pPr>
              <w:jc w:val="center"/>
              <w:rPr>
                <w:rFonts w:asciiTheme="minorHAnsi" w:hAnsiTheme="minorHAnsi" w:cstheme="minorHAnsi"/>
                <w:b/>
              </w:rPr>
            </w:pPr>
            <w:r w:rsidRPr="00232ACE">
              <w:rPr>
                <w:rFonts w:asciiTheme="minorHAnsi" w:hAnsiTheme="minorHAnsi" w:cstheme="minorHAnsi"/>
                <w:b/>
              </w:rPr>
              <w:t>Formally revised target (if applicable)</w:t>
            </w:r>
          </w:p>
        </w:tc>
        <w:tc>
          <w:tcPr>
            <w:tcW w:w="3090"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rsidR="00D61444" w:rsidRPr="00232ACE" w:rsidRDefault="00D61444" w:rsidP="0078756A">
            <w:pPr>
              <w:jc w:val="center"/>
              <w:rPr>
                <w:rFonts w:asciiTheme="minorHAnsi" w:hAnsiTheme="minorHAnsi" w:cstheme="minorHAnsi"/>
                <w:b/>
              </w:rPr>
            </w:pPr>
            <w:r w:rsidRPr="00232ACE">
              <w:rPr>
                <w:rFonts w:asciiTheme="minorHAnsi" w:hAnsiTheme="minorHAnsi" w:cstheme="minorHAnsi"/>
                <w:b/>
              </w:rPr>
              <w:t>Reasons for change</w:t>
            </w:r>
          </w:p>
        </w:tc>
        <w:tc>
          <w:tcPr>
            <w:tcW w:w="1158"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rsidR="00D61444" w:rsidRPr="00232ACE" w:rsidRDefault="00D61444" w:rsidP="0078756A">
            <w:pPr>
              <w:jc w:val="center"/>
              <w:rPr>
                <w:rFonts w:asciiTheme="minorHAnsi" w:hAnsiTheme="minorHAnsi" w:cstheme="minorHAnsi"/>
                <w:b/>
              </w:rPr>
            </w:pPr>
            <w:r w:rsidRPr="00232ACE">
              <w:rPr>
                <w:rFonts w:asciiTheme="minorHAnsi" w:hAnsiTheme="minorHAnsi" w:cstheme="minorHAnsi"/>
                <w:b/>
              </w:rPr>
              <w:t>Date of change</w:t>
            </w:r>
          </w:p>
        </w:tc>
        <w:tc>
          <w:tcPr>
            <w:tcW w:w="1203" w:type="dxa"/>
            <w:tcBorders>
              <w:top w:val="single" w:sz="4" w:space="0" w:color="auto"/>
              <w:left w:val="dotted" w:sz="4" w:space="0" w:color="auto"/>
              <w:bottom w:val="single" w:sz="4" w:space="0" w:color="auto"/>
              <w:right w:val="nil"/>
            </w:tcBorders>
            <w:shd w:val="clear" w:color="auto" w:fill="D9D9D9" w:themeFill="background1" w:themeFillShade="D9"/>
            <w:vAlign w:val="center"/>
            <w:hideMark/>
          </w:tcPr>
          <w:p w:rsidR="00D61444" w:rsidRPr="00232ACE" w:rsidRDefault="00D61444" w:rsidP="0078756A">
            <w:pPr>
              <w:jc w:val="center"/>
              <w:rPr>
                <w:rFonts w:asciiTheme="minorHAnsi" w:hAnsiTheme="minorHAnsi" w:cstheme="minorHAnsi"/>
                <w:b/>
              </w:rPr>
            </w:pPr>
            <w:r w:rsidRPr="00232ACE">
              <w:rPr>
                <w:rFonts w:asciiTheme="minorHAnsi" w:hAnsiTheme="minorHAnsi" w:cstheme="minorHAnsi"/>
                <w:b/>
              </w:rPr>
              <w:t>Date of change agreed with Executing Agency</w:t>
            </w:r>
          </w:p>
        </w:tc>
      </w:tr>
      <w:tr w:rsidR="00D61444"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Outcomes</w:t>
            </w:r>
          </w:p>
        </w:tc>
        <w:tc>
          <w:tcPr>
            <w:tcW w:w="1606"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1.1 Households connected to an upgraded water supply network</w:t>
            </w:r>
          </w:p>
        </w:tc>
        <w:tc>
          <w:tcPr>
            <w:tcW w:w="115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End of project target</w:t>
            </w:r>
          </w:p>
          <w:p w:rsidR="00EE30DA" w:rsidRPr="00232ACE" w:rsidRDefault="00EE30DA" w:rsidP="0078756A">
            <w:pPr>
              <w:rPr>
                <w:rFonts w:asciiTheme="minorHAnsi" w:hAnsiTheme="minorHAnsi" w:cstheme="minorHAnsi"/>
              </w:rPr>
            </w:pPr>
          </w:p>
        </w:tc>
        <w:tc>
          <w:tcPr>
            <w:tcW w:w="11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11,600</w:t>
            </w:r>
          </w:p>
        </w:tc>
        <w:tc>
          <w:tcPr>
            <w:tcW w:w="13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10,000</w:t>
            </w:r>
          </w:p>
        </w:tc>
        <w:tc>
          <w:tcPr>
            <w:tcW w:w="30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Due to adjustments in the scope of works of Component 1, the Executing Agency considered necessary to reduce the target to a more realistic figure.</w:t>
            </w:r>
          </w:p>
        </w:tc>
        <w:tc>
          <w:tcPr>
            <w:tcW w:w="1158"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March 2015</w:t>
            </w:r>
          </w:p>
        </w:tc>
        <w:tc>
          <w:tcPr>
            <w:tcW w:w="1203" w:type="dxa"/>
            <w:tcBorders>
              <w:top w:val="single" w:sz="4" w:space="0" w:color="auto"/>
              <w:left w:val="dotted" w:sz="4" w:space="0" w:color="auto"/>
              <w:bottom w:val="single" w:sz="4" w:space="0" w:color="auto"/>
              <w:right w:val="nil"/>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Feb 2015</w:t>
            </w:r>
          </w:p>
        </w:tc>
      </w:tr>
      <w:tr w:rsidR="00D61444"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Outcomes</w:t>
            </w:r>
          </w:p>
        </w:tc>
        <w:tc>
          <w:tcPr>
            <w:tcW w:w="1606"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3.1 Energy consumption in the 8 pilot facilities</w:t>
            </w:r>
          </w:p>
        </w:tc>
        <w:tc>
          <w:tcPr>
            <w:tcW w:w="115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End of project target</w:t>
            </w:r>
          </w:p>
        </w:tc>
        <w:tc>
          <w:tcPr>
            <w:tcW w:w="11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13,000</w:t>
            </w:r>
          </w:p>
        </w:tc>
        <w:tc>
          <w:tcPr>
            <w:tcW w:w="11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10,000</w:t>
            </w:r>
          </w:p>
        </w:tc>
        <w:tc>
          <w:tcPr>
            <w:tcW w:w="13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12,200</w:t>
            </w:r>
          </w:p>
        </w:tc>
        <w:tc>
          <w:tcPr>
            <w:tcW w:w="30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Due to increased production in one of the pumping stations, the targets were adjusted considering this additional demand which directly implied and increase in the energy consumption.</w:t>
            </w:r>
          </w:p>
        </w:tc>
        <w:tc>
          <w:tcPr>
            <w:tcW w:w="1158"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March 2016</w:t>
            </w:r>
          </w:p>
        </w:tc>
        <w:tc>
          <w:tcPr>
            <w:tcW w:w="1203" w:type="dxa"/>
            <w:tcBorders>
              <w:top w:val="single" w:sz="4" w:space="0" w:color="auto"/>
              <w:left w:val="dotted" w:sz="4" w:space="0" w:color="auto"/>
              <w:bottom w:val="single" w:sz="4" w:space="0" w:color="auto"/>
              <w:right w:val="nil"/>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 xml:space="preserve">Feb 2016 </w:t>
            </w:r>
          </w:p>
        </w:tc>
      </w:tr>
      <w:tr w:rsidR="00D61444"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Outputs</w:t>
            </w:r>
          </w:p>
        </w:tc>
        <w:tc>
          <w:tcPr>
            <w:tcW w:w="1606"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1.1 Asbestos pipes replaced</w:t>
            </w:r>
          </w:p>
        </w:tc>
        <w:tc>
          <w:tcPr>
            <w:tcW w:w="115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End of project target</w:t>
            </w:r>
          </w:p>
        </w:tc>
        <w:tc>
          <w:tcPr>
            <w:tcW w:w="11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16</w:t>
            </w:r>
          </w:p>
        </w:tc>
        <w:tc>
          <w:tcPr>
            <w:tcW w:w="13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22</w:t>
            </w:r>
          </w:p>
        </w:tc>
        <w:tc>
          <w:tcPr>
            <w:tcW w:w="30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The EA decided to increase the target to utilize savings identified from Component 1.</w:t>
            </w:r>
          </w:p>
        </w:tc>
        <w:tc>
          <w:tcPr>
            <w:tcW w:w="1158"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March 2016</w:t>
            </w:r>
          </w:p>
        </w:tc>
        <w:tc>
          <w:tcPr>
            <w:tcW w:w="1203" w:type="dxa"/>
            <w:tcBorders>
              <w:top w:val="single" w:sz="4" w:space="0" w:color="auto"/>
              <w:left w:val="dotted" w:sz="4" w:space="0" w:color="auto"/>
              <w:bottom w:val="single" w:sz="4" w:space="0" w:color="auto"/>
              <w:right w:val="nil"/>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 xml:space="preserve">Feb 2016 </w:t>
            </w:r>
          </w:p>
        </w:tc>
      </w:tr>
      <w:tr w:rsidR="00D61444"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Outputs</w:t>
            </w:r>
          </w:p>
        </w:tc>
        <w:tc>
          <w:tcPr>
            <w:tcW w:w="1606"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1.2 Secondary distribution network pipes replaced</w:t>
            </w:r>
          </w:p>
        </w:tc>
        <w:tc>
          <w:tcPr>
            <w:tcW w:w="115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End of project target</w:t>
            </w:r>
          </w:p>
        </w:tc>
        <w:tc>
          <w:tcPr>
            <w:tcW w:w="11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 xml:space="preserve">0 </w:t>
            </w:r>
          </w:p>
        </w:tc>
        <w:tc>
          <w:tcPr>
            <w:tcW w:w="11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35</w:t>
            </w:r>
          </w:p>
        </w:tc>
        <w:tc>
          <w:tcPr>
            <w:tcW w:w="13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12.5</w:t>
            </w:r>
          </w:p>
        </w:tc>
        <w:tc>
          <w:tcPr>
            <w:tcW w:w="30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 xml:space="preserve">Considering the conditions of the network the EA decided to prioritize the intervention in the transmission line at </w:t>
            </w:r>
            <w:proofErr w:type="spellStart"/>
            <w:r w:rsidRPr="00232ACE">
              <w:rPr>
                <w:rFonts w:asciiTheme="minorHAnsi" w:hAnsiTheme="minorHAnsi" w:cstheme="minorHAnsi"/>
                <w:color w:val="auto"/>
                <w:sz w:val="20"/>
                <w:szCs w:val="20"/>
              </w:rPr>
              <w:t>Domburg</w:t>
            </w:r>
            <w:proofErr w:type="spellEnd"/>
            <w:r w:rsidRPr="00232ACE">
              <w:rPr>
                <w:rFonts w:asciiTheme="minorHAnsi" w:hAnsiTheme="minorHAnsi" w:cstheme="minorHAnsi"/>
                <w:color w:val="auto"/>
                <w:sz w:val="20"/>
                <w:szCs w:val="20"/>
              </w:rPr>
              <w:t xml:space="preserve"> (instead of the distribution), this implied a reduction in the no. of kilometers to be replaced.</w:t>
            </w:r>
          </w:p>
        </w:tc>
        <w:tc>
          <w:tcPr>
            <w:tcW w:w="1158"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March 2014</w:t>
            </w:r>
          </w:p>
        </w:tc>
        <w:tc>
          <w:tcPr>
            <w:tcW w:w="1203" w:type="dxa"/>
            <w:tcBorders>
              <w:top w:val="single" w:sz="4" w:space="0" w:color="auto"/>
              <w:left w:val="dotted" w:sz="4" w:space="0" w:color="auto"/>
              <w:bottom w:val="single" w:sz="4" w:space="0" w:color="auto"/>
              <w:right w:val="nil"/>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Feb 2014</w:t>
            </w:r>
          </w:p>
        </w:tc>
      </w:tr>
      <w:tr w:rsidR="00D61444"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lastRenderedPageBreak/>
              <w:t>Outputs</w:t>
            </w:r>
          </w:p>
        </w:tc>
        <w:tc>
          <w:tcPr>
            <w:tcW w:w="1606"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1.3 Secondary distribution network pipes re-laid</w:t>
            </w:r>
          </w:p>
        </w:tc>
        <w:tc>
          <w:tcPr>
            <w:tcW w:w="115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End of project target</w:t>
            </w:r>
          </w:p>
        </w:tc>
        <w:tc>
          <w:tcPr>
            <w:tcW w:w="11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70</w:t>
            </w:r>
          </w:p>
        </w:tc>
        <w:tc>
          <w:tcPr>
            <w:tcW w:w="13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11</w:t>
            </w:r>
          </w:p>
        </w:tc>
        <w:tc>
          <w:tcPr>
            <w:tcW w:w="30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 xml:space="preserve">The EA was to re-lay 70 km of distribution network, after assessment this amount was reduced to 45 km (20 in La </w:t>
            </w:r>
            <w:proofErr w:type="spellStart"/>
            <w:r w:rsidRPr="00232ACE">
              <w:rPr>
                <w:rFonts w:asciiTheme="minorHAnsi" w:hAnsiTheme="minorHAnsi" w:cstheme="minorHAnsi"/>
                <w:color w:val="auto"/>
                <w:sz w:val="20"/>
                <w:szCs w:val="20"/>
              </w:rPr>
              <w:t>Vigilantia</w:t>
            </w:r>
            <w:proofErr w:type="spellEnd"/>
            <w:r w:rsidRPr="00232ACE">
              <w:rPr>
                <w:rFonts w:asciiTheme="minorHAnsi" w:hAnsiTheme="minorHAnsi" w:cstheme="minorHAnsi"/>
                <w:color w:val="auto"/>
                <w:sz w:val="20"/>
                <w:szCs w:val="20"/>
              </w:rPr>
              <w:t xml:space="preserve">, 25 in </w:t>
            </w:r>
            <w:proofErr w:type="spellStart"/>
            <w:r w:rsidRPr="00232ACE">
              <w:rPr>
                <w:rFonts w:asciiTheme="minorHAnsi" w:hAnsiTheme="minorHAnsi" w:cstheme="minorHAnsi"/>
                <w:color w:val="auto"/>
                <w:sz w:val="20"/>
                <w:szCs w:val="20"/>
              </w:rPr>
              <w:t>Leidingen</w:t>
            </w:r>
            <w:proofErr w:type="spellEnd"/>
            <w:r w:rsidRPr="00232ACE">
              <w:rPr>
                <w:rFonts w:asciiTheme="minorHAnsi" w:hAnsiTheme="minorHAnsi" w:cstheme="minorHAnsi"/>
                <w:color w:val="auto"/>
                <w:sz w:val="20"/>
                <w:szCs w:val="20"/>
              </w:rPr>
              <w:t xml:space="preserve">). After initiating works for the first 20km in La </w:t>
            </w:r>
            <w:proofErr w:type="spellStart"/>
            <w:r w:rsidRPr="00232ACE">
              <w:rPr>
                <w:rFonts w:asciiTheme="minorHAnsi" w:hAnsiTheme="minorHAnsi" w:cstheme="minorHAnsi"/>
                <w:color w:val="auto"/>
                <w:sz w:val="20"/>
                <w:szCs w:val="20"/>
              </w:rPr>
              <w:t>Vigilantia</w:t>
            </w:r>
            <w:proofErr w:type="spellEnd"/>
            <w:r w:rsidRPr="00232ACE">
              <w:rPr>
                <w:rFonts w:asciiTheme="minorHAnsi" w:hAnsiTheme="minorHAnsi" w:cstheme="minorHAnsi"/>
                <w:color w:val="auto"/>
                <w:sz w:val="20"/>
                <w:szCs w:val="20"/>
              </w:rPr>
              <w:t>, the EA decided to reduce the amount of km of pipes re-laid to 11 km</w:t>
            </w:r>
            <w:r w:rsidRPr="00232ACE">
              <w:rPr>
                <w:rStyle w:val="FootnoteReference"/>
                <w:rFonts w:cstheme="minorHAnsi"/>
                <w:color w:val="auto"/>
                <w:sz w:val="20"/>
                <w:szCs w:val="20"/>
              </w:rPr>
              <w:footnoteReference w:id="1"/>
            </w:r>
            <w:r w:rsidRPr="00232ACE">
              <w:rPr>
                <w:rFonts w:asciiTheme="minorHAnsi" w:hAnsiTheme="minorHAnsi" w:cstheme="minorHAnsi"/>
                <w:color w:val="auto"/>
                <w:sz w:val="20"/>
                <w:szCs w:val="20"/>
              </w:rPr>
              <w:t xml:space="preserve"> and increase the km of asbestos pipes replaced.</w:t>
            </w:r>
          </w:p>
        </w:tc>
        <w:tc>
          <w:tcPr>
            <w:tcW w:w="1158"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March 2016</w:t>
            </w:r>
          </w:p>
        </w:tc>
        <w:tc>
          <w:tcPr>
            <w:tcW w:w="1203" w:type="dxa"/>
            <w:tcBorders>
              <w:top w:val="single" w:sz="4" w:space="0" w:color="auto"/>
              <w:left w:val="dotted" w:sz="4" w:space="0" w:color="auto"/>
              <w:bottom w:val="single" w:sz="4" w:space="0" w:color="auto"/>
              <w:right w:val="nil"/>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 xml:space="preserve">Feb 2016 </w:t>
            </w:r>
          </w:p>
        </w:tc>
      </w:tr>
      <w:tr w:rsidR="00D61444"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Outputs</w:t>
            </w:r>
          </w:p>
        </w:tc>
        <w:tc>
          <w:tcPr>
            <w:tcW w:w="1606"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 xml:space="preserve">1.4 Micro-meters installed in </w:t>
            </w:r>
            <w:proofErr w:type="spellStart"/>
            <w:r w:rsidRPr="00232ACE">
              <w:rPr>
                <w:rFonts w:asciiTheme="minorHAnsi" w:hAnsiTheme="minorHAnsi" w:cstheme="minorHAnsi"/>
              </w:rPr>
              <w:t>Wanica</w:t>
            </w:r>
            <w:proofErr w:type="spellEnd"/>
            <w:r w:rsidRPr="00232ACE">
              <w:rPr>
                <w:rFonts w:asciiTheme="minorHAnsi" w:hAnsiTheme="minorHAnsi" w:cstheme="minorHAnsi"/>
              </w:rPr>
              <w:t xml:space="preserve"> and Para</w:t>
            </w:r>
          </w:p>
        </w:tc>
        <w:tc>
          <w:tcPr>
            <w:tcW w:w="115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rPr>
                <w:rFonts w:asciiTheme="minorHAnsi" w:hAnsiTheme="minorHAnsi" w:cstheme="minorHAnsi"/>
              </w:rPr>
            </w:pPr>
            <w:r w:rsidRPr="00232ACE">
              <w:rPr>
                <w:rFonts w:asciiTheme="minorHAnsi" w:hAnsiTheme="minorHAnsi" w:cstheme="minorHAnsi"/>
              </w:rPr>
              <w:t>Eliminated</w:t>
            </w:r>
          </w:p>
        </w:tc>
        <w:tc>
          <w:tcPr>
            <w:tcW w:w="11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3,000</w:t>
            </w:r>
          </w:p>
        </w:tc>
        <w:tc>
          <w:tcPr>
            <w:tcW w:w="1397"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3090"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The output was eliminated to avoid repetition given the nature of output 1.4 was similar in scope and geographic location.</w:t>
            </w:r>
          </w:p>
        </w:tc>
        <w:tc>
          <w:tcPr>
            <w:tcW w:w="1158" w:type="dxa"/>
            <w:tcBorders>
              <w:top w:val="single" w:sz="4" w:space="0" w:color="auto"/>
              <w:left w:val="dotted" w:sz="4" w:space="0" w:color="auto"/>
              <w:bottom w:val="single" w:sz="4" w:space="0" w:color="auto"/>
              <w:right w:val="dotted" w:sz="4" w:space="0" w:color="auto"/>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March 2016</w:t>
            </w:r>
          </w:p>
        </w:tc>
        <w:tc>
          <w:tcPr>
            <w:tcW w:w="1203" w:type="dxa"/>
            <w:tcBorders>
              <w:top w:val="single" w:sz="4" w:space="0" w:color="auto"/>
              <w:left w:val="dotted" w:sz="4" w:space="0" w:color="auto"/>
              <w:bottom w:val="single" w:sz="4" w:space="0" w:color="auto"/>
              <w:right w:val="nil"/>
            </w:tcBorders>
          </w:tcPr>
          <w:p w:rsidR="00D61444" w:rsidRPr="00232ACE" w:rsidRDefault="00D61444" w:rsidP="0078756A">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Feb 2016</w:t>
            </w:r>
          </w:p>
        </w:tc>
      </w:tr>
      <w:tr w:rsidR="00564632" w:rsidRPr="00232ACE" w:rsidTr="00654D1D">
        <w:trPr>
          <w:cantSplit/>
          <w:trHeight w:val="305"/>
        </w:trPr>
        <w:tc>
          <w:tcPr>
            <w:tcW w:w="1169" w:type="dxa"/>
            <w:tcBorders>
              <w:top w:val="single" w:sz="4" w:space="0" w:color="auto"/>
              <w:left w:val="nil"/>
              <w:bottom w:val="single" w:sz="4" w:space="0" w:color="auto"/>
              <w:right w:val="dotted" w:sz="4" w:space="0" w:color="auto"/>
            </w:tcBorders>
          </w:tcPr>
          <w:p w:rsidR="00564632" w:rsidRPr="00232ACE" w:rsidRDefault="00564632" w:rsidP="00654D1D">
            <w:pPr>
              <w:rPr>
                <w:rFonts w:asciiTheme="minorHAnsi" w:hAnsiTheme="minorHAnsi" w:cstheme="minorHAnsi"/>
              </w:rPr>
            </w:pPr>
            <w:r w:rsidRPr="00232ACE">
              <w:rPr>
                <w:rFonts w:asciiTheme="minorHAnsi" w:hAnsiTheme="minorHAnsi" w:cstheme="minorHAnsi"/>
              </w:rPr>
              <w:t>Outputs</w:t>
            </w:r>
          </w:p>
        </w:tc>
        <w:tc>
          <w:tcPr>
            <w:tcW w:w="1606" w:type="dxa"/>
            <w:tcBorders>
              <w:top w:val="single" w:sz="4" w:space="0" w:color="auto"/>
              <w:left w:val="dotted" w:sz="4" w:space="0" w:color="auto"/>
              <w:bottom w:val="single" w:sz="4" w:space="0" w:color="auto"/>
              <w:right w:val="dotted" w:sz="4" w:space="0" w:color="auto"/>
            </w:tcBorders>
          </w:tcPr>
          <w:p w:rsidR="00564632" w:rsidRPr="00232ACE" w:rsidRDefault="00564632" w:rsidP="00654D1D">
            <w:pPr>
              <w:rPr>
                <w:rFonts w:asciiTheme="minorHAnsi" w:hAnsiTheme="minorHAnsi" w:cstheme="minorHAnsi"/>
              </w:rPr>
            </w:pPr>
            <w:r w:rsidRPr="00232ACE">
              <w:rPr>
                <w:rFonts w:asciiTheme="minorHAnsi" w:hAnsiTheme="minorHAnsi" w:cstheme="minorHAnsi"/>
              </w:rPr>
              <w:t xml:space="preserve">2.1 </w:t>
            </w:r>
            <w:hyperlink r:id="rId6" w:history="1">
              <w:r w:rsidRPr="00232ACE">
                <w:rPr>
                  <w:rFonts w:asciiTheme="minorHAnsi" w:hAnsiTheme="minorHAnsi" w:cstheme="minorHAnsi"/>
                </w:rPr>
                <w:t xml:space="preserve">Flow and pressure meters installed </w:t>
              </w:r>
            </w:hyperlink>
          </w:p>
        </w:tc>
        <w:tc>
          <w:tcPr>
            <w:tcW w:w="1150" w:type="dxa"/>
            <w:tcBorders>
              <w:top w:val="single" w:sz="4" w:space="0" w:color="auto"/>
              <w:left w:val="dotted" w:sz="4" w:space="0" w:color="auto"/>
              <w:bottom w:val="single" w:sz="4" w:space="0" w:color="auto"/>
              <w:right w:val="dotted" w:sz="4" w:space="0" w:color="auto"/>
            </w:tcBorders>
          </w:tcPr>
          <w:p w:rsidR="00564632" w:rsidRPr="00232ACE" w:rsidRDefault="00564632" w:rsidP="00654D1D">
            <w:pPr>
              <w:rPr>
                <w:rFonts w:asciiTheme="minorHAnsi" w:hAnsiTheme="minorHAnsi" w:cstheme="minorHAnsi"/>
              </w:rPr>
            </w:pPr>
            <w:r w:rsidRPr="00232ACE">
              <w:rPr>
                <w:rFonts w:asciiTheme="minorHAnsi" w:hAnsiTheme="minorHAnsi" w:cstheme="minorHAnsi"/>
              </w:rPr>
              <w:t>End of project target</w:t>
            </w:r>
          </w:p>
        </w:tc>
        <w:tc>
          <w:tcPr>
            <w:tcW w:w="1197" w:type="dxa"/>
            <w:tcBorders>
              <w:top w:val="single" w:sz="4" w:space="0" w:color="auto"/>
              <w:left w:val="dotted" w:sz="4" w:space="0" w:color="auto"/>
              <w:bottom w:val="single" w:sz="4" w:space="0" w:color="auto"/>
              <w:right w:val="dotted" w:sz="4" w:space="0" w:color="auto"/>
            </w:tcBorders>
          </w:tcPr>
          <w:p w:rsidR="00564632" w:rsidRPr="00232ACE" w:rsidRDefault="00564632" w:rsidP="00654D1D">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564632" w:rsidRPr="00232ACE" w:rsidRDefault="00564632" w:rsidP="00654D1D">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80</w:t>
            </w:r>
          </w:p>
        </w:tc>
        <w:tc>
          <w:tcPr>
            <w:tcW w:w="1397" w:type="dxa"/>
            <w:tcBorders>
              <w:top w:val="single" w:sz="4" w:space="0" w:color="auto"/>
              <w:left w:val="dotted" w:sz="4" w:space="0" w:color="auto"/>
              <w:bottom w:val="single" w:sz="4" w:space="0" w:color="auto"/>
              <w:right w:val="dotted" w:sz="4" w:space="0" w:color="auto"/>
            </w:tcBorders>
          </w:tcPr>
          <w:p w:rsidR="00564632" w:rsidRPr="00232ACE" w:rsidRDefault="00564632" w:rsidP="00654D1D">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101</w:t>
            </w:r>
          </w:p>
        </w:tc>
        <w:tc>
          <w:tcPr>
            <w:tcW w:w="3090" w:type="dxa"/>
            <w:tcBorders>
              <w:top w:val="single" w:sz="4" w:space="0" w:color="auto"/>
              <w:left w:val="dotted" w:sz="4" w:space="0" w:color="auto"/>
              <w:bottom w:val="single" w:sz="4" w:space="0" w:color="auto"/>
              <w:right w:val="dotted" w:sz="4" w:space="0" w:color="auto"/>
            </w:tcBorders>
          </w:tcPr>
          <w:p w:rsidR="00564632" w:rsidRPr="00232ACE" w:rsidRDefault="00564632" w:rsidP="00654D1D">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The end of project target was modified to a realistic amount considering real costs</w:t>
            </w:r>
          </w:p>
        </w:tc>
        <w:tc>
          <w:tcPr>
            <w:tcW w:w="1158" w:type="dxa"/>
            <w:tcBorders>
              <w:top w:val="single" w:sz="4" w:space="0" w:color="auto"/>
              <w:left w:val="dotted" w:sz="4" w:space="0" w:color="auto"/>
              <w:bottom w:val="single" w:sz="4" w:space="0" w:color="auto"/>
              <w:right w:val="dotted" w:sz="4" w:space="0" w:color="auto"/>
            </w:tcBorders>
          </w:tcPr>
          <w:p w:rsidR="00564632" w:rsidRPr="00232ACE" w:rsidRDefault="00564632" w:rsidP="00654D1D">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March 2016</w:t>
            </w:r>
          </w:p>
        </w:tc>
        <w:tc>
          <w:tcPr>
            <w:tcW w:w="1203" w:type="dxa"/>
            <w:tcBorders>
              <w:top w:val="single" w:sz="4" w:space="0" w:color="auto"/>
              <w:left w:val="dotted" w:sz="4" w:space="0" w:color="auto"/>
              <w:bottom w:val="single" w:sz="4" w:space="0" w:color="auto"/>
              <w:right w:val="nil"/>
            </w:tcBorders>
          </w:tcPr>
          <w:p w:rsidR="00564632" w:rsidRPr="00232ACE" w:rsidRDefault="00564632" w:rsidP="00654D1D">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 xml:space="preserve">Feb 2016 </w:t>
            </w:r>
          </w:p>
        </w:tc>
      </w:tr>
      <w:tr w:rsidR="00564632"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Outputs</w:t>
            </w:r>
          </w:p>
        </w:tc>
        <w:tc>
          <w:tcPr>
            <w:tcW w:w="1606"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2.2. SWM staff trained on NRW</w:t>
            </w:r>
          </w:p>
        </w:tc>
        <w:tc>
          <w:tcPr>
            <w:tcW w:w="115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End of project target</w:t>
            </w:r>
          </w:p>
        </w:tc>
        <w:tc>
          <w:tcPr>
            <w:tcW w:w="11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10</w:t>
            </w:r>
          </w:p>
        </w:tc>
        <w:tc>
          <w:tcPr>
            <w:tcW w:w="13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15</w:t>
            </w:r>
          </w:p>
        </w:tc>
        <w:tc>
          <w:tcPr>
            <w:tcW w:w="30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The end of project target was modified to a realistic amount considering the number of persons taking part on the training.</w:t>
            </w:r>
          </w:p>
        </w:tc>
        <w:tc>
          <w:tcPr>
            <w:tcW w:w="1158"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March 2016</w:t>
            </w:r>
          </w:p>
        </w:tc>
        <w:tc>
          <w:tcPr>
            <w:tcW w:w="1203" w:type="dxa"/>
            <w:tcBorders>
              <w:top w:val="single" w:sz="4" w:space="0" w:color="auto"/>
              <w:left w:val="dotted" w:sz="4" w:space="0" w:color="auto"/>
              <w:bottom w:val="single" w:sz="4" w:space="0" w:color="auto"/>
              <w:right w:val="nil"/>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Feb 2016</w:t>
            </w:r>
          </w:p>
        </w:tc>
      </w:tr>
      <w:tr w:rsidR="00564632"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Outputs</w:t>
            </w:r>
          </w:p>
        </w:tc>
        <w:tc>
          <w:tcPr>
            <w:tcW w:w="1606"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2.3 Final designs for civil works (on network rehabilitation and interventions related to Non-Revenue Water reduction) completed</w:t>
            </w:r>
          </w:p>
        </w:tc>
        <w:tc>
          <w:tcPr>
            <w:tcW w:w="115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Statement modified</w:t>
            </w:r>
          </w:p>
        </w:tc>
        <w:tc>
          <w:tcPr>
            <w:tcW w:w="11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w:t>
            </w:r>
          </w:p>
        </w:tc>
        <w:tc>
          <w:tcPr>
            <w:tcW w:w="13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30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The NRW interventions were focused on metering, enhancing the telemetry system for pressure and flow monitoring, and creation of DMAs. It did not involve the design of network rehabilitation interventions. The description of the output was modified to NRW Action Plan (on interventions related to Non-Revenue Water reduction) completed.</w:t>
            </w:r>
          </w:p>
        </w:tc>
        <w:tc>
          <w:tcPr>
            <w:tcW w:w="1158"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August 2016</w:t>
            </w:r>
          </w:p>
        </w:tc>
        <w:tc>
          <w:tcPr>
            <w:tcW w:w="1203" w:type="dxa"/>
            <w:tcBorders>
              <w:top w:val="single" w:sz="4" w:space="0" w:color="auto"/>
              <w:left w:val="dotted" w:sz="4" w:space="0" w:color="auto"/>
              <w:bottom w:val="single" w:sz="4" w:space="0" w:color="auto"/>
              <w:right w:val="nil"/>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June 2016</w:t>
            </w:r>
          </w:p>
        </w:tc>
      </w:tr>
      <w:tr w:rsidR="00564632"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Outputs</w:t>
            </w:r>
          </w:p>
        </w:tc>
        <w:tc>
          <w:tcPr>
            <w:tcW w:w="1606"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4.1 Suriname Water Company (SWM) Staff trained on energy efficiency</w:t>
            </w:r>
          </w:p>
        </w:tc>
        <w:tc>
          <w:tcPr>
            <w:tcW w:w="115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End of project target</w:t>
            </w:r>
          </w:p>
          <w:p w:rsidR="00564632" w:rsidRPr="00232ACE" w:rsidRDefault="00564632" w:rsidP="00564632">
            <w:pPr>
              <w:rPr>
                <w:rFonts w:asciiTheme="minorHAnsi" w:hAnsiTheme="minorHAnsi" w:cstheme="minorHAnsi"/>
              </w:rPr>
            </w:pPr>
          </w:p>
          <w:p w:rsidR="00564632" w:rsidRPr="00232ACE" w:rsidRDefault="00564632" w:rsidP="00564632">
            <w:pPr>
              <w:rPr>
                <w:rFonts w:asciiTheme="minorHAnsi" w:hAnsiTheme="minorHAnsi" w:cstheme="minorHAnsi"/>
              </w:rPr>
            </w:pPr>
            <w:r w:rsidRPr="00232ACE">
              <w:rPr>
                <w:rFonts w:asciiTheme="minorHAnsi" w:hAnsiTheme="minorHAnsi" w:cstheme="minorHAnsi"/>
              </w:rPr>
              <w:t>Output statement</w:t>
            </w:r>
          </w:p>
        </w:tc>
        <w:tc>
          <w:tcPr>
            <w:tcW w:w="11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15</w:t>
            </w:r>
          </w:p>
        </w:tc>
        <w:tc>
          <w:tcPr>
            <w:tcW w:w="13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21</w:t>
            </w:r>
          </w:p>
        </w:tc>
        <w:tc>
          <w:tcPr>
            <w:tcW w:w="30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The EA requested to have separated outputs for the O&amp;M training and the energy efficiency training.</w:t>
            </w:r>
          </w:p>
          <w:p w:rsidR="00564632" w:rsidRPr="00232ACE" w:rsidRDefault="00564632" w:rsidP="00564632">
            <w:pPr>
              <w:pStyle w:val="Default"/>
              <w:rPr>
                <w:rFonts w:asciiTheme="minorHAnsi" w:hAnsiTheme="minorHAnsi" w:cstheme="minorHAnsi"/>
                <w:color w:val="auto"/>
                <w:sz w:val="20"/>
                <w:szCs w:val="20"/>
              </w:rPr>
            </w:pPr>
          </w:p>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The end of project target was modified to a realistic amount considering the number of persons taking part on the training.</w:t>
            </w:r>
          </w:p>
        </w:tc>
        <w:tc>
          <w:tcPr>
            <w:tcW w:w="1158"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March 2013</w:t>
            </w:r>
          </w:p>
        </w:tc>
        <w:tc>
          <w:tcPr>
            <w:tcW w:w="1203" w:type="dxa"/>
            <w:tcBorders>
              <w:top w:val="single" w:sz="4" w:space="0" w:color="auto"/>
              <w:left w:val="dotted" w:sz="4" w:space="0" w:color="auto"/>
              <w:bottom w:val="single" w:sz="4" w:space="0" w:color="auto"/>
              <w:right w:val="nil"/>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Feb 2013</w:t>
            </w:r>
          </w:p>
        </w:tc>
      </w:tr>
      <w:tr w:rsidR="00564632"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Outputs</w:t>
            </w:r>
          </w:p>
        </w:tc>
        <w:tc>
          <w:tcPr>
            <w:tcW w:w="1606"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 xml:space="preserve">4.2. </w:t>
            </w:r>
            <w:hyperlink r:id="rId7" w:history="1">
              <w:r w:rsidRPr="00232ACE">
                <w:rPr>
                  <w:rStyle w:val="Hyperlink"/>
                  <w:rFonts w:asciiTheme="minorHAnsi" w:hAnsiTheme="minorHAnsi" w:cstheme="minorHAnsi"/>
                  <w:color w:val="auto"/>
                </w:rPr>
                <w:t xml:space="preserve">Department for Water Supply under the Ministry of Natural Resources (NH/DWC) Staff trained on water quality </w:t>
              </w:r>
            </w:hyperlink>
          </w:p>
        </w:tc>
        <w:tc>
          <w:tcPr>
            <w:tcW w:w="115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End of project target</w:t>
            </w:r>
          </w:p>
          <w:p w:rsidR="00564632" w:rsidRPr="00232ACE" w:rsidRDefault="00564632" w:rsidP="00564632">
            <w:pPr>
              <w:rPr>
                <w:rFonts w:asciiTheme="minorHAnsi" w:hAnsiTheme="minorHAnsi" w:cstheme="minorHAnsi"/>
              </w:rPr>
            </w:pPr>
          </w:p>
        </w:tc>
        <w:tc>
          <w:tcPr>
            <w:tcW w:w="11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5</w:t>
            </w:r>
          </w:p>
        </w:tc>
        <w:tc>
          <w:tcPr>
            <w:tcW w:w="13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20</w:t>
            </w:r>
          </w:p>
        </w:tc>
        <w:tc>
          <w:tcPr>
            <w:tcW w:w="30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The end of project target was modified to a realistic amount considering the number of persons taking part on the training.</w:t>
            </w:r>
          </w:p>
        </w:tc>
        <w:tc>
          <w:tcPr>
            <w:tcW w:w="1158"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March 2013</w:t>
            </w:r>
          </w:p>
        </w:tc>
        <w:tc>
          <w:tcPr>
            <w:tcW w:w="1203" w:type="dxa"/>
            <w:tcBorders>
              <w:top w:val="single" w:sz="4" w:space="0" w:color="auto"/>
              <w:left w:val="dotted" w:sz="4" w:space="0" w:color="auto"/>
              <w:bottom w:val="single" w:sz="4" w:space="0" w:color="auto"/>
              <w:right w:val="nil"/>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Feb 2013</w:t>
            </w:r>
          </w:p>
        </w:tc>
      </w:tr>
      <w:tr w:rsidR="00564632"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Outputs</w:t>
            </w:r>
          </w:p>
        </w:tc>
        <w:tc>
          <w:tcPr>
            <w:tcW w:w="1606"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4.5 Suriname Water Company (SWM) Staff trained on Operation and Maintenance (O&amp;M)</w:t>
            </w:r>
          </w:p>
        </w:tc>
        <w:tc>
          <w:tcPr>
            <w:tcW w:w="115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Added output</w:t>
            </w:r>
          </w:p>
        </w:tc>
        <w:tc>
          <w:tcPr>
            <w:tcW w:w="11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3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20</w:t>
            </w:r>
          </w:p>
        </w:tc>
        <w:tc>
          <w:tcPr>
            <w:tcW w:w="30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 xml:space="preserve">The EA </w:t>
            </w:r>
            <w:bookmarkStart w:id="1" w:name="_Hlk515353567"/>
            <w:r w:rsidRPr="00232ACE">
              <w:rPr>
                <w:rFonts w:asciiTheme="minorHAnsi" w:hAnsiTheme="minorHAnsi" w:cstheme="minorHAnsi"/>
                <w:color w:val="auto"/>
                <w:sz w:val="20"/>
                <w:szCs w:val="20"/>
              </w:rPr>
              <w:t>requested to have separated outputs for the O&amp;M training and the energy efficiency training.</w:t>
            </w:r>
            <w:bookmarkEnd w:id="1"/>
          </w:p>
          <w:p w:rsidR="00564632" w:rsidRPr="00232ACE" w:rsidRDefault="00564632" w:rsidP="00564632">
            <w:pPr>
              <w:pStyle w:val="Default"/>
              <w:rPr>
                <w:rFonts w:asciiTheme="minorHAnsi" w:hAnsiTheme="minorHAnsi" w:cstheme="minorHAnsi"/>
                <w:color w:val="auto"/>
                <w:sz w:val="20"/>
                <w:szCs w:val="20"/>
              </w:rPr>
            </w:pPr>
          </w:p>
        </w:tc>
        <w:tc>
          <w:tcPr>
            <w:tcW w:w="1158"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March 2013</w:t>
            </w:r>
          </w:p>
        </w:tc>
        <w:tc>
          <w:tcPr>
            <w:tcW w:w="1203" w:type="dxa"/>
            <w:tcBorders>
              <w:top w:val="single" w:sz="4" w:space="0" w:color="auto"/>
              <w:left w:val="dotted" w:sz="4" w:space="0" w:color="auto"/>
              <w:bottom w:val="single" w:sz="4" w:space="0" w:color="auto"/>
              <w:right w:val="nil"/>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Feb 2013</w:t>
            </w:r>
          </w:p>
        </w:tc>
      </w:tr>
      <w:tr w:rsidR="00564632"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Outputs</w:t>
            </w:r>
          </w:p>
        </w:tc>
        <w:tc>
          <w:tcPr>
            <w:tcW w:w="1606"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4.3 Management Information System upgrades completed</w:t>
            </w:r>
          </w:p>
        </w:tc>
        <w:tc>
          <w:tcPr>
            <w:tcW w:w="115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Output statement</w:t>
            </w:r>
          </w:p>
          <w:p w:rsidR="00564632" w:rsidRPr="00232ACE" w:rsidRDefault="00564632" w:rsidP="00564632">
            <w:pPr>
              <w:rPr>
                <w:rFonts w:asciiTheme="minorHAnsi" w:hAnsiTheme="minorHAnsi" w:cstheme="minorHAnsi"/>
              </w:rPr>
            </w:pPr>
          </w:p>
          <w:p w:rsidR="00564632" w:rsidRPr="00232ACE" w:rsidRDefault="00564632" w:rsidP="00564632">
            <w:pPr>
              <w:rPr>
                <w:rFonts w:asciiTheme="minorHAnsi" w:hAnsiTheme="minorHAnsi" w:cstheme="minorHAnsi"/>
              </w:rPr>
            </w:pPr>
            <w:r w:rsidRPr="00232ACE">
              <w:rPr>
                <w:rFonts w:asciiTheme="minorHAnsi" w:hAnsiTheme="minorHAnsi" w:cstheme="minorHAnsi"/>
              </w:rPr>
              <w:t>End of project target</w:t>
            </w:r>
          </w:p>
        </w:tc>
        <w:tc>
          <w:tcPr>
            <w:tcW w:w="11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1</w:t>
            </w:r>
          </w:p>
        </w:tc>
        <w:tc>
          <w:tcPr>
            <w:tcW w:w="13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2</w:t>
            </w:r>
          </w:p>
        </w:tc>
        <w:tc>
          <w:tcPr>
            <w:tcW w:w="30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 xml:space="preserve">The EA hired a consultant to inform the steps to be taking to integrate the MIS. The consultant recommended the upgrade of MIS systems prior to the integration. The output statement was changed to reflect this new direction. Also, the end of project target was adjusted accordingly. </w:t>
            </w:r>
          </w:p>
        </w:tc>
        <w:tc>
          <w:tcPr>
            <w:tcW w:w="1158"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August 2016</w:t>
            </w:r>
          </w:p>
        </w:tc>
        <w:tc>
          <w:tcPr>
            <w:tcW w:w="1203" w:type="dxa"/>
            <w:tcBorders>
              <w:top w:val="single" w:sz="4" w:space="0" w:color="auto"/>
              <w:left w:val="dotted" w:sz="4" w:space="0" w:color="auto"/>
              <w:bottom w:val="single" w:sz="4" w:space="0" w:color="auto"/>
              <w:right w:val="nil"/>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June 2016</w:t>
            </w:r>
          </w:p>
        </w:tc>
      </w:tr>
      <w:tr w:rsidR="00564632" w:rsidRPr="00232ACE" w:rsidTr="004E098C">
        <w:trPr>
          <w:cantSplit/>
          <w:trHeight w:val="305"/>
        </w:trPr>
        <w:tc>
          <w:tcPr>
            <w:tcW w:w="1169" w:type="dxa"/>
            <w:tcBorders>
              <w:top w:val="single" w:sz="4" w:space="0" w:color="auto"/>
              <w:left w:val="nil"/>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Outputs</w:t>
            </w:r>
          </w:p>
        </w:tc>
        <w:tc>
          <w:tcPr>
            <w:tcW w:w="1606"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4.4 Information and Communication Technology (ICT) servers and server room upgraded</w:t>
            </w:r>
          </w:p>
        </w:tc>
        <w:tc>
          <w:tcPr>
            <w:tcW w:w="115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rPr>
                <w:rFonts w:asciiTheme="minorHAnsi" w:hAnsiTheme="minorHAnsi" w:cstheme="minorHAnsi"/>
              </w:rPr>
            </w:pPr>
            <w:r w:rsidRPr="00232ACE">
              <w:rPr>
                <w:rFonts w:asciiTheme="minorHAnsi" w:hAnsiTheme="minorHAnsi" w:cstheme="minorHAnsi"/>
              </w:rPr>
              <w:t>Output statement</w:t>
            </w:r>
          </w:p>
        </w:tc>
        <w:tc>
          <w:tcPr>
            <w:tcW w:w="11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0</w:t>
            </w:r>
          </w:p>
        </w:tc>
        <w:tc>
          <w:tcPr>
            <w:tcW w:w="11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2</w:t>
            </w:r>
          </w:p>
        </w:tc>
        <w:tc>
          <w:tcPr>
            <w:tcW w:w="1397"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2</w:t>
            </w:r>
          </w:p>
        </w:tc>
        <w:tc>
          <w:tcPr>
            <w:tcW w:w="3090"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The EA hired a consultant to inform the ICT activities, the consultant recommended also upgrading the server room to ensure adequate conditions for the operation and maintenance of the servers. The output statement was adjusted to reflect this direction.</w:t>
            </w:r>
          </w:p>
        </w:tc>
        <w:tc>
          <w:tcPr>
            <w:tcW w:w="1158" w:type="dxa"/>
            <w:tcBorders>
              <w:top w:val="single" w:sz="4" w:space="0" w:color="auto"/>
              <w:left w:val="dotted" w:sz="4" w:space="0" w:color="auto"/>
              <w:bottom w:val="single" w:sz="4" w:space="0" w:color="auto"/>
              <w:right w:val="dotted" w:sz="4" w:space="0" w:color="auto"/>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August 2016</w:t>
            </w:r>
          </w:p>
        </w:tc>
        <w:tc>
          <w:tcPr>
            <w:tcW w:w="1203" w:type="dxa"/>
            <w:tcBorders>
              <w:top w:val="single" w:sz="4" w:space="0" w:color="auto"/>
              <w:left w:val="dotted" w:sz="4" w:space="0" w:color="auto"/>
              <w:bottom w:val="single" w:sz="4" w:space="0" w:color="auto"/>
              <w:right w:val="nil"/>
            </w:tcBorders>
          </w:tcPr>
          <w:p w:rsidR="00564632" w:rsidRPr="00232ACE" w:rsidRDefault="00564632" w:rsidP="00564632">
            <w:pPr>
              <w:pStyle w:val="Default"/>
              <w:rPr>
                <w:rFonts w:asciiTheme="minorHAnsi" w:hAnsiTheme="minorHAnsi" w:cstheme="minorHAnsi"/>
                <w:color w:val="auto"/>
                <w:sz w:val="20"/>
                <w:szCs w:val="20"/>
              </w:rPr>
            </w:pPr>
            <w:r w:rsidRPr="00232ACE">
              <w:rPr>
                <w:rFonts w:asciiTheme="minorHAnsi" w:hAnsiTheme="minorHAnsi" w:cstheme="minorHAnsi"/>
                <w:color w:val="auto"/>
                <w:sz w:val="20"/>
                <w:szCs w:val="20"/>
              </w:rPr>
              <w:t>June 2016</w:t>
            </w:r>
          </w:p>
        </w:tc>
      </w:tr>
    </w:tbl>
    <w:p w:rsidR="00D61444" w:rsidRPr="00D61444" w:rsidRDefault="00D61444"/>
    <w:sectPr w:rsidR="00D61444" w:rsidRPr="00D61444" w:rsidSect="00D6144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7EE1" w:rsidRDefault="00787EE1" w:rsidP="00D61444">
      <w:pPr>
        <w:spacing w:after="0" w:line="240" w:lineRule="auto"/>
      </w:pPr>
      <w:r>
        <w:separator/>
      </w:r>
    </w:p>
  </w:endnote>
  <w:endnote w:type="continuationSeparator" w:id="0">
    <w:p w:rsidR="00787EE1" w:rsidRDefault="00787EE1" w:rsidP="00D61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ans-Regular">
    <w:altName w:val="Calibri"/>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7EE1" w:rsidRDefault="00787EE1" w:rsidP="00D61444">
      <w:pPr>
        <w:spacing w:after="0" w:line="240" w:lineRule="auto"/>
      </w:pPr>
      <w:r>
        <w:separator/>
      </w:r>
    </w:p>
  </w:footnote>
  <w:footnote w:type="continuationSeparator" w:id="0">
    <w:p w:rsidR="00787EE1" w:rsidRDefault="00787EE1" w:rsidP="00D61444">
      <w:pPr>
        <w:spacing w:after="0" w:line="240" w:lineRule="auto"/>
      </w:pPr>
      <w:r>
        <w:continuationSeparator/>
      </w:r>
    </w:p>
  </w:footnote>
  <w:footnote w:id="1">
    <w:p w:rsidR="00D61444" w:rsidRPr="00724293" w:rsidRDefault="00D61444" w:rsidP="00D61444">
      <w:pPr>
        <w:pStyle w:val="FootnoteText"/>
      </w:pPr>
      <w:r w:rsidRPr="00724293">
        <w:rPr>
          <w:rStyle w:val="FootnoteReference"/>
          <w:rFonts w:ascii="Arial" w:hAnsi="Arial" w:cs="Arial"/>
          <w:sz w:val="16"/>
        </w:rPr>
        <w:footnoteRef/>
      </w:r>
      <w:r w:rsidRPr="00724293">
        <w:rPr>
          <w:rFonts w:ascii="Arial" w:hAnsi="Arial" w:cs="Arial"/>
          <w:sz w:val="16"/>
        </w:rPr>
        <w:t xml:space="preserve"> Cancellation of the deeper relaying </w:t>
      </w:r>
      <w:r>
        <w:rPr>
          <w:rFonts w:ascii="Arial" w:hAnsi="Arial" w:cs="Arial"/>
          <w:sz w:val="16"/>
        </w:rPr>
        <w:t>of pipes in La Vigilantia and Leidingen” was done considering several challenges: (i) some pipes where not re-laid due to safety reasons and proximity to electricity line poles; (ii) the conditions of the pipes were assessed as satisfactory to SWM; (iii) SWM would derive more benefits from replacement of asbestos pipes.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444"/>
    <w:rsid w:val="000464D0"/>
    <w:rsid w:val="000D7EF0"/>
    <w:rsid w:val="00196CF2"/>
    <w:rsid w:val="00232ACE"/>
    <w:rsid w:val="002407D8"/>
    <w:rsid w:val="00285601"/>
    <w:rsid w:val="002B25C4"/>
    <w:rsid w:val="002B3E87"/>
    <w:rsid w:val="00316DF9"/>
    <w:rsid w:val="00366FA0"/>
    <w:rsid w:val="00437416"/>
    <w:rsid w:val="00480128"/>
    <w:rsid w:val="004E098C"/>
    <w:rsid w:val="00503B16"/>
    <w:rsid w:val="00527AFB"/>
    <w:rsid w:val="00564632"/>
    <w:rsid w:val="006D5912"/>
    <w:rsid w:val="006F7DFF"/>
    <w:rsid w:val="00787EE1"/>
    <w:rsid w:val="00D61444"/>
    <w:rsid w:val="00DD335B"/>
    <w:rsid w:val="00EE30DA"/>
    <w:rsid w:val="00EF7ADB"/>
    <w:rsid w:val="00FD2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D295BC-3D03-414D-9F44-CACE5EF60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Ref. de nota al pie),titulo 2,Style 24,pie pddes,referencia nota al pie,Fußnotenzeichen DISS,ftref,FC"/>
    <w:basedOn w:val="DefaultParagraphFont"/>
    <w:qFormat/>
    <w:rsid w:val="006F7DFF"/>
    <w:rPr>
      <w:rFonts w:asciiTheme="minorHAnsi" w:hAnsiTheme="minorHAnsi" w:cs="Times New Roman"/>
      <w:sz w:val="22"/>
      <w:szCs w:val="16"/>
      <w:vertAlign w:val="superscript"/>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autoRedefine/>
    <w:unhideWhenUsed/>
    <w:qFormat/>
    <w:rsid w:val="00D61444"/>
    <w:pPr>
      <w:tabs>
        <w:tab w:val="left" w:pos="360"/>
      </w:tabs>
      <w:spacing w:after="0" w:line="240" w:lineRule="auto"/>
      <w:ind w:left="360" w:hanging="360"/>
      <w:jc w:val="both"/>
    </w:pPr>
    <w:rPr>
      <w:rFonts w:ascii="Times New Roman" w:hAnsi="Times New Roman"/>
      <w:sz w:val="20"/>
      <w:szCs w:val="24"/>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D61444"/>
    <w:rPr>
      <w:rFonts w:ascii="Times New Roman" w:hAnsi="Times New Roman"/>
      <w:sz w:val="20"/>
      <w:szCs w:val="24"/>
    </w:rPr>
  </w:style>
  <w:style w:type="paragraph" w:customStyle="1" w:styleId="Default">
    <w:name w:val="Default"/>
    <w:link w:val="DefaultChar"/>
    <w:rsid w:val="00D614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DefaultParagraphFont"/>
    <w:link w:val="Default"/>
    <w:locked/>
    <w:rsid w:val="00D61444"/>
    <w:rPr>
      <w:rFonts w:ascii="Times New Roman" w:hAnsi="Times New Roman" w:cs="Times New Roman"/>
      <w:color w:val="000000"/>
      <w:sz w:val="24"/>
      <w:szCs w:val="24"/>
    </w:rPr>
  </w:style>
  <w:style w:type="table" w:customStyle="1" w:styleId="TableGrid1">
    <w:name w:val="Table Grid1"/>
    <w:basedOn w:val="TableNormal"/>
    <w:uiPriority w:val="59"/>
    <w:rsid w:val="00D61444"/>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564632"/>
    <w:rPr>
      <w:rFonts w:ascii="OpenSans-Regular" w:hAnsi="OpenSans-Regular" w:hint="default"/>
      <w:strike w:val="0"/>
      <w:dstrike w:val="0"/>
      <w:color w:val="3B73C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voi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Alvarez Prado, Lourdes</dc:creator>
  <cp:keywords/>
  <dc:description/>
  <cp:lastModifiedBy>Cartin, Irene</cp:lastModifiedBy>
  <cp:revision>2</cp:revision>
  <dcterms:created xsi:type="dcterms:W3CDTF">2018-11-06T21:26:00Z</dcterms:created>
  <dcterms:modified xsi:type="dcterms:W3CDTF">2018-11-06T21:26:00Z</dcterms:modified>
</cp:coreProperties>
</file>