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A9BE0" w14:textId="2C728762" w:rsidR="00EA3629" w:rsidRDefault="00CD4E7E" w:rsidP="00FD4CEE">
      <w:pPr>
        <w:pStyle w:val="Paragraph"/>
        <w:numPr>
          <w:ilvl w:val="1"/>
          <w:numId w:val="5"/>
        </w:numPr>
        <w:tabs>
          <w:tab w:val="num" w:pos="720"/>
        </w:tabs>
        <w:autoSpaceDE w:val="0"/>
        <w:ind w:left="720" w:hanging="720"/>
      </w:pPr>
      <w:r w:rsidRPr="003050D4">
        <w:rPr>
          <w:b/>
        </w:rPr>
        <w:t xml:space="preserve">Evidencia </w:t>
      </w:r>
      <w:r w:rsidR="00FC21BA">
        <w:rPr>
          <w:b/>
        </w:rPr>
        <w:t>empírica</w:t>
      </w:r>
      <w:r w:rsidRPr="003050D4">
        <w:rPr>
          <w:b/>
        </w:rPr>
        <w:t>.</w:t>
      </w:r>
      <w:r w:rsidRPr="002914D1">
        <w:t xml:space="preserve"> </w:t>
      </w:r>
      <w:r w:rsidR="00FD4CEE" w:rsidRPr="00066AB8">
        <w:t xml:space="preserve">La evidencia del impacto de la eficiente </w:t>
      </w:r>
      <w:r w:rsidR="00FD4CEE" w:rsidRPr="00855AEF">
        <w:t>gestión</w:t>
      </w:r>
      <w:r w:rsidR="00FD4CEE" w:rsidRPr="00066AB8">
        <w:t xml:space="preserve"> fiscal en el </w:t>
      </w:r>
      <w:bookmarkStart w:id="0" w:name="_GoBack"/>
      <w:bookmarkEnd w:id="0"/>
      <w:r w:rsidR="00FD4CEE" w:rsidRPr="00066AB8">
        <w:t>crecimiento es a</w:t>
      </w:r>
      <w:r w:rsidR="00FD4CEE" w:rsidRPr="00855AEF">
        <w:t>m</w:t>
      </w:r>
      <w:r w:rsidR="00FD4CEE" w:rsidRPr="00066AB8">
        <w:t>plia</w:t>
      </w:r>
      <w:r w:rsidR="00FD4CEE" w:rsidRPr="00855AEF">
        <w:rPr>
          <w:rStyle w:val="FootnoteReference"/>
        </w:rPr>
        <w:footnoteReference w:id="1"/>
      </w:r>
      <w:r w:rsidR="00FD4CEE" w:rsidRPr="00855AEF">
        <w:t xml:space="preserve">, materializada a través de múltiples canales (incremento </w:t>
      </w:r>
      <w:r w:rsidR="00FD4CEE">
        <w:t xml:space="preserve">de </w:t>
      </w:r>
      <w:r w:rsidR="00FD4CEE" w:rsidRPr="00855AEF">
        <w:t>ahorro e inversión, cambio en incentivos de los agentes económicos, etc.). Más recientemente, la literatura se ha centrado en los efectos del endeudamiento público en el crecimiento (a través del incremento en los tipos de interés debido al aumento del riesgo soberano, en el impacto de las medidas de ajuste en recorte de gasto). A pesar de que dicha relación no es lineal</w:t>
      </w:r>
      <w:r w:rsidR="00FD4CEE" w:rsidRPr="00855AEF">
        <w:rPr>
          <w:rStyle w:val="FootnoteReference"/>
        </w:rPr>
        <w:footnoteReference w:id="2"/>
      </w:r>
      <w:r w:rsidR="00FD4CEE" w:rsidRPr="00855AEF">
        <w:t xml:space="preserve">, existe evidencia de que niveles de endeudamiento mayores al 60% para economías en desarrollo pueden </w:t>
      </w:r>
      <w:r w:rsidR="00FD4CEE">
        <w:t>generar importante inestabilidad fiscal</w:t>
      </w:r>
      <w:r w:rsidR="00FD4CEE" w:rsidRPr="00855AEF">
        <w:rPr>
          <w:rStyle w:val="FootnoteReference"/>
        </w:rPr>
        <w:footnoteReference w:id="3"/>
      </w:r>
      <w:r w:rsidR="00FD4CEE" w:rsidRPr="00855AEF">
        <w:t xml:space="preserve">, lo que, a su vez, tendría efectos sobre el crecimiento. De igual manera, marcos fiscales definidos a través de reglas numéricas, pueden reducir los niveles de </w:t>
      </w:r>
      <w:proofErr w:type="spellStart"/>
      <w:r w:rsidR="00FD4CEE" w:rsidRPr="00855AEF">
        <w:t>prociclicidad</w:t>
      </w:r>
      <w:proofErr w:type="spellEnd"/>
      <w:r w:rsidR="00FD4CEE" w:rsidRPr="00855AEF">
        <w:t xml:space="preserve"> de la política fiscal</w:t>
      </w:r>
      <w:r w:rsidR="00FD4CEE" w:rsidRPr="00855AEF">
        <w:rPr>
          <w:rStyle w:val="FootnoteReference"/>
        </w:rPr>
        <w:footnoteReference w:id="4"/>
      </w:r>
      <w:r w:rsidR="00FD4CEE" w:rsidRPr="00855AEF">
        <w:t>, pueden contribuir a reducir los déficits fiscales y contribuir a la sostenibilidad</w:t>
      </w:r>
      <w:r w:rsidR="00FD4CEE" w:rsidRPr="00855AEF">
        <w:rPr>
          <w:rStyle w:val="FootnoteReference"/>
        </w:rPr>
        <w:footnoteReference w:id="5"/>
      </w:r>
      <w:r w:rsidR="00FD4CEE">
        <w:rPr>
          <w:vertAlign w:val="superscript"/>
        </w:rPr>
        <w:t>,</w:t>
      </w:r>
      <w:r w:rsidR="00FD4CEE">
        <w:rPr>
          <w:rStyle w:val="FootnoteReference"/>
        </w:rPr>
        <w:footnoteReference w:id="6"/>
      </w:r>
      <w:r w:rsidR="00FD4CEE">
        <w:t>, en contextos de adecuada institucionalidad</w:t>
      </w:r>
      <w:r w:rsidR="00FD4CEE">
        <w:rPr>
          <w:rStyle w:val="FootnoteReference"/>
        </w:rPr>
        <w:footnoteReference w:id="7"/>
      </w:r>
      <w:r w:rsidR="00FD4CEE" w:rsidRPr="00855AEF">
        <w:t xml:space="preserve">. </w:t>
      </w:r>
    </w:p>
    <w:p w14:paraId="75557869" w14:textId="3D02FD42" w:rsidR="00E510A7" w:rsidRDefault="00FD4CEE" w:rsidP="00FD4CEE">
      <w:pPr>
        <w:pStyle w:val="Paragraph"/>
        <w:numPr>
          <w:ilvl w:val="1"/>
          <w:numId w:val="5"/>
        </w:numPr>
        <w:tabs>
          <w:tab w:val="num" w:pos="720"/>
        </w:tabs>
        <w:autoSpaceDE w:val="0"/>
        <w:ind w:left="720" w:hanging="720"/>
      </w:pPr>
      <w:r>
        <w:t>La evidencia reciente para la región apunta a que l</w:t>
      </w:r>
      <w:r w:rsidRPr="009B1D45">
        <w:t>os gobiernos de América Latina y el Caribe deben mejorar la política y la gestión del gasto, generando un gasto público inteligente que contribuya al crecimiento y a la equidad</w:t>
      </w:r>
      <w:r>
        <w:t>, pero tomando en cuenta la generación de ineficiencias técnicas y asignativas</w:t>
      </w:r>
      <w:r>
        <w:rPr>
          <w:rStyle w:val="FootnoteReference"/>
        </w:rPr>
        <w:footnoteReference w:id="8"/>
      </w:r>
      <w:r w:rsidRPr="009B1D45">
        <w:t>.</w:t>
      </w:r>
      <w:r>
        <w:t xml:space="preserve"> </w:t>
      </w:r>
      <w:r w:rsidRPr="00855AEF">
        <w:t>La evidencia también muestra la necesidad de evitar que el recorte al gasto público se centre exclusivamente en el gasto de inversión, lo que tiene un impacto más perjudicial en el crecimiento</w:t>
      </w:r>
      <w:r w:rsidRPr="00855AEF">
        <w:rPr>
          <w:rStyle w:val="FootnoteReference"/>
        </w:rPr>
        <w:footnoteReference w:id="9"/>
      </w:r>
      <w:bookmarkStart w:id="1" w:name="_Hlk5265813"/>
      <w:r w:rsidRPr="00FF1FC5">
        <w:t>.</w:t>
      </w:r>
      <w:r>
        <w:t xml:space="preserve"> </w:t>
      </w:r>
    </w:p>
    <w:p w14:paraId="79F4CE59" w14:textId="77777777" w:rsidR="00E510A7" w:rsidRDefault="00FD4CEE" w:rsidP="00FD4CEE">
      <w:pPr>
        <w:pStyle w:val="Paragraph"/>
        <w:numPr>
          <w:ilvl w:val="1"/>
          <w:numId w:val="5"/>
        </w:numPr>
        <w:tabs>
          <w:tab w:val="num" w:pos="720"/>
        </w:tabs>
        <w:autoSpaceDE w:val="0"/>
        <w:ind w:left="720" w:hanging="720"/>
      </w:pPr>
      <w:r>
        <w:t>En lo relacionado al régimen de gestión de EEPP, existe evidencia de que m</w:t>
      </w:r>
      <w:r w:rsidRPr="00855AEF">
        <w:t xml:space="preserve">ecanismos centralizados de supervisión de la </w:t>
      </w:r>
      <w:r>
        <w:t>EEPP</w:t>
      </w:r>
      <w:r w:rsidRPr="00855AEF">
        <w:t>, así como una relación fiscal basada en reglas</w:t>
      </w:r>
      <w:r>
        <w:t>,</w:t>
      </w:r>
      <w:r w:rsidRPr="00855AEF">
        <w:t xml:space="preserve"> está</w:t>
      </w:r>
      <w:r>
        <w:t>n</w:t>
      </w:r>
      <w:r w:rsidRPr="00855AEF">
        <w:t xml:space="preserve"> asociado</w:t>
      </w:r>
      <w:r>
        <w:t>s</w:t>
      </w:r>
      <w:r w:rsidRPr="00855AEF">
        <w:t xml:space="preserve"> con un mejor desempeño y menores riesgos fiscales</w:t>
      </w:r>
      <w:bookmarkStart w:id="2" w:name="_Hlk5265837"/>
      <w:r w:rsidRPr="00855AEF">
        <w:rPr>
          <w:rStyle w:val="FootnoteReference"/>
        </w:rPr>
        <w:footnoteReference w:id="10"/>
      </w:r>
      <w:bookmarkEnd w:id="2"/>
      <w:r w:rsidRPr="00855AEF">
        <w:t>.</w:t>
      </w:r>
      <w:bookmarkEnd w:id="1"/>
      <w:r w:rsidRPr="00855AEF">
        <w:t xml:space="preserve"> </w:t>
      </w:r>
      <w:r w:rsidRPr="00FF1FC5">
        <w:t xml:space="preserve">En América Latina y el Caribe, se estima que los activos de las </w:t>
      </w:r>
      <w:r>
        <w:t>EEPP</w:t>
      </w:r>
      <w:r w:rsidRPr="00FF1FC5">
        <w:t xml:space="preserve"> alcanzan 12% del PIB regional</w:t>
      </w:r>
      <w:r>
        <w:t>.</w:t>
      </w:r>
      <w:r w:rsidRPr="00FF1FC5">
        <w:t xml:space="preserve"> A pesar de su importancia económica, las </w:t>
      </w:r>
      <w:r>
        <w:t>EEPP</w:t>
      </w:r>
      <w:r w:rsidRPr="00FF1FC5">
        <w:t xml:space="preserve"> pueden presentar una serie de problemas, particularmente el exceso de personal y la generación de</w:t>
      </w:r>
      <w:r>
        <w:t> </w:t>
      </w:r>
      <w:r w:rsidRPr="00FF1FC5">
        <w:t>costos y riesgos fiscales dada la naturaleza de propiedad pública de dichas</w:t>
      </w:r>
      <w:r>
        <w:t> </w:t>
      </w:r>
      <w:r w:rsidRPr="00FF1FC5">
        <w:t xml:space="preserve">entidades. Por ejemplo, para una muestra de 80 países, </w:t>
      </w:r>
      <w:proofErr w:type="spellStart"/>
      <w:r w:rsidRPr="00FF1FC5">
        <w:t>Bova</w:t>
      </w:r>
      <w:proofErr w:type="spellEnd"/>
      <w:r w:rsidRPr="00FF1FC5">
        <w:t xml:space="preserve"> y otros (2016) encontraron que los pasivos contingentes de </w:t>
      </w:r>
      <w:r>
        <w:t>EEPP</w:t>
      </w:r>
      <w:r w:rsidRPr="00FF1FC5">
        <w:t xml:space="preserve"> representaron el 14%</w:t>
      </w:r>
      <w:r>
        <w:t> </w:t>
      </w:r>
      <w:r w:rsidRPr="00FF1FC5">
        <w:t xml:space="preserve">del total de la muestra analizada, mientras que los costos fiscales del salvataje de </w:t>
      </w:r>
      <w:r>
        <w:t>EEPP</w:t>
      </w:r>
      <w:r w:rsidRPr="00FF1FC5">
        <w:t xml:space="preserve"> promediaron 3% del PIB.</w:t>
      </w:r>
      <w:r>
        <w:t xml:space="preserve"> </w:t>
      </w:r>
    </w:p>
    <w:p w14:paraId="1DA85ED3" w14:textId="77777777" w:rsidR="00E510A7" w:rsidRDefault="00FD4CEE" w:rsidP="00FD4CEE">
      <w:pPr>
        <w:pStyle w:val="Paragraph"/>
        <w:numPr>
          <w:ilvl w:val="1"/>
          <w:numId w:val="5"/>
        </w:numPr>
        <w:tabs>
          <w:tab w:val="num" w:pos="720"/>
        </w:tabs>
        <w:autoSpaceDE w:val="0"/>
        <w:ind w:left="720" w:hanging="720"/>
      </w:pPr>
      <w:r>
        <w:lastRenderedPageBreak/>
        <w:t xml:space="preserve">En relación con </w:t>
      </w:r>
      <w:r w:rsidRPr="00855AEF">
        <w:t>la participación privada en el financiamiento y gestión de infraestructura</w:t>
      </w:r>
      <w:r>
        <w:t>, l</w:t>
      </w:r>
      <w:r w:rsidRPr="00855AEF">
        <w:t>a experiencia muestra que puede ofrecer ventajas, tales como</w:t>
      </w:r>
      <w:r w:rsidRPr="00855AEF">
        <w:rPr>
          <w:rStyle w:val="FootnoteReference"/>
        </w:rPr>
        <w:footnoteReference w:id="11"/>
      </w:r>
      <w:r w:rsidRPr="00855AEF">
        <w:t>: (i) mayor eficiencia en la provisión y gestión de los servicios de infraestructura, al incorporar tecnología privada; (</w:t>
      </w:r>
      <w:proofErr w:type="spellStart"/>
      <w:r w:rsidRPr="00855AEF">
        <w:t>ii</w:t>
      </w:r>
      <w:proofErr w:type="spellEnd"/>
      <w:r w:rsidRPr="00855AEF">
        <w:t>)</w:t>
      </w:r>
      <w:r>
        <w:t> </w:t>
      </w:r>
      <w:r w:rsidRPr="00855AEF">
        <w:t>innovación a través de la competencia en los procesos de licitación; (</w:t>
      </w:r>
      <w:proofErr w:type="spellStart"/>
      <w:r w:rsidRPr="00855AEF">
        <w:t>iii</w:t>
      </w:r>
      <w:proofErr w:type="spellEnd"/>
      <w:r w:rsidRPr="00855AEF">
        <w:t>)</w:t>
      </w:r>
      <w:r>
        <w:t> </w:t>
      </w:r>
      <w:r w:rsidRPr="00855AEF">
        <w:t>recursos para el mantenimiento de la infraestructura; (</w:t>
      </w:r>
      <w:proofErr w:type="spellStart"/>
      <w:r w:rsidRPr="00855AEF">
        <w:t>iv</w:t>
      </w:r>
      <w:proofErr w:type="spellEnd"/>
      <w:r w:rsidRPr="00855AEF">
        <w:t>) sostenibilidad financiera, mediante el apalancamiento de recursos financieros del privado; (v)</w:t>
      </w:r>
      <w:r>
        <w:t> </w:t>
      </w:r>
      <w:r w:rsidRPr="00855AEF">
        <w:t>atracción de inversionistas de largo plazo; (vi) la construcción dentro del presupuesto y tiempo de ejecución previsto</w:t>
      </w:r>
      <w:r>
        <w:t>;</w:t>
      </w:r>
      <w:r w:rsidRPr="00855AEF">
        <w:t xml:space="preserve"> y (</w:t>
      </w:r>
      <w:proofErr w:type="spellStart"/>
      <w:r w:rsidRPr="00855AEF">
        <w:t>vii</w:t>
      </w:r>
      <w:proofErr w:type="spellEnd"/>
      <w:r w:rsidRPr="00855AEF">
        <w:t xml:space="preserve">) eficiente transferencia de riesgos de ejecución del proyecto al sector privado, con lo que puede obtenerse valor por dinero en la ejecución de la obra y la gestión del activo. </w:t>
      </w:r>
      <w:r>
        <w:t>L</w:t>
      </w:r>
      <w:r w:rsidRPr="00FF1FC5">
        <w:t>a literatura recalca la importancia de prestar atención a los diferentes tipos de riesgos −técnicos, de construcción, operativos, financieros, de incumplimiento, ambientales, sociales, etc.− asociados con las APP, para evitar sobrecostos y la generación de pasivos contingentes fiscales no explícitos (BID, 2017).</w:t>
      </w:r>
      <w:r>
        <w:t xml:space="preserve"> </w:t>
      </w:r>
    </w:p>
    <w:p w14:paraId="5264A2C0" w14:textId="4365B827" w:rsidR="00FD4CEE" w:rsidRDefault="00FD4CEE" w:rsidP="00EA3629">
      <w:pPr>
        <w:pStyle w:val="Paragraph"/>
        <w:numPr>
          <w:ilvl w:val="1"/>
          <w:numId w:val="5"/>
        </w:numPr>
        <w:tabs>
          <w:tab w:val="num" w:pos="720"/>
        </w:tabs>
        <w:autoSpaceDE w:val="0"/>
        <w:ind w:left="720" w:hanging="720"/>
      </w:pPr>
      <w:r>
        <w:t>Finalmente, en relación a la</w:t>
      </w:r>
      <w:r w:rsidRPr="00FF1FC5">
        <w:t xml:space="preserve"> eficiencia de la gestión tributaria</w:t>
      </w:r>
      <w:r>
        <w:t>, a</w:t>
      </w:r>
      <w:r w:rsidRPr="00FF1FC5">
        <w:t xml:space="preserve"> nivel teórico, la literatura ha identificado a la cobertura y calidad de la información como uno de los ejes clave para explicar la gran variación existente en el desempeño recaudatorio entre países (</w:t>
      </w:r>
      <w:proofErr w:type="spellStart"/>
      <w:r w:rsidRPr="00FF1FC5">
        <w:t>Kleven</w:t>
      </w:r>
      <w:proofErr w:type="spellEnd"/>
      <w:r w:rsidRPr="00FF1FC5">
        <w:t xml:space="preserve"> et al. 2015; Gordon y Li 2009; </w:t>
      </w:r>
      <w:proofErr w:type="spellStart"/>
      <w:r w:rsidRPr="00FF1FC5">
        <w:t>Kopczuk</w:t>
      </w:r>
      <w:proofErr w:type="spellEnd"/>
      <w:r w:rsidRPr="00FF1FC5">
        <w:t xml:space="preserve"> y </w:t>
      </w:r>
      <w:proofErr w:type="spellStart"/>
      <w:r w:rsidRPr="00FF1FC5">
        <w:t>Slemrod</w:t>
      </w:r>
      <w:proofErr w:type="spellEnd"/>
      <w:r w:rsidRPr="00FF1FC5">
        <w:t xml:space="preserve"> 2006).</w:t>
      </w:r>
      <w:r>
        <w:t xml:space="preserve"> </w:t>
      </w:r>
      <w:r w:rsidRPr="00FF1FC5">
        <w:t>La evidencia empírica existente del impacto de la información sobre el cumplimiento voluntario</w:t>
      </w:r>
      <w:r>
        <w:t xml:space="preserve"> </w:t>
      </w:r>
      <w:r w:rsidRPr="00FF1FC5">
        <w:t>confirma esta importancia.</w:t>
      </w:r>
      <w:r>
        <w:t xml:space="preserve"> </w:t>
      </w:r>
      <w:r w:rsidRPr="00FF1FC5">
        <w:t>Por ejemplo, en Dinamarca, se observó una alta heterogeneidad en las tasas de evasión dependiendo del esquema informacional asociado a distintas actividades económicas (</w:t>
      </w:r>
      <w:proofErr w:type="spellStart"/>
      <w:r w:rsidRPr="00FF1FC5">
        <w:t>Kleven</w:t>
      </w:r>
      <w:proofErr w:type="spellEnd"/>
      <w:r w:rsidRPr="00FF1FC5">
        <w:t xml:space="preserve"> et al., 2011); en Estados Unidos, se encontró que ante una nueva fuente de información (reportes de tarjetas de crédito) disponible </w:t>
      </w:r>
      <w:r>
        <w:t>en el</w:t>
      </w:r>
      <w:r w:rsidRPr="00FF1FC5">
        <w:t xml:space="preserve"> </w:t>
      </w:r>
      <w:proofErr w:type="spellStart"/>
      <w:r w:rsidRPr="00E510A7">
        <w:rPr>
          <w:i/>
        </w:rPr>
        <w:t>Internal</w:t>
      </w:r>
      <w:proofErr w:type="spellEnd"/>
      <w:r w:rsidRPr="00E510A7">
        <w:rPr>
          <w:i/>
        </w:rPr>
        <w:t xml:space="preserve"> </w:t>
      </w:r>
      <w:proofErr w:type="spellStart"/>
      <w:r w:rsidRPr="00E510A7">
        <w:rPr>
          <w:i/>
        </w:rPr>
        <w:t>Revenue</w:t>
      </w:r>
      <w:proofErr w:type="spellEnd"/>
      <w:r w:rsidRPr="00E510A7">
        <w:rPr>
          <w:i/>
        </w:rPr>
        <w:t xml:space="preserve"> </w:t>
      </w:r>
      <w:proofErr w:type="spellStart"/>
      <w:r w:rsidRPr="00E510A7">
        <w:rPr>
          <w:i/>
        </w:rPr>
        <w:t>Service</w:t>
      </w:r>
      <w:proofErr w:type="spellEnd"/>
      <w:r w:rsidRPr="00FF1FC5">
        <w:t>, las empresas pequeñas responden aumentando los niveles de ventas declarados (</w:t>
      </w:r>
      <w:proofErr w:type="spellStart"/>
      <w:r w:rsidRPr="00FF1FC5">
        <w:t>Slemrod</w:t>
      </w:r>
      <w:proofErr w:type="spellEnd"/>
      <w:r w:rsidRPr="00FF1FC5">
        <w:t xml:space="preserve"> et al. 2015); y en España, se mostró que la disponibilidad de información actúa como complemento a las actividades de fiscalización de los grandes contribuyentes (Almunia y </w:t>
      </w:r>
      <w:proofErr w:type="spellStart"/>
      <w:r w:rsidRPr="00FF1FC5">
        <w:t>Lopez</w:t>
      </w:r>
      <w:proofErr w:type="spellEnd"/>
      <w:r w:rsidRPr="00FF1FC5">
        <w:t xml:space="preserve"> Rodriguez, 2016).</w:t>
      </w:r>
      <w:r w:rsidRPr="00BC7CBB">
        <w:t xml:space="preserve"> </w:t>
      </w:r>
      <w:r w:rsidRPr="002E7246">
        <w:t>Con</w:t>
      </w:r>
      <w:r w:rsidRPr="00FF1FC5">
        <w:t xml:space="preserve"> respecto a la evidencia para países en desarrollo, Pomeranz (2015) analiza cómo los flujos de información afectan el cumplimiento </w:t>
      </w:r>
      <w:r w:rsidRPr="005A6E26">
        <w:t>con el IVA en</w:t>
      </w:r>
      <w:r w:rsidRPr="00FF1FC5">
        <w:t xml:space="preserve"> Chile a partir de dos experimentos con</w:t>
      </w:r>
      <w:r>
        <w:t> </w:t>
      </w:r>
      <w:r w:rsidRPr="00FF1FC5">
        <w:t>asignación aleatorizada en una muestra de 400</w:t>
      </w:r>
      <w:r>
        <w:t>.</w:t>
      </w:r>
      <w:r w:rsidRPr="00FF1FC5">
        <w:t>000</w:t>
      </w:r>
      <w:r>
        <w:t> </w:t>
      </w:r>
      <w:r w:rsidRPr="00FF1FC5">
        <w:t>empresas. Un resultado destacado de esta evaluación es el rol que cumple la trazabilidad del IVA (</w:t>
      </w:r>
      <w:proofErr w:type="spellStart"/>
      <w:r w:rsidRPr="00E510A7">
        <w:rPr>
          <w:i/>
        </w:rPr>
        <w:t>paper</w:t>
      </w:r>
      <w:proofErr w:type="spellEnd"/>
      <w:r w:rsidRPr="00E510A7">
        <w:rPr>
          <w:i/>
        </w:rPr>
        <w:t> </w:t>
      </w:r>
      <w:proofErr w:type="spellStart"/>
      <w:r w:rsidRPr="00E510A7">
        <w:rPr>
          <w:i/>
        </w:rPr>
        <w:t>trail</w:t>
      </w:r>
      <w:proofErr w:type="spellEnd"/>
      <w:r w:rsidRPr="00FF1FC5">
        <w:t>) como mecanismo que favorece el cumplimiento. En la misma dirección, pero a partir de un análisis de diferencias</w:t>
      </w:r>
      <w:r w:rsidR="00EA3629">
        <w:t xml:space="preserve"> </w:t>
      </w:r>
      <w:r w:rsidRPr="00FF1FC5">
        <w:t>en</w:t>
      </w:r>
      <w:r w:rsidR="00EA3629">
        <w:t xml:space="preserve"> </w:t>
      </w:r>
      <w:r w:rsidRPr="00FF1FC5">
        <w:t xml:space="preserve">diferencias, </w:t>
      </w:r>
      <w:proofErr w:type="spellStart"/>
      <w:r w:rsidRPr="00FF1FC5">
        <w:t>Naritomi</w:t>
      </w:r>
      <w:proofErr w:type="spellEnd"/>
      <w:r w:rsidRPr="00FF1FC5">
        <w:t xml:space="preserve"> (2015) estudia los efectos de la implementación de la Nota Fiscal en el estado de San</w:t>
      </w:r>
      <w:r>
        <w:t> </w:t>
      </w:r>
      <w:r w:rsidRPr="00FF1FC5">
        <w:t>Pablo, Brasil, a partir de la cual los consumidores son incentivados a exigir sus facturas, y</w:t>
      </w:r>
      <w:r>
        <w:t> </w:t>
      </w:r>
      <w:r w:rsidRPr="00FF1FC5">
        <w:t>encuentra que el programa aumentó los ingresos declarados en 22%. Aprovechando un experimento natural en Ecuador, Carrillo</w:t>
      </w:r>
      <w:r>
        <w:t> </w:t>
      </w:r>
      <w:r w:rsidRPr="00FF1FC5">
        <w:t>et</w:t>
      </w:r>
      <w:r>
        <w:t> </w:t>
      </w:r>
      <w:r w:rsidRPr="00FF1FC5">
        <w:t>al. (2014) muestra las limitantes que enfrentan las administraciones tributarias para mejorar la recaudación cuando la información de terceros es incompleta. Por último, un estudio experimental en Costa Rica muestra que el acceso a información de terceros puede operar sobre el margen extensivo, ampliando el conjunto de contribuyentes que cumplen con sus obligaciones tributarias (</w:t>
      </w:r>
      <w:proofErr w:type="spellStart"/>
      <w:r w:rsidRPr="00FF1FC5">
        <w:t>Brockmeyer</w:t>
      </w:r>
      <w:proofErr w:type="spellEnd"/>
      <w:r w:rsidRPr="00FF1FC5">
        <w:t xml:space="preserve"> et al. 2016).</w:t>
      </w:r>
    </w:p>
    <w:p w14:paraId="3C618DA9" w14:textId="14C0CDF7" w:rsidR="00F6391D" w:rsidRDefault="00F6391D" w:rsidP="00E510A7">
      <w:pPr>
        <w:pStyle w:val="Paragraph"/>
        <w:numPr>
          <w:ilvl w:val="0"/>
          <w:numId w:val="0"/>
        </w:numPr>
        <w:rPr>
          <w:b/>
          <w:lang w:val="es-ES_tradnl"/>
        </w:rPr>
      </w:pPr>
    </w:p>
    <w:sectPr w:rsidR="00F6391D">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10DC7" w14:textId="77777777" w:rsidR="00E14CAF" w:rsidRDefault="00E14CAF">
      <w:pPr>
        <w:spacing w:after="0" w:line="240" w:lineRule="auto"/>
      </w:pPr>
      <w:r>
        <w:separator/>
      </w:r>
    </w:p>
  </w:endnote>
  <w:endnote w:type="continuationSeparator" w:id="0">
    <w:p w14:paraId="4C635FE1" w14:textId="77777777" w:rsidR="00E14CAF" w:rsidRDefault="00E14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F40F9" w14:textId="77777777" w:rsidR="00E14CAF" w:rsidRDefault="00E14CAF">
      <w:pPr>
        <w:spacing w:after="0" w:line="240" w:lineRule="auto"/>
      </w:pPr>
      <w:r>
        <w:separator/>
      </w:r>
    </w:p>
  </w:footnote>
  <w:footnote w:type="continuationSeparator" w:id="0">
    <w:p w14:paraId="74D60B23" w14:textId="77777777" w:rsidR="00E14CAF" w:rsidRDefault="00E14CAF">
      <w:pPr>
        <w:spacing w:after="0" w:line="240" w:lineRule="auto"/>
      </w:pPr>
      <w:r>
        <w:continuationSeparator/>
      </w:r>
    </w:p>
  </w:footnote>
  <w:footnote w:id="1">
    <w:p w14:paraId="15499ED3" w14:textId="77777777" w:rsidR="00FD4CEE" w:rsidRPr="00FF4EF0" w:rsidRDefault="00FD4CEE" w:rsidP="00FD4CEE">
      <w:pPr>
        <w:pStyle w:val="FootnoteText"/>
        <w:spacing w:after="0"/>
        <w:contextualSpacing/>
        <w:rPr>
          <w:i/>
        </w:rPr>
      </w:pPr>
      <w:r>
        <w:rPr>
          <w:rStyle w:val="FootnoteReference"/>
        </w:rPr>
        <w:footnoteRef/>
      </w:r>
      <w:r w:rsidRPr="00F13195">
        <w:t xml:space="preserve"> </w:t>
      </w:r>
      <w:r w:rsidRPr="00F13195">
        <w:tab/>
        <w:t>Ter-</w:t>
      </w:r>
      <w:proofErr w:type="spellStart"/>
      <w:r w:rsidRPr="00F13195">
        <w:t>Minassian</w:t>
      </w:r>
      <w:proofErr w:type="spellEnd"/>
      <w:r w:rsidRPr="00F13195">
        <w:t xml:space="preserve">, T. 2015. </w:t>
      </w:r>
      <w:r w:rsidRPr="00FF4EF0">
        <w:rPr>
          <w:i/>
        </w:rPr>
        <w:t>Fiscal Policy and Economic Growth: An Overview of Theory and Empirical Evidence. Mimeo.</w:t>
      </w:r>
    </w:p>
  </w:footnote>
  <w:footnote w:id="2">
    <w:p w14:paraId="445EC325" w14:textId="77777777" w:rsidR="00FD4CEE" w:rsidRPr="00FF4EF0" w:rsidRDefault="00FD4CEE" w:rsidP="00FD4CEE">
      <w:pPr>
        <w:pStyle w:val="FootnoteText"/>
        <w:spacing w:after="0"/>
        <w:contextualSpacing/>
        <w:rPr>
          <w:i/>
        </w:rPr>
      </w:pPr>
      <w:r>
        <w:rPr>
          <w:rStyle w:val="FootnoteReference"/>
        </w:rPr>
        <w:footnoteRef/>
      </w:r>
      <w:r w:rsidRPr="008C6447">
        <w:t xml:space="preserve"> </w:t>
      </w:r>
      <w:r>
        <w:tab/>
      </w:r>
      <w:r w:rsidRPr="00066AB8">
        <w:t xml:space="preserve">Panizza, U., y A. </w:t>
      </w:r>
      <w:proofErr w:type="spellStart"/>
      <w:r w:rsidRPr="00066AB8">
        <w:t>Presbitero</w:t>
      </w:r>
      <w:proofErr w:type="spellEnd"/>
      <w:r w:rsidRPr="00066AB8">
        <w:t xml:space="preserve">. 2012. </w:t>
      </w:r>
      <w:r w:rsidRPr="00FF4EF0">
        <w:rPr>
          <w:i/>
        </w:rPr>
        <w:t xml:space="preserve">Public Debt and Economic Growth: Is There a Causal Effect? </w:t>
      </w:r>
      <w:proofErr w:type="spellStart"/>
      <w:r w:rsidRPr="00FF4EF0">
        <w:rPr>
          <w:i/>
        </w:rPr>
        <w:t>MoFiR</w:t>
      </w:r>
      <w:proofErr w:type="spellEnd"/>
      <w:r w:rsidRPr="00FF4EF0">
        <w:rPr>
          <w:i/>
        </w:rPr>
        <w:t xml:space="preserve"> Working Paper No. 65.</w:t>
      </w:r>
    </w:p>
  </w:footnote>
  <w:footnote w:id="3">
    <w:p w14:paraId="027128A7" w14:textId="77777777" w:rsidR="00FD4CEE" w:rsidRPr="0079062B" w:rsidRDefault="00FD4CEE" w:rsidP="00FD4CEE">
      <w:pPr>
        <w:pStyle w:val="FootnoteText"/>
        <w:spacing w:after="0"/>
        <w:contextualSpacing/>
      </w:pPr>
      <w:r>
        <w:rPr>
          <w:rStyle w:val="FootnoteReference"/>
        </w:rPr>
        <w:footnoteRef/>
      </w:r>
      <w:r w:rsidRPr="00694BBD">
        <w:t xml:space="preserve"> </w:t>
      </w:r>
      <w:r>
        <w:tab/>
      </w:r>
      <w:r w:rsidRPr="00066AB8">
        <w:t xml:space="preserve">FMI. 2012. </w:t>
      </w:r>
      <w:r w:rsidRPr="00FF4EF0">
        <w:rPr>
          <w:i/>
        </w:rPr>
        <w:t>World Economic Outlook October 2012</w:t>
      </w:r>
      <w:r w:rsidRPr="00066AB8">
        <w:t>.</w:t>
      </w:r>
    </w:p>
  </w:footnote>
  <w:footnote w:id="4">
    <w:p w14:paraId="4A3149B6" w14:textId="77777777" w:rsidR="00FD4CEE" w:rsidRDefault="00FD4CEE" w:rsidP="00FD4CEE">
      <w:pPr>
        <w:pStyle w:val="FootnoteText"/>
        <w:spacing w:after="0"/>
        <w:contextualSpacing/>
      </w:pPr>
      <w:r>
        <w:rPr>
          <w:rStyle w:val="FootnoteReference"/>
        </w:rPr>
        <w:footnoteRef/>
      </w:r>
      <w:r w:rsidRPr="00FF4EF0">
        <w:t xml:space="preserve"> </w:t>
      </w:r>
      <w:r w:rsidRPr="00FF4EF0">
        <w:tab/>
      </w:r>
      <w:proofErr w:type="spellStart"/>
      <w:r w:rsidRPr="00FF4EF0">
        <w:t>Céspedes</w:t>
      </w:r>
      <w:proofErr w:type="spellEnd"/>
      <w:r w:rsidRPr="00FF4EF0">
        <w:t xml:space="preserve">, L., y A. Velasco. </w:t>
      </w:r>
      <w:r>
        <w:t xml:space="preserve">2014. </w:t>
      </w:r>
      <w:r w:rsidRPr="00FF4EF0">
        <w:rPr>
          <w:i/>
        </w:rPr>
        <w:t>Was this time different? Fiscal policy in commodity republics. Journal of Development Economics, Vol. 106</w:t>
      </w:r>
      <w:r>
        <w:t>, pp. 92–106.</w:t>
      </w:r>
    </w:p>
  </w:footnote>
  <w:footnote w:id="5">
    <w:p w14:paraId="5FE5AA0D" w14:textId="77777777" w:rsidR="00FD4CEE" w:rsidRPr="00FF4EF0" w:rsidRDefault="00FD4CEE" w:rsidP="00FD4CEE">
      <w:pPr>
        <w:pStyle w:val="FootnoteText"/>
        <w:spacing w:after="0"/>
        <w:contextualSpacing/>
        <w:rPr>
          <w:i/>
          <w:lang w:val="es-ES_tradnl"/>
        </w:rPr>
      </w:pPr>
      <w:r>
        <w:rPr>
          <w:rStyle w:val="FootnoteReference"/>
        </w:rPr>
        <w:footnoteRef/>
      </w:r>
      <w:r w:rsidRPr="008C6447">
        <w:t xml:space="preserve"> </w:t>
      </w:r>
      <w:r>
        <w:tab/>
      </w:r>
      <w:proofErr w:type="spellStart"/>
      <w:r w:rsidRPr="008C6447">
        <w:t>Hallerberg</w:t>
      </w:r>
      <w:proofErr w:type="spellEnd"/>
      <w:r w:rsidRPr="008C6447">
        <w:t xml:space="preserve">, M., C. </w:t>
      </w:r>
      <w:proofErr w:type="spellStart"/>
      <w:r w:rsidRPr="008C6447">
        <w:t>Scartascini</w:t>
      </w:r>
      <w:proofErr w:type="spellEnd"/>
      <w:r w:rsidRPr="008C6447">
        <w:t xml:space="preserve">, y E. Stein. </w:t>
      </w:r>
      <w:r>
        <w:t xml:space="preserve">2009a. </w:t>
      </w:r>
      <w:r w:rsidRPr="00FF4EF0">
        <w:rPr>
          <w:i/>
        </w:rPr>
        <w:t xml:space="preserve">Who Decides the Budget? A Political Economy Analysis of the Budget Process in Latin America. </w:t>
      </w:r>
      <w:r w:rsidRPr="00FF4EF0">
        <w:rPr>
          <w:i/>
          <w:lang w:val="es-ES_tradnl"/>
        </w:rPr>
        <w:t xml:space="preserve">Cambridge, MA: Harvard </w:t>
      </w:r>
      <w:proofErr w:type="spellStart"/>
      <w:r w:rsidRPr="00FF4EF0">
        <w:rPr>
          <w:i/>
          <w:lang w:val="es-ES_tradnl"/>
        </w:rPr>
        <w:t>University</w:t>
      </w:r>
      <w:proofErr w:type="spellEnd"/>
      <w:r w:rsidRPr="00FF4EF0">
        <w:rPr>
          <w:i/>
          <w:lang w:val="es-ES_tradnl"/>
        </w:rPr>
        <w:t xml:space="preserve"> </w:t>
      </w:r>
      <w:proofErr w:type="spellStart"/>
      <w:r w:rsidRPr="00FF4EF0">
        <w:rPr>
          <w:i/>
          <w:lang w:val="es-ES_tradnl"/>
        </w:rPr>
        <w:t>Press</w:t>
      </w:r>
      <w:proofErr w:type="spellEnd"/>
      <w:r w:rsidRPr="00FF4EF0">
        <w:rPr>
          <w:i/>
          <w:lang w:val="es-ES_tradnl"/>
        </w:rPr>
        <w:t>.</w:t>
      </w:r>
    </w:p>
  </w:footnote>
  <w:footnote w:id="6">
    <w:p w14:paraId="08B9AAE3" w14:textId="77777777" w:rsidR="00FD4CEE" w:rsidRPr="007E10DD" w:rsidRDefault="00FD4CEE" w:rsidP="00FD4CEE">
      <w:pPr>
        <w:pStyle w:val="FootnoteText"/>
        <w:spacing w:after="0"/>
        <w:contextualSpacing/>
        <w:rPr>
          <w:lang w:val="es-ES"/>
        </w:rPr>
      </w:pPr>
      <w:r>
        <w:rPr>
          <w:rStyle w:val="FootnoteReference"/>
        </w:rPr>
        <w:footnoteRef/>
      </w:r>
      <w:r w:rsidRPr="007E10DD">
        <w:rPr>
          <w:lang w:val="es-ES"/>
        </w:rPr>
        <w:t xml:space="preserve"> </w:t>
      </w:r>
      <w:r>
        <w:rPr>
          <w:lang w:val="es-ES"/>
        </w:rPr>
        <w:tab/>
      </w:r>
      <w:r w:rsidR="00E14CAF">
        <w:fldChar w:fldCharType="begin"/>
      </w:r>
      <w:r w:rsidR="00E14CAF" w:rsidRPr="00EA3629">
        <w:rPr>
          <w:lang w:val="es-ES"/>
        </w:rPr>
        <w:instrText xml:space="preserve"> HYPERLINK "https://www.imf.org/en/Publications/WP/Issues/2019/03/05/Do-Fiscal-Rules-Cause-Better-Fiscal-Balances-A-New-Instrumental-Variable-Strategy-46639" </w:instrText>
      </w:r>
      <w:r w:rsidR="00E14CAF">
        <w:fldChar w:fldCharType="separate"/>
      </w:r>
      <w:proofErr w:type="spellStart"/>
      <w:r w:rsidRPr="00750EAB">
        <w:rPr>
          <w:rStyle w:val="Hyperlink"/>
          <w:lang w:val="es-CO"/>
        </w:rPr>
        <w:t>Caselli</w:t>
      </w:r>
      <w:proofErr w:type="spellEnd"/>
      <w:r w:rsidRPr="00750EAB">
        <w:rPr>
          <w:rStyle w:val="Hyperlink"/>
          <w:lang w:val="es-CO"/>
        </w:rPr>
        <w:t xml:space="preserve"> y Reynaud, 2019</w:t>
      </w:r>
      <w:r w:rsidR="00E14CAF">
        <w:rPr>
          <w:rStyle w:val="Hyperlink"/>
          <w:lang w:val="es-CO"/>
        </w:rPr>
        <w:fldChar w:fldCharType="end"/>
      </w:r>
      <w:r w:rsidRPr="00750EAB">
        <w:rPr>
          <w:lang w:val="es-CO"/>
        </w:rPr>
        <w:t xml:space="preserve"> y </w:t>
      </w:r>
      <w:r w:rsidR="00E14CAF">
        <w:fldChar w:fldCharType="begin"/>
      </w:r>
      <w:r w:rsidR="00E14CAF" w:rsidRPr="00EA3629">
        <w:rPr>
          <w:lang w:val="es-ES"/>
        </w:rPr>
        <w:instrText xml:space="preserve"> HYPERLINK "https://www.imf.org/en/Publications/WP/Issues/2016/12/31/</w:instrText>
      </w:r>
      <w:r w:rsidR="00E14CAF" w:rsidRPr="00EA3629">
        <w:rPr>
          <w:lang w:val="es-ES"/>
        </w:rPr>
        <w:instrText xml:space="preserve">Expenditure-Rules-Effective-Tools-for-Sound-Fiscal-Policy-42706" </w:instrText>
      </w:r>
      <w:r w:rsidR="00E14CAF">
        <w:fldChar w:fldCharType="separate"/>
      </w:r>
      <w:r w:rsidRPr="00750EAB">
        <w:rPr>
          <w:rStyle w:val="Hyperlink"/>
          <w:lang w:val="es-CO"/>
        </w:rPr>
        <w:t>Cordes et</w:t>
      </w:r>
      <w:r w:rsidRPr="00750EAB">
        <w:rPr>
          <w:rStyle w:val="Hyperlink"/>
          <w:i/>
          <w:lang w:val="es-CO"/>
        </w:rPr>
        <w:t xml:space="preserve"> al </w:t>
      </w:r>
      <w:r w:rsidRPr="00750EAB">
        <w:rPr>
          <w:rStyle w:val="Hyperlink"/>
          <w:lang w:val="es-CO"/>
        </w:rPr>
        <w:t>(2015)</w:t>
      </w:r>
      <w:r w:rsidR="00E14CAF">
        <w:rPr>
          <w:rStyle w:val="Hyperlink"/>
          <w:lang w:val="es-CO"/>
        </w:rPr>
        <w:fldChar w:fldCharType="end"/>
      </w:r>
      <w:r>
        <w:rPr>
          <w:lang w:val="es-ES"/>
        </w:rPr>
        <w:t>.</w:t>
      </w:r>
    </w:p>
  </w:footnote>
  <w:footnote w:id="7">
    <w:p w14:paraId="55DD8B19" w14:textId="77777777" w:rsidR="00FD4CEE" w:rsidRPr="007E10DD" w:rsidRDefault="00FD4CEE" w:rsidP="00FD4CEE">
      <w:pPr>
        <w:pStyle w:val="FootnoteText"/>
        <w:spacing w:after="0"/>
        <w:contextualSpacing/>
        <w:rPr>
          <w:lang w:val="es-ES_tradnl"/>
        </w:rPr>
      </w:pPr>
      <w:r>
        <w:rPr>
          <w:rStyle w:val="FootnoteReference"/>
        </w:rPr>
        <w:footnoteRef/>
      </w:r>
      <w:r w:rsidRPr="007E10DD">
        <w:rPr>
          <w:lang w:val="es-ES_tradnl"/>
        </w:rPr>
        <w:t xml:space="preserve"> </w:t>
      </w:r>
      <w:r>
        <w:rPr>
          <w:lang w:val="es-ES_tradnl"/>
        </w:rPr>
        <w:tab/>
        <w:t xml:space="preserve">Braun, M. y </w:t>
      </w:r>
      <w:proofErr w:type="spellStart"/>
      <w:r>
        <w:rPr>
          <w:lang w:val="es-ES_tradnl"/>
        </w:rPr>
        <w:t>Gadano</w:t>
      </w:r>
      <w:proofErr w:type="spellEnd"/>
      <w:r>
        <w:rPr>
          <w:lang w:val="es-ES_tradnl"/>
        </w:rPr>
        <w:t xml:space="preserve"> N. (2007). “¿Para qué sirven las reglas fiscales? Un análisis crítico de la experiencia Argentina.” Revista de la CEPAL 91. Abril 2007. </w:t>
      </w:r>
    </w:p>
  </w:footnote>
  <w:footnote w:id="8">
    <w:p w14:paraId="2F2E269C" w14:textId="77777777" w:rsidR="00FD4CEE" w:rsidRPr="007E10DD" w:rsidRDefault="00FD4CEE" w:rsidP="00FD4CEE">
      <w:pPr>
        <w:pStyle w:val="FootnoteText"/>
        <w:spacing w:after="0"/>
        <w:contextualSpacing/>
        <w:rPr>
          <w:lang w:val="es-ES"/>
        </w:rPr>
      </w:pPr>
      <w:r>
        <w:rPr>
          <w:rStyle w:val="FootnoteReference"/>
        </w:rPr>
        <w:footnoteRef/>
      </w:r>
      <w:r w:rsidRPr="007E10DD">
        <w:rPr>
          <w:lang w:val="es-ES"/>
        </w:rPr>
        <w:t xml:space="preserve"> </w:t>
      </w:r>
      <w:r>
        <w:rPr>
          <w:lang w:val="es-ES"/>
        </w:rPr>
        <w:tab/>
      </w:r>
      <w:r w:rsidRPr="007E10DD">
        <w:rPr>
          <w:lang w:val="es-ES"/>
        </w:rPr>
        <w:t>Por ineficiencia asignativa se entiende la asignación de los recursos públicos sin maximizar el retorno social, la equidad y el crecimiento económico.</w:t>
      </w:r>
      <w:r>
        <w:rPr>
          <w:lang w:val="es-ES"/>
        </w:rPr>
        <w:t xml:space="preserve"> </w:t>
      </w:r>
      <w:r w:rsidRPr="007E10DD">
        <w:rPr>
          <w:lang w:val="es-ES"/>
        </w:rPr>
        <w:t>Por su parte, la ineficiencia técnica implica que los países utilizan más recursos de los necesarios para proveer un bien o servicio de una calidad dada (Izquierdo y otros, 2018).</w:t>
      </w:r>
    </w:p>
  </w:footnote>
  <w:footnote w:id="9">
    <w:p w14:paraId="188BF110" w14:textId="77777777" w:rsidR="00FD4CEE" w:rsidRPr="00FF4EF0" w:rsidRDefault="00FD4CEE" w:rsidP="00FD4CEE">
      <w:pPr>
        <w:pStyle w:val="FootnoteText"/>
        <w:spacing w:after="0"/>
        <w:contextualSpacing/>
        <w:rPr>
          <w:i/>
        </w:rPr>
      </w:pPr>
      <w:r>
        <w:rPr>
          <w:rStyle w:val="FootnoteReference"/>
        </w:rPr>
        <w:footnoteRef/>
      </w:r>
      <w:r w:rsidRPr="007E10DD">
        <w:rPr>
          <w:lang w:val="es-ES"/>
        </w:rPr>
        <w:t xml:space="preserve"> </w:t>
      </w:r>
      <w:r>
        <w:rPr>
          <w:lang w:val="es-ES"/>
        </w:rPr>
        <w:tab/>
      </w:r>
      <w:r w:rsidRPr="007E10DD">
        <w:rPr>
          <w:lang w:val="es-ES"/>
        </w:rPr>
        <w:t xml:space="preserve">Acosta-Ormachea, S., y A. </w:t>
      </w:r>
      <w:proofErr w:type="spellStart"/>
      <w:r w:rsidRPr="007E10DD">
        <w:rPr>
          <w:lang w:val="es-ES"/>
        </w:rPr>
        <w:t>Morozumi</w:t>
      </w:r>
      <w:proofErr w:type="spellEnd"/>
      <w:r w:rsidRPr="007E10DD">
        <w:rPr>
          <w:lang w:val="es-ES"/>
        </w:rPr>
        <w:t xml:space="preserve">. </w:t>
      </w:r>
      <w:r>
        <w:t xml:space="preserve">2013. </w:t>
      </w:r>
      <w:r w:rsidRPr="00FF4EF0">
        <w:rPr>
          <w:i/>
        </w:rPr>
        <w:t>Can a Government Enhance Long-Run Growth by Changing the Composition of Public Expenditure?. IMF Working Paper No. WP/13/162.</w:t>
      </w:r>
    </w:p>
  </w:footnote>
  <w:footnote w:id="10">
    <w:p w14:paraId="4BABA3BE" w14:textId="77777777" w:rsidR="00FD4CEE" w:rsidRPr="00FF4EF0" w:rsidRDefault="00FD4CEE" w:rsidP="00FD4CEE">
      <w:pPr>
        <w:pStyle w:val="FootnoteText"/>
        <w:spacing w:after="0"/>
        <w:contextualSpacing/>
        <w:rPr>
          <w:i/>
        </w:rPr>
      </w:pPr>
      <w:r>
        <w:rPr>
          <w:rStyle w:val="FootnoteReference"/>
        </w:rPr>
        <w:footnoteRef/>
      </w:r>
      <w:r w:rsidRPr="0079062B">
        <w:t xml:space="preserve"> </w:t>
      </w:r>
      <w:r>
        <w:tab/>
      </w:r>
      <w:proofErr w:type="spellStart"/>
      <w:r w:rsidRPr="0079062B">
        <w:t>Musachio</w:t>
      </w:r>
      <w:proofErr w:type="spellEnd"/>
      <w:r w:rsidRPr="0079062B">
        <w:t xml:space="preserve"> A. y E Pineda. </w:t>
      </w:r>
      <w:r w:rsidRPr="00FF4EF0">
        <w:rPr>
          <w:i/>
        </w:rPr>
        <w:t>Fixing State Owned Enterprises: New Policy Solutions to Old Problems, IADB, forthcoming.</w:t>
      </w:r>
    </w:p>
  </w:footnote>
  <w:footnote w:id="11">
    <w:p w14:paraId="12B57AF4" w14:textId="77777777" w:rsidR="00FD4CEE" w:rsidRPr="00066AB8" w:rsidRDefault="00FD4CEE" w:rsidP="00FD4CEE">
      <w:pPr>
        <w:pStyle w:val="FootnoteText"/>
        <w:spacing w:after="0"/>
        <w:contextualSpacing/>
        <w:rPr>
          <w:lang w:val="es-ES_tradnl"/>
        </w:rPr>
      </w:pPr>
      <w:r>
        <w:rPr>
          <w:rStyle w:val="FootnoteReference"/>
        </w:rPr>
        <w:footnoteRef/>
      </w:r>
      <w:r w:rsidRPr="00066AB8">
        <w:rPr>
          <w:lang w:val="es-ES_tradnl"/>
        </w:rPr>
        <w:t xml:space="preserve"> </w:t>
      </w:r>
      <w:r>
        <w:rPr>
          <w:lang w:val="es-ES_tradnl"/>
        </w:rPr>
        <w:tab/>
      </w:r>
      <w:r w:rsidRPr="00013183">
        <w:rPr>
          <w:lang w:val="es-ES_tradnl"/>
        </w:rPr>
        <w:t xml:space="preserve">Canadá (Canadian Council </w:t>
      </w:r>
      <w:proofErr w:type="spellStart"/>
      <w:r w:rsidRPr="00013183">
        <w:rPr>
          <w:lang w:val="es-ES_tradnl"/>
        </w:rPr>
        <w:t>for</w:t>
      </w:r>
      <w:proofErr w:type="spellEnd"/>
      <w:r w:rsidRPr="00013183">
        <w:rPr>
          <w:lang w:val="es-ES_tradnl"/>
        </w:rPr>
        <w:t xml:space="preserve"> PPP, 2015) y Reino Unido (Banco Mundial, Banco Asiático de Desarrollo y BID, 2014c) destacan en el desarrollo de marco normativo, institucional e implementación de proyectos APP en infraestructura productiva y social.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45CDA" w14:textId="362147BB" w:rsidR="00F6391D" w:rsidRDefault="00621F74">
    <w:pPr>
      <w:pStyle w:val="Header"/>
      <w:jc w:val="right"/>
      <w:rPr>
        <w:rFonts w:ascii="Arial" w:hAnsi="Arial" w:cs="Arial"/>
        <w:sz w:val="20"/>
        <w:lang w:val="es-ES_tradnl"/>
      </w:rPr>
    </w:pPr>
    <w:r>
      <w:rPr>
        <w:rFonts w:ascii="Arial" w:hAnsi="Arial" w:cs="Arial"/>
        <w:sz w:val="20"/>
        <w:lang w:val="es-ES_tradnl"/>
      </w:rPr>
      <w:t xml:space="preserve">POD – Evidencia </w:t>
    </w:r>
    <w:proofErr w:type="spellStart"/>
    <w:r w:rsidR="00FC21BA" w:rsidRPr="00FC21BA">
      <w:t>empírica</w:t>
    </w:r>
    <w:proofErr w:type="spellEnd"/>
    <w:r w:rsidR="00FC21BA">
      <w:rPr>
        <w:rFonts w:ascii="Arial" w:hAnsi="Arial" w:cs="Arial"/>
        <w:sz w:val="20"/>
        <w:lang w:val="es-ES_tradnl"/>
      </w:rPr>
      <w:t xml:space="preserve"> </w:t>
    </w:r>
  </w:p>
  <w:p w14:paraId="0F0B0A5D" w14:textId="066C4C72" w:rsidR="00F6391D" w:rsidRDefault="003C0C23">
    <w:pPr>
      <w:pStyle w:val="Header"/>
      <w:jc w:val="right"/>
      <w:rPr>
        <w:rFonts w:ascii="Arial" w:hAnsi="Arial" w:cs="Arial"/>
        <w:sz w:val="20"/>
      </w:rPr>
    </w:pPr>
    <w:r>
      <w:rPr>
        <w:rFonts w:ascii="Arial" w:hAnsi="Arial" w:cs="Arial"/>
        <w:sz w:val="20"/>
      </w:rPr>
      <w:t>EC</w:t>
    </w:r>
    <w:r w:rsidR="00621F74">
      <w:rPr>
        <w:rFonts w:ascii="Arial" w:hAnsi="Arial" w:cs="Arial"/>
        <w:sz w:val="20"/>
      </w:rPr>
      <w:t>-L1</w:t>
    </w:r>
    <w:r w:rsidR="004C3C71">
      <w:rPr>
        <w:rFonts w:ascii="Arial" w:hAnsi="Arial" w:cs="Arial"/>
        <w:sz w:val="20"/>
      </w:rPr>
      <w:t>2</w:t>
    </w:r>
    <w:r w:rsidR="00FD4CEE">
      <w:rPr>
        <w:rFonts w:ascii="Arial" w:hAnsi="Arial" w:cs="Arial"/>
        <w:sz w:val="20"/>
      </w:rPr>
      <w:t>52</w:t>
    </w:r>
  </w:p>
  <w:p w14:paraId="35994C4E" w14:textId="77777777" w:rsidR="00F6391D" w:rsidRDefault="00F6391D">
    <w:pPr>
      <w:pStyle w:val="Header"/>
    </w:pPr>
  </w:p>
  <w:p w14:paraId="551120DB" w14:textId="77777777" w:rsidR="00F6391D" w:rsidRDefault="00F6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 w15:restartNumberingAfterBreak="0">
    <w:nsid w:val="1BE848A4"/>
    <w:multiLevelType w:val="hybridMultilevel"/>
    <w:tmpl w:val="DC80DE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3F90463"/>
    <w:multiLevelType w:val="multilevel"/>
    <w:tmpl w:val="41FA7E5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926"/>
        </w:tabs>
        <w:ind w:left="1926" w:hanging="1296"/>
      </w:pPr>
      <w:rPr>
        <w:rFonts w:ascii="Arial" w:hAnsi="Arial" w:cs="Arial" w:hint="default"/>
        <w:b w:val="0"/>
        <w:color w:val="auto"/>
        <w:sz w:val="22"/>
        <w:szCs w:val="22"/>
      </w:rPr>
    </w:lvl>
    <w:lvl w:ilvl="2">
      <w:start w:val="1"/>
      <w:numFmt w:val="lowerLetter"/>
      <w:lvlText w:val="(%3)"/>
      <w:lvlJc w:val="left"/>
      <w:pPr>
        <w:tabs>
          <w:tab w:val="num" w:pos="1142"/>
        </w:tabs>
        <w:ind w:left="1142" w:hanging="432"/>
      </w:pPr>
      <w:rPr>
        <w:rFonts w:hint="default"/>
        <w:b w:val="0"/>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359B4991"/>
    <w:multiLevelType w:val="multilevel"/>
    <w:tmpl w:val="3300036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569905A8"/>
    <w:multiLevelType w:val="multilevel"/>
    <w:tmpl w:val="9A4602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6066"/>
        </w:tabs>
        <w:ind w:left="6066" w:hanging="1296"/>
      </w:pPr>
      <w:rPr>
        <w:b w:val="0"/>
        <w:i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91D"/>
    <w:rsid w:val="002C4F9A"/>
    <w:rsid w:val="003523EA"/>
    <w:rsid w:val="003A0115"/>
    <w:rsid w:val="003C0C23"/>
    <w:rsid w:val="004A3531"/>
    <w:rsid w:val="004C3C71"/>
    <w:rsid w:val="0055295A"/>
    <w:rsid w:val="005C5428"/>
    <w:rsid w:val="00621F74"/>
    <w:rsid w:val="00922A10"/>
    <w:rsid w:val="009C7FAB"/>
    <w:rsid w:val="00A02379"/>
    <w:rsid w:val="00A71E20"/>
    <w:rsid w:val="00B5004E"/>
    <w:rsid w:val="00BE0A3C"/>
    <w:rsid w:val="00CD4E7E"/>
    <w:rsid w:val="00D60823"/>
    <w:rsid w:val="00D87A88"/>
    <w:rsid w:val="00E14CAF"/>
    <w:rsid w:val="00E510A7"/>
    <w:rsid w:val="00EA3629"/>
    <w:rsid w:val="00EE351D"/>
    <w:rsid w:val="00F13920"/>
    <w:rsid w:val="00F6391D"/>
    <w:rsid w:val="00F6697F"/>
    <w:rsid w:val="00FB4D44"/>
    <w:rsid w:val="00FC21BA"/>
    <w:rsid w:val="00FD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C8786"/>
  <w15:chartTrackingRefBased/>
  <w15:docId w15:val="{53A539B5-41B8-47FB-A28E-5282D5D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uiPriority w:val="99"/>
    <w:pPr>
      <w:keepNext/>
      <w:numPr>
        <w:numId w:val="2"/>
      </w:numPr>
      <w:tabs>
        <w:tab w:val="clear" w:pos="1800"/>
        <w:tab w:val="num" w:pos="648"/>
        <w:tab w:val="left" w:pos="1440"/>
      </w:tabs>
      <w:spacing w:before="240" w:after="240" w:line="240" w:lineRule="auto"/>
      <w:ind w:left="0"/>
      <w:jc w:val="center"/>
    </w:pPr>
    <w:rPr>
      <w:rFonts w:ascii="Arial" w:hAnsi="Arial" w:cs="Arial"/>
      <w:b/>
      <w:smallCaps/>
      <w:sz w:val="24"/>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pPr>
      <w:keepNext/>
      <w:keepLines/>
      <w:spacing w:after="120" w:line="240" w:lineRule="auto"/>
      <w:ind w:left="288" w:hanging="288"/>
      <w:jc w:val="both"/>
    </w:pPr>
    <w:rPr>
      <w:rFonts w:ascii="Arial" w:hAnsi="Arial" w:cs="Arial"/>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Pr>
      <w:rFonts w:ascii="Arial" w:hAnsi="Arial" w:cs="Arial"/>
      <w:spacing w:val="-3"/>
      <w:sz w:val="20"/>
    </w:rPr>
  </w:style>
  <w:style w:type="paragraph" w:customStyle="1" w:styleId="Paragraph">
    <w:name w:val="Paragraph"/>
    <w:aliases w:val="paragraph,p,PARAGRAPH,PG,pa,at"/>
    <w:basedOn w:val="BodyTextIndent"/>
    <w:link w:val="ParagraphChar"/>
    <w:uiPriority w:val="99"/>
    <w:qFormat/>
    <w:pPr>
      <w:numPr>
        <w:ilvl w:val="1"/>
        <w:numId w:val="2"/>
      </w:numPr>
      <w:tabs>
        <w:tab w:val="clear" w:pos="2448"/>
        <w:tab w:val="num" w:pos="720"/>
      </w:tabs>
      <w:spacing w:before="120" w:line="240" w:lineRule="auto"/>
      <w:ind w:left="720" w:hanging="720"/>
      <w:jc w:val="both"/>
      <w:outlineLvl w:val="1"/>
    </w:pPr>
    <w:rPr>
      <w:rFonts w:ascii="Arial" w:hAnsi="Arial" w:cs="Arial"/>
      <w:lang w:val="es-ES"/>
    </w:rPr>
  </w:style>
  <w:style w:type="paragraph" w:customStyle="1" w:styleId="subpar">
    <w:name w:val="subpar"/>
    <w:basedOn w:val="BodyTextIndent3"/>
    <w:pPr>
      <w:numPr>
        <w:ilvl w:val="2"/>
        <w:numId w:val="2"/>
      </w:numPr>
      <w:tabs>
        <w:tab w:val="clear" w:pos="2304"/>
        <w:tab w:val="num" w:pos="360"/>
        <w:tab w:val="num" w:pos="1152"/>
      </w:tabs>
      <w:spacing w:before="120" w:line="240" w:lineRule="auto"/>
      <w:ind w:left="1152" w:firstLine="0"/>
      <w:jc w:val="both"/>
      <w:outlineLvl w:val="2"/>
    </w:pPr>
    <w:rPr>
      <w:rFonts w:ascii="Arial" w:hAnsi="Arial" w:cs="Arial"/>
      <w:sz w:val="22"/>
      <w:szCs w:val="20"/>
    </w:rPr>
  </w:style>
  <w:style w:type="character" w:styleId="Hyperlink">
    <w:name w:val="Hyperlink"/>
    <w:basedOn w:val="DefaultParagraphFont"/>
    <w:rPr>
      <w:color w:val="0000FF"/>
      <w:u w:val="single"/>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link w:val="Char2"/>
    <w:qFormat/>
    <w:rPr>
      <w:vertAlign w:val="superscript"/>
    </w:rPr>
  </w:style>
  <w:style w:type="character" w:customStyle="1" w:styleId="ParagraphChar">
    <w:name w:val="Paragraph Char"/>
    <w:aliases w:val="p Char,PARAGRAPH Char,PG Char,pa Char,at Char,paragraph Char"/>
    <w:basedOn w:val="DefaultParagraphFont"/>
    <w:link w:val="Paragraph"/>
    <w:rPr>
      <w:rFonts w:ascii="Arial" w:hAnsi="Arial" w:cs="Arial"/>
      <w:lang w:val="es-ES"/>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CommentReference">
    <w:name w:val="annotation reference"/>
    <w:rsid w:val="002C4F9A"/>
    <w:rPr>
      <w:sz w:val="16"/>
      <w:szCs w:val="16"/>
    </w:rPr>
  </w:style>
  <w:style w:type="paragraph" w:styleId="CommentText">
    <w:name w:val="annotation text"/>
    <w:basedOn w:val="Normal"/>
    <w:link w:val="CommentTextChar"/>
    <w:rsid w:val="002C4F9A"/>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rsid w:val="002C4F9A"/>
    <w:rPr>
      <w:rFonts w:ascii="Times New Roman" w:eastAsia="Times New Roman" w:hAnsi="Times New Roman" w:cs="Times New Roman"/>
      <w:sz w:val="20"/>
      <w:szCs w:val="20"/>
      <w:lang w:val="es-ES_tradnl"/>
    </w:rPr>
  </w:style>
  <w:style w:type="paragraph" w:styleId="BalloonText">
    <w:name w:val="Balloon Text"/>
    <w:basedOn w:val="Normal"/>
    <w:link w:val="BalloonTextChar"/>
    <w:uiPriority w:val="99"/>
    <w:semiHidden/>
    <w:unhideWhenUsed/>
    <w:rsid w:val="002C4F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F9A"/>
    <w:rPr>
      <w:rFonts w:ascii="Segoe UI" w:hAnsi="Segoe UI" w:cs="Segoe UI"/>
      <w:sz w:val="18"/>
      <w:szCs w:val="18"/>
    </w:rPr>
  </w:style>
  <w:style w:type="paragraph" w:styleId="BodyText">
    <w:name w:val="Body Text"/>
    <w:basedOn w:val="Normal"/>
    <w:link w:val="BodyTextChar"/>
    <w:uiPriority w:val="99"/>
    <w:semiHidden/>
    <w:unhideWhenUsed/>
    <w:rsid w:val="004C3C71"/>
    <w:pPr>
      <w:spacing w:after="120"/>
    </w:pPr>
  </w:style>
  <w:style w:type="character" w:customStyle="1" w:styleId="BodyTextChar">
    <w:name w:val="Body Text Char"/>
    <w:basedOn w:val="DefaultParagraphFont"/>
    <w:link w:val="BodyText"/>
    <w:uiPriority w:val="99"/>
    <w:semiHidden/>
    <w:rsid w:val="004C3C71"/>
  </w:style>
  <w:style w:type="paragraph" w:customStyle="1" w:styleId="SubSubPar">
    <w:name w:val="SubSubPar"/>
    <w:basedOn w:val="subpar"/>
    <w:uiPriority w:val="99"/>
    <w:rsid w:val="004C3C71"/>
    <w:pPr>
      <w:numPr>
        <w:ilvl w:val="0"/>
        <w:numId w:val="0"/>
      </w:numPr>
      <w:tabs>
        <w:tab w:val="clear" w:pos="1800"/>
        <w:tab w:val="left" w:pos="0"/>
        <w:tab w:val="num" w:pos="1296"/>
      </w:tabs>
      <w:ind w:left="1296" w:hanging="288"/>
    </w:pPr>
    <w:rPr>
      <w:rFonts w:ascii="Times New Roman" w:eastAsia="Times New Roman" w:hAnsi="Times New Roman" w:cs="Times New Roman"/>
      <w:sz w:val="24"/>
      <w:lang w:val="es-ES_tradnl"/>
    </w:rPr>
  </w:style>
  <w:style w:type="character" w:styleId="FollowedHyperlink">
    <w:name w:val="FollowedHyperlink"/>
    <w:basedOn w:val="DefaultParagraphFont"/>
    <w:uiPriority w:val="99"/>
    <w:semiHidden/>
    <w:unhideWhenUsed/>
    <w:rsid w:val="00FB4D44"/>
    <w:rPr>
      <w:color w:val="954F72" w:themeColor="followedHyperlink"/>
      <w:u w:val="single"/>
    </w:rPr>
  </w:style>
  <w:style w:type="paragraph" w:customStyle="1" w:styleId="Char2">
    <w:name w:val="Char2"/>
    <w:basedOn w:val="Normal"/>
    <w:link w:val="FootnoteReference"/>
    <w:rsid w:val="00FD4CEE"/>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9.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ustomXml" Target="../customXml/item10.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9B46AB589ADB458F60887230EEA2B6" ma:contentTypeVersion="2211" ma:contentTypeDescription="A content type to manage public (operations) IDB documents" ma:contentTypeScope="" ma:versionID="a1001638ece7ac88aa07e3c1a385e578">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Diana Champi</Other_x0020_Author>
    <Migration_x0020_Info xmlns="cdc7663a-08f0-4737-9e8c-148ce897a09c" xsi:nil="true"/>
    <Approval_x0020_Number xmlns="cdc7663a-08f0-4737-9e8c-148ce897a09c">4825/OC-EC;</Approval_x0020_Number>
    <Phase xmlns="cdc7663a-08f0-4737-9e8c-148ce897a09c">ACTIVE</Phas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TaxCatchAll xmlns="cdc7663a-08f0-4737-9e8c-148ce897a09c">
      <Value>136</Value>
      <Value>32</Value>
      <Value>3</Value>
      <Value>45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R0001327193</Record_x0020_Number>
    <_dlc_DocId xmlns="cdc7663a-08f0-4737-9e8c-148ce897a09c">EZSHARE-1396919263-25</_dlc_DocId>
    <_dlc_DocIdUrl xmlns="cdc7663a-08f0-4737-9e8c-148ce897a09c">
      <Url>https://idbg.sharepoint.com/teams/EZ-EC-LON/EC-L1252/_layouts/15/DocIdRedir.aspx?ID=EZSHARE-1396919263-25</Url>
      <Description>EZSHARE-1396919263-25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Related_x0020_SisCor_x0020_Number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635" ma:contentTypeDescription="A content type to manage public (operations) IDB documents" ma:contentTypeScope="" ma:versionID="10d8f2791b7f0ac9ef8a90e4f38df3d8">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9B46AB589ADB458F60887230EEA2B6" ma:contentTypeVersion="2235" ma:contentTypeDescription="A content type to manage public (operations) IDB documents" ma:contentTypeScope="" ma:versionID="be535ce6e342e78952584f57dccef66c">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9B46AB589ADB458F60887230EEA2B6" ma:contentTypeVersion="2478" ma:contentTypeDescription="A content type to manage public (operations) IDB documents" ma:contentTypeScope="" ma:versionID="8f83bd292598583bb31bd86ecb625da5">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FF1C0E-2027-4A89-8D24-F3D77570FE1B}">
  <ds:schemaRefs>
    <ds:schemaRef ds:uri="http://schemas.microsoft.com/sharepoint/v3/contenttype/forms"/>
  </ds:schemaRefs>
</ds:datastoreItem>
</file>

<file path=customXml/itemProps10.xml><?xml version="1.0" encoding="utf-8"?>
<ds:datastoreItem xmlns:ds="http://schemas.openxmlformats.org/officeDocument/2006/customXml" ds:itemID="{BED5A28A-7B99-4A3C-B9E0-C9AEEDE8BD0C}"/>
</file>

<file path=customXml/itemProps2.xml><?xml version="1.0" encoding="utf-8"?>
<ds:datastoreItem xmlns:ds="http://schemas.openxmlformats.org/officeDocument/2006/customXml" ds:itemID="{855FC4BD-C3CA-472C-B126-6D4BB07701E2}"/>
</file>

<file path=customXml/itemProps3.xml><?xml version="1.0" encoding="utf-8"?>
<ds:datastoreItem xmlns:ds="http://schemas.openxmlformats.org/officeDocument/2006/customXml" ds:itemID="{AD33918D-E63F-4ECC-B8BA-81697F6D3533}">
  <ds:schemaRefs>
    <ds:schemaRef ds:uri="Microsoft.SharePoint.Taxonomy.ContentTypeSync"/>
  </ds:schemaRefs>
</ds:datastoreItem>
</file>

<file path=customXml/itemProps4.xml><?xml version="1.0" encoding="utf-8"?>
<ds:datastoreItem xmlns:ds="http://schemas.openxmlformats.org/officeDocument/2006/customXml" ds:itemID="{B88AAA4F-572F-4A49-8FED-0B649B0FDDA1}">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DE86AFF7-73C5-410F-A0FF-BDE3C2765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7EBFD73-425F-426E-904A-E1A86FD08B4A}">
  <ds:schemaRefs>
    <ds:schemaRef ds:uri="http://schemas.microsoft.com/sharepoint/events"/>
  </ds:schemaRefs>
</ds:datastoreItem>
</file>

<file path=customXml/itemProps7.xml><?xml version="1.0" encoding="utf-8"?>
<ds:datastoreItem xmlns:ds="http://schemas.openxmlformats.org/officeDocument/2006/customXml" ds:itemID="{EC9C53A2-F521-4EBB-BACB-E42E03885F63}">
  <ds:schemaRefs>
    <ds:schemaRef ds:uri="http://schemas.openxmlformats.org/officeDocument/2006/bibliography"/>
  </ds:schemaRefs>
</ds:datastoreItem>
</file>

<file path=customXml/itemProps8.xml><?xml version="1.0" encoding="utf-8"?>
<ds:datastoreItem xmlns:ds="http://schemas.openxmlformats.org/officeDocument/2006/customXml" ds:itemID="{EA7877F4-D289-4F83-A363-EDC0E6AFA62B}"/>
</file>

<file path=customXml/itemProps9.xml><?xml version="1.0" encoding="utf-8"?>
<ds:datastoreItem xmlns:ds="http://schemas.openxmlformats.org/officeDocument/2006/customXml" ds:itemID="{CE973DE5-F8EB-4A56-A969-F4C971A2D0F7}"/>
</file>

<file path=docProps/app.xml><?xml version="1.0" encoding="utf-8"?>
<Properties xmlns="http://schemas.openxmlformats.org/officeDocument/2006/extended-properties" xmlns:vt="http://schemas.openxmlformats.org/officeDocument/2006/docPropsVTypes">
  <Template>Normal</Template>
  <TotalTime>8</TotalTime>
  <Pages>2</Pages>
  <Words>856</Words>
  <Characters>4883</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Evidencia empírica. La evidencia del impacto de la eficiente gestión fiscal en e</vt:lpstr>
      <vt:lpstr>    La evidencia reciente para la región apunta a que los gobiernos de América Latin</vt:lpstr>
      <vt:lpstr>    En lo relacionado al régimen de gestión de EEPP, existe evidencia de que mecanis</vt:lpstr>
      <vt:lpstr>    En relación con la participación privada en el financiamiento y gestión de infra</vt:lpstr>
      <vt:lpstr>    Finalmente, en relación a la eficiencia de la gestión tributaria, a nivel teóric</vt:lpstr>
      <vt:lpstr>    </vt:lpstr>
    </vt:vector>
  </TitlesOfParts>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Rojas, Agnes</dc:creator>
  <cp:keywords/>
  <dc:description/>
  <cp:lastModifiedBy>Calvo Langdon, Ana Adela</cp:lastModifiedBy>
  <cp:revision>8</cp:revision>
  <dcterms:created xsi:type="dcterms:W3CDTF">2019-05-21T16:53:00Z</dcterms:created>
  <dcterms:modified xsi:type="dcterms:W3CDTF">2019-05-21T21:49:00Z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unction Operations IDB">
    <vt:lpwstr>3;#Monitoring and Reporting|df3c2aa1-d63e-41aa-b1f5-bb15dee691ca</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136;#FISCAL POLICY FOR SUSTAINABILITY AND GROWTH|6e15b5e0-ae82-4b06-920a-eef6dd27cc8b</vt:lpwstr>
  </property>
  <property fmtid="{D5CDD505-2E9C-101B-9397-08002B2CF9AE}" pid="7" name="Fund IDB">
    <vt:lpwstr/>
  </property>
  <property fmtid="{D5CDD505-2E9C-101B-9397-08002B2CF9AE}" pid="8" name="Country">
    <vt:lpwstr>32;#Ecuador|8f163189-00fa-4e7c-827d-28fb5798781c</vt:lpwstr>
  </property>
  <property fmtid="{D5CDD505-2E9C-101B-9397-08002B2CF9AE}" pid="9" name="Sector IDB">
    <vt:lpwstr>45;#REFORM / MODERNIZATION OF THE STATE|c8fda4a7-691a-4c65-b227-9825197b5cd2</vt:lpwstr>
  </property>
  <property fmtid="{D5CDD505-2E9C-101B-9397-08002B2CF9AE}" pid="10" name="_dlc_DocIdItemGuid">
    <vt:lpwstr>c854b181-c645-4c3b-b660-77bdada0dca2</vt:lpwstr>
  </property>
  <property fmtid="{D5CDD505-2E9C-101B-9397-08002B2CF9AE}" pid="11" name="Disclosure Activity">
    <vt:lpwstr>Loan Proposal</vt:lpwstr>
  </property>
  <property fmtid="{D5CDD505-2E9C-101B-9397-08002B2CF9AE}" pid="12" name="ContentTypeId">
    <vt:lpwstr>0x0101001A458A224826124E8B45B1D613300CFC009C9B46AB589ADB458F60887230EEA2B6</vt:lpwstr>
  </property>
</Properties>
</file>