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AE244" w14:textId="77777777" w:rsidR="004B009C" w:rsidRPr="00045551" w:rsidRDefault="00CD7B5E">
      <w:pPr>
        <w:spacing w:after="0" w:line="240" w:lineRule="auto"/>
        <w:jc w:val="center"/>
        <w:rPr>
          <w:rFonts w:ascii="Arial" w:hAnsi="Arial" w:cs="Arial"/>
          <w:b/>
          <w:smallCaps/>
          <w:sz w:val="24"/>
          <w:szCs w:val="18"/>
          <w:lang w:val="es-ES_tradnl"/>
        </w:rPr>
      </w:pPr>
      <w:bookmarkStart w:id="0" w:name="_GoBack"/>
      <w:bookmarkEnd w:id="0"/>
      <w:r w:rsidRPr="00045551">
        <w:rPr>
          <w:rFonts w:ascii="Arial" w:hAnsi="Arial" w:cs="Arial"/>
          <w:b/>
          <w:smallCaps/>
          <w:sz w:val="24"/>
          <w:szCs w:val="18"/>
          <w:lang w:val="es-ES_tradnl"/>
        </w:rPr>
        <w:t xml:space="preserve">Matriz de Medios de Verificación </w:t>
      </w:r>
    </w:p>
    <w:p w14:paraId="298AE245" w14:textId="77777777" w:rsidR="004B009C" w:rsidRPr="00045551" w:rsidRDefault="004B009C">
      <w:pPr>
        <w:spacing w:after="0" w:line="240" w:lineRule="auto"/>
        <w:jc w:val="center"/>
        <w:rPr>
          <w:rFonts w:ascii="Arial" w:hAnsi="Arial" w:cs="Arial"/>
          <w:sz w:val="18"/>
          <w:szCs w:val="18"/>
          <w:lang w:val="es-ES_tradnl"/>
        </w:rPr>
      </w:pPr>
    </w:p>
    <w:tbl>
      <w:tblPr>
        <w:tblW w:w="1486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3371"/>
        <w:gridCol w:w="2340"/>
        <w:gridCol w:w="3328"/>
        <w:gridCol w:w="2340"/>
        <w:gridCol w:w="1746"/>
      </w:tblGrid>
      <w:tr w:rsidR="00F40F53" w:rsidRPr="00BD61E6" w14:paraId="298AE24B" w14:textId="77777777" w:rsidTr="00EF7987">
        <w:trPr>
          <w:trHeight w:val="20"/>
          <w:tblHeader/>
        </w:trPr>
        <w:tc>
          <w:tcPr>
            <w:tcW w:w="1733" w:type="dxa"/>
            <w:tcBorders>
              <w:top w:val="single" w:sz="4" w:space="0" w:color="auto"/>
            </w:tcBorders>
            <w:shd w:val="clear" w:color="auto" w:fill="BFBFBF"/>
            <w:vAlign w:val="center"/>
          </w:tcPr>
          <w:p w14:paraId="298AE246" w14:textId="77777777" w:rsidR="00A6069A" w:rsidRPr="00496C0E" w:rsidRDefault="00A6069A" w:rsidP="00A6069A">
            <w:pPr>
              <w:spacing w:after="0" w:line="240" w:lineRule="auto"/>
              <w:jc w:val="center"/>
              <w:rPr>
                <w:rFonts w:ascii="Arial" w:hAnsi="Arial"/>
                <w:b/>
                <w:smallCaps/>
                <w:sz w:val="20"/>
              </w:rPr>
            </w:pPr>
            <w:r w:rsidRPr="00496C0E">
              <w:rPr>
                <w:rFonts w:ascii="Arial" w:hAnsi="Arial"/>
                <w:b/>
                <w:sz w:val="20"/>
              </w:rPr>
              <w:t>Objetivo</w:t>
            </w:r>
          </w:p>
        </w:tc>
        <w:tc>
          <w:tcPr>
            <w:tcW w:w="3374" w:type="dxa"/>
            <w:tcBorders>
              <w:top w:val="single" w:sz="4" w:space="0" w:color="auto"/>
            </w:tcBorders>
            <w:shd w:val="clear" w:color="auto" w:fill="BFBFBF"/>
            <w:vAlign w:val="center"/>
          </w:tcPr>
          <w:p w14:paraId="298AE248" w14:textId="01B15A6D" w:rsidR="00A6069A" w:rsidRPr="00496C0E" w:rsidRDefault="00A6069A" w:rsidP="00A6069A">
            <w:pPr>
              <w:spacing w:after="0" w:line="240" w:lineRule="auto"/>
              <w:jc w:val="center"/>
              <w:rPr>
                <w:rFonts w:ascii="Arial" w:hAnsi="Arial"/>
                <w:b/>
                <w:sz w:val="20"/>
              </w:rPr>
            </w:pPr>
            <w:r w:rsidRPr="00496C0E">
              <w:rPr>
                <w:rFonts w:ascii="Arial" w:hAnsi="Arial"/>
                <w:b/>
                <w:sz w:val="20"/>
                <w:lang w:val="es-AR"/>
              </w:rPr>
              <w:t>Condiciones de Política Tramo I</w:t>
            </w:r>
          </w:p>
        </w:tc>
        <w:tc>
          <w:tcPr>
            <w:tcW w:w="2340" w:type="dxa"/>
            <w:tcBorders>
              <w:top w:val="single" w:sz="4" w:space="0" w:color="auto"/>
            </w:tcBorders>
            <w:shd w:val="clear" w:color="auto" w:fill="BFBFBF"/>
            <w:vAlign w:val="center"/>
          </w:tcPr>
          <w:p w14:paraId="298AE249" w14:textId="6E69077C" w:rsidR="00A6069A" w:rsidRPr="00496C0E" w:rsidRDefault="00A6069A" w:rsidP="00A6069A">
            <w:pPr>
              <w:spacing w:after="0" w:line="240" w:lineRule="auto"/>
              <w:jc w:val="center"/>
              <w:rPr>
                <w:rFonts w:ascii="Arial" w:hAnsi="Arial"/>
                <w:b/>
                <w:sz w:val="20"/>
              </w:rPr>
            </w:pPr>
            <w:r w:rsidRPr="00496C0E">
              <w:rPr>
                <w:rFonts w:ascii="Arial" w:hAnsi="Arial"/>
                <w:b/>
                <w:sz w:val="20"/>
              </w:rPr>
              <w:t>Medios de Verificación</w:t>
            </w:r>
            <w:r w:rsidRPr="00496C0E">
              <w:rPr>
                <w:rFonts w:ascii="Arial" w:hAnsi="Arial"/>
                <w:b/>
                <w:sz w:val="20"/>
                <w:lang w:val="es-AR"/>
              </w:rPr>
              <w:t xml:space="preserve"> Tramo I</w:t>
            </w:r>
          </w:p>
        </w:tc>
        <w:tc>
          <w:tcPr>
            <w:tcW w:w="3330" w:type="dxa"/>
            <w:tcBorders>
              <w:top w:val="single" w:sz="4" w:space="0" w:color="auto"/>
            </w:tcBorders>
            <w:shd w:val="clear" w:color="auto" w:fill="BFBFBF"/>
            <w:vAlign w:val="center"/>
          </w:tcPr>
          <w:p w14:paraId="77996683" w14:textId="4D2A911B" w:rsidR="00A6069A" w:rsidRPr="00496C0E" w:rsidRDefault="00A6069A" w:rsidP="00A6069A">
            <w:pPr>
              <w:spacing w:after="0" w:line="240" w:lineRule="auto"/>
              <w:ind w:left="-108" w:right="-110"/>
              <w:jc w:val="center"/>
              <w:rPr>
                <w:rFonts w:ascii="Arial" w:hAnsi="Arial"/>
                <w:b/>
                <w:sz w:val="20"/>
              </w:rPr>
            </w:pPr>
            <w:r w:rsidRPr="00496C0E">
              <w:rPr>
                <w:rFonts w:ascii="Arial" w:hAnsi="Arial"/>
                <w:b/>
                <w:sz w:val="20"/>
                <w:lang w:val="es-AR"/>
              </w:rPr>
              <w:t>Condiciones de Política Tramo II</w:t>
            </w:r>
          </w:p>
        </w:tc>
        <w:tc>
          <w:tcPr>
            <w:tcW w:w="2340" w:type="dxa"/>
            <w:tcBorders>
              <w:top w:val="single" w:sz="4" w:space="0" w:color="auto"/>
            </w:tcBorders>
            <w:shd w:val="clear" w:color="auto" w:fill="BFBFBF"/>
            <w:vAlign w:val="center"/>
          </w:tcPr>
          <w:p w14:paraId="52FE97D0" w14:textId="68D3D218" w:rsidR="00A6069A" w:rsidRPr="00496C0E" w:rsidRDefault="00A6069A" w:rsidP="00A6069A">
            <w:pPr>
              <w:spacing w:after="0" w:line="240" w:lineRule="auto"/>
              <w:ind w:left="-108" w:right="-110"/>
              <w:jc w:val="center"/>
              <w:rPr>
                <w:rFonts w:ascii="Arial" w:hAnsi="Arial"/>
                <w:b/>
                <w:sz w:val="20"/>
              </w:rPr>
            </w:pPr>
            <w:r w:rsidRPr="00496C0E">
              <w:rPr>
                <w:rFonts w:ascii="Arial" w:hAnsi="Arial"/>
                <w:b/>
                <w:sz w:val="20"/>
              </w:rPr>
              <w:t>Medios de Verificación</w:t>
            </w:r>
            <w:r w:rsidRPr="00496C0E">
              <w:rPr>
                <w:rFonts w:ascii="Arial" w:hAnsi="Arial"/>
                <w:b/>
                <w:sz w:val="20"/>
                <w:lang w:val="es-AR"/>
              </w:rPr>
              <w:t xml:space="preserve"> Tramo II</w:t>
            </w:r>
          </w:p>
        </w:tc>
        <w:tc>
          <w:tcPr>
            <w:tcW w:w="1747" w:type="dxa"/>
            <w:tcBorders>
              <w:top w:val="single" w:sz="4" w:space="0" w:color="auto"/>
            </w:tcBorders>
            <w:shd w:val="clear" w:color="auto" w:fill="BFBFBF"/>
            <w:vAlign w:val="center"/>
          </w:tcPr>
          <w:p w14:paraId="298AE24A" w14:textId="276F6599" w:rsidR="00A6069A" w:rsidRPr="00496C0E" w:rsidRDefault="00A6069A" w:rsidP="00A6069A">
            <w:pPr>
              <w:spacing w:after="0" w:line="240" w:lineRule="auto"/>
              <w:ind w:left="-108" w:right="-110"/>
              <w:jc w:val="center"/>
              <w:rPr>
                <w:rFonts w:ascii="Arial" w:hAnsi="Arial"/>
                <w:b/>
                <w:sz w:val="20"/>
              </w:rPr>
            </w:pPr>
            <w:r w:rsidRPr="00496C0E">
              <w:rPr>
                <w:rFonts w:ascii="Arial" w:hAnsi="Arial"/>
                <w:b/>
                <w:sz w:val="20"/>
              </w:rPr>
              <w:t>Responsable</w:t>
            </w:r>
          </w:p>
        </w:tc>
      </w:tr>
      <w:tr w:rsidR="009F2115" w:rsidRPr="00BD61E6" w14:paraId="298AE24D" w14:textId="0C12F9E1" w:rsidTr="00A20577">
        <w:trPr>
          <w:trHeight w:val="20"/>
        </w:trPr>
        <w:tc>
          <w:tcPr>
            <w:tcW w:w="10777" w:type="dxa"/>
            <w:gridSpan w:val="4"/>
            <w:shd w:val="clear" w:color="auto" w:fill="D9D9D9"/>
            <w:vAlign w:val="center"/>
          </w:tcPr>
          <w:p w14:paraId="298AE24C" w14:textId="77777777" w:rsidR="00A6069A" w:rsidRPr="00496C0E" w:rsidRDefault="00A6069A" w:rsidP="00A6069A">
            <w:pPr>
              <w:spacing w:after="0" w:line="240" w:lineRule="auto"/>
              <w:ind w:right="-110"/>
              <w:rPr>
                <w:rFonts w:ascii="Arial" w:hAnsi="Arial"/>
                <w:b/>
                <w:sz w:val="20"/>
              </w:rPr>
            </w:pPr>
            <w:r w:rsidRPr="00496C0E">
              <w:rPr>
                <w:rFonts w:ascii="Arial" w:hAnsi="Arial"/>
                <w:b/>
                <w:sz w:val="20"/>
              </w:rPr>
              <w:t>Componente I. Estabilidad macroeconómica</w:t>
            </w:r>
          </w:p>
        </w:tc>
        <w:tc>
          <w:tcPr>
            <w:tcW w:w="4087" w:type="dxa"/>
            <w:gridSpan w:val="2"/>
            <w:shd w:val="clear" w:color="auto" w:fill="D9D9D9"/>
          </w:tcPr>
          <w:p w14:paraId="4F08F51E" w14:textId="77777777" w:rsidR="00A6069A" w:rsidRPr="00496C0E" w:rsidRDefault="00A6069A" w:rsidP="00A6069A">
            <w:pPr>
              <w:spacing w:after="0" w:line="240" w:lineRule="auto"/>
              <w:ind w:right="-110"/>
              <w:rPr>
                <w:rFonts w:ascii="Arial" w:hAnsi="Arial"/>
                <w:b/>
                <w:sz w:val="20"/>
              </w:rPr>
            </w:pPr>
          </w:p>
        </w:tc>
      </w:tr>
      <w:tr w:rsidR="00F40F53" w:rsidRPr="00BD61E6" w14:paraId="298AE252" w14:textId="77777777" w:rsidTr="00996D5C">
        <w:trPr>
          <w:trHeight w:val="20"/>
        </w:trPr>
        <w:tc>
          <w:tcPr>
            <w:tcW w:w="1733" w:type="dxa"/>
            <w:shd w:val="clear" w:color="auto" w:fill="auto"/>
            <w:vAlign w:val="center"/>
          </w:tcPr>
          <w:p w14:paraId="298AE24E" w14:textId="4E7CB83A" w:rsidR="000A7AF4" w:rsidRPr="00496C0E" w:rsidRDefault="000A7AF4" w:rsidP="00996D5C">
            <w:pPr>
              <w:spacing w:before="20" w:after="20" w:line="240" w:lineRule="auto"/>
              <w:rPr>
                <w:rFonts w:ascii="Arial" w:hAnsi="Arial"/>
                <w:sz w:val="20"/>
                <w:lang w:val="es-ES_tradnl"/>
              </w:rPr>
            </w:pPr>
            <w:r w:rsidRPr="00496C0E">
              <w:rPr>
                <w:rFonts w:ascii="Arial" w:hAnsi="Arial"/>
                <w:sz w:val="20"/>
                <w:lang w:val="es-ES_tradnl"/>
              </w:rPr>
              <w:t>Asegurar el mantenimiento de un contexto macroeconómico congruente con los objetivos del programa según establecido en la Matriz de Políticas y en la Carta de Políticas.</w:t>
            </w:r>
          </w:p>
        </w:tc>
        <w:tc>
          <w:tcPr>
            <w:tcW w:w="3374" w:type="dxa"/>
            <w:shd w:val="clear" w:color="auto" w:fill="auto"/>
          </w:tcPr>
          <w:p w14:paraId="298AE24F" w14:textId="1EF5E552" w:rsidR="000A7AF4" w:rsidRPr="00496C0E" w:rsidRDefault="000A7AF4" w:rsidP="00ED187F">
            <w:pPr>
              <w:pStyle w:val="ListParagraph"/>
              <w:numPr>
                <w:ilvl w:val="1"/>
                <w:numId w:val="1"/>
              </w:numPr>
              <w:spacing w:before="20" w:after="20"/>
              <w:jc w:val="both"/>
              <w:rPr>
                <w:rFonts w:ascii="Arial" w:hAnsi="Arial"/>
                <w:sz w:val="20"/>
                <w:lang w:val="es-ES"/>
              </w:rPr>
            </w:pPr>
            <w:r w:rsidRPr="00496C0E">
              <w:rPr>
                <w:rFonts w:ascii="Arial" w:hAnsi="Arial"/>
                <w:sz w:val="20"/>
                <w:lang w:val="es-ES_tradnl"/>
              </w:rPr>
              <w:t>Mantenimiento de un contexto macroeconómico congruente con los objetivos del programa según establecido en la Matriz de Políticas.</w:t>
            </w:r>
          </w:p>
        </w:tc>
        <w:tc>
          <w:tcPr>
            <w:tcW w:w="2340" w:type="dxa"/>
            <w:shd w:val="clear" w:color="auto" w:fill="auto"/>
          </w:tcPr>
          <w:p w14:paraId="75669CD3" w14:textId="7B680043" w:rsidR="000A7AF4" w:rsidRPr="00496C0E" w:rsidRDefault="000A7AF4" w:rsidP="00ED187F">
            <w:pPr>
              <w:pStyle w:val="ListParagraph"/>
              <w:numPr>
                <w:ilvl w:val="0"/>
                <w:numId w:val="2"/>
              </w:numPr>
              <w:spacing w:before="20" w:after="20"/>
              <w:jc w:val="both"/>
              <w:rPr>
                <w:rFonts w:ascii="Arial" w:hAnsi="Arial"/>
                <w:sz w:val="20"/>
                <w:lang w:val="es-ES"/>
              </w:rPr>
            </w:pPr>
            <w:r w:rsidRPr="00496C0E">
              <w:rPr>
                <w:rFonts w:ascii="Arial" w:hAnsi="Arial"/>
                <w:sz w:val="20"/>
                <w:lang w:val="es-ES"/>
              </w:rPr>
              <w:t>Evaluación independiente de Condiciones Macroeconómic</w:t>
            </w:r>
            <w:r w:rsidR="00D46393" w:rsidRPr="00496C0E">
              <w:rPr>
                <w:rFonts w:ascii="Arial" w:hAnsi="Arial"/>
                <w:sz w:val="20"/>
                <w:lang w:val="es-ES"/>
              </w:rPr>
              <w:t>a</w:t>
            </w:r>
            <w:r w:rsidRPr="00496C0E">
              <w:rPr>
                <w:rFonts w:ascii="Arial" w:hAnsi="Arial"/>
                <w:sz w:val="20"/>
                <w:lang w:val="es-ES"/>
              </w:rPr>
              <w:t>s (IAMC, por sus siglas en inglés) elaborada por el Banco y vigente al momento del desembolso.</w:t>
            </w:r>
          </w:p>
          <w:p w14:paraId="298AE250" w14:textId="4A4547A6" w:rsidR="000A7AF4" w:rsidRPr="00496C0E" w:rsidRDefault="000A7AF4" w:rsidP="000A7AF4">
            <w:pPr>
              <w:pStyle w:val="ListParagraph"/>
              <w:spacing w:before="20" w:after="20"/>
              <w:ind w:left="360"/>
              <w:jc w:val="both"/>
              <w:rPr>
                <w:rFonts w:ascii="Arial" w:hAnsi="Arial"/>
                <w:sz w:val="20"/>
                <w:lang w:val="es-ES"/>
              </w:rPr>
            </w:pPr>
          </w:p>
        </w:tc>
        <w:tc>
          <w:tcPr>
            <w:tcW w:w="3330" w:type="dxa"/>
          </w:tcPr>
          <w:p w14:paraId="5113B6B1" w14:textId="78FB3270" w:rsidR="000A7AF4" w:rsidRPr="00496C0E" w:rsidRDefault="009018CD" w:rsidP="009018CD">
            <w:pPr>
              <w:spacing w:before="20" w:after="20" w:line="240" w:lineRule="auto"/>
              <w:ind w:left="256" w:right="-18" w:hanging="274"/>
              <w:rPr>
                <w:rFonts w:ascii="Arial" w:hAnsi="Arial"/>
                <w:sz w:val="20"/>
              </w:rPr>
            </w:pPr>
            <w:r w:rsidRPr="00496C0E">
              <w:rPr>
                <w:rFonts w:ascii="Arial" w:hAnsi="Arial"/>
                <w:sz w:val="20"/>
                <w:lang w:val="es-ES_tradnl"/>
              </w:rPr>
              <w:t xml:space="preserve">1.2 </w:t>
            </w:r>
            <w:r w:rsidR="00743840" w:rsidRPr="00496C0E">
              <w:rPr>
                <w:rFonts w:ascii="Arial" w:hAnsi="Arial"/>
                <w:sz w:val="20"/>
                <w:lang w:val="es-ES_tradnl"/>
              </w:rPr>
              <w:t>Mantenimiento de un</w:t>
            </w:r>
            <w:r w:rsidR="00743840" w:rsidRPr="00496C0E" w:rsidDel="002978AB">
              <w:rPr>
                <w:rFonts w:ascii="Arial" w:hAnsi="Arial"/>
                <w:sz w:val="20"/>
                <w:lang w:val="es-ES_tradnl"/>
              </w:rPr>
              <w:t xml:space="preserve"> </w:t>
            </w:r>
            <w:r w:rsidR="00743840" w:rsidRPr="00496C0E">
              <w:rPr>
                <w:rFonts w:ascii="Arial" w:hAnsi="Arial"/>
                <w:sz w:val="20"/>
                <w:lang w:val="es-ES_tradnl"/>
              </w:rPr>
              <w:t>contexto macroeconómico congruente con los objetivos del programa según establecido en la Matriz de Políticas.</w:t>
            </w:r>
          </w:p>
        </w:tc>
        <w:tc>
          <w:tcPr>
            <w:tcW w:w="2340" w:type="dxa"/>
          </w:tcPr>
          <w:p w14:paraId="7155F1B0" w14:textId="03B7E8C0" w:rsidR="000A7AF4" w:rsidRPr="00496C0E" w:rsidRDefault="000A7AF4" w:rsidP="00ED187F">
            <w:pPr>
              <w:pStyle w:val="ListParagraph"/>
              <w:numPr>
                <w:ilvl w:val="0"/>
                <w:numId w:val="2"/>
              </w:numPr>
              <w:spacing w:before="20" w:after="20"/>
              <w:jc w:val="both"/>
              <w:rPr>
                <w:rFonts w:ascii="Arial" w:hAnsi="Arial"/>
                <w:sz w:val="20"/>
                <w:lang w:val="es-ES"/>
              </w:rPr>
            </w:pPr>
            <w:r w:rsidRPr="00496C0E">
              <w:rPr>
                <w:rFonts w:ascii="Arial" w:hAnsi="Arial"/>
                <w:sz w:val="20"/>
                <w:lang w:val="es-ES"/>
              </w:rPr>
              <w:t>IAMC</w:t>
            </w:r>
            <w:r w:rsidR="00491F52" w:rsidRPr="00496C0E">
              <w:rPr>
                <w:rFonts w:ascii="Arial" w:hAnsi="Arial"/>
                <w:sz w:val="20"/>
                <w:lang w:val="es-ES"/>
              </w:rPr>
              <w:t xml:space="preserve"> v</w:t>
            </w:r>
            <w:r w:rsidRPr="00496C0E">
              <w:rPr>
                <w:rFonts w:ascii="Arial" w:hAnsi="Arial"/>
                <w:sz w:val="20"/>
                <w:lang w:val="es-ES"/>
              </w:rPr>
              <w:t>igente al momento del desembolso.</w:t>
            </w:r>
          </w:p>
          <w:p w14:paraId="7C547299" w14:textId="5EDA9507" w:rsidR="000A7AF4" w:rsidRPr="00496C0E" w:rsidRDefault="000A7AF4" w:rsidP="000A7AF4">
            <w:pPr>
              <w:spacing w:before="20" w:after="20" w:line="240" w:lineRule="auto"/>
              <w:ind w:left="-18" w:right="-18"/>
              <w:rPr>
                <w:rFonts w:ascii="Arial" w:hAnsi="Arial"/>
                <w:sz w:val="20"/>
              </w:rPr>
            </w:pPr>
          </w:p>
        </w:tc>
        <w:tc>
          <w:tcPr>
            <w:tcW w:w="1747" w:type="dxa"/>
            <w:shd w:val="clear" w:color="auto" w:fill="auto"/>
          </w:tcPr>
          <w:p w14:paraId="298AE251" w14:textId="3C7434A0" w:rsidR="000A7AF4" w:rsidRPr="00496C0E" w:rsidRDefault="000A7AF4" w:rsidP="000A7AF4">
            <w:pPr>
              <w:spacing w:before="20" w:after="20" w:line="240" w:lineRule="auto"/>
              <w:ind w:left="-18" w:right="-69"/>
              <w:rPr>
                <w:rFonts w:ascii="Arial" w:hAnsi="Arial"/>
                <w:sz w:val="20"/>
              </w:rPr>
            </w:pPr>
            <w:r w:rsidRPr="00496C0E">
              <w:rPr>
                <w:rFonts w:ascii="Arial" w:hAnsi="Arial"/>
                <w:sz w:val="20"/>
              </w:rPr>
              <w:t>Ministerio de Economía y Finanzas-MEF (acción), BID (IAMC).</w:t>
            </w:r>
          </w:p>
        </w:tc>
      </w:tr>
      <w:tr w:rsidR="009F2115" w:rsidRPr="00BD61E6" w14:paraId="298AE254" w14:textId="4EBD50AA" w:rsidTr="00A20577">
        <w:trPr>
          <w:trHeight w:val="20"/>
        </w:trPr>
        <w:tc>
          <w:tcPr>
            <w:tcW w:w="10777" w:type="dxa"/>
            <w:gridSpan w:val="4"/>
            <w:shd w:val="clear" w:color="auto" w:fill="D9D9D9"/>
            <w:vAlign w:val="center"/>
          </w:tcPr>
          <w:p w14:paraId="298AE253" w14:textId="198455EA" w:rsidR="00A6069A" w:rsidRPr="00496C0E" w:rsidRDefault="00A6069A" w:rsidP="00A6069A">
            <w:pPr>
              <w:spacing w:after="0" w:line="240" w:lineRule="auto"/>
              <w:ind w:left="-42" w:right="-110"/>
              <w:rPr>
                <w:rFonts w:ascii="Arial" w:hAnsi="Arial"/>
                <w:b/>
                <w:sz w:val="20"/>
              </w:rPr>
            </w:pPr>
            <w:r w:rsidRPr="00496C0E">
              <w:rPr>
                <w:rFonts w:ascii="Arial" w:hAnsi="Arial"/>
                <w:b/>
                <w:sz w:val="20"/>
              </w:rPr>
              <w:t xml:space="preserve">Componente II. </w:t>
            </w:r>
            <w:r w:rsidR="002A0A83" w:rsidRPr="00496C0E">
              <w:rPr>
                <w:rFonts w:ascii="Arial" w:hAnsi="Arial"/>
                <w:b/>
                <w:kern w:val="18"/>
                <w:sz w:val="20"/>
              </w:rPr>
              <w:t>Fortalecimiento del marco de responsabilidad fiscal y de la transparencia de la deuda</w:t>
            </w:r>
          </w:p>
        </w:tc>
        <w:tc>
          <w:tcPr>
            <w:tcW w:w="4087" w:type="dxa"/>
            <w:gridSpan w:val="2"/>
            <w:shd w:val="clear" w:color="auto" w:fill="D9D9D9"/>
          </w:tcPr>
          <w:p w14:paraId="4FCC77FA" w14:textId="77777777" w:rsidR="00A6069A" w:rsidRPr="00496C0E" w:rsidRDefault="00A6069A" w:rsidP="00A6069A">
            <w:pPr>
              <w:spacing w:after="0" w:line="240" w:lineRule="auto"/>
              <w:ind w:left="-42" w:right="-110"/>
              <w:rPr>
                <w:rFonts w:ascii="Arial" w:hAnsi="Arial"/>
                <w:b/>
                <w:sz w:val="20"/>
              </w:rPr>
            </w:pPr>
          </w:p>
        </w:tc>
      </w:tr>
      <w:tr w:rsidR="00F40F53" w:rsidRPr="00BD61E6" w14:paraId="298AE25A" w14:textId="77777777" w:rsidTr="00996D5C">
        <w:trPr>
          <w:trHeight w:val="20"/>
        </w:trPr>
        <w:tc>
          <w:tcPr>
            <w:tcW w:w="1733" w:type="dxa"/>
            <w:shd w:val="clear" w:color="auto" w:fill="auto"/>
            <w:vAlign w:val="center"/>
          </w:tcPr>
          <w:p w14:paraId="298AE255" w14:textId="77375741" w:rsidR="00595544" w:rsidRPr="00496C0E" w:rsidRDefault="00595544" w:rsidP="00996D5C">
            <w:pPr>
              <w:spacing w:before="20" w:after="20" w:line="240" w:lineRule="auto"/>
              <w:rPr>
                <w:rFonts w:ascii="Arial" w:hAnsi="Arial"/>
                <w:sz w:val="20"/>
              </w:rPr>
            </w:pPr>
            <w:r w:rsidRPr="00496C0E">
              <w:rPr>
                <w:rFonts w:ascii="Arial" w:hAnsi="Arial"/>
                <w:sz w:val="20"/>
                <w:lang w:val="es-ES_tradnl"/>
              </w:rPr>
              <w:t>Fortalecimiento del marco de responsabilidad fiscal.</w:t>
            </w:r>
          </w:p>
        </w:tc>
        <w:tc>
          <w:tcPr>
            <w:tcW w:w="3374" w:type="dxa"/>
            <w:shd w:val="clear" w:color="auto" w:fill="auto"/>
          </w:tcPr>
          <w:p w14:paraId="32111154" w14:textId="4F7AEAB9" w:rsidR="00595544" w:rsidRPr="00496C0E" w:rsidRDefault="00595544" w:rsidP="00595544">
            <w:pPr>
              <w:shd w:val="clear" w:color="auto" w:fill="FFFFFF" w:themeFill="background1"/>
              <w:spacing w:before="60" w:after="60"/>
              <w:ind w:left="425" w:hanging="425"/>
              <w:jc w:val="both"/>
              <w:rPr>
                <w:rFonts w:ascii="Arial" w:hAnsi="Arial"/>
                <w:sz w:val="20"/>
                <w:lang w:val="es-ES_tradnl"/>
              </w:rPr>
            </w:pPr>
            <w:r w:rsidRPr="00496C0E">
              <w:rPr>
                <w:rFonts w:ascii="Arial" w:hAnsi="Arial"/>
                <w:sz w:val="20"/>
                <w:lang w:val="es-ES_tradnl"/>
              </w:rPr>
              <w:t>2.</w:t>
            </w:r>
            <w:r w:rsidRPr="00BD61E6">
              <w:rPr>
                <w:rFonts w:ascii="Arial" w:hAnsi="Arial" w:cs="Arial"/>
                <w:sz w:val="20"/>
                <w:szCs w:val="20"/>
                <w:lang w:val="es-ES_tradnl"/>
              </w:rPr>
              <w:t>1</w:t>
            </w:r>
            <w:r w:rsidR="000D1358">
              <w:rPr>
                <w:rFonts w:ascii="Arial" w:hAnsi="Arial" w:cs="Arial"/>
                <w:sz w:val="20"/>
                <w:szCs w:val="20"/>
                <w:lang w:val="es-ES_tradnl"/>
              </w:rPr>
              <w:t xml:space="preserve"> </w:t>
            </w:r>
            <w:r w:rsidR="00636A3D">
              <w:rPr>
                <w:rFonts w:ascii="Arial" w:hAnsi="Arial" w:cs="Arial"/>
                <w:sz w:val="20"/>
                <w:szCs w:val="20"/>
                <w:lang w:val="es-ES_tradnl"/>
              </w:rPr>
              <w:t>Fortalecimiento</w:t>
            </w:r>
            <w:r w:rsidR="00636A3D" w:rsidRPr="00496C0E">
              <w:rPr>
                <w:rFonts w:ascii="Arial" w:hAnsi="Arial"/>
                <w:sz w:val="20"/>
                <w:lang w:val="es-ES_tradnl"/>
              </w:rPr>
              <w:t xml:space="preserve"> del</w:t>
            </w:r>
            <w:r w:rsidR="004E60D1" w:rsidRPr="00496C0E">
              <w:rPr>
                <w:rFonts w:ascii="Arial" w:hAnsi="Arial"/>
                <w:sz w:val="20"/>
                <w:lang w:val="es-ES_tradnl"/>
              </w:rPr>
              <w:t xml:space="preserve"> </w:t>
            </w:r>
            <w:r w:rsidRPr="00496C0E">
              <w:rPr>
                <w:rFonts w:ascii="Arial" w:hAnsi="Arial"/>
                <w:sz w:val="20"/>
                <w:lang w:val="es-ES_tradnl"/>
              </w:rPr>
              <w:t xml:space="preserve">Marco de responsabilidad fiscal mediante: </w:t>
            </w:r>
          </w:p>
          <w:p w14:paraId="53D28D18" w14:textId="77777777" w:rsidR="00595544" w:rsidRPr="00496C0E" w:rsidRDefault="00595544" w:rsidP="004F27EE">
            <w:pPr>
              <w:pStyle w:val="ListParagraph"/>
              <w:numPr>
                <w:ilvl w:val="0"/>
                <w:numId w:val="7"/>
              </w:numPr>
              <w:shd w:val="clear" w:color="auto" w:fill="FFFFFF" w:themeFill="background1"/>
              <w:spacing w:before="60" w:after="60"/>
              <w:ind w:left="576" w:hanging="274"/>
              <w:jc w:val="both"/>
              <w:rPr>
                <w:rFonts w:ascii="Arial" w:hAnsi="Arial"/>
                <w:sz w:val="20"/>
                <w:lang w:val="es-ES_tradnl"/>
              </w:rPr>
            </w:pPr>
            <w:r w:rsidRPr="00496C0E">
              <w:rPr>
                <w:rFonts w:ascii="Arial" w:hAnsi="Arial"/>
                <w:sz w:val="20"/>
                <w:lang w:val="es-ES_tradnl"/>
              </w:rPr>
              <w:t>Un límite de crecimiento del gasto público del gobierno central equivalente a la tasa de crecimiento real de largo plazo de la economía.</w:t>
            </w:r>
          </w:p>
          <w:p w14:paraId="4F7BB9CB" w14:textId="67718199" w:rsidR="00595544" w:rsidRPr="00496C0E" w:rsidRDefault="00595544" w:rsidP="005E03BD">
            <w:pPr>
              <w:pStyle w:val="ListParagraph"/>
              <w:numPr>
                <w:ilvl w:val="0"/>
                <w:numId w:val="7"/>
              </w:numPr>
              <w:shd w:val="clear" w:color="auto" w:fill="FFFFFF" w:themeFill="background1"/>
              <w:spacing w:before="60" w:after="60"/>
              <w:ind w:left="571" w:hanging="270"/>
              <w:jc w:val="both"/>
              <w:rPr>
                <w:rFonts w:ascii="Arial" w:hAnsi="Arial"/>
                <w:sz w:val="20"/>
                <w:lang w:val="es-ES_tradnl"/>
              </w:rPr>
            </w:pPr>
            <w:r w:rsidRPr="00496C0E">
              <w:rPr>
                <w:rFonts w:ascii="Arial" w:hAnsi="Arial"/>
                <w:sz w:val="20"/>
                <w:lang w:val="es-ES_tradnl"/>
              </w:rPr>
              <w:t>La definición de cláusulas de escape a la regla de crecimiento de gasto</w:t>
            </w:r>
            <w:r w:rsidR="009452ED" w:rsidRPr="00496C0E">
              <w:rPr>
                <w:rFonts w:ascii="Arial" w:hAnsi="Arial"/>
                <w:sz w:val="20"/>
                <w:lang w:val="es-ES_tradnl"/>
              </w:rPr>
              <w:t xml:space="preserve"> público</w:t>
            </w:r>
            <w:r w:rsidRPr="00496C0E">
              <w:rPr>
                <w:rFonts w:ascii="Arial" w:hAnsi="Arial"/>
                <w:sz w:val="20"/>
                <w:lang w:val="es-ES_tradnl"/>
              </w:rPr>
              <w:t>, incluyendo escenarios de recesión económica grave.</w:t>
            </w:r>
          </w:p>
          <w:p w14:paraId="298AE256" w14:textId="039426B1" w:rsidR="00595544" w:rsidRPr="00496C0E" w:rsidRDefault="00595544" w:rsidP="005E03BD">
            <w:pPr>
              <w:pStyle w:val="ListParagraph"/>
              <w:numPr>
                <w:ilvl w:val="0"/>
                <w:numId w:val="7"/>
              </w:numPr>
              <w:shd w:val="clear" w:color="auto" w:fill="FFFFFF" w:themeFill="background1"/>
              <w:spacing w:before="60" w:after="60"/>
              <w:ind w:left="571" w:hanging="270"/>
              <w:jc w:val="both"/>
              <w:rPr>
                <w:rFonts w:ascii="Arial" w:hAnsi="Arial"/>
                <w:sz w:val="20"/>
                <w:lang w:val="es-ES_tradnl"/>
              </w:rPr>
            </w:pPr>
            <w:r w:rsidRPr="00496C0E">
              <w:rPr>
                <w:rFonts w:ascii="Arial" w:hAnsi="Arial"/>
                <w:sz w:val="20"/>
                <w:lang w:val="es-ES_tradnl"/>
              </w:rPr>
              <w:t>El establecimiento de mecanismos cuatrimestrales de monitoreo de la regla fiscal de crecimiento de gasto</w:t>
            </w:r>
            <w:r w:rsidR="009452ED" w:rsidRPr="00496C0E">
              <w:rPr>
                <w:rFonts w:ascii="Arial" w:hAnsi="Arial"/>
                <w:sz w:val="20"/>
                <w:lang w:val="es-ES_tradnl"/>
              </w:rPr>
              <w:t xml:space="preserve"> público</w:t>
            </w:r>
            <w:r w:rsidRPr="00496C0E">
              <w:rPr>
                <w:rFonts w:ascii="Arial" w:hAnsi="Arial"/>
                <w:sz w:val="20"/>
                <w:lang w:val="es-ES_tradnl"/>
              </w:rPr>
              <w:t xml:space="preserve"> incluyendo análisis de riesgo de incumplimiento.</w:t>
            </w:r>
          </w:p>
        </w:tc>
        <w:tc>
          <w:tcPr>
            <w:tcW w:w="2340" w:type="dxa"/>
            <w:shd w:val="clear" w:color="auto" w:fill="auto"/>
          </w:tcPr>
          <w:p w14:paraId="298AE257" w14:textId="5A72487A" w:rsidR="00595544" w:rsidRPr="00496C0E" w:rsidRDefault="002B0EBC" w:rsidP="004F27EE">
            <w:pPr>
              <w:numPr>
                <w:ilvl w:val="0"/>
                <w:numId w:val="28"/>
              </w:numPr>
              <w:spacing w:before="60" w:after="60" w:line="240" w:lineRule="auto"/>
              <w:rPr>
                <w:rFonts w:ascii="Arial" w:hAnsi="Arial"/>
                <w:sz w:val="20"/>
              </w:rPr>
            </w:pPr>
            <w:r w:rsidRPr="00496C0E">
              <w:rPr>
                <w:rFonts w:ascii="Arial" w:hAnsi="Arial"/>
                <w:sz w:val="20"/>
              </w:rPr>
              <w:t>Copia de la publicación en el Registro Oficial 309 Suplemento de 21 de agosto de 2018 de la República del Ecuador de la</w:t>
            </w:r>
            <w:r w:rsidR="00DE7700" w:rsidRPr="00496C0E">
              <w:rPr>
                <w:rFonts w:ascii="Arial" w:hAnsi="Arial"/>
                <w:sz w:val="20"/>
              </w:rPr>
              <w:t xml:space="preserve"> </w:t>
            </w:r>
            <w:r w:rsidRPr="00496C0E">
              <w:rPr>
                <w:rFonts w:ascii="Arial" w:hAnsi="Arial"/>
                <w:sz w:val="20"/>
              </w:rPr>
              <w:t xml:space="preserve">Ley Orgánica para el Fomento Productivo, Atracción de Inversiones, Generación de Empleo y Estabilidad y Equilibrio Fiscal y </w:t>
            </w:r>
            <w:r w:rsidR="00595544" w:rsidRPr="00496C0E">
              <w:rPr>
                <w:rFonts w:ascii="Arial" w:hAnsi="Arial"/>
                <w:sz w:val="20"/>
              </w:rPr>
              <w:t>Copia de la publicación en el</w:t>
            </w:r>
            <w:r w:rsidR="00DE7700" w:rsidRPr="00496C0E">
              <w:rPr>
                <w:rFonts w:ascii="Arial" w:hAnsi="Arial"/>
                <w:sz w:val="20"/>
              </w:rPr>
              <w:t xml:space="preserve"> </w:t>
            </w:r>
            <w:r w:rsidR="00595544" w:rsidRPr="00496C0E">
              <w:rPr>
                <w:rFonts w:ascii="Arial" w:hAnsi="Arial"/>
                <w:sz w:val="20"/>
              </w:rPr>
              <w:t xml:space="preserve">Registro Oficial 392 Suplemento de 20 de diciembre de 2018 de la República del Ecuador del Decreto Ejecutivo </w:t>
            </w:r>
            <w:r w:rsidR="00595544" w:rsidRPr="00496C0E">
              <w:rPr>
                <w:rFonts w:ascii="Arial" w:hAnsi="Arial"/>
                <w:sz w:val="20"/>
              </w:rPr>
              <w:lastRenderedPageBreak/>
              <w:t>Nº 617</w:t>
            </w:r>
            <w:r w:rsidR="00DE7700" w:rsidRPr="00496C0E">
              <w:rPr>
                <w:rFonts w:ascii="Arial" w:hAnsi="Arial"/>
                <w:sz w:val="20"/>
              </w:rPr>
              <w:t xml:space="preserve"> </w:t>
            </w:r>
            <w:r w:rsidR="00595544" w:rsidRPr="00496C0E">
              <w:rPr>
                <w:rFonts w:ascii="Arial" w:hAnsi="Arial"/>
                <w:sz w:val="20"/>
              </w:rPr>
              <w:t>Reglamento para la aplicación de la Ley Orgánica para el Fomento Productivo, Atracción de Inversiones, Generación de Empleo y Estabilidad y Equilibrio Fiscal</w:t>
            </w:r>
            <w:r w:rsidR="002636CD" w:rsidRPr="00496C0E">
              <w:rPr>
                <w:rFonts w:ascii="Arial" w:hAnsi="Arial"/>
                <w:sz w:val="20"/>
              </w:rPr>
              <w:t xml:space="preserve">, </w:t>
            </w:r>
            <w:r w:rsidR="00360EC2" w:rsidRPr="00496C0E">
              <w:rPr>
                <w:rFonts w:ascii="Arial" w:hAnsi="Arial"/>
                <w:sz w:val="20"/>
              </w:rPr>
              <w:t xml:space="preserve">Capítulo XIV de reformas al reglamento general del Código Orgánico </w:t>
            </w:r>
            <w:r w:rsidR="009C1233" w:rsidRPr="00496C0E">
              <w:rPr>
                <w:rFonts w:ascii="Arial" w:hAnsi="Arial"/>
                <w:sz w:val="20"/>
              </w:rPr>
              <w:t>d</w:t>
            </w:r>
            <w:r w:rsidR="00360EC2" w:rsidRPr="00496C0E">
              <w:rPr>
                <w:rFonts w:ascii="Arial" w:hAnsi="Arial"/>
                <w:sz w:val="20"/>
              </w:rPr>
              <w:t>e Planificación y</w:t>
            </w:r>
            <w:r w:rsidR="009C1233" w:rsidRPr="00496C0E">
              <w:rPr>
                <w:rFonts w:ascii="Arial" w:hAnsi="Arial"/>
                <w:sz w:val="20"/>
              </w:rPr>
              <w:t xml:space="preserve"> </w:t>
            </w:r>
            <w:r w:rsidR="00360EC2" w:rsidRPr="00496C0E">
              <w:rPr>
                <w:rFonts w:ascii="Arial" w:hAnsi="Arial"/>
                <w:sz w:val="20"/>
              </w:rPr>
              <w:t>Finanzas P</w:t>
            </w:r>
            <w:r w:rsidR="009C1233" w:rsidRPr="00496C0E">
              <w:rPr>
                <w:rFonts w:ascii="Arial" w:hAnsi="Arial"/>
                <w:sz w:val="20"/>
              </w:rPr>
              <w:t>ú</w:t>
            </w:r>
            <w:r w:rsidR="00360EC2" w:rsidRPr="00496C0E">
              <w:rPr>
                <w:rFonts w:ascii="Arial" w:hAnsi="Arial"/>
                <w:sz w:val="20"/>
              </w:rPr>
              <w:t xml:space="preserve">blicas, </w:t>
            </w:r>
            <w:r w:rsidR="002636CD" w:rsidRPr="00496C0E">
              <w:rPr>
                <w:rFonts w:ascii="Arial" w:hAnsi="Arial"/>
                <w:sz w:val="20"/>
              </w:rPr>
              <w:t xml:space="preserve">que </w:t>
            </w:r>
            <w:r w:rsidR="002D180F" w:rsidRPr="00496C0E">
              <w:rPr>
                <w:rFonts w:ascii="Arial" w:hAnsi="Arial"/>
                <w:sz w:val="20"/>
              </w:rPr>
              <w:t xml:space="preserve">incluye </w:t>
            </w:r>
            <w:r w:rsidR="00E8272A" w:rsidRPr="00496C0E">
              <w:rPr>
                <w:rFonts w:ascii="Arial" w:hAnsi="Arial"/>
                <w:sz w:val="20"/>
              </w:rPr>
              <w:t>una</w:t>
            </w:r>
            <w:r w:rsidR="002D180F" w:rsidRPr="00496C0E">
              <w:rPr>
                <w:rFonts w:ascii="Arial" w:hAnsi="Arial"/>
                <w:sz w:val="20"/>
              </w:rPr>
              <w:t xml:space="preserve"> </w:t>
            </w:r>
            <w:r w:rsidR="00360EC2" w:rsidRPr="00496C0E">
              <w:rPr>
                <w:rFonts w:ascii="Arial" w:hAnsi="Arial"/>
                <w:sz w:val="20"/>
              </w:rPr>
              <w:t xml:space="preserve">sección </w:t>
            </w:r>
            <w:r w:rsidR="00E8272A" w:rsidRPr="00496C0E">
              <w:rPr>
                <w:rFonts w:ascii="Arial" w:hAnsi="Arial"/>
                <w:sz w:val="20"/>
              </w:rPr>
              <w:t xml:space="preserve">sobre </w:t>
            </w:r>
            <w:r w:rsidR="002D180F" w:rsidRPr="00496C0E">
              <w:rPr>
                <w:rFonts w:ascii="Arial" w:hAnsi="Arial"/>
                <w:sz w:val="20"/>
              </w:rPr>
              <w:t>Reglas Fiscales</w:t>
            </w:r>
            <w:r w:rsidR="00A141CC" w:rsidRPr="00496C0E">
              <w:rPr>
                <w:rFonts w:ascii="Arial" w:hAnsi="Arial"/>
                <w:sz w:val="20"/>
              </w:rPr>
              <w:t xml:space="preserve">, </w:t>
            </w:r>
            <w:r w:rsidR="00E8272A" w:rsidRPr="00496C0E">
              <w:rPr>
                <w:rFonts w:ascii="Arial" w:hAnsi="Arial"/>
                <w:sz w:val="20"/>
              </w:rPr>
              <w:t>Sección II</w:t>
            </w:r>
            <w:r w:rsidR="00A141CC" w:rsidRPr="00496C0E">
              <w:rPr>
                <w:rFonts w:ascii="Arial" w:hAnsi="Arial"/>
                <w:sz w:val="20"/>
              </w:rPr>
              <w:t>, inciso 1 que agrega diversos artículos a continuación del artículo 68.</w:t>
            </w:r>
          </w:p>
        </w:tc>
        <w:tc>
          <w:tcPr>
            <w:tcW w:w="3330" w:type="dxa"/>
          </w:tcPr>
          <w:p w14:paraId="1F661521" w14:textId="398BA2C2" w:rsidR="00595544" w:rsidRPr="00496C0E" w:rsidRDefault="00595544" w:rsidP="00595544">
            <w:pPr>
              <w:spacing w:before="60" w:after="60"/>
              <w:ind w:left="344" w:hanging="344"/>
              <w:jc w:val="both"/>
              <w:rPr>
                <w:rFonts w:ascii="Arial" w:hAnsi="Arial"/>
                <w:sz w:val="20"/>
                <w:lang w:val="es-ES_tradnl"/>
              </w:rPr>
            </w:pPr>
            <w:r w:rsidRPr="00496C0E">
              <w:rPr>
                <w:rFonts w:ascii="Arial" w:hAnsi="Arial"/>
                <w:sz w:val="20"/>
                <w:lang w:val="es-ES_tradnl"/>
              </w:rPr>
              <w:lastRenderedPageBreak/>
              <w:t>2.1</w:t>
            </w:r>
            <w:r w:rsidR="00636A3D" w:rsidRPr="00496C0E">
              <w:rPr>
                <w:rFonts w:ascii="Arial" w:hAnsi="Arial"/>
                <w:sz w:val="20"/>
                <w:lang w:val="es-ES_tradnl"/>
              </w:rPr>
              <w:t xml:space="preserve"> Fortalecimiento del</w:t>
            </w:r>
            <w:r w:rsidRPr="00496C0E">
              <w:rPr>
                <w:rFonts w:ascii="Arial" w:hAnsi="Arial"/>
                <w:sz w:val="20"/>
                <w:lang w:val="es-ES_tradnl"/>
              </w:rPr>
              <w:t xml:space="preserve"> Marco de responsabilidad fiscal mediante:</w:t>
            </w:r>
          </w:p>
          <w:p w14:paraId="1F828865" w14:textId="3CEFC75D" w:rsidR="004E60D1" w:rsidRPr="00496C0E" w:rsidRDefault="00595544" w:rsidP="008A0FFD">
            <w:pPr>
              <w:pStyle w:val="ListParagraph"/>
              <w:numPr>
                <w:ilvl w:val="0"/>
                <w:numId w:val="27"/>
              </w:numPr>
              <w:shd w:val="clear" w:color="auto" w:fill="FFFFFF" w:themeFill="background1"/>
              <w:spacing w:before="60" w:after="60"/>
              <w:ind w:left="526" w:hanging="270"/>
              <w:jc w:val="both"/>
              <w:rPr>
                <w:rFonts w:ascii="Arial" w:hAnsi="Arial"/>
                <w:sz w:val="20"/>
                <w:lang w:val="es-ES_tradnl"/>
              </w:rPr>
            </w:pPr>
            <w:r w:rsidRPr="00496C0E">
              <w:rPr>
                <w:rFonts w:ascii="Arial" w:hAnsi="Arial"/>
                <w:sz w:val="20"/>
                <w:lang w:val="es-ES_tradnl"/>
              </w:rPr>
              <w:t xml:space="preserve">La ampliación de la cobertura del límite de crecimiento </w:t>
            </w:r>
            <w:r w:rsidRPr="00BD61E6">
              <w:rPr>
                <w:rFonts w:ascii="Arial" w:hAnsi="Arial" w:cs="Arial"/>
                <w:sz w:val="20"/>
                <w:lang w:val="es-ES_tradnl"/>
              </w:rPr>
              <w:t>de</w:t>
            </w:r>
            <w:r w:rsidR="008A6734">
              <w:rPr>
                <w:rFonts w:ascii="Arial" w:hAnsi="Arial" w:cs="Arial"/>
                <w:sz w:val="20"/>
                <w:lang w:val="es-ES_tradnl"/>
              </w:rPr>
              <w:t>l</w:t>
            </w:r>
            <w:r w:rsidRPr="00496C0E">
              <w:rPr>
                <w:rFonts w:ascii="Arial" w:hAnsi="Arial"/>
                <w:sz w:val="20"/>
                <w:lang w:val="es-ES_tradnl"/>
              </w:rPr>
              <w:t xml:space="preserve"> gasto</w:t>
            </w:r>
            <w:r w:rsidR="009452ED" w:rsidRPr="00496C0E">
              <w:rPr>
                <w:rFonts w:ascii="Arial" w:hAnsi="Arial"/>
                <w:sz w:val="20"/>
                <w:lang w:val="es-ES_tradnl"/>
              </w:rPr>
              <w:t xml:space="preserve"> público</w:t>
            </w:r>
            <w:r w:rsidRPr="00496C0E">
              <w:rPr>
                <w:rFonts w:ascii="Arial" w:hAnsi="Arial"/>
                <w:sz w:val="20"/>
                <w:lang w:val="es-ES_tradnl"/>
              </w:rPr>
              <w:t xml:space="preserve"> del gobierno central al </w:t>
            </w:r>
            <w:r w:rsidR="009452ED" w:rsidRPr="00496C0E">
              <w:rPr>
                <w:rFonts w:ascii="Arial" w:hAnsi="Arial"/>
                <w:sz w:val="20"/>
                <w:lang w:val="es-ES_tradnl"/>
              </w:rPr>
              <w:t>Sector Público No Financiero (SPNF)</w:t>
            </w:r>
            <w:r w:rsidRPr="00496C0E">
              <w:rPr>
                <w:rFonts w:ascii="Arial" w:hAnsi="Arial"/>
                <w:sz w:val="20"/>
                <w:lang w:val="es-ES_tradnl"/>
              </w:rPr>
              <w:t>.</w:t>
            </w:r>
          </w:p>
          <w:p w14:paraId="7EB53FB5" w14:textId="77777777" w:rsidR="004E60D1" w:rsidRPr="00496C0E" w:rsidRDefault="00595544" w:rsidP="008A0FFD">
            <w:pPr>
              <w:pStyle w:val="ListParagraph"/>
              <w:numPr>
                <w:ilvl w:val="0"/>
                <w:numId w:val="27"/>
              </w:numPr>
              <w:shd w:val="clear" w:color="auto" w:fill="FFFFFF" w:themeFill="background1"/>
              <w:spacing w:before="60" w:after="60"/>
              <w:ind w:left="526" w:hanging="270"/>
              <w:jc w:val="both"/>
              <w:rPr>
                <w:rFonts w:ascii="Arial" w:hAnsi="Arial"/>
                <w:sz w:val="20"/>
                <w:lang w:val="es-ES_tradnl"/>
              </w:rPr>
            </w:pPr>
            <w:r w:rsidRPr="00496C0E">
              <w:rPr>
                <w:rFonts w:ascii="Arial" w:hAnsi="Arial"/>
                <w:sz w:val="20"/>
                <w:lang w:val="es-ES_tradnl"/>
              </w:rPr>
              <w:t>Redefinición de la metodología de aplicación de la "regla de oro" (ingresos sobre gastos permanentes) constitucional para que sea consistente con la nueva regla de crecimiento de gasto.</w:t>
            </w:r>
          </w:p>
          <w:p w14:paraId="3CA40618" w14:textId="2DC87820" w:rsidR="00595544" w:rsidRPr="00496C0E" w:rsidRDefault="00595544" w:rsidP="008A0FFD">
            <w:pPr>
              <w:pStyle w:val="ListParagraph"/>
              <w:numPr>
                <w:ilvl w:val="0"/>
                <w:numId w:val="27"/>
              </w:numPr>
              <w:shd w:val="clear" w:color="auto" w:fill="FFFFFF" w:themeFill="background1"/>
              <w:spacing w:before="60" w:after="60"/>
              <w:ind w:left="526" w:hanging="270"/>
              <w:jc w:val="both"/>
              <w:rPr>
                <w:rFonts w:ascii="Arial" w:hAnsi="Arial"/>
                <w:sz w:val="20"/>
                <w:lang w:val="es-ES_tradnl"/>
              </w:rPr>
            </w:pPr>
            <w:r w:rsidRPr="00496C0E">
              <w:rPr>
                <w:rFonts w:ascii="Arial" w:hAnsi="Arial"/>
                <w:sz w:val="20"/>
                <w:lang w:val="es-ES_tradnl"/>
              </w:rPr>
              <w:t xml:space="preserve">Publicación de reportes cuatrimestrales de monitoreo y cumplimiento de la regla fiscal de crecimiento de gasto en 2019. </w:t>
            </w:r>
          </w:p>
        </w:tc>
        <w:tc>
          <w:tcPr>
            <w:tcW w:w="2340" w:type="dxa"/>
          </w:tcPr>
          <w:p w14:paraId="39EA8AA6" w14:textId="0F0D64C8" w:rsidR="00595544" w:rsidRPr="00496C0E" w:rsidRDefault="002A0A83" w:rsidP="004F27EE">
            <w:pPr>
              <w:spacing w:before="60" w:after="60" w:line="240" w:lineRule="auto"/>
              <w:ind w:left="259" w:hanging="259"/>
              <w:rPr>
                <w:rFonts w:ascii="Arial" w:hAnsi="Arial"/>
                <w:sz w:val="20"/>
              </w:rPr>
            </w:pPr>
            <w:r w:rsidRPr="00496C0E">
              <w:rPr>
                <w:rFonts w:ascii="Arial" w:hAnsi="Arial"/>
                <w:sz w:val="20"/>
              </w:rPr>
              <w:t xml:space="preserve">2.1 a y b: </w:t>
            </w:r>
            <w:r w:rsidR="00137FAA" w:rsidRPr="00496C0E">
              <w:rPr>
                <w:rFonts w:ascii="Arial" w:hAnsi="Arial"/>
                <w:sz w:val="20"/>
              </w:rPr>
              <w:t xml:space="preserve">Propuesta de Ley Modificatoria </w:t>
            </w:r>
            <w:r w:rsidR="00B92042" w:rsidRPr="00496C0E">
              <w:rPr>
                <w:rFonts w:ascii="Arial" w:hAnsi="Arial"/>
                <w:sz w:val="20"/>
              </w:rPr>
              <w:t>de</w:t>
            </w:r>
            <w:r w:rsidR="00B92042" w:rsidRPr="00496C0E">
              <w:rPr>
                <w:rFonts w:ascii="Arial" w:hAnsi="Arial"/>
                <w:sz w:val="20"/>
                <w:lang w:val="es-ES_tradnl"/>
              </w:rPr>
              <w:t>l Código Orgánico de Planificación y Finanzas P</w:t>
            </w:r>
            <w:r w:rsidR="000631D7" w:rsidRPr="00496C0E">
              <w:rPr>
                <w:rFonts w:ascii="Arial" w:hAnsi="Arial"/>
                <w:sz w:val="20"/>
                <w:lang w:val="es-ES_tradnl"/>
              </w:rPr>
              <w:t>ú</w:t>
            </w:r>
            <w:r w:rsidR="00B92042" w:rsidRPr="00496C0E">
              <w:rPr>
                <w:rFonts w:ascii="Arial" w:hAnsi="Arial"/>
                <w:sz w:val="20"/>
                <w:lang w:val="es-ES_tradnl"/>
              </w:rPr>
              <w:t xml:space="preserve">blicas (COPLAFIP) </w:t>
            </w:r>
            <w:r w:rsidR="00137FAA" w:rsidRPr="00496C0E">
              <w:rPr>
                <w:rFonts w:ascii="Arial" w:hAnsi="Arial"/>
                <w:sz w:val="20"/>
              </w:rPr>
              <w:t>presentada y copia de la fe</w:t>
            </w:r>
            <w:r w:rsidR="00267FDE" w:rsidRPr="00496C0E">
              <w:rPr>
                <w:rFonts w:ascii="Arial" w:hAnsi="Arial"/>
                <w:sz w:val="20"/>
              </w:rPr>
              <w:t xml:space="preserve"> ante</w:t>
            </w:r>
            <w:r w:rsidR="00137FAA" w:rsidRPr="00496C0E">
              <w:rPr>
                <w:rFonts w:ascii="Arial" w:hAnsi="Arial"/>
                <w:sz w:val="20"/>
              </w:rPr>
              <w:t xml:space="preserve"> </w:t>
            </w:r>
            <w:r w:rsidR="00EF370C" w:rsidRPr="00496C0E">
              <w:rPr>
                <w:rFonts w:ascii="Arial" w:hAnsi="Arial"/>
                <w:sz w:val="20"/>
                <w:lang w:val="es-ES_tradnl"/>
              </w:rPr>
              <w:t>la Asamblea Nacional (AN)</w:t>
            </w:r>
            <w:r w:rsidR="00F40F53" w:rsidRPr="00496C0E">
              <w:rPr>
                <w:rFonts w:ascii="Arial" w:hAnsi="Arial"/>
                <w:sz w:val="20"/>
                <w:lang w:val="es-ES_tradnl"/>
              </w:rPr>
              <w:t>.</w:t>
            </w:r>
          </w:p>
          <w:p w14:paraId="24D37280" w14:textId="77777777" w:rsidR="002A0A83" w:rsidRPr="00496C0E" w:rsidRDefault="002A0A83" w:rsidP="009C1233">
            <w:pPr>
              <w:spacing w:before="20" w:after="20"/>
              <w:jc w:val="both"/>
              <w:rPr>
                <w:rFonts w:ascii="Arial" w:hAnsi="Arial"/>
                <w:sz w:val="20"/>
              </w:rPr>
            </w:pPr>
          </w:p>
          <w:p w14:paraId="7B8A8C66" w14:textId="1E219928" w:rsidR="002A0A83" w:rsidRPr="00496C0E" w:rsidRDefault="002A0A83" w:rsidP="004F27EE">
            <w:pPr>
              <w:spacing w:before="60" w:after="60" w:line="240" w:lineRule="auto"/>
              <w:ind w:left="346" w:hanging="346"/>
              <w:rPr>
                <w:rFonts w:ascii="Arial" w:hAnsi="Arial"/>
                <w:sz w:val="20"/>
              </w:rPr>
            </w:pPr>
            <w:r w:rsidRPr="00496C0E">
              <w:rPr>
                <w:rFonts w:ascii="Arial" w:hAnsi="Arial"/>
                <w:sz w:val="20"/>
              </w:rPr>
              <w:t xml:space="preserve">2.1 c: </w:t>
            </w:r>
            <w:r w:rsidR="00E44E56" w:rsidRPr="00496C0E">
              <w:rPr>
                <w:rFonts w:ascii="Arial" w:hAnsi="Arial"/>
                <w:sz w:val="20"/>
                <w:lang w:val="es-ES_tradnl"/>
              </w:rPr>
              <w:t>Reportes publicados</w:t>
            </w:r>
            <w:r w:rsidR="00137FAA" w:rsidRPr="00496C0E">
              <w:rPr>
                <w:rFonts w:ascii="Arial" w:hAnsi="Arial"/>
                <w:sz w:val="20"/>
                <w:lang w:val="es-ES_tradnl"/>
              </w:rPr>
              <w:t xml:space="preserve"> </w:t>
            </w:r>
            <w:r w:rsidR="00F66E94" w:rsidRPr="00496C0E">
              <w:rPr>
                <w:rFonts w:ascii="Arial" w:hAnsi="Arial"/>
                <w:sz w:val="20"/>
                <w:lang w:val="es-ES_tradnl"/>
              </w:rPr>
              <w:t>por el MEF</w:t>
            </w:r>
            <w:r w:rsidR="00E44E56" w:rsidRPr="00496C0E">
              <w:rPr>
                <w:rFonts w:ascii="Arial" w:hAnsi="Arial"/>
                <w:sz w:val="20"/>
                <w:lang w:val="es-ES_tradnl"/>
              </w:rPr>
              <w:t>.</w:t>
            </w:r>
          </w:p>
        </w:tc>
        <w:tc>
          <w:tcPr>
            <w:tcW w:w="1747" w:type="dxa"/>
            <w:shd w:val="clear" w:color="auto" w:fill="auto"/>
          </w:tcPr>
          <w:p w14:paraId="298AE258" w14:textId="09FD5C5D" w:rsidR="00595544" w:rsidRPr="00496C0E" w:rsidRDefault="00F40F53" w:rsidP="004F27EE">
            <w:pPr>
              <w:spacing w:before="60" w:after="60" w:line="240" w:lineRule="auto"/>
              <w:ind w:right="-115"/>
              <w:rPr>
                <w:rFonts w:ascii="Arial" w:hAnsi="Arial"/>
                <w:sz w:val="20"/>
              </w:rPr>
            </w:pPr>
            <w:r w:rsidRPr="00496C0E">
              <w:rPr>
                <w:rFonts w:ascii="Arial" w:hAnsi="Arial"/>
                <w:sz w:val="20"/>
              </w:rPr>
              <w:t>2.1 a y b. MEF y Presidencia de la República.</w:t>
            </w:r>
          </w:p>
          <w:p w14:paraId="18F618AF" w14:textId="77777777" w:rsidR="00595544" w:rsidRPr="00496C0E" w:rsidRDefault="00595544" w:rsidP="004F27EE">
            <w:pPr>
              <w:spacing w:before="60" w:after="60" w:line="240" w:lineRule="auto"/>
              <w:ind w:right="-115"/>
              <w:rPr>
                <w:rFonts w:ascii="Arial" w:hAnsi="Arial"/>
                <w:sz w:val="20"/>
              </w:rPr>
            </w:pPr>
          </w:p>
          <w:p w14:paraId="73BB8E14" w14:textId="77777777" w:rsidR="00F40F53" w:rsidRPr="00496C0E" w:rsidRDefault="00F40F53" w:rsidP="004F27EE">
            <w:pPr>
              <w:spacing w:before="60" w:after="60" w:line="240" w:lineRule="auto"/>
              <w:ind w:right="-115"/>
              <w:rPr>
                <w:rFonts w:ascii="Arial" w:hAnsi="Arial"/>
                <w:sz w:val="20"/>
              </w:rPr>
            </w:pPr>
          </w:p>
          <w:p w14:paraId="1409DA93" w14:textId="77777777" w:rsidR="00F40F53" w:rsidRPr="00496C0E" w:rsidRDefault="00F40F53" w:rsidP="004F27EE">
            <w:pPr>
              <w:spacing w:before="60" w:after="60" w:line="240" w:lineRule="auto"/>
              <w:ind w:right="-115"/>
              <w:rPr>
                <w:rFonts w:ascii="Arial" w:hAnsi="Arial"/>
                <w:sz w:val="20"/>
              </w:rPr>
            </w:pPr>
          </w:p>
          <w:p w14:paraId="45920B5C" w14:textId="77777777" w:rsidR="00F40F53" w:rsidRPr="00496C0E" w:rsidRDefault="00F40F53" w:rsidP="004F27EE">
            <w:pPr>
              <w:spacing w:before="60" w:after="60" w:line="240" w:lineRule="auto"/>
              <w:ind w:right="-115"/>
              <w:rPr>
                <w:rFonts w:ascii="Arial" w:hAnsi="Arial"/>
                <w:sz w:val="20"/>
              </w:rPr>
            </w:pPr>
          </w:p>
          <w:p w14:paraId="23FDE4A3" w14:textId="77777777" w:rsidR="000631D7" w:rsidRPr="00496C0E" w:rsidRDefault="000631D7" w:rsidP="004F27EE">
            <w:pPr>
              <w:spacing w:before="60" w:after="60" w:line="240" w:lineRule="auto"/>
              <w:ind w:right="-115"/>
              <w:rPr>
                <w:rFonts w:ascii="Arial" w:hAnsi="Arial"/>
                <w:sz w:val="20"/>
              </w:rPr>
            </w:pPr>
          </w:p>
          <w:p w14:paraId="298AE259" w14:textId="57CD248A" w:rsidR="00F40F53" w:rsidRPr="00496C0E" w:rsidRDefault="00F40F53" w:rsidP="004F27EE">
            <w:pPr>
              <w:spacing w:before="60" w:after="60" w:line="240" w:lineRule="auto"/>
              <w:ind w:right="-115"/>
              <w:rPr>
                <w:rFonts w:ascii="Arial" w:hAnsi="Arial"/>
                <w:sz w:val="20"/>
              </w:rPr>
            </w:pPr>
            <w:r w:rsidRPr="00496C0E">
              <w:rPr>
                <w:rFonts w:ascii="Arial" w:hAnsi="Arial"/>
                <w:sz w:val="20"/>
              </w:rPr>
              <w:t xml:space="preserve">2.1 c. </w:t>
            </w:r>
            <w:r w:rsidR="00F66E94" w:rsidRPr="00496C0E">
              <w:rPr>
                <w:rFonts w:ascii="Arial" w:hAnsi="Arial"/>
                <w:sz w:val="20"/>
              </w:rPr>
              <w:t>MEF</w:t>
            </w:r>
            <w:r w:rsidRPr="00496C0E">
              <w:rPr>
                <w:rFonts w:ascii="Arial" w:hAnsi="Arial"/>
                <w:sz w:val="20"/>
              </w:rPr>
              <w:t>.</w:t>
            </w:r>
          </w:p>
        </w:tc>
      </w:tr>
      <w:tr w:rsidR="00F40F53" w:rsidRPr="00BD61E6" w14:paraId="298AE260" w14:textId="77777777" w:rsidTr="00EF7987">
        <w:trPr>
          <w:trHeight w:val="20"/>
        </w:trPr>
        <w:tc>
          <w:tcPr>
            <w:tcW w:w="1733" w:type="dxa"/>
            <w:shd w:val="clear" w:color="auto" w:fill="auto"/>
          </w:tcPr>
          <w:p w14:paraId="298AE25B" w14:textId="5C13EC41" w:rsidR="000441CB" w:rsidRPr="00496C0E" w:rsidRDefault="005E342E" w:rsidP="000441CB">
            <w:pPr>
              <w:spacing w:before="20" w:after="20" w:line="240" w:lineRule="auto"/>
              <w:rPr>
                <w:rFonts w:ascii="Arial" w:hAnsi="Arial"/>
                <w:sz w:val="20"/>
              </w:rPr>
            </w:pPr>
            <w:r w:rsidRPr="00496C0E">
              <w:rPr>
                <w:rFonts w:ascii="Arial" w:hAnsi="Arial"/>
                <w:sz w:val="20"/>
                <w:lang w:val="es-ES_tradnl"/>
              </w:rPr>
              <w:t>Fortalecimiento de la transparencia de la deuda</w:t>
            </w:r>
          </w:p>
        </w:tc>
        <w:tc>
          <w:tcPr>
            <w:tcW w:w="3374" w:type="dxa"/>
            <w:shd w:val="clear" w:color="auto" w:fill="auto"/>
          </w:tcPr>
          <w:p w14:paraId="682EFB2E" w14:textId="3234786E" w:rsidR="000441CB" w:rsidRPr="00496C0E" w:rsidRDefault="000441CB" w:rsidP="004F27EE">
            <w:pPr>
              <w:shd w:val="clear" w:color="auto" w:fill="FFFFFF" w:themeFill="background1"/>
              <w:spacing w:beforeLines="60" w:before="144" w:afterLines="60" w:after="144" w:line="240" w:lineRule="auto"/>
              <w:ind w:left="301" w:hanging="301"/>
              <w:rPr>
                <w:rFonts w:ascii="Arial" w:hAnsi="Arial"/>
                <w:sz w:val="20"/>
                <w:lang w:val="es-ES_tradnl"/>
              </w:rPr>
            </w:pPr>
            <w:r w:rsidRPr="00496C0E">
              <w:rPr>
                <w:rFonts w:ascii="Arial" w:hAnsi="Arial"/>
                <w:sz w:val="20"/>
                <w:lang w:val="es-ES_tradnl"/>
              </w:rPr>
              <w:t xml:space="preserve">2.2 </w:t>
            </w:r>
            <w:r w:rsidR="009452ED" w:rsidRPr="00496C0E">
              <w:rPr>
                <w:rFonts w:ascii="Arial" w:hAnsi="Arial"/>
                <w:sz w:val="20"/>
                <w:lang w:val="es-ES_tradnl"/>
              </w:rPr>
              <w:t>Fortalecimiento de la t</w:t>
            </w:r>
            <w:r w:rsidRPr="00496C0E">
              <w:rPr>
                <w:rFonts w:ascii="Arial" w:hAnsi="Arial"/>
                <w:sz w:val="20"/>
                <w:lang w:val="es-ES_tradnl"/>
              </w:rPr>
              <w:t>ransparencia de las estadísticas de deuda pública, mediante:</w:t>
            </w:r>
          </w:p>
          <w:p w14:paraId="245761FF" w14:textId="3B6071EF" w:rsidR="000441CB" w:rsidRPr="00496C0E" w:rsidRDefault="000441CB" w:rsidP="004F27EE">
            <w:pPr>
              <w:pStyle w:val="ListParagraph"/>
              <w:numPr>
                <w:ilvl w:val="0"/>
                <w:numId w:val="15"/>
              </w:numPr>
              <w:shd w:val="clear" w:color="auto" w:fill="FFFFFF" w:themeFill="background1"/>
              <w:spacing w:beforeLines="60" w:before="144" w:afterLines="60" w:after="144"/>
              <w:ind w:left="481" w:hanging="301"/>
              <w:rPr>
                <w:rFonts w:ascii="Arial" w:hAnsi="Arial"/>
                <w:sz w:val="20"/>
                <w:lang w:val="es-ES_tradnl"/>
              </w:rPr>
            </w:pPr>
            <w:r w:rsidRPr="00496C0E">
              <w:rPr>
                <w:rFonts w:ascii="Arial" w:hAnsi="Arial"/>
                <w:sz w:val="20"/>
                <w:lang w:val="es-ES_tradnl"/>
              </w:rPr>
              <w:t xml:space="preserve">La inclusión en el cómputo de deuda pública de las obligaciones resultantes de la venta anticipada de petróleo, la deuda </w:t>
            </w:r>
            <w:r w:rsidR="009452ED" w:rsidRPr="00496C0E">
              <w:rPr>
                <w:rFonts w:ascii="Arial" w:hAnsi="Arial"/>
                <w:sz w:val="20"/>
                <w:lang w:val="es-ES_tradnl"/>
              </w:rPr>
              <w:t xml:space="preserve">pública </w:t>
            </w:r>
            <w:r w:rsidRPr="00496C0E">
              <w:rPr>
                <w:rFonts w:ascii="Arial" w:hAnsi="Arial"/>
                <w:sz w:val="20"/>
                <w:lang w:val="es-ES_tradnl"/>
              </w:rPr>
              <w:t>del</w:t>
            </w:r>
            <w:r w:rsidR="009452ED" w:rsidRPr="00496C0E">
              <w:rPr>
                <w:rFonts w:ascii="Arial" w:hAnsi="Arial"/>
                <w:sz w:val="20"/>
                <w:lang w:val="es-ES_tradnl"/>
              </w:rPr>
              <w:t xml:space="preserve"> G</w:t>
            </w:r>
            <w:r w:rsidRPr="00496C0E">
              <w:rPr>
                <w:rFonts w:ascii="Arial" w:hAnsi="Arial"/>
                <w:sz w:val="20"/>
                <w:lang w:val="es-ES_tradnl"/>
              </w:rPr>
              <w:t xml:space="preserve">obierno </w:t>
            </w:r>
            <w:r w:rsidR="009452ED" w:rsidRPr="00496C0E">
              <w:rPr>
                <w:rFonts w:ascii="Arial" w:hAnsi="Arial"/>
                <w:sz w:val="20"/>
                <w:lang w:val="es-ES_tradnl"/>
              </w:rPr>
              <w:t>C</w:t>
            </w:r>
            <w:r w:rsidRPr="00496C0E">
              <w:rPr>
                <w:rFonts w:ascii="Arial" w:hAnsi="Arial"/>
                <w:sz w:val="20"/>
                <w:lang w:val="es-ES_tradnl"/>
              </w:rPr>
              <w:t>entral con otras entidades del estado, y otras obligaciones (laudos</w:t>
            </w:r>
            <w:r w:rsidR="009452ED" w:rsidRPr="00496C0E">
              <w:rPr>
                <w:rFonts w:ascii="Arial" w:hAnsi="Arial"/>
                <w:sz w:val="20"/>
                <w:lang w:val="es-ES_tradnl"/>
              </w:rPr>
              <w:t xml:space="preserve"> arbitrales </w:t>
            </w:r>
            <w:r w:rsidRPr="00496C0E">
              <w:rPr>
                <w:rFonts w:ascii="Arial" w:hAnsi="Arial"/>
                <w:sz w:val="20"/>
                <w:lang w:val="es-ES_tradnl"/>
              </w:rPr>
              <w:t xml:space="preserve">y deuda flotante entre otros). </w:t>
            </w:r>
          </w:p>
          <w:p w14:paraId="298AE25C" w14:textId="7DFFA84D" w:rsidR="000441CB" w:rsidRPr="00496C0E" w:rsidRDefault="000441CB" w:rsidP="004F27EE">
            <w:pPr>
              <w:pStyle w:val="ListParagraph"/>
              <w:numPr>
                <w:ilvl w:val="0"/>
                <w:numId w:val="15"/>
              </w:numPr>
              <w:shd w:val="clear" w:color="auto" w:fill="FFFFFF" w:themeFill="background1"/>
              <w:spacing w:beforeLines="60" w:before="144" w:afterLines="60" w:after="144"/>
              <w:ind w:left="481" w:hanging="301"/>
              <w:rPr>
                <w:rFonts w:ascii="Arial" w:hAnsi="Arial"/>
                <w:sz w:val="20"/>
                <w:lang w:val="es-ES_tradnl"/>
              </w:rPr>
            </w:pPr>
            <w:r w:rsidRPr="00496C0E">
              <w:rPr>
                <w:rFonts w:ascii="Arial" w:hAnsi="Arial"/>
                <w:sz w:val="20"/>
                <w:lang w:val="es-ES_tradnl"/>
              </w:rPr>
              <w:lastRenderedPageBreak/>
              <w:t>La publicación me</w:t>
            </w:r>
            <w:r w:rsidR="005E342E" w:rsidRPr="00496C0E">
              <w:rPr>
                <w:rFonts w:ascii="Arial" w:hAnsi="Arial"/>
                <w:sz w:val="20"/>
                <w:lang w:val="es-ES_tradnl"/>
              </w:rPr>
              <w:t>n</w:t>
            </w:r>
            <w:r w:rsidRPr="00496C0E">
              <w:rPr>
                <w:rFonts w:ascii="Arial" w:hAnsi="Arial"/>
                <w:sz w:val="20"/>
                <w:lang w:val="es-ES_tradnl"/>
              </w:rPr>
              <w:t>s</w:t>
            </w:r>
            <w:r w:rsidR="005E342E" w:rsidRPr="00496C0E">
              <w:rPr>
                <w:rFonts w:ascii="Arial" w:hAnsi="Arial"/>
                <w:sz w:val="20"/>
                <w:lang w:val="es-ES_tradnl"/>
              </w:rPr>
              <w:t>u</w:t>
            </w:r>
            <w:r w:rsidRPr="00496C0E">
              <w:rPr>
                <w:rFonts w:ascii="Arial" w:hAnsi="Arial"/>
                <w:sz w:val="20"/>
                <w:lang w:val="es-ES_tradnl"/>
              </w:rPr>
              <w:t xml:space="preserve">al de las estadísticas de deuda pública, incluyendo los estados agregados y consolidados de las distintas coberturas institucionales: Sector Publico, </w:t>
            </w:r>
            <w:r w:rsidR="009452ED" w:rsidRPr="00496C0E">
              <w:rPr>
                <w:rFonts w:ascii="Arial" w:hAnsi="Arial"/>
                <w:sz w:val="20"/>
                <w:lang w:val="es-ES_tradnl"/>
              </w:rPr>
              <w:t>SPNF</w:t>
            </w:r>
            <w:r w:rsidRPr="00496C0E">
              <w:rPr>
                <w:rFonts w:ascii="Arial" w:hAnsi="Arial"/>
                <w:sz w:val="20"/>
                <w:lang w:val="es-ES_tradnl"/>
              </w:rPr>
              <w:t xml:space="preserve"> y del Gobierno Central. </w:t>
            </w:r>
          </w:p>
        </w:tc>
        <w:tc>
          <w:tcPr>
            <w:tcW w:w="2340" w:type="dxa"/>
            <w:shd w:val="clear" w:color="auto" w:fill="auto"/>
          </w:tcPr>
          <w:p w14:paraId="298AE25D" w14:textId="46C3D97F" w:rsidR="000441CB" w:rsidRPr="00496C0E" w:rsidRDefault="005F02EA" w:rsidP="004F27EE">
            <w:pPr>
              <w:spacing w:beforeLines="60" w:before="144" w:afterLines="60" w:after="144" w:line="240" w:lineRule="auto"/>
              <w:ind w:left="346" w:hanging="360"/>
              <w:rPr>
                <w:rFonts w:ascii="Arial" w:hAnsi="Arial"/>
                <w:sz w:val="20"/>
              </w:rPr>
            </w:pPr>
            <w:r w:rsidRPr="00496C0E">
              <w:rPr>
                <w:rFonts w:ascii="Arial" w:hAnsi="Arial"/>
                <w:sz w:val="20"/>
              </w:rPr>
              <w:lastRenderedPageBreak/>
              <w:t>2.2.</w:t>
            </w:r>
            <w:r w:rsidR="00EF7987" w:rsidRPr="00496C0E">
              <w:rPr>
                <w:rFonts w:ascii="Arial" w:hAnsi="Arial"/>
                <w:sz w:val="20"/>
              </w:rPr>
              <w:t xml:space="preserve">Copia de la publicación en el Registro Oficial 309 Suplemento de 21 de agosto de 2018 de la República del Ecuador de la Ley Orgánica para el Fomento Productivo, Atracción de Inversiones, Generación de Empleo y </w:t>
            </w:r>
            <w:r w:rsidR="00EF7987" w:rsidRPr="00496C0E">
              <w:rPr>
                <w:rFonts w:ascii="Arial" w:hAnsi="Arial"/>
                <w:sz w:val="20"/>
              </w:rPr>
              <w:lastRenderedPageBreak/>
              <w:t xml:space="preserve">Estabilidad y Equilibrio Fiscal; </w:t>
            </w:r>
            <w:r w:rsidR="006F5451" w:rsidRPr="00496C0E">
              <w:rPr>
                <w:rFonts w:ascii="Arial" w:hAnsi="Arial"/>
                <w:sz w:val="20"/>
              </w:rPr>
              <w:t>Copia de la publicación en el</w:t>
            </w:r>
            <w:r w:rsidR="00DE7700" w:rsidRPr="00496C0E">
              <w:rPr>
                <w:rFonts w:ascii="Arial" w:hAnsi="Arial"/>
                <w:sz w:val="20"/>
              </w:rPr>
              <w:t xml:space="preserve"> </w:t>
            </w:r>
            <w:r w:rsidR="006F5451" w:rsidRPr="00496C0E">
              <w:rPr>
                <w:rFonts w:ascii="Arial" w:hAnsi="Arial"/>
                <w:sz w:val="20"/>
              </w:rPr>
              <w:t>Registro Oficial 392 Suplemento de 20 de diciembre de 2018 de la República del Ecuador del Decreto Ejecutivo Nº 617</w:t>
            </w:r>
            <w:r w:rsidR="00DE7700" w:rsidRPr="00496C0E">
              <w:rPr>
                <w:rFonts w:ascii="Arial" w:hAnsi="Arial"/>
                <w:sz w:val="20"/>
              </w:rPr>
              <w:t xml:space="preserve"> </w:t>
            </w:r>
            <w:r w:rsidR="006F5451" w:rsidRPr="00496C0E">
              <w:rPr>
                <w:rFonts w:ascii="Arial" w:hAnsi="Arial"/>
                <w:sz w:val="20"/>
              </w:rPr>
              <w:t>Reglamento para la aplicación de la Ley Orgánica para el Fomento Productivo, Atracción de Inversiones, Generación de Empleo y Estabilidad y Equilibrio Fiscal, Capítulo XIV de reformas al reglamento general del Código Orgánico de Planificación y Finanzas Públicas, que sustituye el artículo 133</w:t>
            </w:r>
            <w:r w:rsidR="00EF7987" w:rsidRPr="00496C0E">
              <w:rPr>
                <w:rFonts w:ascii="Arial" w:hAnsi="Arial"/>
                <w:sz w:val="20"/>
              </w:rPr>
              <w:t>.</w:t>
            </w:r>
          </w:p>
        </w:tc>
        <w:tc>
          <w:tcPr>
            <w:tcW w:w="3330" w:type="dxa"/>
          </w:tcPr>
          <w:p w14:paraId="6C4FDB08" w14:textId="48AD4839" w:rsidR="000441CB" w:rsidRPr="00496C0E" w:rsidRDefault="000441CB" w:rsidP="004F27EE">
            <w:pPr>
              <w:spacing w:beforeLines="60" w:before="144" w:afterLines="60" w:after="144" w:line="240" w:lineRule="auto"/>
              <w:jc w:val="both"/>
              <w:rPr>
                <w:rFonts w:ascii="Arial" w:hAnsi="Arial"/>
                <w:sz w:val="20"/>
                <w:lang w:val="es-ES_tradnl"/>
              </w:rPr>
            </w:pPr>
            <w:r w:rsidRPr="00496C0E">
              <w:rPr>
                <w:rFonts w:ascii="Arial" w:hAnsi="Arial"/>
                <w:sz w:val="20"/>
                <w:lang w:val="es-ES_tradnl"/>
              </w:rPr>
              <w:lastRenderedPageBreak/>
              <w:t xml:space="preserve">2.2 </w:t>
            </w:r>
            <w:r w:rsidR="009452ED" w:rsidRPr="00496C0E">
              <w:rPr>
                <w:rFonts w:ascii="Arial" w:hAnsi="Arial"/>
                <w:sz w:val="20"/>
                <w:lang w:val="es-ES_tradnl"/>
              </w:rPr>
              <w:t>Fortalecimiento de la t</w:t>
            </w:r>
            <w:r w:rsidRPr="00496C0E">
              <w:rPr>
                <w:rFonts w:ascii="Arial" w:hAnsi="Arial"/>
                <w:sz w:val="20"/>
                <w:lang w:val="es-ES_tradnl"/>
              </w:rPr>
              <w:t xml:space="preserve">ransparencia de las estadísticas de deuda </w:t>
            </w:r>
            <w:r w:rsidR="00267FDE" w:rsidRPr="00496C0E">
              <w:rPr>
                <w:rFonts w:ascii="Arial" w:hAnsi="Arial"/>
                <w:sz w:val="20"/>
                <w:lang w:val="es-ES_tradnl"/>
              </w:rPr>
              <w:t>pública</w:t>
            </w:r>
            <w:r w:rsidRPr="00496C0E">
              <w:rPr>
                <w:rFonts w:ascii="Arial" w:hAnsi="Arial"/>
                <w:sz w:val="20"/>
                <w:lang w:val="es-ES_tradnl"/>
              </w:rPr>
              <w:t xml:space="preserve">, mediante: </w:t>
            </w:r>
          </w:p>
          <w:p w14:paraId="21BA1CCC" w14:textId="579F71F0" w:rsidR="005E342E" w:rsidRPr="00496C0E" w:rsidRDefault="005E342E" w:rsidP="004F27EE">
            <w:pPr>
              <w:pStyle w:val="ListParagraph"/>
              <w:numPr>
                <w:ilvl w:val="7"/>
                <w:numId w:val="8"/>
              </w:numPr>
              <w:spacing w:beforeLines="60" w:before="144" w:afterLines="60" w:after="144"/>
              <w:ind w:left="526" w:hanging="270"/>
              <w:jc w:val="both"/>
              <w:rPr>
                <w:rFonts w:ascii="Arial" w:hAnsi="Arial"/>
                <w:sz w:val="20"/>
                <w:lang w:val="es-ES_tradnl"/>
              </w:rPr>
            </w:pPr>
            <w:r w:rsidRPr="00496C0E">
              <w:rPr>
                <w:rFonts w:ascii="Arial" w:hAnsi="Arial"/>
                <w:sz w:val="20"/>
                <w:lang w:val="es-ES_tradnl"/>
              </w:rPr>
              <w:t xml:space="preserve">La ampliación de la cobertura de la regla fiscal de </w:t>
            </w:r>
            <w:r w:rsidR="009507F4" w:rsidRPr="00496C0E">
              <w:rPr>
                <w:rFonts w:ascii="Arial" w:hAnsi="Arial"/>
                <w:sz w:val="20"/>
                <w:lang w:val="es-ES_tradnl"/>
              </w:rPr>
              <w:t>deuda pública</w:t>
            </w:r>
            <w:r w:rsidRPr="00496C0E">
              <w:rPr>
                <w:rFonts w:ascii="Arial" w:hAnsi="Arial"/>
                <w:sz w:val="20"/>
                <w:lang w:val="es-ES_tradnl"/>
              </w:rPr>
              <w:t xml:space="preserve"> sobre el PIB, que se consolidará al nivel del SPNF y no del sector público total.</w:t>
            </w:r>
          </w:p>
          <w:p w14:paraId="63E9EBA3" w14:textId="1AE2E226" w:rsidR="000441CB" w:rsidRPr="00496C0E" w:rsidRDefault="005E342E" w:rsidP="004F27EE">
            <w:pPr>
              <w:pStyle w:val="ListParagraph"/>
              <w:numPr>
                <w:ilvl w:val="7"/>
                <w:numId w:val="8"/>
              </w:numPr>
              <w:spacing w:beforeLines="60" w:before="144" w:afterLines="60" w:after="144"/>
              <w:ind w:left="526" w:hanging="270"/>
              <w:jc w:val="both"/>
              <w:rPr>
                <w:rFonts w:ascii="Arial" w:hAnsi="Arial"/>
                <w:sz w:val="20"/>
                <w:lang w:val="es-ES_tradnl"/>
              </w:rPr>
            </w:pPr>
            <w:r w:rsidRPr="00496C0E">
              <w:rPr>
                <w:rFonts w:ascii="Arial" w:hAnsi="Arial"/>
                <w:sz w:val="20"/>
                <w:lang w:val="es-ES_tradnl"/>
              </w:rPr>
              <w:t xml:space="preserve">La publicación mensual de los boletines de deuda de acuerdo con la nueva metodología de cálculo de </w:t>
            </w:r>
            <w:r w:rsidRPr="00496C0E">
              <w:rPr>
                <w:rFonts w:ascii="Arial" w:hAnsi="Arial"/>
                <w:sz w:val="20"/>
                <w:lang w:val="es-ES_tradnl"/>
              </w:rPr>
              <w:lastRenderedPageBreak/>
              <w:t xml:space="preserve">deuda a nivel de </w:t>
            </w:r>
            <w:r w:rsidR="009452ED" w:rsidRPr="00496C0E">
              <w:rPr>
                <w:rFonts w:ascii="Arial" w:hAnsi="Arial"/>
                <w:sz w:val="20"/>
                <w:lang w:val="es-ES_tradnl"/>
              </w:rPr>
              <w:t>SPNF</w:t>
            </w:r>
            <w:r w:rsidRPr="00496C0E">
              <w:rPr>
                <w:rFonts w:ascii="Arial" w:hAnsi="Arial"/>
                <w:sz w:val="20"/>
                <w:lang w:val="es-ES_tradnl"/>
              </w:rPr>
              <w:t xml:space="preserve"> en 2019</w:t>
            </w:r>
            <w:r w:rsidR="000441CB" w:rsidRPr="00496C0E">
              <w:rPr>
                <w:rFonts w:ascii="Arial" w:hAnsi="Arial"/>
                <w:sz w:val="20"/>
                <w:lang w:val="es-ES_tradnl"/>
              </w:rPr>
              <w:t>.</w:t>
            </w:r>
          </w:p>
        </w:tc>
        <w:tc>
          <w:tcPr>
            <w:tcW w:w="2340" w:type="dxa"/>
          </w:tcPr>
          <w:p w14:paraId="4A1A7DC5" w14:textId="6B39CB5B" w:rsidR="000441CB" w:rsidRPr="00496C0E" w:rsidRDefault="002549F9" w:rsidP="004F27EE">
            <w:pPr>
              <w:spacing w:beforeLines="60" w:before="144" w:afterLines="60" w:after="144" w:line="240" w:lineRule="auto"/>
              <w:ind w:left="346" w:right="-110" w:hanging="346"/>
              <w:rPr>
                <w:rFonts w:ascii="Arial" w:hAnsi="Arial"/>
                <w:sz w:val="20"/>
              </w:rPr>
            </w:pPr>
            <w:r w:rsidRPr="00496C0E">
              <w:rPr>
                <w:rFonts w:ascii="Arial" w:hAnsi="Arial"/>
                <w:sz w:val="20"/>
              </w:rPr>
              <w:lastRenderedPageBreak/>
              <w:t xml:space="preserve">2.2. a </w:t>
            </w:r>
            <w:r w:rsidR="00267FDE" w:rsidRPr="00496C0E">
              <w:rPr>
                <w:rFonts w:ascii="Arial" w:hAnsi="Arial"/>
                <w:sz w:val="20"/>
              </w:rPr>
              <w:t xml:space="preserve">Propuesta de Ley Modificatoria </w:t>
            </w:r>
            <w:r w:rsidR="000631D7" w:rsidRPr="00496C0E">
              <w:rPr>
                <w:rFonts w:ascii="Arial" w:hAnsi="Arial"/>
                <w:sz w:val="20"/>
              </w:rPr>
              <w:t xml:space="preserve">del COPLAFIP </w:t>
            </w:r>
            <w:r w:rsidR="00267FDE" w:rsidRPr="00496C0E">
              <w:rPr>
                <w:rFonts w:ascii="Arial" w:hAnsi="Arial"/>
                <w:sz w:val="20"/>
              </w:rPr>
              <w:t>presentada y copia de la fe ante AN</w:t>
            </w:r>
            <w:r w:rsidR="00E44E56" w:rsidRPr="00496C0E">
              <w:rPr>
                <w:rFonts w:ascii="Arial" w:hAnsi="Arial"/>
                <w:sz w:val="20"/>
                <w:lang w:val="es-ES_tradnl"/>
              </w:rPr>
              <w:t>.</w:t>
            </w:r>
          </w:p>
          <w:p w14:paraId="4678EF61" w14:textId="77777777" w:rsidR="002549F9" w:rsidRPr="00496C0E" w:rsidRDefault="002549F9" w:rsidP="004F27EE">
            <w:pPr>
              <w:spacing w:beforeLines="60" w:before="144" w:afterLines="60" w:after="144" w:line="240" w:lineRule="auto"/>
              <w:ind w:left="346" w:right="-110" w:hanging="346"/>
              <w:rPr>
                <w:rFonts w:ascii="Arial" w:hAnsi="Arial"/>
                <w:sz w:val="20"/>
              </w:rPr>
            </w:pPr>
          </w:p>
          <w:p w14:paraId="2001AFB9" w14:textId="55C02149" w:rsidR="002549F9" w:rsidRPr="00496C0E" w:rsidRDefault="002549F9" w:rsidP="004F27EE">
            <w:pPr>
              <w:spacing w:beforeLines="60" w:before="144" w:afterLines="60" w:after="144" w:line="240" w:lineRule="auto"/>
              <w:ind w:left="346" w:right="-110" w:hanging="346"/>
              <w:rPr>
                <w:rFonts w:ascii="Arial" w:hAnsi="Arial"/>
                <w:sz w:val="20"/>
              </w:rPr>
            </w:pPr>
            <w:r w:rsidRPr="00496C0E">
              <w:rPr>
                <w:rFonts w:ascii="Arial" w:hAnsi="Arial"/>
                <w:sz w:val="20"/>
              </w:rPr>
              <w:t xml:space="preserve">2.2. b. </w:t>
            </w:r>
            <w:r w:rsidR="00796A85" w:rsidRPr="00496C0E">
              <w:rPr>
                <w:rFonts w:ascii="Arial" w:hAnsi="Arial"/>
                <w:sz w:val="20"/>
              </w:rPr>
              <w:t>B</w:t>
            </w:r>
            <w:r w:rsidR="00796A85" w:rsidRPr="00496C0E">
              <w:rPr>
                <w:rFonts w:ascii="Arial" w:hAnsi="Arial"/>
                <w:sz w:val="20"/>
                <w:lang w:val="es-ES_tradnl"/>
              </w:rPr>
              <w:t>oletines</w:t>
            </w:r>
            <w:r w:rsidR="00E44E56" w:rsidRPr="00496C0E">
              <w:rPr>
                <w:rFonts w:ascii="Arial" w:hAnsi="Arial"/>
                <w:sz w:val="20"/>
                <w:lang w:val="es-ES_tradnl"/>
              </w:rPr>
              <w:t xml:space="preserve"> mensuales</w:t>
            </w:r>
            <w:r w:rsidR="00796A85" w:rsidRPr="00496C0E">
              <w:rPr>
                <w:rFonts w:ascii="Arial" w:hAnsi="Arial"/>
                <w:sz w:val="20"/>
                <w:lang w:val="es-ES_tradnl"/>
              </w:rPr>
              <w:t xml:space="preserve"> de </w:t>
            </w:r>
            <w:r w:rsidR="00E44E56" w:rsidRPr="00496C0E">
              <w:rPr>
                <w:rFonts w:ascii="Arial" w:hAnsi="Arial"/>
                <w:sz w:val="20"/>
                <w:lang w:val="es-ES_tradnl"/>
              </w:rPr>
              <w:t xml:space="preserve">deuda publicados desde </w:t>
            </w:r>
            <w:r w:rsidR="00DE15B2">
              <w:rPr>
                <w:rFonts w:ascii="Arial" w:hAnsi="Arial" w:cs="Arial"/>
                <w:sz w:val="20"/>
                <w:szCs w:val="20"/>
                <w:lang w:val="es-ES_tradnl"/>
              </w:rPr>
              <w:t>junio</w:t>
            </w:r>
            <w:r w:rsidR="00DE15B2" w:rsidRPr="00496C0E">
              <w:rPr>
                <w:rFonts w:ascii="Arial" w:hAnsi="Arial"/>
                <w:sz w:val="20"/>
                <w:lang w:val="es-ES_tradnl"/>
              </w:rPr>
              <w:t xml:space="preserve"> </w:t>
            </w:r>
            <w:r w:rsidR="00796A85" w:rsidRPr="00496C0E">
              <w:rPr>
                <w:rFonts w:ascii="Arial" w:hAnsi="Arial"/>
                <w:sz w:val="20"/>
                <w:lang w:val="es-ES_tradnl"/>
              </w:rPr>
              <w:t>2019</w:t>
            </w:r>
            <w:r w:rsidR="00A7515C" w:rsidRPr="00496C0E">
              <w:rPr>
                <w:rFonts w:ascii="Arial" w:hAnsi="Arial"/>
                <w:sz w:val="20"/>
                <w:lang w:val="es-ES_tradnl"/>
              </w:rPr>
              <w:t xml:space="preserve"> en el Boletín de deuda del Banco Central</w:t>
            </w:r>
            <w:r w:rsidRPr="00496C0E">
              <w:rPr>
                <w:rFonts w:ascii="Arial" w:hAnsi="Arial"/>
                <w:sz w:val="20"/>
              </w:rPr>
              <w:t xml:space="preserve">. </w:t>
            </w:r>
          </w:p>
        </w:tc>
        <w:tc>
          <w:tcPr>
            <w:tcW w:w="1747" w:type="dxa"/>
            <w:shd w:val="clear" w:color="auto" w:fill="auto"/>
          </w:tcPr>
          <w:p w14:paraId="659537E2" w14:textId="069327EE" w:rsidR="00F40F53" w:rsidRPr="00496C0E" w:rsidRDefault="00F40F53" w:rsidP="004F27EE">
            <w:pPr>
              <w:spacing w:beforeLines="60" w:before="144" w:afterLines="60" w:after="144" w:line="240" w:lineRule="auto"/>
              <w:ind w:right="-110"/>
              <w:rPr>
                <w:rFonts w:ascii="Arial" w:hAnsi="Arial"/>
                <w:sz w:val="20"/>
              </w:rPr>
            </w:pPr>
            <w:r w:rsidRPr="00496C0E">
              <w:rPr>
                <w:rFonts w:ascii="Arial" w:hAnsi="Arial"/>
                <w:sz w:val="20"/>
              </w:rPr>
              <w:t>2.2 a. MEF y Presidencia de la República.</w:t>
            </w:r>
          </w:p>
          <w:p w14:paraId="4B15FCAB" w14:textId="258B0E5B" w:rsidR="00F40F53" w:rsidRPr="00496C0E" w:rsidRDefault="00F40F53" w:rsidP="004F27EE">
            <w:pPr>
              <w:spacing w:beforeLines="60" w:before="144" w:afterLines="60" w:after="144" w:line="240" w:lineRule="auto"/>
              <w:ind w:right="-110"/>
              <w:rPr>
                <w:rFonts w:ascii="Arial" w:hAnsi="Arial"/>
                <w:sz w:val="20"/>
              </w:rPr>
            </w:pPr>
          </w:p>
          <w:p w14:paraId="62B2718E" w14:textId="72BB2CC6" w:rsidR="00F40F53" w:rsidRPr="00496C0E" w:rsidRDefault="00F40F53" w:rsidP="004F27EE">
            <w:pPr>
              <w:spacing w:beforeLines="60" w:before="144" w:afterLines="60" w:after="144" w:line="240" w:lineRule="auto"/>
              <w:ind w:right="-110"/>
              <w:rPr>
                <w:rFonts w:ascii="Arial" w:hAnsi="Arial"/>
                <w:sz w:val="20"/>
              </w:rPr>
            </w:pPr>
          </w:p>
          <w:p w14:paraId="11B1A01E" w14:textId="3EC5C30A" w:rsidR="00F40F53" w:rsidRPr="00496C0E" w:rsidRDefault="00F40F53" w:rsidP="004F27EE">
            <w:pPr>
              <w:spacing w:beforeLines="60" w:before="144" w:afterLines="60" w:after="144" w:line="240" w:lineRule="auto"/>
              <w:ind w:right="-110"/>
              <w:rPr>
                <w:rFonts w:ascii="Arial" w:hAnsi="Arial"/>
                <w:sz w:val="20"/>
              </w:rPr>
            </w:pPr>
            <w:r w:rsidRPr="00496C0E">
              <w:rPr>
                <w:rFonts w:ascii="Arial" w:hAnsi="Arial"/>
                <w:sz w:val="20"/>
              </w:rPr>
              <w:t>2.2 b. Banco Central.</w:t>
            </w:r>
          </w:p>
          <w:p w14:paraId="298AE25F" w14:textId="77777777" w:rsidR="000441CB" w:rsidRPr="00496C0E" w:rsidRDefault="000441CB" w:rsidP="004F27EE">
            <w:pPr>
              <w:spacing w:beforeLines="60" w:before="144" w:afterLines="60" w:after="144" w:line="240" w:lineRule="auto"/>
              <w:ind w:right="-110"/>
              <w:rPr>
                <w:rFonts w:ascii="Arial" w:hAnsi="Arial"/>
                <w:b/>
                <w:sz w:val="20"/>
              </w:rPr>
            </w:pPr>
          </w:p>
        </w:tc>
      </w:tr>
      <w:tr w:rsidR="009F2115" w:rsidRPr="00BD61E6" w14:paraId="298AE27C" w14:textId="7BBF0812" w:rsidTr="00A20577">
        <w:trPr>
          <w:trHeight w:val="20"/>
        </w:trPr>
        <w:tc>
          <w:tcPr>
            <w:tcW w:w="10777" w:type="dxa"/>
            <w:gridSpan w:val="4"/>
            <w:shd w:val="clear" w:color="auto" w:fill="D9D9D9"/>
            <w:vAlign w:val="center"/>
          </w:tcPr>
          <w:p w14:paraId="298AE27B" w14:textId="6E6E8CA8" w:rsidR="000441CB" w:rsidRPr="00496C0E" w:rsidRDefault="000441CB" w:rsidP="000441CB">
            <w:pPr>
              <w:spacing w:after="0" w:line="240" w:lineRule="auto"/>
              <w:ind w:right="-110"/>
              <w:rPr>
                <w:rFonts w:ascii="Arial" w:hAnsi="Arial"/>
                <w:b/>
                <w:sz w:val="20"/>
              </w:rPr>
            </w:pPr>
            <w:r w:rsidRPr="00496C0E">
              <w:rPr>
                <w:rFonts w:ascii="Arial" w:hAnsi="Arial"/>
                <w:b/>
                <w:sz w:val="20"/>
              </w:rPr>
              <w:t>Componente III.</w:t>
            </w:r>
            <w:r w:rsidR="00A53165" w:rsidRPr="00496C0E">
              <w:rPr>
                <w:rFonts w:ascii="Arial" w:hAnsi="Arial"/>
                <w:b/>
                <w:sz w:val="20"/>
              </w:rPr>
              <w:t xml:space="preserve"> </w:t>
            </w:r>
            <w:r w:rsidRPr="00496C0E">
              <w:rPr>
                <w:rFonts w:ascii="Arial" w:hAnsi="Arial"/>
                <w:b/>
                <w:kern w:val="18"/>
                <w:sz w:val="20"/>
                <w:lang w:val="es-ES_tradnl"/>
              </w:rPr>
              <w:t>Mejora en la calidad y eficiencia del gasto</w:t>
            </w:r>
          </w:p>
        </w:tc>
        <w:tc>
          <w:tcPr>
            <w:tcW w:w="4087" w:type="dxa"/>
            <w:gridSpan w:val="2"/>
            <w:shd w:val="clear" w:color="auto" w:fill="D9D9D9"/>
          </w:tcPr>
          <w:p w14:paraId="6AA59FC2" w14:textId="77777777" w:rsidR="000441CB" w:rsidRPr="00496C0E" w:rsidRDefault="000441CB" w:rsidP="000441CB">
            <w:pPr>
              <w:spacing w:after="0" w:line="240" w:lineRule="auto"/>
              <w:ind w:right="-110"/>
              <w:rPr>
                <w:rFonts w:ascii="Arial" w:hAnsi="Arial"/>
                <w:b/>
                <w:sz w:val="20"/>
              </w:rPr>
            </w:pPr>
          </w:p>
        </w:tc>
      </w:tr>
      <w:tr w:rsidR="00F40F53" w:rsidRPr="00BD61E6" w14:paraId="298AE283" w14:textId="77777777" w:rsidTr="00EF7987">
        <w:trPr>
          <w:trHeight w:val="20"/>
        </w:trPr>
        <w:tc>
          <w:tcPr>
            <w:tcW w:w="1733" w:type="dxa"/>
            <w:shd w:val="clear" w:color="auto" w:fill="auto"/>
          </w:tcPr>
          <w:p w14:paraId="298AE27D" w14:textId="3696D9A9" w:rsidR="00D53E87" w:rsidRPr="00496C0E" w:rsidRDefault="00D53E87" w:rsidP="004F27EE">
            <w:pPr>
              <w:pStyle w:val="ListParagraph"/>
              <w:spacing w:beforeLines="60" w:before="144" w:afterLines="60" w:after="144"/>
              <w:ind w:left="0"/>
              <w:rPr>
                <w:rFonts w:ascii="Arial" w:hAnsi="Arial"/>
                <w:sz w:val="20"/>
                <w:lang w:val="es-ES_tradnl"/>
              </w:rPr>
            </w:pPr>
            <w:r w:rsidRPr="00496C0E">
              <w:rPr>
                <w:rFonts w:ascii="Arial" w:hAnsi="Arial"/>
                <w:kern w:val="18"/>
                <w:sz w:val="20"/>
                <w:lang w:val="es-ES_tradnl"/>
              </w:rPr>
              <w:t xml:space="preserve">Fortalecimiento institucional </w:t>
            </w:r>
          </w:p>
        </w:tc>
        <w:tc>
          <w:tcPr>
            <w:tcW w:w="3374" w:type="dxa"/>
            <w:shd w:val="clear" w:color="auto" w:fill="auto"/>
          </w:tcPr>
          <w:p w14:paraId="45475DF5" w14:textId="6DBF1950" w:rsidR="00D53E87" w:rsidRPr="00496C0E" w:rsidRDefault="009452ED" w:rsidP="004F27EE">
            <w:pPr>
              <w:pStyle w:val="ListParagraph"/>
              <w:numPr>
                <w:ilvl w:val="1"/>
                <w:numId w:val="9"/>
              </w:numPr>
              <w:spacing w:beforeLines="60" w:before="144" w:afterLines="60" w:after="144"/>
              <w:ind w:left="290" w:hanging="360"/>
              <w:rPr>
                <w:rFonts w:ascii="Arial" w:hAnsi="Arial"/>
                <w:sz w:val="20"/>
                <w:lang w:val="es-ES_tradnl"/>
              </w:rPr>
            </w:pPr>
            <w:r w:rsidRPr="00496C0E">
              <w:rPr>
                <w:rFonts w:ascii="Arial" w:hAnsi="Arial"/>
                <w:sz w:val="20"/>
                <w:lang w:val="es-ES_tradnl"/>
              </w:rPr>
              <w:t xml:space="preserve">Fortalecimiento de la </w:t>
            </w:r>
            <w:r w:rsidR="00BA64E3" w:rsidRPr="00496C0E">
              <w:rPr>
                <w:rFonts w:ascii="Arial" w:hAnsi="Arial"/>
                <w:sz w:val="20"/>
                <w:lang w:val="es-ES_tradnl"/>
              </w:rPr>
              <w:t xml:space="preserve">Dirección Nacional de Calidad del Gasto en el Ministerio de Economía y Finanzas (MEF) a través del establecimiento del MEF como ente coordinador de las unidades de efectividad y calidad del gasto de la </w:t>
            </w:r>
            <w:r w:rsidR="00296930" w:rsidRPr="00496C0E">
              <w:rPr>
                <w:rFonts w:ascii="Arial" w:hAnsi="Arial"/>
                <w:sz w:val="20"/>
                <w:lang w:val="es-ES_tradnl"/>
              </w:rPr>
              <w:t xml:space="preserve">función </w:t>
            </w:r>
            <w:r w:rsidR="00296930" w:rsidRPr="00496C0E">
              <w:rPr>
                <w:rFonts w:ascii="Arial" w:hAnsi="Arial"/>
                <w:sz w:val="20"/>
                <w:lang w:val="es-ES_tradnl"/>
              </w:rPr>
              <w:lastRenderedPageBreak/>
              <w:t xml:space="preserve">ejecutiva </w:t>
            </w:r>
            <w:r w:rsidRPr="00496C0E">
              <w:rPr>
                <w:rFonts w:ascii="Arial" w:hAnsi="Arial"/>
                <w:sz w:val="20"/>
                <w:lang w:val="es-ES_tradnl"/>
              </w:rPr>
              <w:t>del Estado</w:t>
            </w:r>
            <w:r w:rsidR="00BA64E3" w:rsidRPr="00496C0E">
              <w:rPr>
                <w:rFonts w:ascii="Arial" w:hAnsi="Arial"/>
                <w:sz w:val="20"/>
                <w:lang w:val="es-ES_tradnl"/>
              </w:rPr>
              <w:t>, incluyendo</w:t>
            </w:r>
            <w:r w:rsidR="00D53E87" w:rsidRPr="00496C0E">
              <w:rPr>
                <w:rFonts w:ascii="Arial" w:hAnsi="Arial"/>
                <w:sz w:val="20"/>
                <w:lang w:val="es-ES_tradnl"/>
              </w:rPr>
              <w:t>:</w:t>
            </w:r>
          </w:p>
          <w:p w14:paraId="5DEC6A40" w14:textId="0E138514" w:rsidR="00D53E87" w:rsidRPr="00496C0E" w:rsidRDefault="00D53E87" w:rsidP="004F27EE">
            <w:pPr>
              <w:pStyle w:val="ListParagraph"/>
              <w:numPr>
                <w:ilvl w:val="7"/>
                <w:numId w:val="16"/>
              </w:numPr>
              <w:spacing w:beforeLines="60" w:before="144" w:afterLines="60" w:after="144"/>
              <w:ind w:left="481" w:hanging="270"/>
              <w:rPr>
                <w:rFonts w:ascii="Arial" w:hAnsi="Arial"/>
                <w:sz w:val="20"/>
                <w:lang w:val="es-ES_tradnl"/>
              </w:rPr>
            </w:pPr>
            <w:r w:rsidRPr="00496C0E">
              <w:rPr>
                <w:rFonts w:ascii="Arial" w:hAnsi="Arial"/>
                <w:sz w:val="20"/>
                <w:lang w:val="es-ES_tradnl"/>
              </w:rPr>
              <w:t xml:space="preserve">La obligatoriedad de las agencias del </w:t>
            </w:r>
            <w:r w:rsidR="00296930" w:rsidRPr="00496C0E">
              <w:rPr>
                <w:rFonts w:ascii="Arial" w:hAnsi="Arial"/>
                <w:sz w:val="20"/>
                <w:lang w:val="es-ES_tradnl"/>
              </w:rPr>
              <w:t>GC</w:t>
            </w:r>
            <w:r w:rsidR="009452ED" w:rsidRPr="00496C0E">
              <w:rPr>
                <w:rFonts w:ascii="Arial" w:hAnsi="Arial"/>
                <w:sz w:val="20"/>
                <w:lang w:val="es-ES_tradnl"/>
              </w:rPr>
              <w:t xml:space="preserve"> </w:t>
            </w:r>
            <w:r w:rsidRPr="00496C0E">
              <w:rPr>
                <w:rFonts w:ascii="Arial" w:hAnsi="Arial"/>
                <w:sz w:val="20"/>
                <w:lang w:val="es-ES_tradnl"/>
              </w:rPr>
              <w:t>de reportar estadísticas de gasto al MEF.</w:t>
            </w:r>
          </w:p>
          <w:p w14:paraId="298AE27F" w14:textId="78B5E032" w:rsidR="00D53E87" w:rsidRPr="00496C0E" w:rsidRDefault="00F65B3E" w:rsidP="004F27EE">
            <w:pPr>
              <w:pStyle w:val="ListParagraph"/>
              <w:numPr>
                <w:ilvl w:val="7"/>
                <w:numId w:val="16"/>
              </w:numPr>
              <w:spacing w:beforeLines="60" w:before="144" w:afterLines="60" w:after="144"/>
              <w:ind w:left="481" w:hanging="270"/>
              <w:rPr>
                <w:rFonts w:ascii="Arial" w:hAnsi="Arial"/>
                <w:sz w:val="20"/>
                <w:lang w:val="es-ES_tradnl"/>
              </w:rPr>
            </w:pPr>
            <w:r w:rsidRPr="00496C0E">
              <w:rPr>
                <w:rFonts w:ascii="Arial" w:hAnsi="Arial"/>
                <w:sz w:val="20"/>
                <w:lang w:val="es-ES_tradnl"/>
              </w:rPr>
              <w:t>Definición de a</w:t>
            </w:r>
            <w:r w:rsidR="00D53E87" w:rsidRPr="00496C0E">
              <w:rPr>
                <w:rFonts w:ascii="Arial" w:hAnsi="Arial"/>
                <w:sz w:val="20"/>
                <w:lang w:val="es-ES_tradnl"/>
              </w:rPr>
              <w:t>genda y metodologías de evaluación del gasto social, incluyendo evaluaciones ex ante y de impacto.</w:t>
            </w:r>
          </w:p>
        </w:tc>
        <w:tc>
          <w:tcPr>
            <w:tcW w:w="2340" w:type="dxa"/>
            <w:shd w:val="clear" w:color="auto" w:fill="auto"/>
          </w:tcPr>
          <w:p w14:paraId="1092A5B5" w14:textId="3F96B852" w:rsidR="00D53E87" w:rsidRPr="00496C0E" w:rsidRDefault="00F942C5" w:rsidP="004F27EE">
            <w:pPr>
              <w:pStyle w:val="ListParagraph"/>
              <w:numPr>
                <w:ilvl w:val="0"/>
                <w:numId w:val="3"/>
              </w:numPr>
              <w:spacing w:beforeLines="60" w:before="144" w:afterLines="60" w:after="144"/>
              <w:jc w:val="both"/>
              <w:rPr>
                <w:rFonts w:ascii="Arial" w:hAnsi="Arial"/>
                <w:sz w:val="20"/>
                <w:lang w:val="es-ES"/>
              </w:rPr>
            </w:pPr>
            <w:r w:rsidRPr="00496C0E">
              <w:rPr>
                <w:rFonts w:ascii="Arial" w:eastAsia="Arial" w:hAnsi="Arial"/>
                <w:sz w:val="20"/>
                <w:lang w:val="es-ES"/>
              </w:rPr>
              <w:lastRenderedPageBreak/>
              <w:t xml:space="preserve">Copia de la publicación en el </w:t>
            </w:r>
            <w:r w:rsidRPr="00496C0E">
              <w:rPr>
                <w:rFonts w:ascii="Arial" w:hAnsi="Arial"/>
                <w:sz w:val="20"/>
                <w:lang w:val="es-ES"/>
              </w:rPr>
              <w:t xml:space="preserve">registro oficial </w:t>
            </w:r>
            <w:r w:rsidRPr="00496C0E">
              <w:rPr>
                <w:rFonts w:ascii="Arial" w:eastAsia="Arial" w:hAnsi="Arial"/>
                <w:sz w:val="20"/>
                <w:lang w:val="es-ES"/>
              </w:rPr>
              <w:t xml:space="preserve">de la República del </w:t>
            </w:r>
            <w:r w:rsidRPr="00496C0E">
              <w:rPr>
                <w:rFonts w:ascii="Arial" w:hAnsi="Arial"/>
                <w:sz w:val="20"/>
                <w:lang w:val="es-ES"/>
              </w:rPr>
              <w:t>Ecuador</w:t>
            </w:r>
            <w:r w:rsidRPr="00496C0E">
              <w:rPr>
                <w:rFonts w:ascii="Arial" w:eastAsia="Arial" w:hAnsi="Arial"/>
                <w:sz w:val="20"/>
                <w:lang w:val="es-ES"/>
              </w:rPr>
              <w:t xml:space="preserve"> del decreto ejecutivo</w:t>
            </w:r>
            <w:r w:rsidR="00244941">
              <w:rPr>
                <w:rFonts w:ascii="Arial" w:eastAsia="Arial" w:hAnsi="Arial"/>
                <w:sz w:val="20"/>
                <w:lang w:val="es-ES"/>
              </w:rPr>
              <w:t xml:space="preserve">. </w:t>
            </w:r>
          </w:p>
          <w:p w14:paraId="53B26D20" w14:textId="77777777" w:rsidR="00D53E87" w:rsidRPr="00496C0E" w:rsidRDefault="00D53E87" w:rsidP="004F27EE">
            <w:pPr>
              <w:pStyle w:val="ListParagraph"/>
              <w:spacing w:beforeLines="60" w:before="144" w:afterLines="60" w:after="144"/>
              <w:ind w:left="360"/>
              <w:jc w:val="both"/>
              <w:rPr>
                <w:rFonts w:ascii="Arial" w:hAnsi="Arial"/>
                <w:sz w:val="20"/>
                <w:lang w:val="es-ES"/>
              </w:rPr>
            </w:pPr>
          </w:p>
          <w:p w14:paraId="298AE280" w14:textId="5E3A303D" w:rsidR="00D53E87" w:rsidRPr="00496C0E" w:rsidRDefault="00D53E87" w:rsidP="004F27EE">
            <w:pPr>
              <w:pStyle w:val="ListParagraph"/>
              <w:spacing w:beforeLines="60" w:before="144" w:afterLines="60" w:after="144"/>
              <w:ind w:left="360"/>
              <w:jc w:val="both"/>
              <w:rPr>
                <w:rFonts w:ascii="Arial" w:hAnsi="Arial"/>
                <w:sz w:val="20"/>
                <w:lang w:val="es-ES"/>
              </w:rPr>
            </w:pPr>
          </w:p>
        </w:tc>
        <w:tc>
          <w:tcPr>
            <w:tcW w:w="3330" w:type="dxa"/>
          </w:tcPr>
          <w:p w14:paraId="6BD02FCB" w14:textId="1429E5FA" w:rsidR="00D53E87" w:rsidRPr="00496C0E" w:rsidRDefault="009F2115" w:rsidP="004F27EE">
            <w:pPr>
              <w:spacing w:beforeLines="60" w:before="144" w:afterLines="60" w:after="144" w:line="240" w:lineRule="auto"/>
              <w:rPr>
                <w:rFonts w:ascii="Arial" w:hAnsi="Arial"/>
                <w:kern w:val="18"/>
                <w:sz w:val="20"/>
                <w:lang w:val="es-ES_tradnl"/>
              </w:rPr>
            </w:pPr>
            <w:r w:rsidRPr="00496C0E">
              <w:rPr>
                <w:rFonts w:ascii="Arial" w:hAnsi="Arial"/>
                <w:kern w:val="18"/>
                <w:sz w:val="20"/>
              </w:rPr>
              <w:t xml:space="preserve">3.1 </w:t>
            </w:r>
            <w:r w:rsidR="009452ED" w:rsidRPr="00496C0E">
              <w:rPr>
                <w:rFonts w:ascii="Arial" w:hAnsi="Arial"/>
                <w:kern w:val="18"/>
                <w:sz w:val="20"/>
              </w:rPr>
              <w:t xml:space="preserve">Fortalecimiento de la </w:t>
            </w:r>
            <w:r w:rsidR="00D53E87" w:rsidRPr="00496C0E">
              <w:rPr>
                <w:rFonts w:ascii="Arial" w:hAnsi="Arial"/>
                <w:kern w:val="18"/>
                <w:sz w:val="20"/>
                <w:lang w:val="es-ES_tradnl"/>
              </w:rPr>
              <w:t xml:space="preserve">Dirección Nacional de Calidad de Gasto en el Ministerio de Economía y Finanzas a través de la implementación del MEF como ente coordinador del </w:t>
            </w:r>
            <w:r w:rsidR="009452ED" w:rsidRPr="00496C0E">
              <w:rPr>
                <w:rFonts w:ascii="Arial" w:hAnsi="Arial"/>
                <w:kern w:val="18"/>
                <w:sz w:val="20"/>
                <w:lang w:val="es-ES_tradnl"/>
              </w:rPr>
              <w:t>S</w:t>
            </w:r>
            <w:r w:rsidR="00D53E87" w:rsidRPr="00496C0E">
              <w:rPr>
                <w:rFonts w:ascii="Arial" w:hAnsi="Arial"/>
                <w:kern w:val="18"/>
                <w:sz w:val="20"/>
                <w:lang w:val="es-ES_tradnl"/>
              </w:rPr>
              <w:t xml:space="preserve">istema </w:t>
            </w:r>
            <w:r w:rsidR="009452ED" w:rsidRPr="00496C0E">
              <w:rPr>
                <w:rFonts w:ascii="Arial" w:hAnsi="Arial"/>
                <w:kern w:val="18"/>
                <w:sz w:val="20"/>
                <w:lang w:val="es-ES_tradnl"/>
              </w:rPr>
              <w:lastRenderedPageBreak/>
              <w:t>N</w:t>
            </w:r>
            <w:r w:rsidR="00D53E87" w:rsidRPr="00496C0E">
              <w:rPr>
                <w:rFonts w:ascii="Arial" w:hAnsi="Arial"/>
                <w:kern w:val="18"/>
                <w:sz w:val="20"/>
                <w:lang w:val="es-ES_tradnl"/>
              </w:rPr>
              <w:t xml:space="preserve">acional de </w:t>
            </w:r>
            <w:r w:rsidR="009452ED" w:rsidRPr="00496C0E">
              <w:rPr>
                <w:rFonts w:ascii="Arial" w:hAnsi="Arial"/>
                <w:kern w:val="18"/>
                <w:sz w:val="20"/>
                <w:lang w:val="es-ES_tradnl"/>
              </w:rPr>
              <w:t>C</w:t>
            </w:r>
            <w:r w:rsidR="00D53E87" w:rsidRPr="00496C0E">
              <w:rPr>
                <w:rFonts w:ascii="Arial" w:hAnsi="Arial"/>
                <w:kern w:val="18"/>
                <w:sz w:val="20"/>
                <w:lang w:val="es-ES_tradnl"/>
              </w:rPr>
              <w:t xml:space="preserve">alidad del </w:t>
            </w:r>
            <w:r w:rsidR="009452ED" w:rsidRPr="00496C0E">
              <w:rPr>
                <w:rFonts w:ascii="Arial" w:hAnsi="Arial"/>
                <w:kern w:val="18"/>
                <w:sz w:val="20"/>
                <w:lang w:val="es-ES_tradnl"/>
              </w:rPr>
              <w:t>G</w:t>
            </w:r>
            <w:r w:rsidR="00D53E87" w:rsidRPr="00496C0E">
              <w:rPr>
                <w:rFonts w:ascii="Arial" w:hAnsi="Arial"/>
                <w:kern w:val="18"/>
                <w:sz w:val="20"/>
                <w:lang w:val="es-ES_tradnl"/>
              </w:rPr>
              <w:t>asto, incluyendo:</w:t>
            </w:r>
          </w:p>
          <w:p w14:paraId="06501708" w14:textId="661A04B8" w:rsidR="009D5F5B" w:rsidRPr="00496C0E" w:rsidRDefault="00D53E87" w:rsidP="004F27EE">
            <w:pPr>
              <w:pStyle w:val="ListParagraph"/>
              <w:numPr>
                <w:ilvl w:val="7"/>
                <w:numId w:val="17"/>
              </w:numPr>
              <w:spacing w:beforeLines="60" w:before="144" w:afterLines="60" w:after="144"/>
              <w:ind w:left="526" w:hanging="270"/>
              <w:rPr>
                <w:rFonts w:ascii="Arial" w:hAnsi="Arial"/>
                <w:sz w:val="20"/>
                <w:lang w:val="es-ES_tradnl"/>
              </w:rPr>
            </w:pPr>
            <w:r w:rsidRPr="00496C0E">
              <w:rPr>
                <w:rFonts w:ascii="Arial" w:hAnsi="Arial"/>
                <w:sz w:val="20"/>
                <w:lang w:val="es-ES_tradnl"/>
              </w:rPr>
              <w:t xml:space="preserve">Reportes de información sobre gasto social </w:t>
            </w:r>
            <w:r w:rsidR="00E44E56" w:rsidRPr="00496C0E">
              <w:rPr>
                <w:rFonts w:ascii="Arial" w:hAnsi="Arial"/>
                <w:sz w:val="20"/>
                <w:lang w:val="es-ES_tradnl"/>
              </w:rPr>
              <w:t xml:space="preserve">de tres ministerios (Educación, Salud y de Inclusión Económica y Social) </w:t>
            </w:r>
            <w:r w:rsidRPr="00496C0E">
              <w:rPr>
                <w:rFonts w:ascii="Arial" w:hAnsi="Arial"/>
                <w:sz w:val="20"/>
                <w:lang w:val="es-ES_tradnl"/>
              </w:rPr>
              <w:t>recibido</w:t>
            </w:r>
            <w:r w:rsidR="00E44E56" w:rsidRPr="00496C0E">
              <w:rPr>
                <w:rFonts w:ascii="Arial" w:hAnsi="Arial"/>
                <w:sz w:val="20"/>
                <w:lang w:val="es-ES_tradnl"/>
              </w:rPr>
              <w:t>s</w:t>
            </w:r>
            <w:r w:rsidRPr="00496C0E">
              <w:rPr>
                <w:rFonts w:ascii="Arial" w:hAnsi="Arial"/>
                <w:sz w:val="20"/>
                <w:lang w:val="es-ES_tradnl"/>
              </w:rPr>
              <w:t xml:space="preserve"> por el MEF.</w:t>
            </w:r>
          </w:p>
          <w:p w14:paraId="7E05C44D" w14:textId="6C0D24EB" w:rsidR="00D53E87" w:rsidRPr="00496C0E" w:rsidRDefault="00D53E87" w:rsidP="004F27EE">
            <w:pPr>
              <w:pStyle w:val="ListParagraph"/>
              <w:numPr>
                <w:ilvl w:val="7"/>
                <w:numId w:val="17"/>
              </w:numPr>
              <w:spacing w:beforeLines="60" w:before="144" w:afterLines="60" w:after="144"/>
              <w:ind w:left="526" w:hanging="270"/>
              <w:rPr>
                <w:rFonts w:ascii="Arial" w:hAnsi="Arial"/>
                <w:kern w:val="18"/>
                <w:sz w:val="20"/>
                <w:lang w:val="es-ES_tradnl"/>
              </w:rPr>
            </w:pPr>
            <w:r w:rsidRPr="00496C0E">
              <w:rPr>
                <w:rFonts w:ascii="Arial" w:hAnsi="Arial"/>
                <w:sz w:val="20"/>
                <w:lang w:val="es-ES_tradnl"/>
              </w:rPr>
              <w:t>Evaluación piloto de al menos un programa de gasto social</w:t>
            </w:r>
            <w:r w:rsidRPr="00496C0E">
              <w:rPr>
                <w:rFonts w:ascii="Arial" w:hAnsi="Arial"/>
                <w:kern w:val="18"/>
                <w:sz w:val="20"/>
                <w:lang w:val="es-ES_tradnl"/>
              </w:rPr>
              <w:t xml:space="preserve"> iniciada.</w:t>
            </w:r>
          </w:p>
        </w:tc>
        <w:tc>
          <w:tcPr>
            <w:tcW w:w="2340" w:type="dxa"/>
          </w:tcPr>
          <w:p w14:paraId="0C257BF5" w14:textId="2CECF365" w:rsidR="009D5F5B" w:rsidRPr="00496C0E" w:rsidRDefault="009D5F5B" w:rsidP="004F27EE">
            <w:pPr>
              <w:spacing w:beforeLines="60" w:before="144" w:afterLines="60" w:after="144" w:line="240" w:lineRule="auto"/>
              <w:ind w:left="346" w:hanging="346"/>
              <w:rPr>
                <w:rFonts w:ascii="Arial" w:hAnsi="Arial"/>
                <w:kern w:val="18"/>
                <w:sz w:val="20"/>
                <w:lang w:val="es-ES_tradnl"/>
              </w:rPr>
            </w:pPr>
            <w:r w:rsidRPr="00496C0E">
              <w:rPr>
                <w:rFonts w:ascii="Arial" w:hAnsi="Arial"/>
                <w:sz w:val="20"/>
              </w:rPr>
              <w:lastRenderedPageBreak/>
              <w:t xml:space="preserve">3.1.a. </w:t>
            </w:r>
            <w:r w:rsidR="00E44E56" w:rsidRPr="00496C0E">
              <w:rPr>
                <w:rFonts w:ascii="Arial" w:hAnsi="Arial"/>
                <w:sz w:val="20"/>
              </w:rPr>
              <w:t>Tres r</w:t>
            </w:r>
            <w:r w:rsidRPr="00496C0E">
              <w:rPr>
                <w:rFonts w:ascii="Arial" w:hAnsi="Arial"/>
                <w:kern w:val="18"/>
                <w:sz w:val="20"/>
                <w:lang w:val="es-ES_tradnl"/>
              </w:rPr>
              <w:t>eportes de información sobre gasto social recibido</w:t>
            </w:r>
            <w:r w:rsidR="00796A85" w:rsidRPr="00496C0E">
              <w:rPr>
                <w:rFonts w:ascii="Arial" w:hAnsi="Arial"/>
                <w:kern w:val="18"/>
                <w:sz w:val="20"/>
                <w:lang w:val="es-ES_tradnl"/>
              </w:rPr>
              <w:t>s</w:t>
            </w:r>
            <w:r w:rsidRPr="00496C0E">
              <w:rPr>
                <w:rFonts w:ascii="Arial" w:hAnsi="Arial"/>
                <w:kern w:val="18"/>
                <w:sz w:val="20"/>
                <w:lang w:val="es-ES_tradnl"/>
              </w:rPr>
              <w:t xml:space="preserve"> por el MEF.</w:t>
            </w:r>
          </w:p>
          <w:p w14:paraId="01D15CF1" w14:textId="6D422A27" w:rsidR="00D53E87" w:rsidRPr="00496C0E" w:rsidRDefault="009D5F5B" w:rsidP="004F27EE">
            <w:pPr>
              <w:spacing w:beforeLines="60" w:before="144" w:afterLines="60" w:after="144" w:line="240" w:lineRule="auto"/>
              <w:ind w:left="346" w:hanging="346"/>
              <w:rPr>
                <w:rFonts w:ascii="Arial" w:hAnsi="Arial"/>
                <w:sz w:val="20"/>
              </w:rPr>
            </w:pPr>
            <w:r w:rsidRPr="00496C0E">
              <w:rPr>
                <w:rFonts w:ascii="Arial" w:hAnsi="Arial"/>
                <w:sz w:val="20"/>
              </w:rPr>
              <w:t xml:space="preserve">3.1.b. </w:t>
            </w:r>
            <w:r w:rsidR="00796A85" w:rsidRPr="00496C0E">
              <w:rPr>
                <w:rFonts w:ascii="Arial" w:hAnsi="Arial"/>
                <w:sz w:val="20"/>
              </w:rPr>
              <w:t>Informe de e</w:t>
            </w:r>
            <w:r w:rsidRPr="00496C0E">
              <w:rPr>
                <w:rFonts w:ascii="Arial" w:hAnsi="Arial"/>
                <w:kern w:val="18"/>
                <w:sz w:val="20"/>
                <w:lang w:val="es-ES_tradnl"/>
              </w:rPr>
              <w:t>valuación</w:t>
            </w:r>
            <w:r w:rsidR="00F65B3E" w:rsidRPr="00496C0E">
              <w:rPr>
                <w:rFonts w:ascii="Arial" w:hAnsi="Arial"/>
                <w:kern w:val="18"/>
                <w:sz w:val="20"/>
                <w:lang w:val="es-ES_tradnl"/>
              </w:rPr>
              <w:t xml:space="preserve"> </w:t>
            </w:r>
            <w:r w:rsidR="00F65B3E" w:rsidRPr="00496C0E">
              <w:rPr>
                <w:rFonts w:ascii="Arial" w:hAnsi="Arial"/>
                <w:sz w:val="20"/>
                <w:lang w:val="es-ES_tradnl"/>
              </w:rPr>
              <w:t xml:space="preserve">enviado </w:t>
            </w:r>
            <w:r w:rsidR="00F65B3E" w:rsidRPr="00496C0E">
              <w:rPr>
                <w:rFonts w:ascii="Arial" w:hAnsi="Arial"/>
                <w:sz w:val="20"/>
                <w:lang w:val="es-ES_tradnl"/>
              </w:rPr>
              <w:lastRenderedPageBreak/>
              <w:t>al MEF por el ministerio del proyecto sobre el que se esté elaborando la evaluación piloto</w:t>
            </w:r>
            <w:r w:rsidR="00E44E56" w:rsidRPr="00496C0E">
              <w:rPr>
                <w:rFonts w:ascii="Arial" w:hAnsi="Arial"/>
                <w:kern w:val="18"/>
                <w:sz w:val="20"/>
                <w:lang w:val="es-ES_tradnl"/>
              </w:rPr>
              <w:t>.</w:t>
            </w:r>
            <w:r w:rsidRPr="00496C0E">
              <w:rPr>
                <w:rFonts w:ascii="Arial" w:hAnsi="Arial"/>
                <w:kern w:val="18"/>
                <w:sz w:val="20"/>
                <w:lang w:val="es-ES_tradnl"/>
              </w:rPr>
              <w:t xml:space="preserve"> </w:t>
            </w:r>
          </w:p>
          <w:p w14:paraId="57E7377B" w14:textId="77777777" w:rsidR="00D53E87" w:rsidRPr="00496C0E" w:rsidRDefault="00D53E87" w:rsidP="004F27EE">
            <w:pPr>
              <w:pStyle w:val="ListParagraph"/>
              <w:spacing w:beforeLines="60" w:before="144" w:afterLines="60" w:after="144"/>
              <w:ind w:left="360"/>
              <w:jc w:val="both"/>
              <w:rPr>
                <w:rFonts w:ascii="Arial" w:hAnsi="Arial"/>
                <w:sz w:val="20"/>
                <w:lang w:val="es-ES"/>
              </w:rPr>
            </w:pPr>
          </w:p>
          <w:p w14:paraId="3E48B51C" w14:textId="77777777" w:rsidR="00D53E87" w:rsidRPr="00496C0E" w:rsidRDefault="00D53E87" w:rsidP="004F27EE">
            <w:pPr>
              <w:spacing w:beforeLines="60" w:before="144" w:afterLines="60" w:after="144" w:line="240" w:lineRule="auto"/>
              <w:ind w:right="72"/>
              <w:rPr>
                <w:rFonts w:ascii="Arial" w:hAnsi="Arial"/>
                <w:sz w:val="20"/>
              </w:rPr>
            </w:pPr>
          </w:p>
        </w:tc>
        <w:tc>
          <w:tcPr>
            <w:tcW w:w="1747" w:type="dxa"/>
            <w:shd w:val="clear" w:color="auto" w:fill="auto"/>
          </w:tcPr>
          <w:p w14:paraId="298AE281" w14:textId="1C40D3B0" w:rsidR="00D53E87" w:rsidRPr="00496C0E" w:rsidRDefault="00D53E87" w:rsidP="004F27EE">
            <w:pPr>
              <w:spacing w:beforeLines="60" w:before="144" w:afterLines="60" w:after="144" w:line="240" w:lineRule="auto"/>
              <w:ind w:right="72"/>
              <w:rPr>
                <w:rFonts w:ascii="Arial" w:hAnsi="Arial"/>
                <w:sz w:val="20"/>
              </w:rPr>
            </w:pPr>
            <w:r w:rsidRPr="00496C0E">
              <w:rPr>
                <w:rFonts w:ascii="Arial" w:hAnsi="Arial"/>
                <w:sz w:val="20"/>
              </w:rPr>
              <w:lastRenderedPageBreak/>
              <w:t>MEF</w:t>
            </w:r>
          </w:p>
          <w:p w14:paraId="298AE282" w14:textId="77777777" w:rsidR="00D53E87" w:rsidRPr="00496C0E" w:rsidRDefault="00D53E87" w:rsidP="004F27EE">
            <w:pPr>
              <w:spacing w:beforeLines="60" w:before="144" w:afterLines="60" w:after="144" w:line="240" w:lineRule="auto"/>
              <w:ind w:right="72"/>
              <w:rPr>
                <w:rFonts w:ascii="Arial" w:hAnsi="Arial"/>
                <w:sz w:val="20"/>
              </w:rPr>
            </w:pPr>
          </w:p>
        </w:tc>
      </w:tr>
      <w:tr w:rsidR="00F40F53" w:rsidRPr="009D7302" w14:paraId="298AE290" w14:textId="77777777" w:rsidTr="00EF7987">
        <w:trPr>
          <w:trHeight w:val="20"/>
        </w:trPr>
        <w:tc>
          <w:tcPr>
            <w:tcW w:w="1733" w:type="dxa"/>
            <w:shd w:val="clear" w:color="auto" w:fill="auto"/>
          </w:tcPr>
          <w:p w14:paraId="298AE28A" w14:textId="15DE983C" w:rsidR="004E5571" w:rsidRPr="00496C0E" w:rsidRDefault="004E5571" w:rsidP="004F27EE">
            <w:pPr>
              <w:spacing w:beforeLines="60" w:before="144" w:afterLines="60" w:after="144" w:line="240" w:lineRule="auto"/>
              <w:rPr>
                <w:rFonts w:ascii="Arial" w:hAnsi="Arial"/>
                <w:sz w:val="20"/>
                <w:lang w:val="es-ES_tradnl"/>
              </w:rPr>
            </w:pPr>
            <w:r w:rsidRPr="00496C0E">
              <w:rPr>
                <w:rFonts w:ascii="Arial" w:hAnsi="Arial"/>
                <w:kern w:val="18"/>
                <w:sz w:val="20"/>
              </w:rPr>
              <w:t xml:space="preserve">Mejora de la capacidad fiscal para IP con contribución privada mediante </w:t>
            </w:r>
            <w:r w:rsidRPr="00496C0E">
              <w:rPr>
                <w:rFonts w:ascii="Arial" w:hAnsi="Arial"/>
                <w:kern w:val="18"/>
                <w:sz w:val="20"/>
                <w:lang w:val="es-ES_tradnl"/>
              </w:rPr>
              <w:t>Asociaciones Público-Privadas (APP)</w:t>
            </w:r>
          </w:p>
        </w:tc>
        <w:tc>
          <w:tcPr>
            <w:tcW w:w="3374" w:type="dxa"/>
            <w:shd w:val="clear" w:color="auto" w:fill="auto"/>
          </w:tcPr>
          <w:p w14:paraId="2215D862" w14:textId="169A1A7D" w:rsidR="004E5571" w:rsidRPr="00496C0E" w:rsidRDefault="009452ED" w:rsidP="004F27EE">
            <w:pPr>
              <w:pStyle w:val="ListParagraph"/>
              <w:numPr>
                <w:ilvl w:val="1"/>
                <w:numId w:val="10"/>
              </w:numPr>
              <w:spacing w:beforeLines="60" w:before="144" w:afterLines="60" w:after="144"/>
              <w:ind w:left="301" w:hanging="358"/>
              <w:rPr>
                <w:rFonts w:ascii="Arial" w:hAnsi="Arial"/>
                <w:sz w:val="20"/>
                <w:lang w:val="es-ES_tradnl"/>
              </w:rPr>
            </w:pPr>
            <w:r w:rsidRPr="00496C0E">
              <w:rPr>
                <w:rFonts w:ascii="Arial" w:hAnsi="Arial"/>
                <w:sz w:val="20"/>
                <w:lang w:val="es-ES_tradnl"/>
              </w:rPr>
              <w:t>Mejora de la c</w:t>
            </w:r>
            <w:r w:rsidR="004E5571" w:rsidRPr="00496C0E">
              <w:rPr>
                <w:rFonts w:ascii="Arial" w:hAnsi="Arial"/>
                <w:sz w:val="20"/>
                <w:lang w:val="es-ES_tradnl"/>
              </w:rPr>
              <w:t>apacidad fiscal para la inversión pública con contribución privada a través de:</w:t>
            </w:r>
          </w:p>
          <w:p w14:paraId="4A09D2A1" w14:textId="6FCD85A3" w:rsidR="006F78D7" w:rsidRPr="00496C0E" w:rsidRDefault="006F78D7" w:rsidP="009D7302">
            <w:pPr>
              <w:pStyle w:val="ListParagraph"/>
              <w:numPr>
                <w:ilvl w:val="7"/>
                <w:numId w:val="18"/>
              </w:numPr>
              <w:spacing w:before="60" w:after="60"/>
              <w:ind w:left="481"/>
              <w:rPr>
                <w:rFonts w:ascii="Arial" w:hAnsi="Arial"/>
                <w:sz w:val="20"/>
                <w:lang w:val="es-ES_tradnl"/>
              </w:rPr>
            </w:pPr>
            <w:r w:rsidRPr="00496C0E">
              <w:rPr>
                <w:rFonts w:ascii="Arial" w:hAnsi="Arial"/>
                <w:sz w:val="20"/>
                <w:lang w:val="es-ES"/>
              </w:rPr>
              <w:t xml:space="preserve">Envío a la Asamblea Nacional (AN) de reformas a la Ley de Incentivos a las APP que incluyan: i) </w:t>
            </w:r>
            <w:r w:rsidR="0070220C" w:rsidRPr="00496C0E">
              <w:rPr>
                <w:rFonts w:ascii="Arial" w:hAnsi="Arial"/>
                <w:sz w:val="20"/>
                <w:lang w:val="es-ES"/>
              </w:rPr>
              <w:t>mejora del</w:t>
            </w:r>
            <w:r w:rsidRPr="00496C0E">
              <w:rPr>
                <w:rFonts w:ascii="Arial" w:hAnsi="Arial"/>
                <w:sz w:val="20"/>
                <w:lang w:val="es-ES"/>
              </w:rPr>
              <w:t xml:space="preserve"> marco de coordinación interinstitucional del programa APP, incluyendo responsabilidades en la identificación, evaluación y gestión de riesgos fiscales derivadas de dichos proyectos; y las responsabilidades de los procesos de estructuración de éstos; ii) </w:t>
            </w:r>
            <w:bookmarkStart w:id="1" w:name="_Hlk9325181"/>
            <w:r w:rsidR="0070220C" w:rsidRPr="00496C0E">
              <w:rPr>
                <w:rFonts w:ascii="Arial" w:hAnsi="Arial"/>
                <w:sz w:val="20"/>
                <w:lang w:val="es-ES"/>
              </w:rPr>
              <w:t xml:space="preserve">definición del </w:t>
            </w:r>
            <w:bookmarkEnd w:id="1"/>
            <w:r w:rsidRPr="00496C0E">
              <w:rPr>
                <w:rFonts w:ascii="Arial" w:hAnsi="Arial"/>
                <w:sz w:val="20"/>
                <w:lang w:val="es-ES"/>
              </w:rPr>
              <w:t>marco normativo para la monetización de activos públicos; y iii) definición de procesos de gestión de iniciativas privadas no solicitadas.</w:t>
            </w:r>
          </w:p>
          <w:p w14:paraId="3B1ADBFA" w14:textId="3A8CAF0F" w:rsidR="004E5571" w:rsidRPr="00496C0E" w:rsidRDefault="004E5571" w:rsidP="004F27EE">
            <w:pPr>
              <w:pStyle w:val="ListParagraph"/>
              <w:numPr>
                <w:ilvl w:val="7"/>
                <w:numId w:val="18"/>
              </w:numPr>
              <w:spacing w:beforeLines="60" w:before="144" w:afterLines="60" w:after="144"/>
              <w:ind w:left="481"/>
              <w:rPr>
                <w:rFonts w:ascii="Arial" w:hAnsi="Arial"/>
                <w:sz w:val="20"/>
                <w:lang w:val="es-ES_tradnl"/>
              </w:rPr>
            </w:pPr>
            <w:r w:rsidRPr="00496C0E">
              <w:rPr>
                <w:rFonts w:ascii="Arial" w:hAnsi="Arial"/>
                <w:sz w:val="20"/>
                <w:lang w:val="es-ES_tradnl"/>
              </w:rPr>
              <w:t xml:space="preserve">Reglamentación del tratamiento de pasivos contingentes derivados de </w:t>
            </w:r>
            <w:r w:rsidRPr="00496C0E">
              <w:rPr>
                <w:rFonts w:ascii="Arial" w:hAnsi="Arial"/>
                <w:sz w:val="20"/>
                <w:lang w:val="es-ES_tradnl"/>
              </w:rPr>
              <w:lastRenderedPageBreak/>
              <w:t xml:space="preserve">proyectos bajo modalidad APP, y la regulación de los procesos de certificación plurianual de compromisos fiscales bajo proyectos APP. </w:t>
            </w:r>
          </w:p>
          <w:p w14:paraId="1075DE64" w14:textId="42249B34" w:rsidR="004E5571" w:rsidRPr="00496C0E" w:rsidRDefault="00F65B3E" w:rsidP="004F27EE">
            <w:pPr>
              <w:pStyle w:val="ListParagraph"/>
              <w:numPr>
                <w:ilvl w:val="7"/>
                <w:numId w:val="18"/>
              </w:numPr>
              <w:spacing w:beforeLines="60" w:before="144" w:afterLines="60" w:after="144"/>
              <w:ind w:left="481"/>
              <w:rPr>
                <w:rFonts w:ascii="Arial" w:hAnsi="Arial"/>
                <w:sz w:val="20"/>
                <w:lang w:val="es-ES_tradnl"/>
              </w:rPr>
            </w:pPr>
            <w:r w:rsidRPr="00496C0E">
              <w:rPr>
                <w:rFonts w:ascii="Arial" w:hAnsi="Arial"/>
                <w:sz w:val="20"/>
                <w:lang w:val="es-ES_tradnl"/>
              </w:rPr>
              <w:t xml:space="preserve">Creación de la </w:t>
            </w:r>
            <w:r w:rsidR="004E5571" w:rsidRPr="00496C0E">
              <w:rPr>
                <w:rFonts w:ascii="Arial" w:hAnsi="Arial"/>
                <w:sz w:val="20"/>
                <w:lang w:val="es-ES_tradnl"/>
              </w:rPr>
              <w:t>Unidad APP para gobiernos subnacionales en el Banco de Desarrollo de Ecuador (BDE).</w:t>
            </w:r>
          </w:p>
          <w:p w14:paraId="298AE28C" w14:textId="52D649D6" w:rsidR="004E5571" w:rsidRPr="00496C0E" w:rsidRDefault="00F65B3E" w:rsidP="004F27EE">
            <w:pPr>
              <w:pStyle w:val="ListParagraph"/>
              <w:numPr>
                <w:ilvl w:val="7"/>
                <w:numId w:val="18"/>
              </w:numPr>
              <w:spacing w:beforeLines="60" w:before="144" w:afterLines="60" w:after="144"/>
              <w:ind w:left="481"/>
              <w:rPr>
                <w:rFonts w:ascii="Arial" w:hAnsi="Arial"/>
                <w:kern w:val="18"/>
                <w:sz w:val="20"/>
                <w:lang w:val="es-ES"/>
              </w:rPr>
            </w:pPr>
            <w:r w:rsidRPr="00496C0E">
              <w:rPr>
                <w:rFonts w:ascii="Arial" w:hAnsi="Arial"/>
                <w:sz w:val="20"/>
                <w:lang w:val="es-ES_tradnl"/>
              </w:rPr>
              <w:t>Aprobación del p</w:t>
            </w:r>
            <w:r w:rsidR="004E5571" w:rsidRPr="00496C0E">
              <w:rPr>
                <w:rFonts w:ascii="Arial" w:hAnsi="Arial"/>
                <w:sz w:val="20"/>
                <w:lang w:val="es-ES_tradnl"/>
              </w:rPr>
              <w:t xml:space="preserve">rimer plan de gestión de impacto ambiental </w:t>
            </w:r>
            <w:r w:rsidR="00124858">
              <w:rPr>
                <w:rFonts w:ascii="Arial" w:hAnsi="Arial" w:cs="Arial"/>
                <w:sz w:val="20"/>
                <w:lang w:val="es-ES_tradnl"/>
              </w:rPr>
              <w:t xml:space="preserve">de </w:t>
            </w:r>
            <w:r w:rsidR="004E5571" w:rsidRPr="00496C0E">
              <w:rPr>
                <w:rFonts w:ascii="Arial" w:hAnsi="Arial"/>
                <w:sz w:val="20"/>
                <w:lang w:val="es-ES_tradnl"/>
              </w:rPr>
              <w:t>APP en el proyecto de Puerto Posorja.</w:t>
            </w:r>
            <w:r w:rsidR="004E5571" w:rsidRPr="00496C0E">
              <w:rPr>
                <w:rFonts w:ascii="Arial" w:hAnsi="Arial"/>
                <w:kern w:val="18"/>
                <w:sz w:val="20"/>
                <w:lang w:val="es-ES"/>
              </w:rPr>
              <w:t xml:space="preserve"> </w:t>
            </w:r>
          </w:p>
        </w:tc>
        <w:tc>
          <w:tcPr>
            <w:tcW w:w="2340" w:type="dxa"/>
            <w:shd w:val="clear" w:color="auto" w:fill="auto"/>
          </w:tcPr>
          <w:p w14:paraId="7CD7CCC7" w14:textId="01DB711C" w:rsidR="00EF7987" w:rsidRPr="00496C0E" w:rsidRDefault="00EF7987" w:rsidP="004F27EE">
            <w:pPr>
              <w:spacing w:beforeLines="60" w:before="144" w:afterLines="60" w:after="144" w:line="240" w:lineRule="auto"/>
              <w:ind w:left="346" w:hanging="346"/>
              <w:rPr>
                <w:rFonts w:ascii="Arial" w:hAnsi="Arial"/>
                <w:sz w:val="20"/>
              </w:rPr>
            </w:pPr>
            <w:r w:rsidRPr="00496C0E">
              <w:rPr>
                <w:rFonts w:ascii="Arial" w:hAnsi="Arial"/>
                <w:sz w:val="20"/>
              </w:rPr>
              <w:lastRenderedPageBreak/>
              <w:t xml:space="preserve">3.2.a. </w:t>
            </w:r>
            <w:r w:rsidR="00F00C19" w:rsidRPr="00496C0E">
              <w:rPr>
                <w:rFonts w:ascii="Arial" w:hAnsi="Arial"/>
                <w:sz w:val="20"/>
              </w:rPr>
              <w:t>Propuesta de Ley Modificatoria de la Ley de Incentivos para APP y la Inversión Extranjera y copia de la f</w:t>
            </w:r>
            <w:r w:rsidR="009452ED" w:rsidRPr="00496C0E">
              <w:rPr>
                <w:rFonts w:ascii="Arial" w:hAnsi="Arial"/>
                <w:sz w:val="20"/>
              </w:rPr>
              <w:t xml:space="preserve">e </w:t>
            </w:r>
            <w:r w:rsidR="00F00C19" w:rsidRPr="00496C0E">
              <w:rPr>
                <w:rFonts w:ascii="Arial" w:hAnsi="Arial"/>
                <w:sz w:val="20"/>
              </w:rPr>
              <w:t xml:space="preserve">ante </w:t>
            </w:r>
            <w:r w:rsidRPr="00496C0E">
              <w:rPr>
                <w:rFonts w:ascii="Arial" w:hAnsi="Arial"/>
                <w:kern w:val="18"/>
                <w:sz w:val="20"/>
              </w:rPr>
              <w:t xml:space="preserve">la </w:t>
            </w:r>
            <w:r w:rsidR="00A7515C" w:rsidRPr="00496C0E">
              <w:rPr>
                <w:rFonts w:ascii="Arial" w:hAnsi="Arial"/>
                <w:kern w:val="18"/>
                <w:sz w:val="20"/>
              </w:rPr>
              <w:t>AN</w:t>
            </w:r>
            <w:r w:rsidRPr="00496C0E">
              <w:rPr>
                <w:rFonts w:ascii="Arial" w:hAnsi="Arial"/>
                <w:sz w:val="20"/>
                <w:lang w:val="es-ES_tradnl"/>
              </w:rPr>
              <w:t>.</w:t>
            </w:r>
          </w:p>
          <w:p w14:paraId="35969D76" w14:textId="6E237934" w:rsidR="009D7302" w:rsidRPr="00496C0E" w:rsidRDefault="00796A85" w:rsidP="004F27EE">
            <w:pPr>
              <w:spacing w:beforeLines="60" w:before="144" w:afterLines="60" w:after="144" w:line="240" w:lineRule="auto"/>
              <w:ind w:left="346" w:hanging="346"/>
              <w:rPr>
                <w:rFonts w:ascii="Arial" w:hAnsi="Arial"/>
                <w:sz w:val="20"/>
              </w:rPr>
            </w:pPr>
            <w:r w:rsidRPr="00496C0E">
              <w:rPr>
                <w:rFonts w:ascii="Arial" w:hAnsi="Arial"/>
                <w:sz w:val="20"/>
              </w:rPr>
              <w:t>3.2.</w:t>
            </w:r>
            <w:r w:rsidR="00EF7987" w:rsidRPr="00496C0E">
              <w:rPr>
                <w:rFonts w:ascii="Arial" w:hAnsi="Arial"/>
                <w:sz w:val="20"/>
              </w:rPr>
              <w:t>b</w:t>
            </w:r>
            <w:r w:rsidRPr="00496C0E">
              <w:rPr>
                <w:rFonts w:ascii="Arial" w:hAnsi="Arial"/>
                <w:sz w:val="20"/>
              </w:rPr>
              <w:t xml:space="preserve">. </w:t>
            </w:r>
            <w:r w:rsidR="00EF7987" w:rsidRPr="00496C0E">
              <w:rPr>
                <w:rFonts w:ascii="Arial" w:hAnsi="Arial"/>
                <w:sz w:val="20"/>
              </w:rPr>
              <w:t xml:space="preserve">Copia de la publicación en el Registro Oficial 309 Suplemento de 21 de agosto de 2018 de la República del Ecuador de la Ley Orgánica para el Fomento Productivo, Atracción de Inversiones, Generación de Empleo y Estabilidad y Equilibrio Fiscal y </w:t>
            </w:r>
            <w:r w:rsidR="001404A2" w:rsidRPr="00496C0E">
              <w:rPr>
                <w:rFonts w:ascii="Arial" w:hAnsi="Arial"/>
                <w:sz w:val="20"/>
              </w:rPr>
              <w:t>Copia de la publicación en el</w:t>
            </w:r>
            <w:r w:rsidR="00DE7700" w:rsidRPr="00496C0E">
              <w:rPr>
                <w:rFonts w:ascii="Arial" w:hAnsi="Arial"/>
                <w:sz w:val="20"/>
              </w:rPr>
              <w:t xml:space="preserve"> </w:t>
            </w:r>
            <w:r w:rsidR="001404A2" w:rsidRPr="00496C0E">
              <w:rPr>
                <w:rFonts w:ascii="Arial" w:hAnsi="Arial"/>
                <w:sz w:val="20"/>
              </w:rPr>
              <w:t xml:space="preserve">Registro Oficial 392 Suplemento de 20 de diciembre de </w:t>
            </w:r>
            <w:r w:rsidR="001404A2" w:rsidRPr="00496C0E">
              <w:rPr>
                <w:rFonts w:ascii="Arial" w:hAnsi="Arial"/>
                <w:sz w:val="20"/>
              </w:rPr>
              <w:lastRenderedPageBreak/>
              <w:t>2018 de la República del Ecuador del Decreto Ejecutivo Nº 617</w:t>
            </w:r>
            <w:r w:rsidR="00DE7700" w:rsidRPr="00496C0E">
              <w:rPr>
                <w:rFonts w:ascii="Arial" w:hAnsi="Arial"/>
                <w:sz w:val="20"/>
              </w:rPr>
              <w:t xml:space="preserve"> </w:t>
            </w:r>
            <w:r w:rsidR="001404A2" w:rsidRPr="00496C0E">
              <w:rPr>
                <w:rFonts w:ascii="Arial" w:hAnsi="Arial"/>
                <w:sz w:val="20"/>
              </w:rPr>
              <w:t>Reglamento para la aplicación de la Ley Orgánica para el Fomento Productivo, Atracción de Inversiones, Generación de Empleo y Estabilidad y Equilibrio Fiscal, Capítulo XIV de reformas al reglamento general del Código Orgánico de Planificación y Finanzas Públicas, que incluye una sección sobre Reglas Fiscales</w:t>
            </w:r>
            <w:r w:rsidR="00A141CC" w:rsidRPr="00496C0E">
              <w:rPr>
                <w:rFonts w:ascii="Arial" w:hAnsi="Arial"/>
                <w:sz w:val="20"/>
              </w:rPr>
              <w:t xml:space="preserve">, </w:t>
            </w:r>
            <w:r w:rsidR="001404A2" w:rsidRPr="00496C0E">
              <w:rPr>
                <w:rFonts w:ascii="Arial" w:hAnsi="Arial"/>
                <w:sz w:val="20"/>
              </w:rPr>
              <w:t>Sección II</w:t>
            </w:r>
            <w:r w:rsidR="00A141CC" w:rsidRPr="00496C0E">
              <w:rPr>
                <w:rFonts w:ascii="Arial" w:hAnsi="Arial"/>
                <w:sz w:val="20"/>
              </w:rPr>
              <w:t xml:space="preserve">, inciso 7, que agrega un </w:t>
            </w:r>
            <w:r w:rsidR="001404A2" w:rsidRPr="00496C0E">
              <w:rPr>
                <w:rFonts w:ascii="Arial" w:hAnsi="Arial"/>
                <w:sz w:val="20"/>
              </w:rPr>
              <w:t>a</w:t>
            </w:r>
            <w:r w:rsidR="00A141CC" w:rsidRPr="00496C0E">
              <w:rPr>
                <w:rFonts w:ascii="Arial" w:hAnsi="Arial"/>
                <w:sz w:val="20"/>
              </w:rPr>
              <w:t>rtículo a</w:t>
            </w:r>
            <w:r w:rsidR="001404A2" w:rsidRPr="00496C0E">
              <w:rPr>
                <w:rFonts w:ascii="Arial" w:hAnsi="Arial"/>
                <w:sz w:val="20"/>
              </w:rPr>
              <w:t xml:space="preserve"> continuación del artículo </w:t>
            </w:r>
            <w:r w:rsidR="00A141CC" w:rsidRPr="00496C0E">
              <w:rPr>
                <w:rFonts w:ascii="Arial" w:hAnsi="Arial"/>
                <w:sz w:val="20"/>
              </w:rPr>
              <w:t>99</w:t>
            </w:r>
            <w:r w:rsidR="001404A2" w:rsidRPr="00496C0E">
              <w:rPr>
                <w:rFonts w:ascii="Arial" w:hAnsi="Arial"/>
                <w:sz w:val="20"/>
              </w:rPr>
              <w:t xml:space="preserve">. </w:t>
            </w:r>
          </w:p>
          <w:p w14:paraId="5CE449C6" w14:textId="05916C66" w:rsidR="00F548D7" w:rsidRPr="00496C0E" w:rsidRDefault="00CE14BD" w:rsidP="004F27EE">
            <w:pPr>
              <w:spacing w:beforeLines="60" w:before="144" w:afterLines="60" w:after="144" w:line="240" w:lineRule="auto"/>
              <w:ind w:left="346" w:hanging="346"/>
              <w:rPr>
                <w:rFonts w:ascii="Arial" w:hAnsi="Arial"/>
                <w:sz w:val="20"/>
              </w:rPr>
            </w:pPr>
            <w:r w:rsidRPr="00496C0E">
              <w:rPr>
                <w:rFonts w:ascii="Arial" w:hAnsi="Arial"/>
                <w:sz w:val="20"/>
              </w:rPr>
              <w:t>3.2.</w:t>
            </w:r>
            <w:r w:rsidR="00EF7987" w:rsidRPr="00496C0E">
              <w:rPr>
                <w:rFonts w:ascii="Arial" w:hAnsi="Arial"/>
                <w:sz w:val="20"/>
              </w:rPr>
              <w:t>c</w:t>
            </w:r>
            <w:r w:rsidRPr="00496C0E">
              <w:rPr>
                <w:rFonts w:ascii="Arial" w:hAnsi="Arial"/>
                <w:sz w:val="20"/>
              </w:rPr>
              <w:t>.</w:t>
            </w:r>
            <w:r w:rsidR="001404A2" w:rsidRPr="00496C0E">
              <w:rPr>
                <w:rFonts w:ascii="Arial" w:hAnsi="Arial"/>
                <w:sz w:val="20"/>
              </w:rPr>
              <w:t xml:space="preserve"> </w:t>
            </w:r>
            <w:r w:rsidR="00AD2773" w:rsidRPr="00496C0E">
              <w:rPr>
                <w:rFonts w:ascii="Arial" w:hAnsi="Arial"/>
                <w:sz w:val="20"/>
              </w:rPr>
              <w:t xml:space="preserve">Copia del </w:t>
            </w:r>
            <w:r w:rsidR="00F00C19" w:rsidRPr="00496C0E">
              <w:rPr>
                <w:rFonts w:ascii="Arial" w:hAnsi="Arial"/>
                <w:sz w:val="20"/>
              </w:rPr>
              <w:t xml:space="preserve">Reglamento Operativo del Programa de Mejora </w:t>
            </w:r>
            <w:r w:rsidR="00AD2773" w:rsidRPr="00496C0E">
              <w:rPr>
                <w:rFonts w:ascii="Arial" w:hAnsi="Arial"/>
                <w:sz w:val="20"/>
              </w:rPr>
              <w:t xml:space="preserve">de la Capacidad Fiscal para </w:t>
            </w:r>
            <w:r w:rsidR="00F00C19" w:rsidRPr="00496C0E">
              <w:rPr>
                <w:rFonts w:ascii="Arial" w:hAnsi="Arial"/>
                <w:sz w:val="20"/>
              </w:rPr>
              <w:t xml:space="preserve">la </w:t>
            </w:r>
            <w:r w:rsidR="00AD2773" w:rsidRPr="00496C0E">
              <w:rPr>
                <w:rFonts w:ascii="Arial" w:hAnsi="Arial"/>
                <w:sz w:val="20"/>
              </w:rPr>
              <w:t xml:space="preserve">inversión Pública </w:t>
            </w:r>
            <w:r w:rsidR="00320C61" w:rsidRPr="00496C0E">
              <w:rPr>
                <w:rFonts w:ascii="Arial" w:hAnsi="Arial"/>
                <w:sz w:val="20"/>
              </w:rPr>
              <w:t xml:space="preserve">(EC-L1230) </w:t>
            </w:r>
            <w:r w:rsidR="00AD2773" w:rsidRPr="00496C0E">
              <w:rPr>
                <w:rFonts w:ascii="Arial" w:hAnsi="Arial"/>
                <w:sz w:val="20"/>
              </w:rPr>
              <w:t xml:space="preserve">aprobado por el </w:t>
            </w:r>
            <w:r w:rsidR="00A141CC" w:rsidRPr="00496C0E">
              <w:rPr>
                <w:rFonts w:ascii="Arial" w:hAnsi="Arial"/>
                <w:sz w:val="20"/>
              </w:rPr>
              <w:t>BDE</w:t>
            </w:r>
            <w:r w:rsidR="00AD2773" w:rsidRPr="00496C0E">
              <w:rPr>
                <w:rFonts w:ascii="Arial" w:hAnsi="Arial"/>
                <w:sz w:val="20"/>
              </w:rPr>
              <w:t>.</w:t>
            </w:r>
          </w:p>
          <w:p w14:paraId="298AE28D" w14:textId="2D501EEF" w:rsidR="00AE53B8" w:rsidRPr="00496C0E" w:rsidRDefault="00AE53B8" w:rsidP="004F27EE">
            <w:pPr>
              <w:spacing w:beforeLines="60" w:before="144" w:afterLines="60" w:after="144" w:line="240" w:lineRule="auto"/>
              <w:ind w:left="346" w:hanging="346"/>
              <w:rPr>
                <w:rFonts w:ascii="Arial" w:hAnsi="Arial"/>
                <w:sz w:val="20"/>
              </w:rPr>
            </w:pPr>
            <w:r w:rsidRPr="00496C0E">
              <w:rPr>
                <w:rFonts w:ascii="Arial" w:hAnsi="Arial"/>
                <w:sz w:val="20"/>
              </w:rPr>
              <w:lastRenderedPageBreak/>
              <w:t xml:space="preserve">3.2.d. </w:t>
            </w:r>
            <w:r w:rsidR="00F00C19" w:rsidRPr="00496C0E">
              <w:rPr>
                <w:rFonts w:ascii="Arial" w:hAnsi="Arial"/>
                <w:kern w:val="18"/>
                <w:sz w:val="20"/>
              </w:rPr>
              <w:t>Copia del Plan de Gestión de Impacto Ambiental Aprobado</w:t>
            </w:r>
            <w:r w:rsidR="00320C61" w:rsidRPr="00496C0E">
              <w:rPr>
                <w:rFonts w:ascii="Arial" w:hAnsi="Arial"/>
                <w:kern w:val="18"/>
                <w:sz w:val="20"/>
              </w:rPr>
              <w:t xml:space="preserve"> por el BID.</w:t>
            </w:r>
          </w:p>
        </w:tc>
        <w:tc>
          <w:tcPr>
            <w:tcW w:w="3330" w:type="dxa"/>
          </w:tcPr>
          <w:p w14:paraId="0FEDC5C1" w14:textId="205C47FC" w:rsidR="00C0065B" w:rsidRPr="00496C0E" w:rsidRDefault="009452ED" w:rsidP="004F27EE">
            <w:pPr>
              <w:pStyle w:val="ListParagraph"/>
              <w:numPr>
                <w:ilvl w:val="1"/>
                <w:numId w:val="14"/>
              </w:numPr>
              <w:spacing w:beforeLines="60" w:before="144" w:afterLines="60" w:after="144"/>
              <w:rPr>
                <w:rFonts w:ascii="Arial" w:hAnsi="Arial"/>
                <w:sz w:val="20"/>
                <w:lang w:val="es-ES_tradnl"/>
              </w:rPr>
            </w:pPr>
            <w:r w:rsidRPr="00496C0E">
              <w:rPr>
                <w:rFonts w:ascii="Arial" w:hAnsi="Arial"/>
                <w:sz w:val="20"/>
                <w:lang w:val="es-ES_tradnl"/>
              </w:rPr>
              <w:lastRenderedPageBreak/>
              <w:t>Mejora de la c</w:t>
            </w:r>
            <w:r w:rsidR="00C0065B" w:rsidRPr="00496C0E">
              <w:rPr>
                <w:rFonts w:ascii="Arial" w:hAnsi="Arial"/>
                <w:sz w:val="20"/>
                <w:lang w:val="es-ES_tradnl"/>
              </w:rPr>
              <w:t>apacidad fiscal para la inversión pública con contribución privada a través de:</w:t>
            </w:r>
          </w:p>
          <w:p w14:paraId="2FC840C6" w14:textId="77777777" w:rsidR="00C0065B" w:rsidRPr="00496C0E" w:rsidRDefault="00C0065B" w:rsidP="004F27EE">
            <w:pPr>
              <w:pStyle w:val="ListParagraph"/>
              <w:spacing w:beforeLines="60" w:before="144" w:afterLines="60" w:after="144"/>
              <w:ind w:left="360" w:hanging="360"/>
              <w:rPr>
                <w:rFonts w:ascii="Arial" w:hAnsi="Arial"/>
                <w:sz w:val="20"/>
                <w:lang w:val="es-ES_tradnl"/>
              </w:rPr>
            </w:pPr>
          </w:p>
          <w:p w14:paraId="64F486D0" w14:textId="4FB36BB9" w:rsidR="00C0065B" w:rsidRPr="00496C0E" w:rsidRDefault="00D57AB3" w:rsidP="004F27EE">
            <w:pPr>
              <w:pStyle w:val="ListParagraph"/>
              <w:numPr>
                <w:ilvl w:val="0"/>
                <w:numId w:val="11"/>
              </w:numPr>
              <w:spacing w:beforeLines="60" w:before="144" w:afterLines="60" w:after="144"/>
              <w:ind w:left="436" w:hanging="180"/>
              <w:rPr>
                <w:rFonts w:ascii="Arial" w:hAnsi="Arial"/>
                <w:kern w:val="18"/>
                <w:sz w:val="20"/>
                <w:lang w:val="es-ES"/>
              </w:rPr>
            </w:pPr>
            <w:r w:rsidRPr="00496C0E">
              <w:rPr>
                <w:rFonts w:ascii="Arial" w:hAnsi="Arial"/>
                <w:kern w:val="18"/>
                <w:sz w:val="20"/>
                <w:lang w:val="es-ES"/>
              </w:rPr>
              <w:t xml:space="preserve">Aprobación del </w:t>
            </w:r>
            <w:r w:rsidR="006F78D7" w:rsidRPr="00496C0E">
              <w:rPr>
                <w:rFonts w:ascii="Arial" w:hAnsi="Arial"/>
                <w:kern w:val="18"/>
                <w:sz w:val="20"/>
                <w:lang w:val="es-ES"/>
              </w:rPr>
              <w:t>Reglamento de la Ley de Incentivos a las APP, incluyendo la reglamentación de: i) el nuevo marco de coordinación institucional del programa; ii) la ejecución de iniciativas de monetización de activos de infraestructura; y iii) los procesos de gestión de iniciativas privadas no solicitadas</w:t>
            </w:r>
            <w:r w:rsidR="004F27EE">
              <w:rPr>
                <w:rFonts w:ascii="Arial" w:hAnsi="Arial" w:cs="Arial"/>
                <w:bCs/>
                <w:kern w:val="18"/>
                <w:sz w:val="20"/>
                <w:lang w:val="es-ES"/>
              </w:rPr>
              <w:t>.</w:t>
            </w:r>
          </w:p>
          <w:p w14:paraId="71C43C0E" w14:textId="4C1D0956" w:rsidR="00C0065B" w:rsidRPr="00496C0E" w:rsidRDefault="00C0065B" w:rsidP="004F27EE">
            <w:pPr>
              <w:pStyle w:val="ListParagraph"/>
              <w:numPr>
                <w:ilvl w:val="0"/>
                <w:numId w:val="11"/>
              </w:numPr>
              <w:spacing w:beforeLines="60" w:before="144" w:afterLines="60" w:after="144"/>
              <w:ind w:left="436" w:hanging="180"/>
              <w:rPr>
                <w:rFonts w:ascii="Arial" w:hAnsi="Arial"/>
                <w:kern w:val="18"/>
                <w:sz w:val="20"/>
                <w:lang w:val="es-ES"/>
              </w:rPr>
            </w:pPr>
            <w:r w:rsidRPr="00496C0E">
              <w:rPr>
                <w:rFonts w:ascii="Arial" w:hAnsi="Arial"/>
                <w:kern w:val="18"/>
                <w:sz w:val="20"/>
                <w:lang w:val="es-ES"/>
              </w:rPr>
              <w:t xml:space="preserve">Propuesta de creación del Fondo de Garantías para APP subnacionales, facilitando la bancabilidad privada de dichos proyectos de inversión pública, remitida al MEF para aprobación. </w:t>
            </w:r>
          </w:p>
          <w:p w14:paraId="1D5BCD37" w14:textId="77777777" w:rsidR="006F78D7" w:rsidRPr="00496C0E" w:rsidRDefault="006F78D7" w:rsidP="004F27EE">
            <w:pPr>
              <w:pStyle w:val="ListParagraph"/>
              <w:numPr>
                <w:ilvl w:val="0"/>
                <w:numId w:val="11"/>
              </w:numPr>
              <w:spacing w:beforeLines="60" w:before="144" w:afterLines="60" w:after="144"/>
              <w:ind w:left="436" w:hanging="180"/>
              <w:rPr>
                <w:rFonts w:ascii="Arial" w:hAnsi="Arial"/>
                <w:kern w:val="18"/>
                <w:sz w:val="20"/>
                <w:lang w:val="es-ES"/>
              </w:rPr>
            </w:pPr>
            <w:r w:rsidRPr="00496C0E">
              <w:rPr>
                <w:rFonts w:ascii="Arial" w:hAnsi="Arial"/>
                <w:kern w:val="18"/>
                <w:sz w:val="20"/>
                <w:lang w:val="es-ES"/>
              </w:rPr>
              <w:t>Unidad APP del BDE en funcionamiento y tramitando solicitudes de estructuración de proyectos APP.</w:t>
            </w:r>
            <w:r w:rsidRPr="00496C0E" w:rsidDel="00BF412A">
              <w:rPr>
                <w:rFonts w:ascii="Arial" w:hAnsi="Arial"/>
                <w:kern w:val="18"/>
                <w:sz w:val="20"/>
                <w:lang w:val="es-ES"/>
              </w:rPr>
              <w:t xml:space="preserve"> </w:t>
            </w:r>
          </w:p>
          <w:p w14:paraId="76DF1FB8" w14:textId="00F25B24" w:rsidR="004E5571" w:rsidRPr="00496C0E" w:rsidRDefault="00D57AB3" w:rsidP="004F27EE">
            <w:pPr>
              <w:pStyle w:val="ListParagraph"/>
              <w:numPr>
                <w:ilvl w:val="0"/>
                <w:numId w:val="11"/>
              </w:numPr>
              <w:spacing w:beforeLines="60" w:before="144" w:afterLines="60" w:after="144"/>
              <w:ind w:left="436" w:hanging="180"/>
              <w:rPr>
                <w:rFonts w:ascii="Arial" w:hAnsi="Arial"/>
                <w:kern w:val="18"/>
                <w:sz w:val="20"/>
                <w:lang w:val="es-ES"/>
              </w:rPr>
            </w:pPr>
            <w:r w:rsidRPr="00496C0E">
              <w:rPr>
                <w:rFonts w:ascii="Arial" w:hAnsi="Arial"/>
                <w:kern w:val="18"/>
                <w:sz w:val="20"/>
                <w:lang w:val="es-ES"/>
              </w:rPr>
              <w:lastRenderedPageBreak/>
              <w:t>Elaboración de i</w:t>
            </w:r>
            <w:r w:rsidR="00C0065B" w:rsidRPr="00496C0E">
              <w:rPr>
                <w:rFonts w:ascii="Arial" w:hAnsi="Arial"/>
                <w:kern w:val="18"/>
                <w:sz w:val="20"/>
                <w:lang w:val="es-ES"/>
              </w:rPr>
              <w:t>nformes trimestrales de implementación del Plan de Gestión Medioambiental del Proyecto Posorja.</w:t>
            </w:r>
            <w:r w:rsidR="00DE7700" w:rsidRPr="00496C0E">
              <w:rPr>
                <w:rFonts w:ascii="Arial" w:hAnsi="Arial"/>
                <w:kern w:val="18"/>
                <w:sz w:val="20"/>
                <w:lang w:val="es-ES"/>
              </w:rPr>
              <w:t xml:space="preserve"> </w:t>
            </w:r>
          </w:p>
        </w:tc>
        <w:tc>
          <w:tcPr>
            <w:tcW w:w="2340" w:type="dxa"/>
          </w:tcPr>
          <w:p w14:paraId="2A02FCA6" w14:textId="31388621" w:rsidR="004E5571" w:rsidRPr="00496C0E" w:rsidRDefault="00FB21B9" w:rsidP="004F27EE">
            <w:pPr>
              <w:spacing w:beforeLines="60" w:before="144" w:afterLines="60" w:after="144" w:line="240" w:lineRule="auto"/>
              <w:ind w:left="346" w:hanging="346"/>
              <w:rPr>
                <w:rFonts w:ascii="Arial" w:hAnsi="Arial"/>
                <w:sz w:val="20"/>
                <w:lang w:val="es-ES_tradnl"/>
              </w:rPr>
            </w:pPr>
            <w:r w:rsidRPr="00496C0E">
              <w:rPr>
                <w:rFonts w:ascii="Arial" w:hAnsi="Arial"/>
                <w:sz w:val="20"/>
              </w:rPr>
              <w:lastRenderedPageBreak/>
              <w:t xml:space="preserve">3.2.a. </w:t>
            </w:r>
            <w:r w:rsidR="00F65B3E" w:rsidRPr="00496C0E">
              <w:rPr>
                <w:rFonts w:ascii="Arial" w:hAnsi="Arial"/>
                <w:sz w:val="20"/>
              </w:rPr>
              <w:t>Registro Oficial del</w:t>
            </w:r>
            <w:r w:rsidR="00166815" w:rsidRPr="00496C0E">
              <w:rPr>
                <w:rFonts w:ascii="Arial" w:hAnsi="Arial"/>
                <w:sz w:val="20"/>
              </w:rPr>
              <w:t xml:space="preserve"> Decreto Ejecutivo.</w:t>
            </w:r>
          </w:p>
          <w:p w14:paraId="66882B0B" w14:textId="10E820F0" w:rsidR="009F2115" w:rsidRPr="00496C0E" w:rsidRDefault="009F2115" w:rsidP="004F27EE">
            <w:pPr>
              <w:spacing w:beforeLines="60" w:before="144" w:afterLines="60" w:after="144" w:line="240" w:lineRule="auto"/>
              <w:ind w:left="346" w:hanging="346"/>
              <w:rPr>
                <w:rFonts w:ascii="Arial" w:hAnsi="Arial"/>
                <w:sz w:val="20"/>
                <w:lang w:val="es-ES_tradnl"/>
              </w:rPr>
            </w:pPr>
          </w:p>
          <w:p w14:paraId="344445CB" w14:textId="77777777" w:rsidR="009F2115" w:rsidRPr="00496C0E" w:rsidRDefault="009F2115" w:rsidP="004F27EE">
            <w:pPr>
              <w:spacing w:beforeLines="60" w:before="144" w:afterLines="60" w:after="144" w:line="240" w:lineRule="auto"/>
              <w:ind w:left="346" w:hanging="346"/>
              <w:rPr>
                <w:rFonts w:ascii="Arial" w:hAnsi="Arial"/>
                <w:sz w:val="20"/>
                <w:lang w:val="es-ES_tradnl"/>
              </w:rPr>
            </w:pPr>
          </w:p>
          <w:p w14:paraId="7DD4D6FA" w14:textId="08BFE777" w:rsidR="00974DA1" w:rsidRPr="00496C0E" w:rsidRDefault="00974DA1" w:rsidP="004F27EE">
            <w:pPr>
              <w:spacing w:beforeLines="60" w:before="144" w:afterLines="60" w:after="144" w:line="240" w:lineRule="auto"/>
              <w:ind w:left="346" w:hanging="346"/>
              <w:rPr>
                <w:rFonts w:ascii="Arial" w:hAnsi="Arial"/>
                <w:kern w:val="18"/>
                <w:sz w:val="20"/>
              </w:rPr>
            </w:pPr>
            <w:r w:rsidRPr="00496C0E">
              <w:rPr>
                <w:rFonts w:ascii="Arial" w:hAnsi="Arial"/>
                <w:sz w:val="20"/>
              </w:rPr>
              <w:t>3.2.</w:t>
            </w:r>
            <w:r w:rsidR="009F2115" w:rsidRPr="00496C0E">
              <w:rPr>
                <w:rFonts w:ascii="Arial" w:hAnsi="Arial"/>
                <w:sz w:val="20"/>
              </w:rPr>
              <w:t>b</w:t>
            </w:r>
            <w:r w:rsidRPr="00496C0E">
              <w:rPr>
                <w:rFonts w:ascii="Arial" w:hAnsi="Arial"/>
                <w:sz w:val="20"/>
              </w:rPr>
              <w:t xml:space="preserve">. </w:t>
            </w:r>
            <w:r w:rsidR="00F65B3E" w:rsidRPr="00496C0E">
              <w:rPr>
                <w:rFonts w:ascii="Arial" w:hAnsi="Arial"/>
                <w:sz w:val="20"/>
              </w:rPr>
              <w:t xml:space="preserve">Informe de </w:t>
            </w:r>
            <w:r w:rsidR="006C7F32" w:rsidRPr="00496C0E">
              <w:rPr>
                <w:rFonts w:ascii="Arial" w:hAnsi="Arial"/>
                <w:kern w:val="18"/>
                <w:sz w:val="20"/>
              </w:rPr>
              <w:t>Propuesta de creación del Fondo de Garantías para APP subnacionales remitida al MEF</w:t>
            </w:r>
            <w:r w:rsidR="00F40F53" w:rsidRPr="00496C0E">
              <w:rPr>
                <w:rFonts w:ascii="Arial" w:hAnsi="Arial"/>
                <w:kern w:val="18"/>
                <w:sz w:val="20"/>
              </w:rPr>
              <w:t xml:space="preserve"> por el BDE</w:t>
            </w:r>
            <w:r w:rsidR="006C7F32" w:rsidRPr="00496C0E">
              <w:rPr>
                <w:rFonts w:ascii="Arial" w:hAnsi="Arial"/>
                <w:kern w:val="18"/>
                <w:sz w:val="20"/>
              </w:rPr>
              <w:t xml:space="preserve">. </w:t>
            </w:r>
          </w:p>
          <w:p w14:paraId="6EFEEF77" w14:textId="50590E6D" w:rsidR="009F2115" w:rsidRPr="00496C0E" w:rsidRDefault="009F2115" w:rsidP="004F27EE">
            <w:pPr>
              <w:spacing w:beforeLines="60" w:before="144" w:afterLines="60" w:after="144" w:line="240" w:lineRule="auto"/>
              <w:ind w:left="346" w:hanging="346"/>
              <w:rPr>
                <w:rFonts w:ascii="Arial" w:hAnsi="Arial"/>
                <w:sz w:val="20"/>
              </w:rPr>
            </w:pPr>
            <w:r w:rsidRPr="00496C0E">
              <w:rPr>
                <w:rFonts w:ascii="Arial" w:hAnsi="Arial"/>
                <w:sz w:val="20"/>
              </w:rPr>
              <w:t xml:space="preserve">3.2.c. </w:t>
            </w:r>
            <w:r w:rsidR="006C7F32" w:rsidRPr="00496C0E">
              <w:rPr>
                <w:rFonts w:ascii="Arial" w:hAnsi="Arial"/>
                <w:kern w:val="18"/>
                <w:sz w:val="20"/>
              </w:rPr>
              <w:t>Informe del BDE.</w:t>
            </w:r>
          </w:p>
          <w:p w14:paraId="68D0DDC3" w14:textId="2C252495" w:rsidR="004E5571" w:rsidRPr="00496C0E" w:rsidRDefault="00974DA1" w:rsidP="004F27EE">
            <w:pPr>
              <w:spacing w:beforeLines="60" w:before="144" w:afterLines="60" w:after="144" w:line="240" w:lineRule="auto"/>
              <w:ind w:left="346" w:hanging="346"/>
              <w:rPr>
                <w:rFonts w:ascii="Arial" w:hAnsi="Arial"/>
                <w:sz w:val="20"/>
              </w:rPr>
            </w:pPr>
            <w:r w:rsidRPr="00496C0E">
              <w:rPr>
                <w:rFonts w:ascii="Arial" w:hAnsi="Arial"/>
                <w:sz w:val="20"/>
              </w:rPr>
              <w:t>3.2.d.</w:t>
            </w:r>
            <w:r w:rsidR="00D40B54" w:rsidRPr="00496C0E">
              <w:rPr>
                <w:rFonts w:ascii="Arial" w:hAnsi="Arial"/>
                <w:sz w:val="20"/>
              </w:rPr>
              <w:t xml:space="preserve"> </w:t>
            </w:r>
            <w:r w:rsidR="00AD2773" w:rsidRPr="00496C0E">
              <w:rPr>
                <w:rFonts w:ascii="Arial" w:hAnsi="Arial"/>
                <w:sz w:val="20"/>
              </w:rPr>
              <w:t xml:space="preserve">Certificados de cumplimiento de los </w:t>
            </w:r>
            <w:r w:rsidR="00AD2773" w:rsidRPr="00496C0E">
              <w:rPr>
                <w:rFonts w:ascii="Arial" w:hAnsi="Arial"/>
                <w:sz w:val="20"/>
                <w:lang w:val="es-ES_tradnl"/>
              </w:rPr>
              <w:t>i</w:t>
            </w:r>
            <w:r w:rsidR="00D40B54" w:rsidRPr="00496C0E">
              <w:rPr>
                <w:rFonts w:ascii="Arial" w:hAnsi="Arial"/>
                <w:sz w:val="20"/>
                <w:lang w:val="es-ES_tradnl"/>
              </w:rPr>
              <w:t xml:space="preserve">nformes trimestrales </w:t>
            </w:r>
            <w:r w:rsidR="00AD2773" w:rsidRPr="00496C0E">
              <w:rPr>
                <w:rFonts w:ascii="Arial" w:hAnsi="Arial"/>
                <w:sz w:val="20"/>
                <w:lang w:val="es-ES_tradnl"/>
              </w:rPr>
              <w:t>emitidos por el consultor medioambiental independiente.</w:t>
            </w:r>
          </w:p>
        </w:tc>
        <w:tc>
          <w:tcPr>
            <w:tcW w:w="1747" w:type="dxa"/>
            <w:shd w:val="clear" w:color="auto" w:fill="auto"/>
          </w:tcPr>
          <w:p w14:paraId="57A02570" w14:textId="2D54B9F9" w:rsidR="00F40F53" w:rsidRPr="00496C0E" w:rsidRDefault="009F2115" w:rsidP="004F27EE">
            <w:pPr>
              <w:spacing w:beforeLines="60" w:before="144" w:afterLines="60" w:after="144" w:line="240" w:lineRule="auto"/>
              <w:ind w:right="72"/>
              <w:rPr>
                <w:rFonts w:ascii="Arial" w:hAnsi="Arial"/>
                <w:sz w:val="20"/>
              </w:rPr>
            </w:pPr>
            <w:r w:rsidRPr="00496C0E">
              <w:rPr>
                <w:rFonts w:ascii="Arial" w:hAnsi="Arial"/>
                <w:sz w:val="20"/>
              </w:rPr>
              <w:t xml:space="preserve">3.2.a: </w:t>
            </w:r>
            <w:r w:rsidR="004E5571" w:rsidRPr="00496C0E">
              <w:rPr>
                <w:rFonts w:ascii="Arial" w:hAnsi="Arial"/>
                <w:sz w:val="20"/>
              </w:rPr>
              <w:t>MEF</w:t>
            </w:r>
            <w:r w:rsidR="00F40F53" w:rsidRPr="00496C0E">
              <w:rPr>
                <w:rFonts w:ascii="Arial" w:hAnsi="Arial"/>
                <w:sz w:val="20"/>
              </w:rPr>
              <w:t>.</w:t>
            </w:r>
            <w:r w:rsidR="004E5571" w:rsidRPr="00496C0E">
              <w:rPr>
                <w:rFonts w:ascii="Arial" w:hAnsi="Arial"/>
                <w:sz w:val="20"/>
              </w:rPr>
              <w:t xml:space="preserve"> </w:t>
            </w:r>
          </w:p>
          <w:p w14:paraId="3E44D076" w14:textId="77777777" w:rsidR="00F40F53" w:rsidRPr="00496C0E" w:rsidRDefault="00F40F53" w:rsidP="004F27EE">
            <w:pPr>
              <w:spacing w:beforeLines="60" w:before="144" w:afterLines="60" w:after="144" w:line="240" w:lineRule="auto"/>
              <w:ind w:right="72"/>
              <w:rPr>
                <w:rFonts w:ascii="Arial" w:hAnsi="Arial"/>
                <w:sz w:val="20"/>
              </w:rPr>
            </w:pPr>
          </w:p>
          <w:p w14:paraId="5FCD0080" w14:textId="77777777" w:rsidR="00F40F53" w:rsidRPr="00496C0E" w:rsidRDefault="00F40F53" w:rsidP="004F27EE">
            <w:pPr>
              <w:spacing w:beforeLines="60" w:before="144" w:afterLines="60" w:after="144" w:line="240" w:lineRule="auto"/>
              <w:ind w:right="72"/>
              <w:rPr>
                <w:rFonts w:ascii="Arial" w:hAnsi="Arial"/>
                <w:sz w:val="20"/>
              </w:rPr>
            </w:pPr>
          </w:p>
          <w:p w14:paraId="4B349CFF" w14:textId="77777777" w:rsidR="00F40F53" w:rsidRPr="00496C0E" w:rsidRDefault="00F40F53" w:rsidP="004F27EE">
            <w:pPr>
              <w:spacing w:beforeLines="60" w:before="144" w:afterLines="60" w:after="144" w:line="240" w:lineRule="auto"/>
              <w:ind w:right="72"/>
              <w:rPr>
                <w:rFonts w:ascii="Arial" w:hAnsi="Arial"/>
                <w:sz w:val="20"/>
              </w:rPr>
            </w:pPr>
          </w:p>
          <w:p w14:paraId="59A01951" w14:textId="77777777" w:rsidR="00F40F53" w:rsidRPr="00496C0E" w:rsidRDefault="00F40F53" w:rsidP="004F27EE">
            <w:pPr>
              <w:spacing w:beforeLines="60" w:before="144" w:afterLines="60" w:after="144" w:line="240" w:lineRule="auto"/>
              <w:ind w:right="72"/>
              <w:rPr>
                <w:rFonts w:ascii="Arial" w:hAnsi="Arial"/>
                <w:sz w:val="20"/>
              </w:rPr>
            </w:pPr>
          </w:p>
          <w:p w14:paraId="6387EDDA" w14:textId="77777777" w:rsidR="00F40F53" w:rsidRPr="00496C0E" w:rsidRDefault="00F40F53" w:rsidP="004F27EE">
            <w:pPr>
              <w:spacing w:beforeLines="60" w:before="144" w:afterLines="60" w:after="144" w:line="240" w:lineRule="auto"/>
              <w:ind w:right="72"/>
              <w:rPr>
                <w:rFonts w:ascii="Arial" w:hAnsi="Arial"/>
                <w:sz w:val="20"/>
              </w:rPr>
            </w:pPr>
          </w:p>
          <w:p w14:paraId="12B66687" w14:textId="77777777" w:rsidR="00F40F53" w:rsidRPr="00496C0E" w:rsidRDefault="00F40F53" w:rsidP="004F27EE">
            <w:pPr>
              <w:spacing w:beforeLines="60" w:before="144" w:afterLines="60" w:after="144" w:line="240" w:lineRule="auto"/>
              <w:ind w:right="72"/>
              <w:rPr>
                <w:rFonts w:ascii="Arial" w:hAnsi="Arial"/>
                <w:sz w:val="20"/>
              </w:rPr>
            </w:pPr>
          </w:p>
          <w:p w14:paraId="3CCAF8CC" w14:textId="77777777" w:rsidR="00F40F53" w:rsidRPr="00496C0E" w:rsidRDefault="00F40F53" w:rsidP="004F27EE">
            <w:pPr>
              <w:spacing w:beforeLines="60" w:before="144" w:afterLines="60" w:after="144" w:line="240" w:lineRule="auto"/>
              <w:ind w:right="72"/>
              <w:rPr>
                <w:rFonts w:ascii="Arial" w:hAnsi="Arial"/>
                <w:sz w:val="20"/>
              </w:rPr>
            </w:pPr>
          </w:p>
          <w:p w14:paraId="0728A025" w14:textId="77777777" w:rsidR="00F40F53" w:rsidRPr="00496C0E" w:rsidRDefault="00F40F53" w:rsidP="004F27EE">
            <w:pPr>
              <w:spacing w:beforeLines="60" w:before="144" w:afterLines="60" w:after="144" w:line="240" w:lineRule="auto"/>
              <w:ind w:right="72"/>
              <w:rPr>
                <w:rFonts w:ascii="Arial" w:hAnsi="Arial"/>
                <w:sz w:val="20"/>
              </w:rPr>
            </w:pPr>
          </w:p>
          <w:p w14:paraId="71CD9AE9" w14:textId="51B77C4E" w:rsidR="00F40F53" w:rsidRPr="00496C0E" w:rsidRDefault="00F40F53" w:rsidP="004F27EE">
            <w:pPr>
              <w:spacing w:beforeLines="60" w:before="144" w:afterLines="60" w:after="144" w:line="240" w:lineRule="auto"/>
              <w:ind w:right="72"/>
              <w:rPr>
                <w:rFonts w:ascii="Arial" w:hAnsi="Arial"/>
                <w:sz w:val="20"/>
              </w:rPr>
            </w:pPr>
            <w:r w:rsidRPr="00496C0E">
              <w:rPr>
                <w:rFonts w:ascii="Arial" w:hAnsi="Arial"/>
                <w:sz w:val="20"/>
              </w:rPr>
              <w:t>3.2.b: MEF y BDE.</w:t>
            </w:r>
          </w:p>
          <w:p w14:paraId="22B9B2AB" w14:textId="77777777" w:rsidR="00F40F53" w:rsidRPr="00496C0E" w:rsidRDefault="00F40F53" w:rsidP="004F27EE">
            <w:pPr>
              <w:spacing w:beforeLines="60" w:before="144" w:afterLines="60" w:after="144" w:line="240" w:lineRule="auto"/>
              <w:ind w:right="72"/>
              <w:rPr>
                <w:rFonts w:ascii="Arial" w:hAnsi="Arial"/>
                <w:sz w:val="20"/>
              </w:rPr>
            </w:pPr>
          </w:p>
          <w:p w14:paraId="5292E883" w14:textId="77777777" w:rsidR="00F40F53" w:rsidRPr="00496C0E" w:rsidRDefault="00F40F53" w:rsidP="004F27EE">
            <w:pPr>
              <w:spacing w:beforeLines="60" w:before="144" w:afterLines="60" w:after="144" w:line="240" w:lineRule="auto"/>
              <w:ind w:right="72"/>
              <w:rPr>
                <w:rFonts w:ascii="Arial" w:hAnsi="Arial"/>
                <w:sz w:val="20"/>
              </w:rPr>
            </w:pPr>
          </w:p>
          <w:p w14:paraId="2BF7172F" w14:textId="77777777" w:rsidR="00F40F53" w:rsidRPr="00496C0E" w:rsidRDefault="00F40F53" w:rsidP="004F27EE">
            <w:pPr>
              <w:spacing w:beforeLines="60" w:before="144" w:afterLines="60" w:after="144" w:line="240" w:lineRule="auto"/>
              <w:ind w:right="72"/>
              <w:rPr>
                <w:rFonts w:ascii="Arial" w:hAnsi="Arial"/>
                <w:sz w:val="20"/>
              </w:rPr>
            </w:pPr>
          </w:p>
          <w:p w14:paraId="7E2F91D5" w14:textId="77777777" w:rsidR="00F40F53" w:rsidRPr="00496C0E" w:rsidRDefault="00F40F53" w:rsidP="004F27EE">
            <w:pPr>
              <w:spacing w:beforeLines="60" w:before="144" w:afterLines="60" w:after="144" w:line="240" w:lineRule="auto"/>
              <w:ind w:right="72"/>
              <w:rPr>
                <w:rFonts w:ascii="Arial" w:hAnsi="Arial"/>
                <w:sz w:val="20"/>
              </w:rPr>
            </w:pPr>
          </w:p>
          <w:p w14:paraId="298AE28E" w14:textId="414138DF" w:rsidR="004E5571" w:rsidRPr="00496C0E" w:rsidRDefault="009F2115" w:rsidP="004F27EE">
            <w:pPr>
              <w:spacing w:beforeLines="60" w:before="144" w:afterLines="60" w:after="144" w:line="240" w:lineRule="auto"/>
              <w:ind w:right="72"/>
              <w:rPr>
                <w:rFonts w:ascii="Arial" w:hAnsi="Arial"/>
                <w:sz w:val="20"/>
              </w:rPr>
            </w:pPr>
            <w:r w:rsidRPr="00496C0E">
              <w:rPr>
                <w:rFonts w:ascii="Arial" w:hAnsi="Arial"/>
                <w:sz w:val="20"/>
              </w:rPr>
              <w:t>3.2.</w:t>
            </w:r>
            <w:r w:rsidR="003C647A" w:rsidRPr="00496C0E">
              <w:rPr>
                <w:rFonts w:ascii="Arial" w:hAnsi="Arial"/>
                <w:sz w:val="20"/>
              </w:rPr>
              <w:t>c</w:t>
            </w:r>
            <w:r w:rsidRPr="00496C0E">
              <w:rPr>
                <w:rFonts w:ascii="Arial" w:hAnsi="Arial"/>
                <w:sz w:val="20"/>
              </w:rPr>
              <w:t>:</w:t>
            </w:r>
            <w:r w:rsidR="004E5571" w:rsidRPr="00496C0E">
              <w:rPr>
                <w:rFonts w:ascii="Arial" w:hAnsi="Arial"/>
                <w:sz w:val="20"/>
              </w:rPr>
              <w:t xml:space="preserve"> BDE</w:t>
            </w:r>
          </w:p>
          <w:p w14:paraId="063AD830" w14:textId="77777777" w:rsidR="00F40F53" w:rsidRPr="00496C0E" w:rsidRDefault="00F40F53" w:rsidP="004F27EE">
            <w:pPr>
              <w:spacing w:beforeLines="60" w:before="144" w:afterLines="60" w:after="144" w:line="240" w:lineRule="auto"/>
              <w:ind w:right="72"/>
              <w:rPr>
                <w:rFonts w:ascii="Arial" w:hAnsi="Arial"/>
                <w:sz w:val="20"/>
              </w:rPr>
            </w:pPr>
          </w:p>
          <w:p w14:paraId="3D66730E" w14:textId="01FA9BE2" w:rsidR="00F40F53" w:rsidRPr="00496C0E" w:rsidRDefault="00F40F53" w:rsidP="004F27EE">
            <w:pPr>
              <w:spacing w:beforeLines="60" w:before="144" w:afterLines="60" w:after="144" w:line="240" w:lineRule="auto"/>
              <w:ind w:right="72"/>
              <w:rPr>
                <w:rFonts w:ascii="Arial" w:hAnsi="Arial"/>
                <w:sz w:val="20"/>
              </w:rPr>
            </w:pPr>
            <w:r w:rsidRPr="00496C0E">
              <w:rPr>
                <w:rFonts w:ascii="Arial" w:hAnsi="Arial"/>
                <w:sz w:val="20"/>
              </w:rPr>
              <w:lastRenderedPageBreak/>
              <w:t xml:space="preserve">3.2.d: Ministerio de Medio Ambiente. </w:t>
            </w:r>
          </w:p>
          <w:p w14:paraId="298AE28F" w14:textId="77777777" w:rsidR="004E5571" w:rsidRPr="00496C0E" w:rsidRDefault="004E5571" w:rsidP="004F27EE">
            <w:pPr>
              <w:spacing w:beforeLines="60" w:before="144" w:afterLines="60" w:after="144" w:line="240" w:lineRule="auto"/>
              <w:ind w:right="72"/>
              <w:rPr>
                <w:rFonts w:ascii="Arial" w:hAnsi="Arial"/>
                <w:sz w:val="20"/>
              </w:rPr>
            </w:pPr>
          </w:p>
        </w:tc>
      </w:tr>
      <w:tr w:rsidR="00F40F53" w:rsidRPr="00BD61E6" w14:paraId="298AE296" w14:textId="77777777" w:rsidTr="00EF7987">
        <w:trPr>
          <w:trHeight w:val="20"/>
        </w:trPr>
        <w:tc>
          <w:tcPr>
            <w:tcW w:w="1733" w:type="dxa"/>
            <w:shd w:val="clear" w:color="auto" w:fill="auto"/>
          </w:tcPr>
          <w:p w14:paraId="298AE291" w14:textId="1A2B41D2" w:rsidR="00A9396C" w:rsidRPr="00496C0E" w:rsidRDefault="002F4177" w:rsidP="00A9396C">
            <w:pPr>
              <w:spacing w:before="20" w:after="20"/>
              <w:rPr>
                <w:rFonts w:ascii="Arial" w:hAnsi="Arial"/>
                <w:sz w:val="20"/>
                <w:lang w:val="es-ES_tradnl"/>
              </w:rPr>
            </w:pPr>
            <w:r w:rsidRPr="00496C0E">
              <w:rPr>
                <w:rFonts w:ascii="Arial" w:hAnsi="Arial"/>
                <w:b/>
                <w:kern w:val="18"/>
                <w:sz w:val="20"/>
              </w:rPr>
              <w:lastRenderedPageBreak/>
              <w:t>Fortalecimiento de la gestión y control del Estado sobre las EEPP de la función ejecutiva</w:t>
            </w:r>
          </w:p>
        </w:tc>
        <w:tc>
          <w:tcPr>
            <w:tcW w:w="3374" w:type="dxa"/>
            <w:shd w:val="clear" w:color="auto" w:fill="auto"/>
          </w:tcPr>
          <w:p w14:paraId="6B4B126D" w14:textId="6C03CEFE" w:rsidR="00C22796" w:rsidRPr="00496C0E" w:rsidRDefault="009452ED" w:rsidP="006F274C">
            <w:pPr>
              <w:pStyle w:val="ListParagraph"/>
              <w:numPr>
                <w:ilvl w:val="1"/>
                <w:numId w:val="14"/>
              </w:numPr>
              <w:spacing w:before="60" w:after="60"/>
              <w:rPr>
                <w:rFonts w:ascii="Arial" w:eastAsia="Arial" w:hAnsi="Arial"/>
                <w:sz w:val="20"/>
                <w:lang w:val="es-ES"/>
              </w:rPr>
            </w:pPr>
            <w:r w:rsidRPr="00496C0E">
              <w:rPr>
                <w:rFonts w:ascii="Arial" w:eastAsia="Arial" w:hAnsi="Arial"/>
                <w:sz w:val="20"/>
                <w:lang w:val="es-ES"/>
              </w:rPr>
              <w:t>Fortalecimiento de la g</w:t>
            </w:r>
            <w:r w:rsidR="00B11CE2" w:rsidRPr="00496C0E">
              <w:rPr>
                <w:rFonts w:ascii="Arial" w:eastAsia="Arial" w:hAnsi="Arial"/>
                <w:sz w:val="20"/>
                <w:lang w:val="es-ES"/>
              </w:rPr>
              <w:t>estión y control del Estado sobre las Empresas Públicas (</w:t>
            </w:r>
            <w:r w:rsidR="00B11CE2" w:rsidRPr="00BD61E6">
              <w:rPr>
                <w:rFonts w:ascii="Arial" w:eastAsia="Arial" w:hAnsi="Arial" w:cs="Arial"/>
                <w:sz w:val="20"/>
                <w:lang w:val="es-ES"/>
              </w:rPr>
              <w:t>EEPP)</w:t>
            </w:r>
            <w:r w:rsidR="00B11CE2" w:rsidRPr="00496C0E">
              <w:rPr>
                <w:rFonts w:ascii="Arial" w:eastAsia="Arial" w:hAnsi="Arial"/>
                <w:sz w:val="20"/>
                <w:lang w:val="es-ES"/>
              </w:rPr>
              <w:t xml:space="preserve"> de la </w:t>
            </w:r>
            <w:r w:rsidR="00296930" w:rsidRPr="00496C0E">
              <w:rPr>
                <w:rFonts w:ascii="Arial" w:eastAsia="Arial" w:hAnsi="Arial"/>
                <w:sz w:val="20"/>
                <w:lang w:val="es-ES"/>
              </w:rPr>
              <w:t>función ejecutiva</w:t>
            </w:r>
            <w:r w:rsidR="00B11CE2" w:rsidRPr="00496C0E">
              <w:rPr>
                <w:rFonts w:ascii="Arial" w:eastAsia="Arial" w:hAnsi="Arial"/>
                <w:sz w:val="20"/>
                <w:lang w:val="es-ES"/>
              </w:rPr>
              <w:t xml:space="preserve"> a través de mejoras al marco institucional, operativo y fiscal, </w:t>
            </w:r>
            <w:r w:rsidR="002F3940" w:rsidRPr="00496C0E">
              <w:rPr>
                <w:rFonts w:ascii="Arial" w:eastAsia="Arial" w:hAnsi="Arial"/>
                <w:sz w:val="20"/>
                <w:lang w:val="es-ES"/>
              </w:rPr>
              <w:t xml:space="preserve">con </w:t>
            </w:r>
            <w:r w:rsidR="00B11CE2" w:rsidRPr="00496C0E">
              <w:rPr>
                <w:rFonts w:ascii="Arial" w:eastAsia="Arial" w:hAnsi="Arial"/>
                <w:sz w:val="20"/>
                <w:lang w:val="es-ES"/>
              </w:rPr>
              <w:t>el envío</w:t>
            </w:r>
            <w:r w:rsidR="002F3940" w:rsidRPr="00496C0E">
              <w:rPr>
                <w:rFonts w:ascii="Arial" w:eastAsia="Arial" w:hAnsi="Arial"/>
                <w:sz w:val="20"/>
                <w:lang w:val="es-ES"/>
              </w:rPr>
              <w:t xml:space="preserve"> </w:t>
            </w:r>
            <w:r w:rsidR="00D57AB3" w:rsidRPr="00496C0E">
              <w:rPr>
                <w:rFonts w:ascii="Arial" w:eastAsia="Arial" w:hAnsi="Arial"/>
                <w:sz w:val="20"/>
                <w:lang w:val="es-ES"/>
              </w:rPr>
              <w:t xml:space="preserve">de reformas a la LOEP </w:t>
            </w:r>
            <w:r w:rsidR="002F3940" w:rsidRPr="00496C0E">
              <w:rPr>
                <w:rFonts w:ascii="Arial" w:eastAsia="Arial" w:hAnsi="Arial"/>
                <w:sz w:val="20"/>
                <w:lang w:val="es-ES"/>
              </w:rPr>
              <w:t>a</w:t>
            </w:r>
            <w:r w:rsidR="00B11CE2" w:rsidRPr="00496C0E">
              <w:rPr>
                <w:rFonts w:ascii="Arial" w:eastAsia="Arial" w:hAnsi="Arial"/>
                <w:sz w:val="20"/>
                <w:lang w:val="es-ES"/>
              </w:rPr>
              <w:t xml:space="preserve"> la AN</w:t>
            </w:r>
            <w:r w:rsidR="00124858">
              <w:rPr>
                <w:rFonts w:ascii="Arial" w:eastAsia="Arial" w:hAnsi="Arial" w:cs="Arial"/>
                <w:sz w:val="20"/>
                <w:lang w:val="es-ES"/>
              </w:rPr>
              <w:t>, incorporando</w:t>
            </w:r>
            <w:r w:rsidR="00C22796" w:rsidRPr="00496C0E">
              <w:rPr>
                <w:rFonts w:ascii="Arial" w:eastAsia="Arial" w:hAnsi="Arial"/>
                <w:sz w:val="20"/>
                <w:lang w:val="es-ES"/>
              </w:rPr>
              <w:t>:</w:t>
            </w:r>
          </w:p>
          <w:p w14:paraId="70EE8583" w14:textId="77777777" w:rsidR="00B11CE2" w:rsidRPr="00496C0E" w:rsidRDefault="00B11CE2" w:rsidP="006F274C">
            <w:pPr>
              <w:pStyle w:val="ListParagraph"/>
              <w:numPr>
                <w:ilvl w:val="7"/>
                <w:numId w:val="19"/>
              </w:numPr>
              <w:spacing w:before="60" w:after="60"/>
              <w:ind w:left="481" w:hanging="270"/>
              <w:rPr>
                <w:rFonts w:ascii="Arial" w:eastAsia="Arial" w:hAnsi="Arial"/>
                <w:sz w:val="20"/>
                <w:lang w:val="es-ES"/>
              </w:rPr>
            </w:pPr>
            <w:r w:rsidRPr="00496C0E">
              <w:rPr>
                <w:rFonts w:ascii="Arial" w:eastAsia="Arial" w:hAnsi="Arial"/>
                <w:sz w:val="20"/>
                <w:lang w:val="es-ES"/>
              </w:rPr>
              <w:t>Reforma del rol de la Empresa Coordinadora de las Empresas Públicas (EMCO) para que sea una institución que vele por el rol propietario del estado y las buenas prácticas de gobierno corporativo;</w:t>
            </w:r>
          </w:p>
          <w:p w14:paraId="0984E502" w14:textId="6928CC2C" w:rsidR="00B11CE2" w:rsidRPr="00496C0E" w:rsidRDefault="00B11CE2" w:rsidP="006F274C">
            <w:pPr>
              <w:pStyle w:val="ListParagraph"/>
              <w:numPr>
                <w:ilvl w:val="7"/>
                <w:numId w:val="19"/>
              </w:numPr>
              <w:spacing w:before="60" w:after="60"/>
              <w:ind w:left="481" w:hanging="270"/>
              <w:rPr>
                <w:rFonts w:ascii="Arial" w:eastAsia="Arial" w:hAnsi="Arial"/>
                <w:sz w:val="20"/>
                <w:lang w:val="es-ES"/>
              </w:rPr>
            </w:pPr>
            <w:r w:rsidRPr="00496C0E">
              <w:rPr>
                <w:rFonts w:ascii="Arial" w:eastAsia="Arial" w:hAnsi="Arial"/>
                <w:sz w:val="20"/>
                <w:lang w:val="es-ES"/>
              </w:rPr>
              <w:t xml:space="preserve">Reformas a la composición y métodos de selección de los Directorios de las </w:t>
            </w:r>
            <w:r w:rsidRPr="00BD61E6">
              <w:rPr>
                <w:rFonts w:ascii="Arial" w:eastAsia="Arial" w:hAnsi="Arial" w:cs="Arial"/>
                <w:sz w:val="20"/>
                <w:lang w:val="es-ES"/>
              </w:rPr>
              <w:t>EEPP,</w:t>
            </w:r>
            <w:r w:rsidRPr="00496C0E">
              <w:rPr>
                <w:rFonts w:ascii="Arial" w:eastAsia="Arial" w:hAnsi="Arial"/>
                <w:sz w:val="20"/>
                <w:lang w:val="es-ES"/>
              </w:rPr>
              <w:t xml:space="preserve"> incrementando los requerimientos profesionales de selección de directores y eliminando la asignación de ministros del ramo como Presidentes de los directorios;</w:t>
            </w:r>
          </w:p>
          <w:p w14:paraId="4A523F4A" w14:textId="5D2DB562" w:rsidR="00B11CE2" w:rsidRPr="00496C0E" w:rsidRDefault="00B11CE2" w:rsidP="006F274C">
            <w:pPr>
              <w:pStyle w:val="ListParagraph"/>
              <w:numPr>
                <w:ilvl w:val="7"/>
                <w:numId w:val="19"/>
              </w:numPr>
              <w:spacing w:before="60" w:after="60"/>
              <w:ind w:left="481" w:hanging="270"/>
              <w:rPr>
                <w:rFonts w:ascii="Arial" w:eastAsia="Arial" w:hAnsi="Arial"/>
                <w:sz w:val="20"/>
                <w:lang w:val="es-ES"/>
              </w:rPr>
            </w:pPr>
            <w:r w:rsidRPr="00496C0E">
              <w:rPr>
                <w:rFonts w:ascii="Arial" w:eastAsia="Arial" w:hAnsi="Arial"/>
                <w:sz w:val="20"/>
                <w:lang w:val="es-ES"/>
              </w:rPr>
              <w:t xml:space="preserve">Reforma del régimen fiscal de </w:t>
            </w:r>
            <w:r w:rsidRPr="00BD61E6">
              <w:rPr>
                <w:rFonts w:ascii="Arial" w:eastAsia="Arial" w:hAnsi="Arial" w:cs="Arial"/>
                <w:sz w:val="20"/>
                <w:lang w:val="es-ES"/>
              </w:rPr>
              <w:t>EEPP,</w:t>
            </w:r>
            <w:r w:rsidRPr="00496C0E">
              <w:rPr>
                <w:rFonts w:ascii="Arial" w:eastAsia="Arial" w:hAnsi="Arial"/>
                <w:sz w:val="20"/>
                <w:lang w:val="es-ES"/>
              </w:rPr>
              <w:t xml:space="preserve"> alineándolo a las mejores prácticas internacionales, e incluyendo la definición de responsabilidades de pago de impuestos y política de distribución de excedentes </w:t>
            </w:r>
            <w:r w:rsidRPr="00496C0E">
              <w:rPr>
                <w:rFonts w:ascii="Arial" w:eastAsia="Arial" w:hAnsi="Arial"/>
                <w:sz w:val="20"/>
                <w:lang w:val="es-ES"/>
              </w:rPr>
              <w:lastRenderedPageBreak/>
              <w:t>basada en reglas claras y transparentes.</w:t>
            </w:r>
          </w:p>
          <w:p w14:paraId="5052D140" w14:textId="3D94650A" w:rsidR="00B11CE2" w:rsidRPr="00496C0E" w:rsidRDefault="00B11CE2" w:rsidP="006F274C">
            <w:pPr>
              <w:pStyle w:val="ListParagraph"/>
              <w:numPr>
                <w:ilvl w:val="7"/>
                <w:numId w:val="19"/>
              </w:numPr>
              <w:spacing w:before="60" w:after="60"/>
              <w:ind w:left="481" w:hanging="270"/>
              <w:rPr>
                <w:rFonts w:ascii="Arial" w:eastAsia="Arial" w:hAnsi="Arial"/>
                <w:sz w:val="20"/>
                <w:lang w:val="es-ES"/>
              </w:rPr>
            </w:pPr>
            <w:r w:rsidRPr="00496C0E">
              <w:rPr>
                <w:rFonts w:ascii="Arial" w:eastAsia="Arial" w:hAnsi="Arial"/>
                <w:sz w:val="20"/>
                <w:lang w:val="es-ES"/>
              </w:rPr>
              <w:t xml:space="preserve">Reforma del proceso de licitación y ejecución de las auditorías externas de las </w:t>
            </w:r>
            <w:r w:rsidRPr="00BD61E6">
              <w:rPr>
                <w:rFonts w:ascii="Arial" w:eastAsia="Arial" w:hAnsi="Arial" w:cs="Arial"/>
                <w:sz w:val="20"/>
                <w:lang w:val="es-ES"/>
              </w:rPr>
              <w:t>EEPP,</w:t>
            </w:r>
            <w:r w:rsidRPr="00496C0E">
              <w:rPr>
                <w:rFonts w:ascii="Arial" w:eastAsia="Arial" w:hAnsi="Arial"/>
                <w:sz w:val="20"/>
                <w:lang w:val="es-ES"/>
              </w:rPr>
              <w:t xml:space="preserve"> asignando dicha autoridad a las mismas;</w:t>
            </w:r>
          </w:p>
          <w:p w14:paraId="0D21715F" w14:textId="00F514D1" w:rsidR="00C22796" w:rsidRPr="00496C0E" w:rsidRDefault="00B11CE2" w:rsidP="006F274C">
            <w:pPr>
              <w:pStyle w:val="ListParagraph"/>
              <w:numPr>
                <w:ilvl w:val="7"/>
                <w:numId w:val="19"/>
              </w:numPr>
              <w:spacing w:before="60" w:after="60"/>
              <w:ind w:left="481" w:hanging="270"/>
              <w:rPr>
                <w:rFonts w:ascii="Arial" w:eastAsia="Arial" w:hAnsi="Arial"/>
                <w:sz w:val="20"/>
                <w:lang w:val="es-ES"/>
              </w:rPr>
            </w:pPr>
            <w:r w:rsidRPr="00496C0E">
              <w:rPr>
                <w:rFonts w:ascii="Arial" w:eastAsia="Arial" w:hAnsi="Arial"/>
                <w:sz w:val="20"/>
                <w:lang w:val="es-ES"/>
              </w:rPr>
              <w:t xml:space="preserve">Reforma estableciendo objetivos para la participación de mujeres en los consejos directivos de las </w:t>
            </w:r>
            <w:r w:rsidRPr="00BD61E6">
              <w:rPr>
                <w:rFonts w:ascii="Arial" w:eastAsia="Arial" w:hAnsi="Arial" w:cs="Arial"/>
                <w:sz w:val="20"/>
                <w:lang w:val="es-ES"/>
              </w:rPr>
              <w:t>EEPP</w:t>
            </w:r>
            <w:r w:rsidR="00C22796" w:rsidRPr="00496C0E">
              <w:rPr>
                <w:rFonts w:ascii="Arial" w:eastAsia="Arial" w:hAnsi="Arial"/>
                <w:sz w:val="20"/>
                <w:lang w:val="es-ES"/>
              </w:rPr>
              <w:t>.</w:t>
            </w:r>
            <w:r w:rsidR="00DE7700" w:rsidRPr="00496C0E">
              <w:rPr>
                <w:rFonts w:ascii="Arial" w:eastAsia="Arial" w:hAnsi="Arial"/>
                <w:sz w:val="20"/>
                <w:lang w:val="es-ES"/>
              </w:rPr>
              <w:t xml:space="preserve"> </w:t>
            </w:r>
          </w:p>
          <w:p w14:paraId="70CD8234" w14:textId="77777777" w:rsidR="00A20577" w:rsidRPr="00496C0E" w:rsidRDefault="00A20577" w:rsidP="006F274C">
            <w:pPr>
              <w:pStyle w:val="ListParagraph"/>
              <w:spacing w:before="60" w:after="60"/>
              <w:ind w:left="344"/>
              <w:rPr>
                <w:rFonts w:ascii="Arial" w:eastAsia="Arial" w:hAnsi="Arial"/>
                <w:sz w:val="20"/>
                <w:lang w:val="es-ES"/>
              </w:rPr>
            </w:pPr>
          </w:p>
          <w:p w14:paraId="4FF8A784" w14:textId="77A46F9D" w:rsidR="00A9396C" w:rsidRPr="00496C0E" w:rsidRDefault="005E000E" w:rsidP="006F274C">
            <w:pPr>
              <w:pStyle w:val="ListParagraph"/>
              <w:numPr>
                <w:ilvl w:val="1"/>
                <w:numId w:val="14"/>
              </w:numPr>
              <w:spacing w:before="60" w:after="60"/>
              <w:rPr>
                <w:rFonts w:ascii="Arial" w:eastAsia="Arial" w:hAnsi="Arial"/>
                <w:sz w:val="20"/>
                <w:lang w:val="es-ES"/>
              </w:rPr>
            </w:pPr>
            <w:r w:rsidRPr="00496C0E">
              <w:rPr>
                <w:rFonts w:ascii="Arial" w:eastAsia="Arial" w:hAnsi="Arial"/>
                <w:sz w:val="20"/>
                <w:lang w:val="es-ES"/>
              </w:rPr>
              <w:t>R</w:t>
            </w:r>
            <w:r w:rsidR="00A9396C" w:rsidRPr="00496C0E">
              <w:rPr>
                <w:rFonts w:ascii="Arial" w:eastAsia="Arial" w:hAnsi="Arial"/>
                <w:sz w:val="20"/>
                <w:lang w:val="es-ES"/>
              </w:rPr>
              <w:t>eformas al proceso de asignación de</w:t>
            </w:r>
            <w:r w:rsidR="00124858" w:rsidRPr="00496C0E">
              <w:rPr>
                <w:rFonts w:ascii="Arial" w:eastAsia="Arial" w:hAnsi="Arial"/>
                <w:sz w:val="20"/>
                <w:lang w:val="es-ES"/>
              </w:rPr>
              <w:t xml:space="preserve"> </w:t>
            </w:r>
            <w:r w:rsidR="00124858">
              <w:rPr>
                <w:rFonts w:ascii="Arial" w:eastAsia="Arial" w:hAnsi="Arial" w:cs="Arial"/>
                <w:sz w:val="20"/>
                <w:lang w:val="es-ES"/>
              </w:rPr>
              <w:t>recursos de</w:t>
            </w:r>
            <w:r w:rsidR="005C2249">
              <w:rPr>
                <w:rFonts w:ascii="Arial" w:eastAsia="Arial" w:hAnsi="Arial" w:cs="Arial"/>
                <w:sz w:val="20"/>
                <w:lang w:val="es-ES"/>
              </w:rPr>
              <w:t xml:space="preserve">l </w:t>
            </w:r>
            <w:r w:rsidR="00A9396C" w:rsidRPr="00BD61E6">
              <w:rPr>
                <w:rFonts w:ascii="Arial" w:eastAsia="Arial" w:hAnsi="Arial" w:cs="Arial"/>
                <w:sz w:val="20"/>
                <w:lang w:val="es-ES"/>
              </w:rPr>
              <w:t>Presupuesto Genera</w:t>
            </w:r>
            <w:r w:rsidR="005C2249">
              <w:rPr>
                <w:rFonts w:ascii="Arial" w:eastAsia="Arial" w:hAnsi="Arial" w:cs="Arial"/>
                <w:sz w:val="20"/>
                <w:lang w:val="es-ES"/>
              </w:rPr>
              <w:t>l</w:t>
            </w:r>
            <w:r w:rsidR="00A9396C" w:rsidRPr="00496C0E">
              <w:rPr>
                <w:rFonts w:ascii="Arial" w:eastAsia="Arial" w:hAnsi="Arial"/>
                <w:sz w:val="20"/>
                <w:lang w:val="es-ES"/>
              </w:rPr>
              <w:t xml:space="preserve"> del Estado</w:t>
            </w:r>
            <w:r w:rsidRPr="00496C0E">
              <w:rPr>
                <w:rFonts w:ascii="Arial" w:eastAsia="Arial" w:hAnsi="Arial"/>
                <w:sz w:val="20"/>
                <w:lang w:val="es-ES"/>
              </w:rPr>
              <w:t xml:space="preserve"> (PGE</w:t>
            </w:r>
            <w:r w:rsidRPr="00BD61E6">
              <w:rPr>
                <w:rFonts w:ascii="Arial" w:eastAsia="Arial" w:hAnsi="Arial" w:cs="Arial"/>
                <w:sz w:val="20"/>
                <w:lang w:val="es-ES"/>
              </w:rPr>
              <w:t>)</w:t>
            </w:r>
            <w:r w:rsidR="00124858">
              <w:rPr>
                <w:rFonts w:ascii="Arial" w:eastAsia="Arial" w:hAnsi="Arial" w:cs="Arial"/>
                <w:sz w:val="20"/>
                <w:lang w:val="es-ES"/>
              </w:rPr>
              <w:t xml:space="preserve"> a las EEPP</w:t>
            </w:r>
            <w:r w:rsidR="00A9396C" w:rsidRPr="00BD61E6">
              <w:rPr>
                <w:rFonts w:ascii="Arial" w:eastAsia="Arial" w:hAnsi="Arial" w:cs="Arial"/>
                <w:sz w:val="20"/>
                <w:lang w:val="es-ES"/>
              </w:rPr>
              <w:t>,</w:t>
            </w:r>
            <w:r w:rsidR="00A9396C" w:rsidRPr="00496C0E">
              <w:rPr>
                <w:rFonts w:ascii="Arial" w:eastAsia="Arial" w:hAnsi="Arial"/>
                <w:sz w:val="20"/>
                <w:lang w:val="es-ES"/>
              </w:rPr>
              <w:t xml:space="preserve"> incluyendo:</w:t>
            </w:r>
          </w:p>
          <w:p w14:paraId="113F6080" w14:textId="7A5ADD62" w:rsidR="00A9396C" w:rsidRPr="00496C0E" w:rsidRDefault="00A9396C" w:rsidP="00244F52">
            <w:pPr>
              <w:pStyle w:val="ListParagraph"/>
              <w:numPr>
                <w:ilvl w:val="7"/>
                <w:numId w:val="25"/>
              </w:numPr>
              <w:spacing w:before="60" w:after="60"/>
              <w:ind w:left="481" w:hanging="270"/>
              <w:rPr>
                <w:rFonts w:ascii="Arial" w:eastAsia="Arial" w:hAnsi="Arial"/>
                <w:sz w:val="20"/>
                <w:lang w:val="es-ES"/>
              </w:rPr>
            </w:pPr>
            <w:r w:rsidRPr="00496C0E">
              <w:rPr>
                <w:rFonts w:ascii="Arial" w:eastAsia="Arial" w:hAnsi="Arial"/>
                <w:sz w:val="20"/>
                <w:lang w:val="es-ES"/>
              </w:rPr>
              <w:t xml:space="preserve">Incorporación de todas las fuentes de ingresos de las </w:t>
            </w:r>
            <w:r w:rsidRPr="00BD61E6">
              <w:rPr>
                <w:rFonts w:ascii="Arial" w:eastAsia="Arial" w:hAnsi="Arial" w:cs="Arial"/>
                <w:sz w:val="20"/>
                <w:lang w:val="es-ES"/>
              </w:rPr>
              <w:t>EEPP</w:t>
            </w:r>
            <w:r w:rsidRPr="00496C0E">
              <w:rPr>
                <w:rFonts w:ascii="Arial" w:eastAsia="Arial" w:hAnsi="Arial"/>
                <w:sz w:val="20"/>
                <w:lang w:val="es-ES"/>
              </w:rPr>
              <w:t>. a la formulación presupuestaria.</w:t>
            </w:r>
          </w:p>
          <w:p w14:paraId="4765D768" w14:textId="0AEBE27B" w:rsidR="00A9396C" w:rsidRPr="00496C0E" w:rsidRDefault="00A9396C" w:rsidP="00244F52">
            <w:pPr>
              <w:pStyle w:val="ListParagraph"/>
              <w:numPr>
                <w:ilvl w:val="7"/>
                <w:numId w:val="25"/>
              </w:numPr>
              <w:spacing w:before="60" w:after="60"/>
              <w:ind w:left="481" w:hanging="270"/>
              <w:rPr>
                <w:rFonts w:ascii="Arial" w:eastAsia="Arial" w:hAnsi="Arial"/>
                <w:sz w:val="20"/>
                <w:lang w:val="es-ES"/>
              </w:rPr>
            </w:pPr>
            <w:r w:rsidRPr="00496C0E">
              <w:rPr>
                <w:rFonts w:ascii="Arial" w:eastAsia="Arial" w:hAnsi="Arial"/>
                <w:sz w:val="20"/>
                <w:lang w:val="es-ES"/>
              </w:rPr>
              <w:t xml:space="preserve">Obligatoriedad de la presentación de la información de las </w:t>
            </w:r>
            <w:r w:rsidRPr="00BD61E6">
              <w:rPr>
                <w:rFonts w:ascii="Arial" w:eastAsia="Arial" w:hAnsi="Arial" w:cs="Arial"/>
                <w:sz w:val="20"/>
                <w:lang w:val="es-ES"/>
              </w:rPr>
              <w:t>EEPP</w:t>
            </w:r>
            <w:r w:rsidRPr="00496C0E">
              <w:rPr>
                <w:rFonts w:ascii="Arial" w:eastAsia="Arial" w:hAnsi="Arial"/>
                <w:sz w:val="20"/>
                <w:lang w:val="es-ES"/>
              </w:rPr>
              <w:t xml:space="preserve">. en el sistema integrado de administración financiera del MEF previo a la consideración de la propuesta presupuestaria. </w:t>
            </w:r>
          </w:p>
          <w:p w14:paraId="531FB8E4" w14:textId="165C2F20" w:rsidR="00A9396C" w:rsidRPr="00496C0E" w:rsidRDefault="00A9396C" w:rsidP="00244F52">
            <w:pPr>
              <w:pStyle w:val="ListParagraph"/>
              <w:numPr>
                <w:ilvl w:val="7"/>
                <w:numId w:val="25"/>
              </w:numPr>
              <w:spacing w:before="60" w:after="60"/>
              <w:ind w:left="481" w:hanging="270"/>
              <w:rPr>
                <w:rFonts w:ascii="Arial" w:eastAsia="Arial" w:hAnsi="Arial"/>
                <w:sz w:val="20"/>
                <w:lang w:val="es-ES"/>
              </w:rPr>
            </w:pPr>
            <w:r w:rsidRPr="00496C0E">
              <w:rPr>
                <w:rFonts w:ascii="Arial" w:eastAsia="Arial" w:hAnsi="Arial"/>
                <w:sz w:val="20"/>
                <w:lang w:val="es-ES"/>
              </w:rPr>
              <w:t xml:space="preserve">Restricción de acceso a fuentes de financiamiento a solo a aquellas </w:t>
            </w:r>
            <w:r w:rsidRPr="00BD61E6">
              <w:rPr>
                <w:rFonts w:ascii="Arial" w:eastAsia="Arial" w:hAnsi="Arial" w:cs="Arial"/>
                <w:sz w:val="20"/>
                <w:lang w:val="es-ES"/>
              </w:rPr>
              <w:t>EEPP</w:t>
            </w:r>
            <w:r w:rsidRPr="00496C0E">
              <w:rPr>
                <w:rFonts w:ascii="Arial" w:eastAsia="Arial" w:hAnsi="Arial"/>
                <w:sz w:val="20"/>
                <w:lang w:val="es-ES"/>
              </w:rPr>
              <w:t xml:space="preserve"> que demuestren capacidad de pago.</w:t>
            </w:r>
            <w:r w:rsidR="00DE7700" w:rsidRPr="00496C0E">
              <w:rPr>
                <w:rFonts w:ascii="Arial" w:eastAsia="Arial" w:hAnsi="Arial"/>
                <w:sz w:val="20"/>
                <w:lang w:val="es-ES"/>
              </w:rPr>
              <w:t xml:space="preserve"> </w:t>
            </w:r>
          </w:p>
          <w:p w14:paraId="78BD0D0A" w14:textId="79477E44" w:rsidR="00A20577" w:rsidRPr="00496C0E" w:rsidRDefault="00A20577" w:rsidP="006F274C">
            <w:pPr>
              <w:pStyle w:val="ListParagraph"/>
              <w:spacing w:before="60" w:after="60"/>
              <w:ind w:left="344"/>
              <w:rPr>
                <w:rFonts w:ascii="Arial" w:eastAsia="Arial" w:hAnsi="Arial"/>
                <w:sz w:val="20"/>
                <w:lang w:val="es-ES"/>
              </w:rPr>
            </w:pPr>
          </w:p>
          <w:p w14:paraId="46C3F70E" w14:textId="66E9B3C4" w:rsidR="00EF7987" w:rsidRPr="00496C0E" w:rsidRDefault="00EF7987" w:rsidP="006F274C">
            <w:pPr>
              <w:pStyle w:val="ListParagraph"/>
              <w:spacing w:before="60" w:after="60"/>
              <w:ind w:left="344"/>
              <w:rPr>
                <w:rFonts w:ascii="Arial" w:eastAsia="Arial" w:hAnsi="Arial"/>
                <w:sz w:val="20"/>
                <w:lang w:val="es-ES"/>
              </w:rPr>
            </w:pPr>
          </w:p>
          <w:p w14:paraId="2EA264AF" w14:textId="26FD586E" w:rsidR="00EF7987" w:rsidRPr="00496C0E" w:rsidRDefault="00EF7987" w:rsidP="006F274C">
            <w:pPr>
              <w:pStyle w:val="ListParagraph"/>
              <w:spacing w:before="60" w:after="60"/>
              <w:ind w:left="344"/>
              <w:rPr>
                <w:rFonts w:ascii="Arial" w:eastAsia="Arial" w:hAnsi="Arial"/>
                <w:sz w:val="20"/>
                <w:lang w:val="es-ES"/>
              </w:rPr>
            </w:pPr>
          </w:p>
          <w:p w14:paraId="6036390B" w14:textId="1B3746F8" w:rsidR="00EF7987" w:rsidRPr="00496C0E" w:rsidRDefault="00EF7987" w:rsidP="006F274C">
            <w:pPr>
              <w:pStyle w:val="ListParagraph"/>
              <w:spacing w:before="60" w:after="60"/>
              <w:ind w:left="344"/>
              <w:rPr>
                <w:rFonts w:ascii="Arial" w:eastAsia="Arial" w:hAnsi="Arial"/>
                <w:sz w:val="20"/>
                <w:lang w:val="es-ES"/>
              </w:rPr>
            </w:pPr>
          </w:p>
          <w:p w14:paraId="32AA681E" w14:textId="4E692070" w:rsidR="00EF7987" w:rsidRPr="00496C0E" w:rsidRDefault="00EF7987" w:rsidP="006F274C">
            <w:pPr>
              <w:pStyle w:val="ListParagraph"/>
              <w:spacing w:before="60" w:after="60"/>
              <w:ind w:left="344"/>
              <w:rPr>
                <w:rFonts w:ascii="Arial" w:eastAsia="Arial" w:hAnsi="Arial"/>
                <w:sz w:val="20"/>
                <w:lang w:val="es-ES"/>
              </w:rPr>
            </w:pPr>
          </w:p>
          <w:p w14:paraId="320E44DA" w14:textId="687422B4" w:rsidR="00EF7987" w:rsidRPr="00496C0E" w:rsidRDefault="00EF7987" w:rsidP="006F274C">
            <w:pPr>
              <w:pStyle w:val="ListParagraph"/>
              <w:spacing w:before="60" w:after="60"/>
              <w:ind w:left="344"/>
              <w:rPr>
                <w:rFonts w:ascii="Arial" w:eastAsia="Arial" w:hAnsi="Arial"/>
                <w:sz w:val="20"/>
                <w:lang w:val="es-ES"/>
              </w:rPr>
            </w:pPr>
          </w:p>
          <w:p w14:paraId="4A64467B" w14:textId="03F0B687" w:rsidR="00EF7987" w:rsidRPr="00496C0E" w:rsidRDefault="00EF7987" w:rsidP="006F274C">
            <w:pPr>
              <w:pStyle w:val="ListParagraph"/>
              <w:spacing w:before="60" w:after="60"/>
              <w:ind w:left="344"/>
              <w:rPr>
                <w:rFonts w:ascii="Arial" w:eastAsia="Arial" w:hAnsi="Arial"/>
                <w:sz w:val="20"/>
                <w:lang w:val="es-ES"/>
              </w:rPr>
            </w:pPr>
          </w:p>
          <w:p w14:paraId="4497045A" w14:textId="708ECA15" w:rsidR="00EF7987" w:rsidRPr="00496C0E" w:rsidRDefault="00EF7987" w:rsidP="006F274C">
            <w:pPr>
              <w:pStyle w:val="ListParagraph"/>
              <w:spacing w:before="60" w:after="60"/>
              <w:ind w:left="344"/>
              <w:rPr>
                <w:rFonts w:ascii="Arial" w:eastAsia="Arial" w:hAnsi="Arial"/>
                <w:sz w:val="20"/>
                <w:lang w:val="es-ES"/>
              </w:rPr>
            </w:pPr>
          </w:p>
          <w:p w14:paraId="30EB7C38" w14:textId="55093C18" w:rsidR="00EF7987" w:rsidRPr="00496C0E" w:rsidRDefault="00EF7987" w:rsidP="006F274C">
            <w:pPr>
              <w:pStyle w:val="ListParagraph"/>
              <w:spacing w:before="60" w:after="60"/>
              <w:ind w:left="344"/>
              <w:rPr>
                <w:rFonts w:ascii="Arial" w:eastAsia="Arial" w:hAnsi="Arial"/>
                <w:sz w:val="20"/>
                <w:lang w:val="es-ES"/>
              </w:rPr>
            </w:pPr>
          </w:p>
          <w:p w14:paraId="5E53570F" w14:textId="3E3FBB55" w:rsidR="00EF7987" w:rsidRPr="00496C0E" w:rsidRDefault="00EF7987" w:rsidP="006F274C">
            <w:pPr>
              <w:pStyle w:val="ListParagraph"/>
              <w:spacing w:before="60" w:after="60"/>
              <w:ind w:left="344"/>
              <w:rPr>
                <w:rFonts w:ascii="Arial" w:eastAsia="Arial" w:hAnsi="Arial"/>
                <w:sz w:val="20"/>
                <w:lang w:val="es-ES"/>
              </w:rPr>
            </w:pPr>
          </w:p>
          <w:p w14:paraId="2C8E4C40" w14:textId="77777777" w:rsidR="00EF7987" w:rsidRPr="00496C0E" w:rsidRDefault="00EF7987" w:rsidP="006F274C">
            <w:pPr>
              <w:pStyle w:val="ListParagraph"/>
              <w:spacing w:before="60" w:after="60"/>
              <w:ind w:left="344"/>
              <w:rPr>
                <w:rFonts w:ascii="Arial" w:eastAsia="Arial" w:hAnsi="Arial"/>
                <w:sz w:val="20"/>
                <w:lang w:val="es-ES"/>
              </w:rPr>
            </w:pPr>
          </w:p>
          <w:p w14:paraId="5C37CA69" w14:textId="69889911" w:rsidR="00CA5E01" w:rsidRPr="00496C0E" w:rsidRDefault="00FA246D" w:rsidP="006F274C">
            <w:pPr>
              <w:pStyle w:val="ListParagraph"/>
              <w:numPr>
                <w:ilvl w:val="1"/>
                <w:numId w:val="14"/>
              </w:numPr>
              <w:spacing w:before="60" w:after="60"/>
              <w:ind w:left="425" w:hanging="425"/>
              <w:rPr>
                <w:rFonts w:ascii="Arial" w:eastAsia="Arial" w:hAnsi="Arial"/>
                <w:sz w:val="20"/>
                <w:lang w:val="es-ES"/>
              </w:rPr>
            </w:pPr>
            <w:r w:rsidRPr="00496C0E">
              <w:rPr>
                <w:rFonts w:ascii="Arial" w:eastAsia="Arial" w:hAnsi="Arial"/>
                <w:sz w:val="20"/>
                <w:lang w:val="es-ES"/>
              </w:rPr>
              <w:t>Reducción de la c</w:t>
            </w:r>
            <w:r w:rsidR="00A20577" w:rsidRPr="00496C0E">
              <w:rPr>
                <w:rFonts w:ascii="Arial" w:eastAsia="Arial" w:hAnsi="Arial"/>
                <w:sz w:val="20"/>
                <w:lang w:val="es-ES"/>
              </w:rPr>
              <w:t xml:space="preserve">arga fiscal para el Estado derivada de la gestión de </w:t>
            </w:r>
            <w:r w:rsidR="00A20577" w:rsidRPr="00BD61E6">
              <w:rPr>
                <w:rFonts w:ascii="Arial" w:eastAsia="Arial" w:hAnsi="Arial" w:cs="Arial"/>
                <w:sz w:val="20"/>
                <w:lang w:val="es-ES"/>
              </w:rPr>
              <w:t>EEPP</w:t>
            </w:r>
            <w:r w:rsidR="00A20577" w:rsidRPr="00496C0E">
              <w:rPr>
                <w:rFonts w:ascii="Arial" w:eastAsia="Arial" w:hAnsi="Arial"/>
                <w:sz w:val="20"/>
                <w:lang w:val="es-ES"/>
              </w:rPr>
              <w:t>., mediante la decisión de recorte del 10% de la masa salarial de las EE.PP. de la función ejecutiva por el MEF</w:t>
            </w:r>
            <w:r w:rsidR="00CA5E01" w:rsidRPr="00496C0E">
              <w:rPr>
                <w:rFonts w:ascii="Arial" w:eastAsia="Arial" w:hAnsi="Arial"/>
                <w:sz w:val="20"/>
                <w:lang w:val="es-ES"/>
              </w:rPr>
              <w:t>.</w:t>
            </w:r>
          </w:p>
          <w:p w14:paraId="6919FC52" w14:textId="78046395" w:rsidR="00074E98" w:rsidRPr="00496C0E" w:rsidRDefault="002130A6" w:rsidP="006F274C">
            <w:pPr>
              <w:pStyle w:val="ListParagraph"/>
              <w:numPr>
                <w:ilvl w:val="1"/>
                <w:numId w:val="14"/>
              </w:numPr>
              <w:spacing w:before="60" w:after="60"/>
              <w:ind w:left="425" w:hanging="425"/>
              <w:rPr>
                <w:rFonts w:ascii="Arial" w:eastAsia="Arial" w:hAnsi="Arial"/>
                <w:sz w:val="20"/>
                <w:lang w:val="es-ES"/>
              </w:rPr>
            </w:pPr>
            <w:r w:rsidRPr="00496C0E">
              <w:rPr>
                <w:rFonts w:ascii="Arial" w:hAnsi="Arial"/>
                <w:sz w:val="20"/>
                <w:lang w:val="es-ES_tradnl"/>
              </w:rPr>
              <w:t>M</w:t>
            </w:r>
            <w:r w:rsidRPr="00496C0E">
              <w:rPr>
                <w:rFonts w:ascii="Arial" w:hAnsi="Arial"/>
                <w:sz w:val="20"/>
                <w:lang w:val="es-ES"/>
              </w:rPr>
              <w:t>ejora de la eficiencia del sector hidrocarburos mediante el p</w:t>
            </w:r>
            <w:r w:rsidRPr="00496C0E">
              <w:rPr>
                <w:rFonts w:ascii="Arial" w:hAnsi="Arial"/>
                <w:sz w:val="20"/>
                <w:lang w:val="es-ES_tradnl"/>
              </w:rPr>
              <w:t>roceso</w:t>
            </w:r>
            <w:r w:rsidR="00074E98" w:rsidRPr="00496C0E">
              <w:rPr>
                <w:rFonts w:ascii="Arial" w:hAnsi="Arial"/>
                <w:kern w:val="18"/>
                <w:sz w:val="20"/>
                <w:lang w:val="es-ES"/>
              </w:rPr>
              <w:t xml:space="preserve"> de fusión de las </w:t>
            </w:r>
            <w:r w:rsidR="00074E98" w:rsidRPr="00BD61E6">
              <w:rPr>
                <w:rFonts w:ascii="Arial" w:hAnsi="Arial" w:cs="Arial"/>
                <w:bCs/>
                <w:kern w:val="18"/>
                <w:sz w:val="20"/>
                <w:lang w:val="es-ES"/>
              </w:rPr>
              <w:t>EEPP</w:t>
            </w:r>
            <w:r w:rsidR="00074E98" w:rsidRPr="00496C0E">
              <w:rPr>
                <w:rFonts w:ascii="Arial" w:hAnsi="Arial"/>
                <w:kern w:val="18"/>
                <w:sz w:val="20"/>
                <w:lang w:val="es-ES"/>
              </w:rPr>
              <w:t xml:space="preserve"> Petroecuador y Petroamazonas iniciado con la delegación de la responsabilidad de liderar la fusión al </w:t>
            </w:r>
            <w:r w:rsidR="00124858" w:rsidRPr="00496C0E">
              <w:rPr>
                <w:rFonts w:ascii="Arial" w:hAnsi="Arial"/>
                <w:kern w:val="18"/>
                <w:sz w:val="20"/>
                <w:lang w:val="es-ES"/>
              </w:rPr>
              <w:t xml:space="preserve">Ministerio de </w:t>
            </w:r>
            <w:r w:rsidR="00124858" w:rsidRPr="00124858">
              <w:rPr>
                <w:rFonts w:ascii="Arial" w:hAnsi="Arial" w:cs="Arial"/>
                <w:bCs/>
                <w:kern w:val="18"/>
                <w:sz w:val="20"/>
                <w:lang w:val="es-ES"/>
              </w:rPr>
              <w:t xml:space="preserve">Electricidad y </w:t>
            </w:r>
            <w:r w:rsidR="00124858" w:rsidRPr="00496C0E">
              <w:rPr>
                <w:rFonts w:ascii="Arial" w:hAnsi="Arial"/>
                <w:kern w:val="18"/>
                <w:sz w:val="20"/>
                <w:lang w:val="es-ES"/>
              </w:rPr>
              <w:t>Energía Renovable</w:t>
            </w:r>
            <w:r w:rsidR="00124858" w:rsidRPr="00124858">
              <w:rPr>
                <w:rFonts w:ascii="Arial" w:hAnsi="Arial" w:cs="Arial"/>
                <w:bCs/>
                <w:kern w:val="18"/>
                <w:sz w:val="20"/>
                <w:lang w:val="es-ES"/>
              </w:rPr>
              <w:t xml:space="preserve"> (MEER)</w:t>
            </w:r>
          </w:p>
          <w:p w14:paraId="298AE292" w14:textId="71701C7C" w:rsidR="00A9396C" w:rsidRPr="00496C0E" w:rsidRDefault="00A9396C" w:rsidP="006F274C">
            <w:pPr>
              <w:spacing w:before="60" w:after="60"/>
              <w:rPr>
                <w:rFonts w:ascii="Arial" w:hAnsi="Arial"/>
                <w:sz w:val="20"/>
              </w:rPr>
            </w:pPr>
          </w:p>
        </w:tc>
        <w:tc>
          <w:tcPr>
            <w:tcW w:w="2340" w:type="dxa"/>
            <w:shd w:val="clear" w:color="auto" w:fill="auto"/>
          </w:tcPr>
          <w:p w14:paraId="0F6390FB" w14:textId="5B6D3B12" w:rsidR="00EF7987" w:rsidRPr="00496C0E" w:rsidRDefault="008263A6" w:rsidP="004F27EE">
            <w:pPr>
              <w:pStyle w:val="ListParagraph"/>
              <w:spacing w:before="60" w:after="60"/>
              <w:ind w:left="360"/>
              <w:rPr>
                <w:rFonts w:ascii="Arial" w:eastAsia="Arial" w:hAnsi="Arial"/>
                <w:sz w:val="20"/>
                <w:lang w:val="es-ES_tradnl"/>
              </w:rPr>
            </w:pPr>
            <w:r w:rsidRPr="00496C0E">
              <w:rPr>
                <w:rFonts w:ascii="Arial" w:eastAsia="Arial" w:hAnsi="Arial"/>
                <w:sz w:val="20"/>
                <w:lang w:val="es-ES"/>
              </w:rPr>
              <w:lastRenderedPageBreak/>
              <w:t>3.3</w:t>
            </w:r>
            <w:r w:rsidR="000E2E4A" w:rsidRPr="00496C0E">
              <w:rPr>
                <w:rFonts w:ascii="Arial" w:eastAsia="Arial" w:hAnsi="Arial"/>
                <w:sz w:val="20"/>
                <w:lang w:val="es-ES"/>
              </w:rPr>
              <w:t>.</w:t>
            </w:r>
            <w:r w:rsidR="009452ED" w:rsidRPr="00496C0E">
              <w:rPr>
                <w:rFonts w:ascii="Arial" w:eastAsia="Arial" w:hAnsi="Arial"/>
                <w:sz w:val="20"/>
                <w:lang w:val="es-ES"/>
              </w:rPr>
              <w:t xml:space="preserve"> Fe de presentación </w:t>
            </w:r>
            <w:r w:rsidR="005847FA" w:rsidRPr="00496C0E">
              <w:rPr>
                <w:rFonts w:ascii="Arial" w:eastAsia="Arial" w:hAnsi="Arial"/>
                <w:sz w:val="20"/>
                <w:lang w:val="es-ES"/>
              </w:rPr>
              <w:t xml:space="preserve">de </w:t>
            </w:r>
            <w:r w:rsidR="009452ED" w:rsidRPr="00496C0E">
              <w:rPr>
                <w:rFonts w:ascii="Arial" w:eastAsia="Arial" w:hAnsi="Arial"/>
                <w:sz w:val="20"/>
                <w:lang w:val="es-ES"/>
              </w:rPr>
              <w:t>la Propuesta de Ley</w:t>
            </w:r>
            <w:r w:rsidR="000E2E4A" w:rsidRPr="00496C0E">
              <w:rPr>
                <w:rFonts w:ascii="Arial" w:eastAsia="Arial" w:hAnsi="Arial"/>
                <w:sz w:val="20"/>
                <w:lang w:val="es-ES"/>
              </w:rPr>
              <w:t xml:space="preserve"> </w:t>
            </w:r>
            <w:r w:rsidR="009452ED" w:rsidRPr="00496C0E">
              <w:rPr>
                <w:rFonts w:ascii="Arial" w:eastAsia="Arial" w:hAnsi="Arial"/>
                <w:sz w:val="20"/>
                <w:lang w:val="es-ES"/>
              </w:rPr>
              <w:t>r</w:t>
            </w:r>
            <w:r w:rsidR="00EF7987" w:rsidRPr="00496C0E">
              <w:rPr>
                <w:rFonts w:ascii="Arial" w:eastAsia="Arial" w:hAnsi="Arial"/>
                <w:sz w:val="20"/>
                <w:lang w:val="es-ES"/>
              </w:rPr>
              <w:t>eforma</w:t>
            </w:r>
            <w:r w:rsidR="009452ED" w:rsidRPr="00496C0E">
              <w:rPr>
                <w:rFonts w:ascii="Arial" w:eastAsia="Arial" w:hAnsi="Arial"/>
                <w:sz w:val="20"/>
                <w:lang w:val="es-ES"/>
              </w:rPr>
              <w:t>toria</w:t>
            </w:r>
            <w:r w:rsidR="00EF7987" w:rsidRPr="00496C0E">
              <w:rPr>
                <w:rFonts w:ascii="Arial" w:eastAsia="Arial" w:hAnsi="Arial"/>
                <w:sz w:val="20"/>
                <w:lang w:val="es-ES"/>
              </w:rPr>
              <w:t xml:space="preserve"> de la Ley Orgánica de Empresas Públicas (LOEP), Registro Oficial 48 Suplemento de 16 de octubre de 2009 de la República del Ecuador</w:t>
            </w:r>
            <w:r w:rsidR="005847FA" w:rsidRPr="00496C0E">
              <w:rPr>
                <w:rFonts w:ascii="Arial" w:eastAsia="Arial" w:hAnsi="Arial"/>
                <w:sz w:val="20"/>
                <w:lang w:val="es-ES"/>
              </w:rPr>
              <w:t>, a la AN.</w:t>
            </w:r>
            <w:r w:rsidR="00EF7987" w:rsidRPr="00496C0E">
              <w:rPr>
                <w:rFonts w:ascii="Arial" w:eastAsia="Arial" w:hAnsi="Arial"/>
                <w:sz w:val="20"/>
                <w:lang w:val="es-ES"/>
              </w:rPr>
              <w:t xml:space="preserve"> </w:t>
            </w:r>
          </w:p>
          <w:p w14:paraId="7F376335" w14:textId="0AE5F4BF" w:rsidR="00EF7987" w:rsidRPr="00496C0E" w:rsidRDefault="00EF7987" w:rsidP="006F274C">
            <w:pPr>
              <w:spacing w:before="20"/>
              <w:rPr>
                <w:rFonts w:ascii="Arial" w:hAnsi="Arial"/>
                <w:sz w:val="20"/>
              </w:rPr>
            </w:pPr>
          </w:p>
          <w:p w14:paraId="32EB0D0B" w14:textId="7E6027AC" w:rsidR="00EF7987" w:rsidRPr="00496C0E" w:rsidRDefault="00EF7987" w:rsidP="006F274C">
            <w:pPr>
              <w:spacing w:before="20"/>
              <w:rPr>
                <w:rFonts w:ascii="Arial" w:hAnsi="Arial"/>
                <w:sz w:val="20"/>
              </w:rPr>
            </w:pPr>
          </w:p>
          <w:p w14:paraId="49DEF908" w14:textId="0A047204" w:rsidR="00EF7987" w:rsidRPr="00496C0E" w:rsidRDefault="00EF7987" w:rsidP="006F274C">
            <w:pPr>
              <w:spacing w:before="20"/>
              <w:rPr>
                <w:rFonts w:ascii="Arial" w:hAnsi="Arial"/>
                <w:sz w:val="20"/>
              </w:rPr>
            </w:pPr>
          </w:p>
          <w:p w14:paraId="6796A937" w14:textId="19E691CD" w:rsidR="00EF7987" w:rsidRPr="00496C0E" w:rsidRDefault="00EF7987" w:rsidP="006F274C">
            <w:pPr>
              <w:spacing w:before="20"/>
              <w:rPr>
                <w:rFonts w:ascii="Arial" w:hAnsi="Arial"/>
                <w:sz w:val="20"/>
              </w:rPr>
            </w:pPr>
          </w:p>
          <w:p w14:paraId="3D7431C0" w14:textId="2DA56925" w:rsidR="00EF7987" w:rsidRPr="00496C0E" w:rsidRDefault="00EF7987" w:rsidP="006F274C">
            <w:pPr>
              <w:spacing w:before="20"/>
              <w:rPr>
                <w:rFonts w:ascii="Arial" w:hAnsi="Arial"/>
                <w:sz w:val="20"/>
              </w:rPr>
            </w:pPr>
          </w:p>
          <w:p w14:paraId="3DBF747A" w14:textId="74E44376" w:rsidR="00EF7987" w:rsidRPr="00496C0E" w:rsidRDefault="00EF7987" w:rsidP="006F274C">
            <w:pPr>
              <w:spacing w:before="20"/>
              <w:rPr>
                <w:rFonts w:ascii="Arial" w:hAnsi="Arial"/>
                <w:sz w:val="20"/>
              </w:rPr>
            </w:pPr>
          </w:p>
          <w:p w14:paraId="73FCE938" w14:textId="488C0427" w:rsidR="00EF7987" w:rsidRPr="00496C0E" w:rsidRDefault="00EF7987" w:rsidP="006F274C">
            <w:pPr>
              <w:spacing w:before="20"/>
              <w:rPr>
                <w:rFonts w:ascii="Arial" w:hAnsi="Arial"/>
                <w:sz w:val="20"/>
              </w:rPr>
            </w:pPr>
          </w:p>
          <w:p w14:paraId="3E881AEB" w14:textId="067D7F8B" w:rsidR="00EF7987" w:rsidRPr="00496C0E" w:rsidRDefault="00EF7987" w:rsidP="006F274C">
            <w:pPr>
              <w:spacing w:before="20"/>
              <w:rPr>
                <w:rFonts w:ascii="Arial" w:hAnsi="Arial"/>
                <w:sz w:val="20"/>
              </w:rPr>
            </w:pPr>
          </w:p>
          <w:p w14:paraId="1792A6A1" w14:textId="700F2BA1" w:rsidR="00EF7987" w:rsidRPr="00496C0E" w:rsidRDefault="00EF7987" w:rsidP="006F274C">
            <w:pPr>
              <w:spacing w:before="20"/>
              <w:rPr>
                <w:rFonts w:ascii="Arial" w:hAnsi="Arial"/>
                <w:sz w:val="20"/>
              </w:rPr>
            </w:pPr>
          </w:p>
          <w:p w14:paraId="1109A1B9" w14:textId="398DEEC7" w:rsidR="00EF7987" w:rsidRPr="00496C0E" w:rsidRDefault="00EF7987" w:rsidP="006F274C">
            <w:pPr>
              <w:spacing w:before="20"/>
              <w:rPr>
                <w:rFonts w:ascii="Arial" w:hAnsi="Arial"/>
                <w:sz w:val="20"/>
              </w:rPr>
            </w:pPr>
          </w:p>
          <w:p w14:paraId="150E2774" w14:textId="5B0C5AD7" w:rsidR="00EF7987" w:rsidRPr="00496C0E" w:rsidRDefault="00EF7987" w:rsidP="006F274C">
            <w:pPr>
              <w:spacing w:before="20"/>
              <w:rPr>
                <w:rFonts w:ascii="Arial" w:hAnsi="Arial"/>
                <w:sz w:val="20"/>
              </w:rPr>
            </w:pPr>
          </w:p>
          <w:p w14:paraId="0405D1CF" w14:textId="6E4EB4A8" w:rsidR="00EF7987" w:rsidRPr="00496C0E" w:rsidRDefault="00EF7987" w:rsidP="006F274C">
            <w:pPr>
              <w:spacing w:before="20"/>
              <w:rPr>
                <w:rFonts w:ascii="Arial" w:hAnsi="Arial"/>
                <w:sz w:val="20"/>
              </w:rPr>
            </w:pPr>
          </w:p>
          <w:p w14:paraId="5CE947DB" w14:textId="77777777" w:rsidR="00EF7987" w:rsidRPr="00496C0E" w:rsidRDefault="00EF7987" w:rsidP="006F274C">
            <w:pPr>
              <w:spacing w:before="20"/>
              <w:rPr>
                <w:rFonts w:ascii="Arial" w:hAnsi="Arial"/>
                <w:sz w:val="20"/>
              </w:rPr>
            </w:pPr>
          </w:p>
          <w:p w14:paraId="273AE250" w14:textId="3F25DE58" w:rsidR="008263A6" w:rsidRPr="00496C0E" w:rsidRDefault="00EF7987" w:rsidP="004F27EE">
            <w:pPr>
              <w:spacing w:before="60" w:after="60" w:line="240" w:lineRule="auto"/>
              <w:ind w:left="346" w:hanging="346"/>
              <w:rPr>
                <w:rFonts w:ascii="Arial" w:hAnsi="Arial"/>
                <w:sz w:val="20"/>
              </w:rPr>
            </w:pPr>
            <w:r w:rsidRPr="00496C0E">
              <w:rPr>
                <w:rFonts w:ascii="Arial" w:hAnsi="Arial"/>
                <w:sz w:val="20"/>
              </w:rPr>
              <w:t>3.4</w:t>
            </w:r>
            <w:r w:rsidR="002F3940" w:rsidRPr="00496C0E">
              <w:rPr>
                <w:rFonts w:ascii="Arial" w:hAnsi="Arial"/>
                <w:sz w:val="20"/>
              </w:rPr>
              <w:t>.</w:t>
            </w:r>
            <w:r w:rsidRPr="00496C0E">
              <w:rPr>
                <w:rFonts w:ascii="Arial" w:hAnsi="Arial"/>
                <w:sz w:val="20"/>
              </w:rPr>
              <w:t xml:space="preserve"> </w:t>
            </w:r>
            <w:r w:rsidR="00A9396C" w:rsidRPr="00496C0E">
              <w:rPr>
                <w:rFonts w:ascii="Arial" w:hAnsi="Arial"/>
                <w:sz w:val="20"/>
              </w:rPr>
              <w:t>Acuerdo ministerial Nº 100 del 9 de agosto de 2018 del Ministro de Economía y Finanzas para expedir la norma técnica para reglar la elaboración y aprobación de los presupuestos de las Empresas Públicas de la función ejecutiva, que deja sin efecto los Acuerdos ministeriales Nº 382 de 30 de diciembre de 2014, Nº 329 de 30 de noviembre de 2015, Nº 109 de 14 de junio de 2016.</w:t>
            </w:r>
          </w:p>
          <w:p w14:paraId="62133009" w14:textId="77777777" w:rsidR="002F3940" w:rsidRPr="00496C0E" w:rsidRDefault="002F3940" w:rsidP="0096040B">
            <w:pPr>
              <w:spacing w:before="20"/>
              <w:rPr>
                <w:rFonts w:ascii="Arial" w:hAnsi="Arial"/>
                <w:sz w:val="20"/>
              </w:rPr>
            </w:pPr>
          </w:p>
          <w:p w14:paraId="4FCF4E7F" w14:textId="5E6507B1" w:rsidR="008263A6" w:rsidRPr="00496C0E" w:rsidRDefault="00A9396C" w:rsidP="0096040B">
            <w:pPr>
              <w:spacing w:before="20"/>
              <w:rPr>
                <w:rFonts w:ascii="Arial" w:hAnsi="Arial"/>
                <w:sz w:val="20"/>
              </w:rPr>
            </w:pPr>
            <w:r w:rsidRPr="00496C0E">
              <w:rPr>
                <w:rFonts w:ascii="Arial" w:hAnsi="Arial"/>
                <w:sz w:val="20"/>
              </w:rPr>
              <w:t xml:space="preserve">Informe técnico Nº 181 del 15 de octubre de 2018 de la Dirección Nacional de Empresas Públicas de la subsecretaria de Relaciones Fiscales del MEF para la Proformas Presupuestarias 2019 de las Empresas </w:t>
            </w:r>
            <w:r w:rsidRPr="00496C0E">
              <w:rPr>
                <w:rFonts w:ascii="Arial" w:hAnsi="Arial"/>
                <w:sz w:val="20"/>
              </w:rPr>
              <w:lastRenderedPageBreak/>
              <w:t>Públicas de la función ejecutiva.</w:t>
            </w:r>
          </w:p>
          <w:p w14:paraId="0155B4E9" w14:textId="77777777" w:rsidR="00A9396C" w:rsidRPr="00496C0E" w:rsidRDefault="008263A6" w:rsidP="004F27EE">
            <w:pPr>
              <w:spacing w:before="60" w:after="60" w:line="240" w:lineRule="auto"/>
              <w:ind w:left="346" w:hanging="346"/>
              <w:rPr>
                <w:rFonts w:ascii="Arial" w:hAnsi="Arial"/>
                <w:sz w:val="20"/>
              </w:rPr>
            </w:pPr>
            <w:r w:rsidRPr="00496C0E">
              <w:rPr>
                <w:rFonts w:ascii="Arial" w:hAnsi="Arial"/>
                <w:sz w:val="20"/>
              </w:rPr>
              <w:t>3.</w:t>
            </w:r>
            <w:r w:rsidR="000E2E4A" w:rsidRPr="00496C0E">
              <w:rPr>
                <w:rFonts w:ascii="Arial" w:hAnsi="Arial"/>
                <w:sz w:val="20"/>
              </w:rPr>
              <w:t>5</w:t>
            </w:r>
            <w:r w:rsidRPr="00496C0E">
              <w:rPr>
                <w:rFonts w:ascii="Arial" w:hAnsi="Arial"/>
                <w:sz w:val="20"/>
              </w:rPr>
              <w:t xml:space="preserve">. </w:t>
            </w:r>
            <w:r w:rsidR="00E46FD8" w:rsidRPr="00496C0E">
              <w:rPr>
                <w:rFonts w:ascii="Arial" w:hAnsi="Arial"/>
                <w:sz w:val="20"/>
              </w:rPr>
              <w:t>Disposición - Optimización Gasto Público, publicada por EMCO, Oficio Nro. EMCOEP-EMCOEP-2019-0013-O del 6 de febrero de 2019.</w:t>
            </w:r>
            <w:r w:rsidR="00DE7700" w:rsidRPr="00496C0E">
              <w:rPr>
                <w:rFonts w:ascii="Arial" w:hAnsi="Arial"/>
                <w:sz w:val="20"/>
              </w:rPr>
              <w:t xml:space="preserve"> </w:t>
            </w:r>
          </w:p>
          <w:p w14:paraId="298AE293" w14:textId="23FA3E61" w:rsidR="0077435F" w:rsidRPr="00496C0E" w:rsidRDefault="0077435F" w:rsidP="004F27EE">
            <w:pPr>
              <w:spacing w:before="60" w:after="60" w:line="240" w:lineRule="auto"/>
              <w:ind w:left="346" w:hanging="346"/>
              <w:rPr>
                <w:rFonts w:ascii="Arial" w:hAnsi="Arial"/>
                <w:sz w:val="20"/>
              </w:rPr>
            </w:pPr>
            <w:r w:rsidRPr="00496C0E">
              <w:rPr>
                <w:rFonts w:ascii="Arial" w:hAnsi="Arial"/>
                <w:sz w:val="20"/>
                <w:lang w:val="es-ES_tradnl"/>
              </w:rPr>
              <w:t xml:space="preserve">3.6 </w:t>
            </w:r>
            <w:bookmarkStart w:id="2" w:name="_Hlk11055596"/>
            <w:bookmarkStart w:id="3" w:name="OLE_LINK1"/>
            <w:r w:rsidRPr="00496C0E">
              <w:rPr>
                <w:rFonts w:ascii="Arial" w:hAnsi="Arial"/>
                <w:sz w:val="20"/>
                <w:lang w:val="es-ES_tradnl"/>
              </w:rPr>
              <w:t xml:space="preserve">Decreto </w:t>
            </w:r>
            <w:r w:rsidRPr="00496C0E">
              <w:rPr>
                <w:rFonts w:ascii="Arial" w:hAnsi="Arial"/>
                <w:sz w:val="20"/>
              </w:rPr>
              <w:t>Nº</w:t>
            </w:r>
            <w:r w:rsidRPr="00496C0E">
              <w:rPr>
                <w:rFonts w:ascii="Arial" w:hAnsi="Arial"/>
                <w:sz w:val="20"/>
                <w:lang w:val="es-ES_tradnl"/>
              </w:rPr>
              <w:t xml:space="preserve"> 723 del 24 de abril de 2019, que dispone la</w:t>
            </w:r>
            <w:r w:rsidRPr="00496C0E">
              <w:rPr>
                <w:rFonts w:ascii="Arial" w:hAnsi="Arial"/>
                <w:sz w:val="20"/>
              </w:rPr>
              <w:t xml:space="preserve"> fusión de Petroecuador y Petroamazonas</w:t>
            </w:r>
            <w:bookmarkEnd w:id="2"/>
            <w:bookmarkEnd w:id="3"/>
            <w:r w:rsidRPr="00496C0E">
              <w:rPr>
                <w:rFonts w:ascii="Arial" w:hAnsi="Arial"/>
                <w:sz w:val="20"/>
              </w:rPr>
              <w:t>.</w:t>
            </w:r>
          </w:p>
        </w:tc>
        <w:tc>
          <w:tcPr>
            <w:tcW w:w="3330" w:type="dxa"/>
          </w:tcPr>
          <w:p w14:paraId="3A6A27D4" w14:textId="20433E56" w:rsidR="00A9396C" w:rsidRPr="00496C0E" w:rsidRDefault="00D40B54" w:rsidP="004F27EE">
            <w:pPr>
              <w:spacing w:before="60" w:after="60" w:line="240" w:lineRule="auto"/>
              <w:ind w:left="346" w:hanging="346"/>
              <w:rPr>
                <w:rFonts w:ascii="Arial" w:hAnsi="Arial"/>
                <w:sz w:val="20"/>
                <w:lang w:val="es-ES_tradnl"/>
              </w:rPr>
            </w:pPr>
            <w:bookmarkStart w:id="4" w:name="_Hlk2778564"/>
            <w:r w:rsidRPr="00496C0E">
              <w:rPr>
                <w:rFonts w:ascii="Arial" w:hAnsi="Arial"/>
                <w:sz w:val="20"/>
                <w:lang w:val="es-ES_tradnl"/>
              </w:rPr>
              <w:lastRenderedPageBreak/>
              <w:t>3.3</w:t>
            </w:r>
            <w:bookmarkEnd w:id="4"/>
            <w:r w:rsidR="00A20577" w:rsidRPr="00496C0E">
              <w:rPr>
                <w:rFonts w:ascii="Arial" w:hAnsi="Arial"/>
                <w:sz w:val="20"/>
                <w:lang w:val="es-ES_tradnl"/>
              </w:rPr>
              <w:t xml:space="preserve"> </w:t>
            </w:r>
            <w:r w:rsidR="009452ED" w:rsidRPr="00496C0E">
              <w:rPr>
                <w:rFonts w:ascii="Arial" w:hAnsi="Arial"/>
                <w:sz w:val="20"/>
                <w:lang w:val="es-ES_tradnl"/>
              </w:rPr>
              <w:t>Fortalecimiento de la g</w:t>
            </w:r>
            <w:r w:rsidR="00A20577" w:rsidRPr="00496C0E">
              <w:rPr>
                <w:rFonts w:ascii="Arial" w:hAnsi="Arial"/>
                <w:sz w:val="20"/>
                <w:lang w:val="es-ES_tradnl"/>
              </w:rPr>
              <w:t>estión y control del Estado sobre las Empresas Públicas (</w:t>
            </w:r>
            <w:r w:rsidR="00A20577" w:rsidRPr="00BD61E6">
              <w:rPr>
                <w:rFonts w:ascii="Arial" w:hAnsi="Arial" w:cs="Arial"/>
                <w:sz w:val="20"/>
                <w:szCs w:val="20"/>
                <w:lang w:val="es-ES_tradnl"/>
              </w:rPr>
              <w:t>EEPP)</w:t>
            </w:r>
            <w:r w:rsidR="00A20577" w:rsidRPr="00496C0E">
              <w:rPr>
                <w:rFonts w:ascii="Arial" w:hAnsi="Arial"/>
                <w:sz w:val="20"/>
                <w:lang w:val="es-ES_tradnl"/>
              </w:rPr>
              <w:t xml:space="preserve"> de la función ejecutiva a través de mejoras al marco institucional, operativo y fiscal, incluyendo</w:t>
            </w:r>
            <w:r w:rsidR="004A06A2" w:rsidRPr="00496C0E">
              <w:rPr>
                <w:rFonts w:ascii="Arial" w:hAnsi="Arial"/>
                <w:sz w:val="20"/>
                <w:lang w:val="es-ES_tradnl"/>
              </w:rPr>
              <w:t xml:space="preserve"> </w:t>
            </w:r>
            <w:r w:rsidR="004A06A2">
              <w:rPr>
                <w:rFonts w:ascii="Arial" w:hAnsi="Arial" w:cs="Arial"/>
                <w:sz w:val="20"/>
                <w:szCs w:val="20"/>
                <w:lang w:val="es-ES_tradnl"/>
              </w:rPr>
              <w:t xml:space="preserve">el </w:t>
            </w:r>
            <w:r w:rsidR="007C270D">
              <w:rPr>
                <w:rFonts w:ascii="Arial" w:hAnsi="Arial" w:cs="Arial"/>
                <w:sz w:val="20"/>
                <w:szCs w:val="20"/>
                <w:lang w:val="es-ES_tradnl"/>
              </w:rPr>
              <w:t xml:space="preserve">envío a Presidencia del </w:t>
            </w:r>
            <w:r w:rsidR="004A06A2">
              <w:rPr>
                <w:rFonts w:ascii="Arial" w:hAnsi="Arial" w:cs="Arial"/>
                <w:sz w:val="20"/>
                <w:szCs w:val="20"/>
                <w:lang w:val="es-ES_tradnl"/>
              </w:rPr>
              <w:t>proyecto de</w:t>
            </w:r>
            <w:r w:rsidR="00A20577" w:rsidRPr="00BD61E6">
              <w:rPr>
                <w:rFonts w:ascii="Arial" w:hAnsi="Arial" w:cs="Arial"/>
                <w:sz w:val="20"/>
                <w:szCs w:val="20"/>
                <w:lang w:val="es-ES_tradnl"/>
              </w:rPr>
              <w:t xml:space="preserve"> reglament</w:t>
            </w:r>
            <w:r w:rsidR="004A06A2">
              <w:rPr>
                <w:rFonts w:ascii="Arial" w:hAnsi="Arial" w:cs="Arial"/>
                <w:sz w:val="20"/>
                <w:szCs w:val="20"/>
                <w:lang w:val="es-ES_tradnl"/>
              </w:rPr>
              <w:t>o</w:t>
            </w:r>
            <w:r w:rsidR="00A20577" w:rsidRPr="00BD61E6">
              <w:rPr>
                <w:rFonts w:ascii="Arial" w:hAnsi="Arial" w:cs="Arial"/>
                <w:sz w:val="20"/>
                <w:szCs w:val="20"/>
                <w:lang w:val="es-ES_tradnl"/>
              </w:rPr>
              <w:t xml:space="preserve"> de </w:t>
            </w:r>
            <w:r w:rsidR="007C270D">
              <w:rPr>
                <w:rFonts w:ascii="Arial" w:hAnsi="Arial" w:cs="Arial"/>
                <w:sz w:val="20"/>
                <w:szCs w:val="20"/>
                <w:lang w:val="es-ES_tradnl"/>
              </w:rPr>
              <w:t xml:space="preserve">la </w:t>
            </w:r>
            <w:r w:rsidR="004A06A2">
              <w:rPr>
                <w:rFonts w:ascii="Arial" w:hAnsi="Arial" w:cs="Arial"/>
                <w:sz w:val="20"/>
                <w:szCs w:val="20"/>
                <w:lang w:val="es-ES_tradnl"/>
              </w:rPr>
              <w:t>LOEP</w:t>
            </w:r>
            <w:r w:rsidR="00074E98" w:rsidRPr="00496C0E">
              <w:rPr>
                <w:rFonts w:ascii="Arial" w:hAnsi="Arial"/>
                <w:sz w:val="20"/>
                <w:lang w:val="es-ES_tradnl"/>
              </w:rPr>
              <w:t xml:space="preserve"> y la aprobación de regulación requiriendo la publicación de los estados financieros auditados de las </w:t>
            </w:r>
            <w:r w:rsidR="00074E98" w:rsidRPr="00BD61E6">
              <w:rPr>
                <w:rFonts w:ascii="Arial" w:hAnsi="Arial" w:cs="Arial"/>
                <w:sz w:val="20"/>
                <w:szCs w:val="20"/>
                <w:lang w:val="es-ES_tradnl"/>
              </w:rPr>
              <w:t>EEPP</w:t>
            </w:r>
            <w:r w:rsidR="00074E98" w:rsidRPr="00496C0E">
              <w:rPr>
                <w:rFonts w:ascii="Arial" w:hAnsi="Arial"/>
                <w:sz w:val="20"/>
                <w:lang w:val="es-ES_tradnl"/>
              </w:rPr>
              <w:t xml:space="preserve"> empezando con el año fiscal 2019.</w:t>
            </w:r>
          </w:p>
          <w:p w14:paraId="65AD208B" w14:textId="06B20634" w:rsidR="004C4782" w:rsidRPr="00496C0E" w:rsidRDefault="004C4782" w:rsidP="004F27EE">
            <w:pPr>
              <w:spacing w:before="60" w:after="60" w:line="240" w:lineRule="auto"/>
              <w:ind w:left="346" w:hanging="346"/>
              <w:rPr>
                <w:rFonts w:ascii="Arial" w:hAnsi="Arial"/>
                <w:sz w:val="20"/>
                <w:lang w:val="es-ES_tradnl"/>
              </w:rPr>
            </w:pPr>
            <w:r w:rsidRPr="00496C0E">
              <w:rPr>
                <w:rFonts w:ascii="Arial" w:hAnsi="Arial"/>
                <w:sz w:val="20"/>
                <w:lang w:val="es-ES_tradnl"/>
              </w:rPr>
              <w:t>3.4</w:t>
            </w:r>
            <w:r w:rsidR="00A20577" w:rsidRPr="00496C0E">
              <w:rPr>
                <w:rFonts w:ascii="Arial" w:hAnsi="Arial"/>
                <w:sz w:val="20"/>
                <w:lang w:val="es-ES_tradnl"/>
              </w:rPr>
              <w:t xml:space="preserve"> </w:t>
            </w:r>
            <w:r w:rsidR="005E000E" w:rsidRPr="00496C0E">
              <w:rPr>
                <w:rFonts w:ascii="Arial" w:hAnsi="Arial"/>
                <w:sz w:val="20"/>
                <w:lang w:val="es-ES_tradnl"/>
              </w:rPr>
              <w:t>R</w:t>
            </w:r>
            <w:r w:rsidR="00A20577" w:rsidRPr="00496C0E">
              <w:rPr>
                <w:rFonts w:ascii="Arial" w:hAnsi="Arial"/>
                <w:sz w:val="20"/>
                <w:lang w:val="es-ES_tradnl"/>
              </w:rPr>
              <w:t xml:space="preserve">eformas al proceso de asignación </w:t>
            </w:r>
            <w:r w:rsidR="008A6734" w:rsidRPr="00496C0E">
              <w:rPr>
                <w:rFonts w:ascii="Arial" w:hAnsi="Arial"/>
                <w:sz w:val="20"/>
                <w:lang w:val="es-ES_tradnl"/>
              </w:rPr>
              <w:t xml:space="preserve">de </w:t>
            </w:r>
            <w:r w:rsidR="008A6734">
              <w:rPr>
                <w:rFonts w:ascii="Arial" w:hAnsi="Arial" w:cs="Arial"/>
                <w:sz w:val="20"/>
                <w:szCs w:val="20"/>
                <w:lang w:val="es-ES_tradnl"/>
              </w:rPr>
              <w:t xml:space="preserve">recursos </w:t>
            </w:r>
            <w:r w:rsidR="00A20577" w:rsidRPr="00BD61E6">
              <w:rPr>
                <w:rFonts w:ascii="Arial" w:hAnsi="Arial" w:cs="Arial"/>
                <w:sz w:val="20"/>
                <w:szCs w:val="20"/>
                <w:lang w:val="es-ES_tradnl"/>
              </w:rPr>
              <w:t>de</w:t>
            </w:r>
            <w:r w:rsidR="00DE15B2">
              <w:rPr>
                <w:rFonts w:ascii="Arial" w:hAnsi="Arial" w:cs="Arial"/>
                <w:sz w:val="20"/>
                <w:szCs w:val="20"/>
                <w:lang w:val="es-ES_tradnl"/>
              </w:rPr>
              <w:t>l</w:t>
            </w:r>
            <w:r w:rsidR="00A20577" w:rsidRPr="00496C0E">
              <w:rPr>
                <w:rFonts w:ascii="Arial" w:hAnsi="Arial"/>
                <w:sz w:val="20"/>
                <w:lang w:val="es-ES_tradnl"/>
              </w:rPr>
              <w:t xml:space="preserve"> </w:t>
            </w:r>
            <w:r w:rsidR="005E000E" w:rsidRPr="00496C0E">
              <w:rPr>
                <w:rFonts w:ascii="Arial" w:hAnsi="Arial"/>
                <w:sz w:val="20"/>
                <w:lang w:val="es-ES_tradnl"/>
              </w:rPr>
              <w:t>PGE</w:t>
            </w:r>
            <w:r w:rsidR="00DE15B2">
              <w:rPr>
                <w:rFonts w:ascii="Arial" w:hAnsi="Arial" w:cs="Arial"/>
                <w:sz w:val="20"/>
                <w:szCs w:val="20"/>
                <w:lang w:val="es-ES_tradnl"/>
              </w:rPr>
              <w:t xml:space="preserve"> a las EEPP</w:t>
            </w:r>
            <w:r w:rsidR="00A20577" w:rsidRPr="00496C0E">
              <w:rPr>
                <w:rFonts w:ascii="Arial" w:hAnsi="Arial"/>
                <w:sz w:val="20"/>
                <w:lang w:val="es-ES_tradnl"/>
              </w:rPr>
              <w:t xml:space="preserve">, incluyendo la preparación de los presupuestos </w:t>
            </w:r>
            <w:r w:rsidR="00DE15B2">
              <w:rPr>
                <w:rFonts w:ascii="Arial" w:hAnsi="Arial" w:cs="Arial"/>
                <w:sz w:val="20"/>
                <w:szCs w:val="20"/>
                <w:lang w:val="es-ES_tradnl"/>
              </w:rPr>
              <w:t>institucionales de las EEPP</w:t>
            </w:r>
            <w:r w:rsidR="00DE15B2" w:rsidRPr="00496C0E">
              <w:rPr>
                <w:rFonts w:ascii="Arial" w:hAnsi="Arial"/>
                <w:sz w:val="20"/>
                <w:lang w:val="es-ES_tradnl"/>
              </w:rPr>
              <w:t xml:space="preserve"> en</w:t>
            </w:r>
            <w:r w:rsidR="00A20577" w:rsidRPr="00496C0E">
              <w:rPr>
                <w:rFonts w:ascii="Arial" w:hAnsi="Arial"/>
                <w:sz w:val="20"/>
                <w:lang w:val="es-ES_tradnl"/>
              </w:rPr>
              <w:t xml:space="preserve"> 2020 de acuerdo las reformas normativas efectuadas</w:t>
            </w:r>
            <w:r w:rsidR="00CA5E01" w:rsidRPr="00496C0E">
              <w:rPr>
                <w:rFonts w:ascii="Arial" w:hAnsi="Arial"/>
                <w:sz w:val="20"/>
                <w:lang w:val="es-ES_tradnl"/>
              </w:rPr>
              <w:t xml:space="preserve">. </w:t>
            </w:r>
          </w:p>
          <w:p w14:paraId="4A0AB67E" w14:textId="1404A5E6" w:rsidR="00CA5E01" w:rsidRPr="00496C0E" w:rsidRDefault="004C4782" w:rsidP="004F27EE">
            <w:pPr>
              <w:spacing w:before="60" w:after="60" w:line="240" w:lineRule="auto"/>
              <w:ind w:left="346" w:hanging="346"/>
              <w:rPr>
                <w:rFonts w:ascii="Arial" w:hAnsi="Arial"/>
                <w:sz w:val="20"/>
                <w:lang w:val="es-ES_tradnl"/>
              </w:rPr>
            </w:pPr>
            <w:r w:rsidRPr="00496C0E">
              <w:rPr>
                <w:rFonts w:ascii="Arial" w:hAnsi="Arial"/>
                <w:sz w:val="20"/>
                <w:lang w:val="es-ES_tradnl"/>
              </w:rPr>
              <w:t>3.5</w:t>
            </w:r>
            <w:r w:rsidR="00E65DFC" w:rsidRPr="00496C0E">
              <w:rPr>
                <w:rFonts w:ascii="Arial" w:hAnsi="Arial"/>
                <w:sz w:val="20"/>
                <w:lang w:val="es-ES_tradnl"/>
              </w:rPr>
              <w:t xml:space="preserve"> </w:t>
            </w:r>
            <w:r w:rsidR="00FA246D" w:rsidRPr="00496C0E">
              <w:rPr>
                <w:rFonts w:ascii="Arial" w:hAnsi="Arial"/>
                <w:sz w:val="20"/>
                <w:lang w:val="es-ES_tradnl"/>
              </w:rPr>
              <w:t>Reducción de la c</w:t>
            </w:r>
            <w:r w:rsidR="00A20577" w:rsidRPr="00496C0E">
              <w:rPr>
                <w:rFonts w:ascii="Arial" w:hAnsi="Arial"/>
                <w:sz w:val="20"/>
                <w:lang w:val="es-ES_tradnl"/>
              </w:rPr>
              <w:t xml:space="preserve">arga fiscal para el Estado derivada de la gestión de </w:t>
            </w:r>
            <w:r w:rsidR="00A20577" w:rsidRPr="00BD61E6">
              <w:rPr>
                <w:rFonts w:ascii="Arial" w:hAnsi="Arial" w:cs="Arial"/>
                <w:sz w:val="20"/>
                <w:szCs w:val="20"/>
                <w:lang w:val="es-ES_tradnl"/>
              </w:rPr>
              <w:t>EEPP,</w:t>
            </w:r>
            <w:r w:rsidR="00A20577" w:rsidRPr="00496C0E">
              <w:rPr>
                <w:rFonts w:ascii="Arial" w:hAnsi="Arial"/>
                <w:sz w:val="20"/>
                <w:lang w:val="es-ES_tradnl"/>
              </w:rPr>
              <w:t xml:space="preserve"> mediante: i) la implementación de un recorte del 10% a la masa salarial de las </w:t>
            </w:r>
            <w:r w:rsidR="00A20577" w:rsidRPr="00BD61E6">
              <w:rPr>
                <w:rFonts w:ascii="Arial" w:hAnsi="Arial" w:cs="Arial"/>
                <w:sz w:val="20"/>
                <w:szCs w:val="20"/>
                <w:lang w:val="es-ES_tradnl"/>
              </w:rPr>
              <w:t>EEPP</w:t>
            </w:r>
            <w:r w:rsidR="00A20577" w:rsidRPr="00496C0E">
              <w:rPr>
                <w:rFonts w:ascii="Arial" w:hAnsi="Arial"/>
                <w:sz w:val="20"/>
                <w:lang w:val="es-ES_tradnl"/>
              </w:rPr>
              <w:t xml:space="preserve">. de la función ejecutiva; </w:t>
            </w:r>
            <w:r w:rsidR="00074E98" w:rsidRPr="00496C0E">
              <w:rPr>
                <w:rFonts w:ascii="Arial" w:hAnsi="Arial"/>
                <w:sz w:val="20"/>
                <w:lang w:val="es-ES_tradnl"/>
              </w:rPr>
              <w:t xml:space="preserve">y </w:t>
            </w:r>
            <w:r w:rsidR="00A20577" w:rsidRPr="00496C0E">
              <w:rPr>
                <w:rFonts w:ascii="Arial" w:hAnsi="Arial"/>
                <w:sz w:val="20"/>
                <w:lang w:val="es-ES_tradnl"/>
              </w:rPr>
              <w:t xml:space="preserve">ii) la aprobación del proceso de liquidación de dos </w:t>
            </w:r>
            <w:r w:rsidR="00A20577" w:rsidRPr="00BD61E6">
              <w:rPr>
                <w:rFonts w:ascii="Arial" w:hAnsi="Arial" w:cs="Arial"/>
                <w:sz w:val="20"/>
                <w:szCs w:val="20"/>
                <w:lang w:val="es-ES_tradnl"/>
              </w:rPr>
              <w:t>EEPP</w:t>
            </w:r>
            <w:r w:rsidR="00A20577" w:rsidRPr="00496C0E">
              <w:rPr>
                <w:rFonts w:ascii="Arial" w:hAnsi="Arial"/>
                <w:sz w:val="20"/>
                <w:lang w:val="es-ES_tradnl"/>
              </w:rPr>
              <w:t>. de sectores no estratégicos con carácter mercantil</w:t>
            </w:r>
            <w:r w:rsidR="00CA5E01" w:rsidRPr="00496C0E">
              <w:rPr>
                <w:rFonts w:ascii="Arial" w:hAnsi="Arial"/>
                <w:sz w:val="20"/>
                <w:lang w:val="es-ES_tradnl"/>
              </w:rPr>
              <w:t>.</w:t>
            </w:r>
          </w:p>
          <w:p w14:paraId="6734C30E" w14:textId="115D1D75" w:rsidR="00A20577" w:rsidRPr="00496C0E" w:rsidRDefault="00A20577" w:rsidP="00244F52">
            <w:pPr>
              <w:spacing w:before="60" w:after="60"/>
              <w:ind w:left="342" w:hanging="342"/>
              <w:rPr>
                <w:rFonts w:ascii="Arial" w:hAnsi="Arial"/>
                <w:sz w:val="20"/>
                <w:lang w:val="es-ES_tradnl"/>
              </w:rPr>
            </w:pPr>
            <w:r w:rsidRPr="00496C0E">
              <w:rPr>
                <w:rFonts w:ascii="Arial" w:hAnsi="Arial"/>
                <w:sz w:val="20"/>
                <w:lang w:val="es-ES_tradnl"/>
              </w:rPr>
              <w:lastRenderedPageBreak/>
              <w:t>3.6</w:t>
            </w:r>
            <w:r w:rsidR="00331A4F" w:rsidRPr="00496C0E">
              <w:rPr>
                <w:rFonts w:ascii="Arial" w:hAnsi="Arial"/>
                <w:sz w:val="20"/>
                <w:lang w:val="es-ES_tradnl"/>
              </w:rPr>
              <w:t xml:space="preserve"> </w:t>
            </w:r>
            <w:r w:rsidR="00FA246D" w:rsidRPr="00496C0E">
              <w:rPr>
                <w:rFonts w:ascii="Arial" w:hAnsi="Arial"/>
                <w:sz w:val="20"/>
                <w:lang w:val="es-ES_tradnl"/>
              </w:rPr>
              <w:t xml:space="preserve">Inicio </w:t>
            </w:r>
            <w:r w:rsidR="00FA246D" w:rsidRPr="00496C0E">
              <w:rPr>
                <w:rFonts w:ascii="Arial" w:hAnsi="Arial"/>
                <w:sz w:val="20"/>
              </w:rPr>
              <w:t>d</w:t>
            </w:r>
            <w:r w:rsidR="002130A6" w:rsidRPr="00496C0E">
              <w:rPr>
                <w:rFonts w:ascii="Arial" w:hAnsi="Arial"/>
                <w:sz w:val="20"/>
              </w:rPr>
              <w:t>el p</w:t>
            </w:r>
            <w:r w:rsidR="00755BAA" w:rsidRPr="00496C0E">
              <w:rPr>
                <w:rFonts w:ascii="Arial" w:hAnsi="Arial"/>
                <w:sz w:val="20"/>
                <w:lang w:val="es-ES_tradnl"/>
              </w:rPr>
              <w:t>roceso de</w:t>
            </w:r>
            <w:r w:rsidR="00074E98" w:rsidRPr="00496C0E">
              <w:rPr>
                <w:rFonts w:ascii="Arial" w:hAnsi="Arial"/>
                <w:sz w:val="20"/>
                <w:lang w:val="es-ES_tradnl"/>
              </w:rPr>
              <w:t xml:space="preserve"> fusión de las empresas Petroamazonas y Petroecuador</w:t>
            </w:r>
            <w:r w:rsidR="00FA246D" w:rsidRPr="00496C0E">
              <w:rPr>
                <w:rFonts w:ascii="Arial" w:hAnsi="Arial"/>
                <w:sz w:val="20"/>
                <w:lang w:val="es-ES_tradnl"/>
              </w:rPr>
              <w:t xml:space="preserve"> a fin de mejorar la</w:t>
            </w:r>
            <w:r w:rsidR="00FA246D" w:rsidRPr="00496C0E">
              <w:rPr>
                <w:rFonts w:ascii="Arial" w:hAnsi="Arial"/>
                <w:sz w:val="20"/>
              </w:rPr>
              <w:t xml:space="preserve"> eficiencia del sector hidrocarburos</w:t>
            </w:r>
            <w:r w:rsidR="004F27EE">
              <w:rPr>
                <w:rFonts w:ascii="Arial" w:hAnsi="Arial" w:cs="Arial"/>
                <w:sz w:val="20"/>
                <w:szCs w:val="20"/>
                <w:lang w:val="es-ES_tradnl"/>
              </w:rPr>
              <w:t>.</w:t>
            </w:r>
          </w:p>
          <w:p w14:paraId="1D21D2C7" w14:textId="69BB1B14" w:rsidR="00A20577" w:rsidRPr="00496C0E" w:rsidRDefault="00A20577" w:rsidP="006F274C">
            <w:pPr>
              <w:spacing w:before="60" w:after="60"/>
              <w:ind w:left="344" w:hanging="344"/>
              <w:rPr>
                <w:rFonts w:ascii="Arial" w:hAnsi="Arial"/>
                <w:sz w:val="20"/>
                <w:lang w:val="es-ES_tradnl"/>
              </w:rPr>
            </w:pPr>
          </w:p>
        </w:tc>
        <w:tc>
          <w:tcPr>
            <w:tcW w:w="2340" w:type="dxa"/>
          </w:tcPr>
          <w:p w14:paraId="2EF31ACB" w14:textId="3C3FCE1F" w:rsidR="00A9396C" w:rsidRPr="00496C0E" w:rsidRDefault="004C4782" w:rsidP="00244F52">
            <w:pPr>
              <w:spacing w:before="20"/>
              <w:ind w:left="346" w:hanging="346"/>
              <w:rPr>
                <w:rFonts w:ascii="Arial" w:hAnsi="Arial"/>
                <w:sz w:val="20"/>
                <w:lang w:val="es-ES_tradnl"/>
              </w:rPr>
            </w:pPr>
            <w:r w:rsidRPr="00496C0E">
              <w:rPr>
                <w:rFonts w:ascii="Arial" w:hAnsi="Arial"/>
                <w:sz w:val="20"/>
                <w:lang w:val="es-ES_tradnl"/>
              </w:rPr>
              <w:lastRenderedPageBreak/>
              <w:t xml:space="preserve">3.3. </w:t>
            </w:r>
            <w:r w:rsidR="000A082F">
              <w:rPr>
                <w:rFonts w:ascii="Arial" w:hAnsi="Arial" w:cs="Arial"/>
                <w:sz w:val="20"/>
                <w:szCs w:val="20"/>
                <w:lang w:val="es-ES_tradnl"/>
              </w:rPr>
              <w:t xml:space="preserve">Proyecto de </w:t>
            </w:r>
            <w:r w:rsidR="00582E35" w:rsidRPr="00496C0E">
              <w:rPr>
                <w:rFonts w:ascii="Arial" w:hAnsi="Arial"/>
                <w:kern w:val="18"/>
                <w:sz w:val="20"/>
              </w:rPr>
              <w:t xml:space="preserve">Reglamento </w:t>
            </w:r>
            <w:r w:rsidRPr="00496C0E">
              <w:rPr>
                <w:rFonts w:ascii="Arial" w:hAnsi="Arial"/>
                <w:sz w:val="20"/>
                <w:lang w:val="es-ES_tradnl"/>
              </w:rPr>
              <w:t xml:space="preserve">de la </w:t>
            </w:r>
            <w:r w:rsidRPr="00496C0E">
              <w:rPr>
                <w:rFonts w:ascii="Arial" w:hAnsi="Arial"/>
                <w:sz w:val="20"/>
              </w:rPr>
              <w:t>LOEP</w:t>
            </w:r>
            <w:r w:rsidR="00582E35" w:rsidRPr="00496C0E">
              <w:rPr>
                <w:rFonts w:ascii="Arial" w:hAnsi="Arial"/>
                <w:sz w:val="20"/>
              </w:rPr>
              <w:t xml:space="preserve"> </w:t>
            </w:r>
            <w:r w:rsidR="000A082F">
              <w:rPr>
                <w:rFonts w:ascii="Arial" w:eastAsia="Arial" w:hAnsi="Arial" w:cs="Arial"/>
                <w:sz w:val="20"/>
                <w:szCs w:val="20"/>
              </w:rPr>
              <w:t>y copia de la f</w:t>
            </w:r>
            <w:r w:rsidR="000A082F" w:rsidRPr="00F00C19">
              <w:rPr>
                <w:rFonts w:ascii="Arial" w:eastAsia="Arial" w:hAnsi="Arial" w:cs="Arial"/>
                <w:sz w:val="20"/>
                <w:szCs w:val="20"/>
              </w:rPr>
              <w:t xml:space="preserve">e </w:t>
            </w:r>
            <w:r w:rsidR="000A082F">
              <w:rPr>
                <w:rFonts w:ascii="Arial" w:eastAsia="Arial" w:hAnsi="Arial" w:cs="Arial"/>
                <w:sz w:val="20"/>
                <w:szCs w:val="20"/>
              </w:rPr>
              <w:t xml:space="preserve">ante </w:t>
            </w:r>
            <w:r w:rsidR="000A082F" w:rsidRPr="00F00C19">
              <w:rPr>
                <w:rFonts w:ascii="Arial" w:hAnsi="Arial" w:cs="Arial"/>
                <w:bCs/>
                <w:kern w:val="18"/>
                <w:sz w:val="20"/>
                <w:szCs w:val="20"/>
              </w:rPr>
              <w:t xml:space="preserve">la </w:t>
            </w:r>
            <w:r w:rsidR="000A082F">
              <w:rPr>
                <w:rFonts w:ascii="Arial" w:hAnsi="Arial" w:cs="Arial"/>
                <w:bCs/>
                <w:kern w:val="18"/>
                <w:sz w:val="20"/>
                <w:szCs w:val="20"/>
              </w:rPr>
              <w:t>P</w:t>
            </w:r>
            <w:r w:rsidR="00DE15B2">
              <w:rPr>
                <w:rFonts w:ascii="Arial" w:eastAsia="Arial" w:hAnsi="Arial" w:cs="Arial"/>
                <w:sz w:val="20"/>
                <w:szCs w:val="20"/>
              </w:rPr>
              <w:t>residencia</w:t>
            </w:r>
            <w:r w:rsidR="00DE15B2" w:rsidRPr="00496C0E">
              <w:rPr>
                <w:rFonts w:ascii="Arial" w:hAnsi="Arial"/>
                <w:sz w:val="20"/>
              </w:rPr>
              <w:t xml:space="preserve"> </w:t>
            </w:r>
            <w:r w:rsidR="00331A4F" w:rsidRPr="00496C0E">
              <w:rPr>
                <w:rFonts w:ascii="Arial" w:hAnsi="Arial"/>
                <w:sz w:val="20"/>
                <w:lang w:val="es-ES_tradnl"/>
              </w:rPr>
              <w:t xml:space="preserve">y </w:t>
            </w:r>
            <w:r w:rsidR="0077435F" w:rsidRPr="00496C0E">
              <w:rPr>
                <w:rFonts w:ascii="Arial" w:hAnsi="Arial"/>
                <w:sz w:val="20"/>
                <w:lang w:val="es-ES_tradnl"/>
              </w:rPr>
              <w:t>regulación requiriendo la publicación de los estados financieros auditados de las EEPP aprobada</w:t>
            </w:r>
            <w:r w:rsidRPr="00496C0E">
              <w:rPr>
                <w:rFonts w:ascii="Arial" w:hAnsi="Arial"/>
                <w:sz w:val="20"/>
                <w:lang w:val="es-ES_tradnl"/>
              </w:rPr>
              <w:t>.</w:t>
            </w:r>
          </w:p>
          <w:p w14:paraId="193F51AB" w14:textId="77777777" w:rsidR="00DE15B2" w:rsidRPr="00496C0E" w:rsidRDefault="00DE15B2" w:rsidP="00496C0E">
            <w:pPr>
              <w:spacing w:before="20"/>
              <w:rPr>
                <w:rFonts w:ascii="Arial" w:hAnsi="Arial"/>
                <w:sz w:val="20"/>
              </w:rPr>
            </w:pPr>
          </w:p>
          <w:p w14:paraId="7A0457ED" w14:textId="2F36825C" w:rsidR="00582E35" w:rsidRPr="00496C0E" w:rsidRDefault="00582E35" w:rsidP="00244F52">
            <w:pPr>
              <w:spacing w:before="20"/>
              <w:ind w:left="346" w:hanging="346"/>
              <w:rPr>
                <w:rFonts w:ascii="Arial" w:hAnsi="Arial"/>
                <w:sz w:val="20"/>
                <w:lang w:val="es-ES_tradnl"/>
              </w:rPr>
            </w:pPr>
            <w:r w:rsidRPr="00496C0E">
              <w:rPr>
                <w:rFonts w:ascii="Arial" w:hAnsi="Arial"/>
                <w:sz w:val="20"/>
              </w:rPr>
              <w:t xml:space="preserve">3.4. </w:t>
            </w:r>
            <w:r w:rsidRPr="00496C0E">
              <w:rPr>
                <w:rFonts w:ascii="Arial" w:hAnsi="Arial"/>
                <w:sz w:val="20"/>
                <w:lang w:val="es-ES_tradnl"/>
              </w:rPr>
              <w:t>Presupuestos enviados</w:t>
            </w:r>
            <w:r w:rsidR="0077435F" w:rsidRPr="00496C0E">
              <w:rPr>
                <w:rFonts w:ascii="Arial" w:hAnsi="Arial"/>
                <w:sz w:val="20"/>
                <w:lang w:val="es-ES_tradnl"/>
              </w:rPr>
              <w:t xml:space="preserve"> a la AN, MEF</w:t>
            </w:r>
            <w:r w:rsidRPr="00496C0E">
              <w:rPr>
                <w:rFonts w:ascii="Arial" w:hAnsi="Arial"/>
                <w:sz w:val="20"/>
                <w:lang w:val="es-ES_tradnl"/>
              </w:rPr>
              <w:t xml:space="preserve">. </w:t>
            </w:r>
          </w:p>
          <w:p w14:paraId="71ECE5F6" w14:textId="7B800C10" w:rsidR="00582E35" w:rsidRPr="00496C0E" w:rsidRDefault="00582E35" w:rsidP="00244F52">
            <w:pPr>
              <w:spacing w:before="20"/>
              <w:ind w:left="346" w:hanging="346"/>
              <w:rPr>
                <w:rFonts w:ascii="Arial" w:hAnsi="Arial"/>
                <w:sz w:val="20"/>
                <w:lang w:val="es-ES_tradnl"/>
              </w:rPr>
            </w:pPr>
          </w:p>
          <w:p w14:paraId="7FE24913" w14:textId="77777777" w:rsidR="00582E35" w:rsidRPr="00496C0E" w:rsidRDefault="00582E35" w:rsidP="00244F52">
            <w:pPr>
              <w:spacing w:before="20"/>
              <w:ind w:left="346" w:hanging="346"/>
              <w:rPr>
                <w:rFonts w:ascii="Arial" w:hAnsi="Arial"/>
                <w:sz w:val="20"/>
                <w:lang w:val="es-ES_tradnl"/>
              </w:rPr>
            </w:pPr>
          </w:p>
          <w:p w14:paraId="0C1AE71F" w14:textId="2426FB9C" w:rsidR="00582E35" w:rsidRPr="00496C0E" w:rsidRDefault="004C4782" w:rsidP="00244F52">
            <w:pPr>
              <w:spacing w:before="20" w:after="20" w:line="240" w:lineRule="auto"/>
              <w:ind w:left="346" w:right="72" w:hanging="346"/>
              <w:rPr>
                <w:rFonts w:ascii="Arial" w:hAnsi="Arial"/>
                <w:sz w:val="20"/>
              </w:rPr>
            </w:pPr>
            <w:r w:rsidRPr="00496C0E">
              <w:rPr>
                <w:rFonts w:ascii="Arial" w:hAnsi="Arial"/>
                <w:sz w:val="20"/>
              </w:rPr>
              <w:t xml:space="preserve">3.5. </w:t>
            </w:r>
            <w:r w:rsidR="0077435F" w:rsidRPr="00496C0E">
              <w:rPr>
                <w:rFonts w:ascii="Arial" w:hAnsi="Arial"/>
                <w:sz w:val="20"/>
              </w:rPr>
              <w:t xml:space="preserve">(i) </w:t>
            </w:r>
            <w:r w:rsidR="00582E35" w:rsidRPr="00496C0E">
              <w:rPr>
                <w:rFonts w:ascii="Arial" w:hAnsi="Arial"/>
                <w:sz w:val="20"/>
                <w:lang w:val="es-ES_tradnl"/>
              </w:rPr>
              <w:t>Informe de EMCO con el</w:t>
            </w:r>
            <w:r w:rsidR="0077435F" w:rsidRPr="00496C0E">
              <w:rPr>
                <w:rFonts w:ascii="Arial" w:hAnsi="Arial"/>
                <w:sz w:val="20"/>
                <w:lang w:val="es-ES_tradnl"/>
              </w:rPr>
              <w:t xml:space="preserve"> detalle de las desvinculaciones de </w:t>
            </w:r>
            <w:r w:rsidR="004F27EE" w:rsidRPr="00496C0E">
              <w:rPr>
                <w:rFonts w:ascii="Arial" w:hAnsi="Arial"/>
                <w:sz w:val="20"/>
                <w:lang w:val="es-ES_tradnl"/>
              </w:rPr>
              <w:t>cada EEPP</w:t>
            </w:r>
            <w:r w:rsidR="0077435F" w:rsidRPr="00496C0E">
              <w:rPr>
                <w:rFonts w:ascii="Arial" w:hAnsi="Arial"/>
                <w:sz w:val="20"/>
                <w:lang w:val="es-ES_tradnl"/>
              </w:rPr>
              <w:t>; (ii)</w:t>
            </w:r>
            <w:r w:rsidR="00582E35" w:rsidRPr="00496C0E">
              <w:rPr>
                <w:rFonts w:ascii="Arial" w:hAnsi="Arial"/>
                <w:sz w:val="20"/>
                <w:lang w:val="es-ES_tradnl"/>
              </w:rPr>
              <w:t xml:space="preserve"> </w:t>
            </w:r>
            <w:r w:rsidRPr="00496C0E">
              <w:rPr>
                <w:rFonts w:ascii="Arial" w:hAnsi="Arial"/>
                <w:sz w:val="20"/>
              </w:rPr>
              <w:t xml:space="preserve">Decreto de </w:t>
            </w:r>
            <w:r w:rsidRPr="00496C0E">
              <w:rPr>
                <w:rFonts w:ascii="Arial" w:hAnsi="Arial"/>
                <w:sz w:val="20"/>
                <w:lang w:val="es-ES_tradnl"/>
              </w:rPr>
              <w:t xml:space="preserve">liquidación de dos EE.PP. de sectores no estratégicos con carácter mercantil </w:t>
            </w:r>
            <w:r w:rsidRPr="00496C0E">
              <w:rPr>
                <w:rFonts w:ascii="Arial" w:hAnsi="Arial"/>
                <w:sz w:val="20"/>
                <w:lang w:val="es-ES_tradnl"/>
              </w:rPr>
              <w:lastRenderedPageBreak/>
              <w:t>publicados</w:t>
            </w:r>
            <w:r w:rsidR="00582E35" w:rsidRPr="00496C0E">
              <w:rPr>
                <w:rFonts w:ascii="Arial" w:hAnsi="Arial"/>
                <w:sz w:val="20"/>
                <w:lang w:val="es-ES_tradnl"/>
              </w:rPr>
              <w:t xml:space="preserve"> </w:t>
            </w:r>
            <w:r w:rsidR="0077435F" w:rsidRPr="00496C0E">
              <w:rPr>
                <w:rFonts w:ascii="Arial" w:hAnsi="Arial"/>
                <w:sz w:val="20"/>
                <w:lang w:val="es-ES_tradnl"/>
              </w:rPr>
              <w:t>en el Registro Oficial</w:t>
            </w:r>
            <w:r w:rsidRPr="00496C0E">
              <w:rPr>
                <w:rFonts w:ascii="Arial" w:hAnsi="Arial"/>
                <w:sz w:val="20"/>
                <w:lang w:val="es-ES_tradnl"/>
              </w:rPr>
              <w:t xml:space="preserve">. </w:t>
            </w:r>
          </w:p>
          <w:p w14:paraId="381F9321" w14:textId="77777777" w:rsidR="00582E35" w:rsidRPr="00496C0E" w:rsidRDefault="00582E35" w:rsidP="006F274C">
            <w:pPr>
              <w:spacing w:before="20" w:after="20" w:line="240" w:lineRule="auto"/>
              <w:ind w:right="72"/>
              <w:rPr>
                <w:rFonts w:ascii="Arial" w:hAnsi="Arial"/>
                <w:sz w:val="20"/>
              </w:rPr>
            </w:pPr>
          </w:p>
          <w:p w14:paraId="73CFAEE2" w14:textId="6A26C8EC" w:rsidR="00582E35" w:rsidRPr="00496C0E" w:rsidRDefault="00582E35" w:rsidP="00333E82">
            <w:pPr>
              <w:spacing w:before="20"/>
              <w:ind w:left="346" w:hanging="346"/>
              <w:rPr>
                <w:rFonts w:ascii="Arial" w:hAnsi="Arial"/>
                <w:sz w:val="20"/>
              </w:rPr>
            </w:pPr>
            <w:r w:rsidRPr="00496C0E">
              <w:rPr>
                <w:rFonts w:ascii="Arial" w:hAnsi="Arial"/>
                <w:sz w:val="20"/>
              </w:rPr>
              <w:t>3.</w:t>
            </w:r>
            <w:r w:rsidR="00A45988" w:rsidRPr="00496C0E">
              <w:rPr>
                <w:rFonts w:ascii="Arial" w:hAnsi="Arial"/>
                <w:sz w:val="20"/>
              </w:rPr>
              <w:t>6</w:t>
            </w:r>
            <w:r w:rsidRPr="00496C0E">
              <w:rPr>
                <w:rFonts w:ascii="Arial" w:hAnsi="Arial"/>
                <w:sz w:val="20"/>
              </w:rPr>
              <w:t xml:space="preserve">. </w:t>
            </w:r>
            <w:r w:rsidR="0077435F" w:rsidRPr="00496C0E">
              <w:rPr>
                <w:rFonts w:ascii="Arial" w:hAnsi="Arial"/>
                <w:sz w:val="20"/>
                <w:lang w:val="es-ES_tradnl"/>
              </w:rPr>
              <w:t xml:space="preserve">Informe </w:t>
            </w:r>
            <w:r w:rsidR="00F66E94" w:rsidRPr="00496C0E">
              <w:rPr>
                <w:rFonts w:ascii="Arial" w:hAnsi="Arial"/>
                <w:sz w:val="20"/>
                <w:lang w:val="es-ES_tradnl"/>
              </w:rPr>
              <w:t xml:space="preserve">de diagnóstico de fusión </w:t>
            </w:r>
            <w:r w:rsidR="0077435F" w:rsidRPr="00496C0E">
              <w:rPr>
                <w:rFonts w:ascii="Arial" w:hAnsi="Arial"/>
                <w:sz w:val="20"/>
                <w:lang w:val="es-ES_tradnl"/>
              </w:rPr>
              <w:t>elaborado por la consultora contratada</w:t>
            </w:r>
            <w:r w:rsidR="00331A4F" w:rsidRPr="00496C0E">
              <w:rPr>
                <w:rFonts w:ascii="Arial" w:hAnsi="Arial"/>
                <w:sz w:val="20"/>
                <w:lang w:val="es-ES_tradnl"/>
              </w:rPr>
              <w:t>.</w:t>
            </w:r>
            <w:r w:rsidR="00331A4F" w:rsidRPr="00496C0E" w:rsidDel="00331A4F">
              <w:rPr>
                <w:rFonts w:ascii="Arial" w:hAnsi="Arial"/>
                <w:sz w:val="20"/>
              </w:rPr>
              <w:t xml:space="preserve"> </w:t>
            </w:r>
          </w:p>
          <w:p w14:paraId="359FE280" w14:textId="2E5C298A" w:rsidR="00582E35" w:rsidRPr="00496C0E" w:rsidRDefault="00582E35" w:rsidP="006F274C">
            <w:pPr>
              <w:spacing w:before="20" w:after="20" w:line="240" w:lineRule="auto"/>
              <w:ind w:right="72"/>
              <w:rPr>
                <w:rFonts w:ascii="Arial" w:hAnsi="Arial"/>
                <w:sz w:val="20"/>
              </w:rPr>
            </w:pPr>
          </w:p>
        </w:tc>
        <w:tc>
          <w:tcPr>
            <w:tcW w:w="1747" w:type="dxa"/>
            <w:shd w:val="clear" w:color="auto" w:fill="auto"/>
          </w:tcPr>
          <w:p w14:paraId="5B56B4BD" w14:textId="77777777" w:rsidR="005F02EA" w:rsidRPr="00496C0E" w:rsidRDefault="005F02EA" w:rsidP="006F274C">
            <w:pPr>
              <w:spacing w:before="20" w:after="20" w:line="240" w:lineRule="auto"/>
              <w:ind w:right="72"/>
              <w:rPr>
                <w:rFonts w:ascii="Arial" w:hAnsi="Arial"/>
                <w:sz w:val="20"/>
              </w:rPr>
            </w:pPr>
            <w:r w:rsidRPr="00496C0E">
              <w:rPr>
                <w:rFonts w:ascii="Arial" w:hAnsi="Arial"/>
                <w:sz w:val="20"/>
              </w:rPr>
              <w:lastRenderedPageBreak/>
              <w:t xml:space="preserve">3.3 y 3.4 </w:t>
            </w:r>
            <w:r w:rsidR="00A9396C" w:rsidRPr="00496C0E">
              <w:rPr>
                <w:rFonts w:ascii="Arial" w:hAnsi="Arial"/>
                <w:sz w:val="20"/>
              </w:rPr>
              <w:t xml:space="preserve">MEF </w:t>
            </w:r>
          </w:p>
          <w:p w14:paraId="1DC1F716" w14:textId="77777777" w:rsidR="005F02EA" w:rsidRPr="00496C0E" w:rsidRDefault="005F02EA" w:rsidP="006F274C">
            <w:pPr>
              <w:spacing w:before="20" w:after="20" w:line="240" w:lineRule="auto"/>
              <w:ind w:right="72"/>
              <w:rPr>
                <w:rFonts w:ascii="Arial" w:hAnsi="Arial"/>
                <w:sz w:val="20"/>
              </w:rPr>
            </w:pPr>
          </w:p>
          <w:p w14:paraId="2A48D570" w14:textId="26D1D5D9" w:rsidR="005F02EA" w:rsidRPr="00496C0E" w:rsidRDefault="005F02EA" w:rsidP="006F274C">
            <w:pPr>
              <w:spacing w:before="20" w:after="20" w:line="240" w:lineRule="auto"/>
              <w:ind w:right="72"/>
              <w:rPr>
                <w:rFonts w:ascii="Arial" w:hAnsi="Arial"/>
                <w:sz w:val="20"/>
              </w:rPr>
            </w:pPr>
          </w:p>
          <w:p w14:paraId="5B05AB70" w14:textId="038EDE14" w:rsidR="00F40F53" w:rsidRPr="00496C0E" w:rsidRDefault="00F40F53" w:rsidP="006F274C">
            <w:pPr>
              <w:spacing w:before="20" w:after="20" w:line="240" w:lineRule="auto"/>
              <w:ind w:right="72"/>
              <w:rPr>
                <w:rFonts w:ascii="Arial" w:hAnsi="Arial"/>
                <w:sz w:val="20"/>
              </w:rPr>
            </w:pPr>
          </w:p>
          <w:p w14:paraId="1AEA5872" w14:textId="2B4FC337" w:rsidR="00F40F53" w:rsidRPr="00496C0E" w:rsidRDefault="00F40F53" w:rsidP="006F274C">
            <w:pPr>
              <w:spacing w:before="20" w:after="20" w:line="240" w:lineRule="auto"/>
              <w:ind w:right="72"/>
              <w:rPr>
                <w:rFonts w:ascii="Arial" w:hAnsi="Arial"/>
                <w:sz w:val="20"/>
              </w:rPr>
            </w:pPr>
          </w:p>
          <w:p w14:paraId="2E00D87E" w14:textId="717E267F" w:rsidR="00F40F53" w:rsidRPr="00496C0E" w:rsidRDefault="00F40F53" w:rsidP="006F274C">
            <w:pPr>
              <w:spacing w:before="20" w:after="20" w:line="240" w:lineRule="auto"/>
              <w:ind w:right="72"/>
              <w:rPr>
                <w:rFonts w:ascii="Arial" w:hAnsi="Arial"/>
                <w:sz w:val="20"/>
              </w:rPr>
            </w:pPr>
          </w:p>
          <w:p w14:paraId="0F97D658" w14:textId="4F06995A" w:rsidR="00F40F53" w:rsidRPr="00496C0E" w:rsidRDefault="00F40F53" w:rsidP="006F274C">
            <w:pPr>
              <w:spacing w:before="20" w:after="20" w:line="240" w:lineRule="auto"/>
              <w:ind w:right="72"/>
              <w:rPr>
                <w:rFonts w:ascii="Arial" w:hAnsi="Arial"/>
                <w:sz w:val="20"/>
              </w:rPr>
            </w:pPr>
          </w:p>
          <w:p w14:paraId="4B35F20E" w14:textId="6F93CD30" w:rsidR="00F40F53" w:rsidRPr="00496C0E" w:rsidRDefault="00F40F53" w:rsidP="006F274C">
            <w:pPr>
              <w:spacing w:before="20" w:after="20" w:line="240" w:lineRule="auto"/>
              <w:ind w:right="72"/>
              <w:rPr>
                <w:rFonts w:ascii="Arial" w:hAnsi="Arial"/>
                <w:sz w:val="20"/>
              </w:rPr>
            </w:pPr>
          </w:p>
          <w:p w14:paraId="14339CEE" w14:textId="1B181EEB" w:rsidR="00F40F53" w:rsidRPr="00496C0E" w:rsidRDefault="00F40F53" w:rsidP="006F274C">
            <w:pPr>
              <w:spacing w:before="20" w:after="20" w:line="240" w:lineRule="auto"/>
              <w:ind w:right="72"/>
              <w:rPr>
                <w:rFonts w:ascii="Arial" w:hAnsi="Arial"/>
                <w:sz w:val="20"/>
              </w:rPr>
            </w:pPr>
          </w:p>
          <w:p w14:paraId="0766E9A7" w14:textId="121E5BB3" w:rsidR="00F40F53" w:rsidRPr="00496C0E" w:rsidRDefault="00F40F53" w:rsidP="006F274C">
            <w:pPr>
              <w:spacing w:before="20" w:after="20" w:line="240" w:lineRule="auto"/>
              <w:ind w:right="72"/>
              <w:rPr>
                <w:rFonts w:ascii="Arial" w:hAnsi="Arial"/>
                <w:sz w:val="20"/>
              </w:rPr>
            </w:pPr>
          </w:p>
          <w:p w14:paraId="31B0A610" w14:textId="60DF8AF4" w:rsidR="00F40F53" w:rsidRPr="00496C0E" w:rsidRDefault="00F40F53" w:rsidP="006F274C">
            <w:pPr>
              <w:spacing w:before="20" w:after="20" w:line="240" w:lineRule="auto"/>
              <w:ind w:right="72"/>
              <w:rPr>
                <w:rFonts w:ascii="Arial" w:hAnsi="Arial"/>
                <w:sz w:val="20"/>
              </w:rPr>
            </w:pPr>
          </w:p>
          <w:p w14:paraId="7AE295FE" w14:textId="61A12BEE" w:rsidR="00F40F53" w:rsidRPr="00496C0E" w:rsidRDefault="00F40F53" w:rsidP="006F274C">
            <w:pPr>
              <w:spacing w:before="20" w:after="20" w:line="240" w:lineRule="auto"/>
              <w:ind w:right="72"/>
              <w:rPr>
                <w:rFonts w:ascii="Arial" w:hAnsi="Arial"/>
                <w:sz w:val="20"/>
              </w:rPr>
            </w:pPr>
          </w:p>
          <w:p w14:paraId="7F1F30A2" w14:textId="6A99BB9F" w:rsidR="00F40F53" w:rsidRPr="00496C0E" w:rsidRDefault="00F40F53" w:rsidP="006F274C">
            <w:pPr>
              <w:spacing w:before="20" w:after="20" w:line="240" w:lineRule="auto"/>
              <w:ind w:right="72"/>
              <w:rPr>
                <w:rFonts w:ascii="Arial" w:hAnsi="Arial"/>
                <w:sz w:val="20"/>
              </w:rPr>
            </w:pPr>
          </w:p>
          <w:p w14:paraId="26BFBDDF" w14:textId="24E3D833" w:rsidR="00F40F53" w:rsidRPr="00496C0E" w:rsidRDefault="00F40F53" w:rsidP="006F274C">
            <w:pPr>
              <w:spacing w:before="20" w:after="20" w:line="240" w:lineRule="auto"/>
              <w:ind w:right="72"/>
              <w:rPr>
                <w:rFonts w:ascii="Arial" w:hAnsi="Arial"/>
                <w:sz w:val="20"/>
              </w:rPr>
            </w:pPr>
          </w:p>
          <w:p w14:paraId="53E9DB3E" w14:textId="4D8CB4A3" w:rsidR="00F40F53" w:rsidRPr="00496C0E" w:rsidRDefault="00F40F53" w:rsidP="006F274C">
            <w:pPr>
              <w:spacing w:before="20" w:after="20" w:line="240" w:lineRule="auto"/>
              <w:ind w:right="72"/>
              <w:rPr>
                <w:rFonts w:ascii="Arial" w:hAnsi="Arial"/>
                <w:sz w:val="20"/>
              </w:rPr>
            </w:pPr>
          </w:p>
          <w:p w14:paraId="29FAA643" w14:textId="0FC9120A" w:rsidR="00F40F53" w:rsidRPr="00496C0E" w:rsidRDefault="00F40F53" w:rsidP="006F274C">
            <w:pPr>
              <w:spacing w:before="20" w:after="20" w:line="240" w:lineRule="auto"/>
              <w:ind w:right="72"/>
              <w:rPr>
                <w:rFonts w:ascii="Arial" w:hAnsi="Arial"/>
                <w:sz w:val="20"/>
              </w:rPr>
            </w:pPr>
          </w:p>
          <w:p w14:paraId="2FC5B7DD" w14:textId="77777777" w:rsidR="00F40F53" w:rsidRPr="00496C0E" w:rsidRDefault="00F40F53" w:rsidP="006F274C">
            <w:pPr>
              <w:spacing w:before="20" w:after="20" w:line="240" w:lineRule="auto"/>
              <w:ind w:right="72"/>
              <w:rPr>
                <w:rFonts w:ascii="Arial" w:hAnsi="Arial"/>
                <w:sz w:val="20"/>
              </w:rPr>
            </w:pPr>
          </w:p>
          <w:p w14:paraId="298AE294" w14:textId="5A6F6815" w:rsidR="00A9396C" w:rsidRPr="00496C0E" w:rsidRDefault="005F02EA" w:rsidP="006F274C">
            <w:pPr>
              <w:spacing w:before="20" w:after="20" w:line="240" w:lineRule="auto"/>
              <w:ind w:right="72"/>
              <w:rPr>
                <w:rFonts w:ascii="Arial" w:hAnsi="Arial"/>
                <w:sz w:val="20"/>
              </w:rPr>
            </w:pPr>
            <w:r w:rsidRPr="00496C0E">
              <w:rPr>
                <w:rFonts w:ascii="Arial" w:hAnsi="Arial"/>
                <w:sz w:val="20"/>
              </w:rPr>
              <w:t>3.5.</w:t>
            </w:r>
            <w:r w:rsidR="003C647A" w:rsidRPr="00496C0E">
              <w:rPr>
                <w:rFonts w:ascii="Arial" w:hAnsi="Arial"/>
                <w:sz w:val="20"/>
              </w:rPr>
              <w:t xml:space="preserve"> EMCO </w:t>
            </w:r>
          </w:p>
          <w:p w14:paraId="6A7ADEEE" w14:textId="77777777" w:rsidR="005847FA" w:rsidRPr="00496C0E" w:rsidRDefault="005847FA" w:rsidP="006F274C">
            <w:pPr>
              <w:spacing w:before="20" w:after="20" w:line="240" w:lineRule="auto"/>
              <w:ind w:right="72"/>
              <w:rPr>
                <w:rFonts w:ascii="Arial" w:hAnsi="Arial"/>
                <w:sz w:val="20"/>
              </w:rPr>
            </w:pPr>
          </w:p>
          <w:p w14:paraId="2246F6CB" w14:textId="77777777" w:rsidR="005847FA" w:rsidRPr="00496C0E" w:rsidRDefault="005847FA" w:rsidP="006F274C">
            <w:pPr>
              <w:spacing w:before="20" w:after="20" w:line="240" w:lineRule="auto"/>
              <w:ind w:right="72"/>
              <w:rPr>
                <w:rFonts w:ascii="Arial" w:hAnsi="Arial"/>
                <w:sz w:val="20"/>
              </w:rPr>
            </w:pPr>
          </w:p>
          <w:p w14:paraId="3960D1DA" w14:textId="77777777" w:rsidR="005847FA" w:rsidRPr="00496C0E" w:rsidRDefault="005847FA" w:rsidP="006F274C">
            <w:pPr>
              <w:spacing w:before="20" w:after="20" w:line="240" w:lineRule="auto"/>
              <w:ind w:right="72"/>
              <w:rPr>
                <w:rFonts w:ascii="Arial" w:hAnsi="Arial"/>
                <w:sz w:val="20"/>
              </w:rPr>
            </w:pPr>
          </w:p>
          <w:p w14:paraId="31508455" w14:textId="77777777" w:rsidR="005847FA" w:rsidRPr="00496C0E" w:rsidRDefault="005847FA" w:rsidP="006F274C">
            <w:pPr>
              <w:spacing w:before="20" w:after="20" w:line="240" w:lineRule="auto"/>
              <w:ind w:right="72"/>
              <w:rPr>
                <w:rFonts w:ascii="Arial" w:hAnsi="Arial"/>
                <w:sz w:val="20"/>
              </w:rPr>
            </w:pPr>
          </w:p>
          <w:p w14:paraId="641335A5" w14:textId="77777777" w:rsidR="005847FA" w:rsidRPr="00496C0E" w:rsidRDefault="005847FA" w:rsidP="006F274C">
            <w:pPr>
              <w:spacing w:before="20" w:after="20" w:line="240" w:lineRule="auto"/>
              <w:ind w:right="72"/>
              <w:rPr>
                <w:rFonts w:ascii="Arial" w:hAnsi="Arial"/>
                <w:sz w:val="20"/>
              </w:rPr>
            </w:pPr>
          </w:p>
          <w:p w14:paraId="5B0EE957" w14:textId="77777777" w:rsidR="005847FA" w:rsidRPr="00496C0E" w:rsidRDefault="005847FA" w:rsidP="006F274C">
            <w:pPr>
              <w:spacing w:before="20" w:after="20" w:line="240" w:lineRule="auto"/>
              <w:ind w:right="72"/>
              <w:rPr>
                <w:rFonts w:ascii="Arial" w:hAnsi="Arial"/>
                <w:sz w:val="20"/>
              </w:rPr>
            </w:pPr>
          </w:p>
          <w:p w14:paraId="2D365C02" w14:textId="77777777" w:rsidR="005847FA" w:rsidRPr="00496C0E" w:rsidRDefault="005847FA" w:rsidP="006F274C">
            <w:pPr>
              <w:spacing w:before="20" w:after="20" w:line="240" w:lineRule="auto"/>
              <w:ind w:right="72"/>
              <w:rPr>
                <w:rFonts w:ascii="Arial" w:hAnsi="Arial"/>
                <w:sz w:val="20"/>
              </w:rPr>
            </w:pPr>
          </w:p>
          <w:p w14:paraId="24E5FBDB" w14:textId="77777777" w:rsidR="005847FA" w:rsidRPr="00496C0E" w:rsidRDefault="005847FA" w:rsidP="006F274C">
            <w:pPr>
              <w:spacing w:before="20" w:after="20" w:line="240" w:lineRule="auto"/>
              <w:ind w:right="72"/>
              <w:rPr>
                <w:rFonts w:ascii="Arial" w:hAnsi="Arial"/>
                <w:sz w:val="20"/>
              </w:rPr>
            </w:pPr>
          </w:p>
          <w:p w14:paraId="450585A1" w14:textId="77777777" w:rsidR="005847FA" w:rsidRPr="00496C0E" w:rsidRDefault="005847FA" w:rsidP="006F274C">
            <w:pPr>
              <w:spacing w:before="20" w:after="20" w:line="240" w:lineRule="auto"/>
              <w:ind w:right="72"/>
              <w:rPr>
                <w:rFonts w:ascii="Arial" w:hAnsi="Arial"/>
                <w:sz w:val="20"/>
              </w:rPr>
            </w:pPr>
          </w:p>
          <w:p w14:paraId="298AE295" w14:textId="75A0565F" w:rsidR="00A9396C" w:rsidRPr="00496C0E" w:rsidRDefault="005847FA" w:rsidP="006F274C">
            <w:pPr>
              <w:spacing w:before="20" w:after="20" w:line="240" w:lineRule="auto"/>
              <w:ind w:right="72"/>
              <w:rPr>
                <w:rFonts w:ascii="Arial" w:hAnsi="Arial"/>
                <w:sz w:val="20"/>
              </w:rPr>
            </w:pPr>
            <w:r w:rsidRPr="00496C0E">
              <w:rPr>
                <w:rFonts w:ascii="Arial" w:hAnsi="Arial"/>
                <w:sz w:val="20"/>
              </w:rPr>
              <w:t xml:space="preserve">3.6. </w:t>
            </w:r>
            <w:r w:rsidRPr="00496C0E">
              <w:rPr>
                <w:rFonts w:ascii="Arial" w:hAnsi="Arial"/>
                <w:sz w:val="20"/>
                <w:lang w:val="es-ES_tradnl"/>
              </w:rPr>
              <w:t>Unidad Temporal de Fusión de las petroleras</w:t>
            </w:r>
          </w:p>
        </w:tc>
      </w:tr>
      <w:tr w:rsidR="009F2115" w:rsidRPr="00BD61E6" w14:paraId="23794E33" w14:textId="51C129E8" w:rsidTr="00A20577">
        <w:trPr>
          <w:trHeight w:val="20"/>
        </w:trPr>
        <w:tc>
          <w:tcPr>
            <w:tcW w:w="10777" w:type="dxa"/>
            <w:gridSpan w:val="4"/>
            <w:shd w:val="clear" w:color="auto" w:fill="D9D9D9"/>
            <w:vAlign w:val="center"/>
          </w:tcPr>
          <w:p w14:paraId="2CE68B43" w14:textId="64074B60" w:rsidR="000441CB" w:rsidRPr="00496C0E" w:rsidRDefault="000441CB" w:rsidP="000441CB">
            <w:pPr>
              <w:spacing w:after="0" w:line="240" w:lineRule="auto"/>
              <w:ind w:right="-110"/>
              <w:rPr>
                <w:rFonts w:ascii="Arial" w:hAnsi="Arial"/>
                <w:b/>
                <w:sz w:val="20"/>
              </w:rPr>
            </w:pPr>
            <w:r w:rsidRPr="00496C0E">
              <w:rPr>
                <w:rFonts w:ascii="Arial" w:hAnsi="Arial"/>
                <w:b/>
                <w:sz w:val="20"/>
              </w:rPr>
              <w:lastRenderedPageBreak/>
              <w:t>Componente IV.</w:t>
            </w:r>
            <w:r w:rsidR="00A53165" w:rsidRPr="00496C0E">
              <w:rPr>
                <w:rFonts w:ascii="Arial" w:hAnsi="Arial"/>
                <w:b/>
                <w:sz w:val="20"/>
              </w:rPr>
              <w:t xml:space="preserve"> </w:t>
            </w:r>
            <w:r w:rsidRPr="00496C0E">
              <w:rPr>
                <w:rFonts w:ascii="Arial" w:hAnsi="Arial"/>
                <w:b/>
                <w:kern w:val="18"/>
                <w:sz w:val="20"/>
                <w:lang w:val="es-ES_tradnl"/>
              </w:rPr>
              <w:t xml:space="preserve">Mejora en la eficiencia </w:t>
            </w:r>
            <w:r w:rsidR="008B3B65" w:rsidRPr="00496C0E">
              <w:rPr>
                <w:rFonts w:ascii="Arial" w:hAnsi="Arial"/>
                <w:b/>
                <w:kern w:val="18"/>
                <w:sz w:val="20"/>
                <w:lang w:val="es-ES_tradnl"/>
              </w:rPr>
              <w:t xml:space="preserve">y transparencia </w:t>
            </w:r>
            <w:r w:rsidR="007B2687" w:rsidRPr="00496C0E">
              <w:rPr>
                <w:rFonts w:ascii="Arial" w:hAnsi="Arial"/>
                <w:b/>
                <w:kern w:val="18"/>
                <w:sz w:val="20"/>
                <w:lang w:val="es-ES_tradnl"/>
              </w:rPr>
              <w:t xml:space="preserve">de la política y </w:t>
            </w:r>
            <w:r w:rsidRPr="00496C0E">
              <w:rPr>
                <w:rFonts w:ascii="Arial" w:hAnsi="Arial"/>
                <w:b/>
                <w:kern w:val="18"/>
                <w:sz w:val="20"/>
                <w:lang w:val="es-ES_tradnl"/>
              </w:rPr>
              <w:t>gestión tributaria</w:t>
            </w:r>
          </w:p>
        </w:tc>
        <w:tc>
          <w:tcPr>
            <w:tcW w:w="4087" w:type="dxa"/>
            <w:gridSpan w:val="2"/>
            <w:shd w:val="clear" w:color="auto" w:fill="D9D9D9"/>
          </w:tcPr>
          <w:p w14:paraId="7A718836" w14:textId="77777777" w:rsidR="000441CB" w:rsidRPr="00496C0E" w:rsidRDefault="000441CB" w:rsidP="000441CB">
            <w:pPr>
              <w:spacing w:after="0" w:line="240" w:lineRule="auto"/>
              <w:ind w:right="-110"/>
              <w:rPr>
                <w:rFonts w:ascii="Arial" w:hAnsi="Arial"/>
                <w:b/>
                <w:sz w:val="20"/>
              </w:rPr>
            </w:pPr>
          </w:p>
        </w:tc>
      </w:tr>
      <w:tr w:rsidR="00F40F53" w:rsidRPr="00BD61E6" w14:paraId="1AFF16F4" w14:textId="77777777" w:rsidTr="00EF7987">
        <w:trPr>
          <w:trHeight w:val="20"/>
        </w:trPr>
        <w:tc>
          <w:tcPr>
            <w:tcW w:w="1733" w:type="dxa"/>
            <w:shd w:val="clear" w:color="auto" w:fill="auto"/>
          </w:tcPr>
          <w:p w14:paraId="7FB9D197" w14:textId="1F9C2F14" w:rsidR="005F0F36" w:rsidRPr="00496C0E" w:rsidRDefault="005F0F36" w:rsidP="005F0F36">
            <w:pPr>
              <w:pStyle w:val="ListParagraph"/>
              <w:spacing w:before="20" w:after="20"/>
              <w:ind w:left="0"/>
              <w:rPr>
                <w:rFonts w:ascii="Arial" w:hAnsi="Arial"/>
                <w:sz w:val="20"/>
                <w:lang w:val="es-ES_tradnl"/>
              </w:rPr>
            </w:pPr>
            <w:r w:rsidRPr="00496C0E">
              <w:rPr>
                <w:rFonts w:ascii="Arial" w:hAnsi="Arial"/>
                <w:sz w:val="20"/>
                <w:lang w:val="es-ES_tradnl"/>
              </w:rPr>
              <w:t>Mejora de la transparencia de la gestión tributaria</w:t>
            </w:r>
          </w:p>
        </w:tc>
        <w:tc>
          <w:tcPr>
            <w:tcW w:w="3374" w:type="dxa"/>
            <w:shd w:val="clear" w:color="auto" w:fill="auto"/>
          </w:tcPr>
          <w:p w14:paraId="56D62A55" w14:textId="068F6552" w:rsidR="00E65DFC" w:rsidRPr="00496C0E" w:rsidRDefault="00FA246D" w:rsidP="0065547E">
            <w:pPr>
              <w:pStyle w:val="ListParagraph"/>
              <w:numPr>
                <w:ilvl w:val="1"/>
                <w:numId w:val="12"/>
              </w:numPr>
              <w:spacing w:before="60" w:after="60"/>
              <w:ind w:left="301" w:hanging="358"/>
              <w:rPr>
                <w:rFonts w:ascii="Arial" w:hAnsi="Arial"/>
                <w:kern w:val="18"/>
                <w:sz w:val="20"/>
                <w:lang w:val="es-ES_tradnl"/>
              </w:rPr>
            </w:pPr>
            <w:r w:rsidRPr="00496C0E">
              <w:rPr>
                <w:rFonts w:ascii="Arial" w:hAnsi="Arial"/>
                <w:kern w:val="18"/>
                <w:sz w:val="20"/>
                <w:lang w:val="es-ES_tradnl"/>
              </w:rPr>
              <w:t xml:space="preserve">Suscripción de la </w:t>
            </w:r>
            <w:r w:rsidR="005F0F36" w:rsidRPr="00496C0E">
              <w:rPr>
                <w:rFonts w:ascii="Arial" w:hAnsi="Arial"/>
                <w:kern w:val="18"/>
                <w:sz w:val="20"/>
                <w:lang w:val="es-ES_tradnl"/>
              </w:rPr>
              <w:t>Convención sobre Asistencia Administrativa Mutua (CAAM) del Foro Global de la OCDE,  incluyendo</w:t>
            </w:r>
            <w:r w:rsidR="00E65DFC" w:rsidRPr="00496C0E">
              <w:rPr>
                <w:rFonts w:ascii="Arial" w:hAnsi="Arial"/>
                <w:kern w:val="18"/>
                <w:sz w:val="20"/>
                <w:lang w:val="es-ES_tradnl"/>
              </w:rPr>
              <w:t xml:space="preserve"> el intercambio de información financiera con fines fiscales tanto a requerimiento (EOIR) como automático (AEIO).</w:t>
            </w:r>
          </w:p>
          <w:p w14:paraId="5F9EEB00" w14:textId="1375E03A" w:rsidR="00E65DFC" w:rsidRPr="00496C0E" w:rsidRDefault="00E65DFC" w:rsidP="0065547E">
            <w:pPr>
              <w:pStyle w:val="ListParagraph"/>
              <w:spacing w:before="60" w:after="60"/>
              <w:ind w:left="301" w:hanging="358"/>
              <w:rPr>
                <w:rFonts w:ascii="Arial" w:hAnsi="Arial"/>
                <w:kern w:val="18"/>
                <w:sz w:val="20"/>
                <w:lang w:val="es-ES_tradnl"/>
              </w:rPr>
            </w:pPr>
          </w:p>
          <w:p w14:paraId="287A62CD" w14:textId="5BED6461" w:rsidR="005F0F36" w:rsidRPr="00496C0E" w:rsidRDefault="00FA246D" w:rsidP="0065547E">
            <w:pPr>
              <w:pStyle w:val="ListParagraph"/>
              <w:numPr>
                <w:ilvl w:val="1"/>
                <w:numId w:val="12"/>
              </w:numPr>
              <w:spacing w:before="60" w:after="60"/>
              <w:ind w:left="301" w:hanging="358"/>
              <w:rPr>
                <w:rFonts w:ascii="Arial" w:hAnsi="Arial"/>
                <w:kern w:val="18"/>
                <w:sz w:val="20"/>
                <w:lang w:val="es-ES_tradnl"/>
              </w:rPr>
            </w:pPr>
            <w:bookmarkStart w:id="5" w:name="_Hlk9325880"/>
            <w:r w:rsidRPr="00496C0E">
              <w:rPr>
                <w:rFonts w:ascii="Arial" w:hAnsi="Arial"/>
                <w:sz w:val="20"/>
                <w:lang w:val="es-ES_tradnl"/>
              </w:rPr>
              <w:t xml:space="preserve">Aprobación de la Declaración sobre </w:t>
            </w:r>
            <w:bookmarkEnd w:id="5"/>
            <w:r w:rsidR="00E65DFC" w:rsidRPr="00496C0E">
              <w:rPr>
                <w:rFonts w:ascii="Arial" w:hAnsi="Arial"/>
                <w:sz w:val="20"/>
                <w:lang w:val="es-ES_tradnl"/>
              </w:rPr>
              <w:t>Aplicación del Conocimiento del Ultimo Beneficiario de la propiedad según los estándares de transparencia del Foro Global de Intercambio de Transparencia Tributaria</w:t>
            </w:r>
            <w:r w:rsidR="005F0F36" w:rsidRPr="00496C0E">
              <w:rPr>
                <w:rFonts w:ascii="Arial" w:hAnsi="Arial"/>
                <w:sz w:val="20"/>
                <w:lang w:val="es-ES_tradnl"/>
              </w:rPr>
              <w:t>.</w:t>
            </w:r>
            <w:r w:rsidR="005F0F36" w:rsidRPr="00496C0E">
              <w:rPr>
                <w:rFonts w:ascii="Arial" w:hAnsi="Arial"/>
                <w:kern w:val="18"/>
                <w:sz w:val="20"/>
                <w:lang w:val="es-ES_tradnl"/>
              </w:rPr>
              <w:t xml:space="preserve"> </w:t>
            </w:r>
          </w:p>
        </w:tc>
        <w:tc>
          <w:tcPr>
            <w:tcW w:w="2340" w:type="dxa"/>
            <w:shd w:val="clear" w:color="auto" w:fill="auto"/>
          </w:tcPr>
          <w:p w14:paraId="1BDBF19D" w14:textId="14A10D2F" w:rsidR="005F0F36" w:rsidRPr="00496C0E" w:rsidRDefault="005847FA" w:rsidP="00ED187F">
            <w:pPr>
              <w:pStyle w:val="ListParagraph"/>
              <w:numPr>
                <w:ilvl w:val="1"/>
                <w:numId w:val="5"/>
              </w:numPr>
              <w:spacing w:before="20"/>
              <w:jc w:val="both"/>
              <w:rPr>
                <w:rFonts w:ascii="Arial" w:hAnsi="Arial"/>
                <w:sz w:val="20"/>
                <w:lang w:val="es-ES"/>
              </w:rPr>
            </w:pPr>
            <w:r w:rsidRPr="00496C0E">
              <w:rPr>
                <w:rFonts w:ascii="Arial" w:hAnsi="Arial"/>
                <w:sz w:val="20"/>
                <w:lang w:val="es-ES_tradnl"/>
              </w:rPr>
              <w:t>Convención</w:t>
            </w:r>
            <w:r w:rsidRPr="00496C0E">
              <w:rPr>
                <w:rFonts w:ascii="Arial" w:eastAsia="Arial" w:hAnsi="Arial"/>
                <w:sz w:val="20"/>
                <w:lang w:val="es-ES"/>
              </w:rPr>
              <w:t xml:space="preserve"> f</w:t>
            </w:r>
            <w:r w:rsidR="004C4782" w:rsidRPr="00496C0E">
              <w:rPr>
                <w:rFonts w:ascii="Arial" w:eastAsia="Arial" w:hAnsi="Arial"/>
                <w:sz w:val="20"/>
                <w:lang w:val="es-ES"/>
              </w:rPr>
              <w:t>irmada</w:t>
            </w:r>
            <w:r w:rsidR="005F0F36" w:rsidRPr="00496C0E">
              <w:rPr>
                <w:rFonts w:ascii="Arial" w:eastAsia="Arial" w:hAnsi="Arial"/>
                <w:sz w:val="20"/>
                <w:lang w:val="es-ES"/>
              </w:rPr>
              <w:t>.</w:t>
            </w:r>
          </w:p>
          <w:p w14:paraId="26B15CAA" w14:textId="77777777" w:rsidR="00E46FD8" w:rsidRPr="00496C0E" w:rsidRDefault="00E46FD8" w:rsidP="00E46FD8">
            <w:pPr>
              <w:spacing w:before="20"/>
              <w:jc w:val="both"/>
              <w:rPr>
                <w:rFonts w:ascii="Arial" w:hAnsi="Arial"/>
                <w:sz w:val="20"/>
              </w:rPr>
            </w:pPr>
          </w:p>
          <w:p w14:paraId="19A9DAA5" w14:textId="77777777" w:rsidR="00E46FD8" w:rsidRPr="00496C0E" w:rsidRDefault="00E46FD8" w:rsidP="00E46FD8">
            <w:pPr>
              <w:spacing w:before="20"/>
              <w:jc w:val="both"/>
              <w:rPr>
                <w:rFonts w:ascii="Arial" w:hAnsi="Arial"/>
                <w:sz w:val="20"/>
              </w:rPr>
            </w:pPr>
          </w:p>
          <w:p w14:paraId="3734A8ED" w14:textId="41DAFF62" w:rsidR="00E46FD8" w:rsidRPr="00496C0E" w:rsidRDefault="00E46FD8" w:rsidP="00E46FD8">
            <w:pPr>
              <w:spacing w:before="20"/>
              <w:jc w:val="both"/>
              <w:rPr>
                <w:rFonts w:ascii="Arial" w:hAnsi="Arial"/>
                <w:sz w:val="20"/>
              </w:rPr>
            </w:pPr>
          </w:p>
          <w:p w14:paraId="09841DD5" w14:textId="77777777" w:rsidR="00FE37DE" w:rsidRPr="00496C0E" w:rsidRDefault="00FE37DE" w:rsidP="00E46FD8">
            <w:pPr>
              <w:spacing w:before="20"/>
              <w:jc w:val="both"/>
              <w:rPr>
                <w:rFonts w:ascii="Arial" w:hAnsi="Arial"/>
                <w:sz w:val="20"/>
              </w:rPr>
            </w:pPr>
          </w:p>
          <w:p w14:paraId="7A2D19CD" w14:textId="1CB33450" w:rsidR="00E46FD8" w:rsidRPr="00496C0E" w:rsidRDefault="00E46FD8" w:rsidP="00E46FD8">
            <w:pPr>
              <w:spacing w:before="20"/>
              <w:jc w:val="both"/>
              <w:rPr>
                <w:rFonts w:ascii="Arial" w:hAnsi="Arial"/>
                <w:sz w:val="20"/>
              </w:rPr>
            </w:pPr>
            <w:r w:rsidRPr="00496C0E">
              <w:rPr>
                <w:rFonts w:ascii="Arial" w:hAnsi="Arial"/>
                <w:sz w:val="20"/>
                <w:lang w:val="es-ES_tradnl"/>
              </w:rPr>
              <w:t xml:space="preserve">4.2 </w:t>
            </w:r>
            <w:r w:rsidR="002714C4">
              <w:rPr>
                <w:rFonts w:ascii="Arial" w:hAnsi="Arial" w:cs="Arial"/>
                <w:bCs/>
                <w:sz w:val="20"/>
                <w:szCs w:val="20"/>
                <w:lang w:val="es-ES_tradnl"/>
              </w:rPr>
              <w:t xml:space="preserve">Ley de </w:t>
            </w:r>
            <w:r w:rsidR="0006326A">
              <w:rPr>
                <w:rFonts w:ascii="Arial" w:hAnsi="Arial" w:cs="Arial"/>
                <w:bCs/>
                <w:sz w:val="20"/>
                <w:szCs w:val="20"/>
                <w:lang w:val="es-ES_tradnl"/>
              </w:rPr>
              <w:t>Reactivación</w:t>
            </w:r>
            <w:r w:rsidR="002714C4">
              <w:rPr>
                <w:rFonts w:ascii="Arial" w:hAnsi="Arial" w:cs="Arial"/>
                <w:bCs/>
                <w:sz w:val="20"/>
                <w:szCs w:val="20"/>
                <w:lang w:val="es-ES_tradnl"/>
              </w:rPr>
              <w:t xml:space="preserve"> Económica de 29 de diciembre de 2017. Ficha técnica del anexo de la </w:t>
            </w:r>
            <w:r w:rsidR="002714C4" w:rsidRPr="00496C0E">
              <w:rPr>
                <w:rFonts w:ascii="Arial" w:hAnsi="Arial"/>
                <w:sz w:val="20"/>
                <w:lang w:val="es-ES_tradnl"/>
              </w:rPr>
              <w:t xml:space="preserve">Resolución </w:t>
            </w:r>
            <w:r w:rsidR="002714C4">
              <w:rPr>
                <w:rFonts w:ascii="Arial" w:hAnsi="Arial" w:cs="Arial"/>
                <w:sz w:val="20"/>
                <w:szCs w:val="20"/>
                <w:lang w:val="es-ES_tradnl"/>
              </w:rPr>
              <w:t>536</w:t>
            </w:r>
            <w:r w:rsidR="005847FA">
              <w:rPr>
                <w:rFonts w:ascii="Arial" w:hAnsi="Arial" w:cs="Arial"/>
                <w:sz w:val="20"/>
                <w:szCs w:val="20"/>
                <w:lang w:val="es-ES_tradnl"/>
              </w:rPr>
              <w:t xml:space="preserve"> </w:t>
            </w:r>
            <w:r w:rsidR="005847FA" w:rsidRPr="00496C0E">
              <w:rPr>
                <w:rFonts w:ascii="Arial" w:hAnsi="Arial"/>
                <w:sz w:val="20"/>
                <w:lang w:val="es-ES_tradnl"/>
              </w:rPr>
              <w:lastRenderedPageBreak/>
              <w:t>del SRI</w:t>
            </w:r>
            <w:r w:rsidR="002714C4">
              <w:rPr>
                <w:rFonts w:ascii="Arial" w:hAnsi="Arial" w:cs="Arial"/>
                <w:sz w:val="20"/>
                <w:szCs w:val="20"/>
                <w:lang w:val="es-ES_tradnl"/>
              </w:rPr>
              <w:t xml:space="preserve"> de 9 de octubre de 2018</w:t>
            </w:r>
            <w:r w:rsidRPr="00496C0E">
              <w:rPr>
                <w:rFonts w:ascii="Arial" w:hAnsi="Arial"/>
                <w:sz w:val="20"/>
                <w:lang w:val="es-ES_tradnl"/>
              </w:rPr>
              <w:t>.</w:t>
            </w:r>
          </w:p>
        </w:tc>
        <w:tc>
          <w:tcPr>
            <w:tcW w:w="3330" w:type="dxa"/>
          </w:tcPr>
          <w:p w14:paraId="7C97561A" w14:textId="77777777" w:rsidR="005F0F36" w:rsidRPr="00496C0E" w:rsidRDefault="005F0F36" w:rsidP="0065547E">
            <w:pPr>
              <w:pStyle w:val="ListParagraph"/>
              <w:numPr>
                <w:ilvl w:val="0"/>
                <w:numId w:val="4"/>
              </w:numPr>
              <w:spacing w:before="20" w:after="20"/>
              <w:rPr>
                <w:rFonts w:ascii="Arial" w:hAnsi="Arial"/>
                <w:vanish/>
                <w:sz w:val="20"/>
                <w:lang w:val="es-ES_tradnl"/>
              </w:rPr>
            </w:pPr>
          </w:p>
          <w:p w14:paraId="4D906A0B" w14:textId="051F814C" w:rsidR="005F0F36" w:rsidRPr="00496C0E" w:rsidRDefault="005F0F36" w:rsidP="0065547E">
            <w:pPr>
              <w:pStyle w:val="ListParagraph"/>
              <w:numPr>
                <w:ilvl w:val="1"/>
                <w:numId w:val="13"/>
              </w:numPr>
              <w:spacing w:before="60" w:after="60"/>
              <w:ind w:left="346" w:hanging="366"/>
              <w:rPr>
                <w:rFonts w:ascii="Arial" w:hAnsi="Arial"/>
                <w:sz w:val="20"/>
                <w:lang w:val="es-ES"/>
              </w:rPr>
            </w:pPr>
            <w:r w:rsidRPr="00496C0E">
              <w:rPr>
                <w:rFonts w:ascii="Arial" w:hAnsi="Arial"/>
                <w:sz w:val="20"/>
                <w:lang w:val="es-ES_tradnl"/>
              </w:rPr>
              <w:t xml:space="preserve"> </w:t>
            </w:r>
            <w:r w:rsidR="00FA246D" w:rsidRPr="00496C0E">
              <w:rPr>
                <w:rFonts w:ascii="Arial" w:hAnsi="Arial"/>
                <w:sz w:val="20"/>
                <w:lang w:val="es-ES_tradnl"/>
              </w:rPr>
              <w:t xml:space="preserve">Implementación de la </w:t>
            </w:r>
            <w:r w:rsidRPr="00496C0E">
              <w:rPr>
                <w:rFonts w:ascii="Arial" w:hAnsi="Arial"/>
                <w:kern w:val="18"/>
                <w:sz w:val="20"/>
                <w:lang w:val="es-ES"/>
              </w:rPr>
              <w:t xml:space="preserve">CAAM, </w:t>
            </w:r>
            <w:r w:rsidR="00E65DFC" w:rsidRPr="00496C0E">
              <w:rPr>
                <w:rFonts w:ascii="Arial" w:hAnsi="Arial"/>
                <w:kern w:val="18"/>
                <w:sz w:val="20"/>
                <w:lang w:val="es-ES"/>
              </w:rPr>
              <w:t>incluyendo:</w:t>
            </w:r>
            <w:r w:rsidR="0094123E">
              <w:rPr>
                <w:rFonts w:ascii="Arial" w:hAnsi="Arial" w:cs="Arial"/>
                <w:bCs/>
                <w:kern w:val="18"/>
                <w:sz w:val="20"/>
                <w:lang w:val="es-ES"/>
              </w:rPr>
              <w:t xml:space="preserve"> (</w:t>
            </w:r>
            <w:r w:rsidR="005847FA" w:rsidRPr="00496C0E">
              <w:rPr>
                <w:rFonts w:ascii="Arial" w:hAnsi="Arial"/>
                <w:kern w:val="18"/>
                <w:sz w:val="20"/>
                <w:lang w:val="es-ES_tradnl"/>
              </w:rPr>
              <w:t>a</w:t>
            </w:r>
            <w:r w:rsidR="00E65DFC" w:rsidRPr="00496C0E">
              <w:rPr>
                <w:rFonts w:ascii="Arial" w:hAnsi="Arial"/>
                <w:kern w:val="18"/>
                <w:sz w:val="20"/>
                <w:lang w:val="es-ES_tradnl"/>
              </w:rPr>
              <w:t xml:space="preserve">) </w:t>
            </w:r>
            <w:r w:rsidR="00015A2C" w:rsidRPr="00496C0E">
              <w:rPr>
                <w:rFonts w:ascii="Arial" w:hAnsi="Arial"/>
                <w:kern w:val="18"/>
                <w:sz w:val="20"/>
                <w:lang w:val="es-ES_tradnl"/>
              </w:rPr>
              <w:t xml:space="preserve">refrendo de la </w:t>
            </w:r>
            <w:r w:rsidR="00E65DFC" w:rsidRPr="00496C0E">
              <w:rPr>
                <w:rFonts w:ascii="Arial" w:hAnsi="Arial"/>
                <w:kern w:val="18"/>
                <w:sz w:val="20"/>
                <w:lang w:val="es-ES_tradnl"/>
              </w:rPr>
              <w:t>CAAM, incluyendo legislación de “Common Reporting Standards”</w:t>
            </w:r>
            <w:r w:rsidR="005847FA" w:rsidRPr="00496C0E">
              <w:rPr>
                <w:rFonts w:ascii="Arial" w:hAnsi="Arial"/>
                <w:kern w:val="18"/>
                <w:sz w:val="20"/>
                <w:lang w:val="es-ES_tradnl"/>
              </w:rPr>
              <w:t xml:space="preserve">; y </w:t>
            </w:r>
            <w:r w:rsidR="0094123E">
              <w:rPr>
                <w:rFonts w:ascii="Arial" w:hAnsi="Arial" w:cs="Arial"/>
                <w:bCs/>
                <w:kern w:val="18"/>
                <w:sz w:val="20"/>
                <w:lang w:val="es-ES_tradnl"/>
              </w:rPr>
              <w:t>(</w:t>
            </w:r>
            <w:r w:rsidR="005847FA" w:rsidRPr="00496C0E">
              <w:rPr>
                <w:rFonts w:ascii="Arial" w:hAnsi="Arial"/>
                <w:kern w:val="18"/>
                <w:sz w:val="20"/>
                <w:lang w:val="es-ES_tradnl"/>
              </w:rPr>
              <w:t>b</w:t>
            </w:r>
            <w:r w:rsidR="005847FA" w:rsidRPr="00496C0E">
              <w:rPr>
                <w:rFonts w:ascii="Arial" w:hAnsi="Arial"/>
                <w:kern w:val="18"/>
                <w:sz w:val="20"/>
                <w:lang w:val="es-ES"/>
              </w:rPr>
              <w:t xml:space="preserve">) </w:t>
            </w:r>
            <w:r w:rsidR="005847FA" w:rsidRPr="00496C0E">
              <w:rPr>
                <w:rFonts w:ascii="Arial" w:hAnsi="Arial"/>
                <w:kern w:val="18"/>
                <w:sz w:val="20"/>
                <w:lang w:val="es-ES_tradnl"/>
              </w:rPr>
              <w:t>evaluación final positiva del Foro Global (con resultado “compliant” o “largely compliant”).</w:t>
            </w:r>
          </w:p>
          <w:p w14:paraId="5E37D35F" w14:textId="77777777" w:rsidR="00E65DFC" w:rsidRPr="00496C0E" w:rsidRDefault="00E65DFC" w:rsidP="0065547E">
            <w:pPr>
              <w:spacing w:before="60" w:after="60"/>
              <w:ind w:left="346" w:hanging="366"/>
              <w:rPr>
                <w:rFonts w:ascii="Arial" w:hAnsi="Arial"/>
                <w:sz w:val="20"/>
                <w:lang w:val="es-ES_tradnl"/>
              </w:rPr>
            </w:pPr>
          </w:p>
          <w:p w14:paraId="42D7F81A" w14:textId="1E13BD8B" w:rsidR="00E65DFC" w:rsidRPr="00496C0E" w:rsidRDefault="00E65DFC" w:rsidP="004F27EE">
            <w:pPr>
              <w:spacing w:before="60" w:after="60" w:line="240" w:lineRule="auto"/>
              <w:ind w:left="346" w:hanging="360"/>
              <w:rPr>
                <w:rFonts w:ascii="Arial" w:hAnsi="Arial"/>
                <w:sz w:val="20"/>
              </w:rPr>
            </w:pPr>
            <w:r w:rsidRPr="00496C0E">
              <w:rPr>
                <w:rFonts w:ascii="Arial" w:hAnsi="Arial"/>
                <w:sz w:val="20"/>
                <w:lang w:val="es-ES_tradnl"/>
              </w:rPr>
              <w:t>4.2 Implementación de provisiones legales de Conocimiento de Ultimo Beneficiario</w:t>
            </w:r>
            <w:r w:rsidR="00293F3C">
              <w:rPr>
                <w:rFonts w:ascii="Arial" w:hAnsi="Arial" w:cs="Arial"/>
                <w:bCs/>
                <w:sz w:val="20"/>
                <w:szCs w:val="20"/>
                <w:lang w:val="es-ES_tradnl"/>
              </w:rPr>
              <w:t xml:space="preserve"> de la </w:t>
            </w:r>
            <w:r w:rsidR="00CE5BA7">
              <w:rPr>
                <w:rFonts w:ascii="Arial" w:hAnsi="Arial" w:cs="Arial"/>
                <w:bCs/>
                <w:sz w:val="20"/>
                <w:szCs w:val="20"/>
                <w:lang w:val="es-ES_tradnl"/>
              </w:rPr>
              <w:t>P</w:t>
            </w:r>
            <w:r w:rsidR="00293F3C">
              <w:rPr>
                <w:rFonts w:ascii="Arial" w:hAnsi="Arial" w:cs="Arial"/>
                <w:bCs/>
                <w:sz w:val="20"/>
                <w:szCs w:val="20"/>
                <w:lang w:val="es-ES_tradnl"/>
              </w:rPr>
              <w:t>ropiedad</w:t>
            </w:r>
            <w:r w:rsidRPr="00BD61E6">
              <w:rPr>
                <w:rFonts w:ascii="Arial" w:hAnsi="Arial" w:cs="Arial"/>
                <w:bCs/>
                <w:sz w:val="20"/>
                <w:szCs w:val="20"/>
                <w:lang w:val="es-ES_tradnl"/>
              </w:rPr>
              <w:t>.</w:t>
            </w:r>
          </w:p>
        </w:tc>
        <w:tc>
          <w:tcPr>
            <w:tcW w:w="2340" w:type="dxa"/>
          </w:tcPr>
          <w:p w14:paraId="275E4C7A" w14:textId="42AFA679" w:rsidR="00F40F53" w:rsidRPr="00496C0E" w:rsidRDefault="004C4782" w:rsidP="006D103A">
            <w:pPr>
              <w:spacing w:before="20" w:after="20" w:line="240" w:lineRule="auto"/>
              <w:ind w:left="256" w:right="72" w:hanging="256"/>
              <w:rPr>
                <w:rFonts w:ascii="Arial" w:hAnsi="Arial"/>
                <w:sz w:val="20"/>
                <w:lang w:val="es-ES_tradnl"/>
              </w:rPr>
            </w:pPr>
            <w:r w:rsidRPr="00496C0E">
              <w:rPr>
                <w:rFonts w:ascii="Arial" w:hAnsi="Arial"/>
                <w:sz w:val="20"/>
                <w:lang w:val="es-ES_tradnl"/>
              </w:rPr>
              <w:t xml:space="preserve">4.1 </w:t>
            </w:r>
            <w:r w:rsidR="00F40F53" w:rsidRPr="00496C0E">
              <w:rPr>
                <w:rFonts w:ascii="Arial" w:hAnsi="Arial"/>
                <w:sz w:val="20"/>
                <w:lang w:val="es-ES_tradnl"/>
              </w:rPr>
              <w:t xml:space="preserve">a: </w:t>
            </w:r>
            <w:r w:rsidR="00F40F53" w:rsidRPr="00496C0E">
              <w:rPr>
                <w:rFonts w:ascii="Arial" w:hAnsi="Arial"/>
                <w:sz w:val="20"/>
              </w:rPr>
              <w:t xml:space="preserve">Fe de presentación de la </w:t>
            </w:r>
            <w:r w:rsidR="00F40F53" w:rsidRPr="00496C0E">
              <w:rPr>
                <w:rFonts w:ascii="Arial" w:hAnsi="Arial"/>
                <w:sz w:val="20"/>
                <w:lang w:val="es-ES_tradnl"/>
              </w:rPr>
              <w:t>CAAM a la AN</w:t>
            </w:r>
            <w:r w:rsidR="00027647" w:rsidRPr="00496C0E">
              <w:rPr>
                <w:rFonts w:ascii="Arial" w:hAnsi="Arial"/>
                <w:sz w:val="20"/>
                <w:lang w:val="es-ES_tradnl"/>
              </w:rPr>
              <w:t xml:space="preserve"> para su refrendo</w:t>
            </w:r>
            <w:r w:rsidR="00F40F53" w:rsidRPr="00496C0E">
              <w:rPr>
                <w:rFonts w:ascii="Arial" w:hAnsi="Arial"/>
                <w:sz w:val="20"/>
                <w:lang w:val="es-ES_tradnl"/>
              </w:rPr>
              <w:t xml:space="preserve">. </w:t>
            </w:r>
          </w:p>
          <w:p w14:paraId="399BB0AE" w14:textId="24AFE9F9" w:rsidR="004C4782" w:rsidRPr="00496C0E" w:rsidRDefault="00F40F53" w:rsidP="006D103A">
            <w:pPr>
              <w:spacing w:before="20" w:after="20" w:line="240" w:lineRule="auto"/>
              <w:ind w:left="256" w:right="72" w:hanging="256"/>
              <w:rPr>
                <w:rFonts w:ascii="Arial" w:hAnsi="Arial"/>
                <w:sz w:val="20"/>
                <w:lang w:val="es-ES_tradnl"/>
              </w:rPr>
            </w:pPr>
            <w:r w:rsidRPr="00496C0E">
              <w:rPr>
                <w:rFonts w:ascii="Arial" w:hAnsi="Arial"/>
                <w:sz w:val="20"/>
                <w:lang w:val="es-ES_tradnl"/>
              </w:rPr>
              <w:t>4.1 b:</w:t>
            </w:r>
            <w:r w:rsidR="0094123E">
              <w:rPr>
                <w:rFonts w:ascii="Arial" w:hAnsi="Arial" w:cs="Arial"/>
                <w:sz w:val="20"/>
                <w:szCs w:val="20"/>
                <w:lang w:val="es-ES_tradnl"/>
              </w:rPr>
              <w:t xml:space="preserve"> </w:t>
            </w:r>
            <w:r w:rsidR="004C4782" w:rsidRPr="00496C0E">
              <w:rPr>
                <w:rFonts w:ascii="Arial" w:hAnsi="Arial"/>
                <w:kern w:val="18"/>
                <w:sz w:val="20"/>
                <w:lang w:val="es-ES_tradnl"/>
              </w:rPr>
              <w:t>Evaluación final positiva del Foro Global</w:t>
            </w:r>
            <w:r w:rsidR="005847FA" w:rsidRPr="00496C0E">
              <w:rPr>
                <w:rFonts w:ascii="Arial" w:hAnsi="Arial"/>
                <w:kern w:val="18"/>
                <w:sz w:val="20"/>
                <w:lang w:val="es-ES_tradnl"/>
              </w:rPr>
              <w:t>, OCDE</w:t>
            </w:r>
            <w:r w:rsidR="004C4782" w:rsidRPr="00496C0E">
              <w:rPr>
                <w:rFonts w:ascii="Arial" w:hAnsi="Arial"/>
                <w:kern w:val="18"/>
                <w:sz w:val="20"/>
                <w:lang w:val="es-ES_tradnl"/>
              </w:rPr>
              <w:t xml:space="preserve"> completada.</w:t>
            </w:r>
          </w:p>
          <w:p w14:paraId="38A86EC3" w14:textId="389C6046" w:rsidR="004C4782" w:rsidRPr="00496C0E" w:rsidRDefault="004C4782" w:rsidP="006D103A">
            <w:pPr>
              <w:spacing w:before="20" w:after="20" w:line="240" w:lineRule="auto"/>
              <w:ind w:left="256" w:right="72" w:hanging="256"/>
              <w:rPr>
                <w:rFonts w:ascii="Arial" w:hAnsi="Arial"/>
                <w:sz w:val="20"/>
                <w:lang w:val="es-ES_tradnl"/>
              </w:rPr>
            </w:pPr>
          </w:p>
          <w:p w14:paraId="622639BD" w14:textId="6F81FF78" w:rsidR="003C647A" w:rsidRPr="00496C0E" w:rsidRDefault="003C647A" w:rsidP="006D103A">
            <w:pPr>
              <w:spacing w:before="20" w:after="20" w:line="240" w:lineRule="auto"/>
              <w:ind w:left="256" w:right="72" w:hanging="256"/>
              <w:rPr>
                <w:rFonts w:ascii="Arial" w:hAnsi="Arial"/>
                <w:sz w:val="20"/>
                <w:lang w:val="es-ES_tradnl"/>
              </w:rPr>
            </w:pPr>
          </w:p>
          <w:p w14:paraId="70E4F41C" w14:textId="5E22C238" w:rsidR="004C4782" w:rsidRPr="00496C0E" w:rsidRDefault="004C4782" w:rsidP="004F082A">
            <w:pPr>
              <w:spacing w:before="20" w:after="20" w:line="240" w:lineRule="auto"/>
              <w:ind w:left="346" w:right="72" w:hanging="346"/>
              <w:rPr>
                <w:rFonts w:ascii="Arial" w:hAnsi="Arial"/>
                <w:b/>
                <w:sz w:val="20"/>
                <w:lang w:val="es-ES_tradnl"/>
              </w:rPr>
            </w:pPr>
            <w:r w:rsidRPr="00496C0E">
              <w:rPr>
                <w:rFonts w:ascii="Arial" w:hAnsi="Arial"/>
                <w:sz w:val="20"/>
                <w:lang w:val="es-ES_tradnl"/>
              </w:rPr>
              <w:t>4.</w:t>
            </w:r>
            <w:r w:rsidR="003C647A" w:rsidRPr="00496C0E">
              <w:rPr>
                <w:rFonts w:ascii="Arial" w:hAnsi="Arial"/>
                <w:sz w:val="20"/>
                <w:lang w:val="es-ES_tradnl"/>
              </w:rPr>
              <w:t xml:space="preserve">2 </w:t>
            </w:r>
            <w:r w:rsidR="002714C4">
              <w:rPr>
                <w:rFonts w:ascii="Arial" w:eastAsia="Arial" w:hAnsi="Arial" w:cs="Arial"/>
                <w:sz w:val="20"/>
                <w:szCs w:val="20"/>
              </w:rPr>
              <w:t>Informe Control</w:t>
            </w:r>
            <w:r w:rsidR="002714C4" w:rsidRPr="00496C0E">
              <w:rPr>
                <w:rFonts w:ascii="Arial" w:hAnsi="Arial"/>
                <w:sz w:val="20"/>
              </w:rPr>
              <w:t xml:space="preserve"> de </w:t>
            </w:r>
            <w:r w:rsidR="002714C4">
              <w:rPr>
                <w:rFonts w:ascii="Arial" w:eastAsia="Arial" w:hAnsi="Arial" w:cs="Arial"/>
                <w:sz w:val="20"/>
                <w:szCs w:val="20"/>
              </w:rPr>
              <w:t>Part</w:t>
            </w:r>
            <w:r w:rsidR="0006326A">
              <w:rPr>
                <w:rFonts w:ascii="Arial" w:eastAsia="Arial" w:hAnsi="Arial" w:cs="Arial"/>
                <w:sz w:val="20"/>
                <w:szCs w:val="20"/>
              </w:rPr>
              <w:t>í</w:t>
            </w:r>
            <w:r w:rsidR="002714C4">
              <w:rPr>
                <w:rFonts w:ascii="Arial" w:eastAsia="Arial" w:hAnsi="Arial" w:cs="Arial"/>
                <w:sz w:val="20"/>
                <w:szCs w:val="20"/>
              </w:rPr>
              <w:t>cipes y Socios y</w:t>
            </w:r>
            <w:r w:rsidR="002714C4" w:rsidRPr="00496C0E">
              <w:rPr>
                <w:rFonts w:ascii="Arial" w:hAnsi="Arial"/>
                <w:sz w:val="20"/>
              </w:rPr>
              <w:t xml:space="preserve"> de </w:t>
            </w:r>
            <w:r w:rsidR="002714C4">
              <w:rPr>
                <w:rFonts w:ascii="Arial" w:eastAsia="Arial" w:hAnsi="Arial" w:cs="Arial"/>
                <w:sz w:val="20"/>
                <w:szCs w:val="20"/>
              </w:rPr>
              <w:t>Tarifa presentado por el SRI</w:t>
            </w:r>
            <w:r w:rsidR="005847FA" w:rsidRPr="00496C0E">
              <w:rPr>
                <w:rFonts w:ascii="Arial" w:hAnsi="Arial"/>
                <w:sz w:val="20"/>
              </w:rPr>
              <w:t xml:space="preserve">. </w:t>
            </w:r>
          </w:p>
          <w:p w14:paraId="7255DBED" w14:textId="3095E95E" w:rsidR="005F0F36" w:rsidRPr="00496C0E" w:rsidRDefault="005F0F36" w:rsidP="005F0F36">
            <w:pPr>
              <w:spacing w:before="20" w:after="20" w:line="240" w:lineRule="auto"/>
              <w:ind w:right="72"/>
              <w:rPr>
                <w:rFonts w:ascii="Arial" w:hAnsi="Arial"/>
                <w:sz w:val="20"/>
              </w:rPr>
            </w:pPr>
          </w:p>
        </w:tc>
        <w:tc>
          <w:tcPr>
            <w:tcW w:w="1747" w:type="dxa"/>
            <w:shd w:val="clear" w:color="auto" w:fill="auto"/>
          </w:tcPr>
          <w:p w14:paraId="2F43CAAE" w14:textId="471F675F" w:rsidR="005F0F36" w:rsidRPr="00496C0E" w:rsidRDefault="005847FA" w:rsidP="005F0F36">
            <w:pPr>
              <w:spacing w:before="20" w:after="20" w:line="240" w:lineRule="auto"/>
              <w:ind w:right="72"/>
              <w:rPr>
                <w:rFonts w:ascii="Arial" w:hAnsi="Arial"/>
                <w:sz w:val="20"/>
              </w:rPr>
            </w:pPr>
            <w:r w:rsidRPr="00496C0E">
              <w:rPr>
                <w:rFonts w:ascii="Arial" w:hAnsi="Arial"/>
                <w:sz w:val="20"/>
              </w:rPr>
              <w:t xml:space="preserve">4.1 </w:t>
            </w:r>
            <w:r w:rsidR="00F40F53" w:rsidRPr="00496C0E">
              <w:rPr>
                <w:rFonts w:ascii="Arial" w:hAnsi="Arial"/>
                <w:sz w:val="20"/>
              </w:rPr>
              <w:t xml:space="preserve">a: </w:t>
            </w:r>
            <w:r w:rsidR="005F0F36" w:rsidRPr="00496C0E">
              <w:rPr>
                <w:rFonts w:ascii="Arial" w:hAnsi="Arial"/>
                <w:sz w:val="20"/>
              </w:rPr>
              <w:t>Servicio de Rentas Internas (SRI)</w:t>
            </w:r>
            <w:r w:rsidR="00F40F53" w:rsidRPr="00496C0E">
              <w:rPr>
                <w:rFonts w:ascii="Arial" w:hAnsi="Arial"/>
                <w:sz w:val="20"/>
              </w:rPr>
              <w:t xml:space="preserve"> y Presidencia de la República.</w:t>
            </w:r>
          </w:p>
          <w:p w14:paraId="1ACD9476" w14:textId="3142A60F" w:rsidR="00F40F53" w:rsidRPr="00496C0E" w:rsidRDefault="00F40F53" w:rsidP="005F0F36">
            <w:pPr>
              <w:spacing w:before="20" w:after="20" w:line="240" w:lineRule="auto"/>
              <w:ind w:right="72"/>
              <w:rPr>
                <w:rFonts w:ascii="Arial" w:hAnsi="Arial"/>
                <w:sz w:val="20"/>
              </w:rPr>
            </w:pPr>
            <w:r w:rsidRPr="00496C0E">
              <w:rPr>
                <w:rFonts w:ascii="Arial" w:hAnsi="Arial"/>
                <w:sz w:val="20"/>
              </w:rPr>
              <w:t>4.1 b: Foro Global de la OCDE y SRI.</w:t>
            </w:r>
          </w:p>
          <w:p w14:paraId="7FF3F8DF" w14:textId="77777777" w:rsidR="005F0F36" w:rsidRPr="00496C0E" w:rsidRDefault="005F0F36" w:rsidP="005F0F36">
            <w:pPr>
              <w:spacing w:before="20" w:after="20" w:line="240" w:lineRule="auto"/>
              <w:ind w:right="72"/>
              <w:rPr>
                <w:rFonts w:ascii="Arial" w:hAnsi="Arial"/>
                <w:sz w:val="20"/>
              </w:rPr>
            </w:pPr>
          </w:p>
          <w:p w14:paraId="09C27E44" w14:textId="77777777" w:rsidR="005847FA" w:rsidRPr="00496C0E" w:rsidRDefault="005847FA" w:rsidP="005F0F36">
            <w:pPr>
              <w:spacing w:before="20" w:after="20" w:line="240" w:lineRule="auto"/>
              <w:ind w:right="72"/>
              <w:rPr>
                <w:rFonts w:ascii="Arial" w:hAnsi="Arial"/>
                <w:sz w:val="20"/>
              </w:rPr>
            </w:pPr>
          </w:p>
          <w:p w14:paraId="56C33CC4" w14:textId="6E70B79F" w:rsidR="005847FA" w:rsidRPr="00496C0E" w:rsidRDefault="005847FA" w:rsidP="005F0F36">
            <w:pPr>
              <w:spacing w:before="20" w:after="20" w:line="240" w:lineRule="auto"/>
              <w:ind w:right="72"/>
              <w:rPr>
                <w:rFonts w:ascii="Arial" w:hAnsi="Arial"/>
                <w:sz w:val="20"/>
              </w:rPr>
            </w:pPr>
            <w:r w:rsidRPr="00496C0E">
              <w:rPr>
                <w:rFonts w:ascii="Arial" w:hAnsi="Arial"/>
                <w:sz w:val="20"/>
              </w:rPr>
              <w:t xml:space="preserve">4.2 </w:t>
            </w:r>
            <w:r w:rsidR="00F40F53" w:rsidRPr="00496C0E">
              <w:rPr>
                <w:rFonts w:ascii="Arial" w:hAnsi="Arial"/>
                <w:sz w:val="20"/>
              </w:rPr>
              <w:t xml:space="preserve">SRI </w:t>
            </w:r>
            <w:r w:rsidR="00F40F53">
              <w:rPr>
                <w:rFonts w:ascii="Arial" w:eastAsia="Arial" w:hAnsi="Arial" w:cs="Arial"/>
                <w:sz w:val="20"/>
                <w:szCs w:val="20"/>
              </w:rPr>
              <w:t>.</w:t>
            </w:r>
          </w:p>
        </w:tc>
      </w:tr>
      <w:tr w:rsidR="00F40F53" w:rsidRPr="00BD61E6" w14:paraId="4DE9DB3C" w14:textId="77777777" w:rsidTr="00EF7987">
        <w:trPr>
          <w:trHeight w:val="20"/>
        </w:trPr>
        <w:tc>
          <w:tcPr>
            <w:tcW w:w="1733" w:type="dxa"/>
            <w:shd w:val="clear" w:color="auto" w:fill="auto"/>
          </w:tcPr>
          <w:p w14:paraId="472049C2" w14:textId="6867ABC4" w:rsidR="00391728" w:rsidRPr="00496C0E" w:rsidRDefault="00391728" w:rsidP="00391728">
            <w:pPr>
              <w:spacing w:before="20" w:after="20"/>
              <w:rPr>
                <w:rFonts w:ascii="Arial" w:hAnsi="Arial"/>
                <w:sz w:val="20"/>
                <w:lang w:val="es-ES_tradnl"/>
              </w:rPr>
            </w:pPr>
            <w:r w:rsidRPr="00496C0E">
              <w:rPr>
                <w:rFonts w:ascii="Arial" w:hAnsi="Arial"/>
                <w:sz w:val="20"/>
                <w:lang w:val="es-ES_tradnl"/>
              </w:rPr>
              <w:t>Mejora de la eficiencia de la gestión tributaria</w:t>
            </w:r>
          </w:p>
        </w:tc>
        <w:tc>
          <w:tcPr>
            <w:tcW w:w="3374" w:type="dxa"/>
            <w:shd w:val="clear" w:color="auto" w:fill="auto"/>
          </w:tcPr>
          <w:p w14:paraId="5C80026D" w14:textId="63A7C0AF" w:rsidR="00E65DFC" w:rsidRPr="00496C0E" w:rsidRDefault="00FA246D" w:rsidP="0065547E">
            <w:pPr>
              <w:pStyle w:val="ListParagraph"/>
              <w:numPr>
                <w:ilvl w:val="1"/>
                <w:numId w:val="26"/>
              </w:numPr>
              <w:spacing w:before="60" w:after="60"/>
              <w:rPr>
                <w:rFonts w:ascii="Arial" w:hAnsi="Arial"/>
                <w:kern w:val="18"/>
                <w:sz w:val="20"/>
                <w:lang w:val="es-ES"/>
              </w:rPr>
            </w:pPr>
            <w:r w:rsidRPr="00496C0E">
              <w:rPr>
                <w:rFonts w:ascii="Arial" w:hAnsi="Arial"/>
                <w:kern w:val="18"/>
                <w:sz w:val="20"/>
                <w:lang w:val="es-ES"/>
              </w:rPr>
              <w:t>Preparación de p</w:t>
            </w:r>
            <w:r w:rsidR="00ED38E3" w:rsidRPr="00496C0E">
              <w:rPr>
                <w:rFonts w:ascii="Arial" w:hAnsi="Arial"/>
                <w:kern w:val="18"/>
                <w:sz w:val="20"/>
                <w:lang w:val="es-ES"/>
              </w:rPr>
              <w:t>ropuesta técnica de s</w:t>
            </w:r>
            <w:r w:rsidR="00391728" w:rsidRPr="00496C0E">
              <w:rPr>
                <w:rFonts w:ascii="Arial" w:hAnsi="Arial"/>
                <w:kern w:val="18"/>
                <w:sz w:val="20"/>
                <w:lang w:val="es-ES"/>
              </w:rPr>
              <w:t xml:space="preserve">istema de </w:t>
            </w:r>
            <w:r w:rsidR="002714C4">
              <w:rPr>
                <w:rFonts w:ascii="Arial" w:hAnsi="Arial" w:cs="Arial"/>
                <w:bCs/>
                <w:kern w:val="18"/>
                <w:sz w:val="20"/>
                <w:lang w:val="es-ES"/>
              </w:rPr>
              <w:t>tributación</w:t>
            </w:r>
            <w:r w:rsidR="002714C4" w:rsidRPr="00496C0E">
              <w:rPr>
                <w:rFonts w:ascii="Arial" w:hAnsi="Arial"/>
                <w:kern w:val="18"/>
                <w:sz w:val="20"/>
                <w:lang w:val="es-ES"/>
              </w:rPr>
              <w:t xml:space="preserve"> </w:t>
            </w:r>
            <w:r w:rsidR="00391728" w:rsidRPr="00496C0E">
              <w:rPr>
                <w:rFonts w:ascii="Arial" w:hAnsi="Arial"/>
                <w:kern w:val="18"/>
                <w:sz w:val="20"/>
                <w:lang w:val="es-ES"/>
              </w:rPr>
              <w:t xml:space="preserve">a los servicios digitales cobrados con tarjeta de crédito. </w:t>
            </w:r>
          </w:p>
          <w:p w14:paraId="4B4A6582" w14:textId="5B78222A" w:rsidR="00E65DFC" w:rsidRPr="00496C0E" w:rsidRDefault="00FA246D" w:rsidP="0065547E">
            <w:pPr>
              <w:pStyle w:val="ListParagraph"/>
              <w:numPr>
                <w:ilvl w:val="1"/>
                <w:numId w:val="26"/>
              </w:numPr>
              <w:spacing w:before="60" w:after="60"/>
              <w:rPr>
                <w:rFonts w:ascii="Arial" w:hAnsi="Arial"/>
                <w:kern w:val="18"/>
                <w:sz w:val="20"/>
                <w:lang w:val="es-ES"/>
              </w:rPr>
            </w:pPr>
            <w:r w:rsidRPr="00496C0E">
              <w:rPr>
                <w:rFonts w:ascii="Arial" w:hAnsi="Arial"/>
                <w:kern w:val="18"/>
                <w:sz w:val="20"/>
                <w:lang w:val="es-ES"/>
              </w:rPr>
              <w:t>Mejora de la g</w:t>
            </w:r>
            <w:r w:rsidR="00391728" w:rsidRPr="00496C0E">
              <w:rPr>
                <w:rFonts w:ascii="Arial" w:hAnsi="Arial"/>
                <w:kern w:val="18"/>
                <w:sz w:val="20"/>
                <w:lang w:val="es-ES_tradnl"/>
              </w:rPr>
              <w:t>estión de la administración tributaria y aduanera, con la presentación de un plan de acción para la integración de procesos de manejo de datos, control y fiscalización de los contribuyentes.</w:t>
            </w:r>
          </w:p>
          <w:p w14:paraId="17DD78FB" w14:textId="2ACCDE4A" w:rsidR="00391728" w:rsidRPr="00496C0E" w:rsidRDefault="00FA246D" w:rsidP="0065547E">
            <w:pPr>
              <w:pStyle w:val="ListParagraph"/>
              <w:numPr>
                <w:ilvl w:val="1"/>
                <w:numId w:val="26"/>
              </w:numPr>
              <w:spacing w:before="60" w:after="60"/>
              <w:rPr>
                <w:rFonts w:ascii="Arial" w:hAnsi="Arial"/>
                <w:kern w:val="18"/>
                <w:sz w:val="20"/>
                <w:lang w:val="es-ES"/>
              </w:rPr>
            </w:pPr>
            <w:bookmarkStart w:id="6" w:name="_Hlk9326192"/>
            <w:r w:rsidRPr="00496C0E">
              <w:rPr>
                <w:rFonts w:ascii="Arial" w:hAnsi="Arial"/>
                <w:kern w:val="18"/>
                <w:sz w:val="20"/>
                <w:lang w:val="es-ES"/>
              </w:rPr>
              <w:t xml:space="preserve">Fortalecimiento de la </w:t>
            </w:r>
            <w:bookmarkEnd w:id="6"/>
            <w:r w:rsidRPr="00496C0E">
              <w:rPr>
                <w:rFonts w:ascii="Arial" w:hAnsi="Arial"/>
                <w:kern w:val="18"/>
                <w:sz w:val="20"/>
                <w:lang w:val="es-ES"/>
              </w:rPr>
              <w:t>e</w:t>
            </w:r>
            <w:r w:rsidR="00391728" w:rsidRPr="00496C0E">
              <w:rPr>
                <w:rFonts w:ascii="Arial" w:hAnsi="Arial"/>
                <w:kern w:val="18"/>
                <w:sz w:val="20"/>
                <w:lang w:val="es-ES"/>
              </w:rPr>
              <w:t>ficiencia de los procesos de cumplimiento tributario mediante la implementación de servicios en línea incluyendo:</w:t>
            </w:r>
          </w:p>
          <w:p w14:paraId="4479960F" w14:textId="77777777" w:rsidR="0039731D" w:rsidRPr="00496C0E" w:rsidRDefault="0039731D" w:rsidP="0065547E">
            <w:pPr>
              <w:pStyle w:val="ListParagraph"/>
              <w:spacing w:before="60" w:after="60"/>
              <w:ind w:left="360"/>
              <w:rPr>
                <w:rFonts w:ascii="Arial" w:hAnsi="Arial"/>
                <w:kern w:val="18"/>
                <w:sz w:val="20"/>
                <w:lang w:val="es-ES"/>
              </w:rPr>
            </w:pPr>
          </w:p>
          <w:p w14:paraId="39F3B6A3" w14:textId="579A1C6A" w:rsidR="00391728" w:rsidRPr="00496C0E" w:rsidRDefault="003C588A" w:rsidP="0065547E">
            <w:pPr>
              <w:pStyle w:val="ListParagraph"/>
              <w:numPr>
                <w:ilvl w:val="7"/>
                <w:numId w:val="23"/>
              </w:numPr>
              <w:spacing w:before="60" w:after="60"/>
              <w:ind w:left="571" w:hanging="270"/>
              <w:rPr>
                <w:rFonts w:ascii="Arial" w:hAnsi="Arial"/>
                <w:sz w:val="20"/>
                <w:lang w:val="es-ES_tradnl"/>
              </w:rPr>
            </w:pPr>
            <w:r w:rsidRPr="00496C0E">
              <w:rPr>
                <w:rFonts w:ascii="Arial" w:hAnsi="Arial"/>
                <w:sz w:val="20"/>
                <w:lang w:val="es-ES_tradnl"/>
              </w:rPr>
              <w:t>T</w:t>
            </w:r>
            <w:r w:rsidR="00391728" w:rsidRPr="00496C0E">
              <w:rPr>
                <w:rFonts w:ascii="Arial" w:hAnsi="Arial"/>
                <w:sz w:val="20"/>
                <w:lang w:val="es-ES_tradnl"/>
              </w:rPr>
              <w:t>ecnologías de entrega y recepción de información fiscal (formularios en línea</w:t>
            </w:r>
            <w:r w:rsidR="00391728" w:rsidRPr="00BD61E6">
              <w:rPr>
                <w:rFonts w:ascii="Arial" w:hAnsi="Arial" w:cs="Arial"/>
                <w:sz w:val="20"/>
                <w:lang w:val="es-ES_tradnl"/>
              </w:rPr>
              <w:t>)</w:t>
            </w:r>
            <w:r w:rsidR="002714C4">
              <w:rPr>
                <w:rFonts w:ascii="Arial" w:hAnsi="Arial" w:cs="Arial"/>
                <w:sz w:val="20"/>
                <w:lang w:val="es-ES_tradnl"/>
              </w:rPr>
              <w:t xml:space="preserve"> </w:t>
            </w:r>
            <w:r w:rsidR="002714C4" w:rsidRPr="002714C4">
              <w:rPr>
                <w:rFonts w:ascii="Arial" w:hAnsi="Arial" w:cs="Arial"/>
                <w:sz w:val="20"/>
                <w:lang w:val="es-ES_tradnl"/>
              </w:rPr>
              <w:t>y sistema de pago en línea de obligaciones tributarias</w:t>
            </w:r>
            <w:r w:rsidR="00391728" w:rsidRPr="00BD61E6">
              <w:rPr>
                <w:rFonts w:ascii="Arial" w:hAnsi="Arial" w:cs="Arial"/>
                <w:sz w:val="20"/>
                <w:lang w:val="es-ES_tradnl"/>
              </w:rPr>
              <w:t>.</w:t>
            </w:r>
          </w:p>
          <w:p w14:paraId="55B262A8" w14:textId="76EF8A80" w:rsidR="00391728" w:rsidRPr="00496C0E" w:rsidRDefault="001D7302" w:rsidP="0065547E">
            <w:pPr>
              <w:pStyle w:val="ListParagraph"/>
              <w:numPr>
                <w:ilvl w:val="7"/>
                <w:numId w:val="23"/>
              </w:numPr>
              <w:spacing w:before="60" w:after="60"/>
              <w:ind w:left="571" w:hanging="270"/>
              <w:rPr>
                <w:rFonts w:ascii="Arial" w:hAnsi="Arial"/>
                <w:sz w:val="20"/>
                <w:lang w:val="es-ES_tradnl"/>
              </w:rPr>
            </w:pPr>
            <w:r>
              <w:rPr>
                <w:rFonts w:ascii="Arial" w:hAnsi="Arial" w:cs="Arial"/>
                <w:sz w:val="20"/>
                <w:lang w:val="es-ES_tradnl"/>
              </w:rPr>
              <w:t>P</w:t>
            </w:r>
            <w:r w:rsidR="002714C4">
              <w:rPr>
                <w:rFonts w:ascii="Arial" w:hAnsi="Arial" w:cs="Arial"/>
                <w:sz w:val="20"/>
                <w:lang w:val="es-ES_tradnl"/>
              </w:rPr>
              <w:t xml:space="preserve">roceso de </w:t>
            </w:r>
            <w:r>
              <w:rPr>
                <w:rFonts w:ascii="Arial" w:hAnsi="Arial" w:cs="Arial"/>
                <w:sz w:val="20"/>
                <w:lang w:val="es-ES_tradnl"/>
              </w:rPr>
              <w:t>inscripción</w:t>
            </w:r>
            <w:r w:rsidR="002714C4" w:rsidRPr="00496C0E">
              <w:rPr>
                <w:rFonts w:ascii="Arial" w:hAnsi="Arial"/>
                <w:sz w:val="20"/>
                <w:lang w:val="es-ES_tradnl"/>
              </w:rPr>
              <w:t xml:space="preserve"> </w:t>
            </w:r>
            <w:r w:rsidR="00391728" w:rsidRPr="00496C0E">
              <w:rPr>
                <w:rFonts w:ascii="Arial" w:hAnsi="Arial"/>
                <w:sz w:val="20"/>
                <w:lang w:val="es-ES_tradnl"/>
              </w:rPr>
              <w:t xml:space="preserve">en línea </w:t>
            </w:r>
            <w:r w:rsidR="002714C4">
              <w:rPr>
                <w:rFonts w:ascii="Arial" w:hAnsi="Arial" w:cs="Arial"/>
                <w:sz w:val="20"/>
                <w:lang w:val="es-ES_tradnl"/>
              </w:rPr>
              <w:t>en e</w:t>
            </w:r>
            <w:r w:rsidR="00391728" w:rsidRPr="00BD61E6">
              <w:rPr>
                <w:rFonts w:ascii="Arial" w:hAnsi="Arial" w:cs="Arial"/>
                <w:sz w:val="20"/>
                <w:lang w:val="es-ES_tradnl"/>
              </w:rPr>
              <w:t>l</w:t>
            </w:r>
            <w:r w:rsidR="00391728" w:rsidRPr="00496C0E">
              <w:rPr>
                <w:rFonts w:ascii="Arial" w:hAnsi="Arial"/>
                <w:sz w:val="20"/>
                <w:lang w:val="es-ES_tradnl"/>
              </w:rPr>
              <w:t xml:space="preserve"> catastro tributario.</w:t>
            </w:r>
          </w:p>
          <w:p w14:paraId="3CBA7D61" w14:textId="130097B6" w:rsidR="00391728" w:rsidRPr="00496C0E" w:rsidRDefault="003C588A" w:rsidP="0065547E">
            <w:pPr>
              <w:pStyle w:val="ListParagraph"/>
              <w:numPr>
                <w:ilvl w:val="7"/>
                <w:numId w:val="23"/>
              </w:numPr>
              <w:spacing w:before="60" w:after="60"/>
              <w:ind w:left="571" w:hanging="270"/>
              <w:rPr>
                <w:rFonts w:ascii="Arial" w:hAnsi="Arial"/>
                <w:kern w:val="18"/>
                <w:sz w:val="20"/>
                <w:lang w:val="es-ES"/>
              </w:rPr>
            </w:pPr>
            <w:r w:rsidRPr="00496C0E">
              <w:rPr>
                <w:rFonts w:ascii="Arial" w:hAnsi="Arial"/>
                <w:sz w:val="20"/>
                <w:lang w:val="es-ES_tradnl"/>
              </w:rPr>
              <w:t>T</w:t>
            </w:r>
            <w:r w:rsidR="00391728" w:rsidRPr="00496C0E">
              <w:rPr>
                <w:rFonts w:ascii="Arial" w:hAnsi="Arial"/>
                <w:sz w:val="20"/>
                <w:lang w:val="es-ES_tradnl"/>
              </w:rPr>
              <w:t>ecnologías que reduzcan los costes de gestión de cobro de deuda tributaria.</w:t>
            </w:r>
          </w:p>
        </w:tc>
        <w:tc>
          <w:tcPr>
            <w:tcW w:w="2340" w:type="dxa"/>
            <w:shd w:val="clear" w:color="auto" w:fill="auto"/>
          </w:tcPr>
          <w:p w14:paraId="11164699" w14:textId="0C897160" w:rsidR="00391728" w:rsidRPr="00496C0E" w:rsidRDefault="001D7302" w:rsidP="0065547E">
            <w:pPr>
              <w:pStyle w:val="ListParagraph"/>
              <w:numPr>
                <w:ilvl w:val="1"/>
                <w:numId w:val="12"/>
              </w:numPr>
              <w:spacing w:before="60" w:after="60"/>
              <w:ind w:left="346" w:hanging="366"/>
              <w:rPr>
                <w:rFonts w:ascii="Arial" w:hAnsi="Arial"/>
                <w:kern w:val="18"/>
                <w:sz w:val="20"/>
                <w:lang w:val="es-ES"/>
              </w:rPr>
            </w:pPr>
            <w:r>
              <w:rPr>
                <w:rFonts w:ascii="Arial" w:hAnsi="Arial" w:cs="Arial"/>
                <w:bCs/>
                <w:kern w:val="18"/>
                <w:sz w:val="20"/>
                <w:lang w:val="es-ES"/>
              </w:rPr>
              <w:t>A</w:t>
            </w:r>
            <w:r w:rsidR="002714C4">
              <w:rPr>
                <w:rFonts w:ascii="Arial" w:hAnsi="Arial" w:cs="Arial"/>
                <w:bCs/>
                <w:kern w:val="18"/>
                <w:sz w:val="20"/>
                <w:lang w:val="es-ES"/>
              </w:rPr>
              <w:t>cta</w:t>
            </w:r>
            <w:r w:rsidR="002714C4" w:rsidRPr="00496C0E">
              <w:rPr>
                <w:rFonts w:ascii="Arial" w:hAnsi="Arial"/>
                <w:kern w:val="18"/>
                <w:sz w:val="20"/>
                <w:lang w:val="es-ES"/>
              </w:rPr>
              <w:t xml:space="preserve"> de </w:t>
            </w:r>
            <w:r w:rsidR="002714C4">
              <w:rPr>
                <w:rFonts w:ascii="Arial" w:hAnsi="Arial" w:cs="Arial"/>
                <w:bCs/>
                <w:kern w:val="18"/>
                <w:sz w:val="20"/>
                <w:lang w:val="es-ES"/>
              </w:rPr>
              <w:t>entrega</w:t>
            </w:r>
            <w:r w:rsidR="002714C4" w:rsidRPr="00496C0E">
              <w:rPr>
                <w:rFonts w:ascii="Arial" w:hAnsi="Arial"/>
                <w:kern w:val="18"/>
                <w:sz w:val="20"/>
                <w:lang w:val="es-ES"/>
              </w:rPr>
              <w:t xml:space="preserve"> de </w:t>
            </w:r>
            <w:r w:rsidR="002714C4">
              <w:rPr>
                <w:rFonts w:ascii="Arial" w:hAnsi="Arial" w:cs="Arial"/>
                <w:bCs/>
                <w:kern w:val="18"/>
                <w:sz w:val="20"/>
                <w:lang w:val="es-ES"/>
              </w:rPr>
              <w:t>la p</w:t>
            </w:r>
            <w:r w:rsidR="00ED38E3" w:rsidRPr="00BD61E6">
              <w:rPr>
                <w:rFonts w:ascii="Arial" w:hAnsi="Arial" w:cs="Arial"/>
                <w:bCs/>
                <w:kern w:val="18"/>
                <w:sz w:val="20"/>
                <w:lang w:val="es-ES"/>
              </w:rPr>
              <w:t>ropuesta</w:t>
            </w:r>
            <w:r w:rsidR="00ED38E3" w:rsidRPr="00496C0E">
              <w:rPr>
                <w:rFonts w:ascii="Arial" w:hAnsi="Arial"/>
                <w:kern w:val="18"/>
                <w:sz w:val="20"/>
                <w:lang w:val="es-ES"/>
              </w:rPr>
              <w:t xml:space="preserve"> </w:t>
            </w:r>
            <w:r w:rsidR="00622A9C" w:rsidRPr="00496C0E">
              <w:rPr>
                <w:rFonts w:ascii="Arial" w:hAnsi="Arial"/>
                <w:kern w:val="18"/>
                <w:sz w:val="20"/>
                <w:lang w:val="es-ES"/>
              </w:rPr>
              <w:t xml:space="preserve">del SRI, </w:t>
            </w:r>
            <w:r w:rsidR="002714C4" w:rsidRPr="00496C0E">
              <w:rPr>
                <w:rFonts w:ascii="Arial" w:hAnsi="Arial"/>
                <w:kern w:val="18"/>
                <w:sz w:val="20"/>
                <w:lang w:val="es-ES"/>
              </w:rPr>
              <w:t xml:space="preserve">para la </w:t>
            </w:r>
            <w:r w:rsidR="002714C4">
              <w:rPr>
                <w:rFonts w:ascii="Arial" w:hAnsi="Arial" w:cs="Arial"/>
                <w:bCs/>
                <w:kern w:val="18"/>
                <w:sz w:val="20"/>
                <w:lang w:val="es-ES"/>
              </w:rPr>
              <w:t>tributación</w:t>
            </w:r>
            <w:r w:rsidR="002714C4" w:rsidRPr="00496C0E">
              <w:rPr>
                <w:rFonts w:ascii="Arial" w:hAnsi="Arial"/>
                <w:kern w:val="18"/>
                <w:sz w:val="20"/>
                <w:lang w:val="es-ES"/>
              </w:rPr>
              <w:t xml:space="preserve"> de servicios digitales</w:t>
            </w:r>
            <w:r w:rsidR="00D40B54" w:rsidRPr="00496C0E">
              <w:rPr>
                <w:rFonts w:ascii="Arial" w:hAnsi="Arial"/>
                <w:kern w:val="18"/>
                <w:sz w:val="20"/>
                <w:lang w:val="es-ES"/>
              </w:rPr>
              <w:t>.</w:t>
            </w:r>
          </w:p>
          <w:p w14:paraId="1E9F25C3" w14:textId="0FCF3842" w:rsidR="00391728" w:rsidRPr="00496C0E" w:rsidRDefault="002714C4" w:rsidP="0065547E">
            <w:pPr>
              <w:pStyle w:val="ListParagraph"/>
              <w:numPr>
                <w:ilvl w:val="1"/>
                <w:numId w:val="12"/>
              </w:numPr>
              <w:spacing w:before="60" w:after="60"/>
              <w:ind w:left="346" w:hanging="366"/>
              <w:rPr>
                <w:rFonts w:ascii="Arial" w:hAnsi="Arial"/>
                <w:kern w:val="18"/>
                <w:sz w:val="20"/>
                <w:lang w:val="es-ES"/>
              </w:rPr>
            </w:pPr>
            <w:r>
              <w:rPr>
                <w:rFonts w:ascii="Arial" w:hAnsi="Arial" w:cs="Arial"/>
                <w:bCs/>
                <w:kern w:val="18"/>
                <w:sz w:val="20"/>
                <w:lang w:val="es-ES"/>
              </w:rPr>
              <w:t>Convenio de Cooperación Interinstitucional</w:t>
            </w:r>
            <w:r w:rsidRPr="00496C0E">
              <w:rPr>
                <w:rFonts w:ascii="Arial" w:hAnsi="Arial"/>
                <w:kern w:val="18"/>
                <w:sz w:val="20"/>
                <w:lang w:val="es-ES"/>
              </w:rPr>
              <w:t xml:space="preserve"> para</w:t>
            </w:r>
            <w:r w:rsidR="00391728" w:rsidRPr="00496C0E">
              <w:rPr>
                <w:rFonts w:ascii="Arial" w:hAnsi="Arial"/>
                <w:kern w:val="18"/>
                <w:sz w:val="20"/>
                <w:lang w:val="es-ES"/>
              </w:rPr>
              <w:t xml:space="preserve"> la integración de procesos de SRI y SENAE</w:t>
            </w:r>
            <w:r w:rsidR="008263A6" w:rsidRPr="00496C0E">
              <w:rPr>
                <w:rFonts w:ascii="Arial" w:hAnsi="Arial"/>
                <w:kern w:val="18"/>
                <w:sz w:val="20"/>
                <w:lang w:val="es-ES"/>
              </w:rPr>
              <w:t xml:space="preserve"> presentado</w:t>
            </w:r>
            <w:r w:rsidR="00027647" w:rsidRPr="00496C0E">
              <w:rPr>
                <w:rFonts w:ascii="Arial" w:hAnsi="Arial"/>
                <w:kern w:val="18"/>
                <w:sz w:val="20"/>
                <w:lang w:val="es-ES"/>
              </w:rPr>
              <w:t xml:space="preserve"> por el MEF</w:t>
            </w:r>
            <w:r w:rsidR="00391728" w:rsidRPr="00496C0E">
              <w:rPr>
                <w:rFonts w:ascii="Arial" w:hAnsi="Arial"/>
                <w:kern w:val="18"/>
                <w:sz w:val="20"/>
                <w:lang w:val="es-ES"/>
              </w:rPr>
              <w:t xml:space="preserve">. </w:t>
            </w:r>
          </w:p>
          <w:p w14:paraId="3020CC58" w14:textId="1BAE014A" w:rsidR="001577E7" w:rsidRPr="00496C0E" w:rsidRDefault="001577E7" w:rsidP="0065547E">
            <w:pPr>
              <w:pStyle w:val="ListParagraph"/>
              <w:numPr>
                <w:ilvl w:val="1"/>
                <w:numId w:val="12"/>
              </w:numPr>
              <w:spacing w:before="60" w:after="60"/>
              <w:ind w:left="346" w:hanging="366"/>
              <w:rPr>
                <w:rFonts w:ascii="Arial" w:eastAsia="Arial" w:hAnsi="Arial"/>
                <w:sz w:val="20"/>
                <w:lang w:val="es-ES"/>
              </w:rPr>
            </w:pPr>
            <w:r w:rsidRPr="00496C0E">
              <w:rPr>
                <w:rFonts w:ascii="Arial" w:hAnsi="Arial"/>
                <w:kern w:val="18"/>
                <w:sz w:val="20"/>
                <w:lang w:val="es-ES"/>
              </w:rPr>
              <w:t xml:space="preserve">Resolución Nº </w:t>
            </w:r>
            <w:r w:rsidR="00637EA7" w:rsidRPr="00496C0E">
              <w:rPr>
                <w:rFonts w:ascii="Arial" w:hAnsi="Arial"/>
                <w:kern w:val="18"/>
                <w:sz w:val="20"/>
                <w:lang w:val="es-ES"/>
              </w:rPr>
              <w:t>NAC-DGERCGC18-00000414</w:t>
            </w:r>
            <w:r w:rsidRPr="00496C0E">
              <w:rPr>
                <w:rFonts w:ascii="Arial" w:hAnsi="Arial"/>
                <w:kern w:val="18"/>
                <w:sz w:val="20"/>
                <w:lang w:val="es-ES"/>
              </w:rPr>
              <w:t xml:space="preserve"> del 25 de septiembre de 2018 del SRI, que establece las normas para simplificar y disminuir la </w:t>
            </w:r>
            <w:r w:rsidR="001D7302" w:rsidRPr="00BD61E6">
              <w:rPr>
                <w:rFonts w:ascii="Arial" w:hAnsi="Arial" w:cs="Arial"/>
                <w:bCs/>
                <w:kern w:val="18"/>
                <w:sz w:val="20"/>
                <w:lang w:val="es-ES"/>
              </w:rPr>
              <w:t>presentación</w:t>
            </w:r>
            <w:r w:rsidRPr="00496C0E">
              <w:rPr>
                <w:rFonts w:ascii="Arial" w:hAnsi="Arial"/>
                <w:kern w:val="18"/>
                <w:sz w:val="20"/>
                <w:lang w:val="es-ES"/>
              </w:rPr>
              <w:t xml:space="preserve"> de formularios y/o anexos tributarios publicada.</w:t>
            </w:r>
          </w:p>
          <w:p w14:paraId="24A92899" w14:textId="6C30A4ED" w:rsidR="00DB5F2F" w:rsidRPr="00C90A88" w:rsidRDefault="00DB5F2F" w:rsidP="00C90A88">
            <w:pPr>
              <w:pStyle w:val="ListParagraph"/>
              <w:spacing w:before="20"/>
              <w:ind w:left="360"/>
              <w:jc w:val="both"/>
              <w:rPr>
                <w:rFonts w:ascii="Arial" w:eastAsia="Arial" w:hAnsi="Arial" w:cs="Arial"/>
                <w:sz w:val="20"/>
                <w:lang w:val="es-ES_tradnl"/>
              </w:rPr>
            </w:pPr>
            <w:r w:rsidRPr="00C90A88">
              <w:rPr>
                <w:rFonts w:ascii="Arial" w:eastAsia="Arial" w:hAnsi="Arial" w:cs="Arial"/>
                <w:sz w:val="20"/>
                <w:lang w:val="es-ES_tradnl"/>
              </w:rPr>
              <w:t>Resolu</w:t>
            </w:r>
            <w:r>
              <w:rPr>
                <w:rFonts w:ascii="Arial" w:eastAsia="Arial" w:hAnsi="Arial" w:cs="Arial"/>
                <w:sz w:val="20"/>
                <w:lang w:val="es-ES_tradnl"/>
              </w:rPr>
              <w:t>ci</w:t>
            </w:r>
            <w:r w:rsidR="00E17CC3">
              <w:rPr>
                <w:rFonts w:ascii="Arial" w:eastAsia="Arial" w:hAnsi="Arial" w:cs="Arial"/>
                <w:sz w:val="20"/>
                <w:lang w:val="es-ES_tradnl"/>
              </w:rPr>
              <w:t>ó</w:t>
            </w:r>
            <w:r w:rsidRPr="00C90A88">
              <w:rPr>
                <w:rFonts w:ascii="Arial" w:eastAsia="Arial" w:hAnsi="Arial" w:cs="Arial"/>
                <w:sz w:val="20"/>
                <w:lang w:val="es-ES_tradnl"/>
              </w:rPr>
              <w:t xml:space="preserve">n SRI 806, modificación de 26 de junio 2018 </w:t>
            </w:r>
            <w:r w:rsidRPr="00C90A88">
              <w:rPr>
                <w:rFonts w:ascii="Arial" w:eastAsia="Arial" w:hAnsi="Arial" w:cs="Arial"/>
                <w:sz w:val="20"/>
                <w:lang w:val="es-ES"/>
              </w:rPr>
              <w:t>sobre Normas de Declaraci</w:t>
            </w:r>
            <w:r w:rsidR="005B5FC2">
              <w:rPr>
                <w:rFonts w:ascii="Arial" w:eastAsia="Arial" w:hAnsi="Arial" w:cs="Arial"/>
                <w:sz w:val="20"/>
                <w:lang w:val="es-ES"/>
              </w:rPr>
              <w:t>ó</w:t>
            </w:r>
            <w:r w:rsidRPr="00C90A88">
              <w:rPr>
                <w:rFonts w:ascii="Arial" w:eastAsia="Arial" w:hAnsi="Arial" w:cs="Arial"/>
                <w:sz w:val="20"/>
                <w:lang w:val="es-ES"/>
              </w:rPr>
              <w:t>n y Pago de obligaciones tributarias por internet.</w:t>
            </w:r>
          </w:p>
          <w:p w14:paraId="1583BA00" w14:textId="1D847AE0" w:rsidR="00DB5F2F" w:rsidRPr="00C90A88" w:rsidRDefault="00DB5F2F" w:rsidP="00C90A88">
            <w:pPr>
              <w:pStyle w:val="ListParagraph"/>
              <w:spacing w:before="20"/>
              <w:ind w:left="360"/>
              <w:jc w:val="both"/>
              <w:rPr>
                <w:rFonts w:ascii="Arial" w:eastAsia="Arial" w:hAnsi="Arial" w:cs="Arial"/>
                <w:sz w:val="20"/>
                <w:lang w:val="es-ES"/>
              </w:rPr>
            </w:pPr>
            <w:r w:rsidRPr="00C90A88">
              <w:rPr>
                <w:rFonts w:ascii="Arial" w:eastAsia="Arial" w:hAnsi="Arial" w:cs="Arial"/>
                <w:sz w:val="20"/>
                <w:lang w:val="es-ES"/>
              </w:rPr>
              <w:t xml:space="preserve">Resolución del SRI 417 sobre Procedimiento </w:t>
            </w:r>
            <w:r w:rsidRPr="00C90A88">
              <w:rPr>
                <w:rFonts w:ascii="Arial" w:eastAsia="Arial" w:hAnsi="Arial" w:cs="Arial"/>
                <w:sz w:val="20"/>
                <w:lang w:val="es-ES"/>
              </w:rPr>
              <w:lastRenderedPageBreak/>
              <w:t>Inscripción del</w:t>
            </w:r>
            <w:r w:rsidRPr="00C90A88">
              <w:rPr>
                <w:rFonts w:ascii="Arial" w:eastAsia="Arial" w:hAnsi="Arial" w:cs="Arial"/>
                <w:sz w:val="20"/>
                <w:lang w:val="es-ES_tradnl"/>
              </w:rPr>
              <w:t xml:space="preserve"> RUC de Personas Naturales y Sociedades, secciones referidas a la inscripción en línea de personas naturales.</w:t>
            </w:r>
          </w:p>
          <w:p w14:paraId="5968CD46" w14:textId="3DF27DD3" w:rsidR="00391728" w:rsidRPr="00496C0E" w:rsidRDefault="00391728" w:rsidP="009E1D0D">
            <w:pPr>
              <w:pStyle w:val="ListParagraph"/>
              <w:spacing w:before="60" w:after="60"/>
              <w:ind w:left="250"/>
              <w:jc w:val="both"/>
              <w:rPr>
                <w:rFonts w:ascii="Arial" w:eastAsia="Arial" w:hAnsi="Arial"/>
                <w:sz w:val="20"/>
                <w:lang w:val="es-ES"/>
              </w:rPr>
            </w:pPr>
          </w:p>
        </w:tc>
        <w:tc>
          <w:tcPr>
            <w:tcW w:w="3330" w:type="dxa"/>
          </w:tcPr>
          <w:p w14:paraId="2433E0FF" w14:textId="67C4E13C" w:rsidR="00391728" w:rsidRPr="00496C0E" w:rsidRDefault="005F02EA" w:rsidP="004F27EE">
            <w:pPr>
              <w:spacing w:before="60" w:after="60" w:line="240" w:lineRule="auto"/>
              <w:ind w:left="260" w:hanging="274"/>
              <w:rPr>
                <w:rFonts w:ascii="Arial" w:hAnsi="Arial"/>
                <w:kern w:val="18"/>
                <w:sz w:val="20"/>
              </w:rPr>
            </w:pPr>
            <w:r w:rsidRPr="00496C0E">
              <w:rPr>
                <w:rFonts w:ascii="Arial" w:hAnsi="Arial"/>
                <w:kern w:val="18"/>
                <w:sz w:val="20"/>
              </w:rPr>
              <w:lastRenderedPageBreak/>
              <w:t>4.</w:t>
            </w:r>
            <w:r w:rsidR="00E65DFC" w:rsidRPr="00496C0E">
              <w:rPr>
                <w:rFonts w:ascii="Arial" w:hAnsi="Arial"/>
                <w:kern w:val="18"/>
                <w:sz w:val="20"/>
              </w:rPr>
              <w:t>3</w:t>
            </w:r>
            <w:r w:rsidRPr="00496C0E">
              <w:rPr>
                <w:rFonts w:ascii="Arial" w:hAnsi="Arial"/>
                <w:kern w:val="18"/>
                <w:sz w:val="20"/>
              </w:rPr>
              <w:t xml:space="preserve"> </w:t>
            </w:r>
            <w:bookmarkStart w:id="7" w:name="_Hlk9326243"/>
            <w:r w:rsidR="00FA246D" w:rsidRPr="00496C0E">
              <w:rPr>
                <w:rFonts w:ascii="Arial" w:hAnsi="Arial"/>
                <w:kern w:val="18"/>
                <w:sz w:val="20"/>
              </w:rPr>
              <w:t xml:space="preserve">Incorporación de la </w:t>
            </w:r>
            <w:bookmarkEnd w:id="7"/>
            <w:r w:rsidR="004E6CEE" w:rsidRPr="00496C0E">
              <w:rPr>
                <w:rFonts w:ascii="Arial" w:hAnsi="Arial"/>
                <w:kern w:val="18"/>
                <w:sz w:val="20"/>
              </w:rPr>
              <w:t>p</w:t>
            </w:r>
            <w:r w:rsidR="00391728" w:rsidRPr="00496C0E">
              <w:rPr>
                <w:rFonts w:ascii="Arial" w:hAnsi="Arial"/>
                <w:kern w:val="18"/>
                <w:sz w:val="20"/>
              </w:rPr>
              <w:t xml:space="preserve">ropuesta </w:t>
            </w:r>
            <w:r w:rsidR="00EF32E4" w:rsidRPr="00BD61E6">
              <w:rPr>
                <w:rFonts w:ascii="Arial" w:hAnsi="Arial" w:cs="Arial"/>
                <w:bCs/>
                <w:kern w:val="18"/>
                <w:sz w:val="20"/>
              </w:rPr>
              <w:t xml:space="preserve">técnica </w:t>
            </w:r>
            <w:r w:rsidR="00EF32E4" w:rsidRPr="00496C0E">
              <w:rPr>
                <w:rFonts w:ascii="Arial" w:hAnsi="Arial"/>
                <w:kern w:val="18"/>
                <w:sz w:val="20"/>
              </w:rPr>
              <w:t xml:space="preserve">de </w:t>
            </w:r>
            <w:r w:rsidR="00EF32E4" w:rsidRPr="00BD61E6">
              <w:rPr>
                <w:rFonts w:ascii="Arial" w:hAnsi="Arial" w:cs="Arial"/>
                <w:bCs/>
                <w:kern w:val="18"/>
                <w:sz w:val="20"/>
              </w:rPr>
              <w:t>sistema</w:t>
            </w:r>
            <w:r w:rsidR="00EF32E4" w:rsidRPr="00496C0E">
              <w:rPr>
                <w:rFonts w:ascii="Arial" w:hAnsi="Arial"/>
                <w:kern w:val="18"/>
                <w:sz w:val="20"/>
              </w:rPr>
              <w:t xml:space="preserve"> de </w:t>
            </w:r>
            <w:r w:rsidR="00EF32E4">
              <w:rPr>
                <w:rFonts w:ascii="Arial" w:hAnsi="Arial" w:cs="Arial"/>
                <w:bCs/>
                <w:kern w:val="18"/>
                <w:sz w:val="20"/>
              </w:rPr>
              <w:t>tributación</w:t>
            </w:r>
            <w:r w:rsidR="00391728" w:rsidRPr="00496C0E">
              <w:rPr>
                <w:rFonts w:ascii="Arial" w:hAnsi="Arial"/>
                <w:kern w:val="18"/>
                <w:sz w:val="20"/>
              </w:rPr>
              <w:t xml:space="preserve"> a los servicios digitales </w:t>
            </w:r>
            <w:bookmarkStart w:id="8" w:name="_Hlk8057854"/>
            <w:r w:rsidR="00EF32E4" w:rsidRPr="00BD61E6">
              <w:rPr>
                <w:rFonts w:ascii="Arial" w:hAnsi="Arial" w:cs="Arial"/>
                <w:bCs/>
                <w:kern w:val="18"/>
                <w:sz w:val="20"/>
              </w:rPr>
              <w:t>cobrados con tarjeta de crédito</w:t>
            </w:r>
            <w:r w:rsidR="00EF32E4">
              <w:rPr>
                <w:rFonts w:ascii="Arial" w:hAnsi="Arial" w:cs="Arial"/>
                <w:bCs/>
                <w:kern w:val="18"/>
                <w:sz w:val="20"/>
                <w:szCs w:val="20"/>
              </w:rPr>
              <w:t xml:space="preserve"> </w:t>
            </w:r>
            <w:r w:rsidR="00FA246D" w:rsidRPr="00496C0E">
              <w:rPr>
                <w:rFonts w:ascii="Arial" w:hAnsi="Arial"/>
                <w:kern w:val="18"/>
                <w:sz w:val="20"/>
              </w:rPr>
              <w:t>en la</w:t>
            </w:r>
            <w:r w:rsidR="00ED38E3" w:rsidRPr="00496C0E">
              <w:rPr>
                <w:rFonts w:ascii="Arial" w:hAnsi="Arial"/>
                <w:kern w:val="18"/>
                <w:sz w:val="20"/>
              </w:rPr>
              <w:t xml:space="preserve"> propuesta de reforma tributaria</w:t>
            </w:r>
            <w:r w:rsidR="004F27EE" w:rsidRPr="00496C0E">
              <w:rPr>
                <w:rFonts w:ascii="Arial" w:hAnsi="Arial"/>
                <w:kern w:val="18"/>
                <w:sz w:val="20"/>
              </w:rPr>
              <w:t>.</w:t>
            </w:r>
            <w:bookmarkEnd w:id="8"/>
            <w:r w:rsidR="00391728" w:rsidRPr="00496C0E">
              <w:rPr>
                <w:rFonts w:ascii="Arial" w:hAnsi="Arial"/>
                <w:kern w:val="18"/>
                <w:sz w:val="20"/>
              </w:rPr>
              <w:t xml:space="preserve"> </w:t>
            </w:r>
          </w:p>
          <w:p w14:paraId="754B69BB" w14:textId="46869146" w:rsidR="00391728" w:rsidRPr="00496C0E" w:rsidRDefault="005F02EA" w:rsidP="004F27EE">
            <w:pPr>
              <w:spacing w:before="60" w:after="60" w:line="240" w:lineRule="auto"/>
              <w:ind w:left="260" w:hanging="274"/>
              <w:rPr>
                <w:rFonts w:ascii="Arial" w:hAnsi="Arial"/>
                <w:kern w:val="18"/>
                <w:sz w:val="20"/>
              </w:rPr>
            </w:pPr>
            <w:r w:rsidRPr="00496C0E">
              <w:rPr>
                <w:rFonts w:ascii="Arial" w:hAnsi="Arial"/>
                <w:kern w:val="18"/>
                <w:sz w:val="20"/>
              </w:rPr>
              <w:t>4.</w:t>
            </w:r>
            <w:r w:rsidR="00E65DFC" w:rsidRPr="00496C0E">
              <w:rPr>
                <w:rFonts w:ascii="Arial" w:hAnsi="Arial"/>
                <w:kern w:val="18"/>
                <w:sz w:val="20"/>
              </w:rPr>
              <w:t>4</w:t>
            </w:r>
            <w:r w:rsidRPr="00496C0E">
              <w:rPr>
                <w:rFonts w:ascii="Arial" w:hAnsi="Arial"/>
                <w:kern w:val="18"/>
                <w:sz w:val="20"/>
              </w:rPr>
              <w:t xml:space="preserve"> </w:t>
            </w:r>
            <w:r w:rsidR="00FA246D" w:rsidRPr="00496C0E">
              <w:rPr>
                <w:rFonts w:ascii="Arial" w:hAnsi="Arial"/>
                <w:kern w:val="18"/>
                <w:sz w:val="20"/>
              </w:rPr>
              <w:t>Implementación de m</w:t>
            </w:r>
            <w:r w:rsidR="00391728" w:rsidRPr="00496C0E">
              <w:rPr>
                <w:rFonts w:ascii="Arial" w:hAnsi="Arial"/>
                <w:kern w:val="18"/>
                <w:sz w:val="20"/>
              </w:rPr>
              <w:t>edidas de integración de procesos de las agencias tributarias de acuerdo con diagnóstico y hoja de ruta</w:t>
            </w:r>
            <w:r w:rsidR="004F27EE" w:rsidRPr="00496C0E">
              <w:rPr>
                <w:rFonts w:ascii="Arial" w:hAnsi="Arial"/>
                <w:kern w:val="18"/>
                <w:sz w:val="20"/>
              </w:rPr>
              <w:t>.</w:t>
            </w:r>
          </w:p>
          <w:p w14:paraId="285EB481" w14:textId="4C751DDD" w:rsidR="00391728" w:rsidRPr="00496C0E" w:rsidRDefault="005F02EA" w:rsidP="0065547E">
            <w:pPr>
              <w:spacing w:before="60" w:after="60"/>
              <w:ind w:left="256" w:hanging="276"/>
              <w:rPr>
                <w:rFonts w:ascii="Arial" w:hAnsi="Arial"/>
                <w:kern w:val="18"/>
                <w:sz w:val="20"/>
              </w:rPr>
            </w:pPr>
            <w:bookmarkStart w:id="9" w:name="_Hlk1977087"/>
            <w:r w:rsidRPr="00496C0E">
              <w:rPr>
                <w:rFonts w:ascii="Arial" w:hAnsi="Arial"/>
                <w:kern w:val="18"/>
                <w:sz w:val="20"/>
              </w:rPr>
              <w:t>4.</w:t>
            </w:r>
            <w:r w:rsidR="00E65DFC" w:rsidRPr="00496C0E">
              <w:rPr>
                <w:rFonts w:ascii="Arial" w:hAnsi="Arial"/>
                <w:kern w:val="18"/>
                <w:sz w:val="20"/>
              </w:rPr>
              <w:t>5</w:t>
            </w:r>
            <w:r w:rsidR="00FA246D" w:rsidRPr="00496C0E">
              <w:rPr>
                <w:rFonts w:ascii="Arial" w:hAnsi="Arial"/>
                <w:kern w:val="18"/>
                <w:sz w:val="20"/>
              </w:rPr>
              <w:t xml:space="preserve"> Fortalecimiento de la</w:t>
            </w:r>
            <w:r w:rsidRPr="00496C0E">
              <w:rPr>
                <w:rFonts w:ascii="Arial" w:hAnsi="Arial"/>
                <w:kern w:val="18"/>
                <w:sz w:val="20"/>
              </w:rPr>
              <w:t xml:space="preserve"> </w:t>
            </w:r>
            <w:r w:rsidR="00FA246D" w:rsidRPr="00496C0E">
              <w:rPr>
                <w:rFonts w:ascii="Arial" w:hAnsi="Arial"/>
                <w:kern w:val="18"/>
                <w:sz w:val="20"/>
              </w:rPr>
              <w:t>e</w:t>
            </w:r>
            <w:r w:rsidR="00391728" w:rsidRPr="00496C0E">
              <w:rPr>
                <w:rFonts w:ascii="Arial" w:hAnsi="Arial"/>
                <w:kern w:val="18"/>
                <w:sz w:val="20"/>
              </w:rPr>
              <w:t>ficiencia de los procesos de cumplimiento tributario mediante la implementación de servicios en línea para:</w:t>
            </w:r>
          </w:p>
          <w:p w14:paraId="543F8BBC" w14:textId="50AF428F" w:rsidR="00391728" w:rsidRPr="00496C0E" w:rsidRDefault="00293F3C" w:rsidP="0065547E">
            <w:pPr>
              <w:pStyle w:val="ListParagraph"/>
              <w:numPr>
                <w:ilvl w:val="7"/>
                <w:numId w:val="24"/>
              </w:numPr>
              <w:spacing w:before="60" w:after="60"/>
              <w:ind w:left="526" w:hanging="270"/>
              <w:rPr>
                <w:rFonts w:ascii="Arial" w:hAnsi="Arial"/>
                <w:sz w:val="20"/>
                <w:lang w:val="es-ES_tradnl"/>
              </w:rPr>
            </w:pPr>
            <w:r>
              <w:rPr>
                <w:rFonts w:ascii="Arial" w:hAnsi="Arial" w:cs="Arial"/>
                <w:sz w:val="20"/>
                <w:lang w:val="es-ES_tradnl"/>
              </w:rPr>
              <w:t>I</w:t>
            </w:r>
            <w:r w:rsidR="002714C4">
              <w:rPr>
                <w:rFonts w:ascii="Arial" w:hAnsi="Arial" w:cs="Arial"/>
                <w:sz w:val="20"/>
                <w:lang w:val="es-ES_tradnl"/>
              </w:rPr>
              <w:t>nscrip</w:t>
            </w:r>
            <w:r w:rsidR="002714C4" w:rsidRPr="00BD61E6">
              <w:rPr>
                <w:rFonts w:ascii="Arial" w:hAnsi="Arial" w:cs="Arial"/>
                <w:sz w:val="20"/>
                <w:lang w:val="es-ES_tradnl"/>
              </w:rPr>
              <w:t>ción</w:t>
            </w:r>
            <w:r w:rsidR="002714C4" w:rsidRPr="00496C0E">
              <w:rPr>
                <w:rFonts w:ascii="Arial" w:hAnsi="Arial"/>
                <w:sz w:val="20"/>
                <w:lang w:val="es-ES_tradnl"/>
              </w:rPr>
              <w:t xml:space="preserve"> </w:t>
            </w:r>
            <w:r w:rsidR="00391728" w:rsidRPr="00496C0E">
              <w:rPr>
                <w:rFonts w:ascii="Arial" w:hAnsi="Arial"/>
                <w:sz w:val="20"/>
                <w:lang w:val="es-ES_tradnl"/>
              </w:rPr>
              <w:t xml:space="preserve">de sociedades; </w:t>
            </w:r>
          </w:p>
          <w:p w14:paraId="13E4DAB2" w14:textId="7A8D3994" w:rsidR="00EC36C1" w:rsidRPr="00496C0E" w:rsidRDefault="003C588A" w:rsidP="0065547E">
            <w:pPr>
              <w:pStyle w:val="ListParagraph"/>
              <w:numPr>
                <w:ilvl w:val="7"/>
                <w:numId w:val="24"/>
              </w:numPr>
              <w:spacing w:before="60" w:after="60"/>
              <w:ind w:left="526" w:hanging="270"/>
              <w:rPr>
                <w:rFonts w:ascii="Arial" w:hAnsi="Arial"/>
                <w:sz w:val="20"/>
                <w:lang w:val="es-ES_tradnl"/>
              </w:rPr>
            </w:pPr>
            <w:r w:rsidRPr="00496C0E">
              <w:rPr>
                <w:rFonts w:ascii="Arial" w:hAnsi="Arial"/>
                <w:sz w:val="20"/>
                <w:lang w:val="es-ES_tradnl"/>
              </w:rPr>
              <w:t>D</w:t>
            </w:r>
            <w:r w:rsidR="00391728" w:rsidRPr="00496C0E">
              <w:rPr>
                <w:rFonts w:ascii="Arial" w:hAnsi="Arial"/>
                <w:sz w:val="20"/>
                <w:lang w:val="es-ES_tradnl"/>
              </w:rPr>
              <w:t>eclaración de ganancias de capital y regalías mineras.</w:t>
            </w:r>
          </w:p>
          <w:p w14:paraId="3CB01F69" w14:textId="66BA4B3A" w:rsidR="00391728" w:rsidRPr="00496C0E" w:rsidRDefault="00391728" w:rsidP="0065547E">
            <w:pPr>
              <w:pStyle w:val="ListParagraph"/>
              <w:numPr>
                <w:ilvl w:val="7"/>
                <w:numId w:val="24"/>
              </w:numPr>
              <w:spacing w:before="60" w:after="60"/>
              <w:ind w:left="526" w:hanging="270"/>
              <w:rPr>
                <w:rFonts w:ascii="Arial" w:hAnsi="Arial"/>
                <w:kern w:val="18"/>
                <w:sz w:val="20"/>
                <w:lang w:val="es-ES"/>
              </w:rPr>
            </w:pPr>
            <w:r w:rsidRPr="00496C0E">
              <w:rPr>
                <w:rFonts w:ascii="Arial" w:hAnsi="Arial"/>
                <w:sz w:val="20"/>
                <w:lang w:val="es-ES_tradnl"/>
              </w:rPr>
              <w:t>El pago en línea de la matriculación vehicular.</w:t>
            </w:r>
            <w:r w:rsidRPr="00496C0E">
              <w:rPr>
                <w:rFonts w:ascii="Arial" w:hAnsi="Arial"/>
                <w:kern w:val="18"/>
                <w:sz w:val="20"/>
                <w:lang w:val="es-ES"/>
              </w:rPr>
              <w:t xml:space="preserve"> </w:t>
            </w:r>
            <w:bookmarkEnd w:id="9"/>
          </w:p>
        </w:tc>
        <w:tc>
          <w:tcPr>
            <w:tcW w:w="2340" w:type="dxa"/>
          </w:tcPr>
          <w:p w14:paraId="1183BD16" w14:textId="15CCBCBB" w:rsidR="00391728" w:rsidRPr="00496C0E" w:rsidRDefault="00F40F53" w:rsidP="003C647A">
            <w:pPr>
              <w:pStyle w:val="ListParagraph"/>
              <w:numPr>
                <w:ilvl w:val="1"/>
                <w:numId w:val="6"/>
              </w:numPr>
              <w:spacing w:before="20"/>
              <w:jc w:val="both"/>
              <w:rPr>
                <w:rFonts w:ascii="Arial" w:eastAsia="Arial" w:hAnsi="Arial"/>
                <w:sz w:val="20"/>
                <w:lang w:val="es-ES"/>
              </w:rPr>
            </w:pPr>
            <w:r w:rsidRPr="00496C0E">
              <w:rPr>
                <w:rFonts w:ascii="Arial" w:eastAsia="Arial" w:hAnsi="Arial"/>
                <w:sz w:val="20"/>
                <w:lang w:val="es-ES"/>
              </w:rPr>
              <w:t xml:space="preserve">Fe de presentación de la Propuesta de reforma a la </w:t>
            </w:r>
            <w:r w:rsidRPr="00496C0E">
              <w:rPr>
                <w:rFonts w:ascii="Arial" w:hAnsi="Arial"/>
                <w:sz w:val="20"/>
                <w:lang w:val="es-ES_tradnl"/>
              </w:rPr>
              <w:t xml:space="preserve">Ley de Régimen Tributario Interno </w:t>
            </w:r>
            <w:r w:rsidRPr="00496C0E">
              <w:rPr>
                <w:rFonts w:ascii="Arial" w:eastAsia="Arial" w:hAnsi="Arial"/>
                <w:sz w:val="20"/>
                <w:lang w:val="es-ES"/>
              </w:rPr>
              <w:t xml:space="preserve">a la </w:t>
            </w:r>
            <w:r w:rsidR="004F27EE" w:rsidRPr="00496C0E">
              <w:rPr>
                <w:rFonts w:ascii="Arial" w:eastAsia="Arial" w:hAnsi="Arial"/>
                <w:sz w:val="20"/>
                <w:lang w:val="es-ES"/>
              </w:rPr>
              <w:t>AN</w:t>
            </w:r>
            <w:r w:rsidR="004F27EE" w:rsidRPr="00496C0E" w:rsidDel="00F40F53">
              <w:rPr>
                <w:rFonts w:ascii="Arial" w:hAnsi="Arial"/>
                <w:kern w:val="18"/>
                <w:sz w:val="20"/>
                <w:lang w:val="es-ES"/>
              </w:rPr>
              <w:t>.</w:t>
            </w:r>
          </w:p>
          <w:p w14:paraId="05F9BA88" w14:textId="77777777" w:rsidR="00391728" w:rsidRPr="00496C0E" w:rsidRDefault="00391728" w:rsidP="00391728">
            <w:pPr>
              <w:pStyle w:val="ListParagraph"/>
              <w:spacing w:before="20"/>
              <w:ind w:left="360"/>
              <w:jc w:val="both"/>
              <w:rPr>
                <w:rFonts w:ascii="Arial" w:eastAsia="Arial" w:hAnsi="Arial"/>
                <w:sz w:val="20"/>
                <w:lang w:val="es-ES"/>
              </w:rPr>
            </w:pPr>
          </w:p>
          <w:p w14:paraId="58759619" w14:textId="725B8CE4" w:rsidR="00391728" w:rsidRPr="00496C0E" w:rsidRDefault="0028388D" w:rsidP="00ED187F">
            <w:pPr>
              <w:pStyle w:val="ListParagraph"/>
              <w:numPr>
                <w:ilvl w:val="1"/>
                <w:numId w:val="6"/>
              </w:numPr>
              <w:spacing w:before="20"/>
              <w:jc w:val="both"/>
              <w:rPr>
                <w:rFonts w:ascii="Arial" w:eastAsia="Arial" w:hAnsi="Arial"/>
                <w:sz w:val="20"/>
                <w:lang w:val="es-ES"/>
              </w:rPr>
            </w:pPr>
            <w:r w:rsidRPr="00496C0E">
              <w:rPr>
                <w:rFonts w:ascii="Arial" w:hAnsi="Arial"/>
                <w:kern w:val="18"/>
                <w:sz w:val="20"/>
                <w:lang w:val="es-ES_tradnl"/>
              </w:rPr>
              <w:t>Informe</w:t>
            </w:r>
            <w:r>
              <w:rPr>
                <w:rFonts w:ascii="Arial" w:hAnsi="Arial" w:cs="Arial"/>
                <w:bCs/>
                <w:kern w:val="18"/>
                <w:sz w:val="20"/>
                <w:lang w:val="es-ES_tradnl"/>
              </w:rPr>
              <w:t xml:space="preserve"> </w:t>
            </w:r>
            <w:r w:rsidR="002714C4">
              <w:rPr>
                <w:rFonts w:ascii="Arial" w:hAnsi="Arial" w:cs="Arial"/>
                <w:bCs/>
                <w:kern w:val="18"/>
                <w:sz w:val="20"/>
                <w:lang w:val="es-ES_tradnl"/>
              </w:rPr>
              <w:t>semestral</w:t>
            </w:r>
            <w:r w:rsidR="002714C4" w:rsidRPr="00496C0E">
              <w:rPr>
                <w:rFonts w:ascii="Arial" w:hAnsi="Arial"/>
                <w:kern w:val="18"/>
                <w:sz w:val="20"/>
                <w:lang w:val="es-ES_tradnl"/>
              </w:rPr>
              <w:t xml:space="preserve"> </w:t>
            </w:r>
            <w:r w:rsidRPr="00496C0E">
              <w:rPr>
                <w:rFonts w:ascii="Arial" w:hAnsi="Arial"/>
                <w:kern w:val="18"/>
                <w:sz w:val="20"/>
                <w:lang w:val="es-ES_tradnl"/>
              </w:rPr>
              <w:t xml:space="preserve">elaborado por SRI y SENAE enviado al MEF. </w:t>
            </w:r>
          </w:p>
          <w:p w14:paraId="320C1ABE" w14:textId="77777777" w:rsidR="00391728" w:rsidRPr="00496C0E" w:rsidRDefault="00391728" w:rsidP="00391728">
            <w:pPr>
              <w:pStyle w:val="ListParagraph"/>
              <w:spacing w:before="20"/>
              <w:ind w:left="360"/>
              <w:jc w:val="both"/>
              <w:rPr>
                <w:rFonts w:ascii="Arial" w:eastAsia="Arial" w:hAnsi="Arial"/>
                <w:sz w:val="20"/>
                <w:lang w:val="es-ES"/>
              </w:rPr>
            </w:pPr>
          </w:p>
          <w:p w14:paraId="156AC6D0" w14:textId="67B9F6E5" w:rsidR="00391728" w:rsidRPr="00496C0E" w:rsidRDefault="00622A9C" w:rsidP="00ED187F">
            <w:pPr>
              <w:pStyle w:val="ListParagraph"/>
              <w:numPr>
                <w:ilvl w:val="1"/>
                <w:numId w:val="6"/>
              </w:numPr>
              <w:spacing w:before="20"/>
              <w:jc w:val="both"/>
              <w:rPr>
                <w:rFonts w:ascii="Arial" w:eastAsia="Arial" w:hAnsi="Arial"/>
                <w:sz w:val="20"/>
                <w:lang w:val="es-ES"/>
              </w:rPr>
            </w:pPr>
            <w:r w:rsidRPr="00496C0E">
              <w:rPr>
                <w:rFonts w:ascii="Arial" w:hAnsi="Arial"/>
                <w:kern w:val="18"/>
                <w:sz w:val="20"/>
                <w:lang w:val="es-ES_tradnl"/>
              </w:rPr>
              <w:t xml:space="preserve">Resoluciones del SRI </w:t>
            </w:r>
            <w:r w:rsidR="00E44DCB" w:rsidRPr="00496C0E">
              <w:rPr>
                <w:rFonts w:ascii="Arial" w:hAnsi="Arial"/>
                <w:kern w:val="18"/>
                <w:sz w:val="20"/>
                <w:lang w:val="es-ES_tradnl"/>
              </w:rPr>
              <w:t>para fortalecer la e</w:t>
            </w:r>
            <w:r w:rsidR="00E44DCB" w:rsidRPr="00496C0E">
              <w:rPr>
                <w:rFonts w:ascii="Arial" w:hAnsi="Arial"/>
                <w:kern w:val="18"/>
                <w:sz w:val="20"/>
                <w:lang w:val="es-ES"/>
              </w:rPr>
              <w:t>ficiencia de los procesos de cumplimiento tributario mediante la implementación de servicios en línea</w:t>
            </w:r>
            <w:r w:rsidR="00391728" w:rsidRPr="00496C0E">
              <w:rPr>
                <w:rFonts w:ascii="Arial" w:hAnsi="Arial"/>
                <w:sz w:val="20"/>
                <w:lang w:val="es-ES"/>
              </w:rPr>
              <w:t>.</w:t>
            </w:r>
          </w:p>
          <w:p w14:paraId="368E6F06" w14:textId="77777777" w:rsidR="00DB5F2F" w:rsidRPr="00C90A88" w:rsidRDefault="00DB5F2F" w:rsidP="00C90A88">
            <w:pPr>
              <w:pStyle w:val="ListParagraph"/>
              <w:rPr>
                <w:rFonts w:ascii="Arial" w:eastAsia="Arial" w:hAnsi="Arial" w:cs="Arial"/>
                <w:sz w:val="20"/>
                <w:lang w:val="es-ES"/>
              </w:rPr>
            </w:pPr>
          </w:p>
          <w:p w14:paraId="64419624" w14:textId="6A711E49" w:rsidR="00DB5F2F" w:rsidRDefault="00DB5F2F" w:rsidP="00DB5F2F">
            <w:pPr>
              <w:pStyle w:val="ListParagraph"/>
              <w:spacing w:before="20"/>
              <w:ind w:left="360"/>
              <w:jc w:val="both"/>
              <w:rPr>
                <w:rFonts w:ascii="Arial" w:eastAsia="Arial" w:hAnsi="Arial" w:cs="Arial"/>
                <w:sz w:val="20"/>
                <w:lang w:val="es-ES"/>
              </w:rPr>
            </w:pPr>
            <w:r>
              <w:rPr>
                <w:rFonts w:ascii="Arial" w:eastAsia="Arial" w:hAnsi="Arial" w:cs="Arial"/>
                <w:sz w:val="20"/>
                <w:lang w:val="es-ES"/>
              </w:rPr>
              <w:t xml:space="preserve">Resolución agencia nacional de </w:t>
            </w:r>
            <w:r w:rsidR="0086423F">
              <w:rPr>
                <w:rFonts w:ascii="Arial" w:eastAsia="Arial" w:hAnsi="Arial" w:cs="Arial"/>
                <w:sz w:val="20"/>
                <w:lang w:val="es-ES"/>
              </w:rPr>
              <w:t>tránsito</w:t>
            </w:r>
            <w:r>
              <w:rPr>
                <w:rFonts w:ascii="Arial" w:eastAsia="Arial" w:hAnsi="Arial" w:cs="Arial"/>
                <w:sz w:val="20"/>
                <w:lang w:val="es-ES"/>
              </w:rPr>
              <w:t xml:space="preserve"> 8, Modificación de 15 de abril de 2019, sobre Reglamento Procedimientos y Requisitos para la Matriculación Vehicular, Articulo 5 referido al pago en línea de la matriculación. </w:t>
            </w:r>
          </w:p>
          <w:p w14:paraId="2E4B215E" w14:textId="77777777" w:rsidR="00DB5F2F" w:rsidRDefault="00DB5F2F" w:rsidP="00DB5F2F">
            <w:pPr>
              <w:pStyle w:val="ListParagraph"/>
              <w:spacing w:before="20"/>
              <w:ind w:left="360"/>
              <w:jc w:val="both"/>
              <w:rPr>
                <w:rFonts w:ascii="Arial" w:eastAsia="Arial" w:hAnsi="Arial" w:cs="Arial"/>
                <w:sz w:val="20"/>
                <w:lang w:val="es-ES"/>
              </w:rPr>
            </w:pPr>
          </w:p>
          <w:p w14:paraId="5C9E0F43" w14:textId="6314747A" w:rsidR="00DB5F2F" w:rsidRPr="00C90A88" w:rsidRDefault="00DB5F2F" w:rsidP="00DB5F2F">
            <w:pPr>
              <w:pStyle w:val="ListParagraph"/>
              <w:spacing w:before="20"/>
              <w:ind w:left="360"/>
              <w:jc w:val="both"/>
              <w:rPr>
                <w:rFonts w:ascii="Arial" w:eastAsia="Arial" w:hAnsi="Arial" w:cs="Arial"/>
                <w:sz w:val="20"/>
                <w:lang w:val="es-ES_tradnl"/>
              </w:rPr>
            </w:pPr>
            <w:r w:rsidRPr="00C90A88">
              <w:rPr>
                <w:rFonts w:ascii="Arial" w:eastAsia="Arial" w:hAnsi="Arial" w:cs="Arial"/>
                <w:sz w:val="20"/>
                <w:lang w:val="es-ES_tradnl"/>
              </w:rPr>
              <w:t xml:space="preserve">Resolución del SRI 417 sobre Procedimiento </w:t>
            </w:r>
            <w:r w:rsidRPr="00C90A88">
              <w:rPr>
                <w:rFonts w:ascii="Arial" w:eastAsia="Arial" w:hAnsi="Arial" w:cs="Arial"/>
                <w:sz w:val="20"/>
                <w:lang w:val="es-ES"/>
              </w:rPr>
              <w:t>Inscripción</w:t>
            </w:r>
            <w:r w:rsidRPr="00C90A88">
              <w:rPr>
                <w:rFonts w:ascii="Arial" w:eastAsia="Arial" w:hAnsi="Arial" w:cs="Arial"/>
                <w:sz w:val="20"/>
                <w:lang w:val="es-ES_tradnl"/>
              </w:rPr>
              <w:t xml:space="preserve"> del RUC </w:t>
            </w:r>
            <w:r w:rsidRPr="00C90A88">
              <w:rPr>
                <w:rFonts w:ascii="Arial" w:eastAsia="Arial" w:hAnsi="Arial" w:cs="Arial"/>
                <w:sz w:val="20"/>
                <w:lang w:val="es-ES_tradnl"/>
              </w:rPr>
              <w:lastRenderedPageBreak/>
              <w:t>de Personas Naturales y Sociedades, secciones referidas a la inscripción en línea de sociedades.</w:t>
            </w:r>
          </w:p>
          <w:p w14:paraId="22C555E5" w14:textId="10A3B3E2" w:rsidR="00DB5F2F" w:rsidRPr="00C90A88" w:rsidRDefault="00DB5F2F" w:rsidP="00C90A88">
            <w:pPr>
              <w:pStyle w:val="ListParagraph"/>
              <w:spacing w:before="20"/>
              <w:ind w:left="360"/>
              <w:jc w:val="both"/>
              <w:rPr>
                <w:rFonts w:ascii="Arial" w:eastAsia="Arial" w:hAnsi="Arial" w:cs="Arial"/>
                <w:sz w:val="20"/>
                <w:lang w:val="es-ES_tradnl"/>
              </w:rPr>
            </w:pPr>
            <w:r w:rsidRPr="00C90A88">
              <w:rPr>
                <w:rFonts w:ascii="Arial" w:eastAsia="Arial" w:hAnsi="Arial" w:cs="Arial"/>
                <w:sz w:val="20"/>
                <w:lang w:val="es-ES_tradnl"/>
              </w:rPr>
              <w:t>Resolución SRI relativa a la declaraci</w:t>
            </w:r>
            <w:r w:rsidR="00D61B71">
              <w:rPr>
                <w:rFonts w:ascii="Arial" w:eastAsia="Arial" w:hAnsi="Arial" w:cs="Arial"/>
                <w:sz w:val="20"/>
                <w:lang w:val="es-ES_tradnl"/>
              </w:rPr>
              <w:t>ó</w:t>
            </w:r>
            <w:r w:rsidRPr="00C90A88">
              <w:rPr>
                <w:rFonts w:ascii="Arial" w:eastAsia="Arial" w:hAnsi="Arial" w:cs="Arial"/>
                <w:sz w:val="20"/>
                <w:lang w:val="es-ES_tradnl"/>
              </w:rPr>
              <w:t>n de ganancias y garantías mineras.</w:t>
            </w:r>
          </w:p>
          <w:p w14:paraId="4BB1E499" w14:textId="77777777" w:rsidR="00391728" w:rsidRPr="00496C0E" w:rsidRDefault="00391728" w:rsidP="00391728">
            <w:pPr>
              <w:spacing w:before="20" w:after="20" w:line="240" w:lineRule="auto"/>
              <w:ind w:right="72"/>
              <w:rPr>
                <w:rFonts w:ascii="Arial" w:hAnsi="Arial"/>
                <w:sz w:val="20"/>
              </w:rPr>
            </w:pPr>
          </w:p>
        </w:tc>
        <w:tc>
          <w:tcPr>
            <w:tcW w:w="1747" w:type="dxa"/>
            <w:shd w:val="clear" w:color="auto" w:fill="auto"/>
          </w:tcPr>
          <w:p w14:paraId="05439959" w14:textId="4EB0BBA4" w:rsidR="00391728" w:rsidRPr="00496C0E" w:rsidRDefault="00F40F53" w:rsidP="00391728">
            <w:pPr>
              <w:spacing w:before="20" w:after="20" w:line="240" w:lineRule="auto"/>
              <w:ind w:right="72"/>
              <w:rPr>
                <w:rFonts w:ascii="Arial" w:hAnsi="Arial"/>
                <w:sz w:val="20"/>
              </w:rPr>
            </w:pPr>
            <w:r w:rsidRPr="00496C0E">
              <w:rPr>
                <w:rFonts w:ascii="Arial" w:hAnsi="Arial"/>
                <w:sz w:val="20"/>
              </w:rPr>
              <w:lastRenderedPageBreak/>
              <w:t>4.3 SRI y Presidencia de la República.</w:t>
            </w:r>
          </w:p>
          <w:p w14:paraId="02F0B203" w14:textId="0EA1E77B" w:rsidR="00391728" w:rsidRPr="00496C0E" w:rsidRDefault="00391728" w:rsidP="00391728">
            <w:pPr>
              <w:spacing w:before="20" w:after="20" w:line="240" w:lineRule="auto"/>
              <w:ind w:right="72"/>
              <w:rPr>
                <w:rFonts w:ascii="Arial" w:hAnsi="Arial"/>
                <w:sz w:val="20"/>
              </w:rPr>
            </w:pPr>
          </w:p>
          <w:p w14:paraId="743A0357" w14:textId="709F2081" w:rsidR="00F40F53" w:rsidRPr="00496C0E" w:rsidRDefault="00F40F53" w:rsidP="00391728">
            <w:pPr>
              <w:spacing w:before="20" w:after="20" w:line="240" w:lineRule="auto"/>
              <w:ind w:right="72"/>
              <w:rPr>
                <w:rFonts w:ascii="Arial" w:hAnsi="Arial"/>
                <w:sz w:val="20"/>
              </w:rPr>
            </w:pPr>
          </w:p>
          <w:p w14:paraId="23AEF777" w14:textId="72EEBA45" w:rsidR="00F40F53" w:rsidRPr="00496C0E" w:rsidRDefault="00F40F53" w:rsidP="00391728">
            <w:pPr>
              <w:spacing w:before="20" w:after="20" w:line="240" w:lineRule="auto"/>
              <w:ind w:right="72"/>
              <w:rPr>
                <w:rFonts w:ascii="Arial" w:hAnsi="Arial"/>
                <w:sz w:val="20"/>
              </w:rPr>
            </w:pPr>
            <w:r w:rsidRPr="00496C0E">
              <w:rPr>
                <w:rFonts w:ascii="Arial" w:hAnsi="Arial"/>
                <w:sz w:val="20"/>
              </w:rPr>
              <w:t>4.4 SRI y SENAE.</w:t>
            </w:r>
          </w:p>
          <w:p w14:paraId="4B6CDF27" w14:textId="2AB9BF33" w:rsidR="00F40F53" w:rsidRPr="00496C0E" w:rsidRDefault="00F40F53" w:rsidP="00391728">
            <w:pPr>
              <w:spacing w:before="20" w:after="20" w:line="240" w:lineRule="auto"/>
              <w:ind w:right="72"/>
              <w:rPr>
                <w:rFonts w:ascii="Arial" w:hAnsi="Arial"/>
                <w:sz w:val="20"/>
              </w:rPr>
            </w:pPr>
          </w:p>
          <w:p w14:paraId="4A67F037" w14:textId="65C7CA58" w:rsidR="00F40F53" w:rsidRPr="00496C0E" w:rsidRDefault="00F40F53" w:rsidP="00391728">
            <w:pPr>
              <w:spacing w:before="20" w:after="20" w:line="240" w:lineRule="auto"/>
              <w:ind w:right="72"/>
              <w:rPr>
                <w:rFonts w:ascii="Arial" w:hAnsi="Arial"/>
                <w:sz w:val="20"/>
              </w:rPr>
            </w:pPr>
            <w:r w:rsidRPr="00496C0E">
              <w:rPr>
                <w:rFonts w:ascii="Arial" w:hAnsi="Arial"/>
                <w:sz w:val="20"/>
              </w:rPr>
              <w:t>4.5 SRI.</w:t>
            </w:r>
          </w:p>
          <w:p w14:paraId="32BF5EAE" w14:textId="77777777" w:rsidR="00391728" w:rsidRPr="00496C0E" w:rsidRDefault="00391728" w:rsidP="00391728">
            <w:pPr>
              <w:spacing w:before="20" w:after="20" w:line="240" w:lineRule="auto"/>
              <w:ind w:right="72"/>
              <w:rPr>
                <w:rFonts w:ascii="Arial" w:hAnsi="Arial"/>
                <w:sz w:val="20"/>
              </w:rPr>
            </w:pPr>
          </w:p>
          <w:p w14:paraId="731A2AD3" w14:textId="0BFDC2B9" w:rsidR="00391728" w:rsidRPr="00496C0E" w:rsidRDefault="00391728" w:rsidP="00391728">
            <w:pPr>
              <w:spacing w:before="20" w:after="20" w:line="240" w:lineRule="auto"/>
              <w:ind w:right="72"/>
              <w:rPr>
                <w:rFonts w:ascii="Arial" w:hAnsi="Arial"/>
                <w:sz w:val="20"/>
              </w:rPr>
            </w:pPr>
          </w:p>
        </w:tc>
      </w:tr>
    </w:tbl>
    <w:p w14:paraId="298AE29D" w14:textId="77777777" w:rsidR="004B009C" w:rsidRPr="00045551" w:rsidRDefault="004B009C" w:rsidP="00E63E3B">
      <w:pPr>
        <w:rPr>
          <w:rFonts w:ascii="Arial" w:hAnsi="Arial" w:cs="Arial"/>
          <w:sz w:val="18"/>
          <w:szCs w:val="18"/>
        </w:rPr>
      </w:pPr>
    </w:p>
    <w:sectPr w:rsidR="004B009C" w:rsidRPr="00045551" w:rsidSect="00A6069A">
      <w:headerReference w:type="even" r:id="rId7"/>
      <w:headerReference w:type="default" r:id="rId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74D12" w14:textId="77777777" w:rsidR="000635AA" w:rsidRDefault="000635AA">
      <w:pPr>
        <w:spacing w:after="0" w:line="240" w:lineRule="auto"/>
      </w:pPr>
      <w:r>
        <w:separator/>
      </w:r>
    </w:p>
  </w:endnote>
  <w:endnote w:type="continuationSeparator" w:id="0">
    <w:p w14:paraId="6692EB05" w14:textId="77777777" w:rsidR="000635AA" w:rsidRDefault="000635AA">
      <w:pPr>
        <w:spacing w:after="0" w:line="240" w:lineRule="auto"/>
      </w:pPr>
      <w:r>
        <w:continuationSeparator/>
      </w:r>
    </w:p>
  </w:endnote>
  <w:endnote w:type="continuationNotice" w:id="1">
    <w:p w14:paraId="4DB987C2" w14:textId="77777777" w:rsidR="000635AA" w:rsidRDefault="000635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9782D" w14:textId="77777777" w:rsidR="000635AA" w:rsidRDefault="000635AA">
      <w:pPr>
        <w:spacing w:after="0" w:line="240" w:lineRule="auto"/>
      </w:pPr>
      <w:r>
        <w:separator/>
      </w:r>
    </w:p>
  </w:footnote>
  <w:footnote w:type="continuationSeparator" w:id="0">
    <w:p w14:paraId="183248A3" w14:textId="77777777" w:rsidR="000635AA" w:rsidRDefault="000635AA">
      <w:pPr>
        <w:spacing w:after="0" w:line="240" w:lineRule="auto"/>
      </w:pPr>
      <w:r>
        <w:continuationSeparator/>
      </w:r>
    </w:p>
  </w:footnote>
  <w:footnote w:type="continuationNotice" w:id="1">
    <w:p w14:paraId="52AFECD5" w14:textId="77777777" w:rsidR="000635AA" w:rsidRDefault="000635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AE2A4" w14:textId="5AA623BA" w:rsidR="004B009C" w:rsidRDefault="00377420">
    <w:pPr>
      <w:pStyle w:val="Header"/>
      <w:rPr>
        <w:rFonts w:ascii="Arial" w:hAnsi="Arial" w:cs="Arial"/>
        <w:sz w:val="18"/>
        <w:szCs w:val="18"/>
        <w:lang w:val="es-ES_tradnl"/>
      </w:rPr>
    </w:pPr>
    <w:r>
      <w:rPr>
        <w:rFonts w:ascii="Arial" w:hAnsi="Arial" w:cs="Arial"/>
        <w:sz w:val="18"/>
        <w:szCs w:val="18"/>
        <w:lang w:val="es-ES_tradnl"/>
      </w:rPr>
      <w:t>EC</w:t>
    </w:r>
    <w:r w:rsidR="00CD7B5E">
      <w:rPr>
        <w:rFonts w:ascii="Arial" w:hAnsi="Arial" w:cs="Arial"/>
        <w:sz w:val="18"/>
        <w:szCs w:val="18"/>
        <w:lang w:val="es-ES_tradnl"/>
      </w:rPr>
      <w:t>-L12</w:t>
    </w:r>
    <w:r>
      <w:rPr>
        <w:rFonts w:ascii="Arial" w:hAnsi="Arial" w:cs="Arial"/>
        <w:sz w:val="18"/>
        <w:szCs w:val="18"/>
        <w:lang w:val="es-ES_tradnl"/>
      </w:rPr>
      <w:t>52</w:t>
    </w:r>
  </w:p>
  <w:p w14:paraId="298AE2A5" w14:textId="77777777" w:rsidR="004B009C" w:rsidRDefault="00CD7B5E">
    <w:pPr>
      <w:pStyle w:val="Header"/>
      <w:rPr>
        <w:rFonts w:ascii="Arial" w:hAnsi="Arial" w:cs="Arial"/>
        <w:sz w:val="18"/>
        <w:szCs w:val="18"/>
        <w:lang w:val="pt-BR"/>
      </w:rPr>
    </w:pPr>
    <w:r>
      <w:rPr>
        <w:rFonts w:ascii="Arial" w:hAnsi="Arial" w:cs="Arial"/>
        <w:sz w:val="18"/>
        <w:szCs w:val="18"/>
        <w:lang w:val="pt-BR"/>
      </w:rPr>
      <w:t xml:space="preserve">Página </w:t>
    </w:r>
    <w:r>
      <w:rPr>
        <w:rFonts w:ascii="Arial" w:hAnsi="Arial" w:cs="Arial"/>
        <w:bCs/>
        <w:sz w:val="18"/>
        <w:szCs w:val="18"/>
      </w:rPr>
      <w:fldChar w:fldCharType="begin"/>
    </w:r>
    <w:r>
      <w:rPr>
        <w:rFonts w:ascii="Arial" w:hAnsi="Arial" w:cs="Arial"/>
        <w:bCs/>
        <w:sz w:val="18"/>
        <w:szCs w:val="18"/>
        <w:lang w:val="pt-BR"/>
      </w:rPr>
      <w:instrText xml:space="preserve"> PAGE </w:instrText>
    </w:r>
    <w:r>
      <w:rPr>
        <w:rFonts w:ascii="Arial" w:hAnsi="Arial" w:cs="Arial"/>
        <w:bCs/>
        <w:sz w:val="18"/>
        <w:szCs w:val="18"/>
      </w:rPr>
      <w:fldChar w:fldCharType="separate"/>
    </w:r>
    <w:r>
      <w:rPr>
        <w:rFonts w:ascii="Arial" w:hAnsi="Arial" w:cs="Arial"/>
        <w:bCs/>
        <w:noProof/>
        <w:sz w:val="18"/>
        <w:szCs w:val="18"/>
        <w:lang w:val="pt-BR"/>
      </w:rPr>
      <w:t>4</w:t>
    </w:r>
    <w:r>
      <w:rPr>
        <w:rFonts w:ascii="Arial" w:hAnsi="Arial" w:cs="Arial"/>
        <w:bCs/>
        <w:sz w:val="18"/>
        <w:szCs w:val="18"/>
      </w:rPr>
      <w:fldChar w:fldCharType="end"/>
    </w:r>
    <w:r>
      <w:rPr>
        <w:rFonts w:ascii="Arial" w:hAnsi="Arial" w:cs="Arial"/>
        <w:sz w:val="18"/>
        <w:szCs w:val="18"/>
        <w:lang w:val="pt-BR"/>
      </w:rPr>
      <w:t xml:space="preserve"> de </w:t>
    </w:r>
    <w:r>
      <w:rPr>
        <w:rFonts w:ascii="Arial" w:hAnsi="Arial" w:cs="Arial"/>
        <w:bCs/>
        <w:sz w:val="18"/>
        <w:szCs w:val="18"/>
      </w:rPr>
      <w:fldChar w:fldCharType="begin"/>
    </w:r>
    <w:r>
      <w:rPr>
        <w:rFonts w:ascii="Arial" w:hAnsi="Arial" w:cs="Arial"/>
        <w:bCs/>
        <w:sz w:val="18"/>
        <w:szCs w:val="18"/>
        <w:lang w:val="pt-BR"/>
      </w:rPr>
      <w:instrText xml:space="preserve"> NUMPAGES  </w:instrText>
    </w:r>
    <w:r>
      <w:rPr>
        <w:rFonts w:ascii="Arial" w:hAnsi="Arial" w:cs="Arial"/>
        <w:bCs/>
        <w:sz w:val="18"/>
        <w:szCs w:val="18"/>
      </w:rPr>
      <w:fldChar w:fldCharType="separate"/>
    </w:r>
    <w:r>
      <w:rPr>
        <w:rFonts w:ascii="Arial" w:hAnsi="Arial" w:cs="Arial"/>
        <w:bCs/>
        <w:noProof/>
        <w:sz w:val="18"/>
        <w:szCs w:val="18"/>
        <w:lang w:val="pt-BR"/>
      </w:rPr>
      <w:t>5</w:t>
    </w:r>
    <w:r>
      <w:rPr>
        <w:rFonts w:ascii="Arial" w:hAnsi="Arial" w:cs="Arial"/>
        <w:bCs/>
        <w:sz w:val="18"/>
        <w:szCs w:val="18"/>
      </w:rPr>
      <w:fldChar w:fldCharType="end"/>
    </w:r>
  </w:p>
  <w:p w14:paraId="298AE2A6" w14:textId="77777777" w:rsidR="004B009C" w:rsidRDefault="004B0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AE2A7" w14:textId="14938D7C" w:rsidR="004B009C" w:rsidRDefault="002136F9">
    <w:pPr>
      <w:pStyle w:val="Header"/>
      <w:jc w:val="right"/>
      <w:rPr>
        <w:rFonts w:ascii="Arial" w:hAnsi="Arial" w:cs="Arial"/>
        <w:sz w:val="18"/>
        <w:szCs w:val="18"/>
        <w:lang w:val="es-ES_tradnl"/>
      </w:rPr>
    </w:pPr>
    <w:r>
      <w:rPr>
        <w:rFonts w:ascii="Arial" w:hAnsi="Arial" w:cs="Arial"/>
        <w:sz w:val="18"/>
        <w:szCs w:val="18"/>
        <w:lang w:val="es-ES_tradnl"/>
      </w:rPr>
      <w:t>EC</w:t>
    </w:r>
    <w:r w:rsidR="00CD7B5E">
      <w:rPr>
        <w:rFonts w:ascii="Arial" w:hAnsi="Arial" w:cs="Arial"/>
        <w:sz w:val="18"/>
        <w:szCs w:val="18"/>
        <w:lang w:val="es-ES_tradnl"/>
      </w:rPr>
      <w:t>-L12</w:t>
    </w:r>
    <w:r>
      <w:rPr>
        <w:rFonts w:ascii="Arial" w:hAnsi="Arial" w:cs="Arial"/>
        <w:sz w:val="18"/>
        <w:szCs w:val="18"/>
        <w:lang w:val="es-ES_tradnl"/>
      </w:rPr>
      <w:t>52</w:t>
    </w:r>
  </w:p>
  <w:p w14:paraId="298AE2A8" w14:textId="77777777" w:rsidR="004B009C" w:rsidRDefault="00CD7B5E">
    <w:pPr>
      <w:pStyle w:val="Header"/>
      <w:jc w:val="right"/>
      <w:rPr>
        <w:rFonts w:ascii="Arial" w:hAnsi="Arial" w:cs="Arial"/>
        <w:sz w:val="18"/>
        <w:szCs w:val="18"/>
        <w:lang w:val="pt-BR"/>
      </w:rPr>
    </w:pPr>
    <w:r>
      <w:rPr>
        <w:rFonts w:ascii="Arial" w:hAnsi="Arial" w:cs="Arial"/>
        <w:sz w:val="18"/>
        <w:szCs w:val="18"/>
        <w:lang w:val="es-ES_tradnl"/>
      </w:rPr>
      <w:t xml:space="preserve">Página </w:t>
    </w:r>
    <w:r>
      <w:rPr>
        <w:rFonts w:ascii="Arial" w:hAnsi="Arial" w:cs="Arial"/>
        <w:bCs/>
        <w:sz w:val="18"/>
        <w:szCs w:val="18"/>
      </w:rPr>
      <w:fldChar w:fldCharType="begin"/>
    </w:r>
    <w:r>
      <w:rPr>
        <w:rFonts w:ascii="Arial" w:hAnsi="Arial" w:cs="Arial"/>
        <w:bCs/>
        <w:sz w:val="18"/>
        <w:szCs w:val="18"/>
        <w:lang w:val="pt-BR"/>
      </w:rPr>
      <w:instrText xml:space="preserve"> PAGE </w:instrText>
    </w:r>
    <w:r>
      <w:rPr>
        <w:rFonts w:ascii="Arial" w:hAnsi="Arial" w:cs="Arial"/>
        <w:bCs/>
        <w:sz w:val="18"/>
        <w:szCs w:val="18"/>
      </w:rPr>
      <w:fldChar w:fldCharType="separate"/>
    </w:r>
    <w:r>
      <w:rPr>
        <w:rFonts w:ascii="Arial" w:hAnsi="Arial" w:cs="Arial"/>
        <w:bCs/>
        <w:noProof/>
        <w:sz w:val="18"/>
        <w:szCs w:val="18"/>
        <w:lang w:val="pt-BR"/>
      </w:rPr>
      <w:t>3</w:t>
    </w:r>
    <w:r>
      <w:rPr>
        <w:rFonts w:ascii="Arial" w:hAnsi="Arial" w:cs="Arial"/>
        <w:bCs/>
        <w:sz w:val="18"/>
        <w:szCs w:val="18"/>
      </w:rPr>
      <w:fldChar w:fldCharType="end"/>
    </w:r>
    <w:r>
      <w:rPr>
        <w:rFonts w:ascii="Arial" w:hAnsi="Arial" w:cs="Arial"/>
        <w:sz w:val="18"/>
        <w:szCs w:val="18"/>
        <w:lang w:val="pt-BR"/>
      </w:rPr>
      <w:t xml:space="preserve"> de </w:t>
    </w:r>
    <w:r>
      <w:rPr>
        <w:rFonts w:ascii="Arial" w:hAnsi="Arial" w:cs="Arial"/>
        <w:bCs/>
        <w:sz w:val="18"/>
        <w:szCs w:val="18"/>
      </w:rPr>
      <w:fldChar w:fldCharType="begin"/>
    </w:r>
    <w:r>
      <w:rPr>
        <w:rFonts w:ascii="Arial" w:hAnsi="Arial" w:cs="Arial"/>
        <w:bCs/>
        <w:sz w:val="18"/>
        <w:szCs w:val="18"/>
        <w:lang w:val="pt-BR"/>
      </w:rPr>
      <w:instrText xml:space="preserve"> NUMPAGES  </w:instrText>
    </w:r>
    <w:r>
      <w:rPr>
        <w:rFonts w:ascii="Arial" w:hAnsi="Arial" w:cs="Arial"/>
        <w:bCs/>
        <w:sz w:val="18"/>
        <w:szCs w:val="18"/>
      </w:rPr>
      <w:fldChar w:fldCharType="separate"/>
    </w:r>
    <w:r>
      <w:rPr>
        <w:rFonts w:ascii="Arial" w:hAnsi="Arial" w:cs="Arial"/>
        <w:bCs/>
        <w:noProof/>
        <w:sz w:val="18"/>
        <w:szCs w:val="18"/>
        <w:lang w:val="pt-BR"/>
      </w:rPr>
      <w:t>5</w:t>
    </w:r>
    <w:r>
      <w:rPr>
        <w:rFonts w:ascii="Arial" w:hAnsi="Arial" w:cs="Arial"/>
        <w:bCs/>
        <w:sz w:val="18"/>
        <w:szCs w:val="18"/>
      </w:rPr>
      <w:fldChar w:fldCharType="end"/>
    </w:r>
  </w:p>
  <w:p w14:paraId="298AE2A9" w14:textId="77777777" w:rsidR="004B009C" w:rsidRDefault="004B009C">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82F"/>
    <w:multiLevelType w:val="multilevel"/>
    <w:tmpl w:val="27EAC73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A91BE1"/>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084D06"/>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BB09EA"/>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39F3774"/>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70F21F7"/>
    <w:multiLevelType w:val="hybridMultilevel"/>
    <w:tmpl w:val="6736DC3C"/>
    <w:lvl w:ilvl="0" w:tplc="C3FE92A6">
      <w:start w:val="1"/>
      <w:numFmt w:val="decimal"/>
      <w:lvlText w:val="3.%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BA109F9"/>
    <w:multiLevelType w:val="multilevel"/>
    <w:tmpl w:val="C4ACA540"/>
    <w:lvl w:ilvl="0">
      <w:start w:val="1"/>
      <w:numFmt w:val="lowerLetter"/>
      <w:lvlText w:val="%1."/>
      <w:lvlJc w:val="left"/>
      <w:pPr>
        <w:ind w:left="720" w:hanging="360"/>
      </w:pPr>
      <w:rPr>
        <w:rFonts w:ascii="Arial" w:eastAsiaTheme="minorHAnsi" w:hAnsi="Arial" w:cs="Arial"/>
      </w:rPr>
    </w:lvl>
    <w:lvl w:ilvl="1">
      <w:start w:val="3"/>
      <w:numFmt w:val="decimal"/>
      <w:isLgl/>
      <w:lvlText w:val="%1.%2"/>
      <w:lvlJc w:val="left"/>
      <w:pPr>
        <w:ind w:left="732" w:hanging="372"/>
      </w:pPr>
      <w:rPr>
        <w:rFonts w:hint="default"/>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F615CE9"/>
    <w:multiLevelType w:val="hybridMultilevel"/>
    <w:tmpl w:val="6A743C14"/>
    <w:lvl w:ilvl="0" w:tplc="595238B8">
      <w:start w:val="1"/>
      <w:numFmt w:val="decimal"/>
      <w:lvlText w:val="2.%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33F2ED6"/>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7F74E7"/>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7237DBC"/>
    <w:multiLevelType w:val="multilevel"/>
    <w:tmpl w:val="C4ACA540"/>
    <w:lvl w:ilvl="0">
      <w:start w:val="1"/>
      <w:numFmt w:val="lowerLetter"/>
      <w:lvlText w:val="%1."/>
      <w:lvlJc w:val="left"/>
      <w:pPr>
        <w:ind w:left="720" w:hanging="360"/>
      </w:pPr>
      <w:rPr>
        <w:rFonts w:ascii="Arial" w:eastAsiaTheme="minorHAnsi" w:hAnsi="Arial" w:cs="Arial"/>
      </w:rPr>
    </w:lvl>
    <w:lvl w:ilvl="1">
      <w:start w:val="3"/>
      <w:numFmt w:val="decimal"/>
      <w:isLgl/>
      <w:lvlText w:val="%1.%2"/>
      <w:lvlJc w:val="left"/>
      <w:pPr>
        <w:ind w:left="732" w:hanging="372"/>
      </w:pPr>
      <w:rPr>
        <w:rFonts w:hint="default"/>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071205"/>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B8D52CB"/>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3B35ED0"/>
    <w:multiLevelType w:val="multilevel"/>
    <w:tmpl w:val="B7E0B87A"/>
    <w:lvl w:ilvl="0">
      <w:start w:val="4"/>
      <w:numFmt w:val="decimal"/>
      <w:lvlText w:val="%1"/>
      <w:lvlJc w:val="left"/>
      <w:pPr>
        <w:ind w:left="360" w:hanging="360"/>
      </w:pPr>
      <w:rPr>
        <w:rFonts w:hint="default"/>
      </w:rPr>
    </w:lvl>
    <w:lvl w:ilvl="1">
      <w:start w:val="3"/>
      <w:numFmt w:val="decimal"/>
      <w:lvlText w:val="%1.%2"/>
      <w:lvlJc w:val="left"/>
      <w:pPr>
        <w:ind w:left="360" w:hanging="360"/>
      </w:pPr>
      <w:rPr>
        <w:rFonts w:ascii="Arial" w:hAnsi="Arial" w:cs="Arial" w:hint="default"/>
        <w:sz w:val="18"/>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DA709B"/>
    <w:multiLevelType w:val="multilevel"/>
    <w:tmpl w:val="2FC85EA6"/>
    <w:lvl w:ilvl="0">
      <w:start w:val="1"/>
      <w:numFmt w:val="decimal"/>
      <w:lvlText w:val="%1"/>
      <w:lvlJc w:val="left"/>
      <w:pPr>
        <w:ind w:left="396" w:hanging="396"/>
      </w:pPr>
      <w:rPr>
        <w:rFonts w:hint="default"/>
        <w:color w:val="FFFFFF" w:themeColor="background1"/>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0A0007"/>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CD4764"/>
    <w:multiLevelType w:val="multilevel"/>
    <w:tmpl w:val="2D7A049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110471"/>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A7D4F86"/>
    <w:multiLevelType w:val="multilevel"/>
    <w:tmpl w:val="50BEE13E"/>
    <w:lvl w:ilvl="0">
      <w:start w:val="3"/>
      <w:numFmt w:val="decimal"/>
      <w:lvlText w:val="%1."/>
      <w:lvlJc w:val="left"/>
      <w:pPr>
        <w:ind w:left="720" w:hanging="360"/>
      </w:pPr>
    </w:lvl>
    <w:lvl w:ilvl="1">
      <w:start w:val="2"/>
      <w:numFmt w:val="decimal"/>
      <w:isLgl/>
      <w:lvlText w:val="%1.%2"/>
      <w:lvlJc w:val="left"/>
      <w:pPr>
        <w:ind w:left="732" w:hanging="372"/>
      </w:p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516970BE"/>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C82F1D"/>
    <w:multiLevelType w:val="multilevel"/>
    <w:tmpl w:val="4202D4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E090BB8"/>
    <w:multiLevelType w:val="multilevel"/>
    <w:tmpl w:val="747AE5C8"/>
    <w:lvl w:ilvl="0">
      <w:start w:val="4"/>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2" w15:restartNumberingAfterBreak="0">
    <w:nsid w:val="6E8069DC"/>
    <w:multiLevelType w:val="multilevel"/>
    <w:tmpl w:val="58983CC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4D5447"/>
    <w:multiLevelType w:val="multilevel"/>
    <w:tmpl w:val="C4ACA540"/>
    <w:lvl w:ilvl="0">
      <w:start w:val="1"/>
      <w:numFmt w:val="lowerLetter"/>
      <w:lvlText w:val="%1."/>
      <w:lvlJc w:val="left"/>
      <w:pPr>
        <w:ind w:left="720" w:hanging="360"/>
      </w:pPr>
      <w:rPr>
        <w:rFonts w:ascii="Arial" w:eastAsiaTheme="minorHAnsi" w:hAnsi="Arial" w:cs="Arial"/>
      </w:rPr>
    </w:lvl>
    <w:lvl w:ilvl="1">
      <w:start w:val="3"/>
      <w:numFmt w:val="decimal"/>
      <w:isLgl/>
      <w:lvlText w:val="%1.%2"/>
      <w:lvlJc w:val="left"/>
      <w:pPr>
        <w:ind w:left="732" w:hanging="372"/>
      </w:pPr>
      <w:rPr>
        <w:rFonts w:hint="default"/>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DF38DE"/>
    <w:multiLevelType w:val="hybridMultilevel"/>
    <w:tmpl w:val="CD1E9006"/>
    <w:lvl w:ilvl="0" w:tplc="E57A0130">
      <w:start w:val="1"/>
      <w:numFmt w:val="decimal"/>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74291A39"/>
    <w:multiLevelType w:val="multilevel"/>
    <w:tmpl w:val="83FCFAB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A95070E"/>
    <w:multiLevelType w:val="multilevel"/>
    <w:tmpl w:val="6D3887AA"/>
    <w:lvl w:ilvl="0">
      <w:start w:val="3"/>
      <w:numFmt w:val="decimal"/>
      <w:lvlText w:val="%1."/>
      <w:lvlJc w:val="left"/>
      <w:pPr>
        <w:ind w:left="720" w:hanging="360"/>
      </w:pPr>
    </w:lvl>
    <w:lvl w:ilvl="1">
      <w:start w:val="1"/>
      <w:numFmt w:val="decimal"/>
      <w:isLgl/>
      <w:lvlText w:val="%1.%2"/>
      <w:lvlJc w:val="left"/>
      <w:pPr>
        <w:ind w:left="732" w:hanging="372"/>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CE362E1"/>
    <w:multiLevelType w:val="hybridMultilevel"/>
    <w:tmpl w:val="F452B6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5"/>
  </w:num>
  <w:num w:numId="4">
    <w:abstractNumId w:val="16"/>
  </w:num>
  <w:num w:numId="5">
    <w:abstractNumId w:val="22"/>
  </w:num>
  <w:num w:numId="6">
    <w:abstractNumId w:val="13"/>
  </w:num>
  <w:num w:numId="7">
    <w:abstractNumId w:val="23"/>
  </w:num>
  <w:num w:numId="8">
    <w:abstractNumId w:val="17"/>
  </w:num>
  <w:num w:numId="9">
    <w:abstractNumId w:val="26"/>
  </w:num>
  <w:num w:numId="10">
    <w:abstractNumId w:val="18"/>
  </w:num>
  <w:num w:numId="11">
    <w:abstractNumId w:val="27"/>
  </w:num>
  <w:num w:numId="12">
    <w:abstractNumId w:val="21"/>
  </w:num>
  <w:num w:numId="13">
    <w:abstractNumId w:val="0"/>
  </w:num>
  <w:num w:numId="14">
    <w:abstractNumId w:val="20"/>
  </w:num>
  <w:num w:numId="15">
    <w:abstractNumId w:val="10"/>
  </w:num>
  <w:num w:numId="16">
    <w:abstractNumId w:val="8"/>
  </w:num>
  <w:num w:numId="17">
    <w:abstractNumId w:val="12"/>
  </w:num>
  <w:num w:numId="18">
    <w:abstractNumId w:val="15"/>
  </w:num>
  <w:num w:numId="19">
    <w:abstractNumId w:val="19"/>
  </w:num>
  <w:num w:numId="20">
    <w:abstractNumId w:val="11"/>
  </w:num>
  <w:num w:numId="21">
    <w:abstractNumId w:val="1"/>
  </w:num>
  <w:num w:numId="22">
    <w:abstractNumId w:val="4"/>
  </w:num>
  <w:num w:numId="23">
    <w:abstractNumId w:val="3"/>
  </w:num>
  <w:num w:numId="24">
    <w:abstractNumId w:val="9"/>
  </w:num>
  <w:num w:numId="25">
    <w:abstractNumId w:val="2"/>
  </w:num>
  <w:num w:numId="26">
    <w:abstractNumId w:val="25"/>
  </w:num>
  <w:num w:numId="27">
    <w:abstractNumId w:val="6"/>
  </w:num>
  <w:num w:numId="28">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20"/>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09C"/>
    <w:rsid w:val="0000401D"/>
    <w:rsid w:val="00004E5E"/>
    <w:rsid w:val="000055CD"/>
    <w:rsid w:val="000058D2"/>
    <w:rsid w:val="00011BA5"/>
    <w:rsid w:val="00015A2C"/>
    <w:rsid w:val="0002054F"/>
    <w:rsid w:val="00027647"/>
    <w:rsid w:val="0003376A"/>
    <w:rsid w:val="00037178"/>
    <w:rsid w:val="00042377"/>
    <w:rsid w:val="000441CB"/>
    <w:rsid w:val="00044D8B"/>
    <w:rsid w:val="00045551"/>
    <w:rsid w:val="000631D7"/>
    <w:rsid w:val="0006326A"/>
    <w:rsid w:val="000635AA"/>
    <w:rsid w:val="00066178"/>
    <w:rsid w:val="00074E98"/>
    <w:rsid w:val="00076FE6"/>
    <w:rsid w:val="00077552"/>
    <w:rsid w:val="00085592"/>
    <w:rsid w:val="00091C85"/>
    <w:rsid w:val="00094322"/>
    <w:rsid w:val="00097BEC"/>
    <w:rsid w:val="000A082F"/>
    <w:rsid w:val="000A3708"/>
    <w:rsid w:val="000A4EB9"/>
    <w:rsid w:val="000A7AF4"/>
    <w:rsid w:val="000D1358"/>
    <w:rsid w:val="000E0E4C"/>
    <w:rsid w:val="000E2E4A"/>
    <w:rsid w:val="000E60A2"/>
    <w:rsid w:val="000F7F2E"/>
    <w:rsid w:val="00102DC0"/>
    <w:rsid w:val="00112B6F"/>
    <w:rsid w:val="001216E4"/>
    <w:rsid w:val="00124858"/>
    <w:rsid w:val="00137FAA"/>
    <w:rsid w:val="001404A2"/>
    <w:rsid w:val="00140CBB"/>
    <w:rsid w:val="00144EEC"/>
    <w:rsid w:val="00156F40"/>
    <w:rsid w:val="001577E7"/>
    <w:rsid w:val="00166815"/>
    <w:rsid w:val="001809FB"/>
    <w:rsid w:val="00183692"/>
    <w:rsid w:val="001A1323"/>
    <w:rsid w:val="001A2EF7"/>
    <w:rsid w:val="001B6C6B"/>
    <w:rsid w:val="001D7302"/>
    <w:rsid w:val="001F7ACB"/>
    <w:rsid w:val="002130A6"/>
    <w:rsid w:val="002136F9"/>
    <w:rsid w:val="00224EC9"/>
    <w:rsid w:val="002348CD"/>
    <w:rsid w:val="00244941"/>
    <w:rsid w:val="00244F52"/>
    <w:rsid w:val="002455A6"/>
    <w:rsid w:val="002549F9"/>
    <w:rsid w:val="002636CD"/>
    <w:rsid w:val="00267FDE"/>
    <w:rsid w:val="002714C4"/>
    <w:rsid w:val="00274E35"/>
    <w:rsid w:val="002756BA"/>
    <w:rsid w:val="0028388D"/>
    <w:rsid w:val="00283A19"/>
    <w:rsid w:val="002852AA"/>
    <w:rsid w:val="00293F3C"/>
    <w:rsid w:val="00296930"/>
    <w:rsid w:val="002A0A83"/>
    <w:rsid w:val="002B0EBC"/>
    <w:rsid w:val="002B5644"/>
    <w:rsid w:val="002C1B2A"/>
    <w:rsid w:val="002C30D4"/>
    <w:rsid w:val="002D180F"/>
    <w:rsid w:val="002D266E"/>
    <w:rsid w:val="002E5257"/>
    <w:rsid w:val="002F3940"/>
    <w:rsid w:val="002F4177"/>
    <w:rsid w:val="002F55BD"/>
    <w:rsid w:val="00300587"/>
    <w:rsid w:val="003025D4"/>
    <w:rsid w:val="00313AC6"/>
    <w:rsid w:val="0031487C"/>
    <w:rsid w:val="0031715E"/>
    <w:rsid w:val="00317F78"/>
    <w:rsid w:val="00320C61"/>
    <w:rsid w:val="00330A9A"/>
    <w:rsid w:val="00331A4F"/>
    <w:rsid w:val="00333E82"/>
    <w:rsid w:val="00360EC2"/>
    <w:rsid w:val="00362AE2"/>
    <w:rsid w:val="00377420"/>
    <w:rsid w:val="0038424B"/>
    <w:rsid w:val="00387107"/>
    <w:rsid w:val="00391728"/>
    <w:rsid w:val="0039350E"/>
    <w:rsid w:val="003952AE"/>
    <w:rsid w:val="0039731D"/>
    <w:rsid w:val="0039776B"/>
    <w:rsid w:val="003A4E44"/>
    <w:rsid w:val="003A6138"/>
    <w:rsid w:val="003B6AC8"/>
    <w:rsid w:val="003C2EDC"/>
    <w:rsid w:val="003C53DB"/>
    <w:rsid w:val="003C588A"/>
    <w:rsid w:val="003C647A"/>
    <w:rsid w:val="003C6AB7"/>
    <w:rsid w:val="003D1684"/>
    <w:rsid w:val="003E16CF"/>
    <w:rsid w:val="003E2D72"/>
    <w:rsid w:val="003F4A29"/>
    <w:rsid w:val="00413387"/>
    <w:rsid w:val="00414BE8"/>
    <w:rsid w:val="00423C23"/>
    <w:rsid w:val="0042507E"/>
    <w:rsid w:val="00437182"/>
    <w:rsid w:val="0044205F"/>
    <w:rsid w:val="00476F9D"/>
    <w:rsid w:val="004917B5"/>
    <w:rsid w:val="00491F52"/>
    <w:rsid w:val="00492CF7"/>
    <w:rsid w:val="00495EFB"/>
    <w:rsid w:val="00496C0E"/>
    <w:rsid w:val="004A06A2"/>
    <w:rsid w:val="004A16B8"/>
    <w:rsid w:val="004A4439"/>
    <w:rsid w:val="004B009C"/>
    <w:rsid w:val="004B2108"/>
    <w:rsid w:val="004C4782"/>
    <w:rsid w:val="004C5A01"/>
    <w:rsid w:val="004D11E9"/>
    <w:rsid w:val="004E5571"/>
    <w:rsid w:val="004E5DDE"/>
    <w:rsid w:val="004E60D1"/>
    <w:rsid w:val="004E6CEE"/>
    <w:rsid w:val="004F082A"/>
    <w:rsid w:val="004F27EE"/>
    <w:rsid w:val="004F2F7D"/>
    <w:rsid w:val="004F6522"/>
    <w:rsid w:val="005004D8"/>
    <w:rsid w:val="00504CB8"/>
    <w:rsid w:val="00523C39"/>
    <w:rsid w:val="00525156"/>
    <w:rsid w:val="005319E8"/>
    <w:rsid w:val="005364C2"/>
    <w:rsid w:val="00560B7F"/>
    <w:rsid w:val="0056778C"/>
    <w:rsid w:val="00575A9A"/>
    <w:rsid w:val="00576227"/>
    <w:rsid w:val="00581296"/>
    <w:rsid w:val="00581877"/>
    <w:rsid w:val="00582E35"/>
    <w:rsid w:val="005847FA"/>
    <w:rsid w:val="00595544"/>
    <w:rsid w:val="005B5FC2"/>
    <w:rsid w:val="005C2249"/>
    <w:rsid w:val="005C6130"/>
    <w:rsid w:val="005D5775"/>
    <w:rsid w:val="005D761B"/>
    <w:rsid w:val="005E000E"/>
    <w:rsid w:val="005E03BD"/>
    <w:rsid w:val="005E342E"/>
    <w:rsid w:val="005F02EA"/>
    <w:rsid w:val="005F0F36"/>
    <w:rsid w:val="005F1F15"/>
    <w:rsid w:val="006032CD"/>
    <w:rsid w:val="0060752C"/>
    <w:rsid w:val="00610E8D"/>
    <w:rsid w:val="00613E91"/>
    <w:rsid w:val="00622A9C"/>
    <w:rsid w:val="00627ADA"/>
    <w:rsid w:val="00636A3D"/>
    <w:rsid w:val="00637EA7"/>
    <w:rsid w:val="0065547E"/>
    <w:rsid w:val="006679BA"/>
    <w:rsid w:val="006712D6"/>
    <w:rsid w:val="00677DC9"/>
    <w:rsid w:val="00696F64"/>
    <w:rsid w:val="006A274D"/>
    <w:rsid w:val="006A34B6"/>
    <w:rsid w:val="006B7BB2"/>
    <w:rsid w:val="006C225E"/>
    <w:rsid w:val="006C7F32"/>
    <w:rsid w:val="006D103A"/>
    <w:rsid w:val="006F274C"/>
    <w:rsid w:val="006F5451"/>
    <w:rsid w:val="006F78D7"/>
    <w:rsid w:val="0070220C"/>
    <w:rsid w:val="00706858"/>
    <w:rsid w:val="00707659"/>
    <w:rsid w:val="00711F05"/>
    <w:rsid w:val="00715A16"/>
    <w:rsid w:val="00743840"/>
    <w:rsid w:val="00755BAA"/>
    <w:rsid w:val="00761C96"/>
    <w:rsid w:val="00765D0D"/>
    <w:rsid w:val="007668F6"/>
    <w:rsid w:val="00770226"/>
    <w:rsid w:val="0077435F"/>
    <w:rsid w:val="00796A85"/>
    <w:rsid w:val="007B1FC4"/>
    <w:rsid w:val="007B2687"/>
    <w:rsid w:val="007B6A80"/>
    <w:rsid w:val="007C270D"/>
    <w:rsid w:val="007C4C62"/>
    <w:rsid w:val="007D0AB2"/>
    <w:rsid w:val="007D4B5F"/>
    <w:rsid w:val="007F1080"/>
    <w:rsid w:val="007F1B76"/>
    <w:rsid w:val="007F7930"/>
    <w:rsid w:val="008005F5"/>
    <w:rsid w:val="0080298C"/>
    <w:rsid w:val="00820768"/>
    <w:rsid w:val="008263A6"/>
    <w:rsid w:val="00827B56"/>
    <w:rsid w:val="0085346B"/>
    <w:rsid w:val="0086423F"/>
    <w:rsid w:val="00864BDD"/>
    <w:rsid w:val="00880042"/>
    <w:rsid w:val="008867DA"/>
    <w:rsid w:val="00891519"/>
    <w:rsid w:val="008A0FFD"/>
    <w:rsid w:val="008A6734"/>
    <w:rsid w:val="008B27BA"/>
    <w:rsid w:val="008B3B65"/>
    <w:rsid w:val="008D1079"/>
    <w:rsid w:val="008E4960"/>
    <w:rsid w:val="008E5A2B"/>
    <w:rsid w:val="008F4499"/>
    <w:rsid w:val="008F56D8"/>
    <w:rsid w:val="009018CD"/>
    <w:rsid w:val="00904580"/>
    <w:rsid w:val="009228F4"/>
    <w:rsid w:val="0094123E"/>
    <w:rsid w:val="00941C7E"/>
    <w:rsid w:val="009452ED"/>
    <w:rsid w:val="009507F4"/>
    <w:rsid w:val="00955CA5"/>
    <w:rsid w:val="0096040B"/>
    <w:rsid w:val="00961575"/>
    <w:rsid w:val="00973D79"/>
    <w:rsid w:val="00974DA1"/>
    <w:rsid w:val="00975342"/>
    <w:rsid w:val="009765EE"/>
    <w:rsid w:val="00996D5C"/>
    <w:rsid w:val="009A1E85"/>
    <w:rsid w:val="009B7DB0"/>
    <w:rsid w:val="009C1233"/>
    <w:rsid w:val="009D4F72"/>
    <w:rsid w:val="009D5F5B"/>
    <w:rsid w:val="009D7302"/>
    <w:rsid w:val="009E1D0D"/>
    <w:rsid w:val="009E7698"/>
    <w:rsid w:val="009F2115"/>
    <w:rsid w:val="009F2443"/>
    <w:rsid w:val="009F6709"/>
    <w:rsid w:val="009F7D90"/>
    <w:rsid w:val="00A07C26"/>
    <w:rsid w:val="00A11D29"/>
    <w:rsid w:val="00A12482"/>
    <w:rsid w:val="00A13CC3"/>
    <w:rsid w:val="00A141CC"/>
    <w:rsid w:val="00A20577"/>
    <w:rsid w:val="00A20C00"/>
    <w:rsid w:val="00A309CC"/>
    <w:rsid w:val="00A418D8"/>
    <w:rsid w:val="00A41E62"/>
    <w:rsid w:val="00A45988"/>
    <w:rsid w:val="00A53165"/>
    <w:rsid w:val="00A55BC1"/>
    <w:rsid w:val="00A6069A"/>
    <w:rsid w:val="00A72D3A"/>
    <w:rsid w:val="00A7515C"/>
    <w:rsid w:val="00A774D5"/>
    <w:rsid w:val="00A77E4A"/>
    <w:rsid w:val="00A9396C"/>
    <w:rsid w:val="00AB62C9"/>
    <w:rsid w:val="00AC089A"/>
    <w:rsid w:val="00AC3372"/>
    <w:rsid w:val="00AD13EA"/>
    <w:rsid w:val="00AD2773"/>
    <w:rsid w:val="00AD6873"/>
    <w:rsid w:val="00AE4769"/>
    <w:rsid w:val="00AE53B8"/>
    <w:rsid w:val="00AF04F8"/>
    <w:rsid w:val="00AF2E64"/>
    <w:rsid w:val="00B11CE2"/>
    <w:rsid w:val="00B12BA8"/>
    <w:rsid w:val="00B21F27"/>
    <w:rsid w:val="00B22766"/>
    <w:rsid w:val="00B270E2"/>
    <w:rsid w:val="00B277A2"/>
    <w:rsid w:val="00B32F6C"/>
    <w:rsid w:val="00B3314E"/>
    <w:rsid w:val="00B35314"/>
    <w:rsid w:val="00B41FF9"/>
    <w:rsid w:val="00B45CC2"/>
    <w:rsid w:val="00B47AA6"/>
    <w:rsid w:val="00B54F56"/>
    <w:rsid w:val="00B56A3D"/>
    <w:rsid w:val="00B61105"/>
    <w:rsid w:val="00B63EEB"/>
    <w:rsid w:val="00B66337"/>
    <w:rsid w:val="00B720A0"/>
    <w:rsid w:val="00B72ADA"/>
    <w:rsid w:val="00B92042"/>
    <w:rsid w:val="00B9446F"/>
    <w:rsid w:val="00BA64E3"/>
    <w:rsid w:val="00BC4F00"/>
    <w:rsid w:val="00BC6723"/>
    <w:rsid w:val="00BD61E6"/>
    <w:rsid w:val="00BF5CF4"/>
    <w:rsid w:val="00BF619C"/>
    <w:rsid w:val="00C0065B"/>
    <w:rsid w:val="00C0488C"/>
    <w:rsid w:val="00C22796"/>
    <w:rsid w:val="00C252B8"/>
    <w:rsid w:val="00C41932"/>
    <w:rsid w:val="00C54300"/>
    <w:rsid w:val="00C724CB"/>
    <w:rsid w:val="00C7264D"/>
    <w:rsid w:val="00C73B77"/>
    <w:rsid w:val="00C73DBE"/>
    <w:rsid w:val="00C877FF"/>
    <w:rsid w:val="00C90A88"/>
    <w:rsid w:val="00CA31B0"/>
    <w:rsid w:val="00CA5E01"/>
    <w:rsid w:val="00CB2BFE"/>
    <w:rsid w:val="00CB5AB4"/>
    <w:rsid w:val="00CC3F69"/>
    <w:rsid w:val="00CC6306"/>
    <w:rsid w:val="00CD7B5E"/>
    <w:rsid w:val="00CE14BD"/>
    <w:rsid w:val="00CE5BA7"/>
    <w:rsid w:val="00CF4629"/>
    <w:rsid w:val="00D0370C"/>
    <w:rsid w:val="00D140C6"/>
    <w:rsid w:val="00D15D6A"/>
    <w:rsid w:val="00D40B54"/>
    <w:rsid w:val="00D43770"/>
    <w:rsid w:val="00D46393"/>
    <w:rsid w:val="00D53E87"/>
    <w:rsid w:val="00D54F68"/>
    <w:rsid w:val="00D57AB3"/>
    <w:rsid w:val="00D61B71"/>
    <w:rsid w:val="00D70298"/>
    <w:rsid w:val="00D763F7"/>
    <w:rsid w:val="00D8045B"/>
    <w:rsid w:val="00D9057A"/>
    <w:rsid w:val="00D9319D"/>
    <w:rsid w:val="00D93DA9"/>
    <w:rsid w:val="00DB473B"/>
    <w:rsid w:val="00DB5F2F"/>
    <w:rsid w:val="00DB6127"/>
    <w:rsid w:val="00DC5AFD"/>
    <w:rsid w:val="00DD37E8"/>
    <w:rsid w:val="00DD6C5D"/>
    <w:rsid w:val="00DE15B2"/>
    <w:rsid w:val="00DE7700"/>
    <w:rsid w:val="00E00042"/>
    <w:rsid w:val="00E0191A"/>
    <w:rsid w:val="00E01C43"/>
    <w:rsid w:val="00E12C36"/>
    <w:rsid w:val="00E16FF3"/>
    <w:rsid w:val="00E1732E"/>
    <w:rsid w:val="00E17C64"/>
    <w:rsid w:val="00E17CC3"/>
    <w:rsid w:val="00E2631A"/>
    <w:rsid w:val="00E274AF"/>
    <w:rsid w:val="00E323F0"/>
    <w:rsid w:val="00E44DCB"/>
    <w:rsid w:val="00E44E56"/>
    <w:rsid w:val="00E4511E"/>
    <w:rsid w:val="00E46FD8"/>
    <w:rsid w:val="00E63E3B"/>
    <w:rsid w:val="00E65DFC"/>
    <w:rsid w:val="00E8272A"/>
    <w:rsid w:val="00E83198"/>
    <w:rsid w:val="00E85696"/>
    <w:rsid w:val="00E96634"/>
    <w:rsid w:val="00E96F10"/>
    <w:rsid w:val="00EA2EDC"/>
    <w:rsid w:val="00EB2DE5"/>
    <w:rsid w:val="00EC0FF9"/>
    <w:rsid w:val="00EC36C1"/>
    <w:rsid w:val="00ED187F"/>
    <w:rsid w:val="00ED38E3"/>
    <w:rsid w:val="00EF2E61"/>
    <w:rsid w:val="00EF32E4"/>
    <w:rsid w:val="00EF370C"/>
    <w:rsid w:val="00EF7987"/>
    <w:rsid w:val="00F00C19"/>
    <w:rsid w:val="00F0287B"/>
    <w:rsid w:val="00F03C87"/>
    <w:rsid w:val="00F32111"/>
    <w:rsid w:val="00F34E55"/>
    <w:rsid w:val="00F35FBE"/>
    <w:rsid w:val="00F40D27"/>
    <w:rsid w:val="00F40F53"/>
    <w:rsid w:val="00F444B9"/>
    <w:rsid w:val="00F449DB"/>
    <w:rsid w:val="00F548D7"/>
    <w:rsid w:val="00F63CC1"/>
    <w:rsid w:val="00F65B3E"/>
    <w:rsid w:val="00F66E94"/>
    <w:rsid w:val="00F7735E"/>
    <w:rsid w:val="00F83399"/>
    <w:rsid w:val="00F903EA"/>
    <w:rsid w:val="00F91B61"/>
    <w:rsid w:val="00F942C5"/>
    <w:rsid w:val="00FA246D"/>
    <w:rsid w:val="00FB21B9"/>
    <w:rsid w:val="00FB6237"/>
    <w:rsid w:val="00FC79E1"/>
    <w:rsid w:val="00FE0206"/>
    <w:rsid w:val="00FE0973"/>
    <w:rsid w:val="00FE37DE"/>
    <w:rsid w:val="00FF7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A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spacing w:after="0" w:line="240" w:lineRule="auto"/>
      <w:ind w:left="720"/>
      <w:contextualSpacing/>
    </w:pPr>
    <w:rPr>
      <w:rFonts w:ascii="Times New Roman" w:eastAsia="Times New Roman" w:hAnsi="Times New Roman"/>
      <w:sz w:val="24"/>
      <w:szCs w:val="20"/>
      <w:lang w:val="en-US"/>
    </w:rPr>
  </w:style>
  <w:style w:type="character" w:customStyle="1" w:styleId="ListParagraphChar">
    <w:name w:val="List Paragraph Char"/>
    <w:link w:val="ListParagraph"/>
    <w:uiPriority w:val="34"/>
    <w:rPr>
      <w:rFonts w:ascii="Times New Roman" w:eastAsia="Times New Roman" w:hAnsi="Times New Roman" w:cs="Times New Roman"/>
      <w:sz w:val="24"/>
      <w:szCs w:val="20"/>
    </w:rPr>
  </w:style>
  <w:style w:type="character" w:styleId="Hyperlink">
    <w:name w:val="Hyperlink"/>
    <w:rPr>
      <w:color w:val="0000FF"/>
      <w:u w:val="single"/>
    </w:r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link w:val="Header"/>
    <w:rPr>
      <w:lang w:val="es-E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es-ES"/>
    </w:r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link w:val="FootnoteText"/>
    <w:uiPriority w:val="99"/>
    <w:rPr>
      <w:sz w:val="20"/>
      <w:szCs w:val="20"/>
      <w:lang w:val="es-ES"/>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Style 24"/>
    <w:uiPriority w:val="99"/>
    <w:unhideWhenUsed/>
    <w:qFormat/>
    <w:rPr>
      <w:vertAlign w:val="superscript"/>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link w:val="Footer"/>
    <w:uiPriority w:val="99"/>
    <w:rPr>
      <w:lang w:val="es-ES"/>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link w:val="CommentText"/>
    <w:uiPriority w:val="99"/>
    <w:rPr>
      <w:sz w:val="20"/>
      <w:szCs w:val="20"/>
      <w:lang w:val="es-E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sz w:val="20"/>
      <w:szCs w:val="20"/>
      <w:lang w:val="es-ES"/>
    </w:rPr>
  </w:style>
  <w:style w:type="paragraph" w:styleId="PlainText">
    <w:name w:val="Plain Text"/>
    <w:basedOn w:val="Normal"/>
    <w:link w:val="PlainTextChar"/>
    <w:uiPriority w:val="99"/>
    <w:unhideWhenUsed/>
    <w:pPr>
      <w:spacing w:after="0" w:line="240" w:lineRule="auto"/>
    </w:pPr>
  </w:style>
  <w:style w:type="character" w:customStyle="1" w:styleId="PlainTextChar">
    <w:name w:val="Plain Text Char"/>
    <w:link w:val="PlainText"/>
    <w:uiPriority w:val="99"/>
    <w:rPr>
      <w:rFonts w:ascii="Calibri" w:hAnsi="Calibri" w:cs="Times New Roman"/>
      <w:lang w:val="es-ES"/>
    </w:rPr>
  </w:style>
  <w:style w:type="paragraph" w:styleId="Revision">
    <w:name w:val="Revision"/>
    <w:hidden/>
    <w:uiPriority w:val="99"/>
    <w:semiHidden/>
    <w:rPr>
      <w:sz w:val="22"/>
      <w:szCs w:val="22"/>
      <w:lang w:val="es-ES"/>
    </w:rPr>
  </w:style>
  <w:style w:type="paragraph" w:customStyle="1" w:styleId="Default">
    <w:name w:val="Default"/>
    <w:pPr>
      <w:autoSpaceDE w:val="0"/>
      <w:autoSpaceDN w:val="0"/>
      <w:adjustRightInd w:val="0"/>
    </w:pPr>
    <w:rPr>
      <w:rFonts w:ascii="Verdana" w:hAnsi="Verdana" w:cs="Verdana"/>
      <w:color w:val="000000"/>
      <w:sz w:val="24"/>
      <w:szCs w:val="24"/>
      <w:lang w:val="es-ES"/>
    </w:rPr>
  </w:style>
  <w:style w:type="character" w:customStyle="1" w:styleId="apple-converted-space">
    <w:name w:val="apple-converted-space"/>
    <w:basedOn w:val="DefaultParagraphFont"/>
  </w:style>
  <w:style w:type="character" w:styleId="UnresolvedMention">
    <w:name w:val="Unresolved Mention"/>
    <w:basedOn w:val="DefaultParagraphFont"/>
    <w:uiPriority w:val="99"/>
    <w:semiHidden/>
    <w:unhideWhenUsed/>
    <w:rPr>
      <w:color w:val="808080"/>
      <w:shd w:val="clear" w:color="auto" w:fill="E6E6E6"/>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6803">
      <w:bodyDiv w:val="1"/>
      <w:marLeft w:val="0"/>
      <w:marRight w:val="0"/>
      <w:marTop w:val="0"/>
      <w:marBottom w:val="0"/>
      <w:divBdr>
        <w:top w:val="none" w:sz="0" w:space="0" w:color="auto"/>
        <w:left w:val="none" w:sz="0" w:space="0" w:color="auto"/>
        <w:bottom w:val="none" w:sz="0" w:space="0" w:color="auto"/>
        <w:right w:val="none" w:sz="0" w:space="0" w:color="auto"/>
      </w:divBdr>
    </w:div>
    <w:div w:id="77136157">
      <w:bodyDiv w:val="1"/>
      <w:marLeft w:val="0"/>
      <w:marRight w:val="0"/>
      <w:marTop w:val="0"/>
      <w:marBottom w:val="0"/>
      <w:divBdr>
        <w:top w:val="none" w:sz="0" w:space="0" w:color="auto"/>
        <w:left w:val="none" w:sz="0" w:space="0" w:color="auto"/>
        <w:bottom w:val="none" w:sz="0" w:space="0" w:color="auto"/>
        <w:right w:val="none" w:sz="0" w:space="0" w:color="auto"/>
      </w:divBdr>
    </w:div>
    <w:div w:id="169874819">
      <w:bodyDiv w:val="1"/>
      <w:marLeft w:val="0"/>
      <w:marRight w:val="0"/>
      <w:marTop w:val="0"/>
      <w:marBottom w:val="0"/>
      <w:divBdr>
        <w:top w:val="none" w:sz="0" w:space="0" w:color="auto"/>
        <w:left w:val="none" w:sz="0" w:space="0" w:color="auto"/>
        <w:bottom w:val="none" w:sz="0" w:space="0" w:color="auto"/>
        <w:right w:val="none" w:sz="0" w:space="0" w:color="auto"/>
      </w:divBdr>
    </w:div>
    <w:div w:id="257447931">
      <w:bodyDiv w:val="1"/>
      <w:marLeft w:val="0"/>
      <w:marRight w:val="0"/>
      <w:marTop w:val="0"/>
      <w:marBottom w:val="0"/>
      <w:divBdr>
        <w:top w:val="none" w:sz="0" w:space="0" w:color="auto"/>
        <w:left w:val="none" w:sz="0" w:space="0" w:color="auto"/>
        <w:bottom w:val="none" w:sz="0" w:space="0" w:color="auto"/>
        <w:right w:val="none" w:sz="0" w:space="0" w:color="auto"/>
      </w:divBdr>
    </w:div>
    <w:div w:id="491918062">
      <w:bodyDiv w:val="1"/>
      <w:marLeft w:val="0"/>
      <w:marRight w:val="0"/>
      <w:marTop w:val="0"/>
      <w:marBottom w:val="0"/>
      <w:divBdr>
        <w:top w:val="none" w:sz="0" w:space="0" w:color="auto"/>
        <w:left w:val="none" w:sz="0" w:space="0" w:color="auto"/>
        <w:bottom w:val="none" w:sz="0" w:space="0" w:color="auto"/>
        <w:right w:val="none" w:sz="0" w:space="0" w:color="auto"/>
      </w:divBdr>
    </w:div>
    <w:div w:id="522089705">
      <w:bodyDiv w:val="1"/>
      <w:marLeft w:val="0"/>
      <w:marRight w:val="0"/>
      <w:marTop w:val="0"/>
      <w:marBottom w:val="0"/>
      <w:divBdr>
        <w:top w:val="none" w:sz="0" w:space="0" w:color="auto"/>
        <w:left w:val="none" w:sz="0" w:space="0" w:color="auto"/>
        <w:bottom w:val="none" w:sz="0" w:space="0" w:color="auto"/>
        <w:right w:val="none" w:sz="0" w:space="0" w:color="auto"/>
      </w:divBdr>
    </w:div>
    <w:div w:id="562832469">
      <w:bodyDiv w:val="1"/>
      <w:marLeft w:val="0"/>
      <w:marRight w:val="0"/>
      <w:marTop w:val="0"/>
      <w:marBottom w:val="0"/>
      <w:divBdr>
        <w:top w:val="none" w:sz="0" w:space="0" w:color="auto"/>
        <w:left w:val="none" w:sz="0" w:space="0" w:color="auto"/>
        <w:bottom w:val="none" w:sz="0" w:space="0" w:color="auto"/>
        <w:right w:val="none" w:sz="0" w:space="0" w:color="auto"/>
      </w:divBdr>
    </w:div>
    <w:div w:id="674580126">
      <w:bodyDiv w:val="1"/>
      <w:marLeft w:val="0"/>
      <w:marRight w:val="0"/>
      <w:marTop w:val="0"/>
      <w:marBottom w:val="0"/>
      <w:divBdr>
        <w:top w:val="none" w:sz="0" w:space="0" w:color="auto"/>
        <w:left w:val="none" w:sz="0" w:space="0" w:color="auto"/>
        <w:bottom w:val="none" w:sz="0" w:space="0" w:color="auto"/>
        <w:right w:val="none" w:sz="0" w:space="0" w:color="auto"/>
      </w:divBdr>
    </w:div>
    <w:div w:id="807017141">
      <w:bodyDiv w:val="1"/>
      <w:marLeft w:val="0"/>
      <w:marRight w:val="0"/>
      <w:marTop w:val="0"/>
      <w:marBottom w:val="0"/>
      <w:divBdr>
        <w:top w:val="none" w:sz="0" w:space="0" w:color="auto"/>
        <w:left w:val="none" w:sz="0" w:space="0" w:color="auto"/>
        <w:bottom w:val="none" w:sz="0" w:space="0" w:color="auto"/>
        <w:right w:val="none" w:sz="0" w:space="0" w:color="auto"/>
      </w:divBdr>
    </w:div>
    <w:div w:id="933128050">
      <w:bodyDiv w:val="1"/>
      <w:marLeft w:val="0"/>
      <w:marRight w:val="0"/>
      <w:marTop w:val="0"/>
      <w:marBottom w:val="0"/>
      <w:divBdr>
        <w:top w:val="none" w:sz="0" w:space="0" w:color="auto"/>
        <w:left w:val="none" w:sz="0" w:space="0" w:color="auto"/>
        <w:bottom w:val="none" w:sz="0" w:space="0" w:color="auto"/>
        <w:right w:val="none" w:sz="0" w:space="0" w:color="auto"/>
      </w:divBdr>
    </w:div>
    <w:div w:id="957374004">
      <w:bodyDiv w:val="1"/>
      <w:marLeft w:val="0"/>
      <w:marRight w:val="0"/>
      <w:marTop w:val="0"/>
      <w:marBottom w:val="0"/>
      <w:divBdr>
        <w:top w:val="none" w:sz="0" w:space="0" w:color="auto"/>
        <w:left w:val="none" w:sz="0" w:space="0" w:color="auto"/>
        <w:bottom w:val="none" w:sz="0" w:space="0" w:color="auto"/>
        <w:right w:val="none" w:sz="0" w:space="0" w:color="auto"/>
      </w:divBdr>
    </w:div>
    <w:div w:id="1014306223">
      <w:bodyDiv w:val="1"/>
      <w:marLeft w:val="0"/>
      <w:marRight w:val="0"/>
      <w:marTop w:val="0"/>
      <w:marBottom w:val="0"/>
      <w:divBdr>
        <w:top w:val="none" w:sz="0" w:space="0" w:color="auto"/>
        <w:left w:val="none" w:sz="0" w:space="0" w:color="auto"/>
        <w:bottom w:val="none" w:sz="0" w:space="0" w:color="auto"/>
        <w:right w:val="none" w:sz="0" w:space="0" w:color="auto"/>
      </w:divBdr>
    </w:div>
    <w:div w:id="1140536285">
      <w:bodyDiv w:val="1"/>
      <w:marLeft w:val="0"/>
      <w:marRight w:val="0"/>
      <w:marTop w:val="0"/>
      <w:marBottom w:val="0"/>
      <w:divBdr>
        <w:top w:val="none" w:sz="0" w:space="0" w:color="auto"/>
        <w:left w:val="none" w:sz="0" w:space="0" w:color="auto"/>
        <w:bottom w:val="none" w:sz="0" w:space="0" w:color="auto"/>
        <w:right w:val="none" w:sz="0" w:space="0" w:color="auto"/>
      </w:divBdr>
    </w:div>
    <w:div w:id="1142768962">
      <w:bodyDiv w:val="1"/>
      <w:marLeft w:val="0"/>
      <w:marRight w:val="0"/>
      <w:marTop w:val="0"/>
      <w:marBottom w:val="0"/>
      <w:divBdr>
        <w:top w:val="none" w:sz="0" w:space="0" w:color="auto"/>
        <w:left w:val="none" w:sz="0" w:space="0" w:color="auto"/>
        <w:bottom w:val="none" w:sz="0" w:space="0" w:color="auto"/>
        <w:right w:val="none" w:sz="0" w:space="0" w:color="auto"/>
      </w:divBdr>
    </w:div>
    <w:div w:id="1248462637">
      <w:bodyDiv w:val="1"/>
      <w:marLeft w:val="0"/>
      <w:marRight w:val="0"/>
      <w:marTop w:val="0"/>
      <w:marBottom w:val="0"/>
      <w:divBdr>
        <w:top w:val="none" w:sz="0" w:space="0" w:color="auto"/>
        <w:left w:val="none" w:sz="0" w:space="0" w:color="auto"/>
        <w:bottom w:val="none" w:sz="0" w:space="0" w:color="auto"/>
        <w:right w:val="none" w:sz="0" w:space="0" w:color="auto"/>
      </w:divBdr>
    </w:div>
    <w:div w:id="1330791738">
      <w:bodyDiv w:val="1"/>
      <w:marLeft w:val="0"/>
      <w:marRight w:val="0"/>
      <w:marTop w:val="0"/>
      <w:marBottom w:val="0"/>
      <w:divBdr>
        <w:top w:val="none" w:sz="0" w:space="0" w:color="auto"/>
        <w:left w:val="none" w:sz="0" w:space="0" w:color="auto"/>
        <w:bottom w:val="none" w:sz="0" w:space="0" w:color="auto"/>
        <w:right w:val="none" w:sz="0" w:space="0" w:color="auto"/>
      </w:divBdr>
    </w:div>
    <w:div w:id="1668052477">
      <w:bodyDiv w:val="1"/>
      <w:marLeft w:val="0"/>
      <w:marRight w:val="0"/>
      <w:marTop w:val="0"/>
      <w:marBottom w:val="0"/>
      <w:divBdr>
        <w:top w:val="none" w:sz="0" w:space="0" w:color="auto"/>
        <w:left w:val="none" w:sz="0" w:space="0" w:color="auto"/>
        <w:bottom w:val="none" w:sz="0" w:space="0" w:color="auto"/>
        <w:right w:val="none" w:sz="0" w:space="0" w:color="auto"/>
      </w:divBdr>
    </w:div>
    <w:div w:id="1873346907">
      <w:bodyDiv w:val="1"/>
      <w:marLeft w:val="0"/>
      <w:marRight w:val="0"/>
      <w:marTop w:val="0"/>
      <w:marBottom w:val="0"/>
      <w:divBdr>
        <w:top w:val="none" w:sz="0" w:space="0" w:color="auto"/>
        <w:left w:val="none" w:sz="0" w:space="0" w:color="auto"/>
        <w:bottom w:val="none" w:sz="0" w:space="0" w:color="auto"/>
        <w:right w:val="none" w:sz="0" w:space="0" w:color="auto"/>
      </w:divBdr>
    </w:div>
    <w:div w:id="1966158286">
      <w:bodyDiv w:val="1"/>
      <w:marLeft w:val="0"/>
      <w:marRight w:val="0"/>
      <w:marTop w:val="0"/>
      <w:marBottom w:val="0"/>
      <w:divBdr>
        <w:top w:val="none" w:sz="0" w:space="0" w:color="auto"/>
        <w:left w:val="none" w:sz="0" w:space="0" w:color="auto"/>
        <w:bottom w:val="none" w:sz="0" w:space="0" w:color="auto"/>
        <w:right w:val="none" w:sz="0" w:space="0" w:color="auto"/>
      </w:divBdr>
    </w:div>
    <w:div w:id="1972859786">
      <w:bodyDiv w:val="1"/>
      <w:marLeft w:val="0"/>
      <w:marRight w:val="0"/>
      <w:marTop w:val="0"/>
      <w:marBottom w:val="0"/>
      <w:divBdr>
        <w:top w:val="none" w:sz="0" w:space="0" w:color="auto"/>
        <w:left w:val="none" w:sz="0" w:space="0" w:color="auto"/>
        <w:bottom w:val="none" w:sz="0" w:space="0" w:color="auto"/>
        <w:right w:val="none" w:sz="0" w:space="0" w:color="auto"/>
      </w:divBdr>
    </w:div>
    <w:div w:id="2004158308">
      <w:bodyDiv w:val="1"/>
      <w:marLeft w:val="0"/>
      <w:marRight w:val="0"/>
      <w:marTop w:val="0"/>
      <w:marBottom w:val="0"/>
      <w:divBdr>
        <w:top w:val="none" w:sz="0" w:space="0" w:color="auto"/>
        <w:left w:val="none" w:sz="0" w:space="0" w:color="auto"/>
        <w:bottom w:val="none" w:sz="0" w:space="0" w:color="auto"/>
        <w:right w:val="none" w:sz="0" w:space="0" w:color="auto"/>
      </w:divBdr>
    </w:div>
    <w:div w:id="2018732498">
      <w:bodyDiv w:val="1"/>
      <w:marLeft w:val="0"/>
      <w:marRight w:val="0"/>
      <w:marTop w:val="0"/>
      <w:marBottom w:val="0"/>
      <w:divBdr>
        <w:top w:val="none" w:sz="0" w:space="0" w:color="auto"/>
        <w:left w:val="none" w:sz="0" w:space="0" w:color="auto"/>
        <w:bottom w:val="none" w:sz="0" w:space="0" w:color="auto"/>
        <w:right w:val="none" w:sz="0" w:space="0" w:color="auto"/>
      </w:divBdr>
    </w:div>
    <w:div w:id="2105566581">
      <w:bodyDiv w:val="1"/>
      <w:marLeft w:val="0"/>
      <w:marRight w:val="0"/>
      <w:marTop w:val="0"/>
      <w:marBottom w:val="0"/>
      <w:divBdr>
        <w:top w:val="none" w:sz="0" w:space="0" w:color="auto"/>
        <w:left w:val="none" w:sz="0" w:space="0" w:color="auto"/>
        <w:bottom w:val="none" w:sz="0" w:space="0" w:color="auto"/>
        <w:right w:val="none" w:sz="0" w:space="0" w:color="auto"/>
      </w:divBdr>
    </w:div>
    <w:div w:id="21353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19" Type="http://schemas.openxmlformats.org/officeDocument/2006/relationships/customXml" Target="../customXml/item9.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F1004852B3704298551C0299B38847" ma:contentTypeVersion="2369" ma:contentTypeDescription="The base project type from which other project content types inherit their information." ma:contentTypeScope="" ma:versionID="5a8b688792e1639bab7ae90bb611352b">
  <xsd:schema xmlns:xsd="http://www.w3.org/2001/XMLSchema" xmlns:xs="http://www.w3.org/2001/XMLSchema" xmlns:p="http://schemas.microsoft.com/office/2006/metadata/properties" xmlns:ns2="cdc7663a-08f0-4737-9e8c-148ce897a09c" targetNamespace="http://schemas.microsoft.com/office/2006/metadata/properties" ma:root="true" ma:fieldsID="0181a7b832b36c4c6bfe3010adae983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4825/OC-EC;</Approval_x0020_Number>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136</Value>
      <Value>32</Value>
      <Value>45</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EZSHARE-1396919263-37</_dlc_DocId>
    <_dlc_DocIdUrl xmlns="cdc7663a-08f0-4737-9e8c-148ce897a09c">
      <Url>https://idbg.sharepoint.com/teams/EZ-EC-LON/EC-L1252/_layouts/15/DocIdRedir.aspx?ID=EZSHARE-1396919263-37</Url>
      <Description>EZSHARE-1396919263-37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F1004852B3704298551C0299B38847" ma:contentTypeVersion="2475" ma:contentTypeDescription="The base project type from which other project content types inherit their information." ma:contentTypeScope="" ma:versionID="68c954f19ccca4713fd653ac1aed5fa3">
  <xsd:schema xmlns:xsd="http://www.w3.org/2001/XMLSchema" xmlns:xs="http://www.w3.org/2001/XMLSchema" xmlns:p="http://schemas.microsoft.com/office/2006/metadata/properties" xmlns:ns2="cdc7663a-08f0-4737-9e8c-148ce897a09c" targetNamespace="http://schemas.microsoft.com/office/2006/metadata/properties" ma:root="true" ma:fieldsID="0181a7b832b36c4c6bfe3010adae983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B46AB589ADB458F60887230EEA2B6" ma:contentTypeVersion="2478" ma:contentTypeDescription="A content type to manage public (operations) IDB documents" ma:contentTypeScope="" ma:versionID="8f83bd292598583bb31bd86ecb625da5">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39FDD27-10B7-46F3-B0BA-5A059E9D87FE}"/>
</file>

<file path=customXml/itemProps2.xml><?xml version="1.0" encoding="utf-8"?>
<ds:datastoreItem xmlns:ds="http://schemas.openxmlformats.org/officeDocument/2006/customXml" ds:itemID="{16CB00AE-5D76-441C-B6CD-6FCA26D50795}"/>
</file>

<file path=customXml/itemProps3.xml><?xml version="1.0" encoding="utf-8"?>
<ds:datastoreItem xmlns:ds="http://schemas.openxmlformats.org/officeDocument/2006/customXml" ds:itemID="{DC1EAA9E-74AE-4BE1-8596-6667C9763453}"/>
</file>

<file path=customXml/itemProps4.xml><?xml version="1.0" encoding="utf-8"?>
<ds:datastoreItem xmlns:ds="http://schemas.openxmlformats.org/officeDocument/2006/customXml" ds:itemID="{4A6B7770-497A-4D1D-83EB-CCAD2107F580}"/>
</file>

<file path=customXml/itemProps5.xml><?xml version="1.0" encoding="utf-8"?>
<ds:datastoreItem xmlns:ds="http://schemas.openxmlformats.org/officeDocument/2006/customXml" ds:itemID="{D827AC5C-EA0D-4A3E-B34A-16E748CCF4AA}"/>
</file>

<file path=customXml/itemProps6.xml><?xml version="1.0" encoding="utf-8"?>
<ds:datastoreItem xmlns:ds="http://schemas.openxmlformats.org/officeDocument/2006/customXml" ds:itemID="{22643A1E-ED7C-45DF-A326-A350643D73ED}"/>
</file>

<file path=customXml/itemProps7.xml><?xml version="1.0" encoding="utf-8"?>
<ds:datastoreItem xmlns:ds="http://schemas.openxmlformats.org/officeDocument/2006/customXml" ds:itemID="{97A6B83C-2581-4E9D-9941-22C9004EFF8B}"/>
</file>

<file path=customXml/itemProps8.xml><?xml version="1.0" encoding="utf-8"?>
<ds:datastoreItem xmlns:ds="http://schemas.openxmlformats.org/officeDocument/2006/customXml" ds:itemID="{57C2725A-4582-461E-847A-2643EF3917EA}"/>
</file>

<file path=customXml/itemProps9.xml><?xml version="1.0" encoding="utf-8"?>
<ds:datastoreItem xmlns:ds="http://schemas.openxmlformats.org/officeDocument/2006/customXml" ds:itemID="{38A6366E-2970-49CF-AD88-64C2E615413D}"/>
</file>

<file path=docProps/app.xml><?xml version="1.0" encoding="utf-8"?>
<Properties xmlns="http://schemas.openxmlformats.org/officeDocument/2006/extended-properties" xmlns:vt="http://schemas.openxmlformats.org/officeDocument/2006/docPropsVTypes">
  <Template>Normal.dotm</Template>
  <TotalTime>0</TotalTime>
  <Pages>10</Pages>
  <Words>2824</Words>
  <Characters>16100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18887</CharactersWithSpaces>
  <SharedDoc>false</SharedDoc>
  <HLinks>
    <vt:vector size="18" baseType="variant">
      <vt:variant>
        <vt:i4>131141</vt:i4>
      </vt:variant>
      <vt:variant>
        <vt:i4>3</vt:i4>
      </vt:variant>
      <vt:variant>
        <vt:i4>0</vt:i4>
      </vt:variant>
      <vt:variant>
        <vt:i4>5</vt:i4>
      </vt:variant>
      <vt:variant>
        <vt:lpwstr>http://www.mercadopublico.cl/</vt:lpwstr>
      </vt:variant>
      <vt:variant>
        <vt:lpwstr/>
      </vt:variant>
      <vt:variant>
        <vt:i4>131141</vt:i4>
      </vt:variant>
      <vt:variant>
        <vt:i4>0</vt:i4>
      </vt:variant>
      <vt:variant>
        <vt:i4>0</vt:i4>
      </vt:variant>
      <vt:variant>
        <vt:i4>5</vt:i4>
      </vt:variant>
      <vt:variant>
        <vt:lpwstr>http://www.mercadopublico.cl/</vt:lpwstr>
      </vt:variant>
      <vt:variant>
        <vt:lpwstr/>
      </vt:variant>
      <vt:variant>
        <vt:i4>5373976</vt:i4>
      </vt:variant>
      <vt:variant>
        <vt:i4>0</vt:i4>
      </vt:variant>
      <vt:variant>
        <vt:i4>0</vt:i4>
      </vt:variant>
      <vt:variant>
        <vt:i4>5</vt:i4>
      </vt:variant>
      <vt:variant>
        <vt:lpwstr>http://www.leychile.cl/Navegar?idNorma=196640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2019-06-12T13:36:00Z</dcterms:created>
  <dcterms:modified xsi:type="dcterms:W3CDTF">2019-06-12T20:21:00Z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Fund IDB">
    <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08c7e82c-1806-43f2-ab2f-98ae649ca85f</vt:lpwstr>
  </property>
  <property fmtid="{D5CDD505-2E9C-101B-9397-08002B2CF9AE}" pid="12" name="ContentTypeId">
    <vt:lpwstr>0x0101001A458A224826124E8B45B1D613300CFC009C9B46AB589ADB458F60887230EEA2B6</vt:lpwstr>
  </property>
</Properties>
</file>